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36" w:type="dxa"/>
        <w:tblInd w:w="108" w:type="dxa"/>
        <w:tblLook w:val="04A0" w:firstRow="1" w:lastRow="0" w:firstColumn="1" w:lastColumn="0" w:noHBand="0" w:noVBand="1"/>
      </w:tblPr>
      <w:tblGrid>
        <w:gridCol w:w="13068"/>
      </w:tblGrid>
      <w:tr w:rsidR="008E4CA3" w:rsidRPr="008E4CA3" w:rsidTr="008E4CA3">
        <w:trPr>
          <w:trHeight w:val="1935"/>
        </w:trPr>
        <w:tc>
          <w:tcPr>
            <w:tcW w:w="13036" w:type="dxa"/>
            <w:tcBorders>
              <w:top w:val="nil"/>
              <w:left w:val="nil"/>
              <w:bottom w:val="nil"/>
              <w:right w:val="nil"/>
            </w:tcBorders>
            <w:shd w:val="clear" w:color="auto" w:fill="auto"/>
            <w:noWrap/>
            <w:vAlign w:val="bottom"/>
            <w:hideMark/>
          </w:tcPr>
          <w:bookmarkStart w:id="0" w:name="_GoBack"/>
          <w:bookmarkEnd w:id="0"/>
          <w:p w:rsidR="008E4CA3" w:rsidRPr="008E4CA3" w:rsidRDefault="008E4CA3" w:rsidP="008E4CA3">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123825</wp:posOffset>
                      </wp:positionV>
                      <wp:extent cx="9525" cy="771525"/>
                      <wp:effectExtent l="95250" t="0" r="104775" b="0"/>
                      <wp:wrapNone/>
                      <wp:docPr id="3" name="Text Box 3"/>
                      <wp:cNvGraphicFramePr/>
                      <a:graphic xmlns:a="http://schemas.openxmlformats.org/drawingml/2006/main">
                        <a:graphicData uri="http://schemas.microsoft.com/office/word/2010/wordprocessingShape">
                          <wps:wsp>
                            <wps:cNvSpPr txBox="1"/>
                            <wps:spPr>
                              <a:xfrm>
                                <a:off x="0" y="0"/>
                                <a:ext cx="688657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8E4CA3" w:rsidRDefault="008E4CA3" w:rsidP="008E4CA3">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2014)</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9.75pt;width:.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X/DwIAAGgEAAAOAAAAZHJzL2Uyb0RvYy54bWysVE1v2zAMvQ/YfxB0X5ykyEeDOAXWorsM&#10;67B2P0CRpViYJGqUGjv79aPkxB26U4ddZJsiH/keSW9vemfZUWE04Gs+m0w5U15CY/yh5t+f7j+s&#10;OYtJ+EZY8KrmJxX5ze79u20XNmoOLdhGISMQHzddqHmbUthUVZStciJOIChPlxrQiUSfeKgaFB2h&#10;O1vNp9Nl1QE2AUGqGMl6N1zyXcHXWsn0oHVUidmaU22pnFjOfT6r3VZsDihCa+S5DPEPVThhPCUd&#10;oe5EEuwZzV9QzkiECDpNJLgKtDZSFQ7EZjZ9xeaxFUEVLiRODKNM8f/Byi/Hr8hMU/Mrzrxw1KIn&#10;1Sf2EXp2ldXpQtyQ02Mgt9STmbp8sUcyZtK9RpefRIfRPel8GrXNYJKMy/V6uVgtOJN0t1rNFvNF&#10;hqleogPG9EmBY/ml5ki9K5KK4+eYBteLS07m4d5YW/pnPetqfp0hmXSByER/KLGjE+WxntJlOkPZ&#10;5S2drMpg1n9TmmQo1WdDlHjY31pkw6zQMBOry8QUMArIjpqKeGPsOSRHqzKib4wfg0p+8GmMd8YD&#10;FuJlgVQmcBQ0+s2P0jQqXA/+FykGAbIWqd/3ZRDml/buoTlR12m70wMd2gKpLK0JnLWAv17bOtoi&#10;Uv7ns0DFGSZ7C8PSCS/Jn0ITlpbnbDTOpfnn1cv78ud3Ke/lB7H7DQAA//8DAFBLAwQUAAYACAAA&#10;ACEA2sfbotoAAAAFAQAADwAAAGRycy9kb3ducmV2LnhtbEyPQUvDQBCF74L/YRnBi9hNRWuN2RQR&#10;ClLswdofMMlOs6HZ2ZDdpvHfOz3p6THzhjffK1aT79RIQ2wDG5jPMlDEdbAtNwb23+v7JaiYkC12&#10;gcnAD0VYlddXBeY2nPmLxl1qlIRwzNGAS6nPtY61I49xFnpi8Q5h8JhkHBptBzxLuO/0Q5YttMeW&#10;5YPDnt4d1cfdyRu4c322/Tx8VGu7qN1xE/HZjxtjbm+mt1dQiab0dwwXfEGHUpiqcGIbVWdAiiTZ&#10;vjyBurgilcjjPANdFvo/ffkLAAD//wMAUEsBAi0AFAAGAAgAAAAhALaDOJL+AAAA4QEAABMAAAAA&#10;AAAAAAAAAAAAAAAAAFtDb250ZW50X1R5cGVzXS54bWxQSwECLQAUAAYACAAAACEAOP0h/9YAAACU&#10;AQAACwAAAAAAAAAAAAAAAAAvAQAAX3JlbHMvLnJlbHNQSwECLQAUAAYACAAAACEARas1/w8CAABo&#10;BAAADgAAAAAAAAAAAAAAAAAuAgAAZHJzL2Uyb0RvYy54bWxQSwECLQAUAAYACAAAACEA2sfbotoA&#10;AAAFAQAADwAAAAAAAAAAAAAAAABpBAAAZHJzL2Rvd25yZXYueG1sUEsFBgAAAAAEAAQA8wAAAHAF&#10;AAAAAA==&#10;" filled="f" stroked="f">
                      <v:textbox>
                        <w:txbxContent>
                          <w:p w:rsidR="008E4CA3" w:rsidRDefault="008E4CA3" w:rsidP="008E4CA3">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2014)</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1104900</wp:posOffset>
                      </wp:positionH>
                      <wp:positionV relativeFrom="paragraph">
                        <wp:posOffset>114300</wp:posOffset>
                      </wp:positionV>
                      <wp:extent cx="6715125" cy="742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715125" cy="73342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8E4CA3" w:rsidRDefault="008E4CA3" w:rsidP="008E4CA3">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2014)</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87pt;margin-top:9pt;width:528.7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hbDgIAAGgEAAAOAAAAZHJzL2Uyb0RvYy54bWysVMFu2zAMvQ/YPwi6L07SJdmCOAXWorsM&#10;69B2H6DIUixMEjVKjZ19/Sg5cYf21GIX2abIR75H0pvL3ll2UBgN+JrPJlPOlJfQGL+v+c+Hmw+f&#10;OItJ+EZY8KrmRxX55fb9u00X1moOLdhGISMQH9ddqHmbUlhXVZStciJOIChPlxrQiUSfuK8aFB2h&#10;O1vNp9Nl1QE2AUGqGMl6PVzybcHXWsl0q3VUidmaU22pnFjOXT6r7Uas9yhCa+SpDPGGKpwwnpKO&#10;UNciCfaI5gWUMxIhgk4TCa4CrY1UhQOxmU2fsblvRVCFC4kTwyhT/H+w8vvhBzLT1HzJmReOWvSg&#10;+sS+QM+WWZ0uxDU53QdySz2ZqctneyRjJt1rdPlJdBjdk87HUdsMJsm4XM0Ws/mCM0l3q4uLj/NV&#10;hqmeogPG9FWBY/ml5ki9K5KKw7eYBtezS07m4cZYW/pnPetq/nlR4F0gMtHvS+zoRHmsp3SZzlB2&#10;eUtHqzKY9XdKkwyl+myIEve7K4tsmBUaZmJ1npgCRgHZUVMRr4w9heRoVUb0lfFjUMkPPo3xznjA&#10;QrwskMoEDoJGv/lVmkaF68H/LMUgQNYi9bu+DMLY3h00R+o6bXe6pUNbIJWlNYGzFvDPc1tHW0TK&#10;/34UqDjDZK9gWDrhJflTaMLS8pyNxrk0/7R6eV/+/S7lPf0gtn8BAAD//wMAUEsDBBQABgAIAAAA&#10;IQD3lFwE3wAAAAsBAAAPAAAAZHJzL2Rvd25yZXYueG1sTE/LasMwELwX+g9iC72URkrSPHAsh1II&#10;lNAemuYD1tbGMrEkYymO+/fdnNrTzjDD7Ey+HV0rBupjE7yG6USBIF8F0/haw/F797wGERN6g23w&#10;pOGHImyL+7scMxOu/ouGQ6oFh/iYoQabUpdJGStLDuMkdORZO4XeYWLa19L0eOVw18qZUkvpsPH8&#10;wWJHb5aq8+HiNDzZTn1+nN7LnVlW9ryPuHLDXuvHh/F1AyLRmP7McKvP1aHgTmW4eBNFy3z1wlsS&#10;gzXfm2E2ny5AlIzmCwWyyOX/DcUvAAAA//8DAFBLAQItABQABgAIAAAAIQC2gziS/gAAAOEBAAAT&#10;AAAAAAAAAAAAAAAAAAAAAABbQ29udGVudF9UeXBlc10ueG1sUEsBAi0AFAAGAAgAAAAhADj9If/W&#10;AAAAlAEAAAsAAAAAAAAAAAAAAAAALwEAAF9yZWxzLy5yZWxzUEsBAi0AFAAGAAgAAAAhANxHSFsO&#10;AgAAaAQAAA4AAAAAAAAAAAAAAAAALgIAAGRycy9lMm9Eb2MueG1sUEsBAi0AFAAGAAgAAAAhAPeU&#10;XATfAAAACwEAAA8AAAAAAAAAAAAAAAAAaAQAAGRycy9kb3ducmV2LnhtbFBLBQYAAAAABAAEAPMA&#10;AAB0BQAAAAA=&#10;" filled="f" stroked="f">
                      <v:textbox>
                        <w:txbxContent>
                          <w:p w:rsidR="008E4CA3" w:rsidRDefault="008E4CA3" w:rsidP="008E4CA3">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2014)</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1533525</wp:posOffset>
                      </wp:positionH>
                      <wp:positionV relativeFrom="paragraph">
                        <wp:posOffset>923925</wp:posOffset>
                      </wp:positionV>
                      <wp:extent cx="5895975" cy="21907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CA3" w:rsidRDefault="008E4CA3" w:rsidP="008E4CA3">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Care Safety and Quality ● </w:t>
                                  </w:r>
                                  <w:r w:rsidR="00081158">
                                    <w:rPr>
                                      <w:rFonts w:ascii="Arial" w:hAnsi="Arial" w:cs="Arial"/>
                                      <w:i/>
                                      <w:iCs/>
                                      <w:color w:val="000000"/>
                                      <w:sz w:val="18"/>
                                      <w:szCs w:val="18"/>
                                    </w:rPr>
                                    <w:t>April</w:t>
                                  </w:r>
                                  <w:r>
                                    <w:rPr>
                                      <w:rFonts w:ascii="Arial" w:hAnsi="Arial" w:cs="Arial"/>
                                      <w:i/>
                                      <w:iCs/>
                                      <w:color w:val="000000"/>
                                      <w:sz w:val="18"/>
                                      <w:szCs w:val="18"/>
                                    </w:rPr>
                                    <w:t xml:space="preserve"> 2015</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120.75pt;margin-top:72.75pt;width:464.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vMpwIAAJAFAAAOAAAAZHJzL2Uyb0RvYy54bWysVFtv2yAUfp+0/4B4d32pE19Up2rjeJrU&#10;rZPa/QBi4xgNgwckTjXtv++AkzRtNWnaxgM6HA7fuX2cq+t9z9GOKs2kKHB4EWBERS0bJjYF/vpY&#10;eSlG2hDREC4FLfAT1fh68f7d1TjkNJKd5A1VCECEzsehwJ0xQ+77uu5oT/SFHKiAy1aqnhg4qo3f&#10;KDICes/9KAjm/ihVMyhZU61BW06XeOHw25bW5r5tNTWIFxhiM25Xbl/b3V9ckXyjyNCx+hAG+Yso&#10;esIEOD1BlcQQtFXsDVTPaiW1bM1FLXtfti2rqcsBsgmDV9k8dGSgLhcojh5OZdL/D7b+vPuiEGsK&#10;nGAkSA8teqR7g27lHiW2OuOgczB6GMDM7EENXXaZ6uFO1t80EnLZEbGhN0rJsaOkgehC+9I/ezrh&#10;aAuyHj/JBtyQrZEOaN+q3pYOioEAHbr0dOqMDaUG5SydJWkyw6iGuyjMApCtC5IfXw9Kmw9U9sgK&#10;BVbQeYdOdnfaTKZHE+tMyIpxDnqSc/FCAZiTBnzDU3tno3DN/JEF2SpdpbEXR/OVFwdl6d1Uy9ib&#10;V2EyKy/L5bIMf1q/YZx3rGmosG6OxArjP2vcgeITJU7U0pKzxsLZkLTarJdcoR0BYlduHQpyZua/&#10;DMPVC3J5lVIYxcFtlHnVPE28uIpnXpYEqReE2W02D+IsLquXKd0xQf89JTQWOJtFs4lMv80tcOtt&#10;biTvmYHRwVlf4PRkRHJLwZVoXGsNYXySz0phw38uBbT72GhHWMvRia1mv967nxFZ75bMa9k8AYNh&#10;3Jl72FouIYeaswGjEUZIgfX3LVEUI/5RwC+IkvgygpkzHaJ0DtRW7gDC+igQUXcSJpLBaDsotumA&#10;vc//B769i/UwouxcOT+DfD5IF78AAAD//wMAUEsDBBQABgAIAAAAIQCvjGJO3wAAAAwBAAAPAAAA&#10;ZHJzL2Rvd25yZXYueG1sTI/NasMwEITvhbyD2EJvjeyQtKlrOYRC6aUQ4hRyVayt7dZaGUv+SZ8+&#10;m1Nzm2WG2W/SzWQbMWDna0cK4nkEAqlwpqZSwdfh/XENwgdNRjeOUMEZPWyy2V2qE+NG2uOQh1Jw&#10;CflEK6hCaBMpfVGh1X7uWiT2vl1ndeCzK6Xp9MjltpGLKHqSVtfEHyrd4luFxW/eWwVuHPzHy9Ga&#10;zyKnv2N5Puz73Y9SD/fT9hVEwCn8h+GKz+iQMdPJ9WS8aBQslvGKo2wsVyyuifg54nknVmsWMkvl&#10;7YjsAgAA//8DAFBLAQItABQABgAIAAAAIQC2gziS/gAAAOEBAAATAAAAAAAAAAAAAAAAAAAAAABb&#10;Q29udGVudF9UeXBlc10ueG1sUEsBAi0AFAAGAAgAAAAhADj9If/WAAAAlAEAAAsAAAAAAAAAAAAA&#10;AAAALwEAAF9yZWxzLy5yZWxzUEsBAi0AFAAGAAgAAAAhABw1q8ynAgAAkAUAAA4AAAAAAAAAAAAA&#10;AAAALgIAAGRycy9lMm9Eb2MueG1sUEsBAi0AFAAGAAgAAAAhAK+MYk7fAAAADAEAAA8AAAAAAAAA&#10;AAAAAAAAAQUAAGRycy9kb3ducmV2LnhtbFBLBQYAAAAABAAEAPMAAAANBgAAAAA=&#10;" filled="f" stroked="f">
                      <v:textbox inset="2.16pt,1.8pt,0,0">
                        <w:txbxContent>
                          <w:p w:rsidR="008E4CA3" w:rsidRDefault="008E4CA3" w:rsidP="008E4CA3">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Care Safety and Quality ● </w:t>
                            </w:r>
                            <w:r w:rsidR="00081158">
                              <w:rPr>
                                <w:rFonts w:ascii="Arial" w:hAnsi="Arial" w:cs="Arial"/>
                                <w:i/>
                                <w:iCs/>
                                <w:color w:val="000000"/>
                                <w:sz w:val="18"/>
                                <w:szCs w:val="18"/>
                              </w:rPr>
                              <w:t>April</w:t>
                            </w:r>
                            <w:r>
                              <w:rPr>
                                <w:rFonts w:ascii="Arial" w:hAnsi="Arial" w:cs="Arial"/>
                                <w:i/>
                                <w:iCs/>
                                <w:color w:val="000000"/>
                                <w:sz w:val="18"/>
                                <w:szCs w:val="18"/>
                              </w:rPr>
                              <w:t xml:space="preserve"> 2015</w:t>
                            </w:r>
                          </w:p>
                        </w:txbxContent>
                      </v:textbox>
                    </v:shape>
                  </w:pict>
                </mc:Fallback>
              </mc:AlternateContent>
            </w:r>
            <w:r>
              <w:rPr>
                <w:rFonts w:ascii="Arial" w:eastAsia="Times New Roman" w:hAnsi="Arial" w:cs="Arial"/>
                <w:noProof/>
                <w:sz w:val="20"/>
                <w:szCs w:val="20"/>
              </w:rPr>
              <w:drawing>
                <wp:anchor distT="0" distB="0" distL="114300" distR="114300" simplePos="0" relativeHeight="251660288" behindDoc="0" locked="0" layoutInCell="1" allowOverlap="1">
                  <wp:simplePos x="0" y="0"/>
                  <wp:positionH relativeFrom="column">
                    <wp:posOffset>57150</wp:posOffset>
                  </wp:positionH>
                  <wp:positionV relativeFrom="paragraph">
                    <wp:posOffset>66675</wp:posOffset>
                  </wp:positionV>
                  <wp:extent cx="1000125" cy="1028700"/>
                  <wp:effectExtent l="0" t="0" r="0" b="0"/>
                  <wp:wrapNone/>
                  <wp:docPr id="5" name="Picture 5" descr="DPH-logo-B&amp;W"/>
                  <wp:cNvGraphicFramePr/>
                  <a:graphic xmlns:a="http://schemas.openxmlformats.org/drawingml/2006/main">
                    <a:graphicData uri="http://schemas.openxmlformats.org/drawingml/2006/picture">
                      <pic:pic xmlns:pic="http://schemas.openxmlformats.org/drawingml/2006/picture">
                        <pic:nvPicPr>
                          <pic:cNvPr id="5" name="Picture 4" descr="DPH-logo-B&amp;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33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852"/>
            </w:tblGrid>
            <w:tr w:rsidR="008E4CA3" w:rsidRPr="008E4CA3">
              <w:trPr>
                <w:trHeight w:val="1935"/>
                <w:tblCellSpacing w:w="0" w:type="dxa"/>
              </w:trPr>
              <w:tc>
                <w:tcPr>
                  <w:tcW w:w="13020" w:type="dxa"/>
                  <w:tcBorders>
                    <w:top w:val="nil"/>
                    <w:left w:val="nil"/>
                    <w:bottom w:val="nil"/>
                    <w:right w:val="nil"/>
                  </w:tcBorders>
                  <w:shd w:val="clear" w:color="auto" w:fill="auto"/>
                  <w:noWrap/>
                  <w:vAlign w:val="center"/>
                  <w:hideMark/>
                </w:tcPr>
                <w:p w:rsidR="008E4CA3" w:rsidRPr="008E4CA3" w:rsidRDefault="008E4CA3" w:rsidP="008E4CA3">
                  <w:pPr>
                    <w:spacing w:after="0" w:line="240" w:lineRule="auto"/>
                    <w:jc w:val="center"/>
                    <w:rPr>
                      <w:rFonts w:ascii="Arial" w:eastAsia="Times New Roman" w:hAnsi="Arial" w:cs="Arial"/>
                      <w:sz w:val="28"/>
                      <w:szCs w:val="28"/>
                    </w:rPr>
                  </w:pPr>
                </w:p>
              </w:tc>
            </w:tr>
          </w:tbl>
          <w:p w:rsidR="008E4CA3" w:rsidRPr="008E4CA3" w:rsidRDefault="008E4CA3" w:rsidP="008E4CA3">
            <w:pPr>
              <w:spacing w:after="0" w:line="240" w:lineRule="auto"/>
              <w:rPr>
                <w:rFonts w:ascii="Arial" w:eastAsia="Times New Roman" w:hAnsi="Arial" w:cs="Arial"/>
                <w:sz w:val="20"/>
                <w:szCs w:val="20"/>
              </w:rPr>
            </w:pPr>
          </w:p>
        </w:tc>
      </w:tr>
    </w:tbl>
    <w:p w:rsidR="008E4CA3" w:rsidRPr="008E4CA3" w:rsidRDefault="008E4CA3" w:rsidP="008E4CA3">
      <w:r w:rsidRPr="008E4CA3">
        <w:t>The Department of Public Health’s (DPH) Prescription Drug Monitoring Program (PMP) serves as a repository of data for all prescription drugs dispensed statewide, including those prescriptions that represent the highest potential for abuse (federal Schedules II – V, including certain narcotics, stimulants and sedatives) and are among those most sought for illicit and non-medical use. The PMP also enables prescribers and dispensers to access a patient’s prescription history and can be used as a clinical decision-making tool, allowing the provider to have a holistic view of the patient’s medications.</w:t>
      </w:r>
    </w:p>
    <w:p w:rsidR="008E4CA3" w:rsidRPr="008E4CA3" w:rsidRDefault="008E4CA3" w:rsidP="008E4CA3">
      <w:r w:rsidRPr="008E4CA3">
        <w:t>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in a given area. For instance, an area which contains a large number of residents in long-term care facilities may cause a high rate of opioid prescribing.</w:t>
      </w:r>
    </w:p>
    <w:p w:rsidR="008E4CA3" w:rsidRPr="008E4CA3" w:rsidRDefault="008E4CA3" w:rsidP="008E4CA3">
      <w:r w:rsidRPr="008E4CA3">
        <w:t>These datasets inform critical discussions about opioid prescribing, provide an important baseline to better inform future policy decisions and allow the state and stakeholders to more meaningfully measure whether policy initiatives are effective.</w:t>
      </w:r>
    </w:p>
    <w:p w:rsidR="008E4CA3" w:rsidRPr="008E4CA3" w:rsidRDefault="008E4CA3" w:rsidP="008E4CA3">
      <w:r w:rsidRPr="008E4CA3">
        <w:t xml:space="preserve">Effective October 6, 2014, all hydrocodone combination drug (HCD) products (e.g., vicodin) were reclassified from Schedule III to Schedule II.  This reclassification during the last quarter of 2014 makes comparisons over time difficult to interpret.  To ensure comparability with reports from previous years, the county-level measures presented in this summary have excluded all HCD prescriptions rescheduled from III to II on and after October 6, 2014.  Had they been included for all of CY 2014, this report would have shown an “artificial” increase of approximately 25% in the number of individuals who meet the “activity of concern” threshold while an “apples to apples” comparison shows a decrease of about 6.5% for this measure from CY 2013 to 2014. </w:t>
      </w:r>
    </w:p>
    <w:p w:rsidR="008E4CA3" w:rsidRPr="008E4CA3" w:rsidRDefault="008E4CA3" w:rsidP="008E4CA3">
      <w:pPr>
        <w:spacing w:after="0"/>
      </w:pPr>
      <w:r w:rsidRPr="008E4CA3">
        <w:t xml:space="preserve">Beginning with CY 2015 data, reports of Schedule II products will include all HCD prescriptions. </w:t>
      </w:r>
    </w:p>
    <w:p w:rsidR="008E4CA3" w:rsidRDefault="008E4CA3" w:rsidP="008E4CA3">
      <w:pPr>
        <w:spacing w:after="0"/>
      </w:pPr>
      <w:r w:rsidRPr="008E4CA3">
        <w:t>Future reports summarizing opioid data after CY 2011 (when MA PMP began monitoring for Schedules III-V) will include all opioid drug products in Schedule III, allowing for “apples to apples” comparisons over time.</w:t>
      </w:r>
    </w:p>
    <w:p w:rsidR="008E4CA3" w:rsidRDefault="008E4CA3" w:rsidP="008E4CA3">
      <w:r>
        <w:rPr>
          <w:rFonts w:ascii="Arial" w:eastAsia="Times New Roman" w:hAnsi="Arial" w:cs="Arial"/>
          <w:noProof/>
          <w:sz w:val="20"/>
          <w:szCs w:val="20"/>
        </w:rPr>
        <w:lastRenderedPageBreak/>
        <mc:AlternateContent>
          <mc:Choice Requires="wps">
            <w:drawing>
              <wp:anchor distT="0" distB="0" distL="114300" distR="114300" simplePos="0" relativeHeight="251664384" behindDoc="0" locked="0" layoutInCell="1" allowOverlap="1" wp14:anchorId="7BBB8BD0" wp14:editId="64EFA571">
                <wp:simplePos x="0" y="0"/>
                <wp:positionH relativeFrom="column">
                  <wp:posOffset>935355</wp:posOffset>
                </wp:positionH>
                <wp:positionV relativeFrom="paragraph">
                  <wp:posOffset>-104775</wp:posOffset>
                </wp:positionV>
                <wp:extent cx="6715125" cy="742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15125" cy="742950"/>
                        </a:xfrm>
                        <a:prstGeom prst="rect">
                          <a:avLst/>
                        </a:prstGeom>
                        <a:noFill/>
                        <a:ln w="9525" cmpd="sng">
                          <a:noFill/>
                        </a:ln>
                        <a:effectLst/>
                      </wps:spPr>
                      <wps:txbx>
                        <w:txbxContent>
                          <w:p w:rsidR="008E4CA3" w:rsidRDefault="008E4CA3" w:rsidP="008E4CA3">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2014)</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73.65pt;margin-top:-8.25pt;width:528.7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s1wQEAAGoDAAAOAAAAZHJzL2Uyb0RvYy54bWysU8tuGzEMvBfoPwi6x7KdOo+F1wHaIL0E&#10;TYEkHyBrJa8ASVQpxbvO15eSHymSW9ALV6LIIWfIXd6M3rGtxmQhtHw2mXKmg4LOhk3Ln5/uzq44&#10;S1mGTjoIuuU7nfjN6uuX5RAbPYceXKeREUhIzRBb3uccGyGS6rWXaQJRB3o0gF5muuJGdCgHQvdO&#10;zKfTCzEAdhFB6ZTIe7t/5KuKb4xW+cGYpDNzLafecrVY7bpYsVrKZoMy9lYd2pCf6MJLG6joCepW&#10;Zsle0H6A8lYhJDB5osALMMYqXTkQm9n0HZvHXkZduZA4KZ5kSv8PVv3a/kZmu5bToIL0NKInPWb2&#10;HUZ2VdQZYmoo6DFSWB7JTVM++hM5C+nRoC9fosPonXTenbQtYIqcF5ezxWy+4EzR2+W3+fWiii/e&#10;siOm/FODZ+XQcqTZVUnl9j5l6oRCjyGlWIA761ydnwtsaPn1osL7SGRS2NTcUxAlu1DSdF2KA2Ih&#10;tydRTnlcj1WK8yPBNXQ74k37nR/IGAdURzkbOesBX9/7Btojqv3nRaLmDLP7Afu1k0FRPKVmLNCi&#10;VKOBVk6H5Ssb8++9Rr39Iqu/AAAA//8DAFBLAwQUAAYACAAAACEAyK6lYuAAAAAMAQAADwAAAGRy&#10;cy9kb3ducmV2LnhtbEyPz0rDQBDG74LvsIzgRdrd1jaVmE0RoSBFD1YfYJLdZkOzsyG7TePbOz3p&#10;bT7mx/en2E6+E6MdYhtIw2KuQFiqg2mp0fD9tZs9gYgJyWAXyGr4sRG25e1NgbkJF/q04yE1gk0o&#10;5qjBpdTnUsbaWY9xHnpL/DuGwWNiOTTSDHhhc9/JpVKZ9NgSJzjs7auz9elw9hoeXK8+3o9v1c5k&#10;tTvtI278uNf6/m56eQaR7JT+YLjW5+pQcqcqnMlE0bFebR4Z1TBbZGsQV2KpVrym4kupNciykP9H&#10;lL8AAAD//wMAUEsBAi0AFAAGAAgAAAAhALaDOJL+AAAA4QEAABMAAAAAAAAAAAAAAAAAAAAAAFtD&#10;b250ZW50X1R5cGVzXS54bWxQSwECLQAUAAYACAAAACEAOP0h/9YAAACUAQAACwAAAAAAAAAAAAAA&#10;AAAvAQAAX3JlbHMvLnJlbHNQSwECLQAUAAYACAAAACEAsjB7NcEBAABqAwAADgAAAAAAAAAAAAAA&#10;AAAuAgAAZHJzL2Uyb0RvYy54bWxQSwECLQAUAAYACAAAACEAyK6lYuAAAAAMAQAADwAAAAAAAAAA&#10;AAAAAAAbBAAAZHJzL2Rvd25yZXYueG1sUEsFBgAAAAAEAAQA8wAAACgFAAAAAA==&#10;" filled="f" stroked="f">
                <v:textbox>
                  <w:txbxContent>
                    <w:p w:rsidR="008E4CA3" w:rsidRDefault="008E4CA3" w:rsidP="008E4CA3">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2014)</w:t>
                      </w:r>
                    </w:p>
                  </w:txbxContent>
                </v:textbox>
              </v:shape>
            </w:pict>
          </mc:Fallback>
        </mc:AlternateContent>
      </w:r>
    </w:p>
    <w:p w:rsidR="00E15E0D" w:rsidRDefault="00D72D64" w:rsidP="00D72D64">
      <w:pPr>
        <w:tabs>
          <w:tab w:val="left" w:pos="12120"/>
        </w:tabs>
      </w:pPr>
      <w:r>
        <w:tab/>
      </w:r>
    </w:p>
    <w:p w:rsidR="00D72D64" w:rsidRDefault="00D72D64" w:rsidP="00D72D64">
      <w:pPr>
        <w:tabs>
          <w:tab w:val="left" w:pos="12120"/>
        </w:tabs>
      </w:pPr>
    </w:p>
    <w:p w:rsidR="008E4CA3" w:rsidRDefault="00D72D64" w:rsidP="008E4CA3">
      <w:r w:rsidRPr="00D72D64">
        <w:rPr>
          <w:noProof/>
        </w:rPr>
        <w:drawing>
          <wp:inline distT="0" distB="0" distL="0" distR="0" wp14:anchorId="4E4144A9" wp14:editId="38F3D64B">
            <wp:extent cx="8583545" cy="44005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83545" cy="4400550"/>
                    </a:xfrm>
                    <a:prstGeom prst="rect">
                      <a:avLst/>
                    </a:prstGeom>
                    <a:noFill/>
                    <a:ln>
                      <a:noFill/>
                    </a:ln>
                  </pic:spPr>
                </pic:pic>
              </a:graphicData>
            </a:graphic>
          </wp:inline>
        </w:drawing>
      </w:r>
    </w:p>
    <w:p w:rsidR="008E4CA3" w:rsidRPr="008E4CA3" w:rsidRDefault="008E4CA3" w:rsidP="008E4CA3"/>
    <w:sectPr w:rsidR="008E4CA3" w:rsidRPr="008E4CA3" w:rsidSect="008E4CA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A3"/>
    <w:rsid w:val="00081158"/>
    <w:rsid w:val="001F49AA"/>
    <w:rsid w:val="007813FE"/>
    <w:rsid w:val="008E4CA3"/>
    <w:rsid w:val="00A63954"/>
    <w:rsid w:val="00D72D64"/>
    <w:rsid w:val="00E1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CA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E4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CA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E4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8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2015-04-28T13:44:00Z</dcterms:created>
  <dc:creator>Young, Leonard (DPH)</dc:creator>
  <lastModifiedBy/>
  <lastPrinted>2015-04-09T20:17:00Z</lastPrinted>
  <dcterms:modified xsi:type="dcterms:W3CDTF">2015-04-28T13:44:00Z</dcterms:modified>
  <revision>2</revision>
</coreProperties>
</file>