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23" w:rsidRDefault="00301D23" w:rsidP="00301D23">
      <w:pPr>
        <w:framePr w:w="6926" w:hSpace="187" w:wrap="notBeside" w:vAnchor="page" w:hAnchor="page" w:x="2884" w:y="711"/>
        <w:spacing w:after="0"/>
        <w:jc w:val="center"/>
        <w:rPr>
          <w:rFonts w:ascii="Arial" w:hAnsi="Arial"/>
          <w:sz w:val="36"/>
        </w:rPr>
      </w:pPr>
      <w:r>
        <w:rPr>
          <w:rFonts w:ascii="Arial" w:hAnsi="Arial"/>
          <w:sz w:val="36"/>
        </w:rPr>
        <w:t>The Commonwealth of Massachusetts</w:t>
      </w:r>
    </w:p>
    <w:p w:rsidR="00301D23" w:rsidRDefault="00301D23" w:rsidP="00301D23">
      <w:pPr>
        <w:pStyle w:val="ExecOffice"/>
        <w:framePr w:w="6926" w:wrap="notBeside" w:vAnchor="page" w:x="2884" w:y="711"/>
      </w:pPr>
      <w:r>
        <w:t>Executive Office of Health and Human Services</w:t>
      </w:r>
    </w:p>
    <w:p w:rsidR="00301D23" w:rsidRDefault="00301D23" w:rsidP="00301D23">
      <w:pPr>
        <w:pStyle w:val="ExecOffice"/>
        <w:framePr w:w="6926" w:wrap="notBeside" w:vAnchor="page" w:x="2884" w:y="711"/>
      </w:pPr>
      <w:r>
        <w:t>Department of Public Health</w:t>
      </w:r>
    </w:p>
    <w:p w:rsidR="00301D23" w:rsidRDefault="00301D23" w:rsidP="00301D23">
      <w:pPr>
        <w:pStyle w:val="ExecOffice"/>
        <w:framePr w:w="6926" w:wrap="notBeside" w:vAnchor="page" w:x="2884" w:y="711"/>
      </w:pPr>
      <w:r>
        <w:t>Bureau of Environmental Health</w:t>
      </w:r>
    </w:p>
    <w:p w:rsidR="00301D23" w:rsidRDefault="00301D23" w:rsidP="00301D23">
      <w:pPr>
        <w:pStyle w:val="ExecOffice"/>
        <w:framePr w:w="6926" w:wrap="notBeside" w:vAnchor="page" w:x="2884" w:y="711"/>
      </w:pPr>
      <w:r>
        <w:t xml:space="preserve">250 Washington Street, Boston, MA 02108-4619 </w:t>
      </w:r>
    </w:p>
    <w:p w:rsidR="00301D23" w:rsidRDefault="00301D23" w:rsidP="00301D23">
      <w:pPr>
        <w:pStyle w:val="ExecOffice"/>
        <w:framePr w:w="6926" w:wrap="notBeside" w:vAnchor="page" w:x="2884" w:y="711"/>
      </w:pPr>
      <w:r>
        <w:rPr>
          <w:noProof/>
        </w:rPr>
        <mc:AlternateContent>
          <mc:Choice Requires="wps">
            <w:drawing>
              <wp:anchor distT="0" distB="0" distL="114300" distR="114300" simplePos="0" relativeHeight="251659264" behindDoc="0" locked="0" layoutInCell="1" allowOverlap="1" wp14:anchorId="6991F22E" wp14:editId="1F04B451">
                <wp:simplePos x="0" y="0"/>
                <wp:positionH relativeFrom="margin">
                  <wp:posOffset>5372100</wp:posOffset>
                </wp:positionH>
                <wp:positionV relativeFrom="margin">
                  <wp:posOffset>1113790</wp:posOffset>
                </wp:positionV>
                <wp:extent cx="1733550" cy="1057275"/>
                <wp:effectExtent l="0" t="0" r="0"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D23" w:rsidRDefault="00301D23" w:rsidP="00301D23">
                            <w:pPr>
                              <w:pStyle w:val="Governor"/>
                              <w:spacing w:after="0"/>
                              <w:rPr>
                                <w:sz w:val="16"/>
                              </w:rPr>
                            </w:pPr>
                            <w:bookmarkStart w:id="0" w:name="_GoBack"/>
                          </w:p>
                          <w:p w:rsidR="00301D23" w:rsidRPr="003A7AFC" w:rsidRDefault="00301D23" w:rsidP="00301D23">
                            <w:pPr>
                              <w:pStyle w:val="Weld"/>
                            </w:pPr>
                            <w:r>
                              <w:t>MARYLOU SUDDERS</w:t>
                            </w:r>
                          </w:p>
                          <w:p w:rsidR="00301D23" w:rsidRDefault="00301D23" w:rsidP="00301D23">
                            <w:pPr>
                              <w:pStyle w:val="Governor"/>
                            </w:pPr>
                            <w:r>
                              <w:t>Secretary</w:t>
                            </w:r>
                          </w:p>
                          <w:p w:rsidR="00301D23" w:rsidRDefault="00301D23" w:rsidP="00301D23">
                            <w:pPr>
                              <w:spacing w:line="240" w:lineRule="auto"/>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301D23" w:rsidRPr="004813AC" w:rsidRDefault="00301D23" w:rsidP="00301D23">
                            <w:pPr>
                              <w:spacing w:after="0" w:line="240" w:lineRule="auto"/>
                              <w:jc w:val="center"/>
                              <w:rPr>
                                <w:rFonts w:ascii="Arial" w:hAnsi="Arial" w:cs="Arial"/>
                                <w:b/>
                                <w:sz w:val="14"/>
                                <w:szCs w:val="14"/>
                              </w:rPr>
                            </w:pPr>
                            <w:r w:rsidRPr="004813AC">
                              <w:rPr>
                                <w:rFonts w:ascii="Arial" w:hAnsi="Arial" w:cs="Arial"/>
                                <w:b/>
                                <w:sz w:val="14"/>
                                <w:szCs w:val="14"/>
                              </w:rPr>
                              <w:t>Tel: 617-624-6000</w:t>
                            </w:r>
                          </w:p>
                          <w:p w:rsidR="00301D23" w:rsidRPr="00CF6B13" w:rsidRDefault="00301D23" w:rsidP="00CF6B13">
                            <w:pPr>
                              <w:spacing w:line="240" w:lineRule="auto"/>
                              <w:jc w:val="center"/>
                              <w:rPr>
                                <w:rFonts w:ascii="Arial" w:hAnsi="Arial" w:cs="Arial"/>
                                <w:b/>
                                <w:sz w:val="14"/>
                                <w:szCs w:val="14"/>
                                <w:lang w:val="fr-FR"/>
                              </w:rPr>
                            </w:pPr>
                            <w:r w:rsidRPr="004813AC">
                              <w:rPr>
                                <w:rFonts w:ascii="Arial" w:hAnsi="Arial" w:cs="Arial"/>
                                <w:b/>
                                <w:sz w:val="14"/>
                                <w:szCs w:val="14"/>
                                <w:lang w:val="fr-FR"/>
                              </w:rPr>
                              <w:t>www.mass.gov/dph</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23pt;margin-top:87.7pt;width:136.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" stroked="f">
                <v:textbox>
                  <w:txbxContent>
                    <w:p w:rsidR="00301D23" w:rsidRDefault="00301D23" w:rsidP="00301D23">
                      <w:pPr>
                        <w:pStyle w:val="Governor"/>
                        <w:spacing w:after="0"/>
                        <w:rPr>
                          <w:sz w:val="16"/>
                        </w:rPr>
                      </w:pPr>
                      <w:bookmarkStart w:id="1" w:name="_GoBack"/>
                    </w:p>
                    <w:p w:rsidR="00301D23" w:rsidRPr="003A7AFC" w:rsidRDefault="00301D23" w:rsidP="00301D23">
                      <w:pPr>
                        <w:pStyle w:val="Weld"/>
                      </w:pPr>
                      <w:r>
                        <w:t>MARYLOU SUDDERS</w:t>
                      </w:r>
                    </w:p>
                    <w:p w:rsidR="00301D23" w:rsidRDefault="00301D23" w:rsidP="00301D23">
                      <w:pPr>
                        <w:pStyle w:val="Governor"/>
                      </w:pPr>
                      <w:r>
                        <w:t>Secretary</w:t>
                      </w:r>
                    </w:p>
                    <w:p w:rsidR="00301D23" w:rsidRDefault="00301D23" w:rsidP="00301D23">
                      <w:pPr>
                        <w:spacing w:line="240" w:lineRule="auto"/>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301D23" w:rsidRPr="004813AC" w:rsidRDefault="00301D23" w:rsidP="00301D23">
                      <w:pPr>
                        <w:spacing w:after="0" w:line="240" w:lineRule="auto"/>
                        <w:jc w:val="center"/>
                        <w:rPr>
                          <w:rFonts w:ascii="Arial" w:hAnsi="Arial" w:cs="Arial"/>
                          <w:b/>
                          <w:sz w:val="14"/>
                          <w:szCs w:val="14"/>
                        </w:rPr>
                      </w:pPr>
                      <w:r w:rsidRPr="004813AC">
                        <w:rPr>
                          <w:rFonts w:ascii="Arial" w:hAnsi="Arial" w:cs="Arial"/>
                          <w:b/>
                          <w:sz w:val="14"/>
                          <w:szCs w:val="14"/>
                        </w:rPr>
                        <w:t>Tel: 617-624-6000</w:t>
                      </w:r>
                    </w:p>
                    <w:p w:rsidR="00301D23" w:rsidRPr="00CF6B13" w:rsidRDefault="00301D23" w:rsidP="00CF6B13">
                      <w:pPr>
                        <w:spacing w:line="240" w:lineRule="auto"/>
                        <w:jc w:val="center"/>
                        <w:rPr>
                          <w:rFonts w:ascii="Arial" w:hAnsi="Arial" w:cs="Arial"/>
                          <w:b/>
                          <w:sz w:val="14"/>
                          <w:szCs w:val="14"/>
                          <w:lang w:val="fr-FR"/>
                        </w:rPr>
                      </w:pPr>
                      <w:r w:rsidRPr="004813AC">
                        <w:rPr>
                          <w:rFonts w:ascii="Arial" w:hAnsi="Arial" w:cs="Arial"/>
                          <w:b/>
                          <w:sz w:val="14"/>
                          <w:szCs w:val="14"/>
                          <w:lang w:val="fr-FR"/>
                        </w:rPr>
                        <w:t>www.mass.gov/dph</w:t>
                      </w:r>
                      <w:bookmarkEnd w:id="1"/>
                    </w:p>
                  </w:txbxContent>
                </v:textbox>
                <w10:wrap type="square" anchorx="margin" anchory="margin"/>
              </v:shape>
            </w:pict>
          </mc:Fallback>
        </mc:AlternateContent>
      </w:r>
      <w:r>
        <w:t>Phone: 617-624-5757   Fax: 617-624-5777</w:t>
      </w:r>
    </w:p>
    <w:p w:rsidR="00301D23" w:rsidRDefault="00301D23" w:rsidP="00301D23">
      <w:pPr>
        <w:pStyle w:val="ExecOffice"/>
        <w:framePr w:w="6926" w:wrap="notBeside" w:vAnchor="page" w:x="2884" w:y="711"/>
      </w:pPr>
      <w:r>
        <w:t>TTY: 617-624-5286</w:t>
      </w:r>
    </w:p>
    <w:p w:rsidR="00301D23" w:rsidRDefault="00301D23" w:rsidP="00301D23">
      <w:pPr>
        <w:framePr w:w="1927" w:hSpace="180" w:wrap="auto" w:vAnchor="text" w:hAnchor="page" w:x="616" w:y="-89"/>
        <w:rPr>
          <w:rFonts w:ascii="LinePrinter" w:hAnsi="LinePrinter"/>
        </w:rPr>
      </w:pPr>
      <w:r>
        <w:rPr>
          <w:rFonts w:ascii="LinePrinter" w:hAnsi="LinePrinter"/>
          <w:noProof/>
        </w:rPr>
        <w:drawing>
          <wp:inline distT="0" distB="0" distL="0" distR="0" wp14:anchorId="12864698" wp14:editId="444EED6A">
            <wp:extent cx="962025" cy="1152525"/>
            <wp:effectExtent l="0" t="0" r="9525" b="9525"/>
            <wp:docPr id="2" name="Picture 2" title="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301D23" w:rsidRDefault="00301D23" w:rsidP="00301D23">
      <w:pPr>
        <w:jc w:val="center"/>
      </w:pPr>
      <w:r>
        <w:rPr>
          <w:noProof/>
        </w:rPr>
        <mc:AlternateContent>
          <mc:Choice Requires="wps">
            <w:drawing>
              <wp:anchor distT="0" distB="0" distL="114300" distR="114300" simplePos="0" relativeHeight="251660288" behindDoc="0" locked="0" layoutInCell="1" allowOverlap="1" wp14:anchorId="22F6DE31" wp14:editId="73B6B9BE">
                <wp:simplePos x="0" y="0"/>
                <wp:positionH relativeFrom="margin">
                  <wp:posOffset>-248920</wp:posOffset>
                </wp:positionH>
                <wp:positionV relativeFrom="margin">
                  <wp:posOffset>1168400</wp:posOffset>
                </wp:positionV>
                <wp:extent cx="1572895" cy="802005"/>
                <wp:effectExtent l="0" t="0" r="825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D23" w:rsidRDefault="00301D23" w:rsidP="00301D23">
                            <w:pPr>
                              <w:pStyle w:val="Governor"/>
                              <w:spacing w:after="0"/>
                              <w:rPr>
                                <w:sz w:val="16"/>
                              </w:rPr>
                            </w:pPr>
                          </w:p>
                          <w:p w:rsidR="00301D23" w:rsidRDefault="00301D23" w:rsidP="00301D23">
                            <w:pPr>
                              <w:pStyle w:val="Governor"/>
                              <w:spacing w:after="0"/>
                              <w:rPr>
                                <w:sz w:val="16"/>
                              </w:rPr>
                            </w:pPr>
                            <w:r>
                              <w:rPr>
                                <w:sz w:val="16"/>
                              </w:rPr>
                              <w:t>CHARLES D. BAKER</w:t>
                            </w:r>
                          </w:p>
                          <w:p w:rsidR="00301D23" w:rsidRDefault="00301D23" w:rsidP="00301D23">
                            <w:pPr>
                              <w:pStyle w:val="Governor"/>
                            </w:pPr>
                            <w:r>
                              <w:t>Governor</w:t>
                            </w:r>
                          </w:p>
                          <w:p w:rsidR="00301D23" w:rsidRDefault="00301D23" w:rsidP="00301D23">
                            <w:pPr>
                              <w:pStyle w:val="Governor"/>
                              <w:spacing w:after="0"/>
                              <w:rPr>
                                <w:sz w:val="16"/>
                              </w:rPr>
                            </w:pPr>
                            <w:r>
                              <w:rPr>
                                <w:sz w:val="16"/>
                              </w:rPr>
                              <w:t>KARYN E. POLITO</w:t>
                            </w:r>
                          </w:p>
                          <w:p w:rsidR="00301D23" w:rsidRDefault="00301D23" w:rsidP="00301D23">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left:0;text-align:left;margin-left:-19.6pt;margin-top:92pt;width:123.85pt;height:63.1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" stroked="f">
                <v:textbox style="mso-fit-shape-to-text:t">
                  <w:txbxContent>
                    <w:p w:rsidR="00301D23" w:rsidRDefault="00301D23" w:rsidP="00301D23">
                      <w:pPr>
                        <w:pStyle w:val="Governor"/>
                        <w:spacing w:after="0"/>
                        <w:rPr>
                          <w:sz w:val="16"/>
                        </w:rPr>
                      </w:pPr>
                    </w:p>
                    <w:p w:rsidR="00301D23" w:rsidRDefault="00301D23" w:rsidP="00301D23">
                      <w:pPr>
                        <w:pStyle w:val="Governor"/>
                        <w:spacing w:after="0"/>
                        <w:rPr>
                          <w:sz w:val="16"/>
                        </w:rPr>
                      </w:pPr>
                      <w:r>
                        <w:rPr>
                          <w:sz w:val="16"/>
                        </w:rPr>
                        <w:t>CHARLES D. BAKER</w:t>
                      </w:r>
                    </w:p>
                    <w:p w:rsidR="00301D23" w:rsidRDefault="00301D23" w:rsidP="00301D23">
                      <w:pPr>
                        <w:pStyle w:val="Governor"/>
                      </w:pPr>
                      <w:r>
                        <w:t>Governor</w:t>
                      </w:r>
                    </w:p>
                    <w:p w:rsidR="00301D23" w:rsidRDefault="00301D23" w:rsidP="00301D23">
                      <w:pPr>
                        <w:pStyle w:val="Governor"/>
                        <w:spacing w:after="0"/>
                        <w:rPr>
                          <w:sz w:val="16"/>
                        </w:rPr>
                      </w:pPr>
                      <w:r>
                        <w:rPr>
                          <w:sz w:val="16"/>
                        </w:rPr>
                        <w:t>KARYN E. POLITO</w:t>
                      </w:r>
                    </w:p>
                    <w:p w:rsidR="00301D23" w:rsidRDefault="00301D23" w:rsidP="00301D23">
                      <w:pPr>
                        <w:pStyle w:val="Governor"/>
                      </w:pPr>
                      <w:r>
                        <w:t>Lieutenant Governor</w:t>
                      </w:r>
                    </w:p>
                  </w:txbxContent>
                </v:textbox>
                <w10:wrap type="square" anchorx="margin" anchory="margin"/>
              </v:shape>
            </w:pict>
          </mc:Fallback>
        </mc:AlternateContent>
      </w:r>
    </w:p>
    <w:p w:rsidR="00301D23" w:rsidRDefault="00301D23" w:rsidP="00252466">
      <w:pPr>
        <w:spacing w:after="0" w:line="240" w:lineRule="auto"/>
        <w:rPr>
          <w:rFonts w:cs="Tahoma"/>
          <w:b/>
          <w:sz w:val="28"/>
          <w:szCs w:val="28"/>
        </w:rPr>
      </w:pPr>
    </w:p>
    <w:p w:rsidR="00301D23" w:rsidRDefault="00301D23" w:rsidP="00252466">
      <w:pPr>
        <w:spacing w:after="0" w:line="240" w:lineRule="auto"/>
        <w:rPr>
          <w:rFonts w:cs="Tahoma"/>
          <w:b/>
          <w:sz w:val="28"/>
          <w:szCs w:val="28"/>
        </w:rPr>
      </w:pPr>
    </w:p>
    <w:p w:rsidR="00301D23" w:rsidRPr="004326C4" w:rsidRDefault="00301D23" w:rsidP="00301D23">
      <w:pPr>
        <w:spacing w:after="0" w:line="360" w:lineRule="auto"/>
        <w:rPr>
          <w:rFonts w:cs="Tahoma"/>
          <w:b/>
          <w:sz w:val="28"/>
          <w:szCs w:val="28"/>
        </w:rPr>
      </w:pPr>
      <w:r w:rsidRPr="004326C4">
        <w:rPr>
          <w:rFonts w:cs="Tahoma"/>
          <w:b/>
          <w:sz w:val="28"/>
          <w:szCs w:val="28"/>
        </w:rPr>
        <w:t>MEMORANDUM</w:t>
      </w:r>
    </w:p>
    <w:p w:rsidR="00762F72" w:rsidRPr="001B0A4C" w:rsidRDefault="00B8797F" w:rsidP="00252466">
      <w:pPr>
        <w:spacing w:after="0" w:line="240" w:lineRule="auto"/>
        <w:rPr>
          <w:rFonts w:cs="Tahoma"/>
          <w:sz w:val="24"/>
          <w:szCs w:val="24"/>
        </w:rPr>
      </w:pPr>
      <w:r w:rsidRPr="001B0A4C">
        <w:rPr>
          <w:rFonts w:cs="Tahoma"/>
          <w:b/>
          <w:sz w:val="24"/>
          <w:szCs w:val="24"/>
        </w:rPr>
        <w:t>T</w:t>
      </w:r>
      <w:r w:rsidR="00730775" w:rsidRPr="001B0A4C">
        <w:rPr>
          <w:rFonts w:cs="Tahoma"/>
          <w:b/>
          <w:sz w:val="24"/>
          <w:szCs w:val="24"/>
        </w:rPr>
        <w:t>O:</w:t>
      </w:r>
      <w:r w:rsidR="00041CB6">
        <w:rPr>
          <w:rFonts w:cs="Tahoma"/>
          <w:b/>
          <w:sz w:val="24"/>
          <w:szCs w:val="24"/>
        </w:rPr>
        <w:tab/>
      </w:r>
      <w:r w:rsidR="00041CB6">
        <w:rPr>
          <w:rFonts w:cs="Tahoma"/>
          <w:b/>
          <w:sz w:val="24"/>
          <w:szCs w:val="24"/>
        </w:rPr>
        <w:tab/>
      </w:r>
      <w:r w:rsidR="00301D23" w:rsidRPr="00301D23">
        <w:rPr>
          <w:rFonts w:cs="Tahoma"/>
          <w:sz w:val="24"/>
          <w:szCs w:val="24"/>
        </w:rPr>
        <w:t>Radiation Control Program</w:t>
      </w:r>
    </w:p>
    <w:p w:rsidR="00A523C2" w:rsidRPr="001B0A4C" w:rsidRDefault="00A523C2" w:rsidP="00252466">
      <w:pPr>
        <w:spacing w:after="0" w:line="240" w:lineRule="auto"/>
        <w:rPr>
          <w:rFonts w:cs="Tahoma"/>
          <w:b/>
          <w:sz w:val="24"/>
          <w:szCs w:val="24"/>
        </w:rPr>
      </w:pPr>
      <w:r w:rsidRPr="001B0A4C">
        <w:rPr>
          <w:rFonts w:cs="Tahoma"/>
          <w:b/>
          <w:sz w:val="24"/>
          <w:szCs w:val="24"/>
        </w:rPr>
        <w:t>FROM:</w:t>
      </w:r>
      <w:r w:rsidRPr="001B0A4C">
        <w:rPr>
          <w:rFonts w:cs="Tahoma"/>
          <w:b/>
          <w:sz w:val="24"/>
          <w:szCs w:val="24"/>
        </w:rPr>
        <w:tab/>
      </w:r>
      <w:r w:rsidR="008D58BE" w:rsidRPr="001B0A4C">
        <w:rPr>
          <w:rFonts w:cs="Tahoma"/>
          <w:b/>
          <w:sz w:val="24"/>
          <w:szCs w:val="24"/>
        </w:rPr>
        <w:tab/>
      </w:r>
      <w:r w:rsidR="00301D23" w:rsidRPr="00301D23">
        <w:rPr>
          <w:rFonts w:cs="Tahoma"/>
          <w:sz w:val="24"/>
          <w:szCs w:val="24"/>
        </w:rPr>
        <w:t>Environmental Toxicology Program</w:t>
      </w:r>
    </w:p>
    <w:p w:rsidR="003D0BDD" w:rsidRDefault="003D0BDD" w:rsidP="00252466">
      <w:pPr>
        <w:spacing w:after="0" w:line="240" w:lineRule="auto"/>
        <w:rPr>
          <w:rFonts w:cs="Tahoma"/>
          <w:b/>
          <w:sz w:val="24"/>
          <w:szCs w:val="24"/>
        </w:rPr>
      </w:pPr>
      <w:r>
        <w:rPr>
          <w:rFonts w:cs="Tahoma"/>
          <w:b/>
          <w:sz w:val="24"/>
          <w:szCs w:val="24"/>
        </w:rPr>
        <w:t>CC:</w:t>
      </w:r>
      <w:r>
        <w:rPr>
          <w:rFonts w:cs="Tahoma"/>
          <w:b/>
          <w:sz w:val="24"/>
          <w:szCs w:val="24"/>
        </w:rPr>
        <w:tab/>
      </w:r>
      <w:r>
        <w:rPr>
          <w:rFonts w:cs="Tahoma"/>
          <w:b/>
          <w:sz w:val="24"/>
          <w:szCs w:val="24"/>
        </w:rPr>
        <w:tab/>
      </w:r>
      <w:r w:rsidR="00301D23" w:rsidRPr="004326C4">
        <w:rPr>
          <w:rFonts w:cs="Tahoma"/>
          <w:sz w:val="24"/>
          <w:szCs w:val="24"/>
        </w:rPr>
        <w:t>BEH Director; BEH Deputy Director</w:t>
      </w:r>
    </w:p>
    <w:p w:rsidR="00CE4558" w:rsidRPr="00CE4558" w:rsidRDefault="00F514A1" w:rsidP="00252466">
      <w:pPr>
        <w:spacing w:after="0" w:line="240" w:lineRule="auto"/>
        <w:rPr>
          <w:rFonts w:cs="Tahoma"/>
          <w:sz w:val="24"/>
          <w:szCs w:val="24"/>
        </w:rPr>
      </w:pPr>
      <w:r w:rsidRPr="001B0A4C">
        <w:rPr>
          <w:rFonts w:cs="Tahoma"/>
          <w:b/>
          <w:sz w:val="24"/>
          <w:szCs w:val="24"/>
        </w:rPr>
        <w:t>DATE:</w:t>
      </w:r>
      <w:r w:rsidRPr="001B0A4C">
        <w:rPr>
          <w:rFonts w:cs="Tahoma"/>
          <w:b/>
          <w:sz w:val="24"/>
          <w:szCs w:val="24"/>
        </w:rPr>
        <w:tab/>
      </w:r>
      <w:r w:rsidRPr="001B0A4C">
        <w:rPr>
          <w:rFonts w:cs="Tahoma"/>
          <w:b/>
          <w:sz w:val="24"/>
          <w:szCs w:val="24"/>
        </w:rPr>
        <w:tab/>
      </w:r>
      <w:r w:rsidR="00CE4558">
        <w:rPr>
          <w:rFonts w:cs="Tahoma"/>
          <w:sz w:val="24"/>
          <w:szCs w:val="24"/>
        </w:rPr>
        <w:t>April 22, 2016</w:t>
      </w:r>
    </w:p>
    <w:p w:rsidR="00E67EE6" w:rsidRPr="004326C4" w:rsidRDefault="00252466" w:rsidP="00E67EE6">
      <w:pPr>
        <w:spacing w:after="0" w:line="240" w:lineRule="auto"/>
        <w:rPr>
          <w:rFonts w:cs="Tahoma"/>
          <w:sz w:val="24"/>
          <w:szCs w:val="24"/>
        </w:rPr>
      </w:pPr>
      <w:r>
        <w:rPr>
          <w:rFonts w:cs="Tahoma"/>
          <w:b/>
          <w:sz w:val="24"/>
          <w:szCs w:val="24"/>
        </w:rPr>
        <w:t>SUBJECT:</w:t>
      </w:r>
      <w:r w:rsidR="00E67EE6">
        <w:rPr>
          <w:rFonts w:cs="Tahoma"/>
          <w:b/>
          <w:sz w:val="24"/>
          <w:szCs w:val="24"/>
        </w:rPr>
        <w:tab/>
      </w:r>
      <w:r w:rsidR="00E67EE6" w:rsidRPr="004326C4">
        <w:rPr>
          <w:rFonts w:cs="Tahoma"/>
          <w:sz w:val="24"/>
          <w:szCs w:val="24"/>
        </w:rPr>
        <w:t>PNPS Tritium in Groundwater Investigation Update</w:t>
      </w:r>
    </w:p>
    <w:p w:rsidR="00E67EE6" w:rsidRPr="003D0BDD" w:rsidRDefault="003D0BDD" w:rsidP="00E67EE6">
      <w:pPr>
        <w:spacing w:after="0" w:line="240" w:lineRule="auto"/>
        <w:rPr>
          <w:sz w:val="24"/>
          <w:szCs w:val="24"/>
        </w:rPr>
      </w:pPr>
      <w:r w:rsidRPr="003D0BDD">
        <w:rPr>
          <w:sz w:val="24"/>
          <w:szCs w:val="24"/>
        </w:rPr>
        <w:t>---</w:t>
      </w:r>
    </w:p>
    <w:p w:rsidR="004975D9" w:rsidRDefault="004975D9" w:rsidP="00E67EE6">
      <w:pPr>
        <w:spacing w:after="0" w:line="240" w:lineRule="auto"/>
        <w:rPr>
          <w:b/>
          <w:sz w:val="24"/>
          <w:szCs w:val="24"/>
        </w:rPr>
      </w:pPr>
    </w:p>
    <w:p w:rsidR="00F4516E" w:rsidRPr="002517F1" w:rsidRDefault="002517F1" w:rsidP="002517F1">
      <w:pPr>
        <w:pStyle w:val="ListParagraph"/>
        <w:spacing w:after="120" w:line="300" w:lineRule="atLeast"/>
        <w:ind w:left="0"/>
        <w:jc w:val="both"/>
        <w:rPr>
          <w:b/>
          <w:sz w:val="24"/>
          <w:szCs w:val="24"/>
        </w:rPr>
      </w:pPr>
      <w:r w:rsidRPr="002517F1">
        <w:rPr>
          <w:b/>
          <w:sz w:val="24"/>
          <w:szCs w:val="24"/>
        </w:rPr>
        <w:t>PURPOSE</w:t>
      </w:r>
    </w:p>
    <w:p w:rsidR="004975D9" w:rsidRDefault="004975D9" w:rsidP="004975D9">
      <w:pPr>
        <w:pStyle w:val="ListParagraph"/>
        <w:spacing w:after="0" w:line="160" w:lineRule="exact"/>
        <w:ind w:left="0"/>
        <w:jc w:val="both"/>
        <w:rPr>
          <w:sz w:val="24"/>
          <w:szCs w:val="24"/>
        </w:rPr>
      </w:pPr>
    </w:p>
    <w:p w:rsidR="00E67EE6" w:rsidRDefault="00E67EE6" w:rsidP="004975D9">
      <w:pPr>
        <w:pStyle w:val="ListParagraph"/>
        <w:spacing w:before="360" w:after="120" w:line="240" w:lineRule="auto"/>
        <w:ind w:left="0"/>
        <w:jc w:val="both"/>
        <w:rPr>
          <w:sz w:val="24"/>
          <w:szCs w:val="24"/>
        </w:rPr>
      </w:pPr>
      <w:r w:rsidRPr="00F35E82">
        <w:rPr>
          <w:sz w:val="24"/>
          <w:szCs w:val="24"/>
        </w:rPr>
        <w:t xml:space="preserve">This document describes the results of an on-going investigation of levels of tritium in groundwater and surface water at Pilgrim Nuclear Power Station (PNPS) in Plymouth, MA. </w:t>
      </w:r>
    </w:p>
    <w:p w:rsidR="002517F1" w:rsidRDefault="002517F1" w:rsidP="003B6594">
      <w:pPr>
        <w:pStyle w:val="ListParagraph"/>
        <w:spacing w:after="0" w:line="240" w:lineRule="auto"/>
        <w:ind w:left="0"/>
        <w:jc w:val="both"/>
        <w:rPr>
          <w:sz w:val="24"/>
          <w:szCs w:val="24"/>
        </w:rPr>
      </w:pPr>
    </w:p>
    <w:p w:rsidR="00E55734" w:rsidRDefault="00E55734" w:rsidP="002517F1">
      <w:pPr>
        <w:pStyle w:val="ListParagraph"/>
        <w:spacing w:after="120" w:line="240" w:lineRule="auto"/>
        <w:ind w:left="0"/>
        <w:rPr>
          <w:b/>
          <w:sz w:val="24"/>
          <w:szCs w:val="24"/>
        </w:rPr>
      </w:pPr>
      <w:r w:rsidRPr="00607A2A">
        <w:rPr>
          <w:b/>
          <w:sz w:val="24"/>
          <w:szCs w:val="24"/>
        </w:rPr>
        <w:t>OVERVIEW</w:t>
      </w:r>
    </w:p>
    <w:p w:rsidR="004975D9" w:rsidRPr="00FF744E" w:rsidRDefault="004975D9" w:rsidP="004975D9">
      <w:pPr>
        <w:pStyle w:val="ListParagraph"/>
        <w:spacing w:after="120" w:line="160" w:lineRule="exact"/>
        <w:ind w:left="0"/>
        <w:rPr>
          <w:sz w:val="24"/>
          <w:szCs w:val="24"/>
        </w:rPr>
      </w:pPr>
    </w:p>
    <w:p w:rsidR="00E67EE6" w:rsidRPr="008B53F3" w:rsidRDefault="00E55734" w:rsidP="002517F1">
      <w:pPr>
        <w:pStyle w:val="ListParagraph"/>
        <w:numPr>
          <w:ilvl w:val="0"/>
          <w:numId w:val="18"/>
        </w:numPr>
        <w:spacing w:before="120" w:after="120" w:line="300" w:lineRule="atLeast"/>
        <w:jc w:val="both"/>
        <w:rPr>
          <w:sz w:val="24"/>
          <w:szCs w:val="24"/>
        </w:rPr>
      </w:pPr>
      <w:r>
        <w:rPr>
          <w:sz w:val="24"/>
          <w:szCs w:val="24"/>
        </w:rPr>
        <w:t xml:space="preserve">The </w:t>
      </w:r>
      <w:r w:rsidR="00E67EE6" w:rsidRPr="008B53F3">
        <w:rPr>
          <w:sz w:val="24"/>
          <w:szCs w:val="24"/>
        </w:rPr>
        <w:t xml:space="preserve">fourth quarter </w:t>
      </w:r>
      <w:r>
        <w:rPr>
          <w:sz w:val="24"/>
          <w:szCs w:val="24"/>
        </w:rPr>
        <w:t xml:space="preserve">2015 </w:t>
      </w:r>
      <w:r w:rsidR="00E67EE6" w:rsidRPr="008B53F3">
        <w:rPr>
          <w:sz w:val="24"/>
          <w:szCs w:val="24"/>
        </w:rPr>
        <w:t xml:space="preserve">results </w:t>
      </w:r>
      <w:r>
        <w:rPr>
          <w:sz w:val="24"/>
          <w:szCs w:val="24"/>
        </w:rPr>
        <w:t xml:space="preserve">are consistent with previous </w:t>
      </w:r>
      <w:r w:rsidR="00F4516E">
        <w:rPr>
          <w:sz w:val="24"/>
          <w:szCs w:val="24"/>
        </w:rPr>
        <w:t xml:space="preserve">findings of </w:t>
      </w:r>
      <w:r>
        <w:rPr>
          <w:sz w:val="24"/>
          <w:szCs w:val="24"/>
        </w:rPr>
        <w:t xml:space="preserve">cyclic fluctuations </w:t>
      </w:r>
      <w:r w:rsidR="00E67EE6" w:rsidRPr="008B53F3">
        <w:rPr>
          <w:sz w:val="24"/>
          <w:szCs w:val="24"/>
        </w:rPr>
        <w:t>in the level of tritium in groundwater, as well as the absence of detectable tritium in surface water</w:t>
      </w:r>
      <w:r w:rsidR="00605694">
        <w:rPr>
          <w:sz w:val="24"/>
          <w:szCs w:val="24"/>
        </w:rPr>
        <w:t>.</w:t>
      </w:r>
    </w:p>
    <w:p w:rsidR="00E67EE6" w:rsidRPr="0066210B" w:rsidRDefault="00E67EE6" w:rsidP="00E67EE6">
      <w:pPr>
        <w:pStyle w:val="ListParagraph"/>
        <w:numPr>
          <w:ilvl w:val="0"/>
          <w:numId w:val="18"/>
        </w:numPr>
        <w:spacing w:after="0" w:line="240" w:lineRule="auto"/>
        <w:jc w:val="both"/>
        <w:rPr>
          <w:sz w:val="24"/>
          <w:szCs w:val="24"/>
        </w:rPr>
      </w:pPr>
      <w:r w:rsidRPr="0034727D">
        <w:rPr>
          <w:sz w:val="24"/>
          <w:szCs w:val="24"/>
        </w:rPr>
        <w:t>On-site efforts</w:t>
      </w:r>
      <w:r>
        <w:rPr>
          <w:sz w:val="24"/>
          <w:szCs w:val="24"/>
        </w:rPr>
        <w:t xml:space="preserve"> by the owner and </w:t>
      </w:r>
      <w:r w:rsidRPr="0034727D">
        <w:rPr>
          <w:sz w:val="24"/>
          <w:szCs w:val="24"/>
        </w:rPr>
        <w:t>operator of PNPS (Entergy) are focused on identifying the sources of tritium</w:t>
      </w:r>
      <w:r>
        <w:rPr>
          <w:sz w:val="24"/>
          <w:szCs w:val="24"/>
        </w:rPr>
        <w:t xml:space="preserve"> and monitoring for potential new sources</w:t>
      </w:r>
      <w:r w:rsidR="003B6594">
        <w:rPr>
          <w:sz w:val="24"/>
          <w:szCs w:val="24"/>
        </w:rPr>
        <w:t>.</w:t>
      </w:r>
    </w:p>
    <w:p w:rsidR="00E67EE6" w:rsidRPr="0034727D" w:rsidRDefault="00E67EE6" w:rsidP="00E67EE6">
      <w:pPr>
        <w:pStyle w:val="ListParagraph"/>
        <w:numPr>
          <w:ilvl w:val="0"/>
          <w:numId w:val="18"/>
        </w:numPr>
        <w:spacing w:after="0" w:line="240" w:lineRule="auto"/>
        <w:jc w:val="both"/>
        <w:rPr>
          <w:sz w:val="24"/>
          <w:szCs w:val="24"/>
        </w:rPr>
      </w:pPr>
      <w:proofErr w:type="gramStart"/>
      <w:r>
        <w:rPr>
          <w:sz w:val="24"/>
          <w:szCs w:val="24"/>
        </w:rPr>
        <w:t xml:space="preserve">Staff from the </w:t>
      </w:r>
      <w:r w:rsidRPr="0034727D">
        <w:rPr>
          <w:sz w:val="24"/>
          <w:szCs w:val="24"/>
        </w:rPr>
        <w:t>MDPH</w:t>
      </w:r>
      <w:r>
        <w:rPr>
          <w:sz w:val="24"/>
          <w:szCs w:val="24"/>
        </w:rPr>
        <w:t xml:space="preserve"> Bureau of Environmental Health continue</w:t>
      </w:r>
      <w:proofErr w:type="gramEnd"/>
      <w:r w:rsidRPr="0034727D">
        <w:rPr>
          <w:sz w:val="24"/>
          <w:szCs w:val="24"/>
        </w:rPr>
        <w:t xml:space="preserve"> to review </w:t>
      </w:r>
      <w:r w:rsidR="005B1653">
        <w:rPr>
          <w:sz w:val="24"/>
          <w:szCs w:val="24"/>
        </w:rPr>
        <w:t xml:space="preserve">new </w:t>
      </w:r>
      <w:r w:rsidRPr="0034727D">
        <w:rPr>
          <w:sz w:val="24"/>
          <w:szCs w:val="24"/>
        </w:rPr>
        <w:t>information from the monitoring</w:t>
      </w:r>
      <w:r>
        <w:rPr>
          <w:sz w:val="24"/>
          <w:szCs w:val="24"/>
        </w:rPr>
        <w:t xml:space="preserve"> efforts</w:t>
      </w:r>
      <w:r w:rsidR="008363F1">
        <w:rPr>
          <w:sz w:val="24"/>
          <w:szCs w:val="24"/>
        </w:rPr>
        <w:t xml:space="preserve"> and maintain</w:t>
      </w:r>
      <w:r w:rsidRPr="0034727D">
        <w:rPr>
          <w:sz w:val="24"/>
          <w:szCs w:val="24"/>
        </w:rPr>
        <w:t xml:space="preserve"> regular </w:t>
      </w:r>
      <w:r>
        <w:rPr>
          <w:sz w:val="24"/>
          <w:szCs w:val="24"/>
        </w:rPr>
        <w:t>contact</w:t>
      </w:r>
      <w:r w:rsidRPr="0034727D">
        <w:rPr>
          <w:sz w:val="24"/>
          <w:szCs w:val="24"/>
        </w:rPr>
        <w:t xml:space="preserve"> with </w:t>
      </w:r>
      <w:r w:rsidR="007F10BF">
        <w:rPr>
          <w:sz w:val="24"/>
          <w:szCs w:val="24"/>
        </w:rPr>
        <w:t>the Massachusetts Emergency Management Agency (</w:t>
      </w:r>
      <w:r w:rsidRPr="0034727D">
        <w:rPr>
          <w:sz w:val="24"/>
          <w:szCs w:val="24"/>
        </w:rPr>
        <w:t>MEMA</w:t>
      </w:r>
      <w:r w:rsidR="007F10BF">
        <w:rPr>
          <w:sz w:val="24"/>
          <w:szCs w:val="24"/>
        </w:rPr>
        <w:t>)</w:t>
      </w:r>
      <w:r w:rsidRPr="0034727D">
        <w:rPr>
          <w:sz w:val="24"/>
          <w:szCs w:val="24"/>
        </w:rPr>
        <w:t xml:space="preserve">, </w:t>
      </w:r>
      <w:r w:rsidR="007F10BF">
        <w:rPr>
          <w:sz w:val="24"/>
          <w:szCs w:val="24"/>
        </w:rPr>
        <w:t>the Nuclear Regulatory Committee (</w:t>
      </w:r>
      <w:r w:rsidRPr="0034727D">
        <w:rPr>
          <w:sz w:val="24"/>
          <w:szCs w:val="24"/>
        </w:rPr>
        <w:t>NRC</w:t>
      </w:r>
      <w:r w:rsidR="007F10BF">
        <w:rPr>
          <w:sz w:val="24"/>
          <w:szCs w:val="24"/>
        </w:rPr>
        <w:t>)</w:t>
      </w:r>
      <w:r w:rsidRPr="0034727D">
        <w:rPr>
          <w:sz w:val="24"/>
          <w:szCs w:val="24"/>
        </w:rPr>
        <w:t>, and Entergy officials to discuss on-going in</w:t>
      </w:r>
      <w:r w:rsidR="003B6594">
        <w:rPr>
          <w:sz w:val="24"/>
          <w:szCs w:val="24"/>
        </w:rPr>
        <w:t>vestigation activities at PNPS.</w:t>
      </w:r>
    </w:p>
    <w:p w:rsidR="002517F1" w:rsidRDefault="002517F1" w:rsidP="00E67EE6">
      <w:pPr>
        <w:spacing w:after="0" w:line="240" w:lineRule="auto"/>
        <w:rPr>
          <w:rStyle w:val="Strong"/>
        </w:rPr>
      </w:pPr>
    </w:p>
    <w:p w:rsidR="00E67EE6" w:rsidRDefault="00E67EE6" w:rsidP="004975D9">
      <w:pPr>
        <w:spacing w:after="0" w:line="240" w:lineRule="auto"/>
        <w:rPr>
          <w:rStyle w:val="Strong"/>
          <w:caps/>
          <w:sz w:val="24"/>
          <w:szCs w:val="24"/>
        </w:rPr>
      </w:pPr>
      <w:r w:rsidRPr="0034727D">
        <w:rPr>
          <w:rStyle w:val="Strong"/>
          <w:caps/>
          <w:sz w:val="24"/>
          <w:szCs w:val="24"/>
        </w:rPr>
        <w:t>Introduction</w:t>
      </w:r>
    </w:p>
    <w:p w:rsidR="004975D9" w:rsidRDefault="004975D9" w:rsidP="004975D9">
      <w:pPr>
        <w:spacing w:after="0" w:line="160" w:lineRule="exact"/>
        <w:rPr>
          <w:rStyle w:val="Strong"/>
          <w:caps/>
          <w:sz w:val="24"/>
          <w:szCs w:val="24"/>
        </w:rPr>
      </w:pPr>
    </w:p>
    <w:p w:rsidR="00E67EE6" w:rsidRPr="00FF79E2" w:rsidRDefault="00E67EE6" w:rsidP="004975D9">
      <w:pPr>
        <w:spacing w:after="0" w:line="240" w:lineRule="auto"/>
        <w:jc w:val="both"/>
        <w:rPr>
          <w:sz w:val="18"/>
          <w:szCs w:val="18"/>
        </w:rPr>
      </w:pPr>
      <w:r w:rsidRPr="0034727D">
        <w:rPr>
          <w:sz w:val="24"/>
          <w:szCs w:val="24"/>
        </w:rPr>
        <w:t xml:space="preserve">This </w:t>
      </w:r>
      <w:r w:rsidR="008363F1">
        <w:rPr>
          <w:sz w:val="24"/>
          <w:szCs w:val="24"/>
        </w:rPr>
        <w:t xml:space="preserve">document </w:t>
      </w:r>
      <w:r w:rsidRPr="0034727D">
        <w:rPr>
          <w:sz w:val="24"/>
          <w:szCs w:val="24"/>
        </w:rPr>
        <w:t xml:space="preserve">describes recent results </w:t>
      </w:r>
      <w:r>
        <w:rPr>
          <w:sz w:val="24"/>
          <w:szCs w:val="24"/>
        </w:rPr>
        <w:t xml:space="preserve">of </w:t>
      </w:r>
      <w:r w:rsidRPr="0034727D">
        <w:rPr>
          <w:sz w:val="24"/>
          <w:szCs w:val="24"/>
        </w:rPr>
        <w:t>the ongoing investigation of tritium in groundwater and surface water at the Pilgrim Nuclear Power Station (PNPS) located in Plymouth, MA.  The history of the tritium in groundwater investigation and previous investigation updates are available online</w:t>
      </w:r>
      <w:r>
        <w:rPr>
          <w:rStyle w:val="FootnoteReference"/>
          <w:sz w:val="24"/>
          <w:szCs w:val="24"/>
        </w:rPr>
        <w:footnoteReference w:id="1"/>
      </w:r>
      <w:r>
        <w:rPr>
          <w:sz w:val="24"/>
          <w:szCs w:val="24"/>
        </w:rPr>
        <w:t>.</w:t>
      </w:r>
    </w:p>
    <w:p w:rsidR="00E67EE6" w:rsidRDefault="00E67EE6" w:rsidP="00E67EE6">
      <w:pPr>
        <w:spacing w:after="0" w:line="240" w:lineRule="auto"/>
        <w:jc w:val="both"/>
      </w:pPr>
    </w:p>
    <w:p w:rsidR="00E67EE6" w:rsidRPr="0034727D" w:rsidRDefault="00E67EE6" w:rsidP="00E67EE6">
      <w:pPr>
        <w:spacing w:after="0" w:line="240" w:lineRule="auto"/>
        <w:jc w:val="both"/>
        <w:rPr>
          <w:sz w:val="24"/>
          <w:szCs w:val="24"/>
        </w:rPr>
      </w:pPr>
      <w:r w:rsidRPr="0034727D">
        <w:rPr>
          <w:sz w:val="24"/>
          <w:szCs w:val="24"/>
        </w:rPr>
        <w:t xml:space="preserve">Entergy collects samples at 23 groundwater monitoring wells and two surface water locations at weekly, </w:t>
      </w:r>
      <w:r>
        <w:rPr>
          <w:sz w:val="24"/>
          <w:szCs w:val="24"/>
        </w:rPr>
        <w:t>monthly</w:t>
      </w:r>
      <w:r w:rsidRPr="0034727D">
        <w:rPr>
          <w:sz w:val="24"/>
          <w:szCs w:val="24"/>
        </w:rPr>
        <w:t xml:space="preserve">, and quarterly intervals.  The sampling frequency is based on recent </w:t>
      </w:r>
      <w:r>
        <w:rPr>
          <w:sz w:val="24"/>
          <w:szCs w:val="24"/>
        </w:rPr>
        <w:t xml:space="preserve">trends </w:t>
      </w:r>
      <w:r w:rsidRPr="0034727D">
        <w:rPr>
          <w:sz w:val="24"/>
          <w:szCs w:val="24"/>
        </w:rPr>
        <w:t xml:space="preserve">and historical </w:t>
      </w:r>
      <w:r>
        <w:rPr>
          <w:sz w:val="24"/>
          <w:szCs w:val="24"/>
        </w:rPr>
        <w:t xml:space="preserve">analysis </w:t>
      </w:r>
      <w:r w:rsidRPr="0034727D">
        <w:rPr>
          <w:sz w:val="24"/>
          <w:szCs w:val="24"/>
        </w:rPr>
        <w:t xml:space="preserve">of </w:t>
      </w:r>
      <w:r>
        <w:rPr>
          <w:sz w:val="24"/>
          <w:szCs w:val="24"/>
        </w:rPr>
        <w:lastRenderedPageBreak/>
        <w:t>possible</w:t>
      </w:r>
      <w:r w:rsidRPr="0034727D">
        <w:rPr>
          <w:sz w:val="24"/>
          <w:szCs w:val="24"/>
        </w:rPr>
        <w:t xml:space="preserve"> groundwater sources of tritium.  Once collected, Entergy sends the samples to an independent analytical lab, </w:t>
      </w:r>
      <w:r>
        <w:rPr>
          <w:sz w:val="24"/>
          <w:szCs w:val="24"/>
        </w:rPr>
        <w:t>Teledyne,</w:t>
      </w:r>
      <w:r w:rsidRPr="0034727D">
        <w:rPr>
          <w:sz w:val="24"/>
          <w:szCs w:val="24"/>
        </w:rPr>
        <w:t xml:space="preserve"> and provides a duplicate (or “split”) sample to MDPH for analysis at the Massachusetts Environmental Radiation Lab (MERL).  Entergy reports the </w:t>
      </w:r>
      <w:r>
        <w:rPr>
          <w:sz w:val="24"/>
          <w:szCs w:val="24"/>
        </w:rPr>
        <w:t xml:space="preserve">Teledyne </w:t>
      </w:r>
      <w:r w:rsidRPr="0034727D">
        <w:rPr>
          <w:sz w:val="24"/>
          <w:szCs w:val="24"/>
        </w:rPr>
        <w:t>results to MDPH, MEMA, and NRC officials.</w:t>
      </w:r>
    </w:p>
    <w:p w:rsidR="00E67EE6" w:rsidRPr="0034727D" w:rsidRDefault="00E67EE6" w:rsidP="00E67EE6">
      <w:pPr>
        <w:spacing w:after="0" w:line="240" w:lineRule="auto"/>
        <w:jc w:val="both"/>
        <w:rPr>
          <w:sz w:val="24"/>
          <w:szCs w:val="24"/>
        </w:rPr>
      </w:pPr>
    </w:p>
    <w:p w:rsidR="00E67EE6" w:rsidRDefault="00E67EE6" w:rsidP="00E67EE6">
      <w:pPr>
        <w:spacing w:after="0" w:line="240" w:lineRule="auto"/>
        <w:jc w:val="both"/>
        <w:rPr>
          <w:sz w:val="24"/>
          <w:szCs w:val="24"/>
        </w:rPr>
      </w:pPr>
      <w:r>
        <w:rPr>
          <w:sz w:val="24"/>
          <w:szCs w:val="24"/>
        </w:rPr>
        <w:t xml:space="preserve">This </w:t>
      </w:r>
      <w:r w:rsidR="008363F1">
        <w:rPr>
          <w:sz w:val="24"/>
          <w:szCs w:val="24"/>
        </w:rPr>
        <w:t xml:space="preserve">letter </w:t>
      </w:r>
      <w:r>
        <w:rPr>
          <w:sz w:val="24"/>
          <w:szCs w:val="24"/>
        </w:rPr>
        <w:t xml:space="preserve">updates </w:t>
      </w:r>
      <w:r w:rsidRPr="0034727D">
        <w:rPr>
          <w:sz w:val="24"/>
          <w:szCs w:val="24"/>
        </w:rPr>
        <w:t xml:space="preserve">results from both Entergy and MERL for sampling performed </w:t>
      </w:r>
      <w:r>
        <w:rPr>
          <w:sz w:val="24"/>
          <w:szCs w:val="24"/>
        </w:rPr>
        <w:t xml:space="preserve">during the fourth quarter </w:t>
      </w:r>
      <w:r w:rsidRPr="0034727D">
        <w:rPr>
          <w:sz w:val="24"/>
          <w:szCs w:val="24"/>
        </w:rPr>
        <w:t xml:space="preserve">of 2015.  These results </w:t>
      </w:r>
      <w:r>
        <w:rPr>
          <w:sz w:val="24"/>
          <w:szCs w:val="24"/>
        </w:rPr>
        <w:t xml:space="preserve">were </w:t>
      </w:r>
      <w:r w:rsidRPr="0034727D">
        <w:rPr>
          <w:sz w:val="24"/>
          <w:szCs w:val="24"/>
        </w:rPr>
        <w:t xml:space="preserve">compared to </w:t>
      </w:r>
      <w:r w:rsidR="003D0BDD">
        <w:rPr>
          <w:sz w:val="24"/>
          <w:szCs w:val="24"/>
        </w:rPr>
        <w:t xml:space="preserve">conservative (health protective) </w:t>
      </w:r>
      <w:r w:rsidRPr="0034727D">
        <w:rPr>
          <w:sz w:val="24"/>
          <w:szCs w:val="24"/>
        </w:rPr>
        <w:t>screening levels of 3,000 picocuries per liter (pCi/L), or 1/10</w:t>
      </w:r>
      <w:r w:rsidRPr="0034727D">
        <w:rPr>
          <w:sz w:val="24"/>
          <w:szCs w:val="24"/>
          <w:vertAlign w:val="superscript"/>
        </w:rPr>
        <w:t>th</w:t>
      </w:r>
      <w:r w:rsidRPr="0034727D">
        <w:rPr>
          <w:sz w:val="24"/>
          <w:szCs w:val="24"/>
        </w:rPr>
        <w:t xml:space="preserve"> the </w:t>
      </w:r>
      <w:r w:rsidR="008363F1">
        <w:rPr>
          <w:sz w:val="24"/>
          <w:szCs w:val="24"/>
        </w:rPr>
        <w:t>NRC-</w:t>
      </w:r>
      <w:r w:rsidRPr="0034727D">
        <w:rPr>
          <w:sz w:val="24"/>
          <w:szCs w:val="24"/>
        </w:rPr>
        <w:t xml:space="preserve">approved level of tritium in non-drinking water sources; as well as the US </w:t>
      </w:r>
      <w:r w:rsidR="003D0BDD" w:rsidRPr="003D0BDD">
        <w:rPr>
          <w:sz w:val="24"/>
          <w:szCs w:val="24"/>
        </w:rPr>
        <w:t>Environmental Protection Agency</w:t>
      </w:r>
      <w:r w:rsidR="003D0BDD">
        <w:rPr>
          <w:sz w:val="24"/>
          <w:szCs w:val="24"/>
        </w:rPr>
        <w:t xml:space="preserve"> (EPA)</w:t>
      </w:r>
      <w:r w:rsidRPr="0034727D">
        <w:rPr>
          <w:sz w:val="24"/>
          <w:szCs w:val="24"/>
        </w:rPr>
        <w:t xml:space="preserve"> drinking water standard for tritium of </w:t>
      </w:r>
      <w:r w:rsidR="003D0BDD">
        <w:rPr>
          <w:sz w:val="24"/>
          <w:szCs w:val="24"/>
        </w:rPr>
        <w:t xml:space="preserve">20,000 pCi/L.  The </w:t>
      </w:r>
      <w:r w:rsidRPr="0034727D">
        <w:rPr>
          <w:sz w:val="24"/>
          <w:szCs w:val="24"/>
        </w:rPr>
        <w:t xml:space="preserve">closest </w:t>
      </w:r>
      <w:r>
        <w:rPr>
          <w:sz w:val="24"/>
          <w:szCs w:val="24"/>
        </w:rPr>
        <w:t xml:space="preserve">municipal </w:t>
      </w:r>
      <w:r w:rsidRPr="0034727D">
        <w:rPr>
          <w:sz w:val="24"/>
          <w:szCs w:val="24"/>
        </w:rPr>
        <w:t>drinking water wells are 2.5 miles from PNPS and are not expected to be impacted by on-site tritium</w:t>
      </w:r>
      <w:r>
        <w:rPr>
          <w:sz w:val="24"/>
          <w:szCs w:val="24"/>
        </w:rPr>
        <w:t xml:space="preserve"> sources</w:t>
      </w:r>
      <w:r w:rsidR="00FF744E">
        <w:rPr>
          <w:sz w:val="24"/>
          <w:szCs w:val="24"/>
        </w:rPr>
        <w:t>.</w:t>
      </w:r>
    </w:p>
    <w:p w:rsidR="002517F1" w:rsidRDefault="002517F1" w:rsidP="00E67EE6">
      <w:pPr>
        <w:spacing w:after="0" w:line="240" w:lineRule="auto"/>
        <w:jc w:val="both"/>
        <w:rPr>
          <w:sz w:val="24"/>
          <w:szCs w:val="24"/>
        </w:rPr>
      </w:pPr>
    </w:p>
    <w:p w:rsidR="00E67EE6" w:rsidRDefault="00E67EE6" w:rsidP="004975D9">
      <w:pPr>
        <w:keepNext/>
        <w:spacing w:after="0" w:line="240" w:lineRule="auto"/>
        <w:rPr>
          <w:rStyle w:val="Strong"/>
          <w:caps/>
          <w:sz w:val="24"/>
          <w:szCs w:val="24"/>
        </w:rPr>
      </w:pPr>
      <w:r w:rsidRPr="0034727D">
        <w:rPr>
          <w:rStyle w:val="Strong"/>
          <w:caps/>
          <w:sz w:val="24"/>
          <w:szCs w:val="24"/>
        </w:rPr>
        <w:t>Results</w:t>
      </w:r>
    </w:p>
    <w:p w:rsidR="004975D9" w:rsidRPr="0034727D" w:rsidRDefault="004975D9" w:rsidP="004975D9">
      <w:pPr>
        <w:keepNext/>
        <w:spacing w:after="0" w:line="160" w:lineRule="exact"/>
        <w:rPr>
          <w:rStyle w:val="Strong"/>
          <w:caps/>
          <w:sz w:val="24"/>
          <w:szCs w:val="24"/>
        </w:rPr>
      </w:pPr>
    </w:p>
    <w:p w:rsidR="00E67EE6" w:rsidRDefault="00E67EE6" w:rsidP="004975D9">
      <w:pPr>
        <w:spacing w:after="0" w:line="240" w:lineRule="auto"/>
        <w:jc w:val="both"/>
        <w:rPr>
          <w:sz w:val="24"/>
          <w:szCs w:val="24"/>
        </w:rPr>
      </w:pPr>
      <w:r w:rsidRPr="0034727D">
        <w:rPr>
          <w:sz w:val="24"/>
          <w:szCs w:val="24"/>
        </w:rPr>
        <w:t>Of the 23 on-site groundwater monitoring wells that are routinely monitored</w:t>
      </w:r>
      <w:r w:rsidRPr="0034727D">
        <w:rPr>
          <w:rStyle w:val="FootnoteReference"/>
          <w:sz w:val="24"/>
          <w:szCs w:val="24"/>
        </w:rPr>
        <w:footnoteReference w:id="2"/>
      </w:r>
      <w:r w:rsidRPr="0034727D">
        <w:rPr>
          <w:sz w:val="24"/>
          <w:szCs w:val="24"/>
        </w:rPr>
        <w:t xml:space="preserve">, </w:t>
      </w:r>
      <w:r>
        <w:rPr>
          <w:sz w:val="24"/>
          <w:szCs w:val="24"/>
        </w:rPr>
        <w:t xml:space="preserve">only MW-216 had </w:t>
      </w:r>
      <w:r w:rsidRPr="0034727D">
        <w:rPr>
          <w:sz w:val="24"/>
          <w:szCs w:val="24"/>
        </w:rPr>
        <w:t xml:space="preserve">levels of tritium </w:t>
      </w:r>
      <w:r>
        <w:rPr>
          <w:sz w:val="24"/>
          <w:szCs w:val="24"/>
        </w:rPr>
        <w:t>detected</w:t>
      </w:r>
      <w:r w:rsidRPr="0034727D">
        <w:rPr>
          <w:sz w:val="24"/>
          <w:szCs w:val="24"/>
        </w:rPr>
        <w:t xml:space="preserve"> above 3,000 picocuries per liter (pCi/L)</w:t>
      </w:r>
      <w:r>
        <w:rPr>
          <w:sz w:val="24"/>
          <w:szCs w:val="24"/>
        </w:rPr>
        <w:t xml:space="preserve"> during the fourth quarter. All results were well below the </w:t>
      </w:r>
      <w:r w:rsidR="003D0BDD">
        <w:rPr>
          <w:sz w:val="24"/>
          <w:szCs w:val="24"/>
        </w:rPr>
        <w:t>EPA</w:t>
      </w:r>
      <w:r>
        <w:rPr>
          <w:sz w:val="24"/>
          <w:szCs w:val="24"/>
        </w:rPr>
        <w:t xml:space="preserve"> drinking water standard of 20,000 pCi/L. Results </w:t>
      </w:r>
      <w:r w:rsidRPr="0034727D">
        <w:rPr>
          <w:sz w:val="24"/>
          <w:szCs w:val="24"/>
        </w:rPr>
        <w:t xml:space="preserve">for the </w:t>
      </w:r>
      <w:r>
        <w:rPr>
          <w:sz w:val="24"/>
          <w:szCs w:val="24"/>
        </w:rPr>
        <w:t xml:space="preserve">fourth quarter </w:t>
      </w:r>
      <w:r w:rsidRPr="0034727D">
        <w:rPr>
          <w:sz w:val="24"/>
          <w:szCs w:val="24"/>
        </w:rPr>
        <w:t xml:space="preserve">of 2015 </w:t>
      </w:r>
      <w:r>
        <w:rPr>
          <w:sz w:val="24"/>
          <w:szCs w:val="24"/>
        </w:rPr>
        <w:t xml:space="preserve">showed </w:t>
      </w:r>
      <w:r w:rsidRPr="0034727D">
        <w:rPr>
          <w:sz w:val="24"/>
          <w:szCs w:val="24"/>
        </w:rPr>
        <w:t xml:space="preserve">continued stabilization </w:t>
      </w:r>
      <w:r>
        <w:rPr>
          <w:sz w:val="24"/>
          <w:szCs w:val="24"/>
        </w:rPr>
        <w:t xml:space="preserve">and reduction </w:t>
      </w:r>
      <w:r w:rsidRPr="0034727D">
        <w:rPr>
          <w:sz w:val="24"/>
          <w:szCs w:val="24"/>
        </w:rPr>
        <w:t xml:space="preserve">in the </w:t>
      </w:r>
      <w:r w:rsidRPr="005B1653">
        <w:rPr>
          <w:sz w:val="24"/>
          <w:szCs w:val="24"/>
        </w:rPr>
        <w:t>tritium levels</w:t>
      </w:r>
      <w:r w:rsidRPr="0034727D">
        <w:rPr>
          <w:sz w:val="24"/>
          <w:szCs w:val="24"/>
        </w:rPr>
        <w:t xml:space="preserve"> in </w:t>
      </w:r>
      <w:r w:rsidRPr="008363F1">
        <w:rPr>
          <w:i/>
          <w:sz w:val="24"/>
          <w:szCs w:val="24"/>
        </w:rPr>
        <w:t>weekly</w:t>
      </w:r>
      <w:r>
        <w:rPr>
          <w:sz w:val="24"/>
          <w:szCs w:val="24"/>
        </w:rPr>
        <w:t xml:space="preserve"> sampled wells.  </w:t>
      </w:r>
      <w:r w:rsidRPr="0034727D">
        <w:rPr>
          <w:sz w:val="24"/>
          <w:szCs w:val="24"/>
        </w:rPr>
        <w:t xml:space="preserve">Results for </w:t>
      </w:r>
      <w:r>
        <w:rPr>
          <w:sz w:val="24"/>
          <w:szCs w:val="24"/>
        </w:rPr>
        <w:t xml:space="preserve">the </w:t>
      </w:r>
      <w:r w:rsidR="00CB7053">
        <w:rPr>
          <w:sz w:val="24"/>
          <w:szCs w:val="24"/>
        </w:rPr>
        <w:t xml:space="preserve">three </w:t>
      </w:r>
      <w:r w:rsidR="00D4099A" w:rsidRPr="008363F1">
        <w:rPr>
          <w:i/>
          <w:sz w:val="24"/>
          <w:szCs w:val="24"/>
        </w:rPr>
        <w:t>monthly</w:t>
      </w:r>
      <w:r w:rsidR="00D4099A">
        <w:rPr>
          <w:sz w:val="24"/>
          <w:szCs w:val="24"/>
        </w:rPr>
        <w:t xml:space="preserve"> sampled </w:t>
      </w:r>
      <w:r w:rsidRPr="0034727D">
        <w:rPr>
          <w:sz w:val="24"/>
          <w:szCs w:val="24"/>
        </w:rPr>
        <w:t xml:space="preserve">wells ranged from levels </w:t>
      </w:r>
      <w:r>
        <w:rPr>
          <w:sz w:val="24"/>
          <w:szCs w:val="24"/>
        </w:rPr>
        <w:t xml:space="preserve">just over the detection limit </w:t>
      </w:r>
      <w:r w:rsidRPr="00191786">
        <w:rPr>
          <w:sz w:val="24"/>
          <w:szCs w:val="24"/>
        </w:rPr>
        <w:t>(~300 pCi/L),</w:t>
      </w:r>
      <w:r w:rsidRPr="0034727D">
        <w:rPr>
          <w:sz w:val="24"/>
          <w:szCs w:val="24"/>
        </w:rPr>
        <w:t xml:space="preserve"> </w:t>
      </w:r>
      <w:r w:rsidR="005B1653">
        <w:rPr>
          <w:sz w:val="24"/>
          <w:szCs w:val="24"/>
        </w:rPr>
        <w:t xml:space="preserve">to approximately </w:t>
      </w:r>
      <w:r w:rsidRPr="0034727D">
        <w:rPr>
          <w:sz w:val="24"/>
          <w:szCs w:val="24"/>
        </w:rPr>
        <w:t>1,000 pCi/L</w:t>
      </w:r>
      <w:r w:rsidR="005B1653">
        <w:rPr>
          <w:sz w:val="24"/>
          <w:szCs w:val="24"/>
        </w:rPr>
        <w:t>; MW-211 showed a late-</w:t>
      </w:r>
      <w:r>
        <w:rPr>
          <w:sz w:val="24"/>
          <w:szCs w:val="24"/>
        </w:rPr>
        <w:t xml:space="preserve">year increase to 1,990 </w:t>
      </w:r>
      <w:r w:rsidRPr="008B53F3">
        <w:rPr>
          <w:sz w:val="24"/>
          <w:szCs w:val="24"/>
        </w:rPr>
        <w:t xml:space="preserve">pCi/L.  </w:t>
      </w:r>
      <w:r w:rsidR="00520973">
        <w:rPr>
          <w:sz w:val="24"/>
          <w:szCs w:val="24"/>
        </w:rPr>
        <w:t xml:space="preserve">Results for </w:t>
      </w:r>
      <w:r w:rsidR="00D4099A" w:rsidRPr="008363F1">
        <w:rPr>
          <w:i/>
          <w:sz w:val="24"/>
          <w:szCs w:val="24"/>
        </w:rPr>
        <w:t>quarterly</w:t>
      </w:r>
      <w:r w:rsidR="00D4099A">
        <w:rPr>
          <w:sz w:val="24"/>
          <w:szCs w:val="24"/>
        </w:rPr>
        <w:t xml:space="preserve"> </w:t>
      </w:r>
      <w:r w:rsidR="00520973">
        <w:rPr>
          <w:sz w:val="24"/>
          <w:szCs w:val="24"/>
        </w:rPr>
        <w:t xml:space="preserve">monitored </w:t>
      </w:r>
      <w:r w:rsidR="00D4099A">
        <w:rPr>
          <w:sz w:val="24"/>
          <w:szCs w:val="24"/>
        </w:rPr>
        <w:t>well</w:t>
      </w:r>
      <w:r w:rsidR="006E438D">
        <w:rPr>
          <w:sz w:val="24"/>
          <w:szCs w:val="24"/>
        </w:rPr>
        <w:t>s</w:t>
      </w:r>
      <w:r w:rsidR="00D4099A">
        <w:rPr>
          <w:sz w:val="24"/>
          <w:szCs w:val="24"/>
        </w:rPr>
        <w:t xml:space="preserve"> </w:t>
      </w:r>
      <w:r w:rsidR="00520973">
        <w:rPr>
          <w:sz w:val="24"/>
          <w:szCs w:val="24"/>
        </w:rPr>
        <w:t>ranged from</w:t>
      </w:r>
      <w:r w:rsidR="00271E48">
        <w:rPr>
          <w:sz w:val="24"/>
          <w:szCs w:val="24"/>
        </w:rPr>
        <w:t xml:space="preserve"> levels that are not detectable</w:t>
      </w:r>
      <w:r w:rsidR="00520973">
        <w:rPr>
          <w:sz w:val="24"/>
          <w:szCs w:val="24"/>
        </w:rPr>
        <w:t xml:space="preserve"> to </w:t>
      </w:r>
      <w:r w:rsidR="00D4099A">
        <w:rPr>
          <w:sz w:val="24"/>
          <w:szCs w:val="24"/>
        </w:rPr>
        <w:t xml:space="preserve">635 </w:t>
      </w:r>
      <w:r w:rsidR="00520973">
        <w:rPr>
          <w:sz w:val="24"/>
          <w:szCs w:val="24"/>
        </w:rPr>
        <w:t xml:space="preserve">pCi/L. </w:t>
      </w:r>
      <w:r w:rsidRPr="008B53F3">
        <w:rPr>
          <w:sz w:val="24"/>
          <w:szCs w:val="24"/>
        </w:rPr>
        <w:t xml:space="preserve">No tritium </w:t>
      </w:r>
      <w:r w:rsidR="00D4099A">
        <w:rPr>
          <w:sz w:val="24"/>
          <w:szCs w:val="24"/>
        </w:rPr>
        <w:t xml:space="preserve">was </w:t>
      </w:r>
      <w:r w:rsidRPr="008B53F3">
        <w:rPr>
          <w:sz w:val="24"/>
          <w:szCs w:val="24"/>
        </w:rPr>
        <w:t>detected in surface water samples collected during the fourth quarter of 2015.</w:t>
      </w:r>
    </w:p>
    <w:p w:rsidR="00E67EE6" w:rsidRDefault="00E67EE6" w:rsidP="00E67EE6">
      <w:pPr>
        <w:spacing w:after="0" w:line="240" w:lineRule="auto"/>
        <w:jc w:val="both"/>
        <w:rPr>
          <w:sz w:val="24"/>
          <w:szCs w:val="24"/>
        </w:rPr>
      </w:pPr>
    </w:p>
    <w:p w:rsidR="00E67EE6" w:rsidRPr="00666820" w:rsidRDefault="00B232B7" w:rsidP="00E67EE6">
      <w:pPr>
        <w:spacing w:after="0" w:line="240" w:lineRule="auto"/>
        <w:jc w:val="both"/>
        <w:rPr>
          <w:sz w:val="24"/>
          <w:szCs w:val="24"/>
        </w:rPr>
      </w:pPr>
      <w:r>
        <w:rPr>
          <w:sz w:val="24"/>
          <w:szCs w:val="24"/>
        </w:rPr>
        <w:t>Entergy reported r</w:t>
      </w:r>
      <w:r w:rsidR="00E67EE6" w:rsidRPr="00666820">
        <w:rPr>
          <w:sz w:val="24"/>
          <w:szCs w:val="24"/>
        </w:rPr>
        <w:t xml:space="preserve">esults of gamma analysis of hard-to detect radionuclides </w:t>
      </w:r>
      <w:r w:rsidR="008822A9">
        <w:rPr>
          <w:sz w:val="24"/>
          <w:szCs w:val="24"/>
        </w:rPr>
        <w:t>f</w:t>
      </w:r>
      <w:r w:rsidR="00BC618D">
        <w:rPr>
          <w:sz w:val="24"/>
          <w:szCs w:val="24"/>
        </w:rPr>
        <w:t>or</w:t>
      </w:r>
      <w:r w:rsidR="008822A9">
        <w:rPr>
          <w:sz w:val="24"/>
          <w:szCs w:val="24"/>
        </w:rPr>
        <w:t xml:space="preserve"> </w:t>
      </w:r>
      <w:r>
        <w:rPr>
          <w:sz w:val="24"/>
          <w:szCs w:val="24"/>
        </w:rPr>
        <w:t xml:space="preserve">samples collected from all 23 groundwater </w:t>
      </w:r>
      <w:r w:rsidR="00BC618D">
        <w:rPr>
          <w:sz w:val="24"/>
          <w:szCs w:val="24"/>
        </w:rPr>
        <w:t xml:space="preserve">wells </w:t>
      </w:r>
      <w:r w:rsidR="008822A9">
        <w:rPr>
          <w:sz w:val="24"/>
          <w:szCs w:val="24"/>
        </w:rPr>
        <w:t xml:space="preserve">and 2 surface water </w:t>
      </w:r>
      <w:r>
        <w:rPr>
          <w:sz w:val="24"/>
          <w:szCs w:val="24"/>
        </w:rPr>
        <w:t xml:space="preserve">monitoring </w:t>
      </w:r>
      <w:r w:rsidR="00BC618D">
        <w:rPr>
          <w:sz w:val="24"/>
          <w:szCs w:val="24"/>
        </w:rPr>
        <w:t>locations</w:t>
      </w:r>
      <w:r>
        <w:rPr>
          <w:sz w:val="24"/>
          <w:szCs w:val="24"/>
        </w:rPr>
        <w:t xml:space="preserve"> in August 2015. No hard-to-detect radionuclides were detected in these samples with the exception of </w:t>
      </w:r>
      <w:r w:rsidR="00E67EE6">
        <w:rPr>
          <w:sz w:val="24"/>
          <w:szCs w:val="24"/>
        </w:rPr>
        <w:t xml:space="preserve">two </w:t>
      </w:r>
      <w:r w:rsidR="00E67EE6" w:rsidRPr="00666820">
        <w:rPr>
          <w:sz w:val="24"/>
          <w:szCs w:val="24"/>
        </w:rPr>
        <w:t>naturally-oc</w:t>
      </w:r>
      <w:r w:rsidR="00E67EE6">
        <w:rPr>
          <w:sz w:val="24"/>
          <w:szCs w:val="24"/>
        </w:rPr>
        <w:t>c</w:t>
      </w:r>
      <w:r w:rsidR="00E67EE6" w:rsidRPr="00666820">
        <w:rPr>
          <w:sz w:val="24"/>
          <w:szCs w:val="24"/>
        </w:rPr>
        <w:t>urring radionuclides</w:t>
      </w:r>
      <w:r w:rsidR="00E67EE6">
        <w:rPr>
          <w:sz w:val="24"/>
          <w:szCs w:val="24"/>
        </w:rPr>
        <w:t>: Ac</w:t>
      </w:r>
      <w:r w:rsidR="006E438D">
        <w:rPr>
          <w:sz w:val="24"/>
          <w:szCs w:val="24"/>
        </w:rPr>
        <w:t>-228</w:t>
      </w:r>
      <w:r w:rsidR="00E67EE6" w:rsidRPr="00666820">
        <w:rPr>
          <w:sz w:val="24"/>
          <w:szCs w:val="24"/>
        </w:rPr>
        <w:t xml:space="preserve"> a</w:t>
      </w:r>
      <w:r w:rsidR="00E67EE6">
        <w:rPr>
          <w:sz w:val="24"/>
          <w:szCs w:val="24"/>
        </w:rPr>
        <w:t>nd Th</w:t>
      </w:r>
      <w:r w:rsidR="00E67EE6" w:rsidRPr="00666820">
        <w:rPr>
          <w:sz w:val="24"/>
          <w:szCs w:val="24"/>
        </w:rPr>
        <w:t>-228</w:t>
      </w:r>
      <w:r w:rsidR="000F7936">
        <w:rPr>
          <w:sz w:val="24"/>
          <w:szCs w:val="24"/>
        </w:rPr>
        <w:t>,</w:t>
      </w:r>
      <w:r w:rsidR="00E67EE6" w:rsidRPr="00666820">
        <w:rPr>
          <w:sz w:val="24"/>
          <w:szCs w:val="24"/>
        </w:rPr>
        <w:t xml:space="preserve"> </w:t>
      </w:r>
      <w:r>
        <w:rPr>
          <w:sz w:val="24"/>
          <w:szCs w:val="24"/>
        </w:rPr>
        <w:t xml:space="preserve">in </w:t>
      </w:r>
      <w:r w:rsidRPr="00666820">
        <w:rPr>
          <w:sz w:val="24"/>
          <w:szCs w:val="24"/>
        </w:rPr>
        <w:t>MW</w:t>
      </w:r>
      <w:r>
        <w:rPr>
          <w:sz w:val="24"/>
          <w:szCs w:val="24"/>
        </w:rPr>
        <w:t>-</w:t>
      </w:r>
      <w:r w:rsidRPr="00666820">
        <w:rPr>
          <w:sz w:val="24"/>
          <w:szCs w:val="24"/>
        </w:rPr>
        <w:t>204</w:t>
      </w:r>
      <w:r>
        <w:rPr>
          <w:sz w:val="24"/>
          <w:szCs w:val="24"/>
        </w:rPr>
        <w:t xml:space="preserve"> and</w:t>
      </w:r>
      <w:r w:rsidR="00E67EE6" w:rsidRPr="00666820">
        <w:rPr>
          <w:sz w:val="24"/>
          <w:szCs w:val="24"/>
        </w:rPr>
        <w:t xml:space="preserve"> MW</w:t>
      </w:r>
      <w:r w:rsidR="00E67EE6">
        <w:rPr>
          <w:sz w:val="24"/>
          <w:szCs w:val="24"/>
        </w:rPr>
        <w:t>-217</w:t>
      </w:r>
      <w:r>
        <w:rPr>
          <w:sz w:val="24"/>
          <w:szCs w:val="24"/>
        </w:rPr>
        <w:t>, respectively</w:t>
      </w:r>
      <w:r w:rsidR="00E67EE6">
        <w:rPr>
          <w:sz w:val="24"/>
          <w:szCs w:val="24"/>
        </w:rPr>
        <w:t>. These were both measured at low levels j</w:t>
      </w:r>
      <w:r w:rsidR="00FF744E">
        <w:rPr>
          <w:sz w:val="24"/>
          <w:szCs w:val="24"/>
        </w:rPr>
        <w:t>ust above the detection limit.</w:t>
      </w:r>
    </w:p>
    <w:p w:rsidR="00E67EE6" w:rsidRDefault="00E67EE6" w:rsidP="00E67EE6">
      <w:pPr>
        <w:spacing w:after="0" w:line="240" w:lineRule="auto"/>
        <w:rPr>
          <w:sz w:val="24"/>
          <w:szCs w:val="24"/>
        </w:rPr>
      </w:pPr>
    </w:p>
    <w:p w:rsidR="00E67EE6" w:rsidRDefault="00E67EE6" w:rsidP="004975D9">
      <w:pPr>
        <w:spacing w:after="0" w:line="240" w:lineRule="auto"/>
        <w:rPr>
          <w:rStyle w:val="Emphasis"/>
          <w:b/>
          <w:i w:val="0"/>
          <w:caps/>
          <w:sz w:val="24"/>
          <w:szCs w:val="24"/>
        </w:rPr>
      </w:pPr>
      <w:r w:rsidRPr="00E67EE6">
        <w:rPr>
          <w:rStyle w:val="Emphasis"/>
          <w:b/>
          <w:i w:val="0"/>
          <w:caps/>
          <w:sz w:val="24"/>
          <w:szCs w:val="24"/>
        </w:rPr>
        <w:t>Discussion</w:t>
      </w:r>
    </w:p>
    <w:p w:rsidR="004975D9" w:rsidRPr="00E67EE6" w:rsidRDefault="004975D9" w:rsidP="004975D9">
      <w:pPr>
        <w:spacing w:after="0" w:line="160" w:lineRule="exact"/>
        <w:rPr>
          <w:rStyle w:val="Emphasis"/>
          <w:b/>
          <w:i w:val="0"/>
          <w:caps/>
          <w:sz w:val="24"/>
          <w:szCs w:val="24"/>
        </w:rPr>
      </w:pPr>
    </w:p>
    <w:p w:rsidR="00E67EE6" w:rsidRPr="0034727D" w:rsidRDefault="00283C5D" w:rsidP="004975D9">
      <w:pPr>
        <w:spacing w:after="0" w:line="240" w:lineRule="auto"/>
        <w:jc w:val="both"/>
        <w:rPr>
          <w:sz w:val="24"/>
          <w:szCs w:val="24"/>
        </w:rPr>
      </w:pPr>
      <w:r>
        <w:rPr>
          <w:sz w:val="24"/>
          <w:szCs w:val="24"/>
        </w:rPr>
        <w:t xml:space="preserve">Fourth quarter </w:t>
      </w:r>
      <w:r w:rsidR="00FB06E3">
        <w:rPr>
          <w:sz w:val="24"/>
          <w:szCs w:val="24"/>
        </w:rPr>
        <w:t xml:space="preserve">2015 </w:t>
      </w:r>
      <w:r>
        <w:rPr>
          <w:sz w:val="24"/>
          <w:szCs w:val="24"/>
        </w:rPr>
        <w:t>m</w:t>
      </w:r>
      <w:r w:rsidR="00E67EE6" w:rsidRPr="0034727D">
        <w:rPr>
          <w:sz w:val="24"/>
          <w:szCs w:val="24"/>
        </w:rPr>
        <w:t xml:space="preserve">onitoring results </w:t>
      </w:r>
      <w:r w:rsidR="00E67EE6">
        <w:rPr>
          <w:sz w:val="24"/>
          <w:szCs w:val="24"/>
        </w:rPr>
        <w:t xml:space="preserve">show </w:t>
      </w:r>
      <w:r w:rsidR="00E55734">
        <w:rPr>
          <w:sz w:val="24"/>
          <w:szCs w:val="24"/>
        </w:rPr>
        <w:t xml:space="preserve">cyclic fluctuations </w:t>
      </w:r>
      <w:r w:rsidR="00E67EE6" w:rsidRPr="0034727D">
        <w:rPr>
          <w:sz w:val="24"/>
          <w:szCs w:val="24"/>
        </w:rPr>
        <w:t xml:space="preserve">in the </w:t>
      </w:r>
      <w:r w:rsidR="00E55734">
        <w:rPr>
          <w:sz w:val="24"/>
          <w:szCs w:val="24"/>
        </w:rPr>
        <w:t xml:space="preserve">tritium </w:t>
      </w:r>
      <w:r w:rsidR="00E67EE6" w:rsidRPr="0034727D">
        <w:rPr>
          <w:sz w:val="24"/>
          <w:szCs w:val="24"/>
        </w:rPr>
        <w:t>levels in groundwater at PNPS</w:t>
      </w:r>
      <w:r w:rsidR="00E67EE6">
        <w:rPr>
          <w:sz w:val="24"/>
          <w:szCs w:val="24"/>
        </w:rPr>
        <w:t xml:space="preserve"> </w:t>
      </w:r>
      <w:r w:rsidR="00E67EE6" w:rsidRPr="00AB7C69">
        <w:rPr>
          <w:sz w:val="24"/>
          <w:szCs w:val="24"/>
        </w:rPr>
        <w:t xml:space="preserve">and an overall decrease in tritium since the investigation began in 2010. The investigation </w:t>
      </w:r>
      <w:r w:rsidR="00B232B7">
        <w:rPr>
          <w:sz w:val="24"/>
          <w:szCs w:val="24"/>
        </w:rPr>
        <w:t xml:space="preserve">continues to </w:t>
      </w:r>
      <w:r w:rsidR="00DA4BAF">
        <w:rPr>
          <w:sz w:val="24"/>
          <w:szCs w:val="24"/>
        </w:rPr>
        <w:t xml:space="preserve">focus </w:t>
      </w:r>
      <w:r w:rsidR="00E67EE6" w:rsidRPr="00AB7C69">
        <w:rPr>
          <w:sz w:val="24"/>
          <w:szCs w:val="24"/>
        </w:rPr>
        <w:t>on tritium detected in wells MW-216 and MW-218.</w:t>
      </w:r>
    </w:p>
    <w:p w:rsidR="00E67EE6" w:rsidRPr="0034727D" w:rsidRDefault="00E67EE6" w:rsidP="00E67EE6">
      <w:pPr>
        <w:spacing w:after="0" w:line="240" w:lineRule="auto"/>
        <w:jc w:val="both"/>
        <w:rPr>
          <w:sz w:val="24"/>
          <w:szCs w:val="24"/>
        </w:rPr>
      </w:pPr>
    </w:p>
    <w:p w:rsidR="00E67EE6" w:rsidRDefault="00E67EE6" w:rsidP="00E67EE6">
      <w:pPr>
        <w:spacing w:after="0" w:line="240" w:lineRule="auto"/>
        <w:jc w:val="both"/>
        <w:rPr>
          <w:sz w:val="24"/>
          <w:szCs w:val="24"/>
        </w:rPr>
      </w:pPr>
      <w:r>
        <w:rPr>
          <w:sz w:val="24"/>
          <w:szCs w:val="24"/>
        </w:rPr>
        <w:t>MDPH monitors weekly results for MW-216</w:t>
      </w:r>
      <w:r w:rsidR="008822A9">
        <w:rPr>
          <w:sz w:val="24"/>
          <w:szCs w:val="24"/>
        </w:rPr>
        <w:t xml:space="preserve">. This well has </w:t>
      </w:r>
      <w:r>
        <w:rPr>
          <w:sz w:val="24"/>
          <w:szCs w:val="24"/>
        </w:rPr>
        <w:t xml:space="preserve">historically shown </w:t>
      </w:r>
      <w:r w:rsidRPr="0034727D">
        <w:rPr>
          <w:sz w:val="24"/>
          <w:szCs w:val="24"/>
        </w:rPr>
        <w:t xml:space="preserve">cyclical fluctuations </w:t>
      </w:r>
      <w:r>
        <w:rPr>
          <w:sz w:val="24"/>
          <w:szCs w:val="24"/>
        </w:rPr>
        <w:t>in tritium levels</w:t>
      </w:r>
      <w:r w:rsidRPr="0034727D">
        <w:rPr>
          <w:sz w:val="24"/>
          <w:szCs w:val="24"/>
        </w:rPr>
        <w:t xml:space="preserve"> with higher </w:t>
      </w:r>
      <w:r>
        <w:rPr>
          <w:sz w:val="24"/>
          <w:szCs w:val="24"/>
        </w:rPr>
        <w:t xml:space="preserve">results </w:t>
      </w:r>
      <w:r w:rsidRPr="0034727D">
        <w:rPr>
          <w:sz w:val="24"/>
          <w:szCs w:val="24"/>
        </w:rPr>
        <w:t>detected during October and early November of each year (Figure 1</w:t>
      </w:r>
      <w:r w:rsidR="008822A9">
        <w:rPr>
          <w:sz w:val="24"/>
          <w:szCs w:val="24"/>
        </w:rPr>
        <w:t>(c)</w:t>
      </w:r>
      <w:r w:rsidRPr="0034727D">
        <w:rPr>
          <w:sz w:val="24"/>
          <w:szCs w:val="24"/>
        </w:rPr>
        <w:t xml:space="preserve">). </w:t>
      </w:r>
      <w:r>
        <w:rPr>
          <w:sz w:val="24"/>
          <w:szCs w:val="24"/>
        </w:rPr>
        <w:t>The 4</w:t>
      </w:r>
      <w:r w:rsidRPr="00AA4E2E">
        <w:rPr>
          <w:sz w:val="24"/>
          <w:szCs w:val="24"/>
          <w:vertAlign w:val="superscript"/>
        </w:rPr>
        <w:t>th</w:t>
      </w:r>
      <w:r>
        <w:rPr>
          <w:sz w:val="24"/>
          <w:szCs w:val="24"/>
        </w:rPr>
        <w:t xml:space="preserve"> quarter 2015 results showed the same </w:t>
      </w:r>
      <w:r w:rsidR="007F10BF">
        <w:rPr>
          <w:sz w:val="24"/>
          <w:szCs w:val="24"/>
        </w:rPr>
        <w:t xml:space="preserve">cyclic </w:t>
      </w:r>
      <w:r>
        <w:rPr>
          <w:sz w:val="24"/>
          <w:szCs w:val="24"/>
        </w:rPr>
        <w:t>trend at a low</w:t>
      </w:r>
      <w:r w:rsidR="006E438D">
        <w:rPr>
          <w:sz w:val="24"/>
          <w:szCs w:val="24"/>
        </w:rPr>
        <w:t>er magnitude (</w:t>
      </w:r>
      <w:r w:rsidR="00F4516E">
        <w:rPr>
          <w:sz w:val="24"/>
          <w:szCs w:val="24"/>
        </w:rPr>
        <w:t xml:space="preserve">from </w:t>
      </w:r>
      <w:r>
        <w:rPr>
          <w:sz w:val="24"/>
          <w:szCs w:val="24"/>
        </w:rPr>
        <w:t xml:space="preserve">2,480 </w:t>
      </w:r>
      <w:r w:rsidR="00F4516E">
        <w:rPr>
          <w:sz w:val="24"/>
          <w:szCs w:val="24"/>
        </w:rPr>
        <w:t xml:space="preserve">to </w:t>
      </w:r>
      <w:r>
        <w:rPr>
          <w:sz w:val="24"/>
          <w:szCs w:val="24"/>
        </w:rPr>
        <w:t>4,110 pCi/L</w:t>
      </w:r>
      <w:r w:rsidR="006E438D">
        <w:rPr>
          <w:sz w:val="24"/>
          <w:szCs w:val="24"/>
        </w:rPr>
        <w:t>)</w:t>
      </w:r>
      <w:r>
        <w:rPr>
          <w:sz w:val="24"/>
          <w:szCs w:val="24"/>
        </w:rPr>
        <w:t xml:space="preserve">. </w:t>
      </w:r>
      <w:r w:rsidR="000F7936">
        <w:rPr>
          <w:sz w:val="24"/>
          <w:szCs w:val="24"/>
        </w:rPr>
        <w:t xml:space="preserve"> </w:t>
      </w:r>
      <w:r w:rsidR="00B232B7">
        <w:rPr>
          <w:sz w:val="24"/>
          <w:szCs w:val="24"/>
        </w:rPr>
        <w:t xml:space="preserve">Entergy reports that residual water in the engineered “seismic gap” that bisects the Reactor Bay and Turbine building is believed to be the primary source of tritium detected in MW-216. </w:t>
      </w:r>
      <w:r>
        <w:rPr>
          <w:sz w:val="24"/>
          <w:szCs w:val="24"/>
        </w:rPr>
        <w:t xml:space="preserve">Following the resealing of the </w:t>
      </w:r>
      <w:r w:rsidRPr="0034727D">
        <w:rPr>
          <w:sz w:val="24"/>
          <w:szCs w:val="24"/>
        </w:rPr>
        <w:t>“seismic gap”</w:t>
      </w:r>
      <w:r w:rsidR="004E1054">
        <w:rPr>
          <w:sz w:val="24"/>
          <w:szCs w:val="24"/>
        </w:rPr>
        <w:t xml:space="preserve"> in </w:t>
      </w:r>
      <w:r w:rsidR="00303AC1">
        <w:rPr>
          <w:sz w:val="24"/>
          <w:szCs w:val="24"/>
        </w:rPr>
        <w:t>spring</w:t>
      </w:r>
      <w:r w:rsidR="000F7936">
        <w:rPr>
          <w:sz w:val="24"/>
          <w:szCs w:val="24"/>
        </w:rPr>
        <w:t xml:space="preserve"> </w:t>
      </w:r>
      <w:r w:rsidR="004E1054">
        <w:rPr>
          <w:sz w:val="24"/>
          <w:szCs w:val="24"/>
        </w:rPr>
        <w:t>2015</w:t>
      </w:r>
      <w:r w:rsidR="001B743F">
        <w:rPr>
          <w:sz w:val="24"/>
          <w:szCs w:val="24"/>
        </w:rPr>
        <w:t xml:space="preserve">, Entergy personnel </w:t>
      </w:r>
      <w:r w:rsidR="008822A9">
        <w:rPr>
          <w:sz w:val="24"/>
          <w:szCs w:val="24"/>
        </w:rPr>
        <w:t xml:space="preserve">have </w:t>
      </w:r>
      <w:r w:rsidR="001B743F">
        <w:rPr>
          <w:sz w:val="24"/>
          <w:szCs w:val="24"/>
        </w:rPr>
        <w:t>regularly conduct</w:t>
      </w:r>
      <w:r w:rsidR="008822A9">
        <w:rPr>
          <w:sz w:val="24"/>
          <w:szCs w:val="24"/>
        </w:rPr>
        <w:t>ed</w:t>
      </w:r>
      <w:r w:rsidR="001B743F">
        <w:rPr>
          <w:sz w:val="24"/>
          <w:szCs w:val="24"/>
        </w:rPr>
        <w:t xml:space="preserve"> physical inspections of the Condenser Bay during routine down-power events </w:t>
      </w:r>
      <w:r w:rsidR="004E1054">
        <w:rPr>
          <w:sz w:val="24"/>
          <w:szCs w:val="24"/>
        </w:rPr>
        <w:t>to</w:t>
      </w:r>
      <w:r w:rsidR="001B743F">
        <w:rPr>
          <w:sz w:val="24"/>
          <w:szCs w:val="24"/>
        </w:rPr>
        <w:t xml:space="preserve"> confirm </w:t>
      </w:r>
      <w:r w:rsidR="00303AC1">
        <w:rPr>
          <w:sz w:val="24"/>
          <w:szCs w:val="24"/>
        </w:rPr>
        <w:t xml:space="preserve">the area is dry and that no </w:t>
      </w:r>
      <w:r w:rsidR="001B743F">
        <w:rPr>
          <w:sz w:val="24"/>
          <w:szCs w:val="24"/>
        </w:rPr>
        <w:t>standing water is present</w:t>
      </w:r>
      <w:r w:rsidR="004E1054">
        <w:rPr>
          <w:sz w:val="24"/>
          <w:szCs w:val="24"/>
        </w:rPr>
        <w:t xml:space="preserve"> </w:t>
      </w:r>
      <w:r w:rsidR="00303AC1">
        <w:rPr>
          <w:sz w:val="24"/>
          <w:szCs w:val="24"/>
        </w:rPr>
        <w:t>to contribute to this pathway</w:t>
      </w:r>
      <w:r w:rsidR="001B743F">
        <w:rPr>
          <w:sz w:val="24"/>
          <w:szCs w:val="24"/>
        </w:rPr>
        <w:t>.</w:t>
      </w:r>
    </w:p>
    <w:p w:rsidR="00E67EE6" w:rsidRPr="0034727D" w:rsidRDefault="00E67EE6" w:rsidP="00E67EE6">
      <w:pPr>
        <w:spacing w:after="0" w:line="240" w:lineRule="auto"/>
        <w:jc w:val="both"/>
        <w:rPr>
          <w:sz w:val="24"/>
          <w:szCs w:val="24"/>
        </w:rPr>
      </w:pPr>
    </w:p>
    <w:p w:rsidR="00E67EE6" w:rsidRDefault="00E67EE6" w:rsidP="00E67EE6">
      <w:pPr>
        <w:spacing w:after="0" w:line="240" w:lineRule="auto"/>
        <w:jc w:val="both"/>
        <w:rPr>
          <w:sz w:val="24"/>
          <w:szCs w:val="24"/>
        </w:rPr>
      </w:pPr>
      <w:r w:rsidRPr="0034727D">
        <w:rPr>
          <w:sz w:val="24"/>
          <w:szCs w:val="24"/>
        </w:rPr>
        <w:lastRenderedPageBreak/>
        <w:t>MDPH monitor</w:t>
      </w:r>
      <w:r>
        <w:rPr>
          <w:sz w:val="24"/>
          <w:szCs w:val="24"/>
        </w:rPr>
        <w:t>s</w:t>
      </w:r>
      <w:r w:rsidRPr="0034727D">
        <w:rPr>
          <w:sz w:val="24"/>
          <w:szCs w:val="24"/>
        </w:rPr>
        <w:t xml:space="preserve"> weekly results for MW-218</w:t>
      </w:r>
      <w:r>
        <w:rPr>
          <w:sz w:val="24"/>
          <w:szCs w:val="24"/>
        </w:rPr>
        <w:t xml:space="preserve">, </w:t>
      </w:r>
      <w:r w:rsidRPr="0034727D">
        <w:rPr>
          <w:sz w:val="24"/>
          <w:szCs w:val="24"/>
        </w:rPr>
        <w:t xml:space="preserve">located on the west side of the Power Block.  Tritium levels in MW-218 have fluctuated </w:t>
      </w:r>
      <w:r>
        <w:rPr>
          <w:sz w:val="24"/>
          <w:szCs w:val="24"/>
        </w:rPr>
        <w:t>(</w:t>
      </w:r>
      <w:r w:rsidR="00F4516E">
        <w:rPr>
          <w:sz w:val="24"/>
          <w:szCs w:val="24"/>
        </w:rPr>
        <w:t xml:space="preserve">between </w:t>
      </w:r>
      <w:r w:rsidRPr="0034727D">
        <w:rPr>
          <w:sz w:val="24"/>
          <w:szCs w:val="24"/>
        </w:rPr>
        <w:t xml:space="preserve">962 </w:t>
      </w:r>
      <w:r w:rsidR="00F4516E">
        <w:rPr>
          <w:sz w:val="24"/>
          <w:szCs w:val="24"/>
        </w:rPr>
        <w:t xml:space="preserve">and </w:t>
      </w:r>
      <w:r w:rsidRPr="0034727D">
        <w:rPr>
          <w:sz w:val="24"/>
          <w:szCs w:val="24"/>
        </w:rPr>
        <w:t>5,831 pCi/L</w:t>
      </w:r>
      <w:r>
        <w:rPr>
          <w:sz w:val="24"/>
          <w:szCs w:val="24"/>
        </w:rPr>
        <w:t>)</w:t>
      </w:r>
      <w:r w:rsidRPr="0034727D">
        <w:rPr>
          <w:sz w:val="24"/>
          <w:szCs w:val="24"/>
        </w:rPr>
        <w:t xml:space="preserve"> since this well was installed in </w:t>
      </w:r>
      <w:r>
        <w:rPr>
          <w:sz w:val="24"/>
          <w:szCs w:val="24"/>
        </w:rPr>
        <w:t xml:space="preserve">September 2013, and </w:t>
      </w:r>
      <w:r w:rsidR="00E55734">
        <w:rPr>
          <w:sz w:val="24"/>
          <w:szCs w:val="24"/>
        </w:rPr>
        <w:t xml:space="preserve">stabilized </w:t>
      </w:r>
      <w:r>
        <w:rPr>
          <w:sz w:val="24"/>
          <w:szCs w:val="24"/>
        </w:rPr>
        <w:t>during the fourth quarter (</w:t>
      </w:r>
      <w:r w:rsidR="00F4516E">
        <w:rPr>
          <w:sz w:val="24"/>
          <w:szCs w:val="24"/>
        </w:rPr>
        <w:t xml:space="preserve">from </w:t>
      </w:r>
      <w:r>
        <w:rPr>
          <w:sz w:val="24"/>
          <w:szCs w:val="24"/>
        </w:rPr>
        <w:t xml:space="preserve">1,280 </w:t>
      </w:r>
      <w:r w:rsidR="00F4516E">
        <w:rPr>
          <w:sz w:val="24"/>
          <w:szCs w:val="24"/>
        </w:rPr>
        <w:t xml:space="preserve">to </w:t>
      </w:r>
      <w:r>
        <w:rPr>
          <w:sz w:val="24"/>
          <w:szCs w:val="24"/>
        </w:rPr>
        <w:t xml:space="preserve">1,880 pCi/L). </w:t>
      </w:r>
      <w:r w:rsidRPr="0034727D">
        <w:rPr>
          <w:sz w:val="24"/>
          <w:szCs w:val="24"/>
        </w:rPr>
        <w:t xml:space="preserve">This fall, Entergy worked with ERM to conduct pump tests of MW-218 with the stated goal of characterizing the groundwater flow at this well. </w:t>
      </w:r>
      <w:r w:rsidR="004E1054">
        <w:rPr>
          <w:sz w:val="24"/>
          <w:szCs w:val="24"/>
        </w:rPr>
        <w:t>R</w:t>
      </w:r>
      <w:r w:rsidR="00BC618D">
        <w:rPr>
          <w:sz w:val="24"/>
          <w:szCs w:val="24"/>
        </w:rPr>
        <w:t>eported r</w:t>
      </w:r>
      <w:r w:rsidR="004E1054">
        <w:rPr>
          <w:sz w:val="24"/>
          <w:szCs w:val="24"/>
        </w:rPr>
        <w:t xml:space="preserve">esults indicated </w:t>
      </w:r>
      <w:r w:rsidR="003755E9">
        <w:rPr>
          <w:sz w:val="24"/>
          <w:szCs w:val="24"/>
        </w:rPr>
        <w:t xml:space="preserve">the </w:t>
      </w:r>
      <w:r w:rsidR="004E1054">
        <w:rPr>
          <w:sz w:val="24"/>
          <w:szCs w:val="24"/>
        </w:rPr>
        <w:t xml:space="preserve">flow gradient in this well </w:t>
      </w:r>
      <w:r w:rsidR="003755E9">
        <w:rPr>
          <w:sz w:val="24"/>
          <w:szCs w:val="24"/>
        </w:rPr>
        <w:t>remained unchanged from</w:t>
      </w:r>
      <w:r w:rsidR="004E1054">
        <w:rPr>
          <w:sz w:val="24"/>
          <w:szCs w:val="24"/>
        </w:rPr>
        <w:t xml:space="preserve"> previous findings. </w:t>
      </w:r>
      <w:r w:rsidR="00D77C70">
        <w:rPr>
          <w:sz w:val="24"/>
          <w:szCs w:val="24"/>
        </w:rPr>
        <w:t>Entergy continues to attribute tritium detected in MW-218 to residual tritium present in up-gradient subsurface soil</w:t>
      </w:r>
      <w:r w:rsidR="004E1054">
        <w:rPr>
          <w:sz w:val="24"/>
          <w:szCs w:val="24"/>
        </w:rPr>
        <w:t xml:space="preserve"> </w:t>
      </w:r>
      <w:r w:rsidR="00D77C70">
        <w:rPr>
          <w:sz w:val="24"/>
          <w:szCs w:val="24"/>
        </w:rPr>
        <w:t>associated with a break in the neutralization sump discharge line identified in 2013.</w:t>
      </w:r>
    </w:p>
    <w:p w:rsidR="002517F1" w:rsidRDefault="002517F1" w:rsidP="00E67EE6">
      <w:pPr>
        <w:spacing w:after="0" w:line="240" w:lineRule="auto"/>
        <w:jc w:val="both"/>
        <w:rPr>
          <w:sz w:val="24"/>
          <w:szCs w:val="24"/>
        </w:rPr>
      </w:pPr>
    </w:p>
    <w:p w:rsidR="00F4516E" w:rsidRDefault="00E67EE6" w:rsidP="00E67EE6">
      <w:pPr>
        <w:spacing w:after="0" w:line="240" w:lineRule="auto"/>
        <w:jc w:val="both"/>
        <w:rPr>
          <w:sz w:val="24"/>
          <w:szCs w:val="24"/>
        </w:rPr>
      </w:pPr>
      <w:r w:rsidRPr="0034727D">
        <w:rPr>
          <w:sz w:val="24"/>
          <w:szCs w:val="24"/>
        </w:rPr>
        <w:t xml:space="preserve">Staff from the MDPH Bureau of Environmental Health </w:t>
      </w:r>
      <w:r>
        <w:rPr>
          <w:sz w:val="24"/>
          <w:szCs w:val="24"/>
        </w:rPr>
        <w:t>will continue</w:t>
      </w:r>
      <w:r w:rsidRPr="0034727D">
        <w:rPr>
          <w:sz w:val="24"/>
          <w:szCs w:val="24"/>
        </w:rPr>
        <w:t xml:space="preserve"> to review information obtained from the latest groundwater monitoring, and </w:t>
      </w:r>
      <w:r>
        <w:rPr>
          <w:sz w:val="24"/>
          <w:szCs w:val="24"/>
        </w:rPr>
        <w:t>will maintain</w:t>
      </w:r>
      <w:r w:rsidRPr="0034727D">
        <w:rPr>
          <w:sz w:val="24"/>
          <w:szCs w:val="24"/>
        </w:rPr>
        <w:t xml:space="preserve"> regular contact with MEMA, NRC, and Entergy to discuss on-going investigation activities at PNPS.</w:t>
      </w:r>
    </w:p>
    <w:p w:rsidR="00F4516E" w:rsidRDefault="00F4516E">
      <w:pPr>
        <w:rPr>
          <w:sz w:val="24"/>
          <w:szCs w:val="24"/>
        </w:rPr>
      </w:pPr>
      <w:r>
        <w:rPr>
          <w:sz w:val="24"/>
          <w:szCs w:val="24"/>
        </w:rPr>
        <w:br w:type="page"/>
      </w:r>
    </w:p>
    <w:p w:rsidR="00E67EE6" w:rsidRDefault="007F10BF" w:rsidP="00E67EE6">
      <w:pPr>
        <w:pStyle w:val="NormalWeb"/>
        <w:spacing w:before="0" w:beforeAutospacing="0" w:after="0" w:afterAutospacing="0"/>
        <w:rPr>
          <w:rFonts w:asciiTheme="minorHAnsi" w:eastAsiaTheme="minorEastAsia" w:hAnsiTheme="minorHAnsi" w:cstheme="minorBidi"/>
          <w:color w:val="000000" w:themeColor="text1"/>
          <w:kern w:val="24"/>
        </w:rPr>
      </w:pPr>
      <w:r w:rsidRPr="007F10BF">
        <w:rPr>
          <w:rFonts w:eastAsiaTheme="minorEastAsia"/>
          <w:noProof/>
        </w:rPr>
        <w:lastRenderedPageBreak/>
        <w:drawing>
          <wp:inline distT="0" distB="0" distL="0" distR="0" wp14:anchorId="7F49E281" wp14:editId="50835F41">
            <wp:extent cx="6858000" cy="6534150"/>
            <wp:effectExtent l="0" t="0" r="0" b="0"/>
            <wp:docPr id="1" name="Picture 1" descr="Figure 1.  Current and historic analytical testing results from tritium in groundwater samples collected from 4 weekly and 3 monthly monitoring wells (MW) at Pilgrim Nuclear Power Station (PNPS). Results for the 16 quarterly groundwater wells and 2 surface wells are not shown. Data are plotted separately based on PNPS operator (solid lines) or MDPH (dotted lines) produced results.  The solid red line at 3,000 pCi/L represents the screening level which is 1/10th of the 30,000 pCi/L NRC determined level of concern.  (a) Results from weekly samples collected during 2015 showing a maximum level of 4,247 on May 12, 2015 at MW-218; (b) Monthly well results for 2015 shows recent uptick for MW-211 to 1,990 pCi/L; (c) Historic monitoring results for MW-216; (d) Historic monitoring results for MW-218.  "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6534150"/>
                    </a:xfrm>
                    <a:prstGeom prst="rect">
                      <a:avLst/>
                    </a:prstGeom>
                    <a:noFill/>
                    <a:ln>
                      <a:noFill/>
                    </a:ln>
                  </pic:spPr>
                </pic:pic>
              </a:graphicData>
            </a:graphic>
          </wp:inline>
        </w:drawing>
      </w:r>
    </w:p>
    <w:p w:rsidR="00775151" w:rsidRDefault="00E67EE6" w:rsidP="00F4516E">
      <w:pPr>
        <w:pStyle w:val="NormalWeb"/>
        <w:spacing w:before="0" w:beforeAutospacing="0" w:after="0" w:afterAutospacing="0"/>
      </w:pPr>
      <w:r w:rsidRPr="00076204">
        <w:rPr>
          <w:rFonts w:asciiTheme="minorHAnsi" w:eastAsiaTheme="minorEastAsia" w:hAnsiTheme="minorHAnsi" w:cstheme="minorBidi"/>
          <w:color w:val="000000" w:themeColor="text1"/>
          <w:kern w:val="24"/>
        </w:rPr>
        <w:t xml:space="preserve">Figure 1.  Current and historic analytical testing results from tritium in groundwater samples collected from </w:t>
      </w:r>
      <w:r>
        <w:rPr>
          <w:rFonts w:asciiTheme="minorHAnsi" w:eastAsiaTheme="minorEastAsia" w:hAnsiTheme="minorHAnsi" w:cstheme="minorBidi"/>
          <w:color w:val="000000" w:themeColor="text1"/>
          <w:kern w:val="24"/>
        </w:rPr>
        <w:t xml:space="preserve">4 weekly and 3 monthly </w:t>
      </w:r>
      <w:r w:rsidRPr="00076204">
        <w:rPr>
          <w:rFonts w:asciiTheme="minorHAnsi" w:eastAsiaTheme="minorEastAsia" w:hAnsiTheme="minorHAnsi" w:cstheme="minorBidi"/>
          <w:color w:val="000000" w:themeColor="text1"/>
          <w:kern w:val="24"/>
        </w:rPr>
        <w:t>monitoring wells (MW) at Pilgri</w:t>
      </w:r>
      <w:r>
        <w:rPr>
          <w:rFonts w:asciiTheme="minorHAnsi" w:eastAsiaTheme="minorEastAsia" w:hAnsiTheme="minorHAnsi" w:cstheme="minorBidi"/>
          <w:color w:val="000000" w:themeColor="text1"/>
          <w:kern w:val="24"/>
        </w:rPr>
        <w:t xml:space="preserve">m Nuclear Power Station (PNPS). Results for the 16 quarterly groundwater wells and 2 surface wells are not shown. </w:t>
      </w:r>
      <w:r w:rsidRPr="00076204">
        <w:rPr>
          <w:rFonts w:asciiTheme="minorHAnsi" w:eastAsiaTheme="minorEastAsia" w:hAnsiTheme="minorHAnsi" w:cstheme="minorBidi"/>
          <w:color w:val="000000" w:themeColor="text1"/>
          <w:kern w:val="24"/>
        </w:rPr>
        <w:t xml:space="preserve">Data are plotted separately </w:t>
      </w:r>
      <w:r>
        <w:rPr>
          <w:rFonts w:asciiTheme="minorHAnsi" w:eastAsiaTheme="minorEastAsia" w:hAnsiTheme="minorHAnsi" w:cstheme="minorBidi"/>
          <w:color w:val="000000" w:themeColor="text1"/>
          <w:kern w:val="24"/>
        </w:rPr>
        <w:t>based on PNPS operator</w:t>
      </w:r>
      <w:r w:rsidRPr="00076204">
        <w:rPr>
          <w:rFonts w:asciiTheme="minorHAnsi" w:eastAsiaTheme="minorEastAsia" w:hAnsiTheme="minorHAnsi" w:cstheme="minorBidi"/>
          <w:color w:val="000000" w:themeColor="text1"/>
          <w:kern w:val="24"/>
        </w:rPr>
        <w:t xml:space="preserve"> (</w:t>
      </w:r>
      <w:r>
        <w:rPr>
          <w:rFonts w:asciiTheme="minorHAnsi" w:eastAsiaTheme="minorEastAsia" w:hAnsiTheme="minorHAnsi" w:cstheme="minorBidi"/>
          <w:color w:val="000000" w:themeColor="text1"/>
          <w:kern w:val="24"/>
        </w:rPr>
        <w:t xml:space="preserve">solid lines) or </w:t>
      </w:r>
      <w:r w:rsidRPr="00076204">
        <w:rPr>
          <w:rFonts w:asciiTheme="minorHAnsi" w:eastAsiaTheme="minorEastAsia" w:hAnsiTheme="minorHAnsi" w:cstheme="minorBidi"/>
          <w:color w:val="000000" w:themeColor="text1"/>
          <w:kern w:val="24"/>
        </w:rPr>
        <w:t xml:space="preserve">MDPH (dotted lines) produced results.  The solid red line </w:t>
      </w:r>
      <w:proofErr w:type="gramStart"/>
      <w:r w:rsidRPr="00076204">
        <w:rPr>
          <w:rFonts w:asciiTheme="minorHAnsi" w:eastAsiaTheme="minorEastAsia" w:hAnsiTheme="minorHAnsi" w:cstheme="minorBidi"/>
          <w:color w:val="000000" w:themeColor="text1"/>
          <w:kern w:val="24"/>
        </w:rPr>
        <w:t>at 3</w:t>
      </w:r>
      <w:r w:rsidR="00301D23">
        <w:rPr>
          <w:rFonts w:asciiTheme="minorHAnsi" w:eastAsiaTheme="minorEastAsia" w:hAnsiTheme="minorHAnsi" w:cstheme="minorBidi"/>
          <w:color w:val="000000" w:themeColor="text1"/>
          <w:kern w:val="24"/>
        </w:rPr>
        <w:t>,</w:t>
      </w:r>
      <w:r w:rsidRPr="00076204">
        <w:rPr>
          <w:rFonts w:asciiTheme="minorHAnsi" w:eastAsiaTheme="minorEastAsia" w:hAnsiTheme="minorHAnsi" w:cstheme="minorBidi"/>
          <w:color w:val="000000" w:themeColor="text1"/>
          <w:kern w:val="24"/>
        </w:rPr>
        <w:t>000 pCi/L</w:t>
      </w:r>
      <w:proofErr w:type="gramEnd"/>
      <w:r w:rsidRPr="00076204">
        <w:rPr>
          <w:rFonts w:asciiTheme="minorHAnsi" w:eastAsiaTheme="minorEastAsia" w:hAnsiTheme="minorHAnsi" w:cstheme="minorBidi"/>
          <w:color w:val="000000" w:themeColor="text1"/>
          <w:kern w:val="24"/>
        </w:rPr>
        <w:t xml:space="preserve"> represents the screening level </w:t>
      </w:r>
      <w:r>
        <w:rPr>
          <w:rFonts w:asciiTheme="minorHAnsi" w:eastAsiaTheme="minorEastAsia" w:hAnsiTheme="minorHAnsi" w:cstheme="minorBidi"/>
          <w:color w:val="000000" w:themeColor="text1"/>
          <w:kern w:val="24"/>
        </w:rPr>
        <w:t xml:space="preserve">which is </w:t>
      </w:r>
      <w:r w:rsidRPr="00076204">
        <w:rPr>
          <w:rFonts w:asciiTheme="minorHAnsi" w:eastAsiaTheme="minorEastAsia" w:hAnsiTheme="minorHAnsi" w:cstheme="minorBidi"/>
          <w:color w:val="000000" w:themeColor="text1"/>
          <w:kern w:val="24"/>
        </w:rPr>
        <w:t>1/10</w:t>
      </w:r>
      <w:r w:rsidRPr="00076204">
        <w:rPr>
          <w:rFonts w:asciiTheme="minorHAnsi" w:eastAsiaTheme="minorEastAsia" w:hAnsiTheme="minorHAnsi" w:cstheme="minorBidi"/>
          <w:color w:val="000000" w:themeColor="text1"/>
          <w:kern w:val="24"/>
          <w:vertAlign w:val="superscript"/>
        </w:rPr>
        <w:t>th</w:t>
      </w:r>
      <w:r w:rsidRPr="00076204">
        <w:rPr>
          <w:rFonts w:asciiTheme="minorHAnsi" w:eastAsiaTheme="minorEastAsia" w:hAnsiTheme="minorHAnsi" w:cstheme="minorBidi"/>
          <w:color w:val="000000" w:themeColor="text1"/>
          <w:kern w:val="24"/>
        </w:rPr>
        <w:t xml:space="preserve"> of the 30,000 pCi/L NRC determined level of concern.  (a) </w:t>
      </w:r>
      <w:r w:rsidR="008822A9">
        <w:rPr>
          <w:rFonts w:asciiTheme="minorHAnsi" w:eastAsiaTheme="minorEastAsia" w:hAnsiTheme="minorHAnsi" w:cstheme="minorBidi"/>
          <w:color w:val="000000" w:themeColor="text1"/>
          <w:kern w:val="24"/>
        </w:rPr>
        <w:t>R</w:t>
      </w:r>
      <w:r w:rsidRPr="00076204">
        <w:rPr>
          <w:rFonts w:asciiTheme="minorHAnsi" w:eastAsiaTheme="minorEastAsia" w:hAnsiTheme="minorHAnsi" w:cstheme="minorBidi"/>
          <w:color w:val="000000" w:themeColor="text1"/>
          <w:kern w:val="24"/>
        </w:rPr>
        <w:t xml:space="preserve">esults from weekly samples collected </w:t>
      </w:r>
      <w:r>
        <w:rPr>
          <w:rFonts w:asciiTheme="minorHAnsi" w:eastAsiaTheme="minorEastAsia" w:hAnsiTheme="minorHAnsi" w:cstheme="minorBidi"/>
          <w:color w:val="000000" w:themeColor="text1"/>
          <w:kern w:val="24"/>
        </w:rPr>
        <w:t xml:space="preserve">during </w:t>
      </w:r>
      <w:r w:rsidRPr="00076204">
        <w:rPr>
          <w:rFonts w:asciiTheme="minorHAnsi" w:eastAsiaTheme="minorEastAsia" w:hAnsiTheme="minorHAnsi" w:cstheme="minorBidi"/>
          <w:color w:val="000000" w:themeColor="text1"/>
          <w:kern w:val="24"/>
        </w:rPr>
        <w:t>2015 showing a maximum level of 4,247 on May 12, 2015</w:t>
      </w:r>
      <w:r>
        <w:rPr>
          <w:rFonts w:asciiTheme="minorHAnsi" w:eastAsiaTheme="minorEastAsia" w:hAnsiTheme="minorHAnsi" w:cstheme="minorBidi"/>
          <w:color w:val="000000" w:themeColor="text1"/>
          <w:kern w:val="24"/>
        </w:rPr>
        <w:t xml:space="preserve"> at MW-218</w:t>
      </w:r>
      <w:r w:rsidRPr="00076204">
        <w:rPr>
          <w:rFonts w:asciiTheme="minorHAnsi" w:eastAsiaTheme="minorEastAsia" w:hAnsiTheme="minorHAnsi" w:cstheme="minorBidi"/>
          <w:color w:val="000000" w:themeColor="text1"/>
          <w:kern w:val="24"/>
        </w:rPr>
        <w:t xml:space="preserve">; (b) </w:t>
      </w:r>
      <w:r w:rsidR="008363F1">
        <w:rPr>
          <w:rFonts w:asciiTheme="minorHAnsi" w:eastAsiaTheme="minorEastAsia" w:hAnsiTheme="minorHAnsi" w:cstheme="minorBidi"/>
          <w:color w:val="000000" w:themeColor="text1"/>
          <w:kern w:val="24"/>
        </w:rPr>
        <w:t>M</w:t>
      </w:r>
      <w:r w:rsidRPr="00076204">
        <w:rPr>
          <w:rFonts w:asciiTheme="minorHAnsi" w:eastAsiaTheme="minorEastAsia" w:hAnsiTheme="minorHAnsi" w:cstheme="minorBidi"/>
          <w:color w:val="000000" w:themeColor="text1"/>
          <w:kern w:val="24"/>
        </w:rPr>
        <w:t xml:space="preserve">onthly </w:t>
      </w:r>
      <w:r>
        <w:rPr>
          <w:rFonts w:asciiTheme="minorHAnsi" w:eastAsiaTheme="minorEastAsia" w:hAnsiTheme="minorHAnsi" w:cstheme="minorBidi"/>
          <w:color w:val="000000" w:themeColor="text1"/>
          <w:kern w:val="24"/>
        </w:rPr>
        <w:t xml:space="preserve">well </w:t>
      </w:r>
      <w:r w:rsidRPr="00076204">
        <w:rPr>
          <w:rFonts w:asciiTheme="minorHAnsi" w:eastAsiaTheme="minorEastAsia" w:hAnsiTheme="minorHAnsi" w:cstheme="minorBidi"/>
          <w:color w:val="000000" w:themeColor="text1"/>
          <w:kern w:val="24"/>
        </w:rPr>
        <w:t xml:space="preserve">results </w:t>
      </w:r>
      <w:r>
        <w:rPr>
          <w:rFonts w:asciiTheme="minorHAnsi" w:eastAsiaTheme="minorEastAsia" w:hAnsiTheme="minorHAnsi" w:cstheme="minorBidi"/>
          <w:color w:val="000000" w:themeColor="text1"/>
          <w:kern w:val="24"/>
        </w:rPr>
        <w:t>for 2</w:t>
      </w:r>
      <w:r w:rsidR="008363F1">
        <w:rPr>
          <w:rFonts w:asciiTheme="minorHAnsi" w:eastAsiaTheme="minorEastAsia" w:hAnsiTheme="minorHAnsi" w:cstheme="minorBidi"/>
          <w:color w:val="000000" w:themeColor="text1"/>
          <w:kern w:val="24"/>
        </w:rPr>
        <w:t xml:space="preserve">015 </w:t>
      </w:r>
      <w:r w:rsidR="008363F1" w:rsidRPr="00301D23">
        <w:rPr>
          <w:rFonts w:asciiTheme="minorHAnsi" w:eastAsiaTheme="minorEastAsia" w:hAnsiTheme="minorHAnsi" w:cstheme="minorBidi"/>
          <w:color w:val="000000" w:themeColor="text1"/>
          <w:kern w:val="24"/>
        </w:rPr>
        <w:t>shows recent</w:t>
      </w:r>
      <w:r w:rsidR="008363F1">
        <w:rPr>
          <w:rFonts w:asciiTheme="minorHAnsi" w:eastAsiaTheme="minorEastAsia" w:hAnsiTheme="minorHAnsi" w:cstheme="minorBidi"/>
          <w:color w:val="000000" w:themeColor="text1"/>
          <w:kern w:val="24"/>
        </w:rPr>
        <w:t xml:space="preserve"> </w:t>
      </w:r>
      <w:r>
        <w:rPr>
          <w:rFonts w:asciiTheme="minorHAnsi" w:eastAsiaTheme="minorEastAsia" w:hAnsiTheme="minorHAnsi" w:cstheme="minorBidi"/>
          <w:color w:val="000000" w:themeColor="text1"/>
          <w:kern w:val="24"/>
        </w:rPr>
        <w:t xml:space="preserve">uptick for MW-211 to 1,990 pCi/L; </w:t>
      </w:r>
      <w:r w:rsidRPr="00076204">
        <w:rPr>
          <w:rFonts w:asciiTheme="minorHAnsi" w:eastAsiaTheme="minorEastAsia" w:hAnsiTheme="minorHAnsi" w:cstheme="minorBidi"/>
          <w:color w:val="000000" w:themeColor="text1"/>
          <w:kern w:val="24"/>
        </w:rPr>
        <w:t>(c) Historic monitoring results for MW-216</w:t>
      </w:r>
      <w:r>
        <w:rPr>
          <w:rFonts w:asciiTheme="minorHAnsi" w:eastAsiaTheme="minorEastAsia" w:hAnsiTheme="minorHAnsi" w:cstheme="minorBidi"/>
          <w:color w:val="000000" w:themeColor="text1"/>
          <w:kern w:val="24"/>
        </w:rPr>
        <w:t>;</w:t>
      </w:r>
      <w:r w:rsidRPr="00076204">
        <w:rPr>
          <w:rFonts w:asciiTheme="minorHAnsi" w:eastAsiaTheme="minorEastAsia" w:hAnsiTheme="minorHAnsi" w:cstheme="minorBidi"/>
          <w:color w:val="000000" w:themeColor="text1"/>
          <w:kern w:val="24"/>
        </w:rPr>
        <w:t xml:space="preserve"> (d) Historic monitoring results for MW-218.  </w:t>
      </w:r>
    </w:p>
    <w:sectPr w:rsidR="00775151" w:rsidSect="00945DC3">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351" w:rsidRDefault="00847351" w:rsidP="00945DC3">
      <w:pPr>
        <w:spacing w:after="0" w:line="240" w:lineRule="auto"/>
      </w:pPr>
      <w:r>
        <w:separator/>
      </w:r>
    </w:p>
  </w:endnote>
  <w:endnote w:type="continuationSeparator" w:id="0">
    <w:p w:rsidR="00847351" w:rsidRDefault="00847351" w:rsidP="0094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84" w:rsidRPr="000C68A2" w:rsidRDefault="00D615E6" w:rsidP="000C68A2">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917501">
      <w:rPr>
        <w:noProof/>
        <w:sz w:val="18"/>
        <w:szCs w:val="18"/>
      </w:rPr>
      <w:t>pnps 3H update 042216</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351" w:rsidRDefault="00847351" w:rsidP="00945DC3">
      <w:pPr>
        <w:spacing w:after="0" w:line="240" w:lineRule="auto"/>
      </w:pPr>
      <w:r>
        <w:separator/>
      </w:r>
    </w:p>
  </w:footnote>
  <w:footnote w:type="continuationSeparator" w:id="0">
    <w:p w:rsidR="00847351" w:rsidRDefault="00847351" w:rsidP="00945DC3">
      <w:pPr>
        <w:spacing w:after="0" w:line="240" w:lineRule="auto"/>
      </w:pPr>
      <w:r>
        <w:continuationSeparator/>
      </w:r>
    </w:p>
  </w:footnote>
  <w:footnote w:id="1">
    <w:p w:rsidR="00E67EE6" w:rsidRDefault="00E67EE6" w:rsidP="00E67EE6">
      <w:pPr>
        <w:pStyle w:val="FootnoteText"/>
      </w:pPr>
      <w:r>
        <w:rPr>
          <w:rStyle w:val="FootnoteReference"/>
        </w:rPr>
        <w:footnoteRef/>
      </w:r>
      <w:r>
        <w:t xml:space="preserve"> Previous </w:t>
      </w:r>
      <w:r w:rsidRPr="0066210B">
        <w:t>PNPS Tritium in Groundwater Investigation Update</w:t>
      </w:r>
      <w:r>
        <w:t>s are available here:</w:t>
      </w:r>
    </w:p>
    <w:p w:rsidR="00E67EE6" w:rsidRDefault="00CF6B13" w:rsidP="00E67EE6">
      <w:pPr>
        <w:pStyle w:val="FootnoteText"/>
      </w:pPr>
      <w:hyperlink r:id="rId1" w:tooltip="MDPH Environmental Monitoring" w:history="1">
        <w:r w:rsidR="00E67EE6" w:rsidRPr="000A73C5">
          <w:rPr>
            <w:rStyle w:val="Hyperlink"/>
          </w:rPr>
          <w:t>http://www.mass.gov/eohhs/gov/departments/dph/programs/environmental-health/exposure-topics/radiation/environmental-monitoring.html</w:t>
        </w:r>
      </w:hyperlink>
    </w:p>
    <w:p w:rsidR="00E67EE6" w:rsidRDefault="00E67EE6" w:rsidP="00E67EE6">
      <w:pPr>
        <w:pStyle w:val="FootnoteText"/>
      </w:pPr>
    </w:p>
  </w:footnote>
  <w:footnote w:id="2">
    <w:p w:rsidR="00E67EE6" w:rsidRDefault="00E67EE6" w:rsidP="00E67EE6">
      <w:pPr>
        <w:pStyle w:val="FootnoteText"/>
      </w:pPr>
      <w:r>
        <w:rPr>
          <w:rStyle w:val="FootnoteReference"/>
        </w:rPr>
        <w:footnoteRef/>
      </w:r>
      <w:r>
        <w:t xml:space="preserve"> Groundwater and surface water monitoring locations and summary tables </w:t>
      </w:r>
      <w:r w:rsidR="008363F1">
        <w:t xml:space="preserve">by quarter </w:t>
      </w:r>
      <w:r>
        <w:t>are available on the MDPH website:</w:t>
      </w:r>
    </w:p>
    <w:p w:rsidR="00E67EE6" w:rsidRDefault="00CF6B13" w:rsidP="00E67EE6">
      <w:pPr>
        <w:pStyle w:val="FootnoteText"/>
      </w:pPr>
      <w:hyperlink r:id="rId2" w:tooltip="Environmetal Monitoring Program" w:history="1">
        <w:r w:rsidR="00E67EE6" w:rsidRPr="000A73C5">
          <w:rPr>
            <w:rStyle w:val="Hyperlink"/>
          </w:rPr>
          <w:t>http://www.mass.gov/eohhs/gov/departments/dph/programs/environmental-health/exposure-topics/radiation/environmental-monitoring.html</w:t>
        </w:r>
      </w:hyperlink>
    </w:p>
    <w:p w:rsidR="00E67EE6" w:rsidRDefault="00E67EE6" w:rsidP="00E67EE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B7" w:rsidRPr="006708F8" w:rsidRDefault="00776DB7">
    <w:pPr>
      <w:pStyle w:val="Header"/>
      <w:rPr>
        <w:rFonts w:ascii="Tahoma" w:hAnsi="Tahoma" w:cs="Tahoma"/>
        <w:sz w:val="20"/>
        <w:szCs w:val="20"/>
      </w:rPr>
    </w:pPr>
    <w:r w:rsidRPr="006708F8">
      <w:rPr>
        <w:rFonts w:ascii="Tahoma" w:hAnsi="Tahoma" w:cs="Tahoma"/>
        <w:sz w:val="20"/>
        <w:szCs w:val="20"/>
      </w:rPr>
      <w:tab/>
    </w:r>
    <w:r w:rsidRPr="006708F8">
      <w:rPr>
        <w:rFonts w:ascii="Tahoma" w:hAnsi="Tahoma" w:cs="Tahoma"/>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6E9F"/>
    <w:multiLevelType w:val="hybridMultilevel"/>
    <w:tmpl w:val="21FAC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E3C9E"/>
    <w:multiLevelType w:val="hybridMultilevel"/>
    <w:tmpl w:val="C7628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85910"/>
    <w:multiLevelType w:val="hybridMultilevel"/>
    <w:tmpl w:val="2FCE67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F14DF4"/>
    <w:multiLevelType w:val="hybridMultilevel"/>
    <w:tmpl w:val="A77CBAEE"/>
    <w:lvl w:ilvl="0" w:tplc="8CB6B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25A62"/>
    <w:multiLevelType w:val="hybridMultilevel"/>
    <w:tmpl w:val="B41E5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F8613C4"/>
    <w:multiLevelType w:val="hybridMultilevel"/>
    <w:tmpl w:val="0E04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0022B"/>
    <w:multiLevelType w:val="hybridMultilevel"/>
    <w:tmpl w:val="7FAA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6A0A68"/>
    <w:multiLevelType w:val="hybridMultilevel"/>
    <w:tmpl w:val="C5A24A38"/>
    <w:lvl w:ilvl="0" w:tplc="04090019">
      <w:start w:val="1"/>
      <w:numFmt w:val="lowerLetter"/>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nsid w:val="36953CC5"/>
    <w:multiLevelType w:val="hybridMultilevel"/>
    <w:tmpl w:val="2DC65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701678C"/>
    <w:multiLevelType w:val="hybridMultilevel"/>
    <w:tmpl w:val="8658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3B0093"/>
    <w:multiLevelType w:val="hybridMultilevel"/>
    <w:tmpl w:val="576A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847226"/>
    <w:multiLevelType w:val="hybridMultilevel"/>
    <w:tmpl w:val="C08C6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B63F60"/>
    <w:multiLevelType w:val="hybridMultilevel"/>
    <w:tmpl w:val="97564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D1E0398"/>
    <w:multiLevelType w:val="hybridMultilevel"/>
    <w:tmpl w:val="0CF4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A36AF6"/>
    <w:multiLevelType w:val="hybridMultilevel"/>
    <w:tmpl w:val="21DA0D58"/>
    <w:lvl w:ilvl="0" w:tplc="A60ED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A70067"/>
    <w:multiLevelType w:val="hybridMultilevel"/>
    <w:tmpl w:val="7E24C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D579A4"/>
    <w:multiLevelType w:val="hybridMultilevel"/>
    <w:tmpl w:val="D390C6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11"/>
  </w:num>
  <w:num w:numId="7">
    <w:abstractNumId w:val="14"/>
  </w:num>
  <w:num w:numId="8">
    <w:abstractNumId w:val="3"/>
  </w:num>
  <w:num w:numId="9">
    <w:abstractNumId w:val="10"/>
  </w:num>
  <w:num w:numId="10">
    <w:abstractNumId w:val="15"/>
  </w:num>
  <w:num w:numId="11">
    <w:abstractNumId w:val="13"/>
  </w:num>
  <w:num w:numId="12">
    <w:abstractNumId w:val="9"/>
  </w:num>
  <w:num w:numId="13">
    <w:abstractNumId w:val="1"/>
  </w:num>
  <w:num w:numId="14">
    <w:abstractNumId w:val="8"/>
  </w:num>
  <w:num w:numId="15">
    <w:abstractNumId w:val="2"/>
  </w:num>
  <w:num w:numId="16">
    <w:abstractNumId w:val="16"/>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65"/>
    <w:rsid w:val="00005CC1"/>
    <w:rsid w:val="000159A5"/>
    <w:rsid w:val="00020923"/>
    <w:rsid w:val="00030859"/>
    <w:rsid w:val="00041CB6"/>
    <w:rsid w:val="000429C2"/>
    <w:rsid w:val="00055F99"/>
    <w:rsid w:val="0006385A"/>
    <w:rsid w:val="00067B92"/>
    <w:rsid w:val="000915BE"/>
    <w:rsid w:val="000A794F"/>
    <w:rsid w:val="000A7D9A"/>
    <w:rsid w:val="000C17A5"/>
    <w:rsid w:val="000C68A2"/>
    <w:rsid w:val="000E6D9D"/>
    <w:rsid w:val="000F7936"/>
    <w:rsid w:val="00110A0D"/>
    <w:rsid w:val="00110DAA"/>
    <w:rsid w:val="0014480C"/>
    <w:rsid w:val="001608E1"/>
    <w:rsid w:val="0018077C"/>
    <w:rsid w:val="00183008"/>
    <w:rsid w:val="001A16E7"/>
    <w:rsid w:val="001A1885"/>
    <w:rsid w:val="001B0A4C"/>
    <w:rsid w:val="001B743F"/>
    <w:rsid w:val="001E513D"/>
    <w:rsid w:val="002064A7"/>
    <w:rsid w:val="00234F78"/>
    <w:rsid w:val="00236020"/>
    <w:rsid w:val="002517F1"/>
    <w:rsid w:val="00252466"/>
    <w:rsid w:val="00271E48"/>
    <w:rsid w:val="00283C5D"/>
    <w:rsid w:val="00286837"/>
    <w:rsid w:val="002A5639"/>
    <w:rsid w:val="002A6F48"/>
    <w:rsid w:val="002B65BE"/>
    <w:rsid w:val="002C477B"/>
    <w:rsid w:val="002E2D31"/>
    <w:rsid w:val="002F1A19"/>
    <w:rsid w:val="00301D23"/>
    <w:rsid w:val="00303AC1"/>
    <w:rsid w:val="00310522"/>
    <w:rsid w:val="00325463"/>
    <w:rsid w:val="00335AB6"/>
    <w:rsid w:val="00342361"/>
    <w:rsid w:val="003755E9"/>
    <w:rsid w:val="003B4C31"/>
    <w:rsid w:val="003B6594"/>
    <w:rsid w:val="003C6468"/>
    <w:rsid w:val="003D0BDD"/>
    <w:rsid w:val="003D519A"/>
    <w:rsid w:val="003E2B5B"/>
    <w:rsid w:val="003E67C0"/>
    <w:rsid w:val="00402ED9"/>
    <w:rsid w:val="00415B88"/>
    <w:rsid w:val="00426B64"/>
    <w:rsid w:val="00442B00"/>
    <w:rsid w:val="004640A1"/>
    <w:rsid w:val="0046666F"/>
    <w:rsid w:val="00472BBD"/>
    <w:rsid w:val="004975D9"/>
    <w:rsid w:val="004A5AC8"/>
    <w:rsid w:val="004B77BF"/>
    <w:rsid w:val="004D5CE8"/>
    <w:rsid w:val="004E1054"/>
    <w:rsid w:val="00520973"/>
    <w:rsid w:val="00525748"/>
    <w:rsid w:val="00543697"/>
    <w:rsid w:val="00545B00"/>
    <w:rsid w:val="00557606"/>
    <w:rsid w:val="00570492"/>
    <w:rsid w:val="005B1653"/>
    <w:rsid w:val="005B38BF"/>
    <w:rsid w:val="005B469B"/>
    <w:rsid w:val="005C33C1"/>
    <w:rsid w:val="005D53A9"/>
    <w:rsid w:val="00605694"/>
    <w:rsid w:val="00607A2A"/>
    <w:rsid w:val="006140FD"/>
    <w:rsid w:val="00631768"/>
    <w:rsid w:val="006342CC"/>
    <w:rsid w:val="006708F8"/>
    <w:rsid w:val="006714D3"/>
    <w:rsid w:val="0067271A"/>
    <w:rsid w:val="00675B86"/>
    <w:rsid w:val="006C25BD"/>
    <w:rsid w:val="006E438D"/>
    <w:rsid w:val="00713750"/>
    <w:rsid w:val="00727584"/>
    <w:rsid w:val="00730775"/>
    <w:rsid w:val="007364A9"/>
    <w:rsid w:val="00740B49"/>
    <w:rsid w:val="00751771"/>
    <w:rsid w:val="00762F72"/>
    <w:rsid w:val="00775151"/>
    <w:rsid w:val="00776DB7"/>
    <w:rsid w:val="007C0A09"/>
    <w:rsid w:val="007C2FF1"/>
    <w:rsid w:val="007F10BF"/>
    <w:rsid w:val="008363F1"/>
    <w:rsid w:val="00847351"/>
    <w:rsid w:val="00880AAC"/>
    <w:rsid w:val="008822A9"/>
    <w:rsid w:val="008826ED"/>
    <w:rsid w:val="008A0E4E"/>
    <w:rsid w:val="008B53F3"/>
    <w:rsid w:val="008C3D00"/>
    <w:rsid w:val="008D58BE"/>
    <w:rsid w:val="008D6A21"/>
    <w:rsid w:val="008E4C57"/>
    <w:rsid w:val="008E55DB"/>
    <w:rsid w:val="008F0D0E"/>
    <w:rsid w:val="008F11B9"/>
    <w:rsid w:val="008F539A"/>
    <w:rsid w:val="00917501"/>
    <w:rsid w:val="00945DC3"/>
    <w:rsid w:val="009556BF"/>
    <w:rsid w:val="009F55D7"/>
    <w:rsid w:val="00A12819"/>
    <w:rsid w:val="00A339F8"/>
    <w:rsid w:val="00A33EEE"/>
    <w:rsid w:val="00A366F8"/>
    <w:rsid w:val="00A43DB8"/>
    <w:rsid w:val="00A523C2"/>
    <w:rsid w:val="00A66F32"/>
    <w:rsid w:val="00A94D53"/>
    <w:rsid w:val="00AC0814"/>
    <w:rsid w:val="00AC6361"/>
    <w:rsid w:val="00B05BAE"/>
    <w:rsid w:val="00B102CD"/>
    <w:rsid w:val="00B1052A"/>
    <w:rsid w:val="00B232B7"/>
    <w:rsid w:val="00B640E8"/>
    <w:rsid w:val="00B8797F"/>
    <w:rsid w:val="00B9087B"/>
    <w:rsid w:val="00BB1A69"/>
    <w:rsid w:val="00BB75F1"/>
    <w:rsid w:val="00BC01E5"/>
    <w:rsid w:val="00BC2BA9"/>
    <w:rsid w:val="00BC618D"/>
    <w:rsid w:val="00BC692A"/>
    <w:rsid w:val="00BD5C98"/>
    <w:rsid w:val="00BD73DA"/>
    <w:rsid w:val="00BE7E06"/>
    <w:rsid w:val="00CA5DFB"/>
    <w:rsid w:val="00CB03FC"/>
    <w:rsid w:val="00CB7053"/>
    <w:rsid w:val="00CC25CA"/>
    <w:rsid w:val="00CD1A5B"/>
    <w:rsid w:val="00CD6A3C"/>
    <w:rsid w:val="00CE4558"/>
    <w:rsid w:val="00CF6B13"/>
    <w:rsid w:val="00CF7BDB"/>
    <w:rsid w:val="00D4099A"/>
    <w:rsid w:val="00D44BAA"/>
    <w:rsid w:val="00D615E6"/>
    <w:rsid w:val="00D624EE"/>
    <w:rsid w:val="00D779B2"/>
    <w:rsid w:val="00D77C70"/>
    <w:rsid w:val="00D81DAD"/>
    <w:rsid w:val="00D83254"/>
    <w:rsid w:val="00D85C7D"/>
    <w:rsid w:val="00DA05A5"/>
    <w:rsid w:val="00DA2990"/>
    <w:rsid w:val="00DA4BAF"/>
    <w:rsid w:val="00DF18D7"/>
    <w:rsid w:val="00DF2032"/>
    <w:rsid w:val="00E167E7"/>
    <w:rsid w:val="00E24AD9"/>
    <w:rsid w:val="00E27EDE"/>
    <w:rsid w:val="00E55734"/>
    <w:rsid w:val="00E60584"/>
    <w:rsid w:val="00E67EE6"/>
    <w:rsid w:val="00E73334"/>
    <w:rsid w:val="00EF150F"/>
    <w:rsid w:val="00EF1560"/>
    <w:rsid w:val="00F1721B"/>
    <w:rsid w:val="00F17F78"/>
    <w:rsid w:val="00F20265"/>
    <w:rsid w:val="00F33641"/>
    <w:rsid w:val="00F4516E"/>
    <w:rsid w:val="00F464D8"/>
    <w:rsid w:val="00F514A1"/>
    <w:rsid w:val="00F761EF"/>
    <w:rsid w:val="00F9080E"/>
    <w:rsid w:val="00F94762"/>
    <w:rsid w:val="00FB06E3"/>
    <w:rsid w:val="00FF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DC3"/>
  </w:style>
  <w:style w:type="paragraph" w:styleId="Footer">
    <w:name w:val="footer"/>
    <w:basedOn w:val="Normal"/>
    <w:link w:val="FooterChar"/>
    <w:uiPriority w:val="99"/>
    <w:unhideWhenUsed/>
    <w:rsid w:val="00945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DC3"/>
  </w:style>
  <w:style w:type="paragraph" w:styleId="BalloonText">
    <w:name w:val="Balloon Text"/>
    <w:basedOn w:val="Normal"/>
    <w:link w:val="BalloonTextChar"/>
    <w:uiPriority w:val="99"/>
    <w:semiHidden/>
    <w:unhideWhenUsed/>
    <w:rsid w:val="0094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C3"/>
    <w:rPr>
      <w:rFonts w:ascii="Tahoma" w:hAnsi="Tahoma" w:cs="Tahoma"/>
      <w:sz w:val="16"/>
      <w:szCs w:val="16"/>
    </w:rPr>
  </w:style>
  <w:style w:type="paragraph" w:styleId="NoSpacing">
    <w:name w:val="No Spacing"/>
    <w:basedOn w:val="Normal"/>
    <w:uiPriority w:val="1"/>
    <w:qFormat/>
    <w:rsid w:val="00E167E7"/>
    <w:pPr>
      <w:spacing w:after="0" w:line="240" w:lineRule="auto"/>
    </w:pPr>
    <w:rPr>
      <w:rFonts w:cs="Times New Roman"/>
      <w:color w:val="000000" w:themeColor="text1"/>
      <w:szCs w:val="20"/>
      <w:lang w:eastAsia="ja-JP"/>
    </w:rPr>
  </w:style>
  <w:style w:type="character" w:styleId="Hyperlink">
    <w:name w:val="Hyperlink"/>
    <w:basedOn w:val="DefaultParagraphFont"/>
    <w:uiPriority w:val="99"/>
    <w:unhideWhenUsed/>
    <w:rsid w:val="00E167E7"/>
    <w:rPr>
      <w:color w:val="0000FF" w:themeColor="hyperlink"/>
      <w:u w:val="single"/>
    </w:rPr>
  </w:style>
  <w:style w:type="paragraph" w:styleId="ListParagraph">
    <w:name w:val="List Paragraph"/>
    <w:basedOn w:val="Normal"/>
    <w:uiPriority w:val="34"/>
    <w:qFormat/>
    <w:rsid w:val="006C25BD"/>
    <w:pPr>
      <w:ind w:left="720"/>
      <w:contextualSpacing/>
    </w:pPr>
  </w:style>
  <w:style w:type="paragraph" w:styleId="Quote">
    <w:name w:val="Quote"/>
    <w:basedOn w:val="Normal"/>
    <w:next w:val="Normal"/>
    <w:link w:val="QuoteChar"/>
    <w:uiPriority w:val="29"/>
    <w:qFormat/>
    <w:rsid w:val="008F0D0E"/>
    <w:rPr>
      <w:i/>
      <w:iCs/>
      <w:color w:val="000000" w:themeColor="text1"/>
    </w:rPr>
  </w:style>
  <w:style w:type="character" w:customStyle="1" w:styleId="QuoteChar">
    <w:name w:val="Quote Char"/>
    <w:basedOn w:val="DefaultParagraphFont"/>
    <w:link w:val="Quote"/>
    <w:uiPriority w:val="29"/>
    <w:rsid w:val="008F0D0E"/>
    <w:rPr>
      <w:i/>
      <w:iCs/>
      <w:color w:val="000000" w:themeColor="text1"/>
    </w:rPr>
  </w:style>
  <w:style w:type="character" w:styleId="PlaceholderText">
    <w:name w:val="Placeholder Text"/>
    <w:basedOn w:val="DefaultParagraphFont"/>
    <w:uiPriority w:val="99"/>
    <w:semiHidden/>
    <w:rsid w:val="00713750"/>
    <w:rPr>
      <w:color w:val="808080"/>
    </w:rPr>
  </w:style>
  <w:style w:type="character" w:styleId="FollowedHyperlink">
    <w:name w:val="FollowedHyperlink"/>
    <w:basedOn w:val="DefaultParagraphFont"/>
    <w:uiPriority w:val="99"/>
    <w:semiHidden/>
    <w:unhideWhenUsed/>
    <w:rsid w:val="008D6A21"/>
    <w:rPr>
      <w:color w:val="800080" w:themeColor="followedHyperlink"/>
      <w:u w:val="single"/>
    </w:rPr>
  </w:style>
  <w:style w:type="character" w:styleId="Strong">
    <w:name w:val="Strong"/>
    <w:basedOn w:val="DefaultParagraphFont"/>
    <w:uiPriority w:val="22"/>
    <w:qFormat/>
    <w:rsid w:val="00E67EE6"/>
    <w:rPr>
      <w:b/>
      <w:bCs/>
    </w:rPr>
  </w:style>
  <w:style w:type="character" w:styleId="Emphasis">
    <w:name w:val="Emphasis"/>
    <w:basedOn w:val="DefaultParagraphFont"/>
    <w:uiPriority w:val="20"/>
    <w:qFormat/>
    <w:rsid w:val="00E67EE6"/>
    <w:rPr>
      <w:i/>
      <w:iCs/>
    </w:rPr>
  </w:style>
  <w:style w:type="paragraph" w:styleId="FootnoteText">
    <w:name w:val="footnote text"/>
    <w:basedOn w:val="Normal"/>
    <w:link w:val="FootnoteTextChar"/>
    <w:uiPriority w:val="99"/>
    <w:semiHidden/>
    <w:unhideWhenUsed/>
    <w:rsid w:val="00E67E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EE6"/>
    <w:rPr>
      <w:sz w:val="20"/>
      <w:szCs w:val="20"/>
    </w:rPr>
  </w:style>
  <w:style w:type="character" w:styleId="FootnoteReference">
    <w:name w:val="footnote reference"/>
    <w:basedOn w:val="DefaultParagraphFont"/>
    <w:uiPriority w:val="99"/>
    <w:semiHidden/>
    <w:unhideWhenUsed/>
    <w:rsid w:val="00E67EE6"/>
    <w:rPr>
      <w:vertAlign w:val="superscript"/>
    </w:rPr>
  </w:style>
  <w:style w:type="paragraph" w:styleId="NormalWeb">
    <w:name w:val="Normal (Web)"/>
    <w:basedOn w:val="Normal"/>
    <w:uiPriority w:val="99"/>
    <w:unhideWhenUsed/>
    <w:rsid w:val="00E67EE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53F3"/>
    <w:rPr>
      <w:sz w:val="16"/>
      <w:szCs w:val="16"/>
    </w:rPr>
  </w:style>
  <w:style w:type="paragraph" w:styleId="CommentText">
    <w:name w:val="annotation text"/>
    <w:basedOn w:val="Normal"/>
    <w:link w:val="CommentTextChar"/>
    <w:uiPriority w:val="99"/>
    <w:semiHidden/>
    <w:unhideWhenUsed/>
    <w:rsid w:val="008B53F3"/>
    <w:pPr>
      <w:spacing w:line="240" w:lineRule="auto"/>
    </w:pPr>
    <w:rPr>
      <w:sz w:val="20"/>
      <w:szCs w:val="20"/>
    </w:rPr>
  </w:style>
  <w:style w:type="character" w:customStyle="1" w:styleId="CommentTextChar">
    <w:name w:val="Comment Text Char"/>
    <w:basedOn w:val="DefaultParagraphFont"/>
    <w:link w:val="CommentText"/>
    <w:uiPriority w:val="99"/>
    <w:semiHidden/>
    <w:rsid w:val="008B53F3"/>
    <w:rPr>
      <w:sz w:val="20"/>
      <w:szCs w:val="20"/>
    </w:rPr>
  </w:style>
  <w:style w:type="paragraph" w:styleId="CommentSubject">
    <w:name w:val="annotation subject"/>
    <w:basedOn w:val="CommentText"/>
    <w:next w:val="CommentText"/>
    <w:link w:val="CommentSubjectChar"/>
    <w:uiPriority w:val="99"/>
    <w:semiHidden/>
    <w:unhideWhenUsed/>
    <w:rsid w:val="008B53F3"/>
    <w:rPr>
      <w:b/>
      <w:bCs/>
    </w:rPr>
  </w:style>
  <w:style w:type="character" w:customStyle="1" w:styleId="CommentSubjectChar">
    <w:name w:val="Comment Subject Char"/>
    <w:basedOn w:val="CommentTextChar"/>
    <w:link w:val="CommentSubject"/>
    <w:uiPriority w:val="99"/>
    <w:semiHidden/>
    <w:rsid w:val="008B53F3"/>
    <w:rPr>
      <w:b/>
      <w:bCs/>
      <w:sz w:val="20"/>
      <w:szCs w:val="20"/>
    </w:rPr>
  </w:style>
  <w:style w:type="paragraph" w:customStyle="1" w:styleId="ExecOffice">
    <w:name w:val="Exec Office"/>
    <w:basedOn w:val="Normal"/>
    <w:rsid w:val="00301D23"/>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301D23"/>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301D23"/>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DC3"/>
  </w:style>
  <w:style w:type="paragraph" w:styleId="Footer">
    <w:name w:val="footer"/>
    <w:basedOn w:val="Normal"/>
    <w:link w:val="FooterChar"/>
    <w:uiPriority w:val="99"/>
    <w:unhideWhenUsed/>
    <w:rsid w:val="00945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DC3"/>
  </w:style>
  <w:style w:type="paragraph" w:styleId="BalloonText">
    <w:name w:val="Balloon Text"/>
    <w:basedOn w:val="Normal"/>
    <w:link w:val="BalloonTextChar"/>
    <w:uiPriority w:val="99"/>
    <w:semiHidden/>
    <w:unhideWhenUsed/>
    <w:rsid w:val="0094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C3"/>
    <w:rPr>
      <w:rFonts w:ascii="Tahoma" w:hAnsi="Tahoma" w:cs="Tahoma"/>
      <w:sz w:val="16"/>
      <w:szCs w:val="16"/>
    </w:rPr>
  </w:style>
  <w:style w:type="paragraph" w:styleId="NoSpacing">
    <w:name w:val="No Spacing"/>
    <w:basedOn w:val="Normal"/>
    <w:uiPriority w:val="1"/>
    <w:qFormat/>
    <w:rsid w:val="00E167E7"/>
    <w:pPr>
      <w:spacing w:after="0" w:line="240" w:lineRule="auto"/>
    </w:pPr>
    <w:rPr>
      <w:rFonts w:cs="Times New Roman"/>
      <w:color w:val="000000" w:themeColor="text1"/>
      <w:szCs w:val="20"/>
      <w:lang w:eastAsia="ja-JP"/>
    </w:rPr>
  </w:style>
  <w:style w:type="character" w:styleId="Hyperlink">
    <w:name w:val="Hyperlink"/>
    <w:basedOn w:val="DefaultParagraphFont"/>
    <w:uiPriority w:val="99"/>
    <w:unhideWhenUsed/>
    <w:rsid w:val="00E167E7"/>
    <w:rPr>
      <w:color w:val="0000FF" w:themeColor="hyperlink"/>
      <w:u w:val="single"/>
    </w:rPr>
  </w:style>
  <w:style w:type="paragraph" w:styleId="ListParagraph">
    <w:name w:val="List Paragraph"/>
    <w:basedOn w:val="Normal"/>
    <w:uiPriority w:val="34"/>
    <w:qFormat/>
    <w:rsid w:val="006C25BD"/>
    <w:pPr>
      <w:ind w:left="720"/>
      <w:contextualSpacing/>
    </w:pPr>
  </w:style>
  <w:style w:type="paragraph" w:styleId="Quote">
    <w:name w:val="Quote"/>
    <w:basedOn w:val="Normal"/>
    <w:next w:val="Normal"/>
    <w:link w:val="QuoteChar"/>
    <w:uiPriority w:val="29"/>
    <w:qFormat/>
    <w:rsid w:val="008F0D0E"/>
    <w:rPr>
      <w:i/>
      <w:iCs/>
      <w:color w:val="000000" w:themeColor="text1"/>
    </w:rPr>
  </w:style>
  <w:style w:type="character" w:customStyle="1" w:styleId="QuoteChar">
    <w:name w:val="Quote Char"/>
    <w:basedOn w:val="DefaultParagraphFont"/>
    <w:link w:val="Quote"/>
    <w:uiPriority w:val="29"/>
    <w:rsid w:val="008F0D0E"/>
    <w:rPr>
      <w:i/>
      <w:iCs/>
      <w:color w:val="000000" w:themeColor="text1"/>
    </w:rPr>
  </w:style>
  <w:style w:type="character" w:styleId="PlaceholderText">
    <w:name w:val="Placeholder Text"/>
    <w:basedOn w:val="DefaultParagraphFont"/>
    <w:uiPriority w:val="99"/>
    <w:semiHidden/>
    <w:rsid w:val="00713750"/>
    <w:rPr>
      <w:color w:val="808080"/>
    </w:rPr>
  </w:style>
  <w:style w:type="character" w:styleId="FollowedHyperlink">
    <w:name w:val="FollowedHyperlink"/>
    <w:basedOn w:val="DefaultParagraphFont"/>
    <w:uiPriority w:val="99"/>
    <w:semiHidden/>
    <w:unhideWhenUsed/>
    <w:rsid w:val="008D6A21"/>
    <w:rPr>
      <w:color w:val="800080" w:themeColor="followedHyperlink"/>
      <w:u w:val="single"/>
    </w:rPr>
  </w:style>
  <w:style w:type="character" w:styleId="Strong">
    <w:name w:val="Strong"/>
    <w:basedOn w:val="DefaultParagraphFont"/>
    <w:uiPriority w:val="22"/>
    <w:qFormat/>
    <w:rsid w:val="00E67EE6"/>
    <w:rPr>
      <w:b/>
      <w:bCs/>
    </w:rPr>
  </w:style>
  <w:style w:type="character" w:styleId="Emphasis">
    <w:name w:val="Emphasis"/>
    <w:basedOn w:val="DefaultParagraphFont"/>
    <w:uiPriority w:val="20"/>
    <w:qFormat/>
    <w:rsid w:val="00E67EE6"/>
    <w:rPr>
      <w:i/>
      <w:iCs/>
    </w:rPr>
  </w:style>
  <w:style w:type="paragraph" w:styleId="FootnoteText">
    <w:name w:val="footnote text"/>
    <w:basedOn w:val="Normal"/>
    <w:link w:val="FootnoteTextChar"/>
    <w:uiPriority w:val="99"/>
    <w:semiHidden/>
    <w:unhideWhenUsed/>
    <w:rsid w:val="00E67E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EE6"/>
    <w:rPr>
      <w:sz w:val="20"/>
      <w:szCs w:val="20"/>
    </w:rPr>
  </w:style>
  <w:style w:type="character" w:styleId="FootnoteReference">
    <w:name w:val="footnote reference"/>
    <w:basedOn w:val="DefaultParagraphFont"/>
    <w:uiPriority w:val="99"/>
    <w:semiHidden/>
    <w:unhideWhenUsed/>
    <w:rsid w:val="00E67EE6"/>
    <w:rPr>
      <w:vertAlign w:val="superscript"/>
    </w:rPr>
  </w:style>
  <w:style w:type="paragraph" w:styleId="NormalWeb">
    <w:name w:val="Normal (Web)"/>
    <w:basedOn w:val="Normal"/>
    <w:uiPriority w:val="99"/>
    <w:unhideWhenUsed/>
    <w:rsid w:val="00E67EE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53F3"/>
    <w:rPr>
      <w:sz w:val="16"/>
      <w:szCs w:val="16"/>
    </w:rPr>
  </w:style>
  <w:style w:type="paragraph" w:styleId="CommentText">
    <w:name w:val="annotation text"/>
    <w:basedOn w:val="Normal"/>
    <w:link w:val="CommentTextChar"/>
    <w:uiPriority w:val="99"/>
    <w:semiHidden/>
    <w:unhideWhenUsed/>
    <w:rsid w:val="008B53F3"/>
    <w:pPr>
      <w:spacing w:line="240" w:lineRule="auto"/>
    </w:pPr>
    <w:rPr>
      <w:sz w:val="20"/>
      <w:szCs w:val="20"/>
    </w:rPr>
  </w:style>
  <w:style w:type="character" w:customStyle="1" w:styleId="CommentTextChar">
    <w:name w:val="Comment Text Char"/>
    <w:basedOn w:val="DefaultParagraphFont"/>
    <w:link w:val="CommentText"/>
    <w:uiPriority w:val="99"/>
    <w:semiHidden/>
    <w:rsid w:val="008B53F3"/>
    <w:rPr>
      <w:sz w:val="20"/>
      <w:szCs w:val="20"/>
    </w:rPr>
  </w:style>
  <w:style w:type="paragraph" w:styleId="CommentSubject">
    <w:name w:val="annotation subject"/>
    <w:basedOn w:val="CommentText"/>
    <w:next w:val="CommentText"/>
    <w:link w:val="CommentSubjectChar"/>
    <w:uiPriority w:val="99"/>
    <w:semiHidden/>
    <w:unhideWhenUsed/>
    <w:rsid w:val="008B53F3"/>
    <w:rPr>
      <w:b/>
      <w:bCs/>
    </w:rPr>
  </w:style>
  <w:style w:type="character" w:customStyle="1" w:styleId="CommentSubjectChar">
    <w:name w:val="Comment Subject Char"/>
    <w:basedOn w:val="CommentTextChar"/>
    <w:link w:val="CommentSubject"/>
    <w:uiPriority w:val="99"/>
    <w:semiHidden/>
    <w:rsid w:val="008B53F3"/>
    <w:rPr>
      <w:b/>
      <w:bCs/>
      <w:sz w:val="20"/>
      <w:szCs w:val="20"/>
    </w:rPr>
  </w:style>
  <w:style w:type="paragraph" w:customStyle="1" w:styleId="ExecOffice">
    <w:name w:val="Exec Office"/>
    <w:basedOn w:val="Normal"/>
    <w:rsid w:val="00301D23"/>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301D23"/>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301D23"/>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39170">
      <w:bodyDiv w:val="1"/>
      <w:marLeft w:val="0"/>
      <w:marRight w:val="0"/>
      <w:marTop w:val="0"/>
      <w:marBottom w:val="0"/>
      <w:divBdr>
        <w:top w:val="none" w:sz="0" w:space="0" w:color="auto"/>
        <w:left w:val="none" w:sz="0" w:space="0" w:color="auto"/>
        <w:bottom w:val="none" w:sz="0" w:space="0" w:color="auto"/>
        <w:right w:val="none" w:sz="0" w:space="0" w:color="auto"/>
      </w:divBdr>
    </w:div>
    <w:div w:id="661546065">
      <w:bodyDiv w:val="1"/>
      <w:marLeft w:val="0"/>
      <w:marRight w:val="0"/>
      <w:marTop w:val="0"/>
      <w:marBottom w:val="0"/>
      <w:divBdr>
        <w:top w:val="none" w:sz="0" w:space="0" w:color="auto"/>
        <w:left w:val="none" w:sz="0" w:space="0" w:color="auto"/>
        <w:bottom w:val="none" w:sz="0" w:space="0" w:color="auto"/>
        <w:right w:val="none" w:sz="0" w:space="0" w:color="auto"/>
      </w:divBdr>
    </w:div>
    <w:div w:id="869073234">
      <w:bodyDiv w:val="1"/>
      <w:marLeft w:val="0"/>
      <w:marRight w:val="0"/>
      <w:marTop w:val="0"/>
      <w:marBottom w:val="0"/>
      <w:divBdr>
        <w:top w:val="none" w:sz="0" w:space="0" w:color="auto"/>
        <w:left w:val="none" w:sz="0" w:space="0" w:color="auto"/>
        <w:bottom w:val="none" w:sz="0" w:space="0" w:color="auto"/>
        <w:right w:val="none" w:sz="0" w:space="0" w:color="auto"/>
      </w:divBdr>
    </w:div>
    <w:div w:id="1423259661">
      <w:bodyDiv w:val="1"/>
      <w:marLeft w:val="0"/>
      <w:marRight w:val="0"/>
      <w:marTop w:val="0"/>
      <w:marBottom w:val="0"/>
      <w:divBdr>
        <w:top w:val="none" w:sz="0" w:space="0" w:color="auto"/>
        <w:left w:val="none" w:sz="0" w:space="0" w:color="auto"/>
        <w:bottom w:val="none" w:sz="0" w:space="0" w:color="auto"/>
        <w:right w:val="none" w:sz="0" w:space="0" w:color="auto"/>
      </w:divBdr>
    </w:div>
    <w:div w:id="1580208318">
      <w:bodyDiv w:val="1"/>
      <w:marLeft w:val="0"/>
      <w:marRight w:val="0"/>
      <w:marTop w:val="0"/>
      <w:marBottom w:val="0"/>
      <w:divBdr>
        <w:top w:val="none" w:sz="0" w:space="0" w:color="auto"/>
        <w:left w:val="none" w:sz="0" w:space="0" w:color="auto"/>
        <w:bottom w:val="none" w:sz="0" w:space="0" w:color="auto"/>
        <w:right w:val="none" w:sz="0" w:space="0" w:color="auto"/>
      </w:divBdr>
    </w:div>
    <w:div w:id="187684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emf"/>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eohhs/gov/departments/dph/programs/environmental-health/exposure-topics/radiation/environmental-monitoring.html"/>
  <Relationship Id="rId2" Type="http://schemas.openxmlformats.org/officeDocument/2006/relationships/hyperlink" TargetMode="External" Target="http://www.mass.gov/eohhs/gov/departments/dph/programs/environmental-health/exposure-topics/radiation/environmental-monitoring.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CE2BC-7F40-46EF-AB80-E1963484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PNPS Tritium in Groundwater Investigation Update - April 22, 2016</vt:lpstr>
    </vt:vector>
  </TitlesOfParts>
  <Company>EOHHS</Company>
  <LinksUpToDate>false</LinksUpToDate>
  <CharactersWithSpaces>6769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2016-04-20T14:06:00Z</dcterms:created>
  <dc:creator>MDPH - Bureau of Environmental Health</dc:creator>
  <keywords>tritium; Pilgrim Nuclear Power Station, PNPS</keywords>
  <lastModifiedBy/>
  <lastPrinted>2016-04-21T14:08:00Z</lastPrinted>
  <dcterms:modified xsi:type="dcterms:W3CDTF">2016-04-21T17:58:00Z</dcterms:modified>
  <revision>13</revision>
  <dc:subject>PNPS Tritium in Groundwater Investigation Update - April 22, 2016</dc:subject>
  <dc:title>PNPS Tritium in Groundwater Investigation Update - April 22, 2016</dc:title>
</coreProperties>
</file>