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7DA" w:rsidRDefault="000537DA" w:rsidP="000F315B">
      <w:pPr>
        <w:framePr w:w="6926" w:hSpace="187" w:wrap="notBeside" w:vAnchor="page" w:hAnchor="page" w:x="2884" w:y="711"/>
        <w:jc w:val="center"/>
        <w:rPr>
          <w:rFonts w:ascii="Arial" w:hAnsi="Arial"/>
          <w:sz w:val="36"/>
        </w:rPr>
      </w:pPr>
      <w:bookmarkStart w:id="0" w:name="_GoBack"/>
      <w:bookmarkEnd w:id="0"/>
      <w:r>
        <w:rPr>
          <w:rFonts w:ascii="Arial" w:hAnsi="Arial"/>
          <w:sz w:val="36"/>
        </w:rPr>
        <w:t>The Commonwealth of Massachusetts</w:t>
      </w:r>
    </w:p>
    <w:p w:rsidR="000537DA" w:rsidRDefault="000537DA" w:rsidP="000F315B">
      <w:pPr>
        <w:pStyle w:val="ExecOffice"/>
        <w:framePr w:w="6926" w:wrap="notBeside" w:vAnchor="page" w:x="2884" w:y="711"/>
      </w:pPr>
      <w:r>
        <w:t>Executive Office of Health and Human Services</w:t>
      </w:r>
    </w:p>
    <w:p w:rsidR="000537DA" w:rsidRDefault="000537DA" w:rsidP="000F315B">
      <w:pPr>
        <w:pStyle w:val="ExecOffice"/>
        <w:framePr w:w="6926" w:wrap="notBeside" w:vAnchor="page" w:x="2884" w:y="711"/>
      </w:pPr>
      <w:r>
        <w:t>Department of Public Health</w:t>
      </w:r>
    </w:p>
    <w:p w:rsidR="00457C02" w:rsidRDefault="00457C02" w:rsidP="000F315B">
      <w:pPr>
        <w:pStyle w:val="ExecOffice"/>
        <w:framePr w:w="6926" w:wrap="notBeside" w:vAnchor="page" w:x="2884" w:y="711"/>
      </w:pPr>
      <w:r>
        <w:t>Bureau of Environmental Health</w:t>
      </w:r>
    </w:p>
    <w:p w:rsidR="006D06D9" w:rsidRDefault="00687B44" w:rsidP="000F315B">
      <w:pPr>
        <w:pStyle w:val="ExecOffice"/>
        <w:framePr w:w="6926" w:wrap="notBeside" w:vAnchor="page" w:x="2884" w:y="711"/>
      </w:pPr>
      <w:r>
        <w:rPr>
          <w:noProof/>
        </w:rPr>
        <mc:AlternateContent>
          <mc:Choice Requires="wps">
            <w:drawing>
              <wp:anchor distT="0" distB="0" distL="114300" distR="114300" simplePos="0" relativeHeight="251654656" behindDoc="0" locked="0" layoutInCell="1" allowOverlap="1">
                <wp:simplePos x="0" y="0"/>
                <wp:positionH relativeFrom="margin">
                  <wp:posOffset>4845050</wp:posOffset>
                </wp:positionH>
                <wp:positionV relativeFrom="margin">
                  <wp:posOffset>596900</wp:posOffset>
                </wp:positionV>
                <wp:extent cx="1814195" cy="1136015"/>
                <wp:effectExtent l="0" t="0" r="0" b="63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RDefault="00FC6B42" w:rsidP="00FC6B42">
                            <w:pPr>
                              <w:pStyle w:val="Governor"/>
                              <w:spacing w:after="0"/>
                              <w:rPr>
                                <w:sz w:val="16"/>
                              </w:rPr>
                            </w:pPr>
                          </w:p>
                          <w:p w:rsidR="00FC6B42" w:rsidRPr="003A7AFC" w:rsidRDefault="00FC6B42" w:rsidP="00FC6B42">
                            <w:pPr>
                              <w:pStyle w:val="Weld"/>
                            </w:pPr>
                            <w:r>
                              <w:t>MARYLOU SUDDERS</w:t>
                            </w:r>
                          </w:p>
                          <w:p w:rsidR="00FC6B42" w:rsidRDefault="00FC6B42" w:rsidP="00FC6B42">
                            <w:pPr>
                              <w:pStyle w:val="Governor"/>
                            </w:pPr>
                            <w:r>
                              <w:t>Secretary</w:t>
                            </w:r>
                          </w:p>
                          <w:p w:rsidR="00FC6B42" w:rsidRDefault="0003315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rsidR="004813AC" w:rsidRDefault="004813AC" w:rsidP="00FC6B42">
                            <w:pPr>
                              <w:jc w:val="center"/>
                              <w:rPr>
                                <w:rFonts w:ascii="Arial Rounded MT Bold" w:hAnsi="Arial Rounded MT Bold"/>
                                <w:sz w:val="14"/>
                                <w:szCs w:val="14"/>
                              </w:rPr>
                            </w:pPr>
                          </w:p>
                          <w:p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81.5pt;margin-top:47pt;width:142.85pt;height:89.45pt;z-index:251654656;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" stroked="f">
                <v:textbox style="mso-fit-shape-to-text:t">
                  <w:txbxContent>
                    <w:p w:rsidR="00FC6B42" w:rsidRDefault="00FC6B42" w:rsidP="00FC6B42">
                      <w:pPr>
                        <w:pStyle w:val="Governor"/>
                        <w:spacing w:after="0"/>
                        <w:rPr>
                          <w:sz w:val="16"/>
                        </w:rPr>
                      </w:pPr>
                    </w:p>
                    <w:p w:rsidR="00FC6B42" w:rsidRPr="003A7AFC" w:rsidRDefault="00FC6B42" w:rsidP="00FC6B42">
                      <w:pPr>
                        <w:pStyle w:val="Weld"/>
                      </w:pPr>
                      <w:r>
                        <w:t>MARYLOU SUDDERS</w:t>
                      </w:r>
                    </w:p>
                    <w:p w:rsidR="00FC6B42" w:rsidRDefault="00FC6B42" w:rsidP="00FC6B42">
                      <w:pPr>
                        <w:pStyle w:val="Governor"/>
                      </w:pPr>
                      <w:r>
                        <w:t>Secretary</w:t>
                      </w:r>
                    </w:p>
                    <w:p w:rsidR="00FC6B42" w:rsidRDefault="0003315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rsidR="004813AC" w:rsidRDefault="004813AC" w:rsidP="00FC6B42">
                      <w:pPr>
                        <w:jc w:val="center"/>
                        <w:rPr>
                          <w:rFonts w:ascii="Arial Rounded MT Bold" w:hAnsi="Arial Rounded MT Bold"/>
                          <w:sz w:val="14"/>
                          <w:szCs w:val="14"/>
                        </w:rPr>
                      </w:pPr>
                    </w:p>
                    <w:p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rsidR="004813AC" w:rsidRPr="00FC6B42" w:rsidRDefault="004813AC" w:rsidP="00FC6B42">
                      <w:pPr>
                        <w:jc w:val="center"/>
                        <w:rPr>
                          <w:rFonts w:ascii="Arial Rounded MT Bold" w:hAnsi="Arial Rounded MT Bold"/>
                          <w:sz w:val="14"/>
                          <w:szCs w:val="14"/>
                        </w:rPr>
                      </w:pPr>
                    </w:p>
                  </w:txbxContent>
                </v:textbox>
                <w10:wrap type="square" anchorx="margin" anchory="margin"/>
              </v:shape>
            </w:pict>
          </mc:Fallback>
        </mc:AlternateContent>
      </w:r>
      <w:r w:rsidR="000537DA">
        <w:t>250 Washington Street, Boston, MA 02108-4619</w:t>
      </w:r>
      <w:r w:rsidR="00457C02">
        <w:t xml:space="preserve"> </w:t>
      </w:r>
    </w:p>
    <w:p w:rsidR="00457C02" w:rsidRDefault="00457C02" w:rsidP="000F315B">
      <w:pPr>
        <w:pStyle w:val="ExecOffice"/>
        <w:framePr w:w="6926" w:wrap="notBeside" w:vAnchor="page" w:x="2884" w:y="711"/>
      </w:pPr>
      <w:r>
        <w:t>Phone: 617-624-5757   Fax: 617-624-5777</w:t>
      </w:r>
    </w:p>
    <w:p w:rsidR="00457C02" w:rsidRDefault="00457C02" w:rsidP="000F315B">
      <w:pPr>
        <w:pStyle w:val="ExecOffice"/>
        <w:framePr w:w="6926" w:wrap="notBeside" w:vAnchor="page" w:x="2884" w:y="711"/>
      </w:pPr>
      <w:r>
        <w:t>TTY: 617-624-5286</w:t>
      </w:r>
    </w:p>
    <w:p w:rsidR="00BA4055" w:rsidRDefault="00687B44" w:rsidP="00BA4055">
      <w:pPr>
        <w:framePr w:w="1927" w:hSpace="180" w:wrap="auto" w:vAnchor="text" w:hAnchor="page" w:x="940" w:y="-951"/>
        <w:rPr>
          <w:rFonts w:ascii="LinePrinter" w:hAnsi="LinePrinter"/>
        </w:rPr>
      </w:pPr>
      <w:r>
        <w:rPr>
          <w:rFonts w:ascii="LinePrinter" w:hAnsi="LinePrinter"/>
          <w:noProof/>
        </w:rPr>
        <w:drawing>
          <wp:inline distT="0" distB="0" distL="0" distR="0">
            <wp:extent cx="962025" cy="1152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rsidR="009908FF" w:rsidRDefault="00687B44" w:rsidP="0072610D">
      <w:r>
        <w:rPr>
          <w:noProof/>
        </w:rPr>
        <mc:AlternateContent>
          <mc:Choice Requires="wps">
            <w:drawing>
              <wp:anchor distT="0" distB="0" distL="114300" distR="114300" simplePos="0" relativeHeight="251655680" behindDoc="0" locked="0" layoutInCell="1" allowOverlap="1">
                <wp:simplePos x="0" y="0"/>
                <wp:positionH relativeFrom="margin">
                  <wp:posOffset>-495300</wp:posOffset>
                </wp:positionH>
                <wp:positionV relativeFrom="margin">
                  <wp:posOffset>654050</wp:posOffset>
                </wp:positionV>
                <wp:extent cx="1572895" cy="802005"/>
                <wp:effectExtent l="0" t="0" r="0" b="12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RDefault="00FC6B42" w:rsidP="00FC6B42">
                            <w:pPr>
                              <w:pStyle w:val="Governor"/>
                              <w:spacing w:after="0"/>
                              <w:rPr>
                                <w:sz w:val="16"/>
                              </w:rPr>
                            </w:pPr>
                          </w:p>
                          <w:p w:rsidR="00FC6B42" w:rsidRDefault="00FC6B42" w:rsidP="00FC6B42">
                            <w:pPr>
                              <w:pStyle w:val="Governor"/>
                              <w:spacing w:after="0"/>
                              <w:rPr>
                                <w:sz w:val="16"/>
                              </w:rPr>
                            </w:pPr>
                            <w:r>
                              <w:rPr>
                                <w:sz w:val="16"/>
                              </w:rPr>
                              <w:t>CHARLES D. BAKER</w:t>
                            </w:r>
                          </w:p>
                          <w:p w:rsidR="00FC6B42" w:rsidRDefault="00FC6B42" w:rsidP="00FC6B42">
                            <w:pPr>
                              <w:pStyle w:val="Governor"/>
                            </w:pPr>
                            <w:r>
                              <w:t>Governor</w:t>
                            </w:r>
                          </w:p>
                          <w:p w:rsidR="00FC6B42" w:rsidRDefault="00FC6B42" w:rsidP="00FC6B42">
                            <w:pPr>
                              <w:pStyle w:val="Governor"/>
                              <w:spacing w:after="0"/>
                              <w:rPr>
                                <w:sz w:val="16"/>
                              </w:rPr>
                            </w:pPr>
                            <w:r>
                              <w:rPr>
                                <w:sz w:val="16"/>
                              </w:rPr>
                              <w:t>KARYN E. POLITO</w:t>
                            </w:r>
                          </w:p>
                          <w:p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9pt;margin-top:51.5pt;width:123.85pt;height:63.15pt;z-index:251655680;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" stroked="f">
                <v:textbox style="mso-fit-shape-to-text:t">
                  <w:txbxContent>
                    <w:p w:rsidR="00FC6B42" w:rsidRDefault="00FC6B42" w:rsidP="00FC6B42">
                      <w:pPr>
                        <w:pStyle w:val="Governor"/>
                        <w:spacing w:after="0"/>
                        <w:rPr>
                          <w:sz w:val="16"/>
                        </w:rPr>
                      </w:pPr>
                    </w:p>
                    <w:p w:rsidR="00FC6B42" w:rsidRDefault="00FC6B42" w:rsidP="00FC6B42">
                      <w:pPr>
                        <w:pStyle w:val="Governor"/>
                        <w:spacing w:after="0"/>
                        <w:rPr>
                          <w:sz w:val="16"/>
                        </w:rPr>
                      </w:pPr>
                      <w:r>
                        <w:rPr>
                          <w:sz w:val="16"/>
                        </w:rPr>
                        <w:t>CHARLES D. BAKER</w:t>
                      </w:r>
                    </w:p>
                    <w:p w:rsidR="00FC6B42" w:rsidRDefault="00FC6B42" w:rsidP="00FC6B42">
                      <w:pPr>
                        <w:pStyle w:val="Governor"/>
                      </w:pPr>
                      <w:r>
                        <w:t>Governor</w:t>
                      </w:r>
                    </w:p>
                    <w:p w:rsidR="00FC6B42" w:rsidRDefault="00FC6B42" w:rsidP="00FC6B42">
                      <w:pPr>
                        <w:pStyle w:val="Governor"/>
                        <w:spacing w:after="0"/>
                        <w:rPr>
                          <w:sz w:val="16"/>
                        </w:rPr>
                      </w:pPr>
                      <w:r>
                        <w:rPr>
                          <w:sz w:val="16"/>
                        </w:rPr>
                        <w:t>KARYN E. POLITO</w:t>
                      </w:r>
                    </w:p>
                    <w:p w:rsidR="00FC6B42" w:rsidRDefault="00FC6B42" w:rsidP="00FC6B42">
                      <w:pPr>
                        <w:pStyle w:val="Governor"/>
                      </w:pPr>
                      <w:r>
                        <w:t>Lieutenant Governor</w:t>
                      </w:r>
                    </w:p>
                  </w:txbxContent>
                </v:textbox>
                <w10:wrap type="square" anchorx="margin" anchory="margin"/>
              </v:shape>
            </w:pict>
          </mc:Fallback>
        </mc:AlternateContent>
      </w:r>
    </w:p>
    <w:p w:rsidR="00FC6B42" w:rsidRDefault="00FC6B42" w:rsidP="0072610D"/>
    <w:p w:rsidR="00FC6B42" w:rsidRDefault="00FC6B42" w:rsidP="0072610D"/>
    <w:p w:rsidR="00284BC8" w:rsidRDefault="00284BC8" w:rsidP="00284BC8">
      <w:pPr>
        <w:spacing w:line="360" w:lineRule="auto"/>
        <w:rPr>
          <w:rFonts w:cs="Tahoma"/>
          <w:b/>
          <w:sz w:val="28"/>
          <w:szCs w:val="28"/>
        </w:rPr>
      </w:pPr>
    </w:p>
    <w:p w:rsidR="00284BC8" w:rsidRPr="00C47208" w:rsidRDefault="00284BC8" w:rsidP="00284BC8">
      <w:pPr>
        <w:spacing w:line="360" w:lineRule="auto"/>
        <w:rPr>
          <w:rFonts w:ascii="Calibri" w:hAnsi="Calibri" w:cs="Tahoma"/>
          <w:b/>
          <w:sz w:val="28"/>
          <w:szCs w:val="28"/>
        </w:rPr>
      </w:pPr>
      <w:r w:rsidRPr="00C47208">
        <w:rPr>
          <w:rFonts w:ascii="Calibri" w:hAnsi="Calibri" w:cs="Tahoma"/>
          <w:b/>
          <w:sz w:val="28"/>
          <w:szCs w:val="28"/>
        </w:rPr>
        <w:t>MEMORANDUM</w:t>
      </w:r>
    </w:p>
    <w:p w:rsidR="00284BC8" w:rsidRPr="00C47208" w:rsidRDefault="00284BC8" w:rsidP="00284BC8">
      <w:pPr>
        <w:rPr>
          <w:rFonts w:ascii="Calibri" w:hAnsi="Calibri" w:cs="Tahoma"/>
          <w:szCs w:val="24"/>
        </w:rPr>
      </w:pPr>
      <w:r w:rsidRPr="00C47208">
        <w:rPr>
          <w:rFonts w:ascii="Calibri" w:hAnsi="Calibri" w:cs="Tahoma"/>
          <w:b/>
          <w:szCs w:val="24"/>
        </w:rPr>
        <w:t xml:space="preserve">TO:  </w:t>
      </w:r>
      <w:r w:rsidRPr="00C47208">
        <w:rPr>
          <w:rFonts w:ascii="Calibri" w:hAnsi="Calibri" w:cs="Tahoma"/>
          <w:b/>
          <w:szCs w:val="24"/>
        </w:rPr>
        <w:tab/>
      </w:r>
      <w:r w:rsidRPr="00C47208">
        <w:rPr>
          <w:rFonts w:ascii="Calibri" w:hAnsi="Calibri" w:cs="Tahoma"/>
          <w:b/>
          <w:szCs w:val="24"/>
        </w:rPr>
        <w:tab/>
      </w:r>
      <w:r w:rsidRPr="00C47208">
        <w:rPr>
          <w:rFonts w:ascii="Calibri" w:hAnsi="Calibri" w:cs="Tahoma"/>
          <w:szCs w:val="24"/>
        </w:rPr>
        <w:t>Radiation Control Program</w:t>
      </w:r>
      <w:r w:rsidRPr="00C47208">
        <w:rPr>
          <w:rFonts w:ascii="Calibri" w:hAnsi="Calibri" w:cs="Tahoma"/>
          <w:b/>
          <w:szCs w:val="24"/>
        </w:rPr>
        <w:tab/>
      </w:r>
    </w:p>
    <w:p w:rsidR="00284BC8" w:rsidRPr="00C47208" w:rsidRDefault="00284BC8" w:rsidP="00284BC8">
      <w:pPr>
        <w:rPr>
          <w:rFonts w:ascii="Calibri" w:hAnsi="Calibri" w:cs="Tahoma"/>
          <w:b/>
          <w:szCs w:val="24"/>
        </w:rPr>
      </w:pPr>
      <w:r w:rsidRPr="00C47208">
        <w:rPr>
          <w:rFonts w:ascii="Calibri" w:hAnsi="Calibri" w:cs="Tahoma"/>
          <w:b/>
          <w:szCs w:val="24"/>
        </w:rPr>
        <w:t>FROM:</w:t>
      </w:r>
      <w:r w:rsidRPr="00C47208">
        <w:rPr>
          <w:rFonts w:ascii="Calibri" w:hAnsi="Calibri" w:cs="Tahoma"/>
          <w:b/>
          <w:szCs w:val="24"/>
        </w:rPr>
        <w:tab/>
      </w:r>
      <w:r w:rsidRPr="00C47208">
        <w:rPr>
          <w:rFonts w:ascii="Calibri" w:hAnsi="Calibri" w:cs="Tahoma"/>
          <w:b/>
          <w:szCs w:val="24"/>
        </w:rPr>
        <w:tab/>
      </w:r>
      <w:r w:rsidRPr="00C47208">
        <w:rPr>
          <w:rFonts w:ascii="Calibri" w:hAnsi="Calibri" w:cs="Tahoma"/>
          <w:szCs w:val="24"/>
        </w:rPr>
        <w:t>Environmental Toxicology Program</w:t>
      </w:r>
    </w:p>
    <w:p w:rsidR="00284BC8" w:rsidRPr="00C47208" w:rsidRDefault="00284BC8" w:rsidP="00284BC8">
      <w:pPr>
        <w:rPr>
          <w:rFonts w:ascii="Calibri" w:hAnsi="Calibri" w:cs="Tahoma"/>
          <w:b/>
          <w:szCs w:val="24"/>
        </w:rPr>
      </w:pPr>
      <w:r w:rsidRPr="00C47208">
        <w:rPr>
          <w:rFonts w:ascii="Calibri" w:hAnsi="Calibri" w:cs="Tahoma"/>
          <w:b/>
          <w:szCs w:val="24"/>
        </w:rPr>
        <w:t>CC:</w:t>
      </w:r>
      <w:r w:rsidRPr="00C47208">
        <w:rPr>
          <w:rFonts w:ascii="Calibri" w:hAnsi="Calibri" w:cs="Tahoma"/>
          <w:b/>
          <w:szCs w:val="24"/>
        </w:rPr>
        <w:tab/>
      </w:r>
      <w:r w:rsidRPr="00C47208">
        <w:rPr>
          <w:rFonts w:ascii="Calibri" w:hAnsi="Calibri" w:cs="Tahoma"/>
          <w:b/>
          <w:szCs w:val="24"/>
        </w:rPr>
        <w:tab/>
      </w:r>
      <w:r w:rsidRPr="00C47208">
        <w:rPr>
          <w:rFonts w:ascii="Calibri" w:hAnsi="Calibri" w:cs="Tahoma"/>
          <w:szCs w:val="24"/>
        </w:rPr>
        <w:t>Bureau of Environmental Health (BEH) Director; BEH Deputy Director</w:t>
      </w:r>
    </w:p>
    <w:p w:rsidR="00284BC8" w:rsidRPr="00C47208" w:rsidRDefault="00284BC8" w:rsidP="00284BC8">
      <w:pPr>
        <w:rPr>
          <w:rFonts w:ascii="Calibri" w:hAnsi="Calibri" w:cs="Tahoma"/>
          <w:b/>
          <w:szCs w:val="24"/>
        </w:rPr>
      </w:pPr>
      <w:r w:rsidRPr="00C47208">
        <w:rPr>
          <w:rFonts w:ascii="Calibri" w:hAnsi="Calibri" w:cs="Tahoma"/>
          <w:b/>
          <w:szCs w:val="24"/>
        </w:rPr>
        <w:t>DATE:</w:t>
      </w:r>
      <w:r w:rsidRPr="00C47208">
        <w:rPr>
          <w:rFonts w:ascii="Calibri" w:hAnsi="Calibri" w:cs="Tahoma"/>
          <w:b/>
          <w:szCs w:val="24"/>
        </w:rPr>
        <w:tab/>
      </w:r>
      <w:r w:rsidRPr="00C47208">
        <w:rPr>
          <w:rFonts w:ascii="Calibri" w:hAnsi="Calibri" w:cs="Tahoma"/>
          <w:b/>
          <w:szCs w:val="24"/>
        </w:rPr>
        <w:tab/>
      </w:r>
      <w:r w:rsidR="005543DA" w:rsidRPr="005543DA">
        <w:rPr>
          <w:rFonts w:ascii="Calibri" w:hAnsi="Calibri" w:cs="Tahoma"/>
          <w:szCs w:val="24"/>
        </w:rPr>
        <w:t>May 8, 2017</w:t>
      </w:r>
    </w:p>
    <w:p w:rsidR="00284BC8" w:rsidRPr="00C47208" w:rsidRDefault="00284BC8" w:rsidP="00284BC8">
      <w:pPr>
        <w:rPr>
          <w:rFonts w:ascii="Calibri" w:hAnsi="Calibri" w:cs="Tahoma"/>
          <w:szCs w:val="24"/>
        </w:rPr>
      </w:pPr>
      <w:r w:rsidRPr="00C47208">
        <w:rPr>
          <w:rFonts w:ascii="Calibri" w:hAnsi="Calibri" w:cs="Tahoma"/>
          <w:b/>
          <w:szCs w:val="24"/>
        </w:rPr>
        <w:t>SUBJECT:</w:t>
      </w:r>
      <w:r w:rsidRPr="00C47208">
        <w:rPr>
          <w:rFonts w:ascii="Calibri" w:hAnsi="Calibri" w:cs="Tahoma"/>
          <w:b/>
          <w:szCs w:val="24"/>
        </w:rPr>
        <w:tab/>
      </w:r>
      <w:r w:rsidRPr="00C47208">
        <w:rPr>
          <w:rFonts w:ascii="Calibri" w:hAnsi="Calibri" w:cs="Tahoma"/>
          <w:szCs w:val="24"/>
        </w:rPr>
        <w:t>Pilgrim Nuclear Power Station Tritium in Groundwater Investigation Update</w:t>
      </w:r>
    </w:p>
    <w:p w:rsidR="00284BC8" w:rsidRPr="00C47208" w:rsidRDefault="00284BC8" w:rsidP="00284BC8">
      <w:pPr>
        <w:rPr>
          <w:rFonts w:ascii="Calibri" w:hAnsi="Calibri"/>
          <w:b/>
          <w:szCs w:val="24"/>
        </w:rPr>
      </w:pPr>
    </w:p>
    <w:p w:rsidR="00284BC8" w:rsidRPr="00C47208" w:rsidRDefault="00284BC8" w:rsidP="00284BC8">
      <w:pPr>
        <w:rPr>
          <w:rFonts w:ascii="Calibri" w:hAnsi="Calibri"/>
          <w:b/>
          <w:szCs w:val="24"/>
        </w:rPr>
      </w:pPr>
    </w:p>
    <w:p w:rsidR="00284BC8" w:rsidRPr="0054050D" w:rsidRDefault="0054050D" w:rsidP="00284BC8">
      <w:pPr>
        <w:pStyle w:val="ListParagraph"/>
        <w:spacing w:after="0" w:line="240" w:lineRule="auto"/>
        <w:ind w:left="0"/>
        <w:jc w:val="both"/>
        <w:rPr>
          <w:b/>
          <w:sz w:val="28"/>
          <w:szCs w:val="28"/>
        </w:rPr>
      </w:pPr>
      <w:r w:rsidRPr="0054050D">
        <w:rPr>
          <w:b/>
          <w:sz w:val="28"/>
          <w:szCs w:val="28"/>
        </w:rPr>
        <w:t xml:space="preserve">INTRODUCTION </w:t>
      </w:r>
    </w:p>
    <w:p w:rsidR="0054050D" w:rsidRDefault="0054050D" w:rsidP="00284BC8">
      <w:pPr>
        <w:pStyle w:val="ListParagraph"/>
        <w:spacing w:after="0" w:line="240" w:lineRule="auto"/>
        <w:ind w:left="0"/>
        <w:jc w:val="both"/>
        <w:rPr>
          <w:sz w:val="24"/>
          <w:szCs w:val="24"/>
        </w:rPr>
      </w:pPr>
    </w:p>
    <w:p w:rsidR="0054050D" w:rsidRPr="00C47208" w:rsidRDefault="0054050D" w:rsidP="0054050D">
      <w:pPr>
        <w:jc w:val="both"/>
        <w:rPr>
          <w:rFonts w:ascii="Calibri" w:hAnsi="Calibri"/>
          <w:sz w:val="18"/>
          <w:szCs w:val="18"/>
        </w:rPr>
      </w:pPr>
      <w:r w:rsidRPr="00C47208">
        <w:rPr>
          <w:rFonts w:ascii="Calibri" w:hAnsi="Calibri"/>
          <w:szCs w:val="24"/>
        </w:rPr>
        <w:t xml:space="preserve">This document describes monitoring results for tritium in groundwater and surface water at the Pilgrim Nuclear Power Station located in Plymouth, MA during the last six months of 2016.  The investigation history </w:t>
      </w:r>
      <w:r>
        <w:rPr>
          <w:rFonts w:ascii="Calibri" w:hAnsi="Calibri"/>
          <w:szCs w:val="24"/>
        </w:rPr>
        <w:t xml:space="preserve">which dates back to 2010 </w:t>
      </w:r>
      <w:r w:rsidRPr="00C47208">
        <w:rPr>
          <w:rFonts w:ascii="Calibri" w:hAnsi="Calibri"/>
          <w:szCs w:val="24"/>
        </w:rPr>
        <w:t xml:space="preserve">and </w:t>
      </w:r>
      <w:r>
        <w:rPr>
          <w:rFonts w:ascii="Calibri" w:hAnsi="Calibri"/>
          <w:szCs w:val="24"/>
        </w:rPr>
        <w:t xml:space="preserve">six years of </w:t>
      </w:r>
      <w:r w:rsidRPr="00C47208">
        <w:rPr>
          <w:rFonts w:ascii="Calibri" w:hAnsi="Calibri"/>
          <w:szCs w:val="24"/>
        </w:rPr>
        <w:t>previous update</w:t>
      </w:r>
      <w:r>
        <w:rPr>
          <w:rFonts w:ascii="Calibri" w:hAnsi="Calibri"/>
          <w:szCs w:val="24"/>
        </w:rPr>
        <w:t xml:space="preserve"> reports </w:t>
      </w:r>
      <w:r w:rsidRPr="00C47208">
        <w:rPr>
          <w:rFonts w:ascii="Calibri" w:hAnsi="Calibri"/>
          <w:szCs w:val="24"/>
        </w:rPr>
        <w:t>are available online</w:t>
      </w:r>
      <w:r w:rsidRPr="00C47208">
        <w:rPr>
          <w:rStyle w:val="FootnoteReference"/>
          <w:rFonts w:ascii="Calibri" w:hAnsi="Calibri"/>
          <w:szCs w:val="24"/>
        </w:rPr>
        <w:footnoteReference w:id="1"/>
      </w:r>
      <w:r w:rsidRPr="00C47208">
        <w:rPr>
          <w:rFonts w:ascii="Calibri" w:hAnsi="Calibri"/>
          <w:szCs w:val="24"/>
        </w:rPr>
        <w:t>.</w:t>
      </w:r>
    </w:p>
    <w:p w:rsidR="0054050D" w:rsidRPr="00C47208" w:rsidRDefault="0054050D" w:rsidP="0054050D">
      <w:pPr>
        <w:jc w:val="both"/>
        <w:rPr>
          <w:rFonts w:ascii="Calibri" w:hAnsi="Calibri"/>
        </w:rPr>
      </w:pPr>
      <w:r w:rsidRPr="00C47208">
        <w:rPr>
          <w:rFonts w:ascii="Calibri" w:hAnsi="Calibri"/>
        </w:rPr>
        <w:t xml:space="preserve">  </w:t>
      </w:r>
    </w:p>
    <w:p w:rsidR="0054050D" w:rsidRPr="00C47208" w:rsidRDefault="0054050D" w:rsidP="0054050D">
      <w:pPr>
        <w:jc w:val="both"/>
        <w:rPr>
          <w:rFonts w:ascii="Calibri" w:hAnsi="Calibri"/>
          <w:szCs w:val="24"/>
        </w:rPr>
      </w:pPr>
      <w:r w:rsidRPr="00C47208">
        <w:rPr>
          <w:rFonts w:ascii="Calibri" w:hAnsi="Calibri"/>
          <w:szCs w:val="24"/>
        </w:rPr>
        <w:t>Entergy collects samples at 23 groundwater wells and two surface water locations on-site at PNPS.  The sampling intervals range from weekly to quarterly and are based on past monitoring results and analysis of possible groundwater tritium pathways. Well and surface water samples are sent by Entergy to an independent analytical lab, Teledyne, and duplicate (or “split”) samples are provided to MDPH for analysis at the Massachusetts Environmental Radiation Lab (MERL).  Entergy regularly reports the Teledyne results to MDPH, MEMA, and NRC officials. Summaries of both laboratory results are on the MDPH website</w:t>
      </w:r>
      <w:r w:rsidRPr="00C47208">
        <w:rPr>
          <w:rFonts w:ascii="Calibri" w:hAnsi="Calibri"/>
          <w:szCs w:val="24"/>
          <w:vertAlign w:val="superscript"/>
        </w:rPr>
        <w:t>2</w:t>
      </w:r>
      <w:r w:rsidRPr="00C47208">
        <w:rPr>
          <w:rFonts w:ascii="Calibri" w:hAnsi="Calibri"/>
          <w:szCs w:val="24"/>
        </w:rPr>
        <w:t xml:space="preserve">.  </w:t>
      </w:r>
    </w:p>
    <w:p w:rsidR="0054050D" w:rsidRPr="00C47208" w:rsidRDefault="0054050D" w:rsidP="0054050D">
      <w:pPr>
        <w:jc w:val="both"/>
        <w:rPr>
          <w:rFonts w:ascii="Calibri" w:hAnsi="Calibri"/>
          <w:szCs w:val="24"/>
        </w:rPr>
      </w:pPr>
    </w:p>
    <w:p w:rsidR="0054050D" w:rsidRPr="00C47208" w:rsidRDefault="0054050D" w:rsidP="0054050D">
      <w:pPr>
        <w:jc w:val="both"/>
        <w:rPr>
          <w:rFonts w:ascii="Calibri" w:hAnsi="Calibri"/>
          <w:szCs w:val="24"/>
        </w:rPr>
      </w:pPr>
      <w:r w:rsidRPr="00C47208">
        <w:rPr>
          <w:rFonts w:ascii="Calibri" w:hAnsi="Calibri"/>
          <w:szCs w:val="24"/>
        </w:rPr>
        <w:t>This letter updates results from both Entergy and MERL for sampling performed during the final six months of 2016. Results were compared to a conservative, health protective screening level of 3,000 picocuries per liter (pCi/L), (or 1/10</w:t>
      </w:r>
      <w:r w:rsidRPr="00C47208">
        <w:rPr>
          <w:rFonts w:ascii="Calibri" w:hAnsi="Calibri"/>
          <w:szCs w:val="24"/>
          <w:vertAlign w:val="superscript"/>
        </w:rPr>
        <w:t>th</w:t>
      </w:r>
      <w:r w:rsidRPr="00C47208">
        <w:rPr>
          <w:rFonts w:ascii="Calibri" w:hAnsi="Calibri"/>
          <w:szCs w:val="24"/>
        </w:rPr>
        <w:t xml:space="preserve"> the NRC-approved level of 30,000 pCi/L tritium in non-drinking water sources); and the US Environmental Protection Agency (EPA) drinking water standard for tritium of 20,000 pCi/L.  The closest municipal drinking water wells are 2.5 miles from PNPS and are not expected to be impacted by on-site tritium sources.   </w:t>
      </w:r>
    </w:p>
    <w:p w:rsidR="00284BC8" w:rsidRPr="00C47208" w:rsidRDefault="0054050D" w:rsidP="00284BC8">
      <w:pPr>
        <w:pStyle w:val="ListParagraph"/>
        <w:spacing w:after="0" w:line="240" w:lineRule="auto"/>
        <w:ind w:left="0"/>
        <w:rPr>
          <w:b/>
          <w:sz w:val="28"/>
          <w:szCs w:val="28"/>
        </w:rPr>
      </w:pPr>
      <w:r>
        <w:rPr>
          <w:b/>
          <w:sz w:val="28"/>
          <w:szCs w:val="28"/>
        </w:rPr>
        <w:lastRenderedPageBreak/>
        <w:t xml:space="preserve">SUMMARY </w:t>
      </w:r>
    </w:p>
    <w:p w:rsidR="00284BC8" w:rsidRPr="00C47208" w:rsidRDefault="00284BC8" w:rsidP="00284BC8">
      <w:pPr>
        <w:pStyle w:val="ListParagraph"/>
        <w:spacing w:after="0" w:line="240" w:lineRule="auto"/>
        <w:ind w:left="0"/>
        <w:rPr>
          <w:b/>
          <w:sz w:val="24"/>
          <w:szCs w:val="24"/>
        </w:rPr>
      </w:pPr>
    </w:p>
    <w:p w:rsidR="001748B5" w:rsidRDefault="00C81E48" w:rsidP="00C81E48">
      <w:pPr>
        <w:pStyle w:val="ListParagraph"/>
        <w:numPr>
          <w:ilvl w:val="0"/>
          <w:numId w:val="1"/>
        </w:numPr>
        <w:spacing w:after="0" w:line="240" w:lineRule="auto"/>
        <w:jc w:val="both"/>
        <w:rPr>
          <w:sz w:val="24"/>
          <w:szCs w:val="24"/>
        </w:rPr>
      </w:pPr>
      <w:r w:rsidRPr="00227A95">
        <w:rPr>
          <w:sz w:val="24"/>
          <w:szCs w:val="24"/>
        </w:rPr>
        <w:t xml:space="preserve">Of the </w:t>
      </w:r>
      <w:r w:rsidR="00284BC8" w:rsidRPr="00227A95">
        <w:rPr>
          <w:sz w:val="24"/>
          <w:szCs w:val="24"/>
        </w:rPr>
        <w:t xml:space="preserve">23 groundwater wells </w:t>
      </w:r>
      <w:r w:rsidRPr="00227A95">
        <w:rPr>
          <w:sz w:val="24"/>
          <w:szCs w:val="24"/>
        </w:rPr>
        <w:t xml:space="preserve">that are routinely sampled, results for 7 </w:t>
      </w:r>
      <w:r w:rsidR="00284BC8" w:rsidRPr="00227A95">
        <w:rPr>
          <w:sz w:val="24"/>
          <w:szCs w:val="24"/>
        </w:rPr>
        <w:t xml:space="preserve">indicate no detectable activity above background, and 14 of the remaining 16 showed stabilization in tritium levels. </w:t>
      </w:r>
    </w:p>
    <w:p w:rsidR="00227A95" w:rsidRPr="00227A95" w:rsidRDefault="00227A95" w:rsidP="00227A95">
      <w:pPr>
        <w:jc w:val="both"/>
        <w:rPr>
          <w:szCs w:val="24"/>
        </w:rPr>
      </w:pPr>
    </w:p>
    <w:p w:rsidR="00284BC8" w:rsidRDefault="00284BC8" w:rsidP="00C81E48">
      <w:pPr>
        <w:pStyle w:val="ListParagraph"/>
        <w:numPr>
          <w:ilvl w:val="0"/>
          <w:numId w:val="1"/>
        </w:numPr>
        <w:spacing w:after="0" w:line="240" w:lineRule="auto"/>
        <w:jc w:val="both"/>
        <w:rPr>
          <w:sz w:val="24"/>
          <w:szCs w:val="24"/>
        </w:rPr>
      </w:pPr>
      <w:r w:rsidRPr="00227A95">
        <w:rPr>
          <w:sz w:val="24"/>
          <w:szCs w:val="24"/>
        </w:rPr>
        <w:t>MW-216 showed a cyclic increase consistent with historical results with a higher peak than seen in 2015, but lower than 2013 and 2014. Entergy is working with their consultant, ERM, to evaluate contributing sources to these results.</w:t>
      </w:r>
    </w:p>
    <w:p w:rsidR="00227A95" w:rsidRPr="00227A95" w:rsidRDefault="00227A95" w:rsidP="00227A95">
      <w:pPr>
        <w:jc w:val="both"/>
        <w:rPr>
          <w:szCs w:val="24"/>
        </w:rPr>
      </w:pPr>
    </w:p>
    <w:p w:rsidR="001748B5" w:rsidRPr="00227A95" w:rsidRDefault="00C81E48" w:rsidP="00C81E48">
      <w:pPr>
        <w:pStyle w:val="ListParagraph"/>
        <w:numPr>
          <w:ilvl w:val="0"/>
          <w:numId w:val="1"/>
        </w:numPr>
        <w:spacing w:after="0" w:line="240" w:lineRule="auto"/>
        <w:jc w:val="both"/>
        <w:rPr>
          <w:b/>
          <w:bCs/>
          <w:sz w:val="24"/>
          <w:szCs w:val="24"/>
        </w:rPr>
      </w:pPr>
      <w:r w:rsidRPr="00227A95">
        <w:rPr>
          <w:sz w:val="24"/>
          <w:szCs w:val="24"/>
        </w:rPr>
        <w:t xml:space="preserve">Minor modifications were made to the sampling frequency of </w:t>
      </w:r>
      <w:r w:rsidR="001748B5" w:rsidRPr="00227A95">
        <w:rPr>
          <w:sz w:val="24"/>
          <w:szCs w:val="24"/>
        </w:rPr>
        <w:t xml:space="preserve">one well. </w:t>
      </w:r>
    </w:p>
    <w:p w:rsidR="00227A95" w:rsidRPr="00227A95" w:rsidRDefault="00227A95" w:rsidP="00227A95">
      <w:pPr>
        <w:pStyle w:val="ListParagraph"/>
        <w:spacing w:after="0" w:line="240" w:lineRule="auto"/>
        <w:ind w:left="360"/>
        <w:jc w:val="both"/>
        <w:rPr>
          <w:b/>
          <w:bCs/>
          <w:sz w:val="24"/>
          <w:szCs w:val="24"/>
        </w:rPr>
      </w:pPr>
    </w:p>
    <w:p w:rsidR="00284BC8" w:rsidRPr="00227A95" w:rsidRDefault="00284BC8" w:rsidP="00C81E48">
      <w:pPr>
        <w:pStyle w:val="ListParagraph"/>
        <w:numPr>
          <w:ilvl w:val="0"/>
          <w:numId w:val="1"/>
        </w:numPr>
        <w:spacing w:after="0" w:line="240" w:lineRule="auto"/>
        <w:jc w:val="both"/>
        <w:rPr>
          <w:b/>
          <w:bCs/>
          <w:sz w:val="24"/>
          <w:szCs w:val="24"/>
        </w:rPr>
      </w:pPr>
      <w:r w:rsidRPr="00227A95">
        <w:rPr>
          <w:sz w:val="24"/>
          <w:szCs w:val="24"/>
        </w:rPr>
        <w:t xml:space="preserve">On-site efforts by Entergy have focused on identifying sources of tritium and monitoring for new sources, with emphasis on surveillance for leaks in the Condenser Bay area. </w:t>
      </w:r>
    </w:p>
    <w:p w:rsidR="00227A95" w:rsidRPr="00227A95" w:rsidRDefault="00227A95" w:rsidP="00227A95">
      <w:pPr>
        <w:jc w:val="both"/>
        <w:rPr>
          <w:b/>
          <w:bCs/>
          <w:szCs w:val="24"/>
        </w:rPr>
      </w:pPr>
    </w:p>
    <w:p w:rsidR="00284BC8" w:rsidRPr="00227A95" w:rsidRDefault="00284BC8" w:rsidP="00284BC8">
      <w:pPr>
        <w:pStyle w:val="ListParagraph"/>
        <w:numPr>
          <w:ilvl w:val="0"/>
          <w:numId w:val="1"/>
        </w:numPr>
        <w:spacing w:after="0" w:line="240" w:lineRule="auto"/>
        <w:jc w:val="both"/>
        <w:rPr>
          <w:b/>
          <w:bCs/>
          <w:sz w:val="24"/>
          <w:szCs w:val="24"/>
        </w:rPr>
      </w:pPr>
      <w:r w:rsidRPr="00227A95">
        <w:rPr>
          <w:sz w:val="24"/>
          <w:szCs w:val="24"/>
        </w:rPr>
        <w:t>Staff from the MDPH Bureau of Environmental Health continue to review new information from the monitoring efforts and to maintain regular contact with the Massachusetts Emergency Management Agency (MEMA), the Nuclear Regulatory Committee (NRC), and Entergy.</w:t>
      </w:r>
    </w:p>
    <w:p w:rsidR="00284BC8" w:rsidRPr="00C47208" w:rsidRDefault="00284BC8" w:rsidP="00284BC8">
      <w:pPr>
        <w:jc w:val="both"/>
        <w:rPr>
          <w:rFonts w:ascii="Calibri" w:hAnsi="Calibri"/>
          <w:szCs w:val="24"/>
        </w:rPr>
      </w:pPr>
      <w:r w:rsidRPr="00C47208">
        <w:rPr>
          <w:rFonts w:ascii="Calibri" w:hAnsi="Calibri"/>
          <w:szCs w:val="24"/>
        </w:rPr>
        <w:t xml:space="preserve"> </w:t>
      </w:r>
    </w:p>
    <w:p w:rsidR="001748B5" w:rsidRPr="00C47208" w:rsidRDefault="001748B5" w:rsidP="00284BC8">
      <w:pPr>
        <w:jc w:val="both"/>
        <w:rPr>
          <w:rFonts w:ascii="Calibri" w:hAnsi="Calibri"/>
          <w:szCs w:val="24"/>
        </w:rPr>
      </w:pPr>
    </w:p>
    <w:p w:rsidR="00284BC8" w:rsidRPr="00C47208" w:rsidRDefault="00284BC8" w:rsidP="00284BC8">
      <w:pPr>
        <w:keepNext/>
        <w:rPr>
          <w:rStyle w:val="Strong"/>
          <w:rFonts w:ascii="Calibri" w:hAnsi="Calibri"/>
          <w:caps/>
          <w:sz w:val="28"/>
          <w:szCs w:val="28"/>
        </w:rPr>
      </w:pPr>
      <w:r w:rsidRPr="00C47208">
        <w:rPr>
          <w:rStyle w:val="Strong"/>
          <w:rFonts w:ascii="Calibri" w:hAnsi="Calibri"/>
          <w:caps/>
          <w:sz w:val="28"/>
          <w:szCs w:val="28"/>
        </w:rPr>
        <w:t>Results</w:t>
      </w:r>
    </w:p>
    <w:p w:rsidR="00284BC8" w:rsidRPr="00C47208" w:rsidRDefault="00284BC8" w:rsidP="00284BC8">
      <w:pPr>
        <w:keepNext/>
        <w:rPr>
          <w:rStyle w:val="Strong"/>
          <w:rFonts w:ascii="Calibri" w:hAnsi="Calibri"/>
          <w:caps/>
          <w:szCs w:val="24"/>
        </w:rPr>
      </w:pPr>
    </w:p>
    <w:p w:rsidR="00284BC8" w:rsidRPr="001748B5" w:rsidRDefault="00FE44C0" w:rsidP="00284BC8">
      <w:pPr>
        <w:jc w:val="both"/>
        <w:rPr>
          <w:rFonts w:ascii="Calibri" w:hAnsi="Calibri"/>
          <w:szCs w:val="24"/>
        </w:rPr>
      </w:pPr>
      <w:r>
        <w:rPr>
          <w:rFonts w:ascii="Calibri" w:hAnsi="Calibri"/>
          <w:szCs w:val="24"/>
        </w:rPr>
        <w:t xml:space="preserve">Sampling results for all on-site wells and surface water samples are summarized on the </w:t>
      </w:r>
      <w:r w:rsidR="008D6D6D">
        <w:rPr>
          <w:rFonts w:ascii="Calibri" w:hAnsi="Calibri"/>
          <w:szCs w:val="24"/>
        </w:rPr>
        <w:t>M</w:t>
      </w:r>
      <w:r>
        <w:rPr>
          <w:rFonts w:ascii="Calibri" w:hAnsi="Calibri"/>
          <w:szCs w:val="24"/>
        </w:rPr>
        <w:t>DPH website</w:t>
      </w:r>
      <w:r w:rsidR="0054050D">
        <w:rPr>
          <w:rStyle w:val="FootnoteReference"/>
          <w:rFonts w:ascii="Calibri" w:hAnsi="Calibri"/>
          <w:color w:val="0000FF"/>
          <w:szCs w:val="24"/>
          <w:u w:val="single"/>
        </w:rPr>
        <w:footnoteReference w:id="2"/>
      </w:r>
      <w:r>
        <w:rPr>
          <w:rFonts w:ascii="Calibri" w:hAnsi="Calibri"/>
          <w:szCs w:val="24"/>
        </w:rPr>
        <w:t xml:space="preserve">.  </w:t>
      </w:r>
      <w:r w:rsidR="00284BC8" w:rsidRPr="00C47208">
        <w:rPr>
          <w:rFonts w:ascii="Calibri" w:hAnsi="Calibri"/>
          <w:szCs w:val="24"/>
        </w:rPr>
        <w:t xml:space="preserve">Of the </w:t>
      </w:r>
      <w:r w:rsidR="00284BC8" w:rsidRPr="00770B26">
        <w:rPr>
          <w:rFonts w:ascii="Calibri" w:hAnsi="Calibri"/>
          <w:szCs w:val="24"/>
        </w:rPr>
        <w:t>23 on-site groundwater wells that are routinely</w:t>
      </w:r>
      <w:hyperlink r:id="rId10" w:history="1">
        <w:r w:rsidR="00284BC8" w:rsidRPr="00770B26">
          <w:rPr>
            <w:rStyle w:val="Hyperlink"/>
            <w:rFonts w:ascii="Calibri" w:hAnsi="Calibri"/>
            <w:szCs w:val="24"/>
          </w:rPr>
          <w:t xml:space="preserve"> monitored</w:t>
        </w:r>
      </w:hyperlink>
      <w:r w:rsidR="00284BC8" w:rsidRPr="00C47208">
        <w:rPr>
          <w:rFonts w:ascii="Calibri" w:hAnsi="Calibri"/>
          <w:szCs w:val="24"/>
        </w:rPr>
        <w:t xml:space="preserve">, only MW-216 and MW-218 had levels of tritium detected above 3,000 pCi/L. All results were well below the EPA drinking water standard of 20,000 pCi/L. </w:t>
      </w:r>
      <w:r w:rsidR="00284BC8" w:rsidRPr="00796C1A">
        <w:rPr>
          <w:rFonts w:ascii="Calibri" w:hAnsi="Calibri"/>
          <w:b/>
          <w:szCs w:val="24"/>
        </w:rPr>
        <w:t>Figure 1</w:t>
      </w:r>
      <w:r w:rsidR="00284BC8" w:rsidRPr="00C47208">
        <w:rPr>
          <w:rFonts w:ascii="Calibri" w:hAnsi="Calibri"/>
          <w:szCs w:val="24"/>
        </w:rPr>
        <w:t xml:space="preserve"> shows sampling results in 2016 for three </w:t>
      </w:r>
      <w:r w:rsidR="00E60F50">
        <w:rPr>
          <w:rFonts w:ascii="Calibri" w:hAnsi="Calibri"/>
          <w:szCs w:val="24"/>
        </w:rPr>
        <w:t xml:space="preserve">weekly sampled </w:t>
      </w:r>
      <w:r w:rsidR="00284BC8" w:rsidRPr="00C47208">
        <w:rPr>
          <w:rFonts w:ascii="Calibri" w:hAnsi="Calibri"/>
          <w:szCs w:val="24"/>
        </w:rPr>
        <w:t>wells of interest where tritium levels reached 2,000 pCi/L (1/10</w:t>
      </w:r>
      <w:r w:rsidR="00284BC8" w:rsidRPr="00C47208">
        <w:rPr>
          <w:rFonts w:ascii="Calibri" w:hAnsi="Calibri"/>
          <w:szCs w:val="24"/>
          <w:vertAlign w:val="superscript"/>
        </w:rPr>
        <w:t>th</w:t>
      </w:r>
      <w:r w:rsidR="00284BC8" w:rsidRPr="00C47208">
        <w:rPr>
          <w:rFonts w:ascii="Calibri" w:hAnsi="Calibri"/>
          <w:szCs w:val="24"/>
        </w:rPr>
        <w:t xml:space="preserve"> of the EPA drinking water standard), and historic </w:t>
      </w:r>
      <w:r w:rsidR="00284BC8" w:rsidRPr="001748B5">
        <w:rPr>
          <w:rFonts w:ascii="Calibri" w:hAnsi="Calibri"/>
          <w:szCs w:val="24"/>
        </w:rPr>
        <w:t>results for these wells (MW-216, MW-218, and MW-211). Two additional wells, MW-215 and MW-206, are sampled weekly due to their location in preferential pathways of water from seismic gaps; both have low tritium levels (ranging from non-detectable to 1,192 pCi/L)</w:t>
      </w:r>
      <w:r w:rsidR="00796C1A" w:rsidRPr="001748B5">
        <w:rPr>
          <w:rFonts w:ascii="Calibri" w:hAnsi="Calibri"/>
          <w:szCs w:val="24"/>
        </w:rPr>
        <w:t>.</w:t>
      </w:r>
    </w:p>
    <w:p w:rsidR="00796C1A" w:rsidRPr="00C47208" w:rsidRDefault="00796C1A" w:rsidP="00284BC8">
      <w:pPr>
        <w:jc w:val="both"/>
        <w:rPr>
          <w:rFonts w:ascii="Calibri" w:hAnsi="Calibri"/>
          <w:szCs w:val="24"/>
        </w:rPr>
      </w:pPr>
    </w:p>
    <w:p w:rsidR="00284BC8" w:rsidRDefault="00E60F50" w:rsidP="00284BC8">
      <w:pPr>
        <w:jc w:val="both"/>
        <w:rPr>
          <w:rFonts w:ascii="Calibri" w:hAnsi="Calibri"/>
          <w:szCs w:val="24"/>
        </w:rPr>
      </w:pPr>
      <w:r>
        <w:rPr>
          <w:rFonts w:ascii="Calibri" w:hAnsi="Calibri"/>
          <w:szCs w:val="24"/>
        </w:rPr>
        <w:t>Sixteen wells</w:t>
      </w:r>
      <w:r w:rsidR="001748B5">
        <w:rPr>
          <w:rFonts w:ascii="Calibri" w:hAnsi="Calibri"/>
          <w:szCs w:val="24"/>
        </w:rPr>
        <w:t>,</w:t>
      </w:r>
      <w:r>
        <w:rPr>
          <w:rFonts w:ascii="Calibri" w:hAnsi="Calibri"/>
          <w:szCs w:val="24"/>
        </w:rPr>
        <w:t xml:space="preserve"> not shown in </w:t>
      </w:r>
      <w:r w:rsidR="00796C1A" w:rsidRPr="001748B5">
        <w:rPr>
          <w:rFonts w:ascii="Calibri" w:hAnsi="Calibri"/>
          <w:b/>
          <w:szCs w:val="24"/>
        </w:rPr>
        <w:t>Fi</w:t>
      </w:r>
      <w:r w:rsidRPr="001748B5">
        <w:rPr>
          <w:rFonts w:ascii="Calibri" w:hAnsi="Calibri"/>
          <w:b/>
          <w:szCs w:val="24"/>
        </w:rPr>
        <w:t>gure 1</w:t>
      </w:r>
      <w:r w:rsidR="001748B5">
        <w:rPr>
          <w:rFonts w:ascii="Calibri" w:hAnsi="Calibri"/>
          <w:b/>
          <w:szCs w:val="24"/>
        </w:rPr>
        <w:t>,</w:t>
      </w:r>
      <w:r>
        <w:rPr>
          <w:rFonts w:ascii="Calibri" w:hAnsi="Calibri"/>
          <w:szCs w:val="24"/>
        </w:rPr>
        <w:t xml:space="preserve"> are sampled </w:t>
      </w:r>
      <w:r w:rsidR="001748B5">
        <w:rPr>
          <w:rFonts w:ascii="Calibri" w:hAnsi="Calibri"/>
          <w:szCs w:val="24"/>
        </w:rPr>
        <w:t>on a less frequent basis</w:t>
      </w:r>
      <w:r>
        <w:rPr>
          <w:rFonts w:ascii="Calibri" w:hAnsi="Calibri"/>
          <w:szCs w:val="24"/>
        </w:rPr>
        <w:t>.</w:t>
      </w:r>
      <w:r w:rsidRPr="00E60F50">
        <w:rPr>
          <w:rFonts w:ascii="Calibri" w:hAnsi="Calibri"/>
          <w:szCs w:val="24"/>
        </w:rPr>
        <w:t xml:space="preserve"> </w:t>
      </w:r>
      <w:r w:rsidR="00284BC8" w:rsidRPr="00C47208">
        <w:rPr>
          <w:rFonts w:ascii="Calibri" w:hAnsi="Calibri"/>
          <w:szCs w:val="24"/>
        </w:rPr>
        <w:t>Results for wells sampled monthly</w:t>
      </w:r>
      <w:r w:rsidR="001748B5">
        <w:rPr>
          <w:rFonts w:ascii="Calibri" w:hAnsi="Calibri"/>
          <w:szCs w:val="24"/>
        </w:rPr>
        <w:t xml:space="preserve"> ranged from 608 to 1,279 pCi/L, </w:t>
      </w:r>
      <w:r w:rsidR="00284BC8" w:rsidRPr="00C47208">
        <w:rPr>
          <w:rFonts w:ascii="Calibri" w:hAnsi="Calibri"/>
          <w:szCs w:val="24"/>
        </w:rPr>
        <w:t xml:space="preserve">and from no detection to 877 pCi/L for quarterly sampled wells. </w:t>
      </w:r>
      <w:r w:rsidR="00283838" w:rsidRPr="00C47208">
        <w:rPr>
          <w:rFonts w:ascii="Calibri" w:hAnsi="Calibri"/>
          <w:szCs w:val="24"/>
        </w:rPr>
        <w:t>Sampling frequency at MW-210 was adjusted from quarterly to every third week following an incre</w:t>
      </w:r>
      <w:r w:rsidR="00283838">
        <w:rPr>
          <w:rFonts w:ascii="Calibri" w:hAnsi="Calibri"/>
          <w:szCs w:val="24"/>
        </w:rPr>
        <w:t>ase from 597 pCi/L on August 3rd</w:t>
      </w:r>
      <w:r w:rsidR="00283838" w:rsidRPr="00C47208">
        <w:rPr>
          <w:rFonts w:ascii="Calibri" w:hAnsi="Calibri"/>
          <w:szCs w:val="24"/>
        </w:rPr>
        <w:t xml:space="preserve"> to 1</w:t>
      </w:r>
      <w:r w:rsidR="00283838">
        <w:rPr>
          <w:rFonts w:ascii="Calibri" w:hAnsi="Calibri"/>
          <w:szCs w:val="24"/>
        </w:rPr>
        <w:t>,</w:t>
      </w:r>
      <w:r w:rsidR="00283838" w:rsidRPr="00C47208">
        <w:rPr>
          <w:rFonts w:ascii="Calibri" w:hAnsi="Calibri"/>
          <w:szCs w:val="24"/>
        </w:rPr>
        <w:t>180 pCi/L on November 14</w:t>
      </w:r>
      <w:r w:rsidR="00283838" w:rsidRPr="00C47208">
        <w:rPr>
          <w:rFonts w:ascii="Calibri" w:hAnsi="Calibri"/>
          <w:szCs w:val="24"/>
          <w:vertAlign w:val="superscript"/>
        </w:rPr>
        <w:t>th</w:t>
      </w:r>
      <w:r w:rsidR="00283838" w:rsidRPr="00C47208">
        <w:rPr>
          <w:rFonts w:ascii="Calibri" w:hAnsi="Calibri"/>
          <w:szCs w:val="24"/>
        </w:rPr>
        <w:t>.</w:t>
      </w:r>
      <w:r w:rsidR="001748B5">
        <w:rPr>
          <w:rFonts w:ascii="Calibri" w:hAnsi="Calibri"/>
          <w:szCs w:val="24"/>
        </w:rPr>
        <w:t xml:space="preserve"> </w:t>
      </w:r>
      <w:r w:rsidR="00284BC8" w:rsidRPr="00C47208">
        <w:rPr>
          <w:rFonts w:ascii="Calibri" w:hAnsi="Calibri"/>
          <w:szCs w:val="24"/>
        </w:rPr>
        <w:t xml:space="preserve">No tritium was detected in surface water samples collected during the latter half of 2016. </w:t>
      </w:r>
    </w:p>
    <w:p w:rsidR="00AC0255" w:rsidRDefault="00AC0255" w:rsidP="00284BC8">
      <w:pPr>
        <w:jc w:val="both"/>
        <w:rPr>
          <w:rFonts w:ascii="Calibri" w:hAnsi="Calibri"/>
          <w:szCs w:val="24"/>
        </w:rPr>
      </w:pPr>
    </w:p>
    <w:p w:rsidR="005D2198" w:rsidRPr="00C47208" w:rsidRDefault="005D2198" w:rsidP="005D2198">
      <w:pPr>
        <w:jc w:val="both"/>
        <w:rPr>
          <w:rFonts w:ascii="Calibri" w:hAnsi="Calibri"/>
          <w:szCs w:val="24"/>
        </w:rPr>
      </w:pPr>
      <w:r w:rsidRPr="00C47208">
        <w:rPr>
          <w:rFonts w:ascii="Calibri" w:hAnsi="Calibri"/>
          <w:szCs w:val="24"/>
        </w:rPr>
        <w:t xml:space="preserve">In February, Entergy sampled three flex wells (deep wells used for emergency cooling water) and no tritium was identified above the minimum detectable concentration levels. Although </w:t>
      </w:r>
      <w:r w:rsidRPr="00C47208">
        <w:rPr>
          <w:rFonts w:ascii="Calibri" w:hAnsi="Calibri"/>
          <w:szCs w:val="24"/>
        </w:rPr>
        <w:lastRenderedPageBreak/>
        <w:t xml:space="preserve">these wells are not part of the routine tritium monitoring program, they provide additional perspective on deeper on-site groundwater tritium levels.  </w:t>
      </w:r>
      <w:r w:rsidR="00F44FFE">
        <w:rPr>
          <w:rFonts w:ascii="Calibri" w:hAnsi="Calibri"/>
          <w:szCs w:val="24"/>
        </w:rPr>
        <w:t xml:space="preserve">These wells are discussed in </w:t>
      </w:r>
      <w:r w:rsidR="00770B26">
        <w:rPr>
          <w:rFonts w:ascii="Calibri" w:hAnsi="Calibri"/>
          <w:szCs w:val="24"/>
        </w:rPr>
        <w:t xml:space="preserve">an </w:t>
      </w:r>
      <w:r w:rsidR="00F44FFE">
        <w:rPr>
          <w:rFonts w:ascii="Calibri" w:hAnsi="Calibri"/>
          <w:szCs w:val="24"/>
        </w:rPr>
        <w:t xml:space="preserve">earlier </w:t>
      </w:r>
      <w:hyperlink r:id="rId11" w:history="1">
        <w:r w:rsidR="00770B26">
          <w:rPr>
            <w:rStyle w:val="Hyperlink"/>
            <w:rFonts w:ascii="Calibri" w:hAnsi="Calibri"/>
            <w:szCs w:val="24"/>
          </w:rPr>
          <w:t>update report.</w:t>
        </w:r>
      </w:hyperlink>
      <w:r w:rsidR="00227A95">
        <w:rPr>
          <w:rFonts w:ascii="Calibri" w:hAnsi="Calibri"/>
          <w:szCs w:val="24"/>
        </w:rPr>
        <w:t xml:space="preserve"> </w:t>
      </w:r>
      <w:r w:rsidR="00F44FFE">
        <w:rPr>
          <w:rFonts w:ascii="Calibri" w:hAnsi="Calibri"/>
          <w:szCs w:val="24"/>
        </w:rPr>
        <w:t xml:space="preserve"> </w:t>
      </w:r>
      <w:r w:rsidRPr="00C47208">
        <w:rPr>
          <w:rFonts w:ascii="Calibri" w:hAnsi="Calibri"/>
          <w:szCs w:val="24"/>
        </w:rPr>
        <w:t xml:space="preserve"> In May, Entergy analyzed the routine groundwater wells for hard-to-detect radionuclides and found no detection of radionuclides of concern.</w:t>
      </w:r>
    </w:p>
    <w:p w:rsidR="005D2198" w:rsidRDefault="005D2198" w:rsidP="00284BC8">
      <w:pPr>
        <w:jc w:val="both"/>
        <w:rPr>
          <w:rFonts w:ascii="Calibri" w:hAnsi="Calibri"/>
          <w:szCs w:val="24"/>
        </w:rPr>
      </w:pPr>
    </w:p>
    <w:p w:rsidR="001748B5" w:rsidRPr="00C47208" w:rsidRDefault="001748B5" w:rsidP="00284BC8">
      <w:pPr>
        <w:jc w:val="both"/>
        <w:rPr>
          <w:rFonts w:ascii="Calibri" w:hAnsi="Calibri"/>
          <w:szCs w:val="24"/>
        </w:rPr>
      </w:pPr>
    </w:p>
    <w:p w:rsidR="00284BC8" w:rsidRPr="00C47208" w:rsidRDefault="00284BC8" w:rsidP="00284BC8">
      <w:pPr>
        <w:rPr>
          <w:rStyle w:val="Emphasis"/>
          <w:rFonts w:ascii="Calibri" w:hAnsi="Calibri"/>
          <w:b/>
          <w:i w:val="0"/>
          <w:caps/>
          <w:sz w:val="28"/>
          <w:szCs w:val="28"/>
        </w:rPr>
      </w:pPr>
      <w:r w:rsidRPr="00C47208">
        <w:rPr>
          <w:rStyle w:val="Emphasis"/>
          <w:rFonts w:ascii="Calibri" w:hAnsi="Calibri"/>
          <w:b/>
          <w:i w:val="0"/>
          <w:caps/>
          <w:sz w:val="28"/>
          <w:szCs w:val="28"/>
        </w:rPr>
        <w:t>Discussion</w:t>
      </w:r>
    </w:p>
    <w:p w:rsidR="00284BC8" w:rsidRPr="00C47208" w:rsidRDefault="00284BC8" w:rsidP="00284BC8">
      <w:pPr>
        <w:rPr>
          <w:rStyle w:val="Emphasis"/>
          <w:rFonts w:ascii="Calibri" w:hAnsi="Calibri"/>
          <w:b/>
          <w:i w:val="0"/>
          <w:caps/>
          <w:szCs w:val="24"/>
        </w:rPr>
      </w:pPr>
    </w:p>
    <w:p w:rsidR="00284BC8" w:rsidRPr="00C47208" w:rsidRDefault="00284BC8" w:rsidP="00284BC8">
      <w:pPr>
        <w:jc w:val="both"/>
        <w:rPr>
          <w:rFonts w:ascii="Calibri" w:hAnsi="Calibri"/>
          <w:szCs w:val="24"/>
        </w:rPr>
      </w:pPr>
      <w:r w:rsidRPr="00C47208">
        <w:rPr>
          <w:rFonts w:ascii="Calibri" w:hAnsi="Calibri"/>
          <w:szCs w:val="24"/>
        </w:rPr>
        <w:t xml:space="preserve">Monitoring results for the second six months of 2016 showed stabilization in groundwater tritium levels with the exception of MW-210 and MW-216. </w:t>
      </w:r>
      <w:r w:rsidR="00283838">
        <w:rPr>
          <w:rFonts w:ascii="Calibri" w:hAnsi="Calibri"/>
          <w:szCs w:val="24"/>
        </w:rPr>
        <w:t>I</w:t>
      </w:r>
      <w:r w:rsidRPr="00C47208">
        <w:rPr>
          <w:rFonts w:ascii="Calibri" w:hAnsi="Calibri"/>
          <w:szCs w:val="24"/>
        </w:rPr>
        <w:t xml:space="preserve">ncreased surveillance </w:t>
      </w:r>
      <w:r w:rsidR="00283838">
        <w:rPr>
          <w:rFonts w:ascii="Calibri" w:hAnsi="Calibri"/>
          <w:szCs w:val="24"/>
        </w:rPr>
        <w:t xml:space="preserve">for MW 210 </w:t>
      </w:r>
      <w:r w:rsidRPr="00C47208">
        <w:rPr>
          <w:rFonts w:ascii="Calibri" w:hAnsi="Calibri"/>
          <w:szCs w:val="24"/>
        </w:rPr>
        <w:t xml:space="preserve">will continue </w:t>
      </w:r>
      <w:r w:rsidR="00A9754D">
        <w:rPr>
          <w:rFonts w:ascii="Calibri" w:hAnsi="Calibri"/>
          <w:szCs w:val="24"/>
        </w:rPr>
        <w:t xml:space="preserve">until the results stabilize. </w:t>
      </w:r>
      <w:r w:rsidRPr="00C47208">
        <w:rPr>
          <w:rFonts w:ascii="Calibri" w:hAnsi="Calibri"/>
          <w:szCs w:val="24"/>
        </w:rPr>
        <w:t xml:space="preserve">MDPH monitors weekly results for MW-216 which has historically shown a pattern of cyclic fluctuations characterized by September-November increases. This pattern repeated in 2016, with peak levels </w:t>
      </w:r>
      <w:r w:rsidR="008418FE">
        <w:rPr>
          <w:rFonts w:ascii="Calibri" w:hAnsi="Calibri"/>
          <w:szCs w:val="24"/>
        </w:rPr>
        <w:t xml:space="preserve">of </w:t>
      </w:r>
      <w:r w:rsidR="00E60F50">
        <w:rPr>
          <w:rFonts w:ascii="Calibri" w:hAnsi="Calibri"/>
          <w:szCs w:val="24"/>
        </w:rPr>
        <w:t xml:space="preserve">5,820 pCi/L (which was </w:t>
      </w:r>
      <w:r w:rsidRPr="00C47208">
        <w:rPr>
          <w:rFonts w:ascii="Calibri" w:hAnsi="Calibri"/>
          <w:szCs w:val="24"/>
        </w:rPr>
        <w:t xml:space="preserve">1,740 pCi/L higher than seen in 2015, but lower than 2013 and 2014 (see Figure 1.b)). Entergy is working with their consultant, ERM, to understand the cause of these trends, and theorizes residual tritium in the seismic gap may be migrating to this well. </w:t>
      </w:r>
    </w:p>
    <w:p w:rsidR="00284BC8" w:rsidRPr="00C47208" w:rsidRDefault="00284BC8" w:rsidP="00284BC8">
      <w:pPr>
        <w:jc w:val="both"/>
        <w:rPr>
          <w:rFonts w:ascii="Calibri" w:hAnsi="Calibri"/>
          <w:szCs w:val="24"/>
        </w:rPr>
      </w:pPr>
    </w:p>
    <w:p w:rsidR="00284BC8" w:rsidRPr="00C47208" w:rsidRDefault="00284BC8" w:rsidP="00284BC8">
      <w:pPr>
        <w:jc w:val="both"/>
        <w:rPr>
          <w:rFonts w:ascii="Calibri" w:hAnsi="Calibri"/>
          <w:szCs w:val="24"/>
        </w:rPr>
      </w:pPr>
      <w:r w:rsidRPr="00C47208">
        <w:rPr>
          <w:rFonts w:ascii="Calibri" w:hAnsi="Calibri"/>
          <w:szCs w:val="24"/>
        </w:rPr>
        <w:t>MDPH monitors weekly results for MW-218 and MW-211</w:t>
      </w:r>
      <w:r w:rsidR="00C81E48">
        <w:rPr>
          <w:rFonts w:ascii="Calibri" w:hAnsi="Calibri"/>
          <w:szCs w:val="24"/>
        </w:rPr>
        <w:t>.</w:t>
      </w:r>
      <w:r w:rsidRPr="00C47208">
        <w:rPr>
          <w:rFonts w:ascii="Calibri" w:hAnsi="Calibri"/>
          <w:szCs w:val="24"/>
        </w:rPr>
        <w:t xml:space="preserve"> Tritium levels in both wells continued to stabilize after a leak </w:t>
      </w:r>
      <w:r w:rsidR="001748B5">
        <w:rPr>
          <w:rFonts w:ascii="Calibri" w:hAnsi="Calibri"/>
          <w:szCs w:val="24"/>
        </w:rPr>
        <w:t xml:space="preserve">in the </w:t>
      </w:r>
      <w:r w:rsidR="00131141">
        <w:rPr>
          <w:rFonts w:ascii="Calibri" w:hAnsi="Calibri"/>
          <w:szCs w:val="24"/>
        </w:rPr>
        <w:t>Condenser</w:t>
      </w:r>
      <w:r w:rsidR="001748B5">
        <w:rPr>
          <w:rFonts w:ascii="Calibri" w:hAnsi="Calibri"/>
          <w:szCs w:val="24"/>
        </w:rPr>
        <w:t xml:space="preserve"> Bay area</w:t>
      </w:r>
      <w:r w:rsidR="00131141">
        <w:rPr>
          <w:rFonts w:ascii="Calibri" w:hAnsi="Calibri"/>
          <w:szCs w:val="24"/>
        </w:rPr>
        <w:t>,</w:t>
      </w:r>
      <w:r w:rsidR="001748B5">
        <w:rPr>
          <w:rFonts w:ascii="Calibri" w:hAnsi="Calibri"/>
          <w:szCs w:val="24"/>
        </w:rPr>
        <w:t xml:space="preserve"> </w:t>
      </w:r>
      <w:r w:rsidRPr="00C47208">
        <w:rPr>
          <w:rFonts w:ascii="Calibri" w:hAnsi="Calibri"/>
          <w:szCs w:val="24"/>
        </w:rPr>
        <w:t>contributing to elevated levels in both</w:t>
      </w:r>
      <w:r w:rsidR="00131141">
        <w:rPr>
          <w:rFonts w:ascii="Calibri" w:hAnsi="Calibri"/>
          <w:szCs w:val="24"/>
        </w:rPr>
        <w:t>,</w:t>
      </w:r>
      <w:r w:rsidRPr="00C47208">
        <w:rPr>
          <w:rFonts w:ascii="Calibri" w:hAnsi="Calibri"/>
          <w:szCs w:val="24"/>
        </w:rPr>
        <w:t xml:space="preserve"> was detected and repaired in the beginning of 2016. Recent results are near previous levels and Entergy continues to monitor the Condenser Bay area for leaks. The high-rad Condenser Bay area is monitored by camera during operations, and was entered and examined for leaks during two </w:t>
      </w:r>
      <w:r w:rsidR="00131141" w:rsidRPr="00C47208">
        <w:rPr>
          <w:rFonts w:ascii="Calibri" w:hAnsi="Calibri"/>
          <w:szCs w:val="24"/>
        </w:rPr>
        <w:t>down powers</w:t>
      </w:r>
      <w:r w:rsidRPr="00C47208">
        <w:rPr>
          <w:rFonts w:ascii="Calibri" w:hAnsi="Calibri"/>
          <w:szCs w:val="24"/>
        </w:rPr>
        <w:t xml:space="preserve">. </w:t>
      </w:r>
    </w:p>
    <w:p w:rsidR="00284BC8" w:rsidRPr="00C47208" w:rsidRDefault="00284BC8" w:rsidP="00284BC8">
      <w:pPr>
        <w:jc w:val="both"/>
        <w:rPr>
          <w:rFonts w:ascii="Calibri" w:hAnsi="Calibri"/>
          <w:szCs w:val="24"/>
        </w:rPr>
      </w:pPr>
    </w:p>
    <w:p w:rsidR="00284BC8" w:rsidRPr="00C47208" w:rsidRDefault="00284BC8" w:rsidP="00284BC8">
      <w:pPr>
        <w:jc w:val="both"/>
        <w:rPr>
          <w:rFonts w:ascii="Calibri" w:hAnsi="Calibri"/>
          <w:szCs w:val="24"/>
        </w:rPr>
      </w:pPr>
      <w:r w:rsidRPr="00C47208">
        <w:rPr>
          <w:rFonts w:ascii="Calibri" w:hAnsi="Calibri"/>
          <w:szCs w:val="24"/>
        </w:rPr>
        <w:t>Staff from the MDPH Bureau of Environmental Health will continue to review groundwater monitoring results, and maintain contact with MEMA, NRC, and Entergy to discuss on-going tritium in groundwater activities at PNPS.</w:t>
      </w:r>
    </w:p>
    <w:p w:rsidR="00284BC8" w:rsidRPr="00C47208" w:rsidRDefault="00284BC8" w:rsidP="00284BC8">
      <w:pPr>
        <w:jc w:val="both"/>
        <w:rPr>
          <w:rFonts w:ascii="Calibri" w:hAnsi="Calibri"/>
          <w:szCs w:val="24"/>
        </w:rPr>
      </w:pPr>
    </w:p>
    <w:p w:rsidR="00284BC8" w:rsidRDefault="00284BC8" w:rsidP="00284BC8">
      <w:pPr>
        <w:jc w:val="both"/>
        <w:rPr>
          <w:rFonts w:ascii="Calibri" w:hAnsi="Calibri"/>
          <w:szCs w:val="24"/>
        </w:rPr>
      </w:pPr>
    </w:p>
    <w:p w:rsidR="001748B5" w:rsidRDefault="001748B5" w:rsidP="00284BC8">
      <w:pPr>
        <w:jc w:val="both"/>
        <w:rPr>
          <w:rFonts w:ascii="Calibri" w:hAnsi="Calibri"/>
          <w:szCs w:val="24"/>
        </w:rPr>
      </w:pPr>
    </w:p>
    <w:p w:rsidR="001748B5" w:rsidRDefault="001748B5" w:rsidP="00284BC8">
      <w:pPr>
        <w:jc w:val="both"/>
        <w:rPr>
          <w:rFonts w:ascii="Calibri" w:hAnsi="Calibri"/>
          <w:szCs w:val="24"/>
        </w:rPr>
      </w:pPr>
    </w:p>
    <w:p w:rsidR="001748B5" w:rsidRDefault="001748B5" w:rsidP="00284BC8">
      <w:pPr>
        <w:jc w:val="both"/>
        <w:rPr>
          <w:rFonts w:ascii="Calibri" w:hAnsi="Calibri"/>
          <w:szCs w:val="24"/>
        </w:rPr>
      </w:pPr>
    </w:p>
    <w:p w:rsidR="001748B5" w:rsidRDefault="001748B5" w:rsidP="00284BC8">
      <w:pPr>
        <w:jc w:val="both"/>
        <w:rPr>
          <w:rFonts w:ascii="Calibri" w:hAnsi="Calibri"/>
          <w:szCs w:val="24"/>
        </w:rPr>
      </w:pPr>
    </w:p>
    <w:p w:rsidR="001748B5" w:rsidRDefault="001748B5" w:rsidP="00284BC8">
      <w:pPr>
        <w:jc w:val="both"/>
        <w:rPr>
          <w:rFonts w:ascii="Calibri" w:hAnsi="Calibri"/>
          <w:szCs w:val="24"/>
        </w:rPr>
      </w:pPr>
    </w:p>
    <w:p w:rsidR="00227A95" w:rsidRDefault="00227A95">
      <w:pPr>
        <w:rPr>
          <w:rFonts w:ascii="Calibri" w:hAnsi="Calibri"/>
          <w:szCs w:val="24"/>
        </w:rPr>
      </w:pPr>
      <w:r>
        <w:rPr>
          <w:rFonts w:ascii="Calibri" w:hAnsi="Calibri"/>
          <w:szCs w:val="24"/>
        </w:rPr>
        <w:br w:type="page"/>
      </w:r>
    </w:p>
    <w:p w:rsidR="009E40AB" w:rsidRDefault="00687B44" w:rsidP="0072610D">
      <w:pPr>
        <w:rPr>
          <w:b/>
          <w:color w:val="000000"/>
          <w:kern w:val="24"/>
        </w:rPr>
      </w:pPr>
      <w:r>
        <w:rPr>
          <w:noProof/>
        </w:rPr>
        <w:lastRenderedPageBreak/>
        <mc:AlternateContent>
          <mc:Choice Requires="wps">
            <w:drawing>
              <wp:anchor distT="0" distB="0" distL="114300" distR="114300" simplePos="0" relativeHeight="251657728" behindDoc="0" locked="0" layoutInCell="1" allowOverlap="1">
                <wp:simplePos x="0" y="0"/>
                <wp:positionH relativeFrom="column">
                  <wp:posOffset>304800</wp:posOffset>
                </wp:positionH>
                <wp:positionV relativeFrom="paragraph">
                  <wp:posOffset>-161925</wp:posOffset>
                </wp:positionV>
                <wp:extent cx="4298950" cy="4762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0" cy="476250"/>
                        </a:xfrm>
                        <a:prstGeom prst="rect">
                          <a:avLst/>
                        </a:prstGeom>
                        <a:noFill/>
                        <a:ln w="9525">
                          <a:noFill/>
                          <a:miter lim="800000"/>
                          <a:headEnd/>
                          <a:tailEnd/>
                        </a:ln>
                      </wps:spPr>
                      <wps:txbx>
                        <w:txbxContent>
                          <w:p w:rsidR="00B17769" w:rsidRDefault="00B17769" w:rsidP="00A053A5">
                            <w:pPr>
                              <w:rPr>
                                <w:rFonts w:ascii="Calibri" w:hAnsi="Calibri"/>
                                <w:b/>
                              </w:rPr>
                            </w:pPr>
                          </w:p>
                          <w:p w:rsidR="00A053A5" w:rsidRPr="00426810" w:rsidRDefault="00426810" w:rsidP="00A053A5">
                            <w:pPr>
                              <w:rPr>
                                <w:rFonts w:ascii="Calibri" w:hAnsi="Calibri"/>
                                <w:b/>
                              </w:rPr>
                            </w:pPr>
                            <w:r w:rsidRPr="00426810">
                              <w:rPr>
                                <w:rFonts w:ascii="Calibri" w:hAnsi="Calibri"/>
                                <w:b/>
                              </w:rPr>
                              <w:t xml:space="preserve">                    </w:t>
                            </w:r>
                            <w:r w:rsidR="00A053A5" w:rsidRPr="00426810">
                              <w:rPr>
                                <w:rFonts w:ascii="Calibri" w:hAnsi="Calibri"/>
                                <w:b/>
                              </w:rPr>
                              <w:t>a) 2016 Weekly wells of interest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4pt;margin-top:-12.75pt;width:338.5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" filled="f" stroked="f">
                <v:textbox>
                  <w:txbxContent>
                    <w:p w:rsidR="00B17769" w:rsidRDefault="00B17769" w:rsidP="00A053A5">
                      <w:pPr>
                        <w:rPr>
                          <w:rFonts w:ascii="Calibri" w:hAnsi="Calibri"/>
                          <w:b/>
                        </w:rPr>
                      </w:pPr>
                    </w:p>
                    <w:p w:rsidR="00A053A5" w:rsidRPr="00426810" w:rsidRDefault="00426810" w:rsidP="00A053A5">
                      <w:pPr>
                        <w:rPr>
                          <w:rFonts w:ascii="Calibri" w:hAnsi="Calibri"/>
                          <w:b/>
                        </w:rPr>
                      </w:pPr>
                      <w:r w:rsidRPr="00426810">
                        <w:rPr>
                          <w:rFonts w:ascii="Calibri" w:hAnsi="Calibri"/>
                          <w:b/>
                        </w:rPr>
                        <w:t xml:space="preserve">                    </w:t>
                      </w:r>
                      <w:r w:rsidR="00A053A5" w:rsidRPr="00426810">
                        <w:rPr>
                          <w:rFonts w:ascii="Calibri" w:hAnsi="Calibri"/>
                          <w:b/>
                        </w:rPr>
                        <w:t>a) 2016 Weekly wells of interest</w:t>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2472690</wp:posOffset>
                </wp:positionH>
                <wp:positionV relativeFrom="paragraph">
                  <wp:posOffset>-161925</wp:posOffset>
                </wp:positionV>
                <wp:extent cx="390525" cy="161925"/>
                <wp:effectExtent l="0" t="0" r="9525" b="952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161925"/>
                        </a:xfrm>
                        <a:prstGeom prst="rect">
                          <a:avLst/>
                        </a:prstGeom>
                        <a:solidFill>
                          <a:sysClr val="window" lastClr="FFFFFF"/>
                        </a:solidFill>
                        <a:ln w="25400" cap="flat" cmpd="sng" algn="ctr">
                          <a:noFill/>
                          <a:prstDash val="solid"/>
                        </a:ln>
                        <a:effectLst/>
                      </wps:spPr>
                      <wps:txbx>
                        <w:txbxContent>
                          <w:p w:rsidR="00A053A5" w:rsidRPr="007F3241" w:rsidRDefault="00A053A5" w:rsidP="00A053A5">
                            <w:pPr>
                              <w:rPr>
                                <w:b/>
                                <w:i/>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9" style="position:absolute;margin-left:194.7pt;margin-top:-12.75pt;width:30.75pt;height:1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" fillcolor="window" stroked="f" strokeweight="2pt">
                <v:path arrowok="t"/>
                <v:textbox>
                  <w:txbxContent>
                    <w:p w:rsidR="00A053A5" w:rsidRPr="007F3241" w:rsidRDefault="00A053A5" w:rsidP="00A053A5">
                      <w:pPr>
                        <w:rPr>
                          <w:b/>
                          <w:i/>
                          <w:sz w:val="28"/>
                          <w:szCs w:val="28"/>
                        </w:rPr>
                      </w:pPr>
                    </w:p>
                  </w:txbxContent>
                </v:textbox>
              </v:rect>
            </w:pict>
          </mc:Fallback>
        </mc:AlternateContent>
      </w:r>
    </w:p>
    <w:p w:rsidR="009E40AB" w:rsidRDefault="00687B44" w:rsidP="00426810">
      <w:pPr>
        <w:jc w:val="center"/>
        <w:rPr>
          <w:b/>
          <w:color w:val="000000"/>
          <w:kern w:val="24"/>
        </w:rPr>
      </w:pPr>
      <w:r>
        <w:rPr>
          <w:b/>
          <w:noProof/>
          <w:color w:val="000000"/>
          <w:kern w:val="24"/>
        </w:rPr>
        <w:drawing>
          <wp:inline distT="0" distB="0" distL="0" distR="0">
            <wp:extent cx="4572000" cy="39808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3980815"/>
                    </a:xfrm>
                    <a:prstGeom prst="rect">
                      <a:avLst/>
                    </a:prstGeom>
                    <a:noFill/>
                  </pic:spPr>
                </pic:pic>
              </a:graphicData>
            </a:graphic>
          </wp:inline>
        </w:drawing>
      </w:r>
    </w:p>
    <w:p w:rsidR="00284BC8" w:rsidRDefault="00284BC8" w:rsidP="0072610D">
      <w:pPr>
        <w:rPr>
          <w:b/>
          <w:color w:val="000000"/>
          <w:kern w:val="24"/>
        </w:rPr>
      </w:pPr>
    </w:p>
    <w:p w:rsidR="00AD1EE0" w:rsidRDefault="00BB47E7" w:rsidP="00A053A5">
      <w:pPr>
        <w:ind w:right="432"/>
        <w:rPr>
          <w:noProof/>
        </w:rPr>
      </w:pPr>
      <w:r>
        <w:rPr>
          <w:noProof/>
        </w:rPr>
        <mc:AlternateContent>
          <mc:Choice Requires="wps">
            <w:drawing>
              <wp:anchor distT="0" distB="0" distL="114300" distR="114300" simplePos="0" relativeHeight="251658752" behindDoc="0" locked="0" layoutInCell="1" allowOverlap="1" wp14:anchorId="75BB53BE" wp14:editId="2E8883D4">
                <wp:simplePos x="0" y="0"/>
                <wp:positionH relativeFrom="column">
                  <wp:posOffset>190500</wp:posOffset>
                </wp:positionH>
                <wp:positionV relativeFrom="paragraph">
                  <wp:posOffset>116840</wp:posOffset>
                </wp:positionV>
                <wp:extent cx="5851525" cy="3524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1525" cy="352425"/>
                        </a:xfrm>
                        <a:prstGeom prst="rect">
                          <a:avLst/>
                        </a:prstGeom>
                        <a:noFill/>
                        <a:ln w="9525">
                          <a:noFill/>
                          <a:miter lim="800000"/>
                          <a:headEnd/>
                          <a:tailEnd/>
                        </a:ln>
                      </wps:spPr>
                      <wps:txbx>
                        <w:txbxContent>
                          <w:p w:rsidR="00A053A5" w:rsidRPr="00426810" w:rsidRDefault="00BB47E7" w:rsidP="00A053A5">
                            <w:pPr>
                              <w:rPr>
                                <w:rFonts w:ascii="Calibri" w:hAnsi="Calibri"/>
                                <w:b/>
                              </w:rPr>
                            </w:pPr>
                            <w:r>
                              <w:rPr>
                                <w:rFonts w:ascii="Calibri" w:hAnsi="Calibri"/>
                              </w:rPr>
                              <w:t xml:space="preserve">  </w:t>
                            </w:r>
                            <w:r w:rsidR="00A053A5" w:rsidRPr="00C47208">
                              <w:rPr>
                                <w:rFonts w:ascii="Calibri" w:hAnsi="Calibri"/>
                              </w:rPr>
                              <w:t xml:space="preserve"> </w:t>
                            </w:r>
                            <w:r w:rsidR="00A053A5" w:rsidRPr="00426810">
                              <w:rPr>
                                <w:rFonts w:ascii="Calibri" w:hAnsi="Calibri"/>
                                <w:b/>
                              </w:rPr>
                              <w:t>b) MW-216</w:t>
                            </w:r>
                            <w:r w:rsidR="00A053A5" w:rsidRPr="00426810">
                              <w:rPr>
                                <w:rFonts w:ascii="Calibri" w:hAnsi="Calibri"/>
                                <w:b/>
                              </w:rPr>
                              <w:tab/>
                            </w:r>
                            <w:r w:rsidR="00A053A5" w:rsidRPr="00426810">
                              <w:rPr>
                                <w:rFonts w:ascii="Calibri" w:hAnsi="Calibri"/>
                                <w:b/>
                              </w:rPr>
                              <w:tab/>
                              <w:t xml:space="preserve">            </w:t>
                            </w:r>
                            <w:r>
                              <w:rPr>
                                <w:rFonts w:ascii="Calibri" w:hAnsi="Calibri"/>
                                <w:b/>
                              </w:rPr>
                              <w:t xml:space="preserve">  </w:t>
                            </w:r>
                            <w:r w:rsidR="00A053A5" w:rsidRPr="00426810">
                              <w:rPr>
                                <w:rFonts w:ascii="Calibri" w:hAnsi="Calibri"/>
                                <w:b/>
                              </w:rPr>
                              <w:t>c) MW-218</w:t>
                            </w:r>
                            <w:r w:rsidR="00A053A5" w:rsidRPr="00426810">
                              <w:rPr>
                                <w:rFonts w:ascii="Calibri" w:hAnsi="Calibri"/>
                                <w:b/>
                              </w:rPr>
                              <w:tab/>
                            </w:r>
                            <w:r w:rsidR="00A053A5" w:rsidRPr="00426810">
                              <w:rPr>
                                <w:rFonts w:ascii="Calibri" w:hAnsi="Calibri"/>
                                <w:b/>
                              </w:rPr>
                              <w:tab/>
                              <w:t xml:space="preserve">   </w:t>
                            </w:r>
                            <w:r w:rsidR="00426810">
                              <w:rPr>
                                <w:rFonts w:ascii="Calibri" w:hAnsi="Calibri"/>
                                <w:b/>
                              </w:rPr>
                              <w:t xml:space="preserve">      </w:t>
                            </w:r>
                            <w:r>
                              <w:rPr>
                                <w:rFonts w:ascii="Calibri" w:hAnsi="Calibri"/>
                                <w:b/>
                              </w:rPr>
                              <w:t xml:space="preserve">  </w:t>
                            </w:r>
                            <w:r w:rsidR="00426810">
                              <w:rPr>
                                <w:rFonts w:ascii="Calibri" w:hAnsi="Calibri"/>
                                <w:b/>
                              </w:rPr>
                              <w:t xml:space="preserve"> </w:t>
                            </w:r>
                            <w:r w:rsidR="00227A95">
                              <w:rPr>
                                <w:rFonts w:ascii="Calibri" w:hAnsi="Calibri"/>
                                <w:b/>
                              </w:rPr>
                              <w:t xml:space="preserve">  </w:t>
                            </w:r>
                            <w:r w:rsidR="00A053A5" w:rsidRPr="00426810">
                              <w:rPr>
                                <w:rFonts w:ascii="Calibri" w:hAnsi="Calibri"/>
                                <w:b/>
                              </w:rPr>
                              <w:t>d) MW-211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15pt;margin-top:9.2pt;width:460.75pt;height:2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" filled="f" stroked="f">
                <v:textbox>
                  <w:txbxContent>
                    <w:p w:rsidR="00A053A5" w:rsidRPr="00426810" w:rsidRDefault="00BB47E7" w:rsidP="00A053A5">
                      <w:pPr>
                        <w:rPr>
                          <w:rFonts w:ascii="Calibri" w:hAnsi="Calibri"/>
                          <w:b/>
                        </w:rPr>
                      </w:pPr>
                      <w:r>
                        <w:rPr>
                          <w:rFonts w:ascii="Calibri" w:hAnsi="Calibri"/>
                        </w:rPr>
                        <w:t xml:space="preserve">  </w:t>
                      </w:r>
                      <w:r w:rsidR="00A053A5" w:rsidRPr="00C47208">
                        <w:rPr>
                          <w:rFonts w:ascii="Calibri" w:hAnsi="Calibri"/>
                        </w:rPr>
                        <w:t xml:space="preserve"> </w:t>
                      </w:r>
                      <w:r w:rsidR="00A053A5" w:rsidRPr="00426810">
                        <w:rPr>
                          <w:rFonts w:ascii="Calibri" w:hAnsi="Calibri"/>
                          <w:b/>
                        </w:rPr>
                        <w:t>b) MW-216</w:t>
                      </w:r>
                      <w:r w:rsidR="00A053A5" w:rsidRPr="00426810">
                        <w:rPr>
                          <w:rFonts w:ascii="Calibri" w:hAnsi="Calibri"/>
                          <w:b/>
                        </w:rPr>
                        <w:tab/>
                      </w:r>
                      <w:r w:rsidR="00A053A5" w:rsidRPr="00426810">
                        <w:rPr>
                          <w:rFonts w:ascii="Calibri" w:hAnsi="Calibri"/>
                          <w:b/>
                        </w:rPr>
                        <w:tab/>
                        <w:t xml:space="preserve">            </w:t>
                      </w:r>
                      <w:r>
                        <w:rPr>
                          <w:rFonts w:ascii="Calibri" w:hAnsi="Calibri"/>
                          <w:b/>
                        </w:rPr>
                        <w:t xml:space="preserve">  </w:t>
                      </w:r>
                      <w:r w:rsidR="00A053A5" w:rsidRPr="00426810">
                        <w:rPr>
                          <w:rFonts w:ascii="Calibri" w:hAnsi="Calibri"/>
                          <w:b/>
                        </w:rPr>
                        <w:t>c) MW-218</w:t>
                      </w:r>
                      <w:r w:rsidR="00A053A5" w:rsidRPr="00426810">
                        <w:rPr>
                          <w:rFonts w:ascii="Calibri" w:hAnsi="Calibri"/>
                          <w:b/>
                        </w:rPr>
                        <w:tab/>
                      </w:r>
                      <w:r w:rsidR="00A053A5" w:rsidRPr="00426810">
                        <w:rPr>
                          <w:rFonts w:ascii="Calibri" w:hAnsi="Calibri"/>
                          <w:b/>
                        </w:rPr>
                        <w:tab/>
                        <w:t xml:space="preserve">   </w:t>
                      </w:r>
                      <w:r w:rsidR="00426810">
                        <w:rPr>
                          <w:rFonts w:ascii="Calibri" w:hAnsi="Calibri"/>
                          <w:b/>
                        </w:rPr>
                        <w:t xml:space="preserve">      </w:t>
                      </w:r>
                      <w:r>
                        <w:rPr>
                          <w:rFonts w:ascii="Calibri" w:hAnsi="Calibri"/>
                          <w:b/>
                        </w:rPr>
                        <w:t xml:space="preserve">  </w:t>
                      </w:r>
                      <w:r w:rsidR="00426810">
                        <w:rPr>
                          <w:rFonts w:ascii="Calibri" w:hAnsi="Calibri"/>
                          <w:b/>
                        </w:rPr>
                        <w:t xml:space="preserve"> </w:t>
                      </w:r>
                      <w:r w:rsidR="00227A95">
                        <w:rPr>
                          <w:rFonts w:ascii="Calibri" w:hAnsi="Calibri"/>
                          <w:b/>
                        </w:rPr>
                        <w:t xml:space="preserve">  </w:t>
                      </w:r>
                      <w:r w:rsidR="00A053A5" w:rsidRPr="00426810">
                        <w:rPr>
                          <w:rFonts w:ascii="Calibri" w:hAnsi="Calibri"/>
                          <w:b/>
                        </w:rPr>
                        <w:t>d) MW-211</w:t>
                      </w:r>
                    </w:p>
                  </w:txbxContent>
                </v:textbox>
              </v:shape>
            </w:pict>
          </mc:Fallback>
        </mc:AlternateContent>
      </w:r>
    </w:p>
    <w:p w:rsidR="00AD1EE0" w:rsidRDefault="00AD1EE0" w:rsidP="00BB47E7">
      <w:pPr>
        <w:ind w:right="432"/>
        <w:jc w:val="center"/>
        <w:rPr>
          <w:noProof/>
        </w:rPr>
      </w:pPr>
      <w:r w:rsidRPr="00AD1EE0">
        <w:rPr>
          <w:noProof/>
        </w:rPr>
        <w:drawing>
          <wp:inline distT="0" distB="0" distL="0" distR="0" wp14:anchorId="4E3A8820" wp14:editId="36850260">
            <wp:extent cx="5842745" cy="194310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282" t="67308"/>
                    <a:stretch/>
                  </pic:blipFill>
                  <pic:spPr bwMode="auto">
                    <a:xfrm>
                      <a:off x="0" y="0"/>
                      <a:ext cx="5852160" cy="1946231"/>
                    </a:xfrm>
                    <a:prstGeom prst="rect">
                      <a:avLst/>
                    </a:prstGeom>
                    <a:noFill/>
                    <a:ln>
                      <a:noFill/>
                    </a:ln>
                    <a:extLst>
                      <a:ext uri="{53640926-AAD7-44D8-BBD7-CCE9431645EC}">
                        <a14:shadowObscured xmlns:a14="http://schemas.microsoft.com/office/drawing/2010/main"/>
                      </a:ext>
                    </a:extLst>
                  </pic:spPr>
                </pic:pic>
              </a:graphicData>
            </a:graphic>
          </wp:inline>
        </w:drawing>
      </w:r>
    </w:p>
    <w:p w:rsidR="00A053A5" w:rsidRPr="00C47208" w:rsidRDefault="00131141" w:rsidP="00AD1EE0">
      <w:pPr>
        <w:ind w:left="720" w:right="432" w:firstLine="720"/>
        <w:rPr>
          <w:rFonts w:ascii="Calibri" w:hAnsi="Calibri"/>
          <w:color w:val="000000"/>
          <w:kern w:val="24"/>
          <w:sz w:val="18"/>
        </w:rPr>
      </w:pPr>
      <w:r>
        <w:rPr>
          <w:rFonts w:ascii="Calibri" w:hAnsi="Calibri"/>
          <w:color w:val="000000"/>
          <w:kern w:val="24"/>
          <w:sz w:val="18"/>
        </w:rPr>
        <w:t xml:space="preserve"> </w:t>
      </w:r>
      <w:r w:rsidR="00A053A5" w:rsidRPr="00C47208">
        <w:rPr>
          <w:rFonts w:ascii="Calibri" w:hAnsi="Calibri"/>
          <w:color w:val="000000"/>
          <w:kern w:val="24"/>
          <w:sz w:val="18"/>
        </w:rPr>
        <w:t>2012-2016</w:t>
      </w:r>
      <w:r w:rsidR="00A053A5" w:rsidRPr="00C47208">
        <w:rPr>
          <w:rFonts w:ascii="Calibri" w:hAnsi="Calibri"/>
          <w:color w:val="000000"/>
          <w:kern w:val="24"/>
          <w:sz w:val="22"/>
        </w:rPr>
        <w:tab/>
        <w:t xml:space="preserve">      </w:t>
      </w:r>
      <w:r w:rsidR="00A053A5" w:rsidRPr="00C47208">
        <w:rPr>
          <w:rFonts w:ascii="Calibri" w:hAnsi="Calibri"/>
          <w:color w:val="000000"/>
          <w:kern w:val="24"/>
          <w:sz w:val="22"/>
        </w:rPr>
        <w:tab/>
        <w:t xml:space="preserve">             </w:t>
      </w:r>
      <w:r w:rsidR="00A053A5" w:rsidRPr="00C47208">
        <w:rPr>
          <w:rFonts w:ascii="Calibri" w:hAnsi="Calibri"/>
          <w:color w:val="000000"/>
          <w:kern w:val="24"/>
          <w:sz w:val="18"/>
        </w:rPr>
        <w:t>2013-2016</w:t>
      </w:r>
      <w:r w:rsidR="00A053A5" w:rsidRPr="00C47208">
        <w:rPr>
          <w:rFonts w:ascii="Calibri" w:hAnsi="Calibri"/>
          <w:color w:val="000000"/>
          <w:kern w:val="24"/>
          <w:sz w:val="22"/>
        </w:rPr>
        <w:tab/>
      </w:r>
      <w:r w:rsidR="00A053A5" w:rsidRPr="00C47208">
        <w:rPr>
          <w:rFonts w:ascii="Calibri" w:hAnsi="Calibri"/>
          <w:color w:val="000000"/>
          <w:kern w:val="24"/>
          <w:sz w:val="22"/>
        </w:rPr>
        <w:tab/>
      </w:r>
      <w:r w:rsidR="00A053A5" w:rsidRPr="00C47208">
        <w:rPr>
          <w:rFonts w:ascii="Calibri" w:hAnsi="Calibri"/>
          <w:color w:val="000000"/>
          <w:kern w:val="24"/>
          <w:sz w:val="22"/>
        </w:rPr>
        <w:tab/>
      </w:r>
      <w:r w:rsidR="00A053A5" w:rsidRPr="00C47208">
        <w:rPr>
          <w:rFonts w:ascii="Calibri" w:hAnsi="Calibri"/>
          <w:color w:val="000000"/>
          <w:kern w:val="24"/>
          <w:sz w:val="18"/>
        </w:rPr>
        <w:t xml:space="preserve">              </w:t>
      </w:r>
      <w:r>
        <w:rPr>
          <w:rFonts w:ascii="Calibri" w:hAnsi="Calibri"/>
          <w:color w:val="000000"/>
          <w:kern w:val="24"/>
          <w:sz w:val="18"/>
        </w:rPr>
        <w:t xml:space="preserve">    </w:t>
      </w:r>
      <w:r w:rsidR="00A053A5" w:rsidRPr="00C47208">
        <w:rPr>
          <w:rFonts w:ascii="Calibri" w:hAnsi="Calibri"/>
          <w:color w:val="000000"/>
          <w:kern w:val="24"/>
          <w:sz w:val="18"/>
        </w:rPr>
        <w:t>2010-2016</w:t>
      </w:r>
    </w:p>
    <w:p w:rsidR="00284BC8" w:rsidRPr="00C47208" w:rsidRDefault="00A053A5" w:rsidP="00A053A5">
      <w:pPr>
        <w:ind w:left="1872" w:right="432"/>
        <w:rPr>
          <w:rFonts w:ascii="Calibri" w:hAnsi="Calibri"/>
          <w:color w:val="000000"/>
          <w:kern w:val="24"/>
          <w:sz w:val="22"/>
        </w:rPr>
      </w:pPr>
      <w:r w:rsidRPr="00A053A5">
        <w:rPr>
          <w:color w:val="000000"/>
          <w:kern w:val="24"/>
        </w:rPr>
        <w:t xml:space="preserve">                                    </w:t>
      </w:r>
      <w:r w:rsidRPr="00A053A5">
        <w:rPr>
          <w:color w:val="000000"/>
          <w:kern w:val="24"/>
          <w:sz w:val="22"/>
        </w:rPr>
        <w:t xml:space="preserve"> </w:t>
      </w:r>
      <w:r w:rsidRPr="00C47208">
        <w:rPr>
          <w:rFonts w:ascii="Calibri" w:hAnsi="Calibri"/>
          <w:color w:val="000000"/>
          <w:kern w:val="24"/>
          <w:sz w:val="22"/>
        </w:rPr>
        <w:t>Sample dates</w:t>
      </w:r>
    </w:p>
    <w:p w:rsidR="009E40AB" w:rsidRDefault="009E40AB" w:rsidP="009E40AB">
      <w:pPr>
        <w:rPr>
          <w:rFonts w:ascii="Calibri" w:hAnsi="Calibri"/>
          <w:b/>
        </w:rPr>
      </w:pPr>
    </w:p>
    <w:p w:rsidR="00284BC8" w:rsidRPr="00C47208" w:rsidRDefault="00284BC8" w:rsidP="0072610D">
      <w:pPr>
        <w:rPr>
          <w:rFonts w:ascii="Calibri" w:hAnsi="Calibri"/>
          <w:sz w:val="22"/>
        </w:rPr>
      </w:pPr>
      <w:r w:rsidRPr="00C47208">
        <w:rPr>
          <w:rFonts w:ascii="Calibri" w:hAnsi="Calibri"/>
          <w:b/>
          <w:color w:val="000000"/>
          <w:kern w:val="24"/>
          <w:sz w:val="22"/>
        </w:rPr>
        <w:t>Figure 1</w:t>
      </w:r>
      <w:r w:rsidRPr="00C47208">
        <w:rPr>
          <w:rFonts w:ascii="Calibri" w:hAnsi="Calibri"/>
          <w:color w:val="000000"/>
          <w:kern w:val="24"/>
          <w:sz w:val="22"/>
        </w:rPr>
        <w:t xml:space="preserve">. </w:t>
      </w:r>
      <w:r w:rsidR="00A053A5" w:rsidRPr="00C47208">
        <w:rPr>
          <w:rFonts w:ascii="Calibri" w:hAnsi="Calibri"/>
          <w:color w:val="000000"/>
          <w:kern w:val="24"/>
          <w:sz w:val="22"/>
        </w:rPr>
        <w:t xml:space="preserve"> Calendar year </w:t>
      </w:r>
      <w:r w:rsidRPr="00C47208">
        <w:rPr>
          <w:rFonts w:ascii="Calibri" w:hAnsi="Calibri"/>
          <w:color w:val="000000"/>
          <w:kern w:val="24"/>
          <w:sz w:val="22"/>
        </w:rPr>
        <w:t>2016 and historical results for three wells of interest</w:t>
      </w:r>
      <w:r w:rsidR="00A053A5" w:rsidRPr="00C47208">
        <w:rPr>
          <w:rFonts w:ascii="Calibri" w:hAnsi="Calibri"/>
          <w:color w:val="000000"/>
          <w:kern w:val="24"/>
          <w:sz w:val="22"/>
        </w:rPr>
        <w:t>,</w:t>
      </w:r>
      <w:r w:rsidRPr="00C47208">
        <w:rPr>
          <w:rFonts w:ascii="Calibri" w:hAnsi="Calibri"/>
          <w:color w:val="000000"/>
          <w:kern w:val="24"/>
          <w:sz w:val="22"/>
        </w:rPr>
        <w:t xml:space="preserve"> MW-216, MW-218 and MW-211, from tritium in groundwater samples collected from Pilgrim Nuclear Power Station (PNPS). Data are plotted separately based on PNPS operator (solid lines) or MDPH (dotted lines) produced results.  The solid red line at 3,000 pCi/L represents the screening level which is 1/10</w:t>
      </w:r>
      <w:r w:rsidRPr="00C47208">
        <w:rPr>
          <w:rFonts w:ascii="Calibri" w:hAnsi="Calibri"/>
          <w:color w:val="000000"/>
          <w:kern w:val="24"/>
          <w:sz w:val="22"/>
          <w:vertAlign w:val="superscript"/>
        </w:rPr>
        <w:t>th</w:t>
      </w:r>
      <w:r w:rsidRPr="00C47208">
        <w:rPr>
          <w:rFonts w:ascii="Calibri" w:hAnsi="Calibri"/>
          <w:color w:val="000000"/>
          <w:kern w:val="24"/>
          <w:sz w:val="22"/>
        </w:rPr>
        <w:t xml:space="preserve"> of the 30,000 pCi/L NRC level of concern.  </w:t>
      </w:r>
      <w:r w:rsidRPr="00C47208">
        <w:rPr>
          <w:rFonts w:ascii="Calibri" w:hAnsi="Calibri"/>
          <w:b/>
          <w:color w:val="000000"/>
          <w:kern w:val="24"/>
          <w:sz w:val="22"/>
        </w:rPr>
        <w:t>a)</w:t>
      </w:r>
      <w:r w:rsidRPr="00C47208">
        <w:rPr>
          <w:rFonts w:ascii="Calibri" w:hAnsi="Calibri"/>
          <w:color w:val="000000"/>
          <w:kern w:val="24"/>
          <w:sz w:val="22"/>
        </w:rPr>
        <w:t xml:space="preserve"> Results from samples collected during 2016 at wells with tritium levels above 2,000 pCi/L (MW-218, MW-216, and MW-211) showing a maximum level of 6,481 on March 7, 2016 at MW-216. </w:t>
      </w:r>
      <w:r w:rsidRPr="00C47208">
        <w:rPr>
          <w:rFonts w:ascii="Calibri" w:hAnsi="Calibri"/>
          <w:b/>
          <w:color w:val="000000"/>
          <w:kern w:val="24"/>
          <w:sz w:val="22"/>
        </w:rPr>
        <w:t>b-d)</w:t>
      </w:r>
      <w:r w:rsidRPr="00C47208">
        <w:rPr>
          <w:rFonts w:ascii="Calibri" w:hAnsi="Calibri"/>
          <w:color w:val="000000"/>
          <w:kern w:val="24"/>
          <w:sz w:val="22"/>
        </w:rPr>
        <w:t xml:space="preserve"> Historical monitoring results for MW-216, MW-218 and MW-211</w:t>
      </w:r>
      <w:r w:rsidR="006B118D">
        <w:rPr>
          <w:rFonts w:ascii="Calibri" w:hAnsi="Calibri"/>
          <w:color w:val="000000"/>
          <w:kern w:val="24"/>
          <w:sz w:val="22"/>
        </w:rPr>
        <w:t>.</w:t>
      </w:r>
    </w:p>
    <w:sectPr w:rsidR="00284BC8" w:rsidRPr="00C47208">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00A" w:rsidRDefault="0082000A" w:rsidP="00284BC8">
      <w:r>
        <w:separator/>
      </w:r>
    </w:p>
  </w:endnote>
  <w:endnote w:type="continuationSeparator" w:id="0">
    <w:p w:rsidR="0082000A" w:rsidRDefault="0082000A" w:rsidP="00284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3A5" w:rsidRPr="00271F25" w:rsidRDefault="00271F25" w:rsidP="00271F25">
    <w:pPr>
      <w:pStyle w:val="Footer"/>
      <w:rPr>
        <w:rFonts w:asciiTheme="minorHAnsi" w:hAnsiTheme="minorHAnsi"/>
        <w:color w:val="808080" w:themeColor="background1" w:themeShade="80"/>
        <w:sz w:val="22"/>
      </w:rPr>
    </w:pPr>
    <w:r w:rsidRPr="00271F25">
      <w:rPr>
        <w:rFonts w:asciiTheme="minorHAnsi" w:hAnsiTheme="minorHAnsi"/>
        <w:color w:val="808080" w:themeColor="background1" w:themeShade="80"/>
        <w:sz w:val="22"/>
      </w:rPr>
      <w:fldChar w:fldCharType="begin"/>
    </w:r>
    <w:r w:rsidRPr="00271F25">
      <w:rPr>
        <w:rFonts w:asciiTheme="minorHAnsi" w:hAnsiTheme="minorHAnsi"/>
        <w:color w:val="808080" w:themeColor="background1" w:themeShade="80"/>
        <w:sz w:val="22"/>
      </w:rPr>
      <w:instrText xml:space="preserve"> FILENAME   \* MERGEFORMAT </w:instrText>
    </w:r>
    <w:r w:rsidRPr="00271F25">
      <w:rPr>
        <w:rFonts w:asciiTheme="minorHAnsi" w:hAnsiTheme="minorHAnsi"/>
        <w:color w:val="808080" w:themeColor="background1" w:themeShade="80"/>
        <w:sz w:val="22"/>
      </w:rPr>
      <w:fldChar w:fldCharType="separate"/>
    </w:r>
    <w:r>
      <w:rPr>
        <w:rFonts w:asciiTheme="minorHAnsi" w:hAnsiTheme="minorHAnsi"/>
        <w:noProof/>
        <w:color w:val="808080" w:themeColor="background1" w:themeShade="80"/>
        <w:sz w:val="22"/>
      </w:rPr>
      <w:t>PNPS May 8 2017 Update.docx</w:t>
    </w:r>
    <w:r w:rsidRPr="00271F25">
      <w:rPr>
        <w:rFonts w:asciiTheme="minorHAnsi" w:hAnsiTheme="minorHAnsi"/>
        <w:color w:val="808080" w:themeColor="background1" w:themeShade="80"/>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00A" w:rsidRDefault="0082000A" w:rsidP="00284BC8">
      <w:r>
        <w:separator/>
      </w:r>
    </w:p>
  </w:footnote>
  <w:footnote w:type="continuationSeparator" w:id="0">
    <w:p w:rsidR="0082000A" w:rsidRDefault="0082000A" w:rsidP="00284BC8">
      <w:r>
        <w:continuationSeparator/>
      </w:r>
    </w:p>
  </w:footnote>
  <w:footnote w:id="1">
    <w:p w:rsidR="0054050D" w:rsidRPr="0006798B" w:rsidRDefault="0054050D" w:rsidP="0054050D">
      <w:pPr>
        <w:pStyle w:val="FootnoteText"/>
      </w:pPr>
      <w:r w:rsidRPr="0006798B">
        <w:rPr>
          <w:rStyle w:val="FootnoteReference"/>
        </w:rPr>
        <w:footnoteRef/>
      </w:r>
      <w:r w:rsidRPr="0006798B">
        <w:t xml:space="preserve"> Previous PNPS Tritium in Groundwater Investigation Updates are available here:</w:t>
      </w:r>
    </w:p>
    <w:p w:rsidR="0054050D" w:rsidRPr="00061B3B" w:rsidRDefault="00754ACB" w:rsidP="0054050D">
      <w:pPr>
        <w:pStyle w:val="FootnoteText"/>
        <w:rPr>
          <w:sz w:val="18"/>
          <w:szCs w:val="18"/>
        </w:rPr>
      </w:pPr>
      <w:hyperlink r:id="rId1" w:history="1">
        <w:r w:rsidR="0054050D">
          <w:rPr>
            <w:rStyle w:val="Hyperlink"/>
            <w:sz w:val="18"/>
            <w:szCs w:val="18"/>
          </w:rPr>
          <w:t>mass.gov/eohhs/gov/departments/dph/programs/environmental-health/exposure-topics/radiation/environmental-monitoring</w:t>
        </w:r>
      </w:hyperlink>
    </w:p>
    <w:p w:rsidR="0054050D" w:rsidRDefault="0054050D" w:rsidP="0054050D">
      <w:pPr>
        <w:pStyle w:val="FootnoteText"/>
      </w:pPr>
    </w:p>
  </w:footnote>
  <w:footnote w:id="2">
    <w:p w:rsidR="0054050D" w:rsidRDefault="0054050D">
      <w:pPr>
        <w:pStyle w:val="FootnoteText"/>
      </w:pPr>
      <w:r>
        <w:rPr>
          <w:rStyle w:val="FootnoteReference"/>
        </w:rPr>
        <w:footnoteRef/>
      </w:r>
      <w:r>
        <w:t xml:space="preserve">Sampling results for all on-site wells and surface water samples are summarized on the MDPH website:  </w:t>
      </w:r>
      <w:hyperlink r:id="rId2" w:history="1">
        <w:r w:rsidRPr="0054050D">
          <w:rPr>
            <w:rStyle w:val="Hyperlink"/>
          </w:rPr>
          <w:t>http://www.mass.gov/eohhs/gov/departments/dph/programs/environmental-health/exposure-topics/radiation/environmental-monitoring.html</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0022B"/>
    <w:multiLevelType w:val="hybridMultilevel"/>
    <w:tmpl w:val="7FAA0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1F41E1C"/>
    <w:multiLevelType w:val="hybridMultilevel"/>
    <w:tmpl w:val="931655F6"/>
    <w:lvl w:ilvl="0" w:tplc="80DCEB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44907AF"/>
    <w:multiLevelType w:val="hybridMultilevel"/>
    <w:tmpl w:val="0290C2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A6"/>
    <w:rsid w:val="00033154"/>
    <w:rsid w:val="00042048"/>
    <w:rsid w:val="000537DA"/>
    <w:rsid w:val="000D571E"/>
    <w:rsid w:val="000F315B"/>
    <w:rsid w:val="000F4B0F"/>
    <w:rsid w:val="00101513"/>
    <w:rsid w:val="00131141"/>
    <w:rsid w:val="0014024C"/>
    <w:rsid w:val="0015268B"/>
    <w:rsid w:val="001562CA"/>
    <w:rsid w:val="00173094"/>
    <w:rsid w:val="001748B5"/>
    <w:rsid w:val="00177C77"/>
    <w:rsid w:val="001F4610"/>
    <w:rsid w:val="00227A95"/>
    <w:rsid w:val="00271F25"/>
    <w:rsid w:val="00276957"/>
    <w:rsid w:val="00276DCC"/>
    <w:rsid w:val="00283838"/>
    <w:rsid w:val="00284BC8"/>
    <w:rsid w:val="002933A7"/>
    <w:rsid w:val="00385812"/>
    <w:rsid w:val="00386237"/>
    <w:rsid w:val="00392D0B"/>
    <w:rsid w:val="003A7AFC"/>
    <w:rsid w:val="003C3D4D"/>
    <w:rsid w:val="003C60EF"/>
    <w:rsid w:val="00426810"/>
    <w:rsid w:val="00431821"/>
    <w:rsid w:val="004412B5"/>
    <w:rsid w:val="00457C02"/>
    <w:rsid w:val="004813AC"/>
    <w:rsid w:val="004B37A0"/>
    <w:rsid w:val="004D6B39"/>
    <w:rsid w:val="00530F9A"/>
    <w:rsid w:val="0054050D"/>
    <w:rsid w:val="005448AA"/>
    <w:rsid w:val="005543DA"/>
    <w:rsid w:val="005840CF"/>
    <w:rsid w:val="005B1D0C"/>
    <w:rsid w:val="005C1B25"/>
    <w:rsid w:val="005D2198"/>
    <w:rsid w:val="0060507D"/>
    <w:rsid w:val="00687B44"/>
    <w:rsid w:val="0069357E"/>
    <w:rsid w:val="006B118D"/>
    <w:rsid w:val="006D06D9"/>
    <w:rsid w:val="006D77A6"/>
    <w:rsid w:val="00702109"/>
    <w:rsid w:val="0072610D"/>
    <w:rsid w:val="00754ACB"/>
    <w:rsid w:val="00770B26"/>
    <w:rsid w:val="00775ADC"/>
    <w:rsid w:val="00786CE0"/>
    <w:rsid w:val="00796C1A"/>
    <w:rsid w:val="007B3F4B"/>
    <w:rsid w:val="007B7347"/>
    <w:rsid w:val="007D10F3"/>
    <w:rsid w:val="0082000A"/>
    <w:rsid w:val="0083087E"/>
    <w:rsid w:val="008418FE"/>
    <w:rsid w:val="00842C13"/>
    <w:rsid w:val="00863EBF"/>
    <w:rsid w:val="008D6D6D"/>
    <w:rsid w:val="00931808"/>
    <w:rsid w:val="009908FF"/>
    <w:rsid w:val="00995505"/>
    <w:rsid w:val="009B095F"/>
    <w:rsid w:val="009C4A86"/>
    <w:rsid w:val="009E40AB"/>
    <w:rsid w:val="00A053A5"/>
    <w:rsid w:val="00A65101"/>
    <w:rsid w:val="00A76AEE"/>
    <w:rsid w:val="00A9668C"/>
    <w:rsid w:val="00A9754D"/>
    <w:rsid w:val="00AC0255"/>
    <w:rsid w:val="00AD1EE0"/>
    <w:rsid w:val="00B17769"/>
    <w:rsid w:val="00B403BF"/>
    <w:rsid w:val="00B608D9"/>
    <w:rsid w:val="00BA4055"/>
    <w:rsid w:val="00BA7FB6"/>
    <w:rsid w:val="00BB47E7"/>
    <w:rsid w:val="00C105D0"/>
    <w:rsid w:val="00C20BFE"/>
    <w:rsid w:val="00C40FE3"/>
    <w:rsid w:val="00C47208"/>
    <w:rsid w:val="00C62D46"/>
    <w:rsid w:val="00C81E48"/>
    <w:rsid w:val="00CC1778"/>
    <w:rsid w:val="00CE575B"/>
    <w:rsid w:val="00CF3DE8"/>
    <w:rsid w:val="00D0493F"/>
    <w:rsid w:val="00D065BD"/>
    <w:rsid w:val="00D2095A"/>
    <w:rsid w:val="00D5162C"/>
    <w:rsid w:val="00D56F91"/>
    <w:rsid w:val="00D8671C"/>
    <w:rsid w:val="00DA57C3"/>
    <w:rsid w:val="00DC3855"/>
    <w:rsid w:val="00DF379B"/>
    <w:rsid w:val="00E242A8"/>
    <w:rsid w:val="00E274B8"/>
    <w:rsid w:val="00E60F50"/>
    <w:rsid w:val="00E72707"/>
    <w:rsid w:val="00EA0558"/>
    <w:rsid w:val="00F019ED"/>
    <w:rsid w:val="00F0586E"/>
    <w:rsid w:val="00F33EF7"/>
    <w:rsid w:val="00F43932"/>
    <w:rsid w:val="00F44FFE"/>
    <w:rsid w:val="00FC6B42"/>
    <w:rsid w:val="00FE4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PlainText">
    <w:name w:val="Plain Text"/>
    <w:basedOn w:val="Normal"/>
    <w:link w:val="PlainTextChar"/>
    <w:uiPriority w:val="99"/>
    <w:unhideWhenUsed/>
    <w:rsid w:val="00D065BD"/>
    <w:rPr>
      <w:rFonts w:ascii="Calibri" w:eastAsia="Calibri" w:hAnsi="Calibri"/>
      <w:sz w:val="22"/>
      <w:szCs w:val="22"/>
    </w:rPr>
  </w:style>
  <w:style w:type="character" w:customStyle="1" w:styleId="PlainTextChar">
    <w:name w:val="Plain Text Char"/>
    <w:link w:val="PlainText"/>
    <w:uiPriority w:val="99"/>
    <w:rsid w:val="00D065BD"/>
    <w:rPr>
      <w:rFonts w:ascii="Calibri" w:eastAsia="Calibri" w:hAnsi="Calibri"/>
      <w:sz w:val="22"/>
      <w:szCs w:val="22"/>
    </w:rPr>
  </w:style>
  <w:style w:type="character" w:styleId="CommentReference">
    <w:name w:val="annotation reference"/>
    <w:uiPriority w:val="99"/>
    <w:unhideWhenUsed/>
    <w:rsid w:val="00D065BD"/>
    <w:rPr>
      <w:sz w:val="16"/>
      <w:szCs w:val="16"/>
    </w:rPr>
  </w:style>
  <w:style w:type="paragraph" w:styleId="CommentText">
    <w:name w:val="annotation text"/>
    <w:basedOn w:val="Normal"/>
    <w:link w:val="CommentTextChar"/>
    <w:uiPriority w:val="99"/>
    <w:unhideWhenUsed/>
    <w:rsid w:val="00D065BD"/>
    <w:rPr>
      <w:rFonts w:ascii="Calibri" w:eastAsia="Calibri" w:hAnsi="Calibri"/>
      <w:sz w:val="20"/>
    </w:rPr>
  </w:style>
  <w:style w:type="character" w:customStyle="1" w:styleId="CommentTextChar">
    <w:name w:val="Comment Text Char"/>
    <w:link w:val="CommentText"/>
    <w:uiPriority w:val="99"/>
    <w:rsid w:val="00D065BD"/>
    <w:rPr>
      <w:rFonts w:ascii="Calibri" w:eastAsia="Calibri" w:hAnsi="Calibri"/>
    </w:rPr>
  </w:style>
  <w:style w:type="paragraph" w:styleId="ListParagraph">
    <w:name w:val="List Paragraph"/>
    <w:basedOn w:val="Normal"/>
    <w:uiPriority w:val="34"/>
    <w:qFormat/>
    <w:rsid w:val="00284BC8"/>
    <w:pPr>
      <w:spacing w:after="200" w:line="276" w:lineRule="auto"/>
      <w:ind w:left="720"/>
      <w:contextualSpacing/>
    </w:pPr>
    <w:rPr>
      <w:rFonts w:ascii="Calibri" w:eastAsia="Calibri" w:hAnsi="Calibri"/>
      <w:sz w:val="22"/>
      <w:szCs w:val="22"/>
    </w:rPr>
  </w:style>
  <w:style w:type="character" w:styleId="Strong">
    <w:name w:val="Strong"/>
    <w:uiPriority w:val="22"/>
    <w:qFormat/>
    <w:rsid w:val="00284BC8"/>
    <w:rPr>
      <w:b/>
      <w:bCs/>
    </w:rPr>
  </w:style>
  <w:style w:type="character" w:styleId="Emphasis">
    <w:name w:val="Emphasis"/>
    <w:uiPriority w:val="20"/>
    <w:qFormat/>
    <w:rsid w:val="00284BC8"/>
    <w:rPr>
      <w:i/>
      <w:iCs/>
    </w:rPr>
  </w:style>
  <w:style w:type="paragraph" w:styleId="FootnoteText">
    <w:name w:val="footnote text"/>
    <w:basedOn w:val="Normal"/>
    <w:link w:val="FootnoteTextChar"/>
    <w:uiPriority w:val="99"/>
    <w:unhideWhenUsed/>
    <w:rsid w:val="00284BC8"/>
    <w:rPr>
      <w:rFonts w:ascii="Calibri" w:eastAsia="Calibri" w:hAnsi="Calibri"/>
      <w:sz w:val="20"/>
    </w:rPr>
  </w:style>
  <w:style w:type="character" w:customStyle="1" w:styleId="FootnoteTextChar">
    <w:name w:val="Footnote Text Char"/>
    <w:link w:val="FootnoteText"/>
    <w:uiPriority w:val="99"/>
    <w:rsid w:val="00284BC8"/>
    <w:rPr>
      <w:rFonts w:ascii="Calibri" w:eastAsia="Calibri" w:hAnsi="Calibri"/>
    </w:rPr>
  </w:style>
  <w:style w:type="character" w:styleId="FootnoteReference">
    <w:name w:val="footnote reference"/>
    <w:uiPriority w:val="99"/>
    <w:unhideWhenUsed/>
    <w:rsid w:val="00284BC8"/>
    <w:rPr>
      <w:vertAlign w:val="superscript"/>
    </w:rPr>
  </w:style>
  <w:style w:type="paragraph" w:styleId="Header">
    <w:name w:val="header"/>
    <w:basedOn w:val="Normal"/>
    <w:link w:val="HeaderChar"/>
    <w:rsid w:val="00A053A5"/>
    <w:pPr>
      <w:tabs>
        <w:tab w:val="center" w:pos="4680"/>
        <w:tab w:val="right" w:pos="9360"/>
      </w:tabs>
    </w:pPr>
  </w:style>
  <w:style w:type="character" w:customStyle="1" w:styleId="HeaderChar">
    <w:name w:val="Header Char"/>
    <w:link w:val="Header"/>
    <w:rsid w:val="00A053A5"/>
    <w:rPr>
      <w:sz w:val="24"/>
    </w:rPr>
  </w:style>
  <w:style w:type="paragraph" w:styleId="Footer">
    <w:name w:val="footer"/>
    <w:basedOn w:val="Normal"/>
    <w:link w:val="FooterChar"/>
    <w:rsid w:val="00A053A5"/>
    <w:pPr>
      <w:tabs>
        <w:tab w:val="center" w:pos="4680"/>
        <w:tab w:val="right" w:pos="9360"/>
      </w:tabs>
    </w:pPr>
  </w:style>
  <w:style w:type="character" w:customStyle="1" w:styleId="FooterChar">
    <w:name w:val="Footer Char"/>
    <w:link w:val="Footer"/>
    <w:rsid w:val="00A053A5"/>
    <w:rPr>
      <w:sz w:val="24"/>
    </w:rPr>
  </w:style>
  <w:style w:type="character" w:styleId="FollowedHyperlink">
    <w:name w:val="FollowedHyperlink"/>
    <w:basedOn w:val="DefaultParagraphFont"/>
    <w:rsid w:val="00796C1A"/>
    <w:rPr>
      <w:color w:val="800080" w:themeColor="followedHyperlink"/>
      <w:u w:val="single"/>
    </w:rPr>
  </w:style>
  <w:style w:type="paragraph" w:styleId="CommentSubject">
    <w:name w:val="annotation subject"/>
    <w:basedOn w:val="CommentText"/>
    <w:next w:val="CommentText"/>
    <w:link w:val="CommentSubjectChar"/>
    <w:rsid w:val="00796C1A"/>
    <w:rPr>
      <w:rFonts w:ascii="Times New Roman" w:eastAsia="Times New Roman" w:hAnsi="Times New Roman"/>
      <w:b/>
      <w:bCs/>
    </w:rPr>
  </w:style>
  <w:style w:type="character" w:customStyle="1" w:styleId="CommentSubjectChar">
    <w:name w:val="Comment Subject Char"/>
    <w:basedOn w:val="CommentTextChar"/>
    <w:link w:val="CommentSubject"/>
    <w:rsid w:val="00796C1A"/>
    <w:rPr>
      <w:rFonts w:ascii="Calibri" w:eastAsia="Calibri" w:hAnsi="Calibri"/>
      <w:b/>
      <w:bCs/>
    </w:rPr>
  </w:style>
  <w:style w:type="paragraph" w:styleId="Revision">
    <w:name w:val="Revision"/>
    <w:hidden/>
    <w:uiPriority w:val="99"/>
    <w:semiHidden/>
    <w:rsid w:val="00386237"/>
    <w:rPr>
      <w:sz w:val="24"/>
    </w:rPr>
  </w:style>
  <w:style w:type="paragraph" w:styleId="EndnoteText">
    <w:name w:val="endnote text"/>
    <w:basedOn w:val="Normal"/>
    <w:link w:val="EndnoteTextChar"/>
    <w:rsid w:val="0054050D"/>
    <w:rPr>
      <w:sz w:val="20"/>
    </w:rPr>
  </w:style>
  <w:style w:type="character" w:customStyle="1" w:styleId="EndnoteTextChar">
    <w:name w:val="Endnote Text Char"/>
    <w:basedOn w:val="DefaultParagraphFont"/>
    <w:link w:val="EndnoteText"/>
    <w:rsid w:val="0054050D"/>
  </w:style>
  <w:style w:type="character" w:styleId="EndnoteReference">
    <w:name w:val="endnote reference"/>
    <w:basedOn w:val="DefaultParagraphFont"/>
    <w:rsid w:val="005405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uiPriority="20"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PlainText">
    <w:name w:val="Plain Text"/>
    <w:basedOn w:val="Normal"/>
    <w:link w:val="PlainTextChar"/>
    <w:uiPriority w:val="99"/>
    <w:unhideWhenUsed/>
    <w:rsid w:val="00D065BD"/>
    <w:rPr>
      <w:rFonts w:ascii="Calibri" w:eastAsia="Calibri" w:hAnsi="Calibri"/>
      <w:sz w:val="22"/>
      <w:szCs w:val="22"/>
    </w:rPr>
  </w:style>
  <w:style w:type="character" w:customStyle="1" w:styleId="PlainTextChar">
    <w:name w:val="Plain Text Char"/>
    <w:link w:val="PlainText"/>
    <w:uiPriority w:val="99"/>
    <w:rsid w:val="00D065BD"/>
    <w:rPr>
      <w:rFonts w:ascii="Calibri" w:eastAsia="Calibri" w:hAnsi="Calibri"/>
      <w:sz w:val="22"/>
      <w:szCs w:val="22"/>
    </w:rPr>
  </w:style>
  <w:style w:type="character" w:styleId="CommentReference">
    <w:name w:val="annotation reference"/>
    <w:uiPriority w:val="99"/>
    <w:unhideWhenUsed/>
    <w:rsid w:val="00D065BD"/>
    <w:rPr>
      <w:sz w:val="16"/>
      <w:szCs w:val="16"/>
    </w:rPr>
  </w:style>
  <w:style w:type="paragraph" w:styleId="CommentText">
    <w:name w:val="annotation text"/>
    <w:basedOn w:val="Normal"/>
    <w:link w:val="CommentTextChar"/>
    <w:uiPriority w:val="99"/>
    <w:unhideWhenUsed/>
    <w:rsid w:val="00D065BD"/>
    <w:rPr>
      <w:rFonts w:ascii="Calibri" w:eastAsia="Calibri" w:hAnsi="Calibri"/>
      <w:sz w:val="20"/>
    </w:rPr>
  </w:style>
  <w:style w:type="character" w:customStyle="1" w:styleId="CommentTextChar">
    <w:name w:val="Comment Text Char"/>
    <w:link w:val="CommentText"/>
    <w:uiPriority w:val="99"/>
    <w:rsid w:val="00D065BD"/>
    <w:rPr>
      <w:rFonts w:ascii="Calibri" w:eastAsia="Calibri" w:hAnsi="Calibri"/>
    </w:rPr>
  </w:style>
  <w:style w:type="paragraph" w:styleId="ListParagraph">
    <w:name w:val="List Paragraph"/>
    <w:basedOn w:val="Normal"/>
    <w:uiPriority w:val="34"/>
    <w:qFormat/>
    <w:rsid w:val="00284BC8"/>
    <w:pPr>
      <w:spacing w:after="200" w:line="276" w:lineRule="auto"/>
      <w:ind w:left="720"/>
      <w:contextualSpacing/>
    </w:pPr>
    <w:rPr>
      <w:rFonts w:ascii="Calibri" w:eastAsia="Calibri" w:hAnsi="Calibri"/>
      <w:sz w:val="22"/>
      <w:szCs w:val="22"/>
    </w:rPr>
  </w:style>
  <w:style w:type="character" w:styleId="Strong">
    <w:name w:val="Strong"/>
    <w:uiPriority w:val="22"/>
    <w:qFormat/>
    <w:rsid w:val="00284BC8"/>
    <w:rPr>
      <w:b/>
      <w:bCs/>
    </w:rPr>
  </w:style>
  <w:style w:type="character" w:styleId="Emphasis">
    <w:name w:val="Emphasis"/>
    <w:uiPriority w:val="20"/>
    <w:qFormat/>
    <w:rsid w:val="00284BC8"/>
    <w:rPr>
      <w:i/>
      <w:iCs/>
    </w:rPr>
  </w:style>
  <w:style w:type="paragraph" w:styleId="FootnoteText">
    <w:name w:val="footnote text"/>
    <w:basedOn w:val="Normal"/>
    <w:link w:val="FootnoteTextChar"/>
    <w:uiPriority w:val="99"/>
    <w:unhideWhenUsed/>
    <w:rsid w:val="00284BC8"/>
    <w:rPr>
      <w:rFonts w:ascii="Calibri" w:eastAsia="Calibri" w:hAnsi="Calibri"/>
      <w:sz w:val="20"/>
    </w:rPr>
  </w:style>
  <w:style w:type="character" w:customStyle="1" w:styleId="FootnoteTextChar">
    <w:name w:val="Footnote Text Char"/>
    <w:link w:val="FootnoteText"/>
    <w:uiPriority w:val="99"/>
    <w:rsid w:val="00284BC8"/>
    <w:rPr>
      <w:rFonts w:ascii="Calibri" w:eastAsia="Calibri" w:hAnsi="Calibri"/>
    </w:rPr>
  </w:style>
  <w:style w:type="character" w:styleId="FootnoteReference">
    <w:name w:val="footnote reference"/>
    <w:uiPriority w:val="99"/>
    <w:unhideWhenUsed/>
    <w:rsid w:val="00284BC8"/>
    <w:rPr>
      <w:vertAlign w:val="superscript"/>
    </w:rPr>
  </w:style>
  <w:style w:type="paragraph" w:styleId="Header">
    <w:name w:val="header"/>
    <w:basedOn w:val="Normal"/>
    <w:link w:val="HeaderChar"/>
    <w:rsid w:val="00A053A5"/>
    <w:pPr>
      <w:tabs>
        <w:tab w:val="center" w:pos="4680"/>
        <w:tab w:val="right" w:pos="9360"/>
      </w:tabs>
    </w:pPr>
  </w:style>
  <w:style w:type="character" w:customStyle="1" w:styleId="HeaderChar">
    <w:name w:val="Header Char"/>
    <w:link w:val="Header"/>
    <w:rsid w:val="00A053A5"/>
    <w:rPr>
      <w:sz w:val="24"/>
    </w:rPr>
  </w:style>
  <w:style w:type="paragraph" w:styleId="Footer">
    <w:name w:val="footer"/>
    <w:basedOn w:val="Normal"/>
    <w:link w:val="FooterChar"/>
    <w:rsid w:val="00A053A5"/>
    <w:pPr>
      <w:tabs>
        <w:tab w:val="center" w:pos="4680"/>
        <w:tab w:val="right" w:pos="9360"/>
      </w:tabs>
    </w:pPr>
  </w:style>
  <w:style w:type="character" w:customStyle="1" w:styleId="FooterChar">
    <w:name w:val="Footer Char"/>
    <w:link w:val="Footer"/>
    <w:rsid w:val="00A053A5"/>
    <w:rPr>
      <w:sz w:val="24"/>
    </w:rPr>
  </w:style>
  <w:style w:type="character" w:styleId="FollowedHyperlink">
    <w:name w:val="FollowedHyperlink"/>
    <w:basedOn w:val="DefaultParagraphFont"/>
    <w:rsid w:val="00796C1A"/>
    <w:rPr>
      <w:color w:val="800080" w:themeColor="followedHyperlink"/>
      <w:u w:val="single"/>
    </w:rPr>
  </w:style>
  <w:style w:type="paragraph" w:styleId="CommentSubject">
    <w:name w:val="annotation subject"/>
    <w:basedOn w:val="CommentText"/>
    <w:next w:val="CommentText"/>
    <w:link w:val="CommentSubjectChar"/>
    <w:rsid w:val="00796C1A"/>
    <w:rPr>
      <w:rFonts w:ascii="Times New Roman" w:eastAsia="Times New Roman" w:hAnsi="Times New Roman"/>
      <w:b/>
      <w:bCs/>
    </w:rPr>
  </w:style>
  <w:style w:type="character" w:customStyle="1" w:styleId="CommentSubjectChar">
    <w:name w:val="Comment Subject Char"/>
    <w:basedOn w:val="CommentTextChar"/>
    <w:link w:val="CommentSubject"/>
    <w:rsid w:val="00796C1A"/>
    <w:rPr>
      <w:rFonts w:ascii="Calibri" w:eastAsia="Calibri" w:hAnsi="Calibri"/>
      <w:b/>
      <w:bCs/>
    </w:rPr>
  </w:style>
  <w:style w:type="paragraph" w:styleId="Revision">
    <w:name w:val="Revision"/>
    <w:hidden/>
    <w:uiPriority w:val="99"/>
    <w:semiHidden/>
    <w:rsid w:val="00386237"/>
    <w:rPr>
      <w:sz w:val="24"/>
    </w:rPr>
  </w:style>
  <w:style w:type="paragraph" w:styleId="EndnoteText">
    <w:name w:val="endnote text"/>
    <w:basedOn w:val="Normal"/>
    <w:link w:val="EndnoteTextChar"/>
    <w:rsid w:val="0054050D"/>
    <w:rPr>
      <w:sz w:val="20"/>
    </w:rPr>
  </w:style>
  <w:style w:type="character" w:customStyle="1" w:styleId="EndnoteTextChar">
    <w:name w:val="Endnote Text Char"/>
    <w:basedOn w:val="DefaultParagraphFont"/>
    <w:link w:val="EndnoteText"/>
    <w:rsid w:val="0054050D"/>
  </w:style>
  <w:style w:type="character" w:styleId="EndnoteReference">
    <w:name w:val="endnote reference"/>
    <w:basedOn w:val="DefaultParagraphFont"/>
    <w:rsid w:val="005405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ohhs/docs/dph/environmental/radiationcontrol/tritium/2015-updates/pnps-update-05-12-15.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DPH-FP-CO-121\dph3\Center%20for%20Environmental%20Health\Bureau%20for%20Environmental%20Health\Programs\Toxicology\Projects\Radiation\Pilgrim\Web%20Content\Documents%20for%20posting%204-17\2016%20Q2%20charts.doc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mass.gov/eohhs/gov/departments/dph/programs/environmental-health/exposure-topics/radiation/environmental-monitoring.html" TargetMode="External"/><Relationship Id="rId1" Type="http://schemas.openxmlformats.org/officeDocument/2006/relationships/hyperlink" Target="http://www.mass.gov/eohhs/gov/departments/dph/programs/environmental-health/exposure-topics/radiation/environmental-monitoring.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83591-E528-4AC5-8942-8BD2D6D91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4</Pages>
  <Words>1038</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7313</CharactersWithSpaces>
  <SharedDoc>false</SharedDoc>
  <HLinks>
    <vt:vector size="12" baseType="variant">
      <vt:variant>
        <vt:i4>3342384</vt:i4>
      </vt:variant>
      <vt:variant>
        <vt:i4>3</vt:i4>
      </vt:variant>
      <vt:variant>
        <vt:i4>0</vt:i4>
      </vt:variant>
      <vt:variant>
        <vt:i4>5</vt:i4>
      </vt:variant>
      <vt:variant>
        <vt:lpwstr>http://www.mass.gov/eohhs/gov/departments/dph/programs/environmental-health/exposure-topics/radiation/environmental-monitoring.html</vt:lpwstr>
      </vt:variant>
      <vt:variant>
        <vt:lpwstr/>
      </vt:variant>
      <vt:variant>
        <vt:i4>3342384</vt:i4>
      </vt:variant>
      <vt:variant>
        <vt:i4>0</vt:i4>
      </vt:variant>
      <vt:variant>
        <vt:i4>0</vt:i4>
      </vt:variant>
      <vt:variant>
        <vt:i4>5</vt:i4>
      </vt:variant>
      <vt:variant>
        <vt:lpwstr>http://www.mass.gov/eohhs/gov/departments/dph/programs/environmental-health/exposure-topics/radiation/environmental-monitoring.html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cp:lastModifiedBy>Paul George</cp:lastModifiedBy>
  <cp:revision>2</cp:revision>
  <cp:lastPrinted>2017-05-08T21:00:00Z</cp:lastPrinted>
  <dcterms:created xsi:type="dcterms:W3CDTF">2018-10-10T18:30:00Z</dcterms:created>
  <dcterms:modified xsi:type="dcterms:W3CDTF">2018-10-10T18:30:00Z</dcterms:modified>
</cp:coreProperties>
</file>