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B3B" w:rsidRDefault="00D5420A" w:rsidP="00061B3B">
      <w:pPr>
        <w:spacing w:after="0" w:line="360" w:lineRule="auto"/>
        <w:rPr>
          <w:rFonts w:cs="Tahoma"/>
          <w:b/>
          <w:sz w:val="28"/>
          <w:szCs w:val="28"/>
        </w:rPr>
      </w:pPr>
      <w:r w:rsidRPr="00D5420A">
        <w:rPr>
          <w:noProof/>
        </w:rPr>
        <w:drawing>
          <wp:inline distT="0" distB="0" distL="0" distR="0" wp14:anchorId="6DBD08DF" wp14:editId="080A3AF1">
            <wp:extent cx="6410325" cy="2091251"/>
            <wp:effectExtent l="0" t="0" r="0" b="4445"/>
            <wp:docPr id="2" name="Picture 2" title="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2136" cy="2091842"/>
                    </a:xfrm>
                    <a:prstGeom prst="rect">
                      <a:avLst/>
                    </a:prstGeom>
                    <a:noFill/>
                    <a:ln>
                      <a:noFill/>
                    </a:ln>
                  </pic:spPr>
                </pic:pic>
              </a:graphicData>
            </a:graphic>
          </wp:inline>
        </w:drawing>
      </w:r>
    </w:p>
    <w:p w:rsidR="00061B3B" w:rsidRPr="00061B3B" w:rsidRDefault="00061B3B" w:rsidP="00061B3B">
      <w:pPr>
        <w:spacing w:after="0" w:line="360" w:lineRule="auto"/>
        <w:rPr>
          <w:rFonts w:cs="Tahoma"/>
          <w:b/>
          <w:sz w:val="28"/>
          <w:szCs w:val="28"/>
        </w:rPr>
      </w:pPr>
      <w:r w:rsidRPr="00061B3B">
        <w:rPr>
          <w:rFonts w:cs="Tahoma"/>
          <w:b/>
          <w:sz w:val="28"/>
          <w:szCs w:val="28"/>
        </w:rPr>
        <w:t>MEMORANDUM</w:t>
      </w:r>
    </w:p>
    <w:p w:rsidR="00061B3B" w:rsidRPr="00061B3B" w:rsidRDefault="00061B3B" w:rsidP="00061B3B">
      <w:pPr>
        <w:spacing w:after="0" w:line="240" w:lineRule="auto"/>
        <w:rPr>
          <w:rFonts w:cs="Tahoma"/>
          <w:sz w:val="24"/>
          <w:szCs w:val="24"/>
        </w:rPr>
      </w:pPr>
      <w:r w:rsidRPr="00061B3B">
        <w:rPr>
          <w:rFonts w:cs="Tahoma"/>
          <w:b/>
          <w:sz w:val="24"/>
          <w:szCs w:val="24"/>
        </w:rPr>
        <w:t xml:space="preserve">TO:  </w:t>
      </w:r>
      <w:r w:rsidRPr="00061B3B">
        <w:rPr>
          <w:rFonts w:cs="Tahoma"/>
          <w:b/>
          <w:sz w:val="24"/>
          <w:szCs w:val="24"/>
        </w:rPr>
        <w:tab/>
      </w:r>
      <w:r w:rsidRPr="00061B3B">
        <w:rPr>
          <w:rFonts w:cs="Tahoma"/>
          <w:b/>
          <w:sz w:val="24"/>
          <w:szCs w:val="24"/>
        </w:rPr>
        <w:tab/>
      </w:r>
      <w:r w:rsidRPr="00061B3B">
        <w:rPr>
          <w:rFonts w:cs="Tahoma"/>
          <w:sz w:val="24"/>
          <w:szCs w:val="24"/>
        </w:rPr>
        <w:t>Radiation Control Program</w:t>
      </w:r>
      <w:r w:rsidRPr="00061B3B">
        <w:rPr>
          <w:rFonts w:cs="Tahoma"/>
          <w:b/>
          <w:sz w:val="24"/>
          <w:szCs w:val="24"/>
        </w:rPr>
        <w:tab/>
      </w:r>
    </w:p>
    <w:p w:rsidR="00061B3B" w:rsidRPr="00061B3B" w:rsidRDefault="00061B3B" w:rsidP="00061B3B">
      <w:pPr>
        <w:spacing w:after="0" w:line="240" w:lineRule="auto"/>
        <w:rPr>
          <w:rFonts w:cs="Tahoma"/>
          <w:b/>
          <w:sz w:val="24"/>
          <w:szCs w:val="24"/>
        </w:rPr>
      </w:pPr>
      <w:r w:rsidRPr="00061B3B">
        <w:rPr>
          <w:rFonts w:cs="Tahoma"/>
          <w:b/>
          <w:sz w:val="24"/>
          <w:szCs w:val="24"/>
        </w:rPr>
        <w:t>FROM:</w:t>
      </w:r>
      <w:r w:rsidRPr="00061B3B">
        <w:rPr>
          <w:rFonts w:cs="Tahoma"/>
          <w:b/>
          <w:sz w:val="24"/>
          <w:szCs w:val="24"/>
        </w:rPr>
        <w:tab/>
      </w:r>
      <w:r w:rsidRPr="00061B3B">
        <w:rPr>
          <w:rFonts w:cs="Tahoma"/>
          <w:b/>
          <w:sz w:val="24"/>
          <w:szCs w:val="24"/>
        </w:rPr>
        <w:tab/>
      </w:r>
      <w:r w:rsidRPr="00061B3B">
        <w:rPr>
          <w:rFonts w:cs="Tahoma"/>
          <w:sz w:val="24"/>
          <w:szCs w:val="24"/>
        </w:rPr>
        <w:t>Environmental Toxicology Program</w:t>
      </w:r>
    </w:p>
    <w:p w:rsidR="00061B3B" w:rsidRPr="00061B3B" w:rsidRDefault="00061B3B" w:rsidP="00061B3B">
      <w:pPr>
        <w:spacing w:after="0" w:line="240" w:lineRule="auto"/>
        <w:rPr>
          <w:rFonts w:cs="Tahoma"/>
          <w:b/>
          <w:sz w:val="24"/>
          <w:szCs w:val="24"/>
        </w:rPr>
      </w:pPr>
      <w:r w:rsidRPr="00061B3B">
        <w:rPr>
          <w:rFonts w:cs="Tahoma"/>
          <w:b/>
          <w:sz w:val="24"/>
          <w:szCs w:val="24"/>
        </w:rPr>
        <w:t>CC:</w:t>
      </w:r>
      <w:r w:rsidRPr="00061B3B">
        <w:rPr>
          <w:rFonts w:cs="Tahoma"/>
          <w:b/>
          <w:sz w:val="24"/>
          <w:szCs w:val="24"/>
        </w:rPr>
        <w:tab/>
      </w:r>
      <w:r w:rsidRPr="00061B3B">
        <w:rPr>
          <w:rFonts w:cs="Tahoma"/>
          <w:b/>
          <w:sz w:val="24"/>
          <w:szCs w:val="24"/>
        </w:rPr>
        <w:tab/>
      </w:r>
      <w:r w:rsidR="00261E21" w:rsidRPr="00261E21">
        <w:rPr>
          <w:rFonts w:cs="Tahoma"/>
          <w:sz w:val="24"/>
          <w:szCs w:val="24"/>
        </w:rPr>
        <w:t>Bureau of Environmental Health</w:t>
      </w:r>
      <w:r w:rsidR="00261E21">
        <w:rPr>
          <w:rFonts w:cs="Tahoma"/>
          <w:sz w:val="24"/>
          <w:szCs w:val="24"/>
        </w:rPr>
        <w:t xml:space="preserve"> (BEH)</w:t>
      </w:r>
      <w:r w:rsidRPr="00061B3B">
        <w:rPr>
          <w:rFonts w:cs="Tahoma"/>
          <w:sz w:val="24"/>
          <w:szCs w:val="24"/>
        </w:rPr>
        <w:t xml:space="preserve"> Director; BEH Deputy Director</w:t>
      </w:r>
    </w:p>
    <w:p w:rsidR="00061B3B" w:rsidRPr="00061B3B" w:rsidRDefault="00061B3B" w:rsidP="00061B3B">
      <w:pPr>
        <w:spacing w:after="0" w:line="240" w:lineRule="auto"/>
        <w:rPr>
          <w:rFonts w:cs="Tahoma"/>
          <w:b/>
          <w:sz w:val="24"/>
          <w:szCs w:val="24"/>
        </w:rPr>
      </w:pPr>
      <w:r w:rsidRPr="00061B3B">
        <w:rPr>
          <w:rFonts w:cs="Tahoma"/>
          <w:b/>
          <w:sz w:val="24"/>
          <w:szCs w:val="24"/>
        </w:rPr>
        <w:t>DATE:</w:t>
      </w:r>
      <w:r w:rsidRPr="00061B3B">
        <w:rPr>
          <w:rFonts w:cs="Tahoma"/>
          <w:b/>
          <w:sz w:val="24"/>
          <w:szCs w:val="24"/>
        </w:rPr>
        <w:tab/>
      </w:r>
      <w:r w:rsidRPr="00061B3B">
        <w:rPr>
          <w:rFonts w:cs="Tahoma"/>
          <w:b/>
          <w:sz w:val="24"/>
          <w:szCs w:val="24"/>
        </w:rPr>
        <w:tab/>
      </w:r>
      <w:r w:rsidRPr="00061B3B">
        <w:rPr>
          <w:rFonts w:cs="Tahoma"/>
          <w:sz w:val="24"/>
          <w:szCs w:val="24"/>
        </w:rPr>
        <w:fldChar w:fldCharType="begin"/>
      </w:r>
      <w:r w:rsidRPr="00061B3B">
        <w:rPr>
          <w:rFonts w:cs="Tahoma"/>
          <w:sz w:val="24"/>
          <w:szCs w:val="24"/>
        </w:rPr>
        <w:instrText xml:space="preserve"> DATE  \@ "MMMM d, yyyy"  \* MERGEFORMAT </w:instrText>
      </w:r>
      <w:r w:rsidRPr="00061B3B">
        <w:rPr>
          <w:rFonts w:cs="Tahoma"/>
          <w:sz w:val="24"/>
          <w:szCs w:val="24"/>
        </w:rPr>
        <w:fldChar w:fldCharType="separate"/>
      </w:r>
      <w:r w:rsidR="00BF1B79">
        <w:rPr>
          <w:rFonts w:cs="Tahoma"/>
          <w:noProof/>
          <w:sz w:val="24"/>
          <w:szCs w:val="24"/>
        </w:rPr>
        <w:t>November 16, 2016</w:t>
      </w:r>
      <w:r w:rsidRPr="00061B3B">
        <w:rPr>
          <w:rFonts w:cs="Tahoma"/>
          <w:sz w:val="24"/>
          <w:szCs w:val="24"/>
        </w:rPr>
        <w:fldChar w:fldCharType="end"/>
      </w:r>
    </w:p>
    <w:p w:rsidR="00061B3B" w:rsidRPr="00061B3B" w:rsidRDefault="00061B3B" w:rsidP="00061B3B">
      <w:pPr>
        <w:spacing w:after="0" w:line="240" w:lineRule="auto"/>
        <w:rPr>
          <w:rFonts w:cs="Tahoma"/>
          <w:sz w:val="24"/>
          <w:szCs w:val="24"/>
        </w:rPr>
      </w:pPr>
      <w:r w:rsidRPr="00061B3B">
        <w:rPr>
          <w:rFonts w:cs="Tahoma"/>
          <w:b/>
          <w:sz w:val="24"/>
          <w:szCs w:val="24"/>
        </w:rPr>
        <w:t>SUBJECT:</w:t>
      </w:r>
      <w:r w:rsidRPr="00061B3B">
        <w:rPr>
          <w:rFonts w:cs="Tahoma"/>
          <w:b/>
          <w:sz w:val="24"/>
          <w:szCs w:val="24"/>
        </w:rPr>
        <w:tab/>
      </w:r>
      <w:r w:rsidR="00261E21" w:rsidRPr="00261E21">
        <w:rPr>
          <w:rFonts w:cs="Tahoma"/>
          <w:sz w:val="24"/>
          <w:szCs w:val="24"/>
        </w:rPr>
        <w:t>Pilgrim Nuclear Power Station</w:t>
      </w:r>
      <w:r w:rsidRPr="00061B3B">
        <w:rPr>
          <w:rFonts w:cs="Tahoma"/>
          <w:sz w:val="24"/>
          <w:szCs w:val="24"/>
        </w:rPr>
        <w:t xml:space="preserve"> Tritium in Groundwater Investigation Update</w:t>
      </w:r>
    </w:p>
    <w:p w:rsidR="004609FF" w:rsidRDefault="004609FF" w:rsidP="00E67EE6">
      <w:pPr>
        <w:spacing w:after="0" w:line="240" w:lineRule="auto"/>
        <w:rPr>
          <w:b/>
          <w:sz w:val="24"/>
          <w:szCs w:val="24"/>
        </w:rPr>
      </w:pPr>
    </w:p>
    <w:p w:rsidR="00D5420A" w:rsidRDefault="00D5420A" w:rsidP="00E67EE6">
      <w:pPr>
        <w:spacing w:after="0" w:line="240" w:lineRule="auto"/>
        <w:rPr>
          <w:b/>
          <w:sz w:val="24"/>
          <w:szCs w:val="24"/>
        </w:rPr>
      </w:pPr>
    </w:p>
    <w:p w:rsidR="00F4516E" w:rsidRPr="00061B3B" w:rsidRDefault="002517F1" w:rsidP="00061B3B">
      <w:pPr>
        <w:pStyle w:val="ListParagraph"/>
        <w:spacing w:after="0" w:line="240" w:lineRule="auto"/>
        <w:ind w:left="0"/>
        <w:jc w:val="both"/>
        <w:rPr>
          <w:b/>
          <w:sz w:val="28"/>
          <w:szCs w:val="28"/>
        </w:rPr>
      </w:pPr>
      <w:r w:rsidRPr="00061B3B">
        <w:rPr>
          <w:b/>
          <w:sz w:val="28"/>
          <w:szCs w:val="28"/>
        </w:rPr>
        <w:t>PURPOSE</w:t>
      </w:r>
    </w:p>
    <w:p w:rsidR="004975D9" w:rsidRDefault="004975D9" w:rsidP="00061B3B">
      <w:pPr>
        <w:pStyle w:val="ListParagraph"/>
        <w:spacing w:after="0" w:line="240" w:lineRule="auto"/>
        <w:ind w:left="0"/>
        <w:jc w:val="both"/>
        <w:rPr>
          <w:sz w:val="24"/>
          <w:szCs w:val="24"/>
        </w:rPr>
      </w:pPr>
    </w:p>
    <w:p w:rsidR="00E67EE6" w:rsidRDefault="00E67EE6" w:rsidP="00061B3B">
      <w:pPr>
        <w:pStyle w:val="ListParagraph"/>
        <w:spacing w:after="0" w:line="240" w:lineRule="auto"/>
        <w:ind w:left="0"/>
        <w:jc w:val="both"/>
        <w:rPr>
          <w:sz w:val="24"/>
          <w:szCs w:val="24"/>
        </w:rPr>
      </w:pPr>
      <w:r w:rsidRPr="00F35E82">
        <w:rPr>
          <w:sz w:val="24"/>
          <w:szCs w:val="24"/>
        </w:rPr>
        <w:t xml:space="preserve">This document </w:t>
      </w:r>
      <w:r w:rsidR="003726B4">
        <w:rPr>
          <w:sz w:val="24"/>
          <w:szCs w:val="24"/>
        </w:rPr>
        <w:t xml:space="preserve">updates </w:t>
      </w:r>
      <w:r w:rsidRPr="00F35E82">
        <w:rPr>
          <w:sz w:val="24"/>
          <w:szCs w:val="24"/>
        </w:rPr>
        <w:t xml:space="preserve">the results of on-going tritium in groundwater and surface water </w:t>
      </w:r>
      <w:r w:rsidR="00897BDE">
        <w:rPr>
          <w:sz w:val="24"/>
          <w:szCs w:val="24"/>
        </w:rPr>
        <w:t xml:space="preserve">monitoring </w:t>
      </w:r>
      <w:r w:rsidRPr="00F35E82">
        <w:rPr>
          <w:sz w:val="24"/>
          <w:szCs w:val="24"/>
        </w:rPr>
        <w:t>at Pilgrim Nuclear Power Station (PNPS) in Plymouth, MA</w:t>
      </w:r>
      <w:r w:rsidR="003726B4">
        <w:rPr>
          <w:sz w:val="24"/>
          <w:szCs w:val="24"/>
        </w:rPr>
        <w:t xml:space="preserve"> for the first six months of 2016</w:t>
      </w:r>
      <w:r w:rsidRPr="00F35E82">
        <w:rPr>
          <w:sz w:val="24"/>
          <w:szCs w:val="24"/>
        </w:rPr>
        <w:t xml:space="preserve">. </w:t>
      </w:r>
    </w:p>
    <w:p w:rsidR="002517F1" w:rsidRDefault="002517F1" w:rsidP="00061B3B">
      <w:pPr>
        <w:pStyle w:val="ListParagraph"/>
        <w:spacing w:after="0" w:line="240" w:lineRule="auto"/>
        <w:ind w:left="360"/>
        <w:jc w:val="both"/>
        <w:rPr>
          <w:sz w:val="24"/>
          <w:szCs w:val="24"/>
        </w:rPr>
      </w:pPr>
    </w:p>
    <w:p w:rsidR="00E55734" w:rsidRPr="00061B3B" w:rsidRDefault="00E55734" w:rsidP="00061B3B">
      <w:pPr>
        <w:pStyle w:val="ListParagraph"/>
        <w:spacing w:after="0" w:line="240" w:lineRule="auto"/>
        <w:ind w:left="0"/>
        <w:rPr>
          <w:b/>
          <w:sz w:val="28"/>
          <w:szCs w:val="28"/>
        </w:rPr>
      </w:pPr>
      <w:r w:rsidRPr="00061B3B">
        <w:rPr>
          <w:b/>
          <w:sz w:val="28"/>
          <w:szCs w:val="28"/>
        </w:rPr>
        <w:t>OVERVIEW</w:t>
      </w:r>
    </w:p>
    <w:p w:rsidR="004975D9" w:rsidRDefault="004975D9" w:rsidP="00061B3B">
      <w:pPr>
        <w:pStyle w:val="ListParagraph"/>
        <w:spacing w:after="0" w:line="240" w:lineRule="auto"/>
        <w:ind w:left="0"/>
        <w:rPr>
          <w:b/>
          <w:sz w:val="24"/>
          <w:szCs w:val="24"/>
        </w:rPr>
      </w:pPr>
    </w:p>
    <w:p w:rsidR="00065CFB" w:rsidRPr="00061B3B" w:rsidRDefault="00667A85" w:rsidP="00061B3B">
      <w:pPr>
        <w:pStyle w:val="ListParagraph"/>
        <w:numPr>
          <w:ilvl w:val="0"/>
          <w:numId w:val="18"/>
        </w:numPr>
        <w:spacing w:after="0" w:line="240" w:lineRule="auto"/>
        <w:jc w:val="both"/>
        <w:rPr>
          <w:sz w:val="24"/>
          <w:szCs w:val="24"/>
        </w:rPr>
      </w:pPr>
      <w:r>
        <w:rPr>
          <w:sz w:val="24"/>
          <w:szCs w:val="24"/>
        </w:rPr>
        <w:t>Of the 23 groundwater wells that are routinely sampled, r</w:t>
      </w:r>
      <w:r w:rsidR="00065CFB" w:rsidRPr="00CD3080">
        <w:rPr>
          <w:sz w:val="24"/>
          <w:szCs w:val="24"/>
        </w:rPr>
        <w:t xml:space="preserve">esults </w:t>
      </w:r>
      <w:r w:rsidR="00065CFB">
        <w:rPr>
          <w:sz w:val="24"/>
          <w:szCs w:val="24"/>
        </w:rPr>
        <w:t xml:space="preserve">for </w:t>
      </w:r>
      <w:r>
        <w:rPr>
          <w:sz w:val="24"/>
          <w:szCs w:val="24"/>
        </w:rPr>
        <w:t xml:space="preserve">six indicate no detectable activity </w:t>
      </w:r>
      <w:r w:rsidRPr="00061B3B">
        <w:rPr>
          <w:sz w:val="24"/>
          <w:szCs w:val="24"/>
        </w:rPr>
        <w:t xml:space="preserve">above background, and the remaining 17 </w:t>
      </w:r>
      <w:r w:rsidR="00065CFB" w:rsidRPr="00061B3B">
        <w:rPr>
          <w:sz w:val="24"/>
          <w:szCs w:val="24"/>
        </w:rPr>
        <w:t>showed stabilization in tritium levels</w:t>
      </w:r>
      <w:r w:rsidRPr="00061B3B">
        <w:rPr>
          <w:sz w:val="24"/>
          <w:szCs w:val="24"/>
        </w:rPr>
        <w:t xml:space="preserve">. </w:t>
      </w:r>
    </w:p>
    <w:p w:rsidR="00674B0C" w:rsidRPr="00061B3B" w:rsidRDefault="001916CF" w:rsidP="00061B3B">
      <w:pPr>
        <w:pStyle w:val="ListParagraph"/>
        <w:numPr>
          <w:ilvl w:val="0"/>
          <w:numId w:val="18"/>
        </w:numPr>
        <w:spacing w:after="0" w:line="240" w:lineRule="auto"/>
        <w:jc w:val="both"/>
        <w:rPr>
          <w:sz w:val="24"/>
          <w:szCs w:val="24"/>
        </w:rPr>
      </w:pPr>
      <w:r w:rsidRPr="00061B3B">
        <w:rPr>
          <w:sz w:val="24"/>
          <w:szCs w:val="24"/>
        </w:rPr>
        <w:t xml:space="preserve">Increased levels of tritium were measured at </w:t>
      </w:r>
      <w:r w:rsidR="00A516B8" w:rsidRPr="00061B3B">
        <w:rPr>
          <w:sz w:val="24"/>
          <w:szCs w:val="24"/>
        </w:rPr>
        <w:t>two wells.</w:t>
      </w:r>
      <w:r w:rsidR="00897BDE" w:rsidRPr="00061B3B">
        <w:rPr>
          <w:sz w:val="24"/>
          <w:szCs w:val="24"/>
        </w:rPr>
        <w:t xml:space="preserve"> </w:t>
      </w:r>
      <w:r w:rsidR="00FA3178" w:rsidRPr="00061B3B">
        <w:rPr>
          <w:sz w:val="24"/>
          <w:szCs w:val="24"/>
        </w:rPr>
        <w:t xml:space="preserve">Following </w:t>
      </w:r>
      <w:r w:rsidR="00814592" w:rsidRPr="00061B3B">
        <w:rPr>
          <w:sz w:val="24"/>
          <w:szCs w:val="24"/>
        </w:rPr>
        <w:t xml:space="preserve">an </w:t>
      </w:r>
      <w:r w:rsidR="00FA3178" w:rsidRPr="00061B3B">
        <w:rPr>
          <w:sz w:val="24"/>
          <w:szCs w:val="24"/>
        </w:rPr>
        <w:t xml:space="preserve">investigation </w:t>
      </w:r>
      <w:r w:rsidR="00BF21A9" w:rsidRPr="00061B3B">
        <w:rPr>
          <w:sz w:val="24"/>
          <w:szCs w:val="24"/>
        </w:rPr>
        <w:t xml:space="preserve">by </w:t>
      </w:r>
      <w:r w:rsidR="00AB0E07" w:rsidRPr="00061B3B">
        <w:rPr>
          <w:sz w:val="24"/>
          <w:szCs w:val="24"/>
        </w:rPr>
        <w:t>the owner and operator of PNPS (</w:t>
      </w:r>
      <w:r w:rsidR="00BF21A9" w:rsidRPr="00061B3B">
        <w:rPr>
          <w:sz w:val="24"/>
          <w:szCs w:val="24"/>
        </w:rPr>
        <w:t>Entergy</w:t>
      </w:r>
      <w:r w:rsidR="00AB0E07" w:rsidRPr="00061B3B">
        <w:rPr>
          <w:sz w:val="24"/>
          <w:szCs w:val="24"/>
        </w:rPr>
        <w:t xml:space="preserve">), </w:t>
      </w:r>
      <w:r w:rsidR="00387F1D" w:rsidRPr="00061B3B">
        <w:rPr>
          <w:sz w:val="24"/>
          <w:szCs w:val="24"/>
        </w:rPr>
        <w:t xml:space="preserve">likely </w:t>
      </w:r>
      <w:r w:rsidR="00897BDE" w:rsidRPr="00061B3B">
        <w:rPr>
          <w:sz w:val="24"/>
          <w:szCs w:val="24"/>
        </w:rPr>
        <w:t xml:space="preserve">tritium </w:t>
      </w:r>
      <w:r w:rsidR="00CC4056" w:rsidRPr="00061B3B">
        <w:rPr>
          <w:sz w:val="24"/>
          <w:szCs w:val="24"/>
        </w:rPr>
        <w:t xml:space="preserve">sources were identified </w:t>
      </w:r>
      <w:r w:rsidR="0064646D" w:rsidRPr="00061B3B">
        <w:rPr>
          <w:sz w:val="24"/>
          <w:szCs w:val="24"/>
        </w:rPr>
        <w:t xml:space="preserve">and </w:t>
      </w:r>
      <w:r w:rsidR="00A516B8" w:rsidRPr="00061B3B">
        <w:rPr>
          <w:sz w:val="24"/>
          <w:szCs w:val="24"/>
        </w:rPr>
        <w:t xml:space="preserve">leaks </w:t>
      </w:r>
      <w:r w:rsidR="0064646D" w:rsidRPr="00061B3B">
        <w:rPr>
          <w:sz w:val="24"/>
          <w:szCs w:val="24"/>
        </w:rPr>
        <w:t xml:space="preserve">repaired. </w:t>
      </w:r>
      <w:r w:rsidR="00D84131" w:rsidRPr="00061B3B">
        <w:rPr>
          <w:sz w:val="24"/>
          <w:szCs w:val="24"/>
        </w:rPr>
        <w:t>T</w:t>
      </w:r>
      <w:r w:rsidR="0064646D" w:rsidRPr="00061B3B">
        <w:rPr>
          <w:sz w:val="24"/>
          <w:szCs w:val="24"/>
        </w:rPr>
        <w:t xml:space="preserve">ritium </w:t>
      </w:r>
      <w:r w:rsidR="00FA3178" w:rsidRPr="00061B3B">
        <w:rPr>
          <w:sz w:val="24"/>
          <w:szCs w:val="24"/>
        </w:rPr>
        <w:t>levels</w:t>
      </w:r>
      <w:r w:rsidR="00CC4056" w:rsidRPr="00061B3B">
        <w:rPr>
          <w:sz w:val="24"/>
          <w:szCs w:val="24"/>
        </w:rPr>
        <w:t xml:space="preserve"> in both wells </w:t>
      </w:r>
      <w:r w:rsidR="00D84131" w:rsidRPr="00061B3B">
        <w:rPr>
          <w:sz w:val="24"/>
          <w:szCs w:val="24"/>
        </w:rPr>
        <w:t xml:space="preserve">subsequently </w:t>
      </w:r>
      <w:r w:rsidR="00FA3178" w:rsidRPr="00061B3B">
        <w:rPr>
          <w:sz w:val="24"/>
          <w:szCs w:val="24"/>
        </w:rPr>
        <w:t xml:space="preserve">decreased </w:t>
      </w:r>
      <w:r w:rsidR="00CC4056" w:rsidRPr="00061B3B">
        <w:rPr>
          <w:sz w:val="24"/>
          <w:szCs w:val="24"/>
        </w:rPr>
        <w:t xml:space="preserve">to </w:t>
      </w:r>
      <w:r w:rsidR="00FA3178" w:rsidRPr="00061B3B">
        <w:rPr>
          <w:sz w:val="24"/>
          <w:szCs w:val="24"/>
        </w:rPr>
        <w:t>near previous levels.</w:t>
      </w:r>
      <w:r w:rsidR="00CC4056" w:rsidRPr="00061B3B">
        <w:rPr>
          <w:sz w:val="24"/>
          <w:szCs w:val="24"/>
        </w:rPr>
        <w:t xml:space="preserve"> </w:t>
      </w:r>
    </w:p>
    <w:p w:rsidR="00897BDE" w:rsidRPr="00061B3B" w:rsidRDefault="00674B0C" w:rsidP="00061B3B">
      <w:pPr>
        <w:pStyle w:val="ListParagraph"/>
        <w:numPr>
          <w:ilvl w:val="0"/>
          <w:numId w:val="18"/>
        </w:numPr>
        <w:spacing w:after="0" w:line="240" w:lineRule="auto"/>
        <w:jc w:val="both"/>
        <w:rPr>
          <w:sz w:val="24"/>
          <w:szCs w:val="24"/>
        </w:rPr>
      </w:pPr>
      <w:r w:rsidRPr="00061B3B">
        <w:rPr>
          <w:sz w:val="24"/>
          <w:szCs w:val="24"/>
        </w:rPr>
        <w:t>M</w:t>
      </w:r>
      <w:r w:rsidR="000D436C" w:rsidRPr="00061B3B">
        <w:rPr>
          <w:sz w:val="24"/>
          <w:szCs w:val="24"/>
        </w:rPr>
        <w:t>inor m</w:t>
      </w:r>
      <w:r w:rsidR="0064646D" w:rsidRPr="00061B3B">
        <w:rPr>
          <w:sz w:val="24"/>
          <w:szCs w:val="24"/>
        </w:rPr>
        <w:t xml:space="preserve">odifications were made to the sampling </w:t>
      </w:r>
      <w:r w:rsidR="001916CF" w:rsidRPr="00061B3B">
        <w:rPr>
          <w:sz w:val="24"/>
          <w:szCs w:val="24"/>
        </w:rPr>
        <w:t xml:space="preserve">frequency </w:t>
      </w:r>
      <w:r w:rsidR="004609FF" w:rsidRPr="00061B3B">
        <w:rPr>
          <w:sz w:val="24"/>
          <w:szCs w:val="24"/>
        </w:rPr>
        <w:t xml:space="preserve">of </w:t>
      </w:r>
      <w:r w:rsidRPr="00061B3B">
        <w:rPr>
          <w:sz w:val="24"/>
          <w:szCs w:val="24"/>
        </w:rPr>
        <w:t>three wells</w:t>
      </w:r>
      <w:r w:rsidR="00897BDE" w:rsidRPr="00061B3B">
        <w:rPr>
          <w:sz w:val="24"/>
          <w:szCs w:val="24"/>
        </w:rPr>
        <w:t xml:space="preserve">. </w:t>
      </w:r>
    </w:p>
    <w:p w:rsidR="00897BDE" w:rsidRPr="00897BDE" w:rsidRDefault="00E67EE6" w:rsidP="00061B3B">
      <w:pPr>
        <w:pStyle w:val="ListParagraph"/>
        <w:numPr>
          <w:ilvl w:val="0"/>
          <w:numId w:val="18"/>
        </w:numPr>
        <w:spacing w:after="0" w:line="240" w:lineRule="auto"/>
        <w:jc w:val="both"/>
        <w:rPr>
          <w:b/>
          <w:bCs/>
        </w:rPr>
      </w:pPr>
      <w:r w:rsidRPr="00061B3B">
        <w:rPr>
          <w:sz w:val="24"/>
          <w:szCs w:val="24"/>
        </w:rPr>
        <w:t xml:space="preserve">On-site efforts by </w:t>
      </w:r>
      <w:r w:rsidR="00205847" w:rsidRPr="00061B3B">
        <w:rPr>
          <w:sz w:val="24"/>
          <w:szCs w:val="24"/>
        </w:rPr>
        <w:t>Entergy</w:t>
      </w:r>
      <w:r w:rsidR="00BF21A9" w:rsidRPr="00061B3B">
        <w:rPr>
          <w:sz w:val="24"/>
          <w:szCs w:val="24"/>
        </w:rPr>
        <w:t xml:space="preserve"> </w:t>
      </w:r>
      <w:r w:rsidR="0064646D" w:rsidRPr="00061B3B">
        <w:rPr>
          <w:sz w:val="24"/>
          <w:szCs w:val="24"/>
        </w:rPr>
        <w:t xml:space="preserve">have </w:t>
      </w:r>
      <w:r w:rsidRPr="00061B3B">
        <w:rPr>
          <w:sz w:val="24"/>
          <w:szCs w:val="24"/>
        </w:rPr>
        <w:t>focused on identifying sources of tritium</w:t>
      </w:r>
      <w:r w:rsidR="00387F1D" w:rsidRPr="00061B3B">
        <w:rPr>
          <w:sz w:val="24"/>
          <w:szCs w:val="24"/>
        </w:rPr>
        <w:t xml:space="preserve"> and monitoring</w:t>
      </w:r>
      <w:r w:rsidR="00387F1D">
        <w:rPr>
          <w:sz w:val="24"/>
          <w:szCs w:val="24"/>
        </w:rPr>
        <w:t xml:space="preserve"> for new sources</w:t>
      </w:r>
      <w:r w:rsidR="00897BDE">
        <w:rPr>
          <w:sz w:val="24"/>
          <w:szCs w:val="24"/>
        </w:rPr>
        <w:t>.</w:t>
      </w:r>
      <w:r w:rsidRPr="00897BDE">
        <w:rPr>
          <w:sz w:val="24"/>
          <w:szCs w:val="24"/>
        </w:rPr>
        <w:t xml:space="preserve"> </w:t>
      </w:r>
    </w:p>
    <w:p w:rsidR="004609FF" w:rsidRPr="00897BDE" w:rsidRDefault="00314ED6" w:rsidP="00061B3B">
      <w:pPr>
        <w:pStyle w:val="ListParagraph"/>
        <w:numPr>
          <w:ilvl w:val="0"/>
          <w:numId w:val="18"/>
        </w:numPr>
        <w:spacing w:after="0" w:line="240" w:lineRule="auto"/>
        <w:jc w:val="both"/>
        <w:rPr>
          <w:b/>
          <w:bCs/>
        </w:rPr>
      </w:pPr>
      <w:r w:rsidRPr="00897BDE">
        <w:rPr>
          <w:sz w:val="24"/>
          <w:szCs w:val="24"/>
        </w:rPr>
        <w:t>Staff from the MDPH Bureau o</w:t>
      </w:r>
      <w:r w:rsidR="00AB0E07" w:rsidRPr="00897BDE">
        <w:rPr>
          <w:sz w:val="24"/>
          <w:szCs w:val="24"/>
        </w:rPr>
        <w:t>f Environmental Health continue</w:t>
      </w:r>
      <w:r w:rsidR="00E67EE6" w:rsidRPr="00897BDE">
        <w:rPr>
          <w:sz w:val="24"/>
          <w:szCs w:val="24"/>
        </w:rPr>
        <w:t xml:space="preserve"> to </w:t>
      </w:r>
      <w:r w:rsidR="00AB0E07" w:rsidRPr="00897BDE">
        <w:rPr>
          <w:sz w:val="24"/>
          <w:szCs w:val="24"/>
        </w:rPr>
        <w:t>review new inform</w:t>
      </w:r>
      <w:r w:rsidR="001916CF" w:rsidRPr="00897BDE">
        <w:rPr>
          <w:sz w:val="24"/>
          <w:szCs w:val="24"/>
        </w:rPr>
        <w:t>ation from the monitoring effor</w:t>
      </w:r>
      <w:r w:rsidR="00AB0E07" w:rsidRPr="00897BDE">
        <w:rPr>
          <w:sz w:val="24"/>
          <w:szCs w:val="24"/>
        </w:rPr>
        <w:t>t</w:t>
      </w:r>
      <w:r w:rsidR="001916CF" w:rsidRPr="00897BDE">
        <w:rPr>
          <w:sz w:val="24"/>
          <w:szCs w:val="24"/>
        </w:rPr>
        <w:t>s</w:t>
      </w:r>
      <w:r w:rsidR="00AB0E07" w:rsidRPr="00897BDE">
        <w:rPr>
          <w:sz w:val="24"/>
          <w:szCs w:val="24"/>
        </w:rPr>
        <w:t xml:space="preserve"> and </w:t>
      </w:r>
      <w:r w:rsidR="00065CFB">
        <w:rPr>
          <w:sz w:val="24"/>
          <w:szCs w:val="24"/>
        </w:rPr>
        <w:t xml:space="preserve">to </w:t>
      </w:r>
      <w:r w:rsidR="00AB0E07" w:rsidRPr="00897BDE">
        <w:rPr>
          <w:sz w:val="24"/>
          <w:szCs w:val="24"/>
        </w:rPr>
        <w:t xml:space="preserve">maintain </w:t>
      </w:r>
      <w:r w:rsidR="00E67EE6" w:rsidRPr="00897BDE">
        <w:rPr>
          <w:sz w:val="24"/>
          <w:szCs w:val="24"/>
        </w:rPr>
        <w:t xml:space="preserve">regular </w:t>
      </w:r>
      <w:r w:rsidR="009A0FCD" w:rsidRPr="00897BDE">
        <w:rPr>
          <w:sz w:val="24"/>
          <w:szCs w:val="24"/>
        </w:rPr>
        <w:t xml:space="preserve">contact </w:t>
      </w:r>
      <w:r w:rsidR="00E67EE6" w:rsidRPr="00897BDE">
        <w:rPr>
          <w:sz w:val="24"/>
          <w:szCs w:val="24"/>
        </w:rPr>
        <w:t xml:space="preserve">with </w:t>
      </w:r>
      <w:r w:rsidR="007F10BF" w:rsidRPr="00897BDE">
        <w:rPr>
          <w:sz w:val="24"/>
          <w:szCs w:val="24"/>
        </w:rPr>
        <w:t>the Massachusetts Emergency Management Agency (</w:t>
      </w:r>
      <w:r w:rsidR="00E67EE6" w:rsidRPr="00897BDE">
        <w:rPr>
          <w:sz w:val="24"/>
          <w:szCs w:val="24"/>
        </w:rPr>
        <w:t>MEMA</w:t>
      </w:r>
      <w:r w:rsidR="007F10BF" w:rsidRPr="00897BDE">
        <w:rPr>
          <w:sz w:val="24"/>
          <w:szCs w:val="24"/>
        </w:rPr>
        <w:t>)</w:t>
      </w:r>
      <w:r w:rsidR="00E67EE6" w:rsidRPr="00897BDE">
        <w:rPr>
          <w:sz w:val="24"/>
          <w:szCs w:val="24"/>
        </w:rPr>
        <w:t xml:space="preserve">, </w:t>
      </w:r>
      <w:r w:rsidR="007F10BF" w:rsidRPr="00897BDE">
        <w:rPr>
          <w:sz w:val="24"/>
          <w:szCs w:val="24"/>
        </w:rPr>
        <w:t>the Nuclear Regulatory Committee (</w:t>
      </w:r>
      <w:r w:rsidR="00E67EE6" w:rsidRPr="00897BDE">
        <w:rPr>
          <w:sz w:val="24"/>
          <w:szCs w:val="24"/>
        </w:rPr>
        <w:t>NRC</w:t>
      </w:r>
      <w:r w:rsidR="007F10BF" w:rsidRPr="00897BDE">
        <w:rPr>
          <w:sz w:val="24"/>
          <w:szCs w:val="24"/>
        </w:rPr>
        <w:t>)</w:t>
      </w:r>
      <w:r w:rsidR="00E67EE6" w:rsidRPr="00897BDE">
        <w:rPr>
          <w:sz w:val="24"/>
          <w:szCs w:val="24"/>
        </w:rPr>
        <w:t>, and Entergy</w:t>
      </w:r>
      <w:r w:rsidR="004609FF" w:rsidRPr="00897BDE">
        <w:rPr>
          <w:sz w:val="24"/>
          <w:szCs w:val="24"/>
        </w:rPr>
        <w:t>.</w:t>
      </w:r>
    </w:p>
    <w:p w:rsidR="002517F1" w:rsidRDefault="00E67EE6" w:rsidP="00061B3B">
      <w:pPr>
        <w:spacing w:after="0" w:line="240" w:lineRule="auto"/>
        <w:jc w:val="both"/>
        <w:rPr>
          <w:rStyle w:val="Strong"/>
        </w:rPr>
      </w:pPr>
      <w:r w:rsidRPr="004609FF">
        <w:rPr>
          <w:sz w:val="24"/>
          <w:szCs w:val="24"/>
        </w:rPr>
        <w:t xml:space="preserve"> </w:t>
      </w:r>
    </w:p>
    <w:p w:rsidR="003F4A01" w:rsidRDefault="003F4A01" w:rsidP="00061B3B">
      <w:pPr>
        <w:spacing w:after="0" w:line="240" w:lineRule="auto"/>
        <w:rPr>
          <w:rStyle w:val="Strong"/>
          <w:caps/>
          <w:sz w:val="28"/>
          <w:szCs w:val="28"/>
        </w:rPr>
      </w:pPr>
    </w:p>
    <w:p w:rsidR="00E67EE6" w:rsidRPr="00061B3B" w:rsidRDefault="00E67EE6" w:rsidP="00061B3B">
      <w:pPr>
        <w:spacing w:after="0" w:line="240" w:lineRule="auto"/>
        <w:rPr>
          <w:rStyle w:val="Strong"/>
          <w:caps/>
          <w:sz w:val="28"/>
          <w:szCs w:val="28"/>
        </w:rPr>
      </w:pPr>
      <w:r w:rsidRPr="00061B3B">
        <w:rPr>
          <w:rStyle w:val="Strong"/>
          <w:caps/>
          <w:sz w:val="28"/>
          <w:szCs w:val="28"/>
        </w:rPr>
        <w:lastRenderedPageBreak/>
        <w:t>Introduction</w:t>
      </w:r>
    </w:p>
    <w:p w:rsidR="004975D9" w:rsidRDefault="004975D9" w:rsidP="00061B3B">
      <w:pPr>
        <w:spacing w:after="0" w:line="240" w:lineRule="auto"/>
        <w:rPr>
          <w:rStyle w:val="Strong"/>
          <w:caps/>
          <w:sz w:val="24"/>
          <w:szCs w:val="24"/>
        </w:rPr>
      </w:pPr>
    </w:p>
    <w:p w:rsidR="00E67EE6" w:rsidRPr="00FF79E2" w:rsidRDefault="00E67EE6" w:rsidP="00061B3B">
      <w:pPr>
        <w:spacing w:after="0" w:line="240" w:lineRule="auto"/>
        <w:jc w:val="both"/>
        <w:rPr>
          <w:sz w:val="18"/>
          <w:szCs w:val="18"/>
        </w:rPr>
      </w:pPr>
      <w:r w:rsidRPr="0034727D">
        <w:rPr>
          <w:sz w:val="24"/>
          <w:szCs w:val="24"/>
        </w:rPr>
        <w:t xml:space="preserve">This </w:t>
      </w:r>
      <w:r w:rsidR="008363F1">
        <w:rPr>
          <w:sz w:val="24"/>
          <w:szCs w:val="24"/>
        </w:rPr>
        <w:t xml:space="preserve">document </w:t>
      </w:r>
      <w:r w:rsidRPr="0034727D">
        <w:rPr>
          <w:sz w:val="24"/>
          <w:szCs w:val="24"/>
        </w:rPr>
        <w:t xml:space="preserve">describes </w:t>
      </w:r>
      <w:r w:rsidR="005B2919">
        <w:rPr>
          <w:sz w:val="24"/>
          <w:szCs w:val="24"/>
        </w:rPr>
        <w:t xml:space="preserve">monitoring </w:t>
      </w:r>
      <w:r w:rsidRPr="0034727D">
        <w:rPr>
          <w:sz w:val="24"/>
          <w:szCs w:val="24"/>
        </w:rPr>
        <w:t xml:space="preserve">results </w:t>
      </w:r>
      <w:r w:rsidR="005B2919">
        <w:rPr>
          <w:sz w:val="24"/>
          <w:szCs w:val="24"/>
        </w:rPr>
        <w:t>for</w:t>
      </w:r>
      <w:r w:rsidRPr="0034727D">
        <w:rPr>
          <w:sz w:val="24"/>
          <w:szCs w:val="24"/>
        </w:rPr>
        <w:t xml:space="preserve"> tritium in groundwater and surface water at the Pilgrim Nuclear Power Station located in Plymouth, MA</w:t>
      </w:r>
      <w:r w:rsidR="005B2919">
        <w:rPr>
          <w:sz w:val="24"/>
          <w:szCs w:val="24"/>
        </w:rPr>
        <w:t xml:space="preserve"> </w:t>
      </w:r>
      <w:r w:rsidR="0080349F">
        <w:rPr>
          <w:sz w:val="24"/>
          <w:szCs w:val="24"/>
        </w:rPr>
        <w:t xml:space="preserve">during </w:t>
      </w:r>
      <w:r w:rsidR="005B2919">
        <w:rPr>
          <w:sz w:val="24"/>
          <w:szCs w:val="24"/>
        </w:rPr>
        <w:t>the first six months of 2016</w:t>
      </w:r>
      <w:r w:rsidRPr="0034727D">
        <w:rPr>
          <w:sz w:val="24"/>
          <w:szCs w:val="24"/>
        </w:rPr>
        <w:t xml:space="preserve">.  The </w:t>
      </w:r>
      <w:r w:rsidR="004609FF">
        <w:rPr>
          <w:sz w:val="24"/>
          <w:szCs w:val="24"/>
        </w:rPr>
        <w:t xml:space="preserve">investigation </w:t>
      </w:r>
      <w:r w:rsidRPr="0034727D">
        <w:rPr>
          <w:sz w:val="24"/>
          <w:szCs w:val="24"/>
        </w:rPr>
        <w:t>history and previous updates are available online</w:t>
      </w:r>
      <w:r>
        <w:rPr>
          <w:rStyle w:val="FootnoteReference"/>
          <w:sz w:val="24"/>
          <w:szCs w:val="24"/>
        </w:rPr>
        <w:footnoteReference w:id="1"/>
      </w:r>
      <w:r>
        <w:rPr>
          <w:sz w:val="24"/>
          <w:szCs w:val="24"/>
        </w:rPr>
        <w:t>.</w:t>
      </w:r>
    </w:p>
    <w:p w:rsidR="00E67EE6" w:rsidRDefault="00E67EE6" w:rsidP="00061B3B">
      <w:pPr>
        <w:spacing w:after="0" w:line="240" w:lineRule="auto"/>
        <w:jc w:val="both"/>
      </w:pPr>
      <w:r>
        <w:t xml:space="preserve">  </w:t>
      </w:r>
    </w:p>
    <w:p w:rsidR="00E67EE6" w:rsidRDefault="00E67EE6" w:rsidP="00061B3B">
      <w:pPr>
        <w:spacing w:after="0" w:line="240" w:lineRule="auto"/>
        <w:jc w:val="both"/>
        <w:rPr>
          <w:sz w:val="24"/>
          <w:szCs w:val="24"/>
        </w:rPr>
      </w:pPr>
      <w:r w:rsidRPr="0034727D">
        <w:rPr>
          <w:sz w:val="24"/>
          <w:szCs w:val="24"/>
        </w:rPr>
        <w:t xml:space="preserve">Entergy collects samples at 23 groundwater wells and two surface water locations </w:t>
      </w:r>
      <w:r w:rsidR="00BF7B6C">
        <w:rPr>
          <w:sz w:val="24"/>
          <w:szCs w:val="24"/>
        </w:rPr>
        <w:t xml:space="preserve">on-site </w:t>
      </w:r>
      <w:r w:rsidRPr="0034727D">
        <w:rPr>
          <w:sz w:val="24"/>
          <w:szCs w:val="24"/>
        </w:rPr>
        <w:t xml:space="preserve">at </w:t>
      </w:r>
      <w:r w:rsidR="00087A7D">
        <w:rPr>
          <w:sz w:val="24"/>
          <w:szCs w:val="24"/>
        </w:rPr>
        <w:t>PNPS</w:t>
      </w:r>
      <w:r w:rsidRPr="0034727D">
        <w:rPr>
          <w:sz w:val="24"/>
          <w:szCs w:val="24"/>
        </w:rPr>
        <w:t xml:space="preserve">.  The sampling </w:t>
      </w:r>
      <w:r w:rsidR="00AB61BA">
        <w:rPr>
          <w:sz w:val="24"/>
          <w:szCs w:val="24"/>
        </w:rPr>
        <w:t xml:space="preserve">intervals range from weekly to quarterly and are based on </w:t>
      </w:r>
      <w:r w:rsidR="00CC4056">
        <w:rPr>
          <w:sz w:val="24"/>
          <w:szCs w:val="24"/>
        </w:rPr>
        <w:t xml:space="preserve">past </w:t>
      </w:r>
      <w:r w:rsidR="00674B0C">
        <w:rPr>
          <w:sz w:val="24"/>
          <w:szCs w:val="24"/>
        </w:rPr>
        <w:t xml:space="preserve">monitoring </w:t>
      </w:r>
      <w:r w:rsidR="003726B4">
        <w:rPr>
          <w:sz w:val="24"/>
          <w:szCs w:val="24"/>
        </w:rPr>
        <w:t xml:space="preserve">results </w:t>
      </w:r>
      <w:r w:rsidRPr="0034727D">
        <w:rPr>
          <w:sz w:val="24"/>
          <w:szCs w:val="24"/>
        </w:rPr>
        <w:t xml:space="preserve">and </w:t>
      </w:r>
      <w:r w:rsidR="00387F1D">
        <w:rPr>
          <w:sz w:val="24"/>
          <w:szCs w:val="24"/>
        </w:rPr>
        <w:t xml:space="preserve">analysis </w:t>
      </w:r>
      <w:r w:rsidRPr="0034727D">
        <w:rPr>
          <w:sz w:val="24"/>
          <w:szCs w:val="24"/>
        </w:rPr>
        <w:t xml:space="preserve">of </w:t>
      </w:r>
      <w:r>
        <w:rPr>
          <w:sz w:val="24"/>
          <w:szCs w:val="24"/>
        </w:rPr>
        <w:t>possible</w:t>
      </w:r>
      <w:r w:rsidRPr="0034727D">
        <w:rPr>
          <w:sz w:val="24"/>
          <w:szCs w:val="24"/>
        </w:rPr>
        <w:t xml:space="preserve"> groundwater </w:t>
      </w:r>
      <w:r w:rsidR="00387F1D">
        <w:rPr>
          <w:sz w:val="24"/>
          <w:szCs w:val="24"/>
        </w:rPr>
        <w:t xml:space="preserve">tritium </w:t>
      </w:r>
      <w:r w:rsidR="00281F16">
        <w:rPr>
          <w:sz w:val="24"/>
          <w:szCs w:val="24"/>
        </w:rPr>
        <w:t xml:space="preserve">pathways. </w:t>
      </w:r>
      <w:r w:rsidR="003726B4">
        <w:rPr>
          <w:sz w:val="24"/>
          <w:szCs w:val="24"/>
        </w:rPr>
        <w:t xml:space="preserve">Well and surface water samples are sent by </w:t>
      </w:r>
      <w:r w:rsidRPr="0034727D">
        <w:rPr>
          <w:sz w:val="24"/>
          <w:szCs w:val="24"/>
        </w:rPr>
        <w:t xml:space="preserve">Entergy to an independent analytical lab, </w:t>
      </w:r>
      <w:r>
        <w:rPr>
          <w:sz w:val="24"/>
          <w:szCs w:val="24"/>
        </w:rPr>
        <w:t>Teledyne,</w:t>
      </w:r>
      <w:r w:rsidRPr="0034727D">
        <w:rPr>
          <w:sz w:val="24"/>
          <w:szCs w:val="24"/>
        </w:rPr>
        <w:t xml:space="preserve"> and duplicate (or “split”) sample</w:t>
      </w:r>
      <w:r w:rsidR="00BF7B6C">
        <w:rPr>
          <w:sz w:val="24"/>
          <w:szCs w:val="24"/>
        </w:rPr>
        <w:t>s</w:t>
      </w:r>
      <w:r w:rsidRPr="0034727D">
        <w:rPr>
          <w:sz w:val="24"/>
          <w:szCs w:val="24"/>
        </w:rPr>
        <w:t xml:space="preserve"> </w:t>
      </w:r>
      <w:r w:rsidR="00BF7B6C">
        <w:rPr>
          <w:sz w:val="24"/>
          <w:szCs w:val="24"/>
        </w:rPr>
        <w:t>are</w:t>
      </w:r>
      <w:r w:rsidR="003726B4">
        <w:rPr>
          <w:sz w:val="24"/>
          <w:szCs w:val="24"/>
        </w:rPr>
        <w:t xml:space="preserve"> provided </w:t>
      </w:r>
      <w:r w:rsidRPr="0034727D">
        <w:rPr>
          <w:sz w:val="24"/>
          <w:szCs w:val="24"/>
        </w:rPr>
        <w:t xml:space="preserve">to MDPH for analysis at the Massachusetts Environmental Radiation Lab (MERL).  Entergy </w:t>
      </w:r>
      <w:r w:rsidR="003726B4">
        <w:rPr>
          <w:sz w:val="24"/>
          <w:szCs w:val="24"/>
        </w:rPr>
        <w:t xml:space="preserve">regularly </w:t>
      </w:r>
      <w:r w:rsidRPr="0034727D">
        <w:rPr>
          <w:sz w:val="24"/>
          <w:szCs w:val="24"/>
        </w:rPr>
        <w:t xml:space="preserve">reports the </w:t>
      </w:r>
      <w:r>
        <w:rPr>
          <w:sz w:val="24"/>
          <w:szCs w:val="24"/>
        </w:rPr>
        <w:t xml:space="preserve">Teledyne </w:t>
      </w:r>
      <w:r w:rsidRPr="0034727D">
        <w:rPr>
          <w:sz w:val="24"/>
          <w:szCs w:val="24"/>
        </w:rPr>
        <w:t>results to MDPH, MEMA, and NRC officials</w:t>
      </w:r>
      <w:r w:rsidR="00674B0C">
        <w:rPr>
          <w:sz w:val="24"/>
          <w:szCs w:val="24"/>
        </w:rPr>
        <w:t xml:space="preserve">. Summaries </w:t>
      </w:r>
      <w:r w:rsidR="003726B4">
        <w:rPr>
          <w:sz w:val="24"/>
          <w:szCs w:val="24"/>
        </w:rPr>
        <w:t xml:space="preserve">of </w:t>
      </w:r>
      <w:r w:rsidR="00065CFB">
        <w:rPr>
          <w:sz w:val="24"/>
          <w:szCs w:val="24"/>
        </w:rPr>
        <w:t xml:space="preserve">both </w:t>
      </w:r>
      <w:r w:rsidR="003726B4">
        <w:rPr>
          <w:sz w:val="24"/>
          <w:szCs w:val="24"/>
        </w:rPr>
        <w:t>laboratory results are on the MDPH website</w:t>
      </w:r>
      <w:r w:rsidR="003726B4" w:rsidRPr="003726B4">
        <w:rPr>
          <w:sz w:val="24"/>
          <w:szCs w:val="24"/>
          <w:vertAlign w:val="superscript"/>
        </w:rPr>
        <w:t>2</w:t>
      </w:r>
      <w:r w:rsidRPr="0034727D">
        <w:rPr>
          <w:sz w:val="24"/>
          <w:szCs w:val="24"/>
        </w:rPr>
        <w:t xml:space="preserve">.  </w:t>
      </w:r>
    </w:p>
    <w:p w:rsidR="00BF7B6C" w:rsidRPr="0034727D" w:rsidRDefault="00BF7B6C" w:rsidP="00061B3B">
      <w:pPr>
        <w:spacing w:after="0" w:line="240" w:lineRule="auto"/>
        <w:jc w:val="both"/>
        <w:rPr>
          <w:sz w:val="24"/>
          <w:szCs w:val="24"/>
        </w:rPr>
      </w:pPr>
    </w:p>
    <w:p w:rsidR="00E67EE6" w:rsidRDefault="00E67EE6" w:rsidP="00061B3B">
      <w:pPr>
        <w:spacing w:after="0" w:line="240" w:lineRule="auto"/>
        <w:jc w:val="both"/>
        <w:rPr>
          <w:sz w:val="24"/>
          <w:szCs w:val="24"/>
        </w:rPr>
      </w:pPr>
      <w:r>
        <w:rPr>
          <w:sz w:val="24"/>
          <w:szCs w:val="24"/>
        </w:rPr>
        <w:t xml:space="preserve">This </w:t>
      </w:r>
      <w:r w:rsidR="00061B3B">
        <w:rPr>
          <w:sz w:val="24"/>
          <w:szCs w:val="24"/>
        </w:rPr>
        <w:t>letter</w:t>
      </w:r>
      <w:r w:rsidR="003E71A0">
        <w:rPr>
          <w:sz w:val="24"/>
          <w:szCs w:val="24"/>
        </w:rPr>
        <w:t xml:space="preserve"> </w:t>
      </w:r>
      <w:r w:rsidR="00061B3B">
        <w:rPr>
          <w:sz w:val="24"/>
          <w:szCs w:val="24"/>
        </w:rPr>
        <w:t>updates</w:t>
      </w:r>
      <w:r w:rsidR="003726B4">
        <w:rPr>
          <w:sz w:val="24"/>
          <w:szCs w:val="24"/>
        </w:rPr>
        <w:t xml:space="preserve"> </w:t>
      </w:r>
      <w:r w:rsidRPr="0034727D">
        <w:rPr>
          <w:sz w:val="24"/>
          <w:szCs w:val="24"/>
        </w:rPr>
        <w:t>results from both Entergy and MERL</w:t>
      </w:r>
      <w:r w:rsidR="00061B3B">
        <w:rPr>
          <w:sz w:val="24"/>
          <w:szCs w:val="24"/>
        </w:rPr>
        <w:t xml:space="preserve"> for the sampling performed during the first six months of 2016</w:t>
      </w:r>
      <w:r w:rsidR="00624CD7">
        <w:rPr>
          <w:sz w:val="24"/>
          <w:szCs w:val="24"/>
        </w:rPr>
        <w:t xml:space="preserve">. </w:t>
      </w:r>
      <w:r w:rsidRPr="0034727D">
        <w:rPr>
          <w:sz w:val="24"/>
          <w:szCs w:val="24"/>
        </w:rPr>
        <w:t xml:space="preserve">These results </w:t>
      </w:r>
      <w:r>
        <w:rPr>
          <w:sz w:val="24"/>
          <w:szCs w:val="24"/>
        </w:rPr>
        <w:t xml:space="preserve">were </w:t>
      </w:r>
      <w:r w:rsidRPr="0034727D">
        <w:rPr>
          <w:sz w:val="24"/>
          <w:szCs w:val="24"/>
        </w:rPr>
        <w:t xml:space="preserve">compared to </w:t>
      </w:r>
      <w:r w:rsidR="003D0BDD">
        <w:rPr>
          <w:sz w:val="24"/>
          <w:szCs w:val="24"/>
        </w:rPr>
        <w:t xml:space="preserve">conservative (health protective) </w:t>
      </w:r>
      <w:r w:rsidRPr="0034727D">
        <w:rPr>
          <w:sz w:val="24"/>
          <w:szCs w:val="24"/>
        </w:rPr>
        <w:t xml:space="preserve">screening levels of 3,000 picocuries per liter (pCi/L), </w:t>
      </w:r>
      <w:r w:rsidR="00AB61BA">
        <w:rPr>
          <w:sz w:val="24"/>
          <w:szCs w:val="24"/>
        </w:rPr>
        <w:t>(</w:t>
      </w:r>
      <w:r w:rsidRPr="0034727D">
        <w:rPr>
          <w:sz w:val="24"/>
          <w:szCs w:val="24"/>
        </w:rPr>
        <w:t>or 1/10</w:t>
      </w:r>
      <w:r w:rsidRPr="0034727D">
        <w:rPr>
          <w:sz w:val="24"/>
          <w:szCs w:val="24"/>
          <w:vertAlign w:val="superscript"/>
        </w:rPr>
        <w:t>th</w:t>
      </w:r>
      <w:r w:rsidRPr="0034727D">
        <w:rPr>
          <w:sz w:val="24"/>
          <w:szCs w:val="24"/>
        </w:rPr>
        <w:t xml:space="preserve"> the </w:t>
      </w:r>
      <w:r w:rsidR="008363F1">
        <w:rPr>
          <w:sz w:val="24"/>
          <w:szCs w:val="24"/>
        </w:rPr>
        <w:t>NRC-</w:t>
      </w:r>
      <w:r w:rsidRPr="0034727D">
        <w:rPr>
          <w:sz w:val="24"/>
          <w:szCs w:val="24"/>
        </w:rPr>
        <w:t>approved level of</w:t>
      </w:r>
      <w:r w:rsidR="00A11B31">
        <w:rPr>
          <w:sz w:val="24"/>
          <w:szCs w:val="24"/>
        </w:rPr>
        <w:t xml:space="preserve"> 30,000 pCi/L </w:t>
      </w:r>
      <w:r w:rsidRPr="0034727D">
        <w:rPr>
          <w:sz w:val="24"/>
          <w:szCs w:val="24"/>
        </w:rPr>
        <w:t>tritium in non-drinking water sources</w:t>
      </w:r>
      <w:r w:rsidR="00AB61BA">
        <w:rPr>
          <w:sz w:val="24"/>
          <w:szCs w:val="24"/>
        </w:rPr>
        <w:t>)</w:t>
      </w:r>
      <w:r w:rsidRPr="0034727D">
        <w:rPr>
          <w:sz w:val="24"/>
          <w:szCs w:val="24"/>
        </w:rPr>
        <w:t xml:space="preserve">; </w:t>
      </w:r>
      <w:r w:rsidR="00AB61BA">
        <w:rPr>
          <w:sz w:val="24"/>
          <w:szCs w:val="24"/>
        </w:rPr>
        <w:t xml:space="preserve">and </w:t>
      </w:r>
      <w:r w:rsidRPr="0034727D">
        <w:rPr>
          <w:sz w:val="24"/>
          <w:szCs w:val="24"/>
        </w:rPr>
        <w:t xml:space="preserve">the US </w:t>
      </w:r>
      <w:r w:rsidR="003D0BDD" w:rsidRPr="003D0BDD">
        <w:rPr>
          <w:sz w:val="24"/>
          <w:szCs w:val="24"/>
        </w:rPr>
        <w:t>Environmental Protection Agency</w:t>
      </w:r>
      <w:r w:rsidR="003D0BDD">
        <w:rPr>
          <w:sz w:val="24"/>
          <w:szCs w:val="24"/>
        </w:rPr>
        <w:t xml:space="preserve"> (EPA)</w:t>
      </w:r>
      <w:r w:rsidRPr="0034727D">
        <w:rPr>
          <w:sz w:val="24"/>
          <w:szCs w:val="24"/>
        </w:rPr>
        <w:t xml:space="preserve"> drinking water standard for tritium of </w:t>
      </w:r>
      <w:r w:rsidR="003D0BDD">
        <w:rPr>
          <w:sz w:val="24"/>
          <w:szCs w:val="24"/>
        </w:rPr>
        <w:t xml:space="preserve">20,000 pCi/L.  The </w:t>
      </w:r>
      <w:r w:rsidRPr="0034727D">
        <w:rPr>
          <w:sz w:val="24"/>
          <w:szCs w:val="24"/>
        </w:rPr>
        <w:t xml:space="preserve">closest </w:t>
      </w:r>
      <w:r>
        <w:rPr>
          <w:sz w:val="24"/>
          <w:szCs w:val="24"/>
        </w:rPr>
        <w:t xml:space="preserve">municipal </w:t>
      </w:r>
      <w:r w:rsidRPr="0034727D">
        <w:rPr>
          <w:sz w:val="24"/>
          <w:szCs w:val="24"/>
        </w:rPr>
        <w:t>drinking water wells are 2.5 miles from PNPS and are not expected to be impacted by on-site tritium</w:t>
      </w:r>
      <w:r>
        <w:rPr>
          <w:sz w:val="24"/>
          <w:szCs w:val="24"/>
        </w:rPr>
        <w:t xml:space="preserve"> sources</w:t>
      </w:r>
      <w:r w:rsidRPr="0034727D">
        <w:rPr>
          <w:sz w:val="24"/>
          <w:szCs w:val="24"/>
        </w:rPr>
        <w:t xml:space="preserve">.   </w:t>
      </w:r>
    </w:p>
    <w:p w:rsidR="002517F1" w:rsidRDefault="002517F1" w:rsidP="00061B3B">
      <w:pPr>
        <w:spacing w:after="0" w:line="240" w:lineRule="auto"/>
        <w:jc w:val="both"/>
        <w:rPr>
          <w:sz w:val="24"/>
          <w:szCs w:val="24"/>
        </w:rPr>
      </w:pPr>
    </w:p>
    <w:p w:rsidR="00E67EE6" w:rsidRPr="00061B3B" w:rsidRDefault="00E67EE6" w:rsidP="00061B3B">
      <w:pPr>
        <w:keepNext/>
        <w:spacing w:after="0" w:line="240" w:lineRule="auto"/>
        <w:rPr>
          <w:rStyle w:val="Strong"/>
          <w:caps/>
          <w:sz w:val="28"/>
          <w:szCs w:val="28"/>
        </w:rPr>
      </w:pPr>
      <w:r w:rsidRPr="00061B3B">
        <w:rPr>
          <w:rStyle w:val="Strong"/>
          <w:caps/>
          <w:sz w:val="28"/>
          <w:szCs w:val="28"/>
        </w:rPr>
        <w:t>Results</w:t>
      </w:r>
    </w:p>
    <w:p w:rsidR="004975D9" w:rsidRPr="0034727D" w:rsidRDefault="004975D9" w:rsidP="00061B3B">
      <w:pPr>
        <w:keepNext/>
        <w:spacing w:after="0" w:line="240" w:lineRule="auto"/>
        <w:rPr>
          <w:rStyle w:val="Strong"/>
          <w:caps/>
          <w:sz w:val="24"/>
          <w:szCs w:val="24"/>
        </w:rPr>
      </w:pPr>
    </w:p>
    <w:p w:rsidR="00897BDE" w:rsidRDefault="00E67EE6" w:rsidP="00061B3B">
      <w:pPr>
        <w:spacing w:after="0" w:line="240" w:lineRule="auto"/>
        <w:jc w:val="both"/>
        <w:rPr>
          <w:sz w:val="24"/>
          <w:szCs w:val="24"/>
        </w:rPr>
      </w:pPr>
      <w:r w:rsidRPr="0034727D">
        <w:rPr>
          <w:sz w:val="24"/>
          <w:szCs w:val="24"/>
        </w:rPr>
        <w:t>Of the 23 on-site groundwater wells that are routinely monitored</w:t>
      </w:r>
      <w:r w:rsidR="00061B3B">
        <w:rPr>
          <w:rStyle w:val="FootnoteReference"/>
          <w:sz w:val="24"/>
          <w:szCs w:val="24"/>
        </w:rPr>
        <w:footnoteReference w:id="2"/>
      </w:r>
      <w:r w:rsidRPr="0034727D">
        <w:rPr>
          <w:sz w:val="24"/>
          <w:szCs w:val="24"/>
        </w:rPr>
        <w:t xml:space="preserve">, </w:t>
      </w:r>
      <w:r w:rsidR="008C29F1">
        <w:rPr>
          <w:sz w:val="24"/>
          <w:szCs w:val="24"/>
        </w:rPr>
        <w:t>only MW-218</w:t>
      </w:r>
      <w:r>
        <w:rPr>
          <w:sz w:val="24"/>
          <w:szCs w:val="24"/>
        </w:rPr>
        <w:t xml:space="preserve"> had </w:t>
      </w:r>
      <w:r w:rsidRPr="0034727D">
        <w:rPr>
          <w:sz w:val="24"/>
          <w:szCs w:val="24"/>
        </w:rPr>
        <w:t xml:space="preserve">levels of tritium </w:t>
      </w:r>
      <w:r>
        <w:rPr>
          <w:sz w:val="24"/>
          <w:szCs w:val="24"/>
        </w:rPr>
        <w:t>detected</w:t>
      </w:r>
      <w:r w:rsidRPr="0034727D">
        <w:rPr>
          <w:sz w:val="24"/>
          <w:szCs w:val="24"/>
        </w:rPr>
        <w:t xml:space="preserve"> above 3,000 </w:t>
      </w:r>
      <w:r w:rsidR="00AB61BA">
        <w:rPr>
          <w:sz w:val="24"/>
          <w:szCs w:val="24"/>
        </w:rPr>
        <w:t>pCi/L</w:t>
      </w:r>
      <w:r>
        <w:rPr>
          <w:sz w:val="24"/>
          <w:szCs w:val="24"/>
        </w:rPr>
        <w:t xml:space="preserve"> during the </w:t>
      </w:r>
      <w:r w:rsidR="00C40916">
        <w:rPr>
          <w:sz w:val="24"/>
          <w:szCs w:val="24"/>
        </w:rPr>
        <w:t>first half of the year.</w:t>
      </w:r>
      <w:r>
        <w:rPr>
          <w:sz w:val="24"/>
          <w:szCs w:val="24"/>
        </w:rPr>
        <w:t xml:space="preserve"> All results were well below the </w:t>
      </w:r>
      <w:r w:rsidR="003D0BDD">
        <w:rPr>
          <w:sz w:val="24"/>
          <w:szCs w:val="24"/>
        </w:rPr>
        <w:t>EPA</w:t>
      </w:r>
      <w:r>
        <w:rPr>
          <w:sz w:val="24"/>
          <w:szCs w:val="24"/>
        </w:rPr>
        <w:t xml:space="preserve"> drinking water standard of 20,000 pCi/L. </w:t>
      </w:r>
      <w:r w:rsidR="005A5AF2">
        <w:rPr>
          <w:sz w:val="24"/>
          <w:szCs w:val="24"/>
        </w:rPr>
        <w:t>Increased tritium</w:t>
      </w:r>
      <w:r w:rsidR="005E4B75">
        <w:rPr>
          <w:sz w:val="24"/>
          <w:szCs w:val="24"/>
        </w:rPr>
        <w:t xml:space="preserve"> levels </w:t>
      </w:r>
      <w:r w:rsidR="005A5AF2">
        <w:rPr>
          <w:sz w:val="24"/>
          <w:szCs w:val="24"/>
        </w:rPr>
        <w:t xml:space="preserve">at </w:t>
      </w:r>
      <w:r w:rsidR="00CD3080">
        <w:rPr>
          <w:sz w:val="24"/>
          <w:szCs w:val="24"/>
        </w:rPr>
        <w:t>MW-211 and MW-218</w:t>
      </w:r>
      <w:r w:rsidR="005A5AF2">
        <w:rPr>
          <w:sz w:val="24"/>
          <w:szCs w:val="24"/>
        </w:rPr>
        <w:t xml:space="preserve"> </w:t>
      </w:r>
      <w:r w:rsidR="00CD3080">
        <w:rPr>
          <w:sz w:val="24"/>
          <w:szCs w:val="24"/>
        </w:rPr>
        <w:t xml:space="preserve">reduced </w:t>
      </w:r>
      <w:r w:rsidR="00933444">
        <w:rPr>
          <w:sz w:val="24"/>
          <w:szCs w:val="24"/>
        </w:rPr>
        <w:t xml:space="preserve">to near previous </w:t>
      </w:r>
      <w:r w:rsidR="00CC4056">
        <w:rPr>
          <w:sz w:val="24"/>
          <w:szCs w:val="24"/>
        </w:rPr>
        <w:t xml:space="preserve">measurements </w:t>
      </w:r>
      <w:r w:rsidR="00CD3080">
        <w:rPr>
          <w:sz w:val="24"/>
          <w:szCs w:val="24"/>
        </w:rPr>
        <w:t xml:space="preserve">after </w:t>
      </w:r>
      <w:r w:rsidR="00387F1D">
        <w:rPr>
          <w:sz w:val="24"/>
          <w:szCs w:val="24"/>
        </w:rPr>
        <w:t xml:space="preserve">likely </w:t>
      </w:r>
      <w:r w:rsidR="00933444">
        <w:rPr>
          <w:sz w:val="24"/>
          <w:szCs w:val="24"/>
        </w:rPr>
        <w:t xml:space="preserve">sources </w:t>
      </w:r>
      <w:r w:rsidR="00C97C8C">
        <w:rPr>
          <w:sz w:val="24"/>
          <w:szCs w:val="24"/>
        </w:rPr>
        <w:t xml:space="preserve">were identified and repaired. </w:t>
      </w:r>
      <w:r w:rsidR="00AD129A">
        <w:rPr>
          <w:sz w:val="24"/>
          <w:szCs w:val="24"/>
        </w:rPr>
        <w:t xml:space="preserve">Figure 1 shows results for </w:t>
      </w:r>
      <w:r w:rsidR="00E34E10">
        <w:rPr>
          <w:sz w:val="24"/>
          <w:szCs w:val="24"/>
        </w:rPr>
        <w:t xml:space="preserve">the first half of the year for three </w:t>
      </w:r>
      <w:r w:rsidR="00BD044C">
        <w:rPr>
          <w:sz w:val="24"/>
          <w:szCs w:val="24"/>
        </w:rPr>
        <w:t xml:space="preserve">wells </w:t>
      </w:r>
      <w:r w:rsidR="00281F16">
        <w:rPr>
          <w:sz w:val="24"/>
          <w:szCs w:val="24"/>
        </w:rPr>
        <w:t xml:space="preserve">of </w:t>
      </w:r>
      <w:r w:rsidR="005A5AF2">
        <w:rPr>
          <w:sz w:val="24"/>
          <w:szCs w:val="24"/>
        </w:rPr>
        <w:t>interest</w:t>
      </w:r>
      <w:r w:rsidR="00281F16">
        <w:rPr>
          <w:sz w:val="24"/>
          <w:szCs w:val="24"/>
        </w:rPr>
        <w:t xml:space="preserve"> </w:t>
      </w:r>
      <w:r w:rsidR="005E4B75">
        <w:rPr>
          <w:sz w:val="24"/>
          <w:szCs w:val="24"/>
        </w:rPr>
        <w:t>with tritiu</w:t>
      </w:r>
      <w:r w:rsidR="00436221">
        <w:rPr>
          <w:sz w:val="24"/>
          <w:szCs w:val="24"/>
        </w:rPr>
        <w:t>m levels reaching 2,000 pCi/L</w:t>
      </w:r>
      <w:r w:rsidR="000C6AD6">
        <w:rPr>
          <w:sz w:val="24"/>
          <w:szCs w:val="24"/>
        </w:rPr>
        <w:t xml:space="preserve"> (1/10</w:t>
      </w:r>
      <w:r w:rsidR="000C6AD6" w:rsidRPr="000C6AD6">
        <w:rPr>
          <w:sz w:val="24"/>
          <w:szCs w:val="24"/>
          <w:vertAlign w:val="superscript"/>
        </w:rPr>
        <w:t>th</w:t>
      </w:r>
      <w:r w:rsidR="000C6AD6">
        <w:rPr>
          <w:sz w:val="24"/>
          <w:szCs w:val="24"/>
        </w:rPr>
        <w:t xml:space="preserve"> of the EPA drinking water standard)</w:t>
      </w:r>
      <w:r w:rsidR="00436221">
        <w:rPr>
          <w:sz w:val="24"/>
          <w:szCs w:val="24"/>
        </w:rPr>
        <w:t xml:space="preserve">, </w:t>
      </w:r>
      <w:r w:rsidR="00AB61BA">
        <w:rPr>
          <w:sz w:val="24"/>
          <w:szCs w:val="24"/>
        </w:rPr>
        <w:t xml:space="preserve">and </w:t>
      </w:r>
      <w:r w:rsidR="000C6AD6">
        <w:rPr>
          <w:sz w:val="24"/>
          <w:szCs w:val="24"/>
        </w:rPr>
        <w:t xml:space="preserve">a </w:t>
      </w:r>
      <w:r w:rsidR="00AB61BA">
        <w:rPr>
          <w:sz w:val="24"/>
          <w:szCs w:val="24"/>
        </w:rPr>
        <w:t xml:space="preserve">historic results </w:t>
      </w:r>
      <w:r w:rsidR="00281F16">
        <w:rPr>
          <w:sz w:val="24"/>
          <w:szCs w:val="24"/>
        </w:rPr>
        <w:t xml:space="preserve">for </w:t>
      </w:r>
      <w:r w:rsidR="005A5AF2">
        <w:rPr>
          <w:sz w:val="24"/>
          <w:szCs w:val="24"/>
        </w:rPr>
        <w:t>MW-</w:t>
      </w:r>
      <w:r w:rsidR="00AB61BA">
        <w:rPr>
          <w:sz w:val="24"/>
          <w:szCs w:val="24"/>
        </w:rPr>
        <w:t>216</w:t>
      </w:r>
      <w:r w:rsidR="00A11B31">
        <w:rPr>
          <w:sz w:val="24"/>
          <w:szCs w:val="24"/>
        </w:rPr>
        <w:t xml:space="preserve">, </w:t>
      </w:r>
      <w:r w:rsidR="005A5AF2">
        <w:rPr>
          <w:sz w:val="24"/>
          <w:szCs w:val="24"/>
        </w:rPr>
        <w:t>MW-</w:t>
      </w:r>
      <w:r w:rsidR="00AB61BA">
        <w:rPr>
          <w:sz w:val="24"/>
          <w:szCs w:val="24"/>
        </w:rPr>
        <w:t>218</w:t>
      </w:r>
      <w:r w:rsidR="00A11B31">
        <w:rPr>
          <w:sz w:val="24"/>
          <w:szCs w:val="24"/>
        </w:rPr>
        <w:t xml:space="preserve"> and MW-211</w:t>
      </w:r>
      <w:r w:rsidR="00897BDE">
        <w:rPr>
          <w:sz w:val="24"/>
          <w:szCs w:val="24"/>
        </w:rPr>
        <w:t xml:space="preserve">. </w:t>
      </w:r>
      <w:r w:rsidR="00A11B31">
        <w:rPr>
          <w:sz w:val="24"/>
          <w:szCs w:val="24"/>
        </w:rPr>
        <w:t>Two additional wells, MW-209 and MW-206, are sampled weekly due to their location in preferential pathways of water from seismic gaps</w:t>
      </w:r>
      <w:r w:rsidR="00D5420A">
        <w:rPr>
          <w:sz w:val="24"/>
          <w:szCs w:val="24"/>
        </w:rPr>
        <w:t xml:space="preserve"> and have low </w:t>
      </w:r>
      <w:r w:rsidR="000C6AD6">
        <w:rPr>
          <w:sz w:val="24"/>
          <w:szCs w:val="24"/>
        </w:rPr>
        <w:t xml:space="preserve">tritium </w:t>
      </w:r>
      <w:r w:rsidR="00A11B31">
        <w:rPr>
          <w:sz w:val="24"/>
          <w:szCs w:val="24"/>
        </w:rPr>
        <w:t xml:space="preserve">levels </w:t>
      </w:r>
      <w:r w:rsidR="00D5420A">
        <w:rPr>
          <w:sz w:val="24"/>
          <w:szCs w:val="24"/>
        </w:rPr>
        <w:t>(</w:t>
      </w:r>
      <w:r w:rsidR="000C6AD6">
        <w:rPr>
          <w:sz w:val="24"/>
          <w:szCs w:val="24"/>
        </w:rPr>
        <w:t>rang</w:t>
      </w:r>
      <w:r w:rsidR="00D5420A">
        <w:rPr>
          <w:sz w:val="24"/>
          <w:szCs w:val="24"/>
        </w:rPr>
        <w:t xml:space="preserve">ing </w:t>
      </w:r>
      <w:r w:rsidR="000C6AD6">
        <w:rPr>
          <w:sz w:val="24"/>
          <w:szCs w:val="24"/>
        </w:rPr>
        <w:t xml:space="preserve">from non-detectable to </w:t>
      </w:r>
      <w:r w:rsidR="00D5420A">
        <w:rPr>
          <w:sz w:val="24"/>
          <w:szCs w:val="24"/>
        </w:rPr>
        <w:t xml:space="preserve">under </w:t>
      </w:r>
      <w:r w:rsidR="000C6AD6">
        <w:rPr>
          <w:sz w:val="24"/>
          <w:szCs w:val="24"/>
        </w:rPr>
        <w:t>1</w:t>
      </w:r>
      <w:r w:rsidR="00A11B31">
        <w:rPr>
          <w:sz w:val="24"/>
          <w:szCs w:val="24"/>
        </w:rPr>
        <w:t>,000 pCi/L</w:t>
      </w:r>
      <w:r w:rsidR="00D5420A">
        <w:rPr>
          <w:sz w:val="24"/>
          <w:szCs w:val="24"/>
        </w:rPr>
        <w:t>)</w:t>
      </w:r>
      <w:r w:rsidR="00A11B31">
        <w:rPr>
          <w:sz w:val="24"/>
          <w:szCs w:val="24"/>
        </w:rPr>
        <w:t>.</w:t>
      </w:r>
    </w:p>
    <w:p w:rsidR="00897BDE" w:rsidRDefault="00897BDE" w:rsidP="00061B3B">
      <w:pPr>
        <w:spacing w:after="0" w:line="240" w:lineRule="auto"/>
        <w:jc w:val="both"/>
        <w:rPr>
          <w:sz w:val="24"/>
          <w:szCs w:val="24"/>
        </w:rPr>
      </w:pPr>
    </w:p>
    <w:p w:rsidR="0089236E" w:rsidRDefault="005A5AF2" w:rsidP="00061B3B">
      <w:pPr>
        <w:spacing w:after="0" w:line="240" w:lineRule="auto"/>
        <w:jc w:val="both"/>
        <w:rPr>
          <w:sz w:val="24"/>
          <w:szCs w:val="24"/>
        </w:rPr>
      </w:pPr>
      <w:r>
        <w:rPr>
          <w:sz w:val="24"/>
          <w:szCs w:val="24"/>
        </w:rPr>
        <w:t xml:space="preserve">Results for the remaining wells showed </w:t>
      </w:r>
      <w:r w:rsidRPr="0034727D">
        <w:rPr>
          <w:sz w:val="24"/>
          <w:szCs w:val="24"/>
        </w:rPr>
        <w:t xml:space="preserve">stabilization </w:t>
      </w:r>
      <w:r>
        <w:rPr>
          <w:sz w:val="24"/>
          <w:szCs w:val="24"/>
        </w:rPr>
        <w:t xml:space="preserve">and reduction </w:t>
      </w:r>
      <w:r w:rsidRPr="0034727D">
        <w:rPr>
          <w:sz w:val="24"/>
          <w:szCs w:val="24"/>
        </w:rPr>
        <w:t xml:space="preserve">in </w:t>
      </w:r>
      <w:r w:rsidRPr="005B1653">
        <w:rPr>
          <w:sz w:val="24"/>
          <w:szCs w:val="24"/>
        </w:rPr>
        <w:t>tritium levels</w:t>
      </w:r>
      <w:r>
        <w:rPr>
          <w:sz w:val="24"/>
          <w:szCs w:val="24"/>
        </w:rPr>
        <w:t xml:space="preserve">. </w:t>
      </w:r>
      <w:r w:rsidR="00AB0E07" w:rsidRPr="00E34E10">
        <w:rPr>
          <w:sz w:val="24"/>
          <w:szCs w:val="24"/>
        </w:rPr>
        <w:t xml:space="preserve">Results for </w:t>
      </w:r>
      <w:r w:rsidR="000E1F86">
        <w:rPr>
          <w:sz w:val="24"/>
          <w:szCs w:val="24"/>
        </w:rPr>
        <w:t xml:space="preserve">those sampled </w:t>
      </w:r>
      <w:r>
        <w:rPr>
          <w:sz w:val="24"/>
          <w:szCs w:val="24"/>
        </w:rPr>
        <w:t xml:space="preserve">monthly </w:t>
      </w:r>
      <w:r w:rsidR="00AB0E07" w:rsidRPr="00E34E10">
        <w:rPr>
          <w:sz w:val="24"/>
          <w:szCs w:val="24"/>
        </w:rPr>
        <w:t xml:space="preserve">ranged from 420 to </w:t>
      </w:r>
      <w:r w:rsidR="00502255" w:rsidRPr="00E34E10">
        <w:rPr>
          <w:sz w:val="24"/>
          <w:szCs w:val="24"/>
        </w:rPr>
        <w:t>1,370 pCi/L</w:t>
      </w:r>
      <w:r w:rsidR="00E34E10" w:rsidRPr="00E34E10">
        <w:rPr>
          <w:sz w:val="24"/>
          <w:szCs w:val="24"/>
        </w:rPr>
        <w:t xml:space="preserve"> and </w:t>
      </w:r>
      <w:r>
        <w:rPr>
          <w:sz w:val="24"/>
          <w:szCs w:val="24"/>
        </w:rPr>
        <w:t xml:space="preserve">from no detection </w:t>
      </w:r>
      <w:r w:rsidR="00520973" w:rsidRPr="00E34E10">
        <w:rPr>
          <w:sz w:val="24"/>
          <w:szCs w:val="24"/>
        </w:rPr>
        <w:t xml:space="preserve">to </w:t>
      </w:r>
      <w:r w:rsidR="00D4099A" w:rsidRPr="00E34E10">
        <w:rPr>
          <w:sz w:val="24"/>
          <w:szCs w:val="24"/>
        </w:rPr>
        <w:t xml:space="preserve">635 </w:t>
      </w:r>
      <w:r w:rsidR="00520973" w:rsidRPr="00E34E10">
        <w:rPr>
          <w:sz w:val="24"/>
          <w:szCs w:val="24"/>
        </w:rPr>
        <w:t>pCi/L</w:t>
      </w:r>
      <w:r w:rsidR="00E34E10" w:rsidRPr="00E34E10">
        <w:rPr>
          <w:sz w:val="24"/>
          <w:szCs w:val="24"/>
        </w:rPr>
        <w:t xml:space="preserve"> </w:t>
      </w:r>
      <w:r w:rsidR="00436221">
        <w:rPr>
          <w:sz w:val="24"/>
          <w:szCs w:val="24"/>
        </w:rPr>
        <w:t>for</w:t>
      </w:r>
      <w:r w:rsidR="0006798B">
        <w:rPr>
          <w:sz w:val="24"/>
          <w:szCs w:val="24"/>
        </w:rPr>
        <w:t xml:space="preserve"> </w:t>
      </w:r>
      <w:r w:rsidR="00E34E10" w:rsidRPr="00E34E10">
        <w:rPr>
          <w:sz w:val="24"/>
          <w:szCs w:val="24"/>
        </w:rPr>
        <w:t>quarterly</w:t>
      </w:r>
      <w:r w:rsidR="00520973" w:rsidRPr="00E34E10">
        <w:rPr>
          <w:sz w:val="24"/>
          <w:szCs w:val="24"/>
        </w:rPr>
        <w:t xml:space="preserve">. </w:t>
      </w:r>
      <w:r w:rsidR="00E67EE6" w:rsidRPr="00E34E10">
        <w:rPr>
          <w:sz w:val="24"/>
          <w:szCs w:val="24"/>
        </w:rPr>
        <w:t xml:space="preserve">No tritium </w:t>
      </w:r>
      <w:r w:rsidR="00D4099A" w:rsidRPr="00E34E10">
        <w:rPr>
          <w:sz w:val="24"/>
          <w:szCs w:val="24"/>
        </w:rPr>
        <w:t xml:space="preserve">was </w:t>
      </w:r>
      <w:r w:rsidR="00E67EE6" w:rsidRPr="00E34E10">
        <w:rPr>
          <w:sz w:val="24"/>
          <w:szCs w:val="24"/>
        </w:rPr>
        <w:t xml:space="preserve">detected in surface water samples collected during the </w:t>
      </w:r>
      <w:r w:rsidR="00B54728" w:rsidRPr="00E34E10">
        <w:rPr>
          <w:sz w:val="24"/>
          <w:szCs w:val="24"/>
        </w:rPr>
        <w:t>first half of 2016.</w:t>
      </w:r>
      <w:r w:rsidR="00E67EE6" w:rsidRPr="00130CAD">
        <w:rPr>
          <w:sz w:val="24"/>
          <w:szCs w:val="24"/>
        </w:rPr>
        <w:t xml:space="preserve"> </w:t>
      </w:r>
    </w:p>
    <w:p w:rsidR="00E67EE6" w:rsidRPr="00061B3B" w:rsidRDefault="00E67EE6" w:rsidP="00061B3B">
      <w:pPr>
        <w:spacing w:after="0" w:line="240" w:lineRule="auto"/>
        <w:rPr>
          <w:rStyle w:val="Emphasis"/>
          <w:b/>
          <w:i w:val="0"/>
          <w:caps/>
          <w:sz w:val="28"/>
          <w:szCs w:val="28"/>
        </w:rPr>
      </w:pPr>
      <w:r w:rsidRPr="00061B3B">
        <w:rPr>
          <w:rStyle w:val="Emphasis"/>
          <w:b/>
          <w:i w:val="0"/>
          <w:caps/>
          <w:sz w:val="28"/>
          <w:szCs w:val="28"/>
        </w:rPr>
        <w:lastRenderedPageBreak/>
        <w:t>Discussion</w:t>
      </w:r>
    </w:p>
    <w:p w:rsidR="004975D9" w:rsidRPr="00E67EE6" w:rsidRDefault="004975D9" w:rsidP="00061B3B">
      <w:pPr>
        <w:spacing w:after="0" w:line="240" w:lineRule="auto"/>
        <w:rPr>
          <w:rStyle w:val="Emphasis"/>
          <w:b/>
          <w:i w:val="0"/>
          <w:caps/>
          <w:sz w:val="24"/>
          <w:szCs w:val="24"/>
        </w:rPr>
      </w:pPr>
    </w:p>
    <w:p w:rsidR="008E0727" w:rsidRDefault="00314ED6" w:rsidP="00061B3B">
      <w:pPr>
        <w:spacing w:after="0" w:line="240" w:lineRule="auto"/>
        <w:jc w:val="both"/>
        <w:rPr>
          <w:sz w:val="24"/>
          <w:szCs w:val="24"/>
        </w:rPr>
      </w:pPr>
      <w:r>
        <w:rPr>
          <w:sz w:val="24"/>
          <w:szCs w:val="24"/>
        </w:rPr>
        <w:t>M</w:t>
      </w:r>
      <w:r w:rsidRPr="0034727D">
        <w:rPr>
          <w:sz w:val="24"/>
          <w:szCs w:val="24"/>
        </w:rPr>
        <w:t xml:space="preserve">onitoring results </w:t>
      </w:r>
      <w:r>
        <w:rPr>
          <w:sz w:val="24"/>
          <w:szCs w:val="24"/>
        </w:rPr>
        <w:t xml:space="preserve">for the first six months of 2016 show stabilization </w:t>
      </w:r>
      <w:r w:rsidRPr="0034727D">
        <w:rPr>
          <w:sz w:val="24"/>
          <w:szCs w:val="24"/>
        </w:rPr>
        <w:t xml:space="preserve">in </w:t>
      </w:r>
      <w:r>
        <w:rPr>
          <w:sz w:val="24"/>
          <w:szCs w:val="24"/>
        </w:rPr>
        <w:t xml:space="preserve">groundwater tritium </w:t>
      </w:r>
      <w:r w:rsidRPr="0034727D">
        <w:rPr>
          <w:sz w:val="24"/>
          <w:szCs w:val="24"/>
        </w:rPr>
        <w:t xml:space="preserve">levels in </w:t>
      </w:r>
      <w:r>
        <w:rPr>
          <w:sz w:val="24"/>
          <w:szCs w:val="24"/>
        </w:rPr>
        <w:t xml:space="preserve">21 of 23 </w:t>
      </w:r>
      <w:r w:rsidRPr="00A11B31">
        <w:rPr>
          <w:sz w:val="24"/>
          <w:szCs w:val="24"/>
        </w:rPr>
        <w:t xml:space="preserve">wells. </w:t>
      </w:r>
      <w:r w:rsidR="00061B3B" w:rsidRPr="00A11B31">
        <w:rPr>
          <w:sz w:val="24"/>
          <w:szCs w:val="24"/>
        </w:rPr>
        <w:t xml:space="preserve"> </w:t>
      </w:r>
      <w:r w:rsidR="00533380" w:rsidRPr="00A11B31">
        <w:rPr>
          <w:sz w:val="24"/>
          <w:szCs w:val="24"/>
        </w:rPr>
        <w:t xml:space="preserve">Increases </w:t>
      </w:r>
      <w:r w:rsidR="008E0727" w:rsidRPr="00A11B31">
        <w:rPr>
          <w:sz w:val="24"/>
          <w:szCs w:val="24"/>
        </w:rPr>
        <w:t xml:space="preserve">in tritium at </w:t>
      </w:r>
      <w:r w:rsidR="0001566D" w:rsidRPr="00A11B31">
        <w:rPr>
          <w:sz w:val="24"/>
          <w:szCs w:val="24"/>
        </w:rPr>
        <w:t xml:space="preserve">MW-218 and MW-211 </w:t>
      </w:r>
      <w:r w:rsidR="00533380" w:rsidRPr="00A11B31">
        <w:rPr>
          <w:sz w:val="24"/>
          <w:szCs w:val="24"/>
        </w:rPr>
        <w:t xml:space="preserve">were </w:t>
      </w:r>
      <w:r w:rsidR="0001566D" w:rsidRPr="00A11B31">
        <w:rPr>
          <w:sz w:val="24"/>
          <w:szCs w:val="24"/>
        </w:rPr>
        <w:t>attributed</w:t>
      </w:r>
      <w:r w:rsidR="00DB13F6" w:rsidRPr="00A11B31">
        <w:rPr>
          <w:sz w:val="24"/>
          <w:szCs w:val="24"/>
        </w:rPr>
        <w:t xml:space="preserve"> by Entergy personnel to a leaking valve in a high RAD area</w:t>
      </w:r>
      <w:r w:rsidR="00EB5911" w:rsidRPr="00A11B31">
        <w:rPr>
          <w:sz w:val="24"/>
          <w:szCs w:val="24"/>
        </w:rPr>
        <w:t>.</w:t>
      </w:r>
      <w:r>
        <w:rPr>
          <w:sz w:val="24"/>
          <w:szCs w:val="24"/>
        </w:rPr>
        <w:t xml:space="preserve"> </w:t>
      </w:r>
      <w:r w:rsidR="0001566D">
        <w:rPr>
          <w:sz w:val="24"/>
          <w:szCs w:val="24"/>
        </w:rPr>
        <w:t xml:space="preserve"> </w:t>
      </w:r>
    </w:p>
    <w:p w:rsidR="00667A85" w:rsidRDefault="00667A85" w:rsidP="00061B3B">
      <w:pPr>
        <w:spacing w:after="0" w:line="240" w:lineRule="auto"/>
        <w:jc w:val="both"/>
        <w:rPr>
          <w:sz w:val="24"/>
          <w:szCs w:val="24"/>
        </w:rPr>
      </w:pPr>
    </w:p>
    <w:p w:rsidR="000C6AD6" w:rsidRDefault="000C6AD6" w:rsidP="000C6AD6">
      <w:pPr>
        <w:spacing w:after="0" w:line="240" w:lineRule="auto"/>
        <w:jc w:val="both"/>
        <w:rPr>
          <w:sz w:val="24"/>
          <w:szCs w:val="24"/>
        </w:rPr>
      </w:pPr>
      <w:r w:rsidRPr="00A11B31">
        <w:rPr>
          <w:sz w:val="24"/>
          <w:szCs w:val="24"/>
        </w:rPr>
        <w:t xml:space="preserve">Minor adjustments in sampling frequency were made by Entergy to account for changes in well results and new information about preferential pathways of water coming from the plant’s seismic gaps. </w:t>
      </w:r>
      <w:r w:rsidR="00A90809">
        <w:rPr>
          <w:sz w:val="24"/>
          <w:szCs w:val="24"/>
        </w:rPr>
        <w:t>Sampling f</w:t>
      </w:r>
      <w:r w:rsidRPr="00A11B31">
        <w:rPr>
          <w:sz w:val="24"/>
          <w:szCs w:val="24"/>
        </w:rPr>
        <w:t xml:space="preserve">requency for MW-211 was </w:t>
      </w:r>
      <w:r w:rsidR="00A90809">
        <w:rPr>
          <w:sz w:val="24"/>
          <w:szCs w:val="24"/>
        </w:rPr>
        <w:t xml:space="preserve">adjusted to monthly </w:t>
      </w:r>
      <w:r w:rsidRPr="00A11B31">
        <w:rPr>
          <w:sz w:val="24"/>
          <w:szCs w:val="24"/>
        </w:rPr>
        <w:t>in March following two instances of tritium increases shown in Figure 1. Entergy</w:t>
      </w:r>
      <w:r>
        <w:rPr>
          <w:sz w:val="24"/>
          <w:szCs w:val="24"/>
        </w:rPr>
        <w:t xml:space="preserve"> determined MW-215 would be a better indicator of the preferential path of water coming from the seismic gap than MW-209, and switched MW-215 and MW-209 between monthly and weekly frequency. </w:t>
      </w:r>
    </w:p>
    <w:p w:rsidR="000C6AD6" w:rsidRDefault="000C6AD6" w:rsidP="00061B3B">
      <w:pPr>
        <w:spacing w:after="0" w:line="240" w:lineRule="auto"/>
        <w:jc w:val="both"/>
        <w:rPr>
          <w:sz w:val="24"/>
        </w:rPr>
      </w:pPr>
    </w:p>
    <w:p w:rsidR="008C29F1" w:rsidRDefault="00A11B31" w:rsidP="00061B3B">
      <w:pPr>
        <w:spacing w:after="0" w:line="240" w:lineRule="auto"/>
        <w:jc w:val="both"/>
        <w:rPr>
          <w:sz w:val="24"/>
          <w:szCs w:val="24"/>
        </w:rPr>
      </w:pPr>
      <w:r>
        <w:rPr>
          <w:sz w:val="24"/>
        </w:rPr>
        <w:t xml:space="preserve">Currently, </w:t>
      </w:r>
      <w:r w:rsidR="00502255">
        <w:rPr>
          <w:sz w:val="24"/>
        </w:rPr>
        <w:t>MDPH monitors weekly results for MW-211 and MW-218</w:t>
      </w:r>
      <w:r w:rsidR="00E16764">
        <w:rPr>
          <w:sz w:val="24"/>
        </w:rPr>
        <w:t xml:space="preserve">. </w:t>
      </w:r>
      <w:bookmarkStart w:id="0" w:name="_GoBack"/>
      <w:bookmarkEnd w:id="0"/>
      <w:r w:rsidR="007337A9">
        <w:rPr>
          <w:sz w:val="24"/>
        </w:rPr>
        <w:t>In December 2015 t</w:t>
      </w:r>
      <w:r w:rsidR="007337A9" w:rsidRPr="005558E8">
        <w:rPr>
          <w:sz w:val="24"/>
        </w:rPr>
        <w:t xml:space="preserve">ritium levels at MW-211 increased </w:t>
      </w:r>
      <w:r w:rsidR="007337A9">
        <w:rPr>
          <w:sz w:val="24"/>
        </w:rPr>
        <w:t xml:space="preserve">from 1,050 </w:t>
      </w:r>
      <w:proofErr w:type="gramStart"/>
      <w:r w:rsidR="007337A9">
        <w:rPr>
          <w:sz w:val="24"/>
        </w:rPr>
        <w:t xml:space="preserve">to 1,990 </w:t>
      </w:r>
      <w:r w:rsidR="007337A9" w:rsidRPr="005558E8">
        <w:rPr>
          <w:sz w:val="24"/>
        </w:rPr>
        <w:t>pCi/L</w:t>
      </w:r>
      <w:proofErr w:type="gramEnd"/>
      <w:r w:rsidR="007337A9">
        <w:rPr>
          <w:sz w:val="24"/>
        </w:rPr>
        <w:t xml:space="preserve">; </w:t>
      </w:r>
      <w:r w:rsidR="007337A9" w:rsidRPr="0034727D">
        <w:rPr>
          <w:sz w:val="24"/>
          <w:szCs w:val="24"/>
        </w:rPr>
        <w:t xml:space="preserve">in </w:t>
      </w:r>
      <w:r w:rsidR="007337A9">
        <w:rPr>
          <w:sz w:val="24"/>
          <w:szCs w:val="24"/>
        </w:rPr>
        <w:t xml:space="preserve">March, </w:t>
      </w:r>
      <w:r w:rsidR="007337A9" w:rsidRPr="0034727D">
        <w:rPr>
          <w:sz w:val="24"/>
          <w:szCs w:val="24"/>
        </w:rPr>
        <w:t xml:space="preserve">MW-218 </w:t>
      </w:r>
      <w:r w:rsidR="007337A9">
        <w:rPr>
          <w:sz w:val="24"/>
          <w:szCs w:val="24"/>
        </w:rPr>
        <w:t xml:space="preserve">rose from 1,673 to 6,481 pCi/L. </w:t>
      </w:r>
      <w:r w:rsidR="00617613">
        <w:rPr>
          <w:sz w:val="24"/>
          <w:szCs w:val="24"/>
        </w:rPr>
        <w:t xml:space="preserve">During an </w:t>
      </w:r>
      <w:r w:rsidR="00C97C8C">
        <w:rPr>
          <w:sz w:val="24"/>
          <w:szCs w:val="24"/>
        </w:rPr>
        <w:t>internal investigation</w:t>
      </w:r>
      <w:r w:rsidR="00E34B2F">
        <w:rPr>
          <w:sz w:val="24"/>
          <w:szCs w:val="24"/>
        </w:rPr>
        <w:t>,</w:t>
      </w:r>
      <w:r w:rsidR="00C97C8C">
        <w:rPr>
          <w:sz w:val="24"/>
          <w:szCs w:val="24"/>
        </w:rPr>
        <w:t xml:space="preserve"> </w:t>
      </w:r>
      <w:r w:rsidR="00E34B2F">
        <w:rPr>
          <w:sz w:val="24"/>
          <w:szCs w:val="24"/>
        </w:rPr>
        <w:t xml:space="preserve">Entergy identified </w:t>
      </w:r>
      <w:r w:rsidR="005F1CD6">
        <w:rPr>
          <w:sz w:val="24"/>
          <w:szCs w:val="24"/>
        </w:rPr>
        <w:t xml:space="preserve">a </w:t>
      </w:r>
      <w:r w:rsidR="00E60DF6">
        <w:rPr>
          <w:sz w:val="24"/>
          <w:szCs w:val="24"/>
        </w:rPr>
        <w:t>leak</w:t>
      </w:r>
      <w:r w:rsidR="00624CD7">
        <w:rPr>
          <w:sz w:val="24"/>
          <w:szCs w:val="24"/>
        </w:rPr>
        <w:t xml:space="preserve">ing </w:t>
      </w:r>
      <w:r w:rsidR="00E60DF6">
        <w:t xml:space="preserve">valve </w:t>
      </w:r>
      <w:r w:rsidR="0017674B">
        <w:rPr>
          <w:sz w:val="24"/>
          <w:szCs w:val="24"/>
        </w:rPr>
        <w:t>in</w:t>
      </w:r>
      <w:r w:rsidR="00F64117">
        <w:rPr>
          <w:sz w:val="24"/>
          <w:szCs w:val="24"/>
        </w:rPr>
        <w:t xml:space="preserve"> a</w:t>
      </w:r>
      <w:r w:rsidR="00624CD7">
        <w:rPr>
          <w:sz w:val="24"/>
          <w:szCs w:val="24"/>
        </w:rPr>
        <w:t xml:space="preserve"> high-dose radiation </w:t>
      </w:r>
      <w:r w:rsidR="0017674B">
        <w:rPr>
          <w:sz w:val="24"/>
          <w:szCs w:val="24"/>
        </w:rPr>
        <w:t xml:space="preserve">area of the </w:t>
      </w:r>
      <w:r w:rsidR="00624CD7">
        <w:rPr>
          <w:sz w:val="24"/>
          <w:szCs w:val="24"/>
        </w:rPr>
        <w:t xml:space="preserve">plant which is </w:t>
      </w:r>
      <w:r w:rsidR="00387F1D">
        <w:rPr>
          <w:sz w:val="24"/>
          <w:szCs w:val="24"/>
        </w:rPr>
        <w:t>normally inaccessible</w:t>
      </w:r>
      <w:r w:rsidR="00F64117">
        <w:rPr>
          <w:sz w:val="24"/>
          <w:szCs w:val="24"/>
        </w:rPr>
        <w:t xml:space="preserve">. Entergy concluded that </w:t>
      </w:r>
      <w:r w:rsidR="00EB5911">
        <w:rPr>
          <w:sz w:val="24"/>
          <w:szCs w:val="24"/>
        </w:rPr>
        <w:t xml:space="preserve">water from </w:t>
      </w:r>
      <w:r w:rsidR="00F64117">
        <w:rPr>
          <w:sz w:val="24"/>
          <w:szCs w:val="24"/>
        </w:rPr>
        <w:t xml:space="preserve">the leak </w:t>
      </w:r>
      <w:r w:rsidR="00E34B2F">
        <w:rPr>
          <w:sz w:val="24"/>
          <w:szCs w:val="24"/>
        </w:rPr>
        <w:t>travel</w:t>
      </w:r>
      <w:r w:rsidR="00F64117">
        <w:rPr>
          <w:sz w:val="24"/>
          <w:szCs w:val="24"/>
        </w:rPr>
        <w:t>ed</w:t>
      </w:r>
      <w:r w:rsidR="00E34B2F">
        <w:rPr>
          <w:sz w:val="24"/>
          <w:szCs w:val="24"/>
        </w:rPr>
        <w:t xml:space="preserve"> </w:t>
      </w:r>
      <w:r w:rsidR="005558E8">
        <w:rPr>
          <w:sz w:val="24"/>
          <w:szCs w:val="24"/>
        </w:rPr>
        <w:t>through the seismic gap</w:t>
      </w:r>
      <w:r w:rsidR="005F1CD6">
        <w:rPr>
          <w:sz w:val="24"/>
          <w:szCs w:val="24"/>
        </w:rPr>
        <w:t xml:space="preserve"> to the soil </w:t>
      </w:r>
      <w:r w:rsidR="00E34B2F">
        <w:rPr>
          <w:sz w:val="24"/>
          <w:szCs w:val="24"/>
        </w:rPr>
        <w:t xml:space="preserve">near </w:t>
      </w:r>
      <w:r w:rsidR="005F1CD6">
        <w:rPr>
          <w:sz w:val="24"/>
          <w:szCs w:val="24"/>
        </w:rPr>
        <w:t>MW-211 and then MW-218</w:t>
      </w:r>
      <w:r w:rsidR="005558E8">
        <w:rPr>
          <w:sz w:val="24"/>
          <w:szCs w:val="24"/>
        </w:rPr>
        <w:t xml:space="preserve">. </w:t>
      </w:r>
      <w:r w:rsidR="00C97C8C">
        <w:rPr>
          <w:sz w:val="24"/>
          <w:szCs w:val="24"/>
        </w:rPr>
        <w:t xml:space="preserve">A drip containment system was </w:t>
      </w:r>
      <w:r w:rsidR="00281F16">
        <w:rPr>
          <w:sz w:val="24"/>
          <w:szCs w:val="24"/>
        </w:rPr>
        <w:t xml:space="preserve">immediately </w:t>
      </w:r>
      <w:r w:rsidR="00EB5911" w:rsidRPr="00281F16">
        <w:rPr>
          <w:sz w:val="24"/>
          <w:szCs w:val="24"/>
        </w:rPr>
        <w:t>i</w:t>
      </w:r>
      <w:r w:rsidR="00281F16">
        <w:rPr>
          <w:sz w:val="24"/>
          <w:szCs w:val="24"/>
        </w:rPr>
        <w:t xml:space="preserve">mplemented, </w:t>
      </w:r>
      <w:r w:rsidR="00E34B2F">
        <w:rPr>
          <w:sz w:val="24"/>
          <w:szCs w:val="24"/>
        </w:rPr>
        <w:t xml:space="preserve">and </w:t>
      </w:r>
      <w:r w:rsidR="00F64117">
        <w:rPr>
          <w:sz w:val="24"/>
          <w:szCs w:val="24"/>
        </w:rPr>
        <w:t xml:space="preserve">the </w:t>
      </w:r>
      <w:r w:rsidR="0017674B">
        <w:rPr>
          <w:sz w:val="24"/>
          <w:szCs w:val="24"/>
        </w:rPr>
        <w:t xml:space="preserve">valve </w:t>
      </w:r>
      <w:r w:rsidR="00F64117">
        <w:rPr>
          <w:sz w:val="24"/>
          <w:szCs w:val="24"/>
        </w:rPr>
        <w:t xml:space="preserve">was repaired </w:t>
      </w:r>
      <w:r w:rsidR="00E34B2F">
        <w:rPr>
          <w:sz w:val="24"/>
          <w:szCs w:val="24"/>
        </w:rPr>
        <w:t>d</w:t>
      </w:r>
      <w:r w:rsidR="00C97C8C">
        <w:rPr>
          <w:sz w:val="24"/>
          <w:szCs w:val="24"/>
        </w:rPr>
        <w:t xml:space="preserve">uring </w:t>
      </w:r>
      <w:r w:rsidR="00E34B2F">
        <w:rPr>
          <w:sz w:val="24"/>
          <w:szCs w:val="24"/>
        </w:rPr>
        <w:t xml:space="preserve">the next </w:t>
      </w:r>
      <w:r w:rsidR="00C97C8C">
        <w:rPr>
          <w:sz w:val="24"/>
          <w:szCs w:val="24"/>
        </w:rPr>
        <w:t xml:space="preserve">down power. </w:t>
      </w:r>
      <w:r w:rsidR="00E34B2F">
        <w:rPr>
          <w:sz w:val="24"/>
          <w:szCs w:val="24"/>
        </w:rPr>
        <w:t>Subsequently</w:t>
      </w:r>
      <w:r w:rsidR="000C513B">
        <w:rPr>
          <w:sz w:val="24"/>
          <w:szCs w:val="24"/>
        </w:rPr>
        <w:t xml:space="preserve">, </w:t>
      </w:r>
      <w:r w:rsidR="00281F16">
        <w:rPr>
          <w:sz w:val="24"/>
          <w:szCs w:val="24"/>
        </w:rPr>
        <w:t xml:space="preserve">tritium </w:t>
      </w:r>
      <w:r w:rsidR="00E34B2F">
        <w:rPr>
          <w:sz w:val="24"/>
          <w:szCs w:val="24"/>
        </w:rPr>
        <w:t xml:space="preserve">levels in both wells dropped </w:t>
      </w:r>
      <w:r w:rsidR="000C6AD6">
        <w:rPr>
          <w:sz w:val="24"/>
          <w:szCs w:val="24"/>
        </w:rPr>
        <w:t xml:space="preserve">to </w:t>
      </w:r>
      <w:r w:rsidR="00E34B2F">
        <w:rPr>
          <w:sz w:val="24"/>
          <w:szCs w:val="24"/>
        </w:rPr>
        <w:t xml:space="preserve">near </w:t>
      </w:r>
      <w:r w:rsidR="000C6AD6">
        <w:rPr>
          <w:sz w:val="24"/>
          <w:szCs w:val="24"/>
        </w:rPr>
        <w:t xml:space="preserve">the </w:t>
      </w:r>
      <w:r w:rsidR="00E34B2F">
        <w:rPr>
          <w:sz w:val="24"/>
          <w:szCs w:val="24"/>
        </w:rPr>
        <w:t xml:space="preserve">previous </w:t>
      </w:r>
      <w:r w:rsidR="00281F16">
        <w:rPr>
          <w:sz w:val="24"/>
          <w:szCs w:val="24"/>
        </w:rPr>
        <w:t>values.</w:t>
      </w:r>
    </w:p>
    <w:p w:rsidR="00616B34" w:rsidRDefault="00616B34" w:rsidP="00061B3B">
      <w:pPr>
        <w:spacing w:after="0" w:line="240" w:lineRule="auto"/>
        <w:jc w:val="both"/>
        <w:rPr>
          <w:sz w:val="24"/>
          <w:szCs w:val="24"/>
        </w:rPr>
      </w:pPr>
    </w:p>
    <w:p w:rsidR="00502255" w:rsidRDefault="00616B34" w:rsidP="00061B3B">
      <w:pPr>
        <w:spacing w:after="0" w:line="240" w:lineRule="auto"/>
        <w:jc w:val="both"/>
        <w:rPr>
          <w:sz w:val="24"/>
          <w:szCs w:val="24"/>
        </w:rPr>
      </w:pPr>
      <w:r>
        <w:rPr>
          <w:sz w:val="24"/>
          <w:szCs w:val="24"/>
        </w:rPr>
        <w:t>MDPH mo</w:t>
      </w:r>
      <w:r w:rsidR="00502255">
        <w:rPr>
          <w:sz w:val="24"/>
          <w:szCs w:val="24"/>
        </w:rPr>
        <w:t xml:space="preserve">nitors </w:t>
      </w:r>
      <w:r w:rsidR="000C513B">
        <w:rPr>
          <w:sz w:val="24"/>
          <w:szCs w:val="24"/>
        </w:rPr>
        <w:t xml:space="preserve">weekly </w:t>
      </w:r>
      <w:r w:rsidR="00502255">
        <w:rPr>
          <w:sz w:val="24"/>
          <w:szCs w:val="24"/>
        </w:rPr>
        <w:t>results for MW-216</w:t>
      </w:r>
      <w:r w:rsidR="00A90809">
        <w:rPr>
          <w:sz w:val="24"/>
          <w:szCs w:val="24"/>
        </w:rPr>
        <w:t>.</w:t>
      </w:r>
      <w:r>
        <w:rPr>
          <w:sz w:val="24"/>
          <w:szCs w:val="24"/>
        </w:rPr>
        <w:t xml:space="preserve"> </w:t>
      </w:r>
      <w:r w:rsidR="000C513B">
        <w:rPr>
          <w:sz w:val="24"/>
          <w:szCs w:val="24"/>
        </w:rPr>
        <w:t>T</w:t>
      </w:r>
      <w:r>
        <w:rPr>
          <w:sz w:val="24"/>
          <w:szCs w:val="24"/>
        </w:rPr>
        <w:t xml:space="preserve">ritium levels </w:t>
      </w:r>
      <w:r w:rsidR="00502255">
        <w:rPr>
          <w:sz w:val="24"/>
          <w:szCs w:val="24"/>
        </w:rPr>
        <w:t xml:space="preserve">in this well continued to stabilize </w:t>
      </w:r>
      <w:r>
        <w:rPr>
          <w:sz w:val="24"/>
          <w:szCs w:val="24"/>
        </w:rPr>
        <w:t>during the first half of the year</w:t>
      </w:r>
      <w:r w:rsidR="000C6AD6">
        <w:rPr>
          <w:sz w:val="24"/>
          <w:szCs w:val="24"/>
        </w:rPr>
        <w:t xml:space="preserve"> with </w:t>
      </w:r>
      <w:r w:rsidR="005A5AF2">
        <w:rPr>
          <w:sz w:val="24"/>
          <w:szCs w:val="24"/>
        </w:rPr>
        <w:t>all</w:t>
      </w:r>
      <w:r w:rsidR="00502255">
        <w:rPr>
          <w:sz w:val="24"/>
          <w:szCs w:val="24"/>
        </w:rPr>
        <w:t xml:space="preserve"> results </w:t>
      </w:r>
      <w:r w:rsidR="0006798B">
        <w:rPr>
          <w:sz w:val="24"/>
          <w:szCs w:val="24"/>
        </w:rPr>
        <w:t>less than</w:t>
      </w:r>
      <w:r w:rsidR="00502255">
        <w:rPr>
          <w:sz w:val="24"/>
          <w:szCs w:val="24"/>
        </w:rPr>
        <w:t xml:space="preserve"> 3,000 pCi/L. </w:t>
      </w:r>
    </w:p>
    <w:p w:rsidR="00EB5911" w:rsidRDefault="00EB5911" w:rsidP="00061B3B">
      <w:pPr>
        <w:spacing w:after="0" w:line="240" w:lineRule="auto"/>
        <w:jc w:val="both"/>
        <w:rPr>
          <w:sz w:val="24"/>
          <w:szCs w:val="24"/>
        </w:rPr>
      </w:pPr>
    </w:p>
    <w:p w:rsidR="0046172B" w:rsidRPr="0034727D" w:rsidRDefault="004A1C30" w:rsidP="00061B3B">
      <w:pPr>
        <w:spacing w:after="0" w:line="240" w:lineRule="auto"/>
        <w:jc w:val="both"/>
        <w:rPr>
          <w:sz w:val="24"/>
          <w:szCs w:val="24"/>
        </w:rPr>
      </w:pPr>
      <w:r>
        <w:rPr>
          <w:sz w:val="24"/>
          <w:szCs w:val="24"/>
        </w:rPr>
        <w:t xml:space="preserve">Entergy’s staff continue to monitor for sources of tritium reaching MW-216 and MW-218. </w:t>
      </w:r>
      <w:r w:rsidR="00994733">
        <w:rPr>
          <w:sz w:val="24"/>
          <w:szCs w:val="24"/>
        </w:rPr>
        <w:t xml:space="preserve">In February 2016, </w:t>
      </w:r>
      <w:r w:rsidR="0046172B">
        <w:rPr>
          <w:sz w:val="24"/>
          <w:szCs w:val="24"/>
        </w:rPr>
        <w:t xml:space="preserve">Entergy </w:t>
      </w:r>
      <w:r w:rsidR="00994733">
        <w:rPr>
          <w:sz w:val="24"/>
          <w:szCs w:val="24"/>
        </w:rPr>
        <w:t>re</w:t>
      </w:r>
      <w:r w:rsidR="0046172B">
        <w:rPr>
          <w:sz w:val="24"/>
          <w:szCs w:val="24"/>
        </w:rPr>
        <w:t>sampled three deep groundwater wells</w:t>
      </w:r>
      <w:r w:rsidR="005E4B75">
        <w:rPr>
          <w:sz w:val="24"/>
          <w:szCs w:val="24"/>
        </w:rPr>
        <w:t xml:space="preserve">. They </w:t>
      </w:r>
      <w:r w:rsidR="0046172B">
        <w:rPr>
          <w:sz w:val="24"/>
          <w:szCs w:val="24"/>
        </w:rPr>
        <w:t xml:space="preserve">were installed </w:t>
      </w:r>
      <w:r w:rsidR="00994733">
        <w:rPr>
          <w:sz w:val="24"/>
          <w:szCs w:val="24"/>
        </w:rPr>
        <w:t xml:space="preserve">in 2014 </w:t>
      </w:r>
      <w:r w:rsidR="0046172B">
        <w:rPr>
          <w:sz w:val="24"/>
          <w:szCs w:val="24"/>
        </w:rPr>
        <w:t>in response to the Fukushima Dai-chi tragedy to provide a secondary source of cooling</w:t>
      </w:r>
      <w:r w:rsidR="00667A85">
        <w:rPr>
          <w:sz w:val="24"/>
          <w:szCs w:val="24"/>
        </w:rPr>
        <w:t xml:space="preserve"> water</w:t>
      </w:r>
      <w:r w:rsidR="006140C1">
        <w:rPr>
          <w:sz w:val="24"/>
          <w:szCs w:val="24"/>
        </w:rPr>
        <w:t xml:space="preserve">. </w:t>
      </w:r>
      <w:r w:rsidR="00994733">
        <w:rPr>
          <w:sz w:val="24"/>
          <w:szCs w:val="24"/>
        </w:rPr>
        <w:t>N</w:t>
      </w:r>
      <w:r w:rsidR="0046172B">
        <w:rPr>
          <w:sz w:val="24"/>
          <w:szCs w:val="24"/>
        </w:rPr>
        <w:t xml:space="preserve">o tritium was detected in any of the </w:t>
      </w:r>
      <w:r w:rsidR="00667A85">
        <w:rPr>
          <w:sz w:val="24"/>
          <w:szCs w:val="24"/>
        </w:rPr>
        <w:t>samples</w:t>
      </w:r>
      <w:r w:rsidR="0046172B">
        <w:rPr>
          <w:sz w:val="24"/>
          <w:szCs w:val="24"/>
        </w:rPr>
        <w:t xml:space="preserve">. </w:t>
      </w:r>
    </w:p>
    <w:p w:rsidR="0046172B" w:rsidRDefault="0046172B" w:rsidP="00061B3B">
      <w:pPr>
        <w:spacing w:after="0" w:line="240" w:lineRule="auto"/>
        <w:jc w:val="both"/>
        <w:rPr>
          <w:sz w:val="24"/>
          <w:szCs w:val="24"/>
        </w:rPr>
      </w:pPr>
    </w:p>
    <w:p w:rsidR="005A5AF2" w:rsidRDefault="00E67EE6" w:rsidP="00061B3B">
      <w:pPr>
        <w:spacing w:after="0" w:line="240" w:lineRule="auto"/>
        <w:jc w:val="both"/>
        <w:rPr>
          <w:sz w:val="24"/>
          <w:szCs w:val="24"/>
        </w:rPr>
      </w:pPr>
      <w:r w:rsidRPr="0034727D">
        <w:rPr>
          <w:sz w:val="24"/>
          <w:szCs w:val="24"/>
        </w:rPr>
        <w:t xml:space="preserve">Staff from the MDPH Bureau of Environmental Health </w:t>
      </w:r>
      <w:r>
        <w:rPr>
          <w:sz w:val="24"/>
          <w:szCs w:val="24"/>
        </w:rPr>
        <w:t>will continue</w:t>
      </w:r>
      <w:r w:rsidRPr="0034727D">
        <w:rPr>
          <w:sz w:val="24"/>
          <w:szCs w:val="24"/>
        </w:rPr>
        <w:t xml:space="preserve"> to review </w:t>
      </w:r>
      <w:r w:rsidR="00DB13F6">
        <w:rPr>
          <w:sz w:val="24"/>
          <w:szCs w:val="24"/>
        </w:rPr>
        <w:t>groundwater monitoring results</w:t>
      </w:r>
      <w:r w:rsidRPr="0034727D">
        <w:rPr>
          <w:sz w:val="24"/>
          <w:szCs w:val="24"/>
        </w:rPr>
        <w:t xml:space="preserve">, and </w:t>
      </w:r>
      <w:r>
        <w:rPr>
          <w:sz w:val="24"/>
          <w:szCs w:val="24"/>
        </w:rPr>
        <w:t>maintain</w:t>
      </w:r>
      <w:r w:rsidRPr="0034727D">
        <w:rPr>
          <w:sz w:val="24"/>
          <w:szCs w:val="24"/>
        </w:rPr>
        <w:t xml:space="preserve"> contact with MEMA, NRC, and Entergy to discuss on-going </w:t>
      </w:r>
      <w:r w:rsidR="004E4EFD">
        <w:rPr>
          <w:sz w:val="24"/>
          <w:szCs w:val="24"/>
        </w:rPr>
        <w:t xml:space="preserve">tritium in groundwater </w:t>
      </w:r>
      <w:r w:rsidRPr="0034727D">
        <w:rPr>
          <w:sz w:val="24"/>
          <w:szCs w:val="24"/>
        </w:rPr>
        <w:t xml:space="preserve">activities at </w:t>
      </w:r>
      <w:r w:rsidRPr="00AD129A">
        <w:rPr>
          <w:sz w:val="24"/>
          <w:szCs w:val="24"/>
        </w:rPr>
        <w:t>PNPS.</w:t>
      </w:r>
    </w:p>
    <w:p w:rsidR="0043312D" w:rsidRDefault="0043312D" w:rsidP="00061B3B">
      <w:pPr>
        <w:spacing w:after="0" w:line="240" w:lineRule="auto"/>
        <w:jc w:val="both"/>
        <w:rPr>
          <w:sz w:val="24"/>
          <w:szCs w:val="24"/>
        </w:rPr>
        <w:sectPr w:rsidR="0043312D" w:rsidSect="0043312D">
          <w:headerReference w:type="default" r:id="rId10"/>
          <w:footerReference w:type="default" r:id="rId11"/>
          <w:pgSz w:w="12240" w:h="15840"/>
          <w:pgMar w:top="1440" w:right="1440" w:bottom="1440" w:left="1440" w:header="720" w:footer="720" w:gutter="0"/>
          <w:cols w:space="720"/>
          <w:docGrid w:linePitch="360"/>
        </w:sectPr>
      </w:pPr>
    </w:p>
    <w:p w:rsidR="0043312D" w:rsidRDefault="00F23519" w:rsidP="00061B3B">
      <w:pPr>
        <w:spacing w:after="0" w:line="240" w:lineRule="auto"/>
        <w:jc w:val="both"/>
        <w:rPr>
          <w:sz w:val="24"/>
          <w:szCs w:val="24"/>
        </w:rPr>
      </w:pPr>
      <w:r>
        <w:rPr>
          <w:noProof/>
        </w:rPr>
        <w:lastRenderedPageBreak/>
        <mc:AlternateContent>
          <mc:Choice Requires="wps">
            <w:drawing>
              <wp:anchor distT="0" distB="0" distL="114300" distR="114300" simplePos="0" relativeHeight="251676672" behindDoc="0" locked="0" layoutInCell="1" allowOverlap="1" wp14:anchorId="35134E17" wp14:editId="40A795E8">
                <wp:simplePos x="0" y="0"/>
                <wp:positionH relativeFrom="column">
                  <wp:posOffset>710566</wp:posOffset>
                </wp:positionH>
                <wp:positionV relativeFrom="paragraph">
                  <wp:posOffset>-161925</wp:posOffset>
                </wp:positionV>
                <wp:extent cx="2686050" cy="390525"/>
                <wp:effectExtent l="0" t="0" r="0" b="9525"/>
                <wp:wrapNone/>
                <wp:docPr id="4" name="Rectangle 4"/>
                <wp:cNvGraphicFramePr/>
                <a:graphic xmlns:a="http://schemas.openxmlformats.org/drawingml/2006/main">
                  <a:graphicData uri="http://schemas.microsoft.com/office/word/2010/wordprocessingShape">
                    <wps:wsp>
                      <wps:cNvSpPr/>
                      <wps:spPr>
                        <a:xfrm>
                          <a:off x="0" y="0"/>
                          <a:ext cx="2686050" cy="390525"/>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rsidR="003F4A01" w:rsidRPr="003F4A01" w:rsidRDefault="003F4A01" w:rsidP="003F4A01">
                            <w:pPr>
                              <w:pStyle w:val="ListParagraph"/>
                              <w:numPr>
                                <w:ilvl w:val="0"/>
                                <w:numId w:val="25"/>
                              </w:numPr>
                              <w:jc w:val="center"/>
                              <w:rPr>
                                <w:b/>
                                <w:sz w:val="28"/>
                                <w:szCs w:val="28"/>
                              </w:rPr>
                            </w:pPr>
                            <w:r w:rsidRPr="003F4A01">
                              <w:rPr>
                                <w:b/>
                                <w:sz w:val="28"/>
                                <w:szCs w:val="28"/>
                              </w:rPr>
                              <w:t>Wells of Interest in 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55.95pt;margin-top:-12.75pt;width:211.5pt;height:3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" fillcolor="white [3212]" stroked="f" strokeweight="2pt">
                <v:textbox>
                  <w:txbxContent>
                    <w:p w:rsidR="003F4A01" w:rsidRPr="003F4A01" w:rsidRDefault="003F4A01" w:rsidP="003F4A01">
                      <w:pPr>
                        <w:pStyle w:val="ListParagraph"/>
                        <w:numPr>
                          <w:ilvl w:val="0"/>
                          <w:numId w:val="25"/>
                        </w:numPr>
                        <w:jc w:val="center"/>
                        <w:rPr>
                          <w:b/>
                          <w:sz w:val="28"/>
                          <w:szCs w:val="28"/>
                        </w:rPr>
                      </w:pPr>
                      <w:r w:rsidRPr="003F4A01">
                        <w:rPr>
                          <w:b/>
                          <w:sz w:val="28"/>
                          <w:szCs w:val="28"/>
                        </w:rPr>
                        <w:t>Wells of Interest in 2016</w:t>
                      </w:r>
                    </w:p>
                  </w:txbxContent>
                </v:textbox>
              </v:rect>
            </w:pict>
          </mc:Fallback>
        </mc:AlternateContent>
      </w:r>
      <w:r w:rsidRPr="00F23519">
        <w:rPr>
          <w:noProof/>
        </w:rPr>
        <w:drawing>
          <wp:inline distT="0" distB="0" distL="0" distR="0" wp14:anchorId="63DE0DD6" wp14:editId="58C5BDE8">
            <wp:extent cx="6126480" cy="58817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6480" cy="5881770"/>
                    </a:xfrm>
                    <a:prstGeom prst="rect">
                      <a:avLst/>
                    </a:prstGeom>
                    <a:noFill/>
                    <a:ln>
                      <a:noFill/>
                    </a:ln>
                  </pic:spPr>
                </pic:pic>
              </a:graphicData>
            </a:graphic>
          </wp:inline>
        </w:drawing>
      </w:r>
    </w:p>
    <w:p w:rsidR="0043312D" w:rsidRDefault="0043312D" w:rsidP="0043312D">
      <w:pPr>
        <w:tabs>
          <w:tab w:val="center" w:pos="5400"/>
        </w:tabs>
        <w:spacing w:after="0" w:line="240" w:lineRule="auto"/>
        <w:rPr>
          <w:sz w:val="24"/>
          <w:szCs w:val="24"/>
        </w:rPr>
      </w:pPr>
      <w:r>
        <w:rPr>
          <w:sz w:val="24"/>
          <w:szCs w:val="24"/>
        </w:rPr>
        <w:tab/>
      </w:r>
    </w:p>
    <w:p w:rsidR="005A5AF2" w:rsidRPr="005A5AF2" w:rsidRDefault="005A5AF2" w:rsidP="00B879DD">
      <w:pPr>
        <w:spacing w:after="0" w:line="240" w:lineRule="auto"/>
        <w:ind w:left="432" w:right="432"/>
        <w:jc w:val="both"/>
        <w:rPr>
          <w:rFonts w:eastAsiaTheme="minorEastAsia"/>
          <w:color w:val="000000" w:themeColor="text1"/>
          <w:kern w:val="24"/>
          <w:sz w:val="24"/>
        </w:rPr>
      </w:pPr>
      <w:r w:rsidRPr="00061B3B">
        <w:rPr>
          <w:rFonts w:eastAsiaTheme="minorEastAsia"/>
          <w:noProof/>
          <w:color w:val="000000" w:themeColor="text1"/>
          <w:kern w:val="24"/>
        </w:rPr>
        <mc:AlternateContent>
          <mc:Choice Requires="wps">
            <w:drawing>
              <wp:anchor distT="0" distB="0" distL="114300" distR="114300" simplePos="0" relativeHeight="251673600" behindDoc="0" locked="0" layoutInCell="1" allowOverlap="1" wp14:anchorId="277B477E" wp14:editId="3F726E90">
                <wp:simplePos x="0" y="0"/>
                <wp:positionH relativeFrom="column">
                  <wp:posOffset>3629025</wp:posOffset>
                </wp:positionH>
                <wp:positionV relativeFrom="paragraph">
                  <wp:posOffset>3502660</wp:posOffset>
                </wp:positionV>
                <wp:extent cx="942975" cy="161925"/>
                <wp:effectExtent l="0" t="0" r="0" b="0"/>
                <wp:wrapNone/>
                <wp:docPr id="17" name="Rectangle 17"/>
                <wp:cNvGraphicFramePr/>
                <a:graphic xmlns:a="http://schemas.openxmlformats.org/drawingml/2006/main">
                  <a:graphicData uri="http://schemas.microsoft.com/office/word/2010/wordprocessingShape">
                    <wps:wsp>
                      <wps:cNvSpPr/>
                      <wps:spPr>
                        <a:xfrm>
                          <a:off x="0" y="0"/>
                          <a:ext cx="942975" cy="1619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A5AF2" w:rsidRDefault="005A5AF2" w:rsidP="005A5AF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7" style="position:absolute;left:0;text-align:left;margin-left:285.75pt;margin-top:275.8pt;width:74.2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" filled="f" stroked="f" strokeweight="2pt">
                <v:textbox>
                  <w:txbxContent>
                    <w:p w:rsidR="005A5AF2" w:rsidRDefault="005A5AF2" w:rsidP="005A5AF2"/>
                  </w:txbxContent>
                </v:textbox>
              </v:rect>
            </w:pict>
          </mc:Fallback>
        </mc:AlternateContent>
      </w:r>
      <w:r w:rsidRPr="00061B3B">
        <w:rPr>
          <w:rFonts w:eastAsiaTheme="minorEastAsia"/>
          <w:color w:val="000000" w:themeColor="text1"/>
          <w:kern w:val="24"/>
          <w:sz w:val="24"/>
        </w:rPr>
        <w:t>Figure 1. January through June 2016 three wells of interest and historic</w:t>
      </w:r>
      <w:r w:rsidR="00A90809">
        <w:rPr>
          <w:rFonts w:eastAsiaTheme="minorEastAsia"/>
          <w:color w:val="000000" w:themeColor="text1"/>
          <w:kern w:val="24"/>
          <w:sz w:val="24"/>
        </w:rPr>
        <w:t>al</w:t>
      </w:r>
      <w:r w:rsidRPr="00061B3B">
        <w:rPr>
          <w:rFonts w:eastAsiaTheme="minorEastAsia"/>
          <w:color w:val="000000" w:themeColor="text1"/>
          <w:kern w:val="24"/>
          <w:sz w:val="24"/>
        </w:rPr>
        <w:t xml:space="preserve"> results for MW-216</w:t>
      </w:r>
      <w:r w:rsidR="0043312D">
        <w:rPr>
          <w:rFonts w:eastAsiaTheme="minorEastAsia"/>
          <w:color w:val="000000" w:themeColor="text1"/>
          <w:kern w:val="24"/>
          <w:sz w:val="24"/>
        </w:rPr>
        <w:t>,</w:t>
      </w:r>
      <w:r w:rsidRPr="00061B3B">
        <w:rPr>
          <w:rFonts w:eastAsiaTheme="minorEastAsia"/>
          <w:color w:val="000000" w:themeColor="text1"/>
          <w:kern w:val="24"/>
          <w:sz w:val="24"/>
        </w:rPr>
        <w:t xml:space="preserve"> MW-218 </w:t>
      </w:r>
      <w:r w:rsidR="0043312D">
        <w:rPr>
          <w:rFonts w:eastAsiaTheme="minorEastAsia"/>
          <w:color w:val="000000" w:themeColor="text1"/>
          <w:kern w:val="24"/>
          <w:sz w:val="24"/>
        </w:rPr>
        <w:t xml:space="preserve">and MW-211 </w:t>
      </w:r>
      <w:r w:rsidRPr="00061B3B">
        <w:rPr>
          <w:rFonts w:eastAsiaTheme="minorEastAsia"/>
          <w:color w:val="000000" w:themeColor="text1"/>
          <w:kern w:val="24"/>
          <w:sz w:val="24"/>
        </w:rPr>
        <w:t>from tritium in groundwater samples collected from Pilgrim Nuclear Power Station (PNPS). Data are plotted separately based on PNPS operator (solid lines) or MDPH (dotted lines) produced results.  The solid red line at 3,000 pCi/L represents the screening level which is 1/10</w:t>
      </w:r>
      <w:r w:rsidRPr="00061B3B">
        <w:rPr>
          <w:rFonts w:eastAsiaTheme="minorEastAsia"/>
          <w:color w:val="000000" w:themeColor="text1"/>
          <w:kern w:val="24"/>
          <w:sz w:val="24"/>
          <w:vertAlign w:val="superscript"/>
        </w:rPr>
        <w:t>th</w:t>
      </w:r>
      <w:r w:rsidRPr="00061B3B">
        <w:rPr>
          <w:rFonts w:eastAsiaTheme="minorEastAsia"/>
          <w:color w:val="000000" w:themeColor="text1"/>
          <w:kern w:val="24"/>
          <w:sz w:val="24"/>
        </w:rPr>
        <w:t xml:space="preserve"> of the 30,000 pCi/L NRC level of concern.  (a) Results from samples collected during 2016 at wells with tritium levels above 2,000 pCi/L (MW-218, MW-216, and MW-211) showing a maximum level of 6,481 on March 7, 2016 at MW-216. (b</w:t>
      </w:r>
      <w:r w:rsidR="00A90809">
        <w:rPr>
          <w:rFonts w:eastAsiaTheme="minorEastAsia"/>
          <w:color w:val="000000" w:themeColor="text1"/>
          <w:kern w:val="24"/>
          <w:sz w:val="24"/>
        </w:rPr>
        <w:t>-d</w:t>
      </w:r>
      <w:r w:rsidRPr="00061B3B">
        <w:rPr>
          <w:rFonts w:eastAsiaTheme="minorEastAsia"/>
          <w:color w:val="000000" w:themeColor="text1"/>
          <w:kern w:val="24"/>
          <w:sz w:val="24"/>
        </w:rPr>
        <w:t>) Historic</w:t>
      </w:r>
      <w:r w:rsidR="00A90809">
        <w:rPr>
          <w:rFonts w:eastAsiaTheme="minorEastAsia"/>
          <w:color w:val="000000" w:themeColor="text1"/>
          <w:kern w:val="24"/>
          <w:sz w:val="24"/>
        </w:rPr>
        <w:t>al</w:t>
      </w:r>
      <w:r w:rsidRPr="00061B3B">
        <w:rPr>
          <w:rFonts w:eastAsiaTheme="minorEastAsia"/>
          <w:color w:val="000000" w:themeColor="text1"/>
          <w:kern w:val="24"/>
          <w:sz w:val="24"/>
        </w:rPr>
        <w:t xml:space="preserve"> monitoring results for MW-216</w:t>
      </w:r>
      <w:r w:rsidR="00A90809">
        <w:rPr>
          <w:rFonts w:eastAsiaTheme="minorEastAsia"/>
          <w:color w:val="000000" w:themeColor="text1"/>
          <w:kern w:val="24"/>
          <w:sz w:val="24"/>
        </w:rPr>
        <w:t>, MW-</w:t>
      </w:r>
      <w:r w:rsidR="000C6AD6">
        <w:rPr>
          <w:rFonts w:eastAsiaTheme="minorEastAsia"/>
          <w:color w:val="000000" w:themeColor="text1"/>
          <w:kern w:val="24"/>
          <w:sz w:val="24"/>
        </w:rPr>
        <w:t xml:space="preserve">218 </w:t>
      </w:r>
      <w:r w:rsidR="00A90809">
        <w:rPr>
          <w:rFonts w:eastAsiaTheme="minorEastAsia"/>
          <w:color w:val="000000" w:themeColor="text1"/>
          <w:kern w:val="24"/>
          <w:sz w:val="24"/>
        </w:rPr>
        <w:t xml:space="preserve">and </w:t>
      </w:r>
      <w:r w:rsidR="000C6AD6">
        <w:rPr>
          <w:rFonts w:eastAsiaTheme="minorEastAsia"/>
          <w:color w:val="000000" w:themeColor="text1"/>
          <w:kern w:val="24"/>
          <w:sz w:val="24"/>
        </w:rPr>
        <w:t>MW-211.</w:t>
      </w:r>
    </w:p>
    <w:p w:rsidR="005A5AF2" w:rsidRDefault="005A5AF2">
      <w:pPr>
        <w:rPr>
          <w:rFonts w:eastAsiaTheme="minorEastAsia"/>
          <w:color w:val="000000" w:themeColor="text1"/>
          <w:kern w:val="24"/>
        </w:rPr>
      </w:pPr>
    </w:p>
    <w:sectPr w:rsidR="005A5AF2" w:rsidSect="006D6105">
      <w:pgSz w:w="12240" w:h="15840"/>
      <w:pgMar w:top="1440" w:right="1296" w:bottom="864"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B38" w:rsidRDefault="009D5B38" w:rsidP="00945DC3">
      <w:pPr>
        <w:spacing w:after="0" w:line="240" w:lineRule="auto"/>
      </w:pPr>
      <w:r>
        <w:separator/>
      </w:r>
    </w:p>
  </w:endnote>
  <w:endnote w:type="continuationSeparator" w:id="0">
    <w:p w:rsidR="009D5B38" w:rsidRDefault="009D5B38" w:rsidP="00945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84" w:rsidRPr="006C7DC3" w:rsidRDefault="00090D85" w:rsidP="006C7DC3">
    <w:pPr>
      <w:pStyle w:val="Footer"/>
    </w:pPr>
    <w:fldSimple w:instr=" FILENAME   \* MERGEFORMAT ">
      <w:r w:rsidR="00BF1B79">
        <w:rPr>
          <w:noProof/>
        </w:rPr>
        <w:t>pnps-update 11-14-16.docx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B38" w:rsidRDefault="009D5B38" w:rsidP="00945DC3">
      <w:pPr>
        <w:spacing w:after="0" w:line="240" w:lineRule="auto"/>
      </w:pPr>
      <w:r>
        <w:separator/>
      </w:r>
    </w:p>
  </w:footnote>
  <w:footnote w:type="continuationSeparator" w:id="0">
    <w:p w:rsidR="009D5B38" w:rsidRDefault="009D5B38" w:rsidP="00945DC3">
      <w:pPr>
        <w:spacing w:after="0" w:line="240" w:lineRule="auto"/>
      </w:pPr>
      <w:r>
        <w:continuationSeparator/>
      </w:r>
    </w:p>
  </w:footnote>
  <w:footnote w:id="1">
    <w:p w:rsidR="00E67EE6" w:rsidRPr="0006798B" w:rsidRDefault="00E67EE6" w:rsidP="00E67EE6">
      <w:pPr>
        <w:pStyle w:val="FootnoteText"/>
      </w:pPr>
      <w:r w:rsidRPr="0006798B">
        <w:rPr>
          <w:rStyle w:val="FootnoteReference"/>
        </w:rPr>
        <w:footnoteRef/>
      </w:r>
      <w:r w:rsidRPr="0006798B">
        <w:t xml:space="preserve"> Previous PNPS Tritium in Groundwater Investigation Updates are available here:</w:t>
      </w:r>
    </w:p>
    <w:p w:rsidR="00E67EE6" w:rsidRPr="00061B3B" w:rsidRDefault="00BF1B79" w:rsidP="0006798B">
      <w:pPr>
        <w:pStyle w:val="FootnoteText"/>
        <w:rPr>
          <w:sz w:val="18"/>
          <w:szCs w:val="18"/>
        </w:rPr>
      </w:pPr>
      <w:hyperlink r:id="rId1" w:history="1">
        <w:r w:rsidR="0006798B">
          <w:rPr>
            <w:rStyle w:val="Hyperlink"/>
            <w:sz w:val="18"/>
            <w:szCs w:val="18"/>
          </w:rPr>
          <w:t>mass.gov/eohhs/gov/departments/dph/programs/environmental-health/exposure-topics/radiation/environmental-monitoring</w:t>
        </w:r>
      </w:hyperlink>
    </w:p>
    <w:p w:rsidR="00E67EE6" w:rsidRDefault="00E67EE6" w:rsidP="00E67EE6">
      <w:pPr>
        <w:pStyle w:val="FootnoteText"/>
      </w:pPr>
    </w:p>
  </w:footnote>
  <w:footnote w:id="2">
    <w:p w:rsidR="00061B3B" w:rsidRPr="0006798B" w:rsidRDefault="00061B3B" w:rsidP="00061B3B">
      <w:pPr>
        <w:pStyle w:val="FootnoteText"/>
      </w:pPr>
      <w:r w:rsidRPr="0006798B">
        <w:rPr>
          <w:rStyle w:val="FootnoteReference"/>
        </w:rPr>
        <w:footnoteRef/>
      </w:r>
      <w:r w:rsidRPr="0006798B">
        <w:t xml:space="preserve"> Summary tables of groundwater and surface water monitoring results </w:t>
      </w:r>
      <w:r w:rsidR="0006798B" w:rsidRPr="0006798B">
        <w:t xml:space="preserve">are </w:t>
      </w:r>
      <w:r w:rsidRPr="0006798B">
        <w:t>on the MDPH website:</w:t>
      </w:r>
    </w:p>
    <w:p w:rsidR="00061B3B" w:rsidRPr="00061B3B" w:rsidRDefault="00BF1B79" w:rsidP="00061B3B">
      <w:pPr>
        <w:pStyle w:val="FootnoteText"/>
        <w:rPr>
          <w:sz w:val="18"/>
          <w:szCs w:val="18"/>
        </w:rPr>
      </w:pPr>
      <w:hyperlink r:id="rId2" w:history="1">
        <w:r w:rsidR="0006798B">
          <w:rPr>
            <w:rStyle w:val="Hyperlink"/>
            <w:sz w:val="18"/>
            <w:szCs w:val="18"/>
          </w:rPr>
          <w:t>mass.gov/eohhs/gov/departments/dph/programs/environmental-health/exposure-topics/radiation/environmental-monitoring</w:t>
        </w:r>
      </w:hyperlink>
    </w:p>
    <w:p w:rsidR="00061B3B" w:rsidRDefault="00061B3B" w:rsidP="00061B3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DB7" w:rsidRPr="006708F8" w:rsidRDefault="00776DB7" w:rsidP="004A6456">
    <w:pPr>
      <w:pStyle w:val="Header"/>
      <w:tabs>
        <w:tab w:val="clear" w:pos="9360"/>
        <w:tab w:val="right" w:pos="10800"/>
      </w:tabs>
      <w:rPr>
        <w:rFonts w:ascii="Tahoma" w:hAnsi="Tahoma" w:cs="Tahoma"/>
        <w:sz w:val="20"/>
        <w:szCs w:val="20"/>
      </w:rPr>
    </w:pPr>
    <w:r w:rsidRPr="006708F8">
      <w:rPr>
        <w:rFonts w:ascii="Tahoma" w:hAnsi="Tahoma" w:cs="Tahoma"/>
        <w:sz w:val="20"/>
        <w:szCs w:val="20"/>
      </w:rPr>
      <w:tab/>
    </w:r>
    <w:r w:rsidRPr="006708F8">
      <w:rPr>
        <w:rFonts w:ascii="Tahoma" w:hAnsi="Tahoma" w:cs="Tahoma"/>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19C"/>
    <w:multiLevelType w:val="hybridMultilevel"/>
    <w:tmpl w:val="4BEE3EBE"/>
    <w:lvl w:ilvl="0" w:tplc="398615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735AF"/>
    <w:multiLevelType w:val="hybridMultilevel"/>
    <w:tmpl w:val="6352C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2C6E9F"/>
    <w:multiLevelType w:val="hybridMultilevel"/>
    <w:tmpl w:val="21FAC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E3C9E"/>
    <w:multiLevelType w:val="hybridMultilevel"/>
    <w:tmpl w:val="C7628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85910"/>
    <w:multiLevelType w:val="hybridMultilevel"/>
    <w:tmpl w:val="2FCE677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5981A5E"/>
    <w:multiLevelType w:val="hybridMultilevel"/>
    <w:tmpl w:val="5524C230"/>
    <w:lvl w:ilvl="0" w:tplc="D26028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14DF4"/>
    <w:multiLevelType w:val="hybridMultilevel"/>
    <w:tmpl w:val="A77CBAEE"/>
    <w:lvl w:ilvl="0" w:tplc="8CB6B7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F25A62"/>
    <w:multiLevelType w:val="hybridMultilevel"/>
    <w:tmpl w:val="B41E5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A43A5C"/>
    <w:multiLevelType w:val="hybridMultilevel"/>
    <w:tmpl w:val="1A9E9404"/>
    <w:lvl w:ilvl="0" w:tplc="49186C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8613C4"/>
    <w:multiLevelType w:val="hybridMultilevel"/>
    <w:tmpl w:val="0E04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8D6327"/>
    <w:multiLevelType w:val="hybridMultilevel"/>
    <w:tmpl w:val="6E508C6E"/>
    <w:lvl w:ilvl="0" w:tplc="0FA6CF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E0022B"/>
    <w:multiLevelType w:val="hybridMultilevel"/>
    <w:tmpl w:val="7FAA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6A0A68"/>
    <w:multiLevelType w:val="hybridMultilevel"/>
    <w:tmpl w:val="C5A24A38"/>
    <w:lvl w:ilvl="0" w:tplc="04090019">
      <w:start w:val="1"/>
      <w:numFmt w:val="lowerLetter"/>
      <w:lvlText w:val="%1."/>
      <w:lvlJc w:val="lef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nsid w:val="36953CC5"/>
    <w:multiLevelType w:val="hybridMultilevel"/>
    <w:tmpl w:val="2DC65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701678C"/>
    <w:multiLevelType w:val="hybridMultilevel"/>
    <w:tmpl w:val="8658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C5793C"/>
    <w:multiLevelType w:val="hybridMultilevel"/>
    <w:tmpl w:val="9B2A37C8"/>
    <w:lvl w:ilvl="0" w:tplc="CE4A7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3B0093"/>
    <w:multiLevelType w:val="hybridMultilevel"/>
    <w:tmpl w:val="576A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847226"/>
    <w:multiLevelType w:val="hybridMultilevel"/>
    <w:tmpl w:val="C08C6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9754F6"/>
    <w:multiLevelType w:val="hybridMultilevel"/>
    <w:tmpl w:val="C22EFE92"/>
    <w:lvl w:ilvl="0" w:tplc="ECCE430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56B63F60"/>
    <w:multiLevelType w:val="hybridMultilevel"/>
    <w:tmpl w:val="97564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D1E0398"/>
    <w:multiLevelType w:val="hybridMultilevel"/>
    <w:tmpl w:val="0CF4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A36AF6"/>
    <w:multiLevelType w:val="hybridMultilevel"/>
    <w:tmpl w:val="21DA0D58"/>
    <w:lvl w:ilvl="0" w:tplc="A60ED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CA70067"/>
    <w:multiLevelType w:val="hybridMultilevel"/>
    <w:tmpl w:val="7E24C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D579A4"/>
    <w:multiLevelType w:val="hybridMultilevel"/>
    <w:tmpl w:val="D390C65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17"/>
  </w:num>
  <w:num w:numId="7">
    <w:abstractNumId w:val="21"/>
  </w:num>
  <w:num w:numId="8">
    <w:abstractNumId w:val="6"/>
  </w:num>
  <w:num w:numId="9">
    <w:abstractNumId w:val="16"/>
  </w:num>
  <w:num w:numId="10">
    <w:abstractNumId w:val="22"/>
  </w:num>
  <w:num w:numId="11">
    <w:abstractNumId w:val="20"/>
  </w:num>
  <w:num w:numId="12">
    <w:abstractNumId w:val="14"/>
  </w:num>
  <w:num w:numId="13">
    <w:abstractNumId w:val="3"/>
  </w:num>
  <w:num w:numId="14">
    <w:abstractNumId w:val="13"/>
  </w:num>
  <w:num w:numId="15">
    <w:abstractNumId w:val="4"/>
  </w:num>
  <w:num w:numId="16">
    <w:abstractNumId w:val="23"/>
  </w:num>
  <w:num w:numId="17">
    <w:abstractNumId w:val="9"/>
  </w:num>
  <w:num w:numId="18">
    <w:abstractNumId w:val="11"/>
  </w:num>
  <w:num w:numId="19">
    <w:abstractNumId w:val="1"/>
  </w:num>
  <w:num w:numId="20">
    <w:abstractNumId w:val="0"/>
  </w:num>
  <w:num w:numId="21">
    <w:abstractNumId w:val="15"/>
  </w:num>
  <w:num w:numId="22">
    <w:abstractNumId w:val="18"/>
  </w:num>
  <w:num w:numId="23">
    <w:abstractNumId w:val="10"/>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65"/>
    <w:rsid w:val="00005CC1"/>
    <w:rsid w:val="0001566D"/>
    <w:rsid w:val="000159A5"/>
    <w:rsid w:val="00020923"/>
    <w:rsid w:val="000210FE"/>
    <w:rsid w:val="00030859"/>
    <w:rsid w:val="00051962"/>
    <w:rsid w:val="000543BD"/>
    <w:rsid w:val="00055F99"/>
    <w:rsid w:val="00061B3B"/>
    <w:rsid w:val="0006385A"/>
    <w:rsid w:val="00065CFB"/>
    <w:rsid w:val="0006798B"/>
    <w:rsid w:val="00067B92"/>
    <w:rsid w:val="00087A7D"/>
    <w:rsid w:val="00090D85"/>
    <w:rsid w:val="000915BE"/>
    <w:rsid w:val="000A4ED2"/>
    <w:rsid w:val="000A794F"/>
    <w:rsid w:val="000A7D9A"/>
    <w:rsid w:val="000C17A5"/>
    <w:rsid w:val="000C513B"/>
    <w:rsid w:val="000C68A2"/>
    <w:rsid w:val="000C6AD6"/>
    <w:rsid w:val="000D436C"/>
    <w:rsid w:val="000E1F86"/>
    <w:rsid w:val="000E6469"/>
    <w:rsid w:val="000F7936"/>
    <w:rsid w:val="00110A0D"/>
    <w:rsid w:val="00110DAA"/>
    <w:rsid w:val="001200CD"/>
    <w:rsid w:val="0013709E"/>
    <w:rsid w:val="0014480C"/>
    <w:rsid w:val="001608E1"/>
    <w:rsid w:val="0017674B"/>
    <w:rsid w:val="0018077C"/>
    <w:rsid w:val="00183008"/>
    <w:rsid w:val="001916CF"/>
    <w:rsid w:val="001A16E7"/>
    <w:rsid w:val="001A1885"/>
    <w:rsid w:val="001B0A4C"/>
    <w:rsid w:val="001B743F"/>
    <w:rsid w:val="001C2CAF"/>
    <w:rsid w:val="001E1F5B"/>
    <w:rsid w:val="001E513D"/>
    <w:rsid w:val="00205847"/>
    <w:rsid w:val="002064A7"/>
    <w:rsid w:val="00234F78"/>
    <w:rsid w:val="00236020"/>
    <w:rsid w:val="00245C21"/>
    <w:rsid w:val="002517F1"/>
    <w:rsid w:val="00252466"/>
    <w:rsid w:val="00261E21"/>
    <w:rsid w:val="00271E48"/>
    <w:rsid w:val="002752CC"/>
    <w:rsid w:val="00281F16"/>
    <w:rsid w:val="00283C5D"/>
    <w:rsid w:val="00286837"/>
    <w:rsid w:val="0029267A"/>
    <w:rsid w:val="002A5639"/>
    <w:rsid w:val="002A6F48"/>
    <w:rsid w:val="002B1E64"/>
    <w:rsid w:val="002B4429"/>
    <w:rsid w:val="002B65BE"/>
    <w:rsid w:val="002C477B"/>
    <w:rsid w:val="002E2D31"/>
    <w:rsid w:val="002F1A19"/>
    <w:rsid w:val="002F4FCC"/>
    <w:rsid w:val="00301D23"/>
    <w:rsid w:val="00303AC1"/>
    <w:rsid w:val="00310522"/>
    <w:rsid w:val="00314ED6"/>
    <w:rsid w:val="00325463"/>
    <w:rsid w:val="00326892"/>
    <w:rsid w:val="00335AB6"/>
    <w:rsid w:val="00342361"/>
    <w:rsid w:val="003726B4"/>
    <w:rsid w:val="003733AC"/>
    <w:rsid w:val="003755E9"/>
    <w:rsid w:val="00387F1D"/>
    <w:rsid w:val="0039281F"/>
    <w:rsid w:val="003B4C31"/>
    <w:rsid w:val="003B7D12"/>
    <w:rsid w:val="003C6468"/>
    <w:rsid w:val="003D0BDD"/>
    <w:rsid w:val="003D519A"/>
    <w:rsid w:val="003E2B5B"/>
    <w:rsid w:val="003E67C0"/>
    <w:rsid w:val="003E71A0"/>
    <w:rsid w:val="003F1427"/>
    <w:rsid w:val="003F1EF4"/>
    <w:rsid w:val="003F4A01"/>
    <w:rsid w:val="003F74A7"/>
    <w:rsid w:val="00402ED9"/>
    <w:rsid w:val="00415B88"/>
    <w:rsid w:val="0042009F"/>
    <w:rsid w:val="00420DC0"/>
    <w:rsid w:val="00426B64"/>
    <w:rsid w:val="0043312D"/>
    <w:rsid w:val="00436221"/>
    <w:rsid w:val="004378AE"/>
    <w:rsid w:val="00442B00"/>
    <w:rsid w:val="004609FF"/>
    <w:rsid w:val="0046172B"/>
    <w:rsid w:val="0046299F"/>
    <w:rsid w:val="004640A1"/>
    <w:rsid w:val="00464327"/>
    <w:rsid w:val="0046666F"/>
    <w:rsid w:val="00472BBD"/>
    <w:rsid w:val="00494E27"/>
    <w:rsid w:val="004975D9"/>
    <w:rsid w:val="004A1C30"/>
    <w:rsid w:val="004A5AC8"/>
    <w:rsid w:val="004A6456"/>
    <w:rsid w:val="004B77BF"/>
    <w:rsid w:val="004D5CE8"/>
    <w:rsid w:val="004E1054"/>
    <w:rsid w:val="004E4EFD"/>
    <w:rsid w:val="004F0478"/>
    <w:rsid w:val="00502255"/>
    <w:rsid w:val="00520973"/>
    <w:rsid w:val="00525748"/>
    <w:rsid w:val="00533380"/>
    <w:rsid w:val="00543697"/>
    <w:rsid w:val="00545B00"/>
    <w:rsid w:val="005558E8"/>
    <w:rsid w:val="00557606"/>
    <w:rsid w:val="00573EE0"/>
    <w:rsid w:val="005776F4"/>
    <w:rsid w:val="00593FFA"/>
    <w:rsid w:val="005A5AF2"/>
    <w:rsid w:val="005B1653"/>
    <w:rsid w:val="005B2919"/>
    <w:rsid w:val="005B2F1B"/>
    <w:rsid w:val="005B38BF"/>
    <w:rsid w:val="005B469B"/>
    <w:rsid w:val="005B6C76"/>
    <w:rsid w:val="005C1CDB"/>
    <w:rsid w:val="005C33C1"/>
    <w:rsid w:val="005D53A9"/>
    <w:rsid w:val="005E4B75"/>
    <w:rsid w:val="005E728B"/>
    <w:rsid w:val="005F1CD6"/>
    <w:rsid w:val="00605694"/>
    <w:rsid w:val="00607A2A"/>
    <w:rsid w:val="00613063"/>
    <w:rsid w:val="006140C1"/>
    <w:rsid w:val="006140FD"/>
    <w:rsid w:val="00616B34"/>
    <w:rsid w:val="00617613"/>
    <w:rsid w:val="00622F9E"/>
    <w:rsid w:val="00624CD7"/>
    <w:rsid w:val="00631768"/>
    <w:rsid w:val="006342CC"/>
    <w:rsid w:val="0064646D"/>
    <w:rsid w:val="00657724"/>
    <w:rsid w:val="00667A85"/>
    <w:rsid w:val="006708F8"/>
    <w:rsid w:val="006714D3"/>
    <w:rsid w:val="0067271A"/>
    <w:rsid w:val="00674B0C"/>
    <w:rsid w:val="00675B86"/>
    <w:rsid w:val="00682BDF"/>
    <w:rsid w:val="006C25BD"/>
    <w:rsid w:val="006C726D"/>
    <w:rsid w:val="006C7DC3"/>
    <w:rsid w:val="006D6105"/>
    <w:rsid w:val="006E438D"/>
    <w:rsid w:val="00711AD3"/>
    <w:rsid w:val="00713750"/>
    <w:rsid w:val="00723631"/>
    <w:rsid w:val="00727584"/>
    <w:rsid w:val="00730775"/>
    <w:rsid w:val="007337A9"/>
    <w:rsid w:val="007364A9"/>
    <w:rsid w:val="00740B49"/>
    <w:rsid w:val="00751771"/>
    <w:rsid w:val="00761EA3"/>
    <w:rsid w:val="00762F72"/>
    <w:rsid w:val="00775151"/>
    <w:rsid w:val="00776DB7"/>
    <w:rsid w:val="007B4EC3"/>
    <w:rsid w:val="007C0A09"/>
    <w:rsid w:val="007C2FF1"/>
    <w:rsid w:val="007D03D8"/>
    <w:rsid w:val="007E60A6"/>
    <w:rsid w:val="007F10BF"/>
    <w:rsid w:val="0080349F"/>
    <w:rsid w:val="00814592"/>
    <w:rsid w:val="00815483"/>
    <w:rsid w:val="008363F1"/>
    <w:rsid w:val="008400A3"/>
    <w:rsid w:val="00847351"/>
    <w:rsid w:val="0086564A"/>
    <w:rsid w:val="00880AAC"/>
    <w:rsid w:val="008822A9"/>
    <w:rsid w:val="008826ED"/>
    <w:rsid w:val="008827D5"/>
    <w:rsid w:val="0089236E"/>
    <w:rsid w:val="00897BDE"/>
    <w:rsid w:val="008A0E4E"/>
    <w:rsid w:val="008B53F3"/>
    <w:rsid w:val="008C29F1"/>
    <w:rsid w:val="008C3D00"/>
    <w:rsid w:val="008D58BE"/>
    <w:rsid w:val="008D6A21"/>
    <w:rsid w:val="008E0727"/>
    <w:rsid w:val="008E4C57"/>
    <w:rsid w:val="008E55DB"/>
    <w:rsid w:val="008F0D0E"/>
    <w:rsid w:val="008F11B9"/>
    <w:rsid w:val="008F2787"/>
    <w:rsid w:val="008F539A"/>
    <w:rsid w:val="00915D18"/>
    <w:rsid w:val="00933444"/>
    <w:rsid w:val="00945DC3"/>
    <w:rsid w:val="00952D10"/>
    <w:rsid w:val="009556BF"/>
    <w:rsid w:val="00994733"/>
    <w:rsid w:val="009A0FCD"/>
    <w:rsid w:val="009D5B38"/>
    <w:rsid w:val="009F55D7"/>
    <w:rsid w:val="00A01BFD"/>
    <w:rsid w:val="00A11B31"/>
    <w:rsid w:val="00A12819"/>
    <w:rsid w:val="00A144D2"/>
    <w:rsid w:val="00A339F8"/>
    <w:rsid w:val="00A33EEE"/>
    <w:rsid w:val="00A366F8"/>
    <w:rsid w:val="00A43DB8"/>
    <w:rsid w:val="00A516B8"/>
    <w:rsid w:val="00A523C2"/>
    <w:rsid w:val="00A537E5"/>
    <w:rsid w:val="00A54FA9"/>
    <w:rsid w:val="00A66F32"/>
    <w:rsid w:val="00A807CC"/>
    <w:rsid w:val="00A90809"/>
    <w:rsid w:val="00AB0E07"/>
    <w:rsid w:val="00AB61BA"/>
    <w:rsid w:val="00AC0814"/>
    <w:rsid w:val="00AC6361"/>
    <w:rsid w:val="00AD129A"/>
    <w:rsid w:val="00AF4C52"/>
    <w:rsid w:val="00B05BAE"/>
    <w:rsid w:val="00B102CD"/>
    <w:rsid w:val="00B1052A"/>
    <w:rsid w:val="00B232B7"/>
    <w:rsid w:val="00B4682C"/>
    <w:rsid w:val="00B54728"/>
    <w:rsid w:val="00B640E8"/>
    <w:rsid w:val="00B8797F"/>
    <w:rsid w:val="00B879DD"/>
    <w:rsid w:val="00B9087B"/>
    <w:rsid w:val="00BB1A69"/>
    <w:rsid w:val="00BB75F1"/>
    <w:rsid w:val="00BC01E5"/>
    <w:rsid w:val="00BC2BA9"/>
    <w:rsid w:val="00BC4D85"/>
    <w:rsid w:val="00BC618D"/>
    <w:rsid w:val="00BC692A"/>
    <w:rsid w:val="00BD044C"/>
    <w:rsid w:val="00BD5C98"/>
    <w:rsid w:val="00BD73DA"/>
    <w:rsid w:val="00BE5E8E"/>
    <w:rsid w:val="00BE7E06"/>
    <w:rsid w:val="00BF1B79"/>
    <w:rsid w:val="00BF21A9"/>
    <w:rsid w:val="00BF7B6C"/>
    <w:rsid w:val="00C15C11"/>
    <w:rsid w:val="00C40916"/>
    <w:rsid w:val="00C6074B"/>
    <w:rsid w:val="00C97C8C"/>
    <w:rsid w:val="00CA5DFB"/>
    <w:rsid w:val="00CB03FC"/>
    <w:rsid w:val="00CB7053"/>
    <w:rsid w:val="00CC25CA"/>
    <w:rsid w:val="00CC4056"/>
    <w:rsid w:val="00CD1A5B"/>
    <w:rsid w:val="00CD3080"/>
    <w:rsid w:val="00CD6A3C"/>
    <w:rsid w:val="00CE3B9D"/>
    <w:rsid w:val="00D169C8"/>
    <w:rsid w:val="00D36FCC"/>
    <w:rsid w:val="00D4099A"/>
    <w:rsid w:val="00D44BAA"/>
    <w:rsid w:val="00D5420A"/>
    <w:rsid w:val="00D615E6"/>
    <w:rsid w:val="00D624EE"/>
    <w:rsid w:val="00D779B2"/>
    <w:rsid w:val="00D77C70"/>
    <w:rsid w:val="00D81DAD"/>
    <w:rsid w:val="00D83254"/>
    <w:rsid w:val="00D84131"/>
    <w:rsid w:val="00D85C7D"/>
    <w:rsid w:val="00DA05A5"/>
    <w:rsid w:val="00DA2990"/>
    <w:rsid w:val="00DA4BAF"/>
    <w:rsid w:val="00DB13F6"/>
    <w:rsid w:val="00DF0412"/>
    <w:rsid w:val="00DF18D7"/>
    <w:rsid w:val="00DF2032"/>
    <w:rsid w:val="00E14237"/>
    <w:rsid w:val="00E16764"/>
    <w:rsid w:val="00E167E7"/>
    <w:rsid w:val="00E24AD9"/>
    <w:rsid w:val="00E27EDE"/>
    <w:rsid w:val="00E34B2F"/>
    <w:rsid w:val="00E34E10"/>
    <w:rsid w:val="00E45933"/>
    <w:rsid w:val="00E55734"/>
    <w:rsid w:val="00E60584"/>
    <w:rsid w:val="00E60DF6"/>
    <w:rsid w:val="00E61A66"/>
    <w:rsid w:val="00E66BD6"/>
    <w:rsid w:val="00E67EE6"/>
    <w:rsid w:val="00E73334"/>
    <w:rsid w:val="00EB5911"/>
    <w:rsid w:val="00EE28EC"/>
    <w:rsid w:val="00EF150F"/>
    <w:rsid w:val="00EF1560"/>
    <w:rsid w:val="00F1721B"/>
    <w:rsid w:val="00F17F78"/>
    <w:rsid w:val="00F20265"/>
    <w:rsid w:val="00F23519"/>
    <w:rsid w:val="00F33641"/>
    <w:rsid w:val="00F42327"/>
    <w:rsid w:val="00F44719"/>
    <w:rsid w:val="00F4516E"/>
    <w:rsid w:val="00F514A1"/>
    <w:rsid w:val="00F64117"/>
    <w:rsid w:val="00F74CD9"/>
    <w:rsid w:val="00F761EF"/>
    <w:rsid w:val="00F80111"/>
    <w:rsid w:val="00F9080E"/>
    <w:rsid w:val="00F94762"/>
    <w:rsid w:val="00FA3178"/>
    <w:rsid w:val="00FB06E3"/>
    <w:rsid w:val="00FE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DC3"/>
  </w:style>
  <w:style w:type="paragraph" w:styleId="Footer">
    <w:name w:val="footer"/>
    <w:basedOn w:val="Normal"/>
    <w:link w:val="FooterChar"/>
    <w:uiPriority w:val="99"/>
    <w:unhideWhenUsed/>
    <w:rsid w:val="00945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DC3"/>
  </w:style>
  <w:style w:type="paragraph" w:styleId="BalloonText">
    <w:name w:val="Balloon Text"/>
    <w:basedOn w:val="Normal"/>
    <w:link w:val="BalloonTextChar"/>
    <w:uiPriority w:val="99"/>
    <w:semiHidden/>
    <w:unhideWhenUsed/>
    <w:rsid w:val="0094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DC3"/>
    <w:rPr>
      <w:rFonts w:ascii="Tahoma" w:hAnsi="Tahoma" w:cs="Tahoma"/>
      <w:sz w:val="16"/>
      <w:szCs w:val="16"/>
    </w:rPr>
  </w:style>
  <w:style w:type="paragraph" w:styleId="NoSpacing">
    <w:name w:val="No Spacing"/>
    <w:basedOn w:val="Normal"/>
    <w:uiPriority w:val="1"/>
    <w:qFormat/>
    <w:rsid w:val="00E167E7"/>
    <w:pPr>
      <w:spacing w:after="0" w:line="240" w:lineRule="auto"/>
    </w:pPr>
    <w:rPr>
      <w:rFonts w:cs="Times New Roman"/>
      <w:color w:val="000000" w:themeColor="text1"/>
      <w:szCs w:val="20"/>
      <w:lang w:eastAsia="ja-JP"/>
    </w:rPr>
  </w:style>
  <w:style w:type="character" w:styleId="Hyperlink">
    <w:name w:val="Hyperlink"/>
    <w:basedOn w:val="DefaultParagraphFont"/>
    <w:uiPriority w:val="99"/>
    <w:unhideWhenUsed/>
    <w:rsid w:val="00E167E7"/>
    <w:rPr>
      <w:color w:val="0000FF" w:themeColor="hyperlink"/>
      <w:u w:val="single"/>
    </w:rPr>
  </w:style>
  <w:style w:type="paragraph" w:styleId="ListParagraph">
    <w:name w:val="List Paragraph"/>
    <w:basedOn w:val="Normal"/>
    <w:uiPriority w:val="34"/>
    <w:qFormat/>
    <w:rsid w:val="006C25BD"/>
    <w:pPr>
      <w:ind w:left="720"/>
      <w:contextualSpacing/>
    </w:pPr>
  </w:style>
  <w:style w:type="paragraph" w:styleId="Quote">
    <w:name w:val="Quote"/>
    <w:basedOn w:val="Normal"/>
    <w:next w:val="Normal"/>
    <w:link w:val="QuoteChar"/>
    <w:uiPriority w:val="29"/>
    <w:qFormat/>
    <w:rsid w:val="008F0D0E"/>
    <w:rPr>
      <w:i/>
      <w:iCs/>
      <w:color w:val="000000" w:themeColor="text1"/>
    </w:rPr>
  </w:style>
  <w:style w:type="character" w:customStyle="1" w:styleId="QuoteChar">
    <w:name w:val="Quote Char"/>
    <w:basedOn w:val="DefaultParagraphFont"/>
    <w:link w:val="Quote"/>
    <w:uiPriority w:val="29"/>
    <w:rsid w:val="008F0D0E"/>
    <w:rPr>
      <w:i/>
      <w:iCs/>
      <w:color w:val="000000" w:themeColor="text1"/>
    </w:rPr>
  </w:style>
  <w:style w:type="character" w:styleId="PlaceholderText">
    <w:name w:val="Placeholder Text"/>
    <w:basedOn w:val="DefaultParagraphFont"/>
    <w:uiPriority w:val="99"/>
    <w:semiHidden/>
    <w:rsid w:val="00713750"/>
    <w:rPr>
      <w:color w:val="808080"/>
    </w:rPr>
  </w:style>
  <w:style w:type="character" w:styleId="FollowedHyperlink">
    <w:name w:val="FollowedHyperlink"/>
    <w:basedOn w:val="DefaultParagraphFont"/>
    <w:uiPriority w:val="99"/>
    <w:semiHidden/>
    <w:unhideWhenUsed/>
    <w:rsid w:val="008D6A21"/>
    <w:rPr>
      <w:color w:val="800080" w:themeColor="followedHyperlink"/>
      <w:u w:val="single"/>
    </w:rPr>
  </w:style>
  <w:style w:type="character" w:styleId="Strong">
    <w:name w:val="Strong"/>
    <w:basedOn w:val="DefaultParagraphFont"/>
    <w:uiPriority w:val="22"/>
    <w:qFormat/>
    <w:rsid w:val="00E67EE6"/>
    <w:rPr>
      <w:b/>
      <w:bCs/>
    </w:rPr>
  </w:style>
  <w:style w:type="character" w:styleId="Emphasis">
    <w:name w:val="Emphasis"/>
    <w:basedOn w:val="DefaultParagraphFont"/>
    <w:uiPriority w:val="20"/>
    <w:qFormat/>
    <w:rsid w:val="00E67EE6"/>
    <w:rPr>
      <w:i/>
      <w:iCs/>
    </w:rPr>
  </w:style>
  <w:style w:type="paragraph" w:styleId="FootnoteText">
    <w:name w:val="footnote text"/>
    <w:basedOn w:val="Normal"/>
    <w:link w:val="FootnoteTextChar"/>
    <w:uiPriority w:val="99"/>
    <w:unhideWhenUsed/>
    <w:rsid w:val="00E67EE6"/>
    <w:pPr>
      <w:spacing w:after="0" w:line="240" w:lineRule="auto"/>
    </w:pPr>
    <w:rPr>
      <w:sz w:val="20"/>
      <w:szCs w:val="20"/>
    </w:rPr>
  </w:style>
  <w:style w:type="character" w:customStyle="1" w:styleId="FootnoteTextChar">
    <w:name w:val="Footnote Text Char"/>
    <w:basedOn w:val="DefaultParagraphFont"/>
    <w:link w:val="FootnoteText"/>
    <w:uiPriority w:val="99"/>
    <w:rsid w:val="00E67EE6"/>
    <w:rPr>
      <w:sz w:val="20"/>
      <w:szCs w:val="20"/>
    </w:rPr>
  </w:style>
  <w:style w:type="character" w:styleId="FootnoteReference">
    <w:name w:val="footnote reference"/>
    <w:basedOn w:val="DefaultParagraphFont"/>
    <w:uiPriority w:val="99"/>
    <w:semiHidden/>
    <w:unhideWhenUsed/>
    <w:rsid w:val="00E67EE6"/>
    <w:rPr>
      <w:vertAlign w:val="superscript"/>
    </w:rPr>
  </w:style>
  <w:style w:type="paragraph" w:styleId="NormalWeb">
    <w:name w:val="Normal (Web)"/>
    <w:basedOn w:val="Normal"/>
    <w:uiPriority w:val="99"/>
    <w:unhideWhenUsed/>
    <w:rsid w:val="00E67EE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B53F3"/>
    <w:rPr>
      <w:sz w:val="16"/>
      <w:szCs w:val="16"/>
    </w:rPr>
  </w:style>
  <w:style w:type="paragraph" w:styleId="CommentText">
    <w:name w:val="annotation text"/>
    <w:basedOn w:val="Normal"/>
    <w:link w:val="CommentTextChar"/>
    <w:uiPriority w:val="99"/>
    <w:semiHidden/>
    <w:unhideWhenUsed/>
    <w:rsid w:val="008B53F3"/>
    <w:pPr>
      <w:spacing w:line="240" w:lineRule="auto"/>
    </w:pPr>
    <w:rPr>
      <w:sz w:val="20"/>
      <w:szCs w:val="20"/>
    </w:rPr>
  </w:style>
  <w:style w:type="character" w:customStyle="1" w:styleId="CommentTextChar">
    <w:name w:val="Comment Text Char"/>
    <w:basedOn w:val="DefaultParagraphFont"/>
    <w:link w:val="CommentText"/>
    <w:uiPriority w:val="99"/>
    <w:semiHidden/>
    <w:rsid w:val="008B53F3"/>
    <w:rPr>
      <w:sz w:val="20"/>
      <w:szCs w:val="20"/>
    </w:rPr>
  </w:style>
  <w:style w:type="paragraph" w:styleId="CommentSubject">
    <w:name w:val="annotation subject"/>
    <w:basedOn w:val="CommentText"/>
    <w:next w:val="CommentText"/>
    <w:link w:val="CommentSubjectChar"/>
    <w:uiPriority w:val="99"/>
    <w:semiHidden/>
    <w:unhideWhenUsed/>
    <w:rsid w:val="008B53F3"/>
    <w:rPr>
      <w:b/>
      <w:bCs/>
    </w:rPr>
  </w:style>
  <w:style w:type="character" w:customStyle="1" w:styleId="CommentSubjectChar">
    <w:name w:val="Comment Subject Char"/>
    <w:basedOn w:val="CommentTextChar"/>
    <w:link w:val="CommentSubject"/>
    <w:uiPriority w:val="99"/>
    <w:semiHidden/>
    <w:rsid w:val="008B53F3"/>
    <w:rPr>
      <w:b/>
      <w:bCs/>
      <w:sz w:val="20"/>
      <w:szCs w:val="20"/>
    </w:rPr>
  </w:style>
  <w:style w:type="paragraph" w:customStyle="1" w:styleId="ExecOffice">
    <w:name w:val="Exec Office"/>
    <w:basedOn w:val="Normal"/>
    <w:rsid w:val="00301D23"/>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301D23"/>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301D23"/>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DC3"/>
  </w:style>
  <w:style w:type="paragraph" w:styleId="Footer">
    <w:name w:val="footer"/>
    <w:basedOn w:val="Normal"/>
    <w:link w:val="FooterChar"/>
    <w:uiPriority w:val="99"/>
    <w:unhideWhenUsed/>
    <w:rsid w:val="00945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DC3"/>
  </w:style>
  <w:style w:type="paragraph" w:styleId="BalloonText">
    <w:name w:val="Balloon Text"/>
    <w:basedOn w:val="Normal"/>
    <w:link w:val="BalloonTextChar"/>
    <w:uiPriority w:val="99"/>
    <w:semiHidden/>
    <w:unhideWhenUsed/>
    <w:rsid w:val="0094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DC3"/>
    <w:rPr>
      <w:rFonts w:ascii="Tahoma" w:hAnsi="Tahoma" w:cs="Tahoma"/>
      <w:sz w:val="16"/>
      <w:szCs w:val="16"/>
    </w:rPr>
  </w:style>
  <w:style w:type="paragraph" w:styleId="NoSpacing">
    <w:name w:val="No Spacing"/>
    <w:basedOn w:val="Normal"/>
    <w:uiPriority w:val="1"/>
    <w:qFormat/>
    <w:rsid w:val="00E167E7"/>
    <w:pPr>
      <w:spacing w:after="0" w:line="240" w:lineRule="auto"/>
    </w:pPr>
    <w:rPr>
      <w:rFonts w:cs="Times New Roman"/>
      <w:color w:val="000000" w:themeColor="text1"/>
      <w:szCs w:val="20"/>
      <w:lang w:eastAsia="ja-JP"/>
    </w:rPr>
  </w:style>
  <w:style w:type="character" w:styleId="Hyperlink">
    <w:name w:val="Hyperlink"/>
    <w:basedOn w:val="DefaultParagraphFont"/>
    <w:uiPriority w:val="99"/>
    <w:unhideWhenUsed/>
    <w:rsid w:val="00E167E7"/>
    <w:rPr>
      <w:color w:val="0000FF" w:themeColor="hyperlink"/>
      <w:u w:val="single"/>
    </w:rPr>
  </w:style>
  <w:style w:type="paragraph" w:styleId="ListParagraph">
    <w:name w:val="List Paragraph"/>
    <w:basedOn w:val="Normal"/>
    <w:uiPriority w:val="34"/>
    <w:qFormat/>
    <w:rsid w:val="006C25BD"/>
    <w:pPr>
      <w:ind w:left="720"/>
      <w:contextualSpacing/>
    </w:pPr>
  </w:style>
  <w:style w:type="paragraph" w:styleId="Quote">
    <w:name w:val="Quote"/>
    <w:basedOn w:val="Normal"/>
    <w:next w:val="Normal"/>
    <w:link w:val="QuoteChar"/>
    <w:uiPriority w:val="29"/>
    <w:qFormat/>
    <w:rsid w:val="008F0D0E"/>
    <w:rPr>
      <w:i/>
      <w:iCs/>
      <w:color w:val="000000" w:themeColor="text1"/>
    </w:rPr>
  </w:style>
  <w:style w:type="character" w:customStyle="1" w:styleId="QuoteChar">
    <w:name w:val="Quote Char"/>
    <w:basedOn w:val="DefaultParagraphFont"/>
    <w:link w:val="Quote"/>
    <w:uiPriority w:val="29"/>
    <w:rsid w:val="008F0D0E"/>
    <w:rPr>
      <w:i/>
      <w:iCs/>
      <w:color w:val="000000" w:themeColor="text1"/>
    </w:rPr>
  </w:style>
  <w:style w:type="character" w:styleId="PlaceholderText">
    <w:name w:val="Placeholder Text"/>
    <w:basedOn w:val="DefaultParagraphFont"/>
    <w:uiPriority w:val="99"/>
    <w:semiHidden/>
    <w:rsid w:val="00713750"/>
    <w:rPr>
      <w:color w:val="808080"/>
    </w:rPr>
  </w:style>
  <w:style w:type="character" w:styleId="FollowedHyperlink">
    <w:name w:val="FollowedHyperlink"/>
    <w:basedOn w:val="DefaultParagraphFont"/>
    <w:uiPriority w:val="99"/>
    <w:semiHidden/>
    <w:unhideWhenUsed/>
    <w:rsid w:val="008D6A21"/>
    <w:rPr>
      <w:color w:val="800080" w:themeColor="followedHyperlink"/>
      <w:u w:val="single"/>
    </w:rPr>
  </w:style>
  <w:style w:type="character" w:styleId="Strong">
    <w:name w:val="Strong"/>
    <w:basedOn w:val="DefaultParagraphFont"/>
    <w:uiPriority w:val="22"/>
    <w:qFormat/>
    <w:rsid w:val="00E67EE6"/>
    <w:rPr>
      <w:b/>
      <w:bCs/>
    </w:rPr>
  </w:style>
  <w:style w:type="character" w:styleId="Emphasis">
    <w:name w:val="Emphasis"/>
    <w:basedOn w:val="DefaultParagraphFont"/>
    <w:uiPriority w:val="20"/>
    <w:qFormat/>
    <w:rsid w:val="00E67EE6"/>
    <w:rPr>
      <w:i/>
      <w:iCs/>
    </w:rPr>
  </w:style>
  <w:style w:type="paragraph" w:styleId="FootnoteText">
    <w:name w:val="footnote text"/>
    <w:basedOn w:val="Normal"/>
    <w:link w:val="FootnoteTextChar"/>
    <w:uiPriority w:val="99"/>
    <w:unhideWhenUsed/>
    <w:rsid w:val="00E67EE6"/>
    <w:pPr>
      <w:spacing w:after="0" w:line="240" w:lineRule="auto"/>
    </w:pPr>
    <w:rPr>
      <w:sz w:val="20"/>
      <w:szCs w:val="20"/>
    </w:rPr>
  </w:style>
  <w:style w:type="character" w:customStyle="1" w:styleId="FootnoteTextChar">
    <w:name w:val="Footnote Text Char"/>
    <w:basedOn w:val="DefaultParagraphFont"/>
    <w:link w:val="FootnoteText"/>
    <w:uiPriority w:val="99"/>
    <w:rsid w:val="00E67EE6"/>
    <w:rPr>
      <w:sz w:val="20"/>
      <w:szCs w:val="20"/>
    </w:rPr>
  </w:style>
  <w:style w:type="character" w:styleId="FootnoteReference">
    <w:name w:val="footnote reference"/>
    <w:basedOn w:val="DefaultParagraphFont"/>
    <w:uiPriority w:val="99"/>
    <w:semiHidden/>
    <w:unhideWhenUsed/>
    <w:rsid w:val="00E67EE6"/>
    <w:rPr>
      <w:vertAlign w:val="superscript"/>
    </w:rPr>
  </w:style>
  <w:style w:type="paragraph" w:styleId="NormalWeb">
    <w:name w:val="Normal (Web)"/>
    <w:basedOn w:val="Normal"/>
    <w:uiPriority w:val="99"/>
    <w:unhideWhenUsed/>
    <w:rsid w:val="00E67EE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B53F3"/>
    <w:rPr>
      <w:sz w:val="16"/>
      <w:szCs w:val="16"/>
    </w:rPr>
  </w:style>
  <w:style w:type="paragraph" w:styleId="CommentText">
    <w:name w:val="annotation text"/>
    <w:basedOn w:val="Normal"/>
    <w:link w:val="CommentTextChar"/>
    <w:uiPriority w:val="99"/>
    <w:semiHidden/>
    <w:unhideWhenUsed/>
    <w:rsid w:val="008B53F3"/>
    <w:pPr>
      <w:spacing w:line="240" w:lineRule="auto"/>
    </w:pPr>
    <w:rPr>
      <w:sz w:val="20"/>
      <w:szCs w:val="20"/>
    </w:rPr>
  </w:style>
  <w:style w:type="character" w:customStyle="1" w:styleId="CommentTextChar">
    <w:name w:val="Comment Text Char"/>
    <w:basedOn w:val="DefaultParagraphFont"/>
    <w:link w:val="CommentText"/>
    <w:uiPriority w:val="99"/>
    <w:semiHidden/>
    <w:rsid w:val="008B53F3"/>
    <w:rPr>
      <w:sz w:val="20"/>
      <w:szCs w:val="20"/>
    </w:rPr>
  </w:style>
  <w:style w:type="paragraph" w:styleId="CommentSubject">
    <w:name w:val="annotation subject"/>
    <w:basedOn w:val="CommentText"/>
    <w:next w:val="CommentText"/>
    <w:link w:val="CommentSubjectChar"/>
    <w:uiPriority w:val="99"/>
    <w:semiHidden/>
    <w:unhideWhenUsed/>
    <w:rsid w:val="008B53F3"/>
    <w:rPr>
      <w:b/>
      <w:bCs/>
    </w:rPr>
  </w:style>
  <w:style w:type="character" w:customStyle="1" w:styleId="CommentSubjectChar">
    <w:name w:val="Comment Subject Char"/>
    <w:basedOn w:val="CommentTextChar"/>
    <w:link w:val="CommentSubject"/>
    <w:uiPriority w:val="99"/>
    <w:semiHidden/>
    <w:rsid w:val="008B53F3"/>
    <w:rPr>
      <w:b/>
      <w:bCs/>
      <w:sz w:val="20"/>
      <w:szCs w:val="20"/>
    </w:rPr>
  </w:style>
  <w:style w:type="paragraph" w:customStyle="1" w:styleId="ExecOffice">
    <w:name w:val="Exec Office"/>
    <w:basedOn w:val="Normal"/>
    <w:rsid w:val="00301D23"/>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301D23"/>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301D23"/>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39170">
      <w:bodyDiv w:val="1"/>
      <w:marLeft w:val="0"/>
      <w:marRight w:val="0"/>
      <w:marTop w:val="0"/>
      <w:marBottom w:val="0"/>
      <w:divBdr>
        <w:top w:val="none" w:sz="0" w:space="0" w:color="auto"/>
        <w:left w:val="none" w:sz="0" w:space="0" w:color="auto"/>
        <w:bottom w:val="none" w:sz="0" w:space="0" w:color="auto"/>
        <w:right w:val="none" w:sz="0" w:space="0" w:color="auto"/>
      </w:divBdr>
    </w:div>
    <w:div w:id="661546065">
      <w:bodyDiv w:val="1"/>
      <w:marLeft w:val="0"/>
      <w:marRight w:val="0"/>
      <w:marTop w:val="0"/>
      <w:marBottom w:val="0"/>
      <w:divBdr>
        <w:top w:val="none" w:sz="0" w:space="0" w:color="auto"/>
        <w:left w:val="none" w:sz="0" w:space="0" w:color="auto"/>
        <w:bottom w:val="none" w:sz="0" w:space="0" w:color="auto"/>
        <w:right w:val="none" w:sz="0" w:space="0" w:color="auto"/>
      </w:divBdr>
    </w:div>
    <w:div w:id="869073234">
      <w:bodyDiv w:val="1"/>
      <w:marLeft w:val="0"/>
      <w:marRight w:val="0"/>
      <w:marTop w:val="0"/>
      <w:marBottom w:val="0"/>
      <w:divBdr>
        <w:top w:val="none" w:sz="0" w:space="0" w:color="auto"/>
        <w:left w:val="none" w:sz="0" w:space="0" w:color="auto"/>
        <w:bottom w:val="none" w:sz="0" w:space="0" w:color="auto"/>
        <w:right w:val="none" w:sz="0" w:space="0" w:color="auto"/>
      </w:divBdr>
    </w:div>
    <w:div w:id="1423259661">
      <w:bodyDiv w:val="1"/>
      <w:marLeft w:val="0"/>
      <w:marRight w:val="0"/>
      <w:marTop w:val="0"/>
      <w:marBottom w:val="0"/>
      <w:divBdr>
        <w:top w:val="none" w:sz="0" w:space="0" w:color="auto"/>
        <w:left w:val="none" w:sz="0" w:space="0" w:color="auto"/>
        <w:bottom w:val="none" w:sz="0" w:space="0" w:color="auto"/>
        <w:right w:val="none" w:sz="0" w:space="0" w:color="auto"/>
      </w:divBdr>
    </w:div>
    <w:div w:id="1580208318">
      <w:bodyDiv w:val="1"/>
      <w:marLeft w:val="0"/>
      <w:marRight w:val="0"/>
      <w:marTop w:val="0"/>
      <w:marBottom w:val="0"/>
      <w:divBdr>
        <w:top w:val="none" w:sz="0" w:space="0" w:color="auto"/>
        <w:left w:val="none" w:sz="0" w:space="0" w:color="auto"/>
        <w:bottom w:val="none" w:sz="0" w:space="0" w:color="auto"/>
        <w:right w:val="none" w:sz="0" w:space="0" w:color="auto"/>
      </w:divBdr>
    </w:div>
    <w:div w:id="187684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2.emf"/>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emf"/>
</Relationships>

</file>

<file path=word/_rels/footnotes.xml.rels><?xml version="1.0" encoding="UTF-8"?>

<Relationships xmlns="http://schemas.openxmlformats.org/package/2006/relationships">
  <Relationship Id="rId1" Type="http://schemas.openxmlformats.org/officeDocument/2006/relationships/hyperlink" TargetMode="External" Target="http://www.mass.gov/eohhs/gov/departments/dph/programs/environmental-health/exposure-topics/radiation/environmental-monitoring.html"/>
  <Relationship Id="rId2" Type="http://schemas.openxmlformats.org/officeDocument/2006/relationships/hyperlink" TargetMode="External" Target="http://www.mass.gov/eohhs/gov/departments/dph/programs/environmental-health/exposure-topics/radiation/environmental-monitoring.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8CD0-3E4A-4041-B169-EE73CF0A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Tritium in Groundwater and Surface Water at Pilgrim Nuclear Power Station (PNPS) in Plymouth, MA.</vt:lpstr>
    </vt:vector>
  </TitlesOfParts>
  <Manager>MDPH/BEH</Manager>
  <Company>EOHHS</Company>
  <LinksUpToDate>false</LinksUpToDate>
  <CharactersWithSpaces>6792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2016-11-14T18:30:00Z</dcterms:created>
  <dc:creator>Toxicology Program</dc:creator>
  <keywords>investigation ,levels, tritium, groundwater,surface water , Pilgrim Nuclear Power Station (PNPS) in Plymouth, MA.</keywords>
  <lastModifiedBy>Elizabeth Erdman</lastModifiedBy>
  <lastPrinted>2016-11-16T16:30:00Z</lastPrinted>
  <dcterms:modified xsi:type="dcterms:W3CDTF">2016-11-16T16:39:00Z</dcterms:modified>
  <revision>5</revision>
  <dc:subject>describes the results of an on-going investigation of levels of tritium in groundwater andsurface water at Pilgrim Nuclear Power Station (PNPS) in Plymouth, MA.</dc:subject>
  <dc:title>Tritium in Groundwater and Surface Water at Pilgrim Nuclear Power Station (PNPS) in Plymouth, MA.</dc:title>
</coreProperties>
</file>