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19" w:rsidRDefault="00685C19" w:rsidP="00685C19">
      <w:pPr>
        <w:framePr w:w="6926" w:hSpace="187" w:wrap="notBeside" w:vAnchor="page" w:hAnchor="page" w:x="2884" w:y="711"/>
        <w:spacing w:after="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t>Department of Public Health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t>Bureau of Environmental Health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t xml:space="preserve">250 Washington Street, Boston, MA 02108-4619 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255CA" wp14:editId="08E1E374">
                <wp:simplePos x="0" y="0"/>
                <wp:positionH relativeFrom="margin">
                  <wp:posOffset>5372100</wp:posOffset>
                </wp:positionH>
                <wp:positionV relativeFrom="margin">
                  <wp:posOffset>1114425</wp:posOffset>
                </wp:positionV>
                <wp:extent cx="1733550" cy="1571625"/>
                <wp:effectExtent l="0" t="0" r="0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C19" w:rsidRDefault="00685C19" w:rsidP="00685C1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85C19" w:rsidRPr="003A7AFC" w:rsidRDefault="00685C19" w:rsidP="00685C19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685C19" w:rsidRDefault="00685C19" w:rsidP="00685C19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685C19" w:rsidRDefault="00685C19" w:rsidP="00685C19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685C19" w:rsidRPr="004813AC" w:rsidRDefault="00685C19" w:rsidP="00685C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685C19" w:rsidRPr="004813AC" w:rsidRDefault="00685C19" w:rsidP="00685C1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685C19" w:rsidRPr="00FC6B42" w:rsidRDefault="00685C19" w:rsidP="00685C1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pt;margin-top:87.75pt;width:136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" stroked="f">
                <v:textbox>
                  <w:txbxContent>
                    <w:p w:rsidR="00685C19" w:rsidRDefault="00685C19" w:rsidP="00685C1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85C19" w:rsidRPr="003A7AFC" w:rsidRDefault="00685C19" w:rsidP="00685C19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685C19" w:rsidRDefault="00685C19" w:rsidP="00685C19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685C19" w:rsidRDefault="00685C19" w:rsidP="00685C19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685C19" w:rsidRPr="004813AC" w:rsidRDefault="00685C19" w:rsidP="00685C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685C19" w:rsidRPr="004813AC" w:rsidRDefault="00685C19" w:rsidP="00685C1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685C19" w:rsidRPr="00FC6B42" w:rsidRDefault="00685C19" w:rsidP="00685C1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Phone: 617-624-5757   Fax: 617-624-5777</w:t>
      </w:r>
    </w:p>
    <w:p w:rsidR="00685C19" w:rsidRDefault="00685C19" w:rsidP="00685C19">
      <w:pPr>
        <w:pStyle w:val="ExecOffice"/>
        <w:framePr w:w="6926" w:wrap="notBeside" w:vAnchor="page" w:x="2884" w:y="711"/>
      </w:pPr>
      <w:r>
        <w:t>TTY: 617-624-5286</w:t>
      </w:r>
    </w:p>
    <w:p w:rsidR="00685C19" w:rsidRDefault="00685C19" w:rsidP="00685C19">
      <w:pPr>
        <w:framePr w:w="1927" w:hSpace="180" w:wrap="auto" w:vAnchor="text" w:hAnchor="page" w:x="616" w:y="-89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871C813" wp14:editId="60153247">
            <wp:extent cx="962025" cy="1152525"/>
            <wp:effectExtent l="0" t="0" r="9525" b="9525"/>
            <wp:docPr id="1" name="Picture 1" title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19" w:rsidRDefault="00685C19" w:rsidP="00685C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-248920</wp:posOffset>
                </wp:positionH>
                <wp:positionV relativeFrom="margin">
                  <wp:posOffset>1168400</wp:posOffset>
                </wp:positionV>
                <wp:extent cx="1572895" cy="802005"/>
                <wp:effectExtent l="0" t="0" r="825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C19" w:rsidRDefault="00685C19" w:rsidP="00685C1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85C19" w:rsidRDefault="00685C19" w:rsidP="00685C1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685C19" w:rsidRDefault="00685C19" w:rsidP="00685C19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685C19" w:rsidRDefault="00685C19" w:rsidP="00685C1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685C19" w:rsidRDefault="00685C19" w:rsidP="00685C19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9.6pt;margin-top:92pt;width:123.85pt;height:63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" stroked="f">
                <v:textbox style="mso-fit-shape-to-text:t">
                  <w:txbxContent>
                    <w:p w:rsidR="00685C19" w:rsidRDefault="00685C19" w:rsidP="00685C1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85C19" w:rsidRDefault="00685C19" w:rsidP="00685C1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685C19" w:rsidRDefault="00685C19" w:rsidP="00685C19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685C19" w:rsidRDefault="00685C19" w:rsidP="00685C1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685C19" w:rsidRDefault="00685C19" w:rsidP="00685C19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85C19" w:rsidRDefault="00685C19" w:rsidP="009556BF">
      <w:pPr>
        <w:spacing w:after="0" w:line="360" w:lineRule="auto"/>
        <w:rPr>
          <w:rFonts w:cs="Tahoma"/>
          <w:b/>
          <w:sz w:val="28"/>
          <w:szCs w:val="28"/>
        </w:rPr>
      </w:pPr>
    </w:p>
    <w:p w:rsidR="008E4C57" w:rsidRPr="004326C4" w:rsidRDefault="00415B88" w:rsidP="009556BF">
      <w:pPr>
        <w:spacing w:after="0" w:line="360" w:lineRule="auto"/>
        <w:rPr>
          <w:rFonts w:cs="Tahoma"/>
          <w:b/>
          <w:sz w:val="28"/>
          <w:szCs w:val="28"/>
        </w:rPr>
      </w:pPr>
      <w:r w:rsidRPr="004326C4">
        <w:rPr>
          <w:rFonts w:cs="Tahoma"/>
          <w:b/>
          <w:sz w:val="28"/>
          <w:szCs w:val="28"/>
        </w:rPr>
        <w:t>MEMORAN</w:t>
      </w:r>
      <w:r w:rsidR="008E4C57" w:rsidRPr="004326C4">
        <w:rPr>
          <w:rFonts w:cs="Tahoma"/>
          <w:b/>
          <w:sz w:val="28"/>
          <w:szCs w:val="28"/>
        </w:rPr>
        <w:t>DUM</w:t>
      </w:r>
    </w:p>
    <w:p w:rsidR="00BA5E8F" w:rsidRPr="004326C4" w:rsidRDefault="00B8797F" w:rsidP="00FF79E2">
      <w:pPr>
        <w:spacing w:after="0" w:line="240" w:lineRule="auto"/>
        <w:rPr>
          <w:rFonts w:cs="Tahoma"/>
          <w:b/>
          <w:sz w:val="24"/>
          <w:szCs w:val="24"/>
        </w:rPr>
      </w:pPr>
      <w:r w:rsidRPr="004326C4">
        <w:rPr>
          <w:rFonts w:cs="Tahoma"/>
          <w:b/>
          <w:sz w:val="24"/>
          <w:szCs w:val="24"/>
        </w:rPr>
        <w:t>T</w:t>
      </w:r>
      <w:r w:rsidR="00730775" w:rsidRPr="004326C4">
        <w:rPr>
          <w:rFonts w:cs="Tahoma"/>
          <w:b/>
          <w:sz w:val="24"/>
          <w:szCs w:val="24"/>
        </w:rPr>
        <w:t xml:space="preserve">O:  </w:t>
      </w:r>
      <w:r w:rsidRPr="004326C4">
        <w:rPr>
          <w:rFonts w:cs="Tahoma"/>
          <w:b/>
          <w:sz w:val="24"/>
          <w:szCs w:val="24"/>
        </w:rPr>
        <w:tab/>
      </w:r>
      <w:r w:rsidR="00415B88" w:rsidRPr="004326C4">
        <w:rPr>
          <w:rFonts w:cs="Tahoma"/>
          <w:b/>
          <w:sz w:val="24"/>
          <w:szCs w:val="24"/>
        </w:rPr>
        <w:tab/>
      </w:r>
      <w:r w:rsidR="006612D8" w:rsidRPr="004326C4">
        <w:rPr>
          <w:rFonts w:cs="Tahoma"/>
          <w:sz w:val="24"/>
          <w:szCs w:val="24"/>
        </w:rPr>
        <w:t>Radiation Control Program</w:t>
      </w:r>
      <w:r w:rsidR="00C3724A" w:rsidRPr="004326C4">
        <w:rPr>
          <w:rFonts w:cs="Tahoma"/>
          <w:b/>
          <w:sz w:val="24"/>
          <w:szCs w:val="24"/>
        </w:rPr>
        <w:tab/>
      </w:r>
      <w:r w:rsidR="00C3724A" w:rsidRPr="004326C4">
        <w:rPr>
          <w:rFonts w:cs="Tahoma"/>
          <w:b/>
          <w:sz w:val="24"/>
          <w:szCs w:val="24"/>
        </w:rPr>
        <w:tab/>
      </w:r>
    </w:p>
    <w:p w:rsidR="00BA5E8F" w:rsidRPr="004326C4" w:rsidRDefault="00A523C2" w:rsidP="00FF79E2">
      <w:pPr>
        <w:spacing w:after="0" w:line="240" w:lineRule="auto"/>
        <w:rPr>
          <w:rFonts w:cs="Tahoma"/>
          <w:b/>
          <w:sz w:val="24"/>
          <w:szCs w:val="24"/>
        </w:rPr>
      </w:pPr>
      <w:r w:rsidRPr="004326C4">
        <w:rPr>
          <w:rFonts w:cs="Tahoma"/>
          <w:b/>
          <w:sz w:val="24"/>
          <w:szCs w:val="24"/>
        </w:rPr>
        <w:t>FROM:</w:t>
      </w:r>
      <w:r w:rsidRPr="004326C4">
        <w:rPr>
          <w:rFonts w:cs="Tahoma"/>
          <w:b/>
          <w:sz w:val="24"/>
          <w:szCs w:val="24"/>
        </w:rPr>
        <w:tab/>
      </w:r>
      <w:r w:rsidR="004E331D" w:rsidRPr="004326C4">
        <w:rPr>
          <w:rFonts w:cs="Tahoma"/>
          <w:b/>
          <w:sz w:val="24"/>
          <w:szCs w:val="24"/>
        </w:rPr>
        <w:tab/>
      </w:r>
      <w:r w:rsidR="006612D8" w:rsidRPr="004326C4">
        <w:rPr>
          <w:rFonts w:cs="Tahoma"/>
          <w:sz w:val="24"/>
          <w:szCs w:val="24"/>
        </w:rPr>
        <w:t>Environmental Toxicology Program</w:t>
      </w:r>
    </w:p>
    <w:p w:rsidR="00A523C2" w:rsidRPr="004326C4" w:rsidRDefault="009849A2" w:rsidP="00FF79E2">
      <w:pPr>
        <w:spacing w:after="0" w:line="240" w:lineRule="auto"/>
        <w:rPr>
          <w:rFonts w:cs="Tahoma"/>
          <w:b/>
          <w:sz w:val="24"/>
          <w:szCs w:val="24"/>
        </w:rPr>
      </w:pPr>
      <w:r w:rsidRPr="004326C4">
        <w:rPr>
          <w:rFonts w:cs="Tahoma"/>
          <w:b/>
          <w:sz w:val="24"/>
          <w:szCs w:val="24"/>
        </w:rPr>
        <w:t>THRU:</w:t>
      </w:r>
      <w:r w:rsidR="008D58BE" w:rsidRPr="004326C4">
        <w:rPr>
          <w:rFonts w:cs="Tahoma"/>
          <w:b/>
          <w:sz w:val="24"/>
          <w:szCs w:val="24"/>
        </w:rPr>
        <w:tab/>
      </w:r>
      <w:r w:rsidR="0085226F" w:rsidRPr="004326C4">
        <w:rPr>
          <w:rFonts w:cs="Tahoma"/>
          <w:b/>
          <w:sz w:val="24"/>
          <w:szCs w:val="24"/>
        </w:rPr>
        <w:tab/>
      </w:r>
      <w:r w:rsidR="00FF79E2" w:rsidRPr="004326C4">
        <w:rPr>
          <w:rFonts w:cs="Tahoma"/>
          <w:sz w:val="24"/>
          <w:szCs w:val="24"/>
        </w:rPr>
        <w:t>BEH Director;</w:t>
      </w:r>
      <w:r w:rsidR="006612D8" w:rsidRPr="004326C4">
        <w:rPr>
          <w:rFonts w:cs="Tahoma"/>
          <w:sz w:val="24"/>
          <w:szCs w:val="24"/>
        </w:rPr>
        <w:t xml:space="preserve"> BEH Deputy Director</w:t>
      </w:r>
    </w:p>
    <w:p w:rsidR="007352FC" w:rsidRPr="004326C4" w:rsidRDefault="00F514A1" w:rsidP="00FF79E2">
      <w:pPr>
        <w:spacing w:after="0" w:line="240" w:lineRule="auto"/>
        <w:rPr>
          <w:rFonts w:cs="Tahoma"/>
          <w:b/>
          <w:sz w:val="24"/>
          <w:szCs w:val="24"/>
        </w:rPr>
      </w:pPr>
      <w:r w:rsidRPr="004326C4">
        <w:rPr>
          <w:rFonts w:cs="Tahoma"/>
          <w:b/>
          <w:sz w:val="24"/>
          <w:szCs w:val="24"/>
        </w:rPr>
        <w:t>DATE:</w:t>
      </w:r>
      <w:r w:rsidR="007352FC" w:rsidRPr="004326C4">
        <w:rPr>
          <w:rFonts w:cs="Tahoma"/>
          <w:b/>
          <w:sz w:val="24"/>
          <w:szCs w:val="24"/>
        </w:rPr>
        <w:tab/>
      </w:r>
      <w:r w:rsidR="007352FC" w:rsidRPr="004326C4">
        <w:rPr>
          <w:rFonts w:cs="Tahoma"/>
          <w:b/>
          <w:sz w:val="24"/>
          <w:szCs w:val="24"/>
        </w:rPr>
        <w:tab/>
      </w:r>
      <w:r w:rsidR="00C3724A" w:rsidRPr="004326C4">
        <w:rPr>
          <w:rFonts w:cs="Tahoma"/>
          <w:sz w:val="24"/>
          <w:szCs w:val="24"/>
        </w:rPr>
        <w:t>10/</w:t>
      </w:r>
      <w:r w:rsidR="004326C4" w:rsidRPr="004326C4">
        <w:rPr>
          <w:rFonts w:cs="Tahoma"/>
          <w:sz w:val="24"/>
          <w:szCs w:val="24"/>
        </w:rPr>
        <w:t>26</w:t>
      </w:r>
      <w:r w:rsidR="00C3724A" w:rsidRPr="004326C4">
        <w:rPr>
          <w:rFonts w:cs="Tahoma"/>
          <w:sz w:val="24"/>
          <w:szCs w:val="24"/>
        </w:rPr>
        <w:t>/15</w:t>
      </w:r>
      <w:r w:rsidRPr="004326C4">
        <w:rPr>
          <w:rFonts w:cs="Tahoma"/>
          <w:b/>
          <w:sz w:val="24"/>
          <w:szCs w:val="24"/>
        </w:rPr>
        <w:tab/>
      </w:r>
    </w:p>
    <w:p w:rsidR="00730775" w:rsidRPr="004326C4" w:rsidRDefault="001E513D" w:rsidP="00FF79E2">
      <w:pPr>
        <w:spacing w:after="0" w:line="240" w:lineRule="auto"/>
        <w:rPr>
          <w:rFonts w:cs="Tahoma"/>
          <w:sz w:val="24"/>
          <w:szCs w:val="24"/>
        </w:rPr>
      </w:pPr>
      <w:r w:rsidRPr="004326C4">
        <w:rPr>
          <w:rFonts w:cs="Tahoma"/>
          <w:b/>
          <w:sz w:val="24"/>
          <w:szCs w:val="24"/>
        </w:rPr>
        <w:t>SUBJECT:</w:t>
      </w:r>
      <w:r w:rsidRPr="004326C4">
        <w:rPr>
          <w:rFonts w:cs="Tahoma"/>
          <w:b/>
          <w:sz w:val="24"/>
          <w:szCs w:val="24"/>
        </w:rPr>
        <w:tab/>
      </w:r>
      <w:r w:rsidR="004326C4" w:rsidRPr="004326C4">
        <w:rPr>
          <w:rFonts w:cs="Tahoma"/>
          <w:sz w:val="24"/>
          <w:szCs w:val="24"/>
        </w:rPr>
        <w:t xml:space="preserve">PNPS </w:t>
      </w:r>
      <w:r w:rsidR="00C3724A" w:rsidRPr="004326C4">
        <w:rPr>
          <w:rFonts w:cs="Tahoma"/>
          <w:sz w:val="24"/>
          <w:szCs w:val="24"/>
        </w:rPr>
        <w:t xml:space="preserve">Tritium in Groundwater Investigation </w:t>
      </w:r>
      <w:r w:rsidR="00FF79E2" w:rsidRPr="004326C4">
        <w:rPr>
          <w:rFonts w:cs="Tahoma"/>
          <w:sz w:val="24"/>
          <w:szCs w:val="24"/>
        </w:rPr>
        <w:t>Update</w:t>
      </w:r>
    </w:p>
    <w:p w:rsidR="003C0E40" w:rsidRDefault="004326C4" w:rsidP="00415B88">
      <w:pPr>
        <w:spacing w:after="0" w:line="360" w:lineRule="auto"/>
        <w:rPr>
          <w:rFonts w:cs="Tahoma"/>
        </w:rPr>
      </w:pPr>
      <w:r>
        <w:rPr>
          <w:rFonts w:cs="Tahoma"/>
        </w:rPr>
        <w:t>---</w:t>
      </w:r>
    </w:p>
    <w:p w:rsidR="004326C4" w:rsidRPr="0034727D" w:rsidRDefault="00752DB7" w:rsidP="00FF406D">
      <w:pPr>
        <w:spacing w:after="0" w:line="240" w:lineRule="auto"/>
        <w:rPr>
          <w:b/>
          <w:sz w:val="24"/>
          <w:szCs w:val="24"/>
        </w:rPr>
      </w:pPr>
      <w:r w:rsidRPr="0034727D">
        <w:rPr>
          <w:b/>
          <w:sz w:val="24"/>
          <w:szCs w:val="24"/>
        </w:rPr>
        <w:t>PURPOSE</w:t>
      </w:r>
    </w:p>
    <w:p w:rsidR="00752DB7" w:rsidRPr="0034727D" w:rsidRDefault="00752DB7" w:rsidP="00FF406D">
      <w:pPr>
        <w:spacing w:after="0" w:line="240" w:lineRule="auto"/>
        <w:rPr>
          <w:sz w:val="24"/>
          <w:szCs w:val="24"/>
        </w:rPr>
      </w:pPr>
    </w:p>
    <w:p w:rsidR="004B4BDE" w:rsidRPr="0066210B" w:rsidRDefault="00220C12" w:rsidP="00662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>T</w:t>
      </w:r>
      <w:r w:rsidR="00FF406D" w:rsidRPr="0034727D">
        <w:rPr>
          <w:sz w:val="24"/>
          <w:szCs w:val="24"/>
        </w:rPr>
        <w:t xml:space="preserve">his </w:t>
      </w:r>
      <w:r w:rsidR="004326C4" w:rsidRPr="0034727D">
        <w:rPr>
          <w:sz w:val="24"/>
          <w:szCs w:val="24"/>
        </w:rPr>
        <w:t>document describes the</w:t>
      </w:r>
      <w:r w:rsidR="0034727D">
        <w:rPr>
          <w:sz w:val="24"/>
          <w:szCs w:val="24"/>
        </w:rPr>
        <w:t xml:space="preserve"> results of an on-going</w:t>
      </w:r>
      <w:r w:rsidR="004326C4" w:rsidRPr="0034727D">
        <w:rPr>
          <w:sz w:val="24"/>
          <w:szCs w:val="24"/>
        </w:rPr>
        <w:t xml:space="preserve"> </w:t>
      </w:r>
      <w:r w:rsidR="0034727D">
        <w:rPr>
          <w:sz w:val="24"/>
          <w:szCs w:val="24"/>
        </w:rPr>
        <w:t xml:space="preserve">investigation of levels of tritium in </w:t>
      </w:r>
      <w:r w:rsidR="00FF406D" w:rsidRPr="0034727D">
        <w:rPr>
          <w:sz w:val="24"/>
          <w:szCs w:val="24"/>
        </w:rPr>
        <w:t>groundwat</w:t>
      </w:r>
      <w:r w:rsidR="004326C4" w:rsidRPr="0034727D">
        <w:rPr>
          <w:sz w:val="24"/>
          <w:szCs w:val="24"/>
        </w:rPr>
        <w:t>er and surface water at Pilgrim Nuclear Power Station</w:t>
      </w:r>
      <w:r w:rsidR="00752DB7" w:rsidRPr="0034727D">
        <w:rPr>
          <w:sz w:val="24"/>
          <w:szCs w:val="24"/>
        </w:rPr>
        <w:t xml:space="preserve"> (PNPS)</w:t>
      </w:r>
      <w:r w:rsidR="004326C4" w:rsidRPr="0034727D">
        <w:rPr>
          <w:sz w:val="24"/>
          <w:szCs w:val="24"/>
        </w:rPr>
        <w:t xml:space="preserve"> in Plymouth, MA</w:t>
      </w:r>
      <w:r w:rsidR="00FF406D" w:rsidRPr="0034727D">
        <w:rPr>
          <w:sz w:val="24"/>
          <w:szCs w:val="24"/>
        </w:rPr>
        <w:t xml:space="preserve">.  </w:t>
      </w:r>
    </w:p>
    <w:p w:rsidR="004B4BDE" w:rsidRPr="0066210B" w:rsidRDefault="0034727D" w:rsidP="00662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review of the most recent</w:t>
      </w:r>
      <w:r w:rsidR="00F65844" w:rsidRPr="0034727D">
        <w:rPr>
          <w:sz w:val="24"/>
          <w:szCs w:val="24"/>
        </w:rPr>
        <w:t xml:space="preserve"> results</w:t>
      </w:r>
      <w:r>
        <w:rPr>
          <w:sz w:val="24"/>
          <w:szCs w:val="24"/>
        </w:rPr>
        <w:t xml:space="preserve"> from 2015</w:t>
      </w:r>
      <w:r w:rsidR="009362E4" w:rsidRPr="0034727D">
        <w:rPr>
          <w:sz w:val="24"/>
          <w:szCs w:val="24"/>
        </w:rPr>
        <w:t xml:space="preserve"> indicate a</w:t>
      </w:r>
      <w:r w:rsidR="00FF79E2" w:rsidRPr="0034727D">
        <w:rPr>
          <w:sz w:val="24"/>
          <w:szCs w:val="24"/>
        </w:rPr>
        <w:t xml:space="preserve"> </w:t>
      </w:r>
      <w:r w:rsidR="004326C4" w:rsidRPr="0034727D">
        <w:rPr>
          <w:sz w:val="24"/>
          <w:szCs w:val="24"/>
        </w:rPr>
        <w:t>decrease or stabilization</w:t>
      </w:r>
      <w:r w:rsidR="00FF79E2" w:rsidRPr="0034727D">
        <w:rPr>
          <w:sz w:val="24"/>
          <w:szCs w:val="24"/>
        </w:rPr>
        <w:t xml:space="preserve"> </w:t>
      </w:r>
      <w:r w:rsidR="004326C4" w:rsidRPr="0034727D">
        <w:rPr>
          <w:sz w:val="24"/>
          <w:szCs w:val="24"/>
        </w:rPr>
        <w:t xml:space="preserve">in the level of </w:t>
      </w:r>
      <w:r w:rsidR="009362E4" w:rsidRPr="0034727D">
        <w:rPr>
          <w:sz w:val="24"/>
          <w:szCs w:val="24"/>
        </w:rPr>
        <w:t xml:space="preserve">tritium </w:t>
      </w:r>
      <w:r>
        <w:rPr>
          <w:sz w:val="24"/>
          <w:szCs w:val="24"/>
        </w:rPr>
        <w:t>in</w:t>
      </w:r>
      <w:r w:rsidR="009362E4" w:rsidRPr="0034727D">
        <w:rPr>
          <w:sz w:val="24"/>
          <w:szCs w:val="24"/>
        </w:rPr>
        <w:t xml:space="preserve"> groundwater</w:t>
      </w:r>
      <w:r>
        <w:rPr>
          <w:sz w:val="24"/>
          <w:szCs w:val="24"/>
        </w:rPr>
        <w:t>, as well as</w:t>
      </w:r>
      <w:r w:rsidR="00752DB7" w:rsidRPr="0034727D">
        <w:rPr>
          <w:sz w:val="24"/>
          <w:szCs w:val="24"/>
        </w:rPr>
        <w:t xml:space="preserve"> the absence of detectable</w:t>
      </w:r>
      <w:r w:rsidR="004326C4" w:rsidRPr="0034727D">
        <w:rPr>
          <w:sz w:val="24"/>
          <w:szCs w:val="24"/>
        </w:rPr>
        <w:t xml:space="preserve"> level</w:t>
      </w:r>
      <w:r w:rsidR="00752DB7" w:rsidRPr="0034727D">
        <w:rPr>
          <w:sz w:val="24"/>
          <w:szCs w:val="24"/>
        </w:rPr>
        <w:t>s</w:t>
      </w:r>
      <w:r w:rsidR="004326C4" w:rsidRPr="0034727D">
        <w:rPr>
          <w:sz w:val="24"/>
          <w:szCs w:val="24"/>
        </w:rPr>
        <w:t xml:space="preserve"> of tritium</w:t>
      </w:r>
      <w:r w:rsidR="00FF79E2" w:rsidRPr="0034727D">
        <w:rPr>
          <w:sz w:val="24"/>
          <w:szCs w:val="24"/>
        </w:rPr>
        <w:t xml:space="preserve"> </w:t>
      </w:r>
      <w:r w:rsidR="004326C4" w:rsidRPr="0034727D">
        <w:rPr>
          <w:sz w:val="24"/>
          <w:szCs w:val="24"/>
        </w:rPr>
        <w:t>i</w:t>
      </w:r>
      <w:r w:rsidR="00F65844" w:rsidRPr="0034727D">
        <w:rPr>
          <w:sz w:val="24"/>
          <w:szCs w:val="24"/>
        </w:rPr>
        <w:t>n surface water</w:t>
      </w:r>
      <w:r w:rsidR="009362E4" w:rsidRPr="0034727D">
        <w:rPr>
          <w:sz w:val="24"/>
          <w:szCs w:val="24"/>
        </w:rPr>
        <w:t xml:space="preserve">.  </w:t>
      </w:r>
    </w:p>
    <w:p w:rsidR="004B4BDE" w:rsidRPr="0066210B" w:rsidRDefault="00752DB7" w:rsidP="00662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 xml:space="preserve">On-site </w:t>
      </w:r>
      <w:r w:rsidR="00F75483" w:rsidRPr="0034727D">
        <w:rPr>
          <w:sz w:val="24"/>
          <w:szCs w:val="24"/>
        </w:rPr>
        <w:t>efforts</w:t>
      </w:r>
      <w:r w:rsidR="0034727D">
        <w:rPr>
          <w:sz w:val="24"/>
          <w:szCs w:val="24"/>
        </w:rPr>
        <w:t xml:space="preserve"> by the owner and </w:t>
      </w:r>
      <w:r w:rsidRPr="0034727D">
        <w:rPr>
          <w:sz w:val="24"/>
          <w:szCs w:val="24"/>
        </w:rPr>
        <w:t>operator of PNPS (Entergy)</w:t>
      </w:r>
      <w:r w:rsidR="00F75483" w:rsidRPr="0034727D">
        <w:rPr>
          <w:sz w:val="24"/>
          <w:szCs w:val="24"/>
        </w:rPr>
        <w:t xml:space="preserve"> </w:t>
      </w:r>
      <w:proofErr w:type="gramStart"/>
      <w:r w:rsidR="00CE2215" w:rsidRPr="0034727D">
        <w:rPr>
          <w:sz w:val="24"/>
          <w:szCs w:val="24"/>
        </w:rPr>
        <w:t>are focused</w:t>
      </w:r>
      <w:proofErr w:type="gramEnd"/>
      <w:r w:rsidR="00CE2215" w:rsidRPr="0034727D">
        <w:rPr>
          <w:sz w:val="24"/>
          <w:szCs w:val="24"/>
        </w:rPr>
        <w:t xml:space="preserve"> on identifying </w:t>
      </w:r>
      <w:r w:rsidRPr="0034727D">
        <w:rPr>
          <w:sz w:val="24"/>
          <w:szCs w:val="24"/>
        </w:rPr>
        <w:t xml:space="preserve">the </w:t>
      </w:r>
      <w:r w:rsidR="00F75483" w:rsidRPr="0034727D">
        <w:rPr>
          <w:sz w:val="24"/>
          <w:szCs w:val="24"/>
        </w:rPr>
        <w:t xml:space="preserve">sources </w:t>
      </w:r>
      <w:r w:rsidR="00CE2215" w:rsidRPr="0034727D">
        <w:rPr>
          <w:sz w:val="24"/>
          <w:szCs w:val="24"/>
        </w:rPr>
        <w:t>of tritium</w:t>
      </w:r>
      <w:r w:rsidR="00AB4BF2">
        <w:rPr>
          <w:sz w:val="24"/>
          <w:szCs w:val="24"/>
        </w:rPr>
        <w:t xml:space="preserve"> and monitoring for potential new sources</w:t>
      </w:r>
      <w:r w:rsidR="00CE2215" w:rsidRPr="0034727D">
        <w:rPr>
          <w:sz w:val="24"/>
          <w:szCs w:val="24"/>
        </w:rPr>
        <w:t xml:space="preserve">.  </w:t>
      </w:r>
    </w:p>
    <w:p w:rsidR="00FF406D" w:rsidRPr="0034727D" w:rsidRDefault="0034727D" w:rsidP="0034727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Staff from the </w:t>
      </w:r>
      <w:r w:rsidR="00B733C9" w:rsidRPr="0034727D">
        <w:rPr>
          <w:sz w:val="24"/>
          <w:szCs w:val="24"/>
        </w:rPr>
        <w:t>MDPH</w:t>
      </w:r>
      <w:r>
        <w:rPr>
          <w:sz w:val="24"/>
          <w:szCs w:val="24"/>
        </w:rPr>
        <w:t xml:space="preserve"> Bureau of Environmental Health continue</w:t>
      </w:r>
      <w:r w:rsidR="00B733C9" w:rsidRPr="0034727D">
        <w:rPr>
          <w:sz w:val="24"/>
          <w:szCs w:val="24"/>
        </w:rPr>
        <w:t xml:space="preserve"> to review </w:t>
      </w:r>
      <w:r w:rsidR="00752DB7" w:rsidRPr="0034727D">
        <w:rPr>
          <w:sz w:val="24"/>
          <w:szCs w:val="24"/>
        </w:rPr>
        <w:t>information obtained from the latest monitoring</w:t>
      </w:r>
      <w:r>
        <w:rPr>
          <w:sz w:val="24"/>
          <w:szCs w:val="24"/>
        </w:rPr>
        <w:t xml:space="preserve"> efforts</w:t>
      </w:r>
      <w:r w:rsidR="00752DB7" w:rsidRPr="0034727D">
        <w:rPr>
          <w:sz w:val="24"/>
          <w:szCs w:val="24"/>
        </w:rPr>
        <w:t xml:space="preserve"> </w:t>
      </w:r>
      <w:r w:rsidR="00B733C9" w:rsidRPr="0034727D">
        <w:rPr>
          <w:sz w:val="24"/>
          <w:szCs w:val="24"/>
        </w:rPr>
        <w:t xml:space="preserve">and </w:t>
      </w:r>
      <w:r w:rsidR="00CE2215" w:rsidRPr="0034727D">
        <w:rPr>
          <w:sz w:val="24"/>
          <w:szCs w:val="24"/>
        </w:rPr>
        <w:t>maintain</w:t>
      </w:r>
      <w:r w:rsidR="00752DB7" w:rsidRPr="0034727D">
        <w:rPr>
          <w:sz w:val="24"/>
          <w:szCs w:val="24"/>
        </w:rPr>
        <w:t>s</w:t>
      </w:r>
      <w:r w:rsidR="00CE2215" w:rsidRPr="0034727D">
        <w:rPr>
          <w:sz w:val="24"/>
          <w:szCs w:val="24"/>
        </w:rPr>
        <w:t xml:space="preserve"> regular</w:t>
      </w:r>
      <w:r w:rsidR="00B733C9" w:rsidRPr="0034727D">
        <w:rPr>
          <w:sz w:val="24"/>
          <w:szCs w:val="24"/>
        </w:rPr>
        <w:t xml:space="preserve"> </w:t>
      </w:r>
      <w:r>
        <w:rPr>
          <w:sz w:val="24"/>
          <w:szCs w:val="24"/>
        </w:rPr>
        <w:t>contact</w:t>
      </w:r>
      <w:r w:rsidR="007852A5" w:rsidRPr="0034727D">
        <w:rPr>
          <w:sz w:val="24"/>
          <w:szCs w:val="24"/>
        </w:rPr>
        <w:t xml:space="preserve"> with MEMA</w:t>
      </w:r>
      <w:r w:rsidR="00276C2A" w:rsidRPr="0034727D">
        <w:rPr>
          <w:sz w:val="24"/>
          <w:szCs w:val="24"/>
        </w:rPr>
        <w:t>, NRC, and</w:t>
      </w:r>
      <w:r w:rsidR="007852A5" w:rsidRPr="0034727D">
        <w:rPr>
          <w:sz w:val="24"/>
          <w:szCs w:val="24"/>
        </w:rPr>
        <w:t xml:space="preserve"> </w:t>
      </w:r>
      <w:r w:rsidR="00752DB7" w:rsidRPr="0034727D">
        <w:rPr>
          <w:sz w:val="24"/>
          <w:szCs w:val="24"/>
        </w:rPr>
        <w:t>Entergy</w:t>
      </w:r>
      <w:r w:rsidR="00B733C9" w:rsidRPr="0034727D">
        <w:rPr>
          <w:sz w:val="24"/>
          <w:szCs w:val="24"/>
        </w:rPr>
        <w:t xml:space="preserve"> </w:t>
      </w:r>
      <w:r w:rsidR="007852A5" w:rsidRPr="0034727D">
        <w:rPr>
          <w:sz w:val="24"/>
          <w:szCs w:val="24"/>
        </w:rPr>
        <w:t>officials</w:t>
      </w:r>
      <w:r w:rsidR="00861CD6" w:rsidRPr="0034727D">
        <w:rPr>
          <w:sz w:val="24"/>
          <w:szCs w:val="24"/>
        </w:rPr>
        <w:t xml:space="preserve"> </w:t>
      </w:r>
      <w:r w:rsidR="00B733C9" w:rsidRPr="0034727D">
        <w:rPr>
          <w:sz w:val="24"/>
          <w:szCs w:val="24"/>
        </w:rPr>
        <w:t xml:space="preserve">to discuss </w:t>
      </w:r>
      <w:r w:rsidR="007852A5" w:rsidRPr="0034727D">
        <w:rPr>
          <w:sz w:val="24"/>
          <w:szCs w:val="24"/>
        </w:rPr>
        <w:t xml:space="preserve">on-going </w:t>
      </w:r>
      <w:r w:rsidR="00B733C9" w:rsidRPr="0034727D">
        <w:rPr>
          <w:sz w:val="24"/>
          <w:szCs w:val="24"/>
        </w:rPr>
        <w:t>investigation</w:t>
      </w:r>
      <w:r w:rsidR="00F65844" w:rsidRPr="0034727D">
        <w:rPr>
          <w:sz w:val="24"/>
          <w:szCs w:val="24"/>
        </w:rPr>
        <w:t xml:space="preserve"> activities</w:t>
      </w:r>
      <w:r w:rsidR="00752DB7" w:rsidRPr="0034727D">
        <w:rPr>
          <w:sz w:val="24"/>
          <w:szCs w:val="24"/>
        </w:rPr>
        <w:t xml:space="preserve"> at PNPS</w:t>
      </w:r>
      <w:r w:rsidR="00B733C9" w:rsidRPr="0034727D">
        <w:rPr>
          <w:sz w:val="24"/>
          <w:szCs w:val="24"/>
        </w:rPr>
        <w:t>.</w:t>
      </w:r>
      <w:r w:rsidR="00F75483" w:rsidRPr="0034727D">
        <w:rPr>
          <w:sz w:val="24"/>
          <w:szCs w:val="24"/>
        </w:rPr>
        <w:t xml:space="preserve"> </w:t>
      </w:r>
    </w:p>
    <w:p w:rsidR="00F55B6C" w:rsidRDefault="00F55B6C" w:rsidP="00C3724A">
      <w:pPr>
        <w:spacing w:after="0" w:line="240" w:lineRule="auto"/>
        <w:rPr>
          <w:rStyle w:val="Strong"/>
        </w:rPr>
      </w:pPr>
    </w:p>
    <w:p w:rsidR="00C3724A" w:rsidRPr="0034727D" w:rsidRDefault="00E658FF" w:rsidP="00C3724A">
      <w:pPr>
        <w:spacing w:after="0" w:line="240" w:lineRule="auto"/>
        <w:rPr>
          <w:rStyle w:val="Strong"/>
          <w:caps/>
          <w:sz w:val="24"/>
          <w:szCs w:val="24"/>
        </w:rPr>
      </w:pPr>
      <w:r w:rsidRPr="0034727D">
        <w:rPr>
          <w:rStyle w:val="Strong"/>
          <w:caps/>
          <w:sz w:val="24"/>
          <w:szCs w:val="24"/>
        </w:rPr>
        <w:t>Introduction</w:t>
      </w:r>
    </w:p>
    <w:p w:rsidR="00752DB7" w:rsidRPr="0034727D" w:rsidRDefault="00752DB7" w:rsidP="00766A74">
      <w:pPr>
        <w:spacing w:after="0" w:line="240" w:lineRule="auto"/>
        <w:rPr>
          <w:sz w:val="24"/>
          <w:szCs w:val="24"/>
        </w:rPr>
      </w:pPr>
    </w:p>
    <w:p w:rsidR="00FF79E2" w:rsidRPr="00FF79E2" w:rsidRDefault="00752DB7" w:rsidP="0066210B">
      <w:pPr>
        <w:spacing w:after="0" w:line="240" w:lineRule="auto"/>
        <w:jc w:val="both"/>
        <w:rPr>
          <w:sz w:val="18"/>
          <w:szCs w:val="18"/>
        </w:rPr>
      </w:pPr>
      <w:r w:rsidRPr="0034727D">
        <w:rPr>
          <w:sz w:val="24"/>
          <w:szCs w:val="24"/>
        </w:rPr>
        <w:t>This document describes</w:t>
      </w:r>
      <w:r w:rsidR="00F821CA" w:rsidRPr="0034727D">
        <w:rPr>
          <w:sz w:val="24"/>
          <w:szCs w:val="24"/>
        </w:rPr>
        <w:t xml:space="preserve"> </w:t>
      </w:r>
      <w:r w:rsidR="00297356" w:rsidRPr="0034727D">
        <w:rPr>
          <w:sz w:val="24"/>
          <w:szCs w:val="24"/>
        </w:rPr>
        <w:t xml:space="preserve">recent </w:t>
      </w:r>
      <w:r w:rsidR="00766A74" w:rsidRPr="0034727D">
        <w:rPr>
          <w:sz w:val="24"/>
          <w:szCs w:val="24"/>
        </w:rPr>
        <w:t>results</w:t>
      </w:r>
      <w:r w:rsidR="00297356" w:rsidRPr="0034727D">
        <w:rPr>
          <w:sz w:val="24"/>
          <w:szCs w:val="24"/>
        </w:rPr>
        <w:t xml:space="preserve"> associated with the </w:t>
      </w:r>
      <w:r w:rsidR="00F821CA" w:rsidRPr="0034727D">
        <w:rPr>
          <w:sz w:val="24"/>
          <w:szCs w:val="24"/>
        </w:rPr>
        <w:t xml:space="preserve">ongoing investigation </w:t>
      </w:r>
      <w:r w:rsidR="00297356" w:rsidRPr="0034727D">
        <w:rPr>
          <w:sz w:val="24"/>
          <w:szCs w:val="24"/>
        </w:rPr>
        <w:t xml:space="preserve">of tritium in groundwater and surface water </w:t>
      </w:r>
      <w:r w:rsidR="003C0E40" w:rsidRPr="0034727D">
        <w:rPr>
          <w:sz w:val="24"/>
          <w:szCs w:val="24"/>
        </w:rPr>
        <w:t>at the Pilgrim Nuclear Power Station (PNPS) located in Plymouth, MA</w:t>
      </w:r>
      <w:proofErr w:type="gramStart"/>
      <w:r w:rsidR="00766A74" w:rsidRPr="0034727D">
        <w:rPr>
          <w:sz w:val="24"/>
          <w:szCs w:val="24"/>
        </w:rPr>
        <w:t xml:space="preserve">.  </w:t>
      </w:r>
      <w:proofErr w:type="gramEnd"/>
      <w:r w:rsidR="006612D8" w:rsidRPr="0034727D">
        <w:rPr>
          <w:sz w:val="24"/>
          <w:szCs w:val="24"/>
        </w:rPr>
        <w:t xml:space="preserve">The history of the tritium in groundwater investigation and </w:t>
      </w:r>
      <w:r w:rsidR="003C0E40" w:rsidRPr="0034727D">
        <w:rPr>
          <w:sz w:val="24"/>
          <w:szCs w:val="24"/>
        </w:rPr>
        <w:t xml:space="preserve">previous </w:t>
      </w:r>
      <w:r w:rsidRPr="0034727D">
        <w:rPr>
          <w:sz w:val="24"/>
          <w:szCs w:val="24"/>
        </w:rPr>
        <w:t xml:space="preserve">investigation </w:t>
      </w:r>
      <w:r w:rsidR="00FF79E2" w:rsidRPr="0034727D">
        <w:rPr>
          <w:sz w:val="24"/>
          <w:szCs w:val="24"/>
        </w:rPr>
        <w:t>updates</w:t>
      </w:r>
      <w:r w:rsidRPr="0034727D">
        <w:rPr>
          <w:sz w:val="24"/>
          <w:szCs w:val="24"/>
        </w:rPr>
        <w:t xml:space="preserve"> are</w:t>
      </w:r>
      <w:r w:rsidR="00FF79E2" w:rsidRPr="0034727D">
        <w:rPr>
          <w:sz w:val="24"/>
          <w:szCs w:val="24"/>
        </w:rPr>
        <w:t xml:space="preserve"> available online</w:t>
      </w:r>
      <w:r w:rsidR="0066210B">
        <w:rPr>
          <w:rStyle w:val="FootnoteReference"/>
          <w:sz w:val="24"/>
          <w:szCs w:val="24"/>
        </w:rPr>
        <w:footnoteReference w:id="1"/>
      </w:r>
      <w:r w:rsidR="0066210B">
        <w:rPr>
          <w:sz w:val="24"/>
          <w:szCs w:val="24"/>
        </w:rPr>
        <w:t>.</w:t>
      </w:r>
    </w:p>
    <w:p w:rsidR="00D42E6C" w:rsidRDefault="00D42E6C" w:rsidP="0034727D">
      <w:pPr>
        <w:spacing w:after="0" w:line="240" w:lineRule="auto"/>
        <w:jc w:val="both"/>
      </w:pPr>
      <w:r>
        <w:t xml:space="preserve">  </w:t>
      </w:r>
    </w:p>
    <w:p w:rsidR="00741584" w:rsidRPr="0034727D" w:rsidRDefault="00741584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 xml:space="preserve">Entergy collects </w:t>
      </w:r>
      <w:r w:rsidR="004567E9" w:rsidRPr="0034727D">
        <w:rPr>
          <w:sz w:val="24"/>
          <w:szCs w:val="24"/>
        </w:rPr>
        <w:t xml:space="preserve">samples at 23 </w:t>
      </w:r>
      <w:r w:rsidRPr="0034727D">
        <w:rPr>
          <w:sz w:val="24"/>
          <w:szCs w:val="24"/>
        </w:rPr>
        <w:t>groundwater monitoring wells</w:t>
      </w:r>
      <w:r w:rsidR="00DC69FC" w:rsidRPr="0034727D">
        <w:rPr>
          <w:sz w:val="24"/>
          <w:szCs w:val="24"/>
        </w:rPr>
        <w:t xml:space="preserve"> </w:t>
      </w:r>
      <w:r w:rsidR="004567E9" w:rsidRPr="0034727D">
        <w:rPr>
          <w:sz w:val="24"/>
          <w:szCs w:val="24"/>
        </w:rPr>
        <w:t xml:space="preserve">and two surface water locations </w:t>
      </w:r>
      <w:r w:rsidR="00DC69FC" w:rsidRPr="0034727D">
        <w:rPr>
          <w:sz w:val="24"/>
          <w:szCs w:val="24"/>
        </w:rPr>
        <w:t xml:space="preserve">at weekly, </w:t>
      </w:r>
      <w:r w:rsidR="00B72A6E">
        <w:rPr>
          <w:sz w:val="24"/>
          <w:szCs w:val="24"/>
        </w:rPr>
        <w:t>monthly</w:t>
      </w:r>
      <w:r w:rsidR="00752DB7" w:rsidRPr="0034727D">
        <w:rPr>
          <w:sz w:val="24"/>
          <w:szCs w:val="24"/>
        </w:rPr>
        <w:t>, and quarterly intervals</w:t>
      </w:r>
      <w:proofErr w:type="gramStart"/>
      <w:r w:rsidR="004567E9" w:rsidRPr="0034727D">
        <w:rPr>
          <w:sz w:val="24"/>
          <w:szCs w:val="24"/>
        </w:rPr>
        <w:t xml:space="preserve">.  </w:t>
      </w:r>
      <w:proofErr w:type="gramEnd"/>
      <w:r w:rsidR="00297356" w:rsidRPr="0034727D">
        <w:rPr>
          <w:sz w:val="24"/>
          <w:szCs w:val="24"/>
        </w:rPr>
        <w:t xml:space="preserve">The </w:t>
      </w:r>
      <w:r w:rsidR="00E24D1A" w:rsidRPr="0034727D">
        <w:rPr>
          <w:sz w:val="24"/>
          <w:szCs w:val="24"/>
        </w:rPr>
        <w:t>s</w:t>
      </w:r>
      <w:r w:rsidR="004567E9" w:rsidRPr="0034727D">
        <w:rPr>
          <w:sz w:val="24"/>
          <w:szCs w:val="24"/>
        </w:rPr>
        <w:t xml:space="preserve">ampling </w:t>
      </w:r>
      <w:r w:rsidR="00297356" w:rsidRPr="0034727D">
        <w:rPr>
          <w:sz w:val="24"/>
          <w:szCs w:val="24"/>
        </w:rPr>
        <w:t xml:space="preserve">frequency is based on </w:t>
      </w:r>
      <w:r w:rsidR="004567E9" w:rsidRPr="0034727D">
        <w:rPr>
          <w:sz w:val="24"/>
          <w:szCs w:val="24"/>
        </w:rPr>
        <w:t xml:space="preserve">recent and historical </w:t>
      </w:r>
      <w:r w:rsidR="00297356" w:rsidRPr="0034727D">
        <w:rPr>
          <w:sz w:val="24"/>
          <w:szCs w:val="24"/>
        </w:rPr>
        <w:t>t</w:t>
      </w:r>
      <w:r w:rsidR="004567E9" w:rsidRPr="0034727D">
        <w:rPr>
          <w:sz w:val="24"/>
          <w:szCs w:val="24"/>
        </w:rPr>
        <w:t xml:space="preserve">rends </w:t>
      </w:r>
      <w:r w:rsidR="00297356" w:rsidRPr="0034727D">
        <w:rPr>
          <w:sz w:val="24"/>
          <w:szCs w:val="24"/>
        </w:rPr>
        <w:t>of the</w:t>
      </w:r>
      <w:r w:rsidR="00B8523C" w:rsidRPr="0034727D">
        <w:rPr>
          <w:sz w:val="24"/>
          <w:szCs w:val="24"/>
        </w:rPr>
        <w:t xml:space="preserve"> </w:t>
      </w:r>
      <w:r w:rsidR="00297356" w:rsidRPr="0034727D">
        <w:rPr>
          <w:sz w:val="24"/>
          <w:szCs w:val="24"/>
        </w:rPr>
        <w:t>potential groundwater sources of tritium</w:t>
      </w:r>
      <w:proofErr w:type="gramStart"/>
      <w:r w:rsidR="00F34980" w:rsidRPr="0034727D">
        <w:rPr>
          <w:sz w:val="24"/>
          <w:szCs w:val="24"/>
        </w:rPr>
        <w:t>.</w:t>
      </w:r>
      <w:r w:rsidR="00B8523C" w:rsidRPr="0034727D">
        <w:rPr>
          <w:sz w:val="24"/>
          <w:szCs w:val="24"/>
        </w:rPr>
        <w:t xml:space="preserve">  </w:t>
      </w:r>
      <w:proofErr w:type="gramEnd"/>
      <w:r w:rsidR="00297356" w:rsidRPr="0034727D">
        <w:rPr>
          <w:sz w:val="24"/>
          <w:szCs w:val="24"/>
        </w:rPr>
        <w:t xml:space="preserve">Once collected, </w:t>
      </w:r>
      <w:r w:rsidR="004567E9" w:rsidRPr="0034727D">
        <w:rPr>
          <w:sz w:val="24"/>
          <w:szCs w:val="24"/>
        </w:rPr>
        <w:t>Entergy sends the samples to a</w:t>
      </w:r>
      <w:r w:rsidR="00B8523C" w:rsidRPr="0034727D">
        <w:rPr>
          <w:sz w:val="24"/>
          <w:szCs w:val="24"/>
        </w:rPr>
        <w:t>n</w:t>
      </w:r>
      <w:r w:rsidR="004567E9" w:rsidRPr="0034727D">
        <w:rPr>
          <w:sz w:val="24"/>
          <w:szCs w:val="24"/>
        </w:rPr>
        <w:t xml:space="preserve"> </w:t>
      </w:r>
      <w:r w:rsidR="00B8523C" w:rsidRPr="0034727D">
        <w:rPr>
          <w:sz w:val="24"/>
          <w:szCs w:val="24"/>
        </w:rPr>
        <w:t>independent</w:t>
      </w:r>
      <w:r w:rsidR="004567E9" w:rsidRPr="0034727D">
        <w:rPr>
          <w:sz w:val="24"/>
          <w:szCs w:val="24"/>
        </w:rPr>
        <w:t xml:space="preserve"> analytical lab</w:t>
      </w:r>
      <w:r w:rsidR="00F34980" w:rsidRPr="0034727D">
        <w:rPr>
          <w:sz w:val="24"/>
          <w:szCs w:val="24"/>
        </w:rPr>
        <w:t>,</w:t>
      </w:r>
      <w:r w:rsidR="004567E9" w:rsidRPr="0034727D">
        <w:rPr>
          <w:sz w:val="24"/>
          <w:szCs w:val="24"/>
        </w:rPr>
        <w:t xml:space="preserve"> Teledyne</w:t>
      </w:r>
      <w:r w:rsidR="00AB06BF" w:rsidRPr="0034727D">
        <w:rPr>
          <w:sz w:val="24"/>
          <w:szCs w:val="24"/>
        </w:rPr>
        <w:t xml:space="preserve"> Brown Engineering, Inc. </w:t>
      </w:r>
      <w:r w:rsidR="00220C12" w:rsidRPr="0034727D">
        <w:rPr>
          <w:sz w:val="24"/>
          <w:szCs w:val="24"/>
        </w:rPr>
        <w:t>(</w:t>
      </w:r>
      <w:r w:rsidR="00AB06BF" w:rsidRPr="0034727D">
        <w:rPr>
          <w:sz w:val="24"/>
          <w:szCs w:val="24"/>
        </w:rPr>
        <w:t>TBE</w:t>
      </w:r>
      <w:r w:rsidR="00220C12" w:rsidRPr="0034727D">
        <w:rPr>
          <w:sz w:val="24"/>
          <w:szCs w:val="24"/>
        </w:rPr>
        <w:t>)</w:t>
      </w:r>
      <w:r w:rsidR="00F34980" w:rsidRPr="0034727D">
        <w:rPr>
          <w:sz w:val="24"/>
          <w:szCs w:val="24"/>
        </w:rPr>
        <w:t>,</w:t>
      </w:r>
      <w:r w:rsidR="004567E9" w:rsidRPr="0034727D">
        <w:rPr>
          <w:sz w:val="24"/>
          <w:szCs w:val="24"/>
        </w:rPr>
        <w:t xml:space="preserve"> and </w:t>
      </w:r>
      <w:r w:rsidR="00D21F39" w:rsidRPr="0034727D">
        <w:rPr>
          <w:sz w:val="24"/>
          <w:szCs w:val="24"/>
        </w:rPr>
        <w:t>provide</w:t>
      </w:r>
      <w:r w:rsidR="006B712D" w:rsidRPr="0034727D">
        <w:rPr>
          <w:sz w:val="24"/>
          <w:szCs w:val="24"/>
        </w:rPr>
        <w:t>s</w:t>
      </w:r>
      <w:r w:rsidR="00FB79FD" w:rsidRPr="0034727D">
        <w:rPr>
          <w:sz w:val="24"/>
          <w:szCs w:val="24"/>
        </w:rPr>
        <w:t xml:space="preserve"> </w:t>
      </w:r>
      <w:r w:rsidR="00297356" w:rsidRPr="0034727D">
        <w:rPr>
          <w:sz w:val="24"/>
          <w:szCs w:val="24"/>
        </w:rPr>
        <w:t>a duplicate (or “split”) sample</w:t>
      </w:r>
      <w:r w:rsidR="004567E9" w:rsidRPr="0034727D">
        <w:rPr>
          <w:sz w:val="24"/>
          <w:szCs w:val="24"/>
        </w:rPr>
        <w:t xml:space="preserve"> to MDPH </w:t>
      </w:r>
      <w:r w:rsidR="004567E9" w:rsidRPr="0034727D">
        <w:rPr>
          <w:sz w:val="24"/>
          <w:szCs w:val="24"/>
        </w:rPr>
        <w:lastRenderedPageBreak/>
        <w:t xml:space="preserve">for analysis at </w:t>
      </w:r>
      <w:r w:rsidR="00DC69FC" w:rsidRPr="0034727D">
        <w:rPr>
          <w:sz w:val="24"/>
          <w:szCs w:val="24"/>
        </w:rPr>
        <w:t>the Massachusetts Environmental Radiation Lab (MERL)</w:t>
      </w:r>
      <w:proofErr w:type="gramStart"/>
      <w:r w:rsidR="004567E9" w:rsidRPr="0034727D">
        <w:rPr>
          <w:sz w:val="24"/>
          <w:szCs w:val="24"/>
        </w:rPr>
        <w:t xml:space="preserve">. </w:t>
      </w:r>
      <w:r w:rsidR="00DC69FC" w:rsidRPr="0034727D">
        <w:rPr>
          <w:sz w:val="24"/>
          <w:szCs w:val="24"/>
        </w:rPr>
        <w:t xml:space="preserve"> </w:t>
      </w:r>
      <w:proofErr w:type="gramEnd"/>
      <w:r w:rsidR="004567E9" w:rsidRPr="0034727D">
        <w:rPr>
          <w:sz w:val="24"/>
          <w:szCs w:val="24"/>
        </w:rPr>
        <w:t xml:space="preserve">Entergy reports </w:t>
      </w:r>
      <w:r w:rsidR="00297356" w:rsidRPr="0034727D">
        <w:rPr>
          <w:sz w:val="24"/>
          <w:szCs w:val="24"/>
        </w:rPr>
        <w:t>the TBE</w:t>
      </w:r>
      <w:r w:rsidR="004567E9" w:rsidRPr="0034727D">
        <w:rPr>
          <w:sz w:val="24"/>
          <w:szCs w:val="24"/>
        </w:rPr>
        <w:t xml:space="preserve"> results </w:t>
      </w:r>
      <w:r w:rsidR="00AB06BF" w:rsidRPr="0034727D">
        <w:rPr>
          <w:sz w:val="24"/>
          <w:szCs w:val="24"/>
        </w:rPr>
        <w:t>t</w:t>
      </w:r>
      <w:r w:rsidR="004567E9" w:rsidRPr="0034727D">
        <w:rPr>
          <w:sz w:val="24"/>
          <w:szCs w:val="24"/>
        </w:rPr>
        <w:t>o MDPH</w:t>
      </w:r>
      <w:r w:rsidR="00B8523C" w:rsidRPr="0034727D">
        <w:rPr>
          <w:sz w:val="24"/>
          <w:szCs w:val="24"/>
        </w:rPr>
        <w:t>,</w:t>
      </w:r>
      <w:r w:rsidR="004567E9" w:rsidRPr="0034727D">
        <w:rPr>
          <w:sz w:val="24"/>
          <w:szCs w:val="24"/>
        </w:rPr>
        <w:t xml:space="preserve"> MEM</w:t>
      </w:r>
      <w:r w:rsidR="00B8523C" w:rsidRPr="0034727D">
        <w:rPr>
          <w:sz w:val="24"/>
          <w:szCs w:val="24"/>
        </w:rPr>
        <w:t>A, and NRC officials</w:t>
      </w:r>
      <w:r w:rsidR="004567E9" w:rsidRPr="0034727D">
        <w:rPr>
          <w:sz w:val="24"/>
          <w:szCs w:val="24"/>
        </w:rPr>
        <w:t xml:space="preserve">.  </w:t>
      </w:r>
    </w:p>
    <w:p w:rsidR="00741584" w:rsidRPr="0034727D" w:rsidRDefault="00741584" w:rsidP="0034727D">
      <w:pPr>
        <w:spacing w:after="0" w:line="240" w:lineRule="auto"/>
        <w:jc w:val="both"/>
        <w:rPr>
          <w:sz w:val="24"/>
          <w:szCs w:val="24"/>
        </w:rPr>
      </w:pPr>
    </w:p>
    <w:p w:rsidR="00F55B6C" w:rsidRPr="0034727D" w:rsidRDefault="00297356" w:rsidP="0034727D">
      <w:pPr>
        <w:spacing w:after="0" w:line="240" w:lineRule="auto"/>
        <w:jc w:val="both"/>
        <w:rPr>
          <w:b/>
          <w:sz w:val="24"/>
          <w:szCs w:val="24"/>
        </w:rPr>
      </w:pPr>
      <w:r w:rsidRPr="0034727D">
        <w:rPr>
          <w:sz w:val="24"/>
          <w:szCs w:val="24"/>
        </w:rPr>
        <w:t>Described here is an update on</w:t>
      </w:r>
      <w:r w:rsidR="00563020" w:rsidRPr="0034727D">
        <w:rPr>
          <w:sz w:val="24"/>
          <w:szCs w:val="24"/>
        </w:rPr>
        <w:t xml:space="preserve"> </w:t>
      </w:r>
      <w:r w:rsidRPr="0034727D">
        <w:rPr>
          <w:sz w:val="24"/>
          <w:szCs w:val="24"/>
        </w:rPr>
        <w:t>the results from both Entergy</w:t>
      </w:r>
      <w:r w:rsidR="00563020" w:rsidRPr="0034727D">
        <w:rPr>
          <w:sz w:val="24"/>
          <w:szCs w:val="24"/>
        </w:rPr>
        <w:t xml:space="preserve"> and MERL </w:t>
      </w:r>
      <w:r w:rsidR="00B76096" w:rsidRPr="0034727D">
        <w:rPr>
          <w:sz w:val="24"/>
          <w:szCs w:val="24"/>
        </w:rPr>
        <w:t>for</w:t>
      </w:r>
      <w:r w:rsidR="00F54E41" w:rsidRPr="0034727D">
        <w:rPr>
          <w:sz w:val="24"/>
          <w:szCs w:val="24"/>
        </w:rPr>
        <w:t xml:space="preserve"> sampling performed over the second and third </w:t>
      </w:r>
      <w:r w:rsidR="00B76096" w:rsidRPr="0034727D">
        <w:rPr>
          <w:sz w:val="24"/>
          <w:szCs w:val="24"/>
        </w:rPr>
        <w:t>quarters</w:t>
      </w:r>
      <w:r w:rsidR="00F54E41" w:rsidRPr="0034727D">
        <w:rPr>
          <w:sz w:val="24"/>
          <w:szCs w:val="24"/>
        </w:rPr>
        <w:t xml:space="preserve"> of</w:t>
      </w:r>
      <w:r w:rsidR="00B76096" w:rsidRPr="0034727D">
        <w:rPr>
          <w:sz w:val="24"/>
          <w:szCs w:val="24"/>
        </w:rPr>
        <w:t xml:space="preserve"> 2015</w:t>
      </w:r>
      <w:proofErr w:type="gramStart"/>
      <w:r w:rsidR="00097F63" w:rsidRPr="0034727D">
        <w:rPr>
          <w:sz w:val="24"/>
          <w:szCs w:val="24"/>
        </w:rPr>
        <w:t xml:space="preserve">. </w:t>
      </w:r>
      <w:r w:rsidR="00EA27C5" w:rsidRPr="0034727D">
        <w:rPr>
          <w:sz w:val="24"/>
          <w:szCs w:val="24"/>
        </w:rPr>
        <w:t xml:space="preserve"> </w:t>
      </w:r>
      <w:proofErr w:type="gramEnd"/>
      <w:r w:rsidR="00E658FF" w:rsidRPr="0034727D">
        <w:rPr>
          <w:sz w:val="24"/>
          <w:szCs w:val="24"/>
        </w:rPr>
        <w:t>The</w:t>
      </w:r>
      <w:r w:rsidR="00F54E41" w:rsidRPr="0034727D">
        <w:rPr>
          <w:sz w:val="24"/>
          <w:szCs w:val="24"/>
        </w:rPr>
        <w:t xml:space="preserve">se results are then compared to </w:t>
      </w:r>
      <w:r w:rsidR="00E658FF" w:rsidRPr="0034727D">
        <w:rPr>
          <w:sz w:val="24"/>
          <w:szCs w:val="24"/>
        </w:rPr>
        <w:t>screening level</w:t>
      </w:r>
      <w:r w:rsidR="00F54E41" w:rsidRPr="0034727D">
        <w:rPr>
          <w:sz w:val="24"/>
          <w:szCs w:val="24"/>
        </w:rPr>
        <w:t>s</w:t>
      </w:r>
      <w:r w:rsidR="00E658FF" w:rsidRPr="0034727D">
        <w:rPr>
          <w:sz w:val="24"/>
          <w:szCs w:val="24"/>
        </w:rPr>
        <w:t xml:space="preserve"> </w:t>
      </w:r>
      <w:r w:rsidRPr="0034727D">
        <w:rPr>
          <w:sz w:val="24"/>
          <w:szCs w:val="24"/>
        </w:rPr>
        <w:t xml:space="preserve">of </w:t>
      </w:r>
      <w:r w:rsidR="00E658FF" w:rsidRPr="0034727D">
        <w:rPr>
          <w:sz w:val="24"/>
          <w:szCs w:val="24"/>
        </w:rPr>
        <w:t>3,000 picocuries per liter (</w:t>
      </w:r>
      <w:proofErr w:type="spellStart"/>
      <w:r w:rsidR="00E658FF" w:rsidRPr="0034727D">
        <w:rPr>
          <w:sz w:val="24"/>
          <w:szCs w:val="24"/>
        </w:rPr>
        <w:t>pCi</w:t>
      </w:r>
      <w:proofErr w:type="spellEnd"/>
      <w:r w:rsidR="00E658FF" w:rsidRPr="0034727D">
        <w:rPr>
          <w:sz w:val="24"/>
          <w:szCs w:val="24"/>
        </w:rPr>
        <w:t xml:space="preserve">/L), </w:t>
      </w:r>
      <w:r w:rsidRPr="0034727D">
        <w:rPr>
          <w:sz w:val="24"/>
          <w:szCs w:val="24"/>
        </w:rPr>
        <w:t>or</w:t>
      </w:r>
      <w:r w:rsidR="00E658FF" w:rsidRPr="0034727D">
        <w:rPr>
          <w:sz w:val="24"/>
          <w:szCs w:val="24"/>
        </w:rPr>
        <w:t xml:space="preserve"> </w:t>
      </w:r>
      <w:r w:rsidR="000D0FC7" w:rsidRPr="0034727D">
        <w:rPr>
          <w:sz w:val="24"/>
          <w:szCs w:val="24"/>
        </w:rPr>
        <w:t>1/10</w:t>
      </w:r>
      <w:r w:rsidR="000D0FC7" w:rsidRPr="0034727D">
        <w:rPr>
          <w:sz w:val="24"/>
          <w:szCs w:val="24"/>
          <w:vertAlign w:val="superscript"/>
        </w:rPr>
        <w:t>th</w:t>
      </w:r>
      <w:r w:rsidR="000D0FC7" w:rsidRPr="0034727D">
        <w:rPr>
          <w:sz w:val="24"/>
          <w:szCs w:val="24"/>
        </w:rPr>
        <w:t xml:space="preserve"> </w:t>
      </w:r>
      <w:r w:rsidR="00F54E41" w:rsidRPr="0034727D">
        <w:rPr>
          <w:sz w:val="24"/>
          <w:szCs w:val="24"/>
        </w:rPr>
        <w:t>the</w:t>
      </w:r>
      <w:r w:rsidR="00E658FF" w:rsidRPr="0034727D">
        <w:rPr>
          <w:sz w:val="24"/>
          <w:szCs w:val="24"/>
        </w:rPr>
        <w:t xml:space="preserve"> </w:t>
      </w:r>
      <w:r w:rsidR="00C83AE5">
        <w:rPr>
          <w:sz w:val="24"/>
          <w:szCs w:val="24"/>
        </w:rPr>
        <w:t xml:space="preserve">NRC </w:t>
      </w:r>
      <w:r w:rsidRPr="0034727D">
        <w:rPr>
          <w:sz w:val="24"/>
          <w:szCs w:val="24"/>
        </w:rPr>
        <w:t>approved level of</w:t>
      </w:r>
      <w:r w:rsidR="00E658FF" w:rsidRPr="0034727D">
        <w:rPr>
          <w:sz w:val="24"/>
          <w:szCs w:val="24"/>
        </w:rPr>
        <w:t xml:space="preserve"> tritium in non-drinking water sources</w:t>
      </w:r>
      <w:r w:rsidR="00F54E41" w:rsidRPr="0034727D">
        <w:rPr>
          <w:sz w:val="24"/>
          <w:szCs w:val="24"/>
        </w:rPr>
        <w:t xml:space="preserve">; as well as </w:t>
      </w:r>
      <w:r w:rsidRPr="0034727D">
        <w:rPr>
          <w:sz w:val="24"/>
          <w:szCs w:val="24"/>
        </w:rPr>
        <w:t xml:space="preserve">the US </w:t>
      </w:r>
      <w:r w:rsidR="00E658FF" w:rsidRPr="0034727D">
        <w:rPr>
          <w:sz w:val="24"/>
          <w:szCs w:val="24"/>
        </w:rPr>
        <w:t>EPA drinking water</w:t>
      </w:r>
      <w:r w:rsidR="001967F1" w:rsidRPr="0034727D">
        <w:rPr>
          <w:sz w:val="24"/>
          <w:szCs w:val="24"/>
        </w:rPr>
        <w:t xml:space="preserve"> standard for tritium of </w:t>
      </w:r>
      <w:r w:rsidR="00402990" w:rsidRPr="0034727D">
        <w:rPr>
          <w:sz w:val="24"/>
          <w:szCs w:val="24"/>
        </w:rPr>
        <w:t xml:space="preserve">20,000 </w:t>
      </w:r>
      <w:proofErr w:type="spellStart"/>
      <w:r w:rsidR="00E658FF" w:rsidRPr="0034727D">
        <w:rPr>
          <w:sz w:val="24"/>
          <w:szCs w:val="24"/>
        </w:rPr>
        <w:t>pCi</w:t>
      </w:r>
      <w:proofErr w:type="spellEnd"/>
      <w:r w:rsidR="00E658FF" w:rsidRPr="0034727D">
        <w:rPr>
          <w:sz w:val="24"/>
          <w:szCs w:val="24"/>
        </w:rPr>
        <w:t>/L</w:t>
      </w:r>
      <w:proofErr w:type="gramStart"/>
      <w:r w:rsidR="00B733C9" w:rsidRPr="0034727D">
        <w:rPr>
          <w:sz w:val="24"/>
          <w:szCs w:val="24"/>
        </w:rPr>
        <w:t>.</w:t>
      </w:r>
      <w:r w:rsidR="00F54E41" w:rsidRPr="0034727D">
        <w:rPr>
          <w:sz w:val="24"/>
          <w:szCs w:val="24"/>
        </w:rPr>
        <w:t xml:space="preserve">  </w:t>
      </w:r>
      <w:proofErr w:type="gramEnd"/>
      <w:r w:rsidR="00F54E41" w:rsidRPr="0034727D">
        <w:rPr>
          <w:sz w:val="24"/>
          <w:szCs w:val="24"/>
        </w:rPr>
        <w:t xml:space="preserve">This is a conservative, health-protective approach as the closest </w:t>
      </w:r>
      <w:r w:rsidR="00D75C7F">
        <w:rPr>
          <w:sz w:val="24"/>
          <w:szCs w:val="24"/>
        </w:rPr>
        <w:t xml:space="preserve">municipal </w:t>
      </w:r>
      <w:r w:rsidR="00F54E41" w:rsidRPr="0034727D">
        <w:rPr>
          <w:sz w:val="24"/>
          <w:szCs w:val="24"/>
        </w:rPr>
        <w:t xml:space="preserve">drinking water wells are 2.5 miles from PNPS and </w:t>
      </w:r>
      <w:proofErr w:type="gramStart"/>
      <w:r w:rsidR="00F54E41" w:rsidRPr="0034727D">
        <w:rPr>
          <w:sz w:val="24"/>
          <w:szCs w:val="24"/>
        </w:rPr>
        <w:t>are not expected</w:t>
      </w:r>
      <w:proofErr w:type="gramEnd"/>
      <w:r w:rsidR="00F54E41" w:rsidRPr="0034727D">
        <w:rPr>
          <w:sz w:val="24"/>
          <w:szCs w:val="24"/>
        </w:rPr>
        <w:t xml:space="preserve"> to be impacted by on-site sources tritium. </w:t>
      </w:r>
      <w:r w:rsidR="00B733C9" w:rsidRPr="0034727D">
        <w:rPr>
          <w:sz w:val="24"/>
          <w:szCs w:val="24"/>
        </w:rPr>
        <w:t xml:space="preserve"> </w:t>
      </w:r>
      <w:r w:rsidRPr="0034727D">
        <w:rPr>
          <w:sz w:val="24"/>
          <w:szCs w:val="24"/>
        </w:rPr>
        <w:t xml:space="preserve"> </w:t>
      </w:r>
    </w:p>
    <w:p w:rsidR="0034727D" w:rsidRDefault="0034727D" w:rsidP="00C3724A">
      <w:pPr>
        <w:spacing w:after="0" w:line="240" w:lineRule="auto"/>
        <w:rPr>
          <w:rStyle w:val="Strong"/>
          <w:caps/>
          <w:sz w:val="24"/>
          <w:szCs w:val="24"/>
        </w:rPr>
      </w:pPr>
    </w:p>
    <w:p w:rsidR="0066210B" w:rsidRDefault="0066210B" w:rsidP="00C3724A">
      <w:pPr>
        <w:spacing w:after="0" w:line="240" w:lineRule="auto"/>
        <w:rPr>
          <w:rStyle w:val="Strong"/>
          <w:caps/>
          <w:sz w:val="24"/>
          <w:szCs w:val="24"/>
        </w:rPr>
      </w:pPr>
    </w:p>
    <w:p w:rsidR="00E56212" w:rsidRPr="0034727D" w:rsidRDefault="00E56212" w:rsidP="00C3724A">
      <w:pPr>
        <w:spacing w:after="0" w:line="240" w:lineRule="auto"/>
        <w:rPr>
          <w:rStyle w:val="Strong"/>
          <w:caps/>
          <w:sz w:val="24"/>
          <w:szCs w:val="24"/>
        </w:rPr>
      </w:pPr>
      <w:r w:rsidRPr="0034727D">
        <w:rPr>
          <w:rStyle w:val="Strong"/>
          <w:caps/>
          <w:sz w:val="24"/>
          <w:szCs w:val="24"/>
        </w:rPr>
        <w:t>Results</w:t>
      </w:r>
    </w:p>
    <w:p w:rsidR="00527FE1" w:rsidRPr="0034727D" w:rsidRDefault="00527FE1" w:rsidP="00C3724A">
      <w:pPr>
        <w:spacing w:after="0" w:line="240" w:lineRule="auto"/>
        <w:rPr>
          <w:sz w:val="24"/>
          <w:szCs w:val="24"/>
        </w:rPr>
      </w:pPr>
    </w:p>
    <w:p w:rsidR="00F54E41" w:rsidRPr="0034727D" w:rsidRDefault="00FF79E2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 xml:space="preserve">Of the 23 on-site groundwater monitoring wells </w:t>
      </w:r>
      <w:r w:rsidR="00F54E41" w:rsidRPr="0034727D">
        <w:rPr>
          <w:sz w:val="24"/>
          <w:szCs w:val="24"/>
        </w:rPr>
        <w:t>that are routinely monitored</w:t>
      </w:r>
      <w:r w:rsidR="00F54E41" w:rsidRPr="0034727D">
        <w:rPr>
          <w:rStyle w:val="FootnoteReference"/>
          <w:sz w:val="24"/>
          <w:szCs w:val="24"/>
        </w:rPr>
        <w:footnoteReference w:id="2"/>
      </w:r>
      <w:r w:rsidR="00F54E41" w:rsidRPr="0034727D">
        <w:rPr>
          <w:sz w:val="24"/>
          <w:szCs w:val="24"/>
        </w:rPr>
        <w:t xml:space="preserve">, two wells </w:t>
      </w:r>
      <w:r w:rsidR="009018C7">
        <w:rPr>
          <w:sz w:val="24"/>
          <w:szCs w:val="24"/>
        </w:rPr>
        <w:t>sampled during the 2</w:t>
      </w:r>
      <w:r w:rsidR="009018C7" w:rsidRPr="00980B3E">
        <w:rPr>
          <w:sz w:val="24"/>
          <w:szCs w:val="24"/>
          <w:vertAlign w:val="superscript"/>
        </w:rPr>
        <w:t>nd</w:t>
      </w:r>
      <w:r w:rsidR="009018C7">
        <w:rPr>
          <w:sz w:val="24"/>
          <w:szCs w:val="24"/>
        </w:rPr>
        <w:t xml:space="preserve"> and 3</w:t>
      </w:r>
      <w:r w:rsidR="009018C7" w:rsidRPr="00980B3E">
        <w:rPr>
          <w:sz w:val="24"/>
          <w:szCs w:val="24"/>
          <w:vertAlign w:val="superscript"/>
        </w:rPr>
        <w:t>rd</w:t>
      </w:r>
      <w:r w:rsidR="009018C7">
        <w:rPr>
          <w:sz w:val="24"/>
          <w:szCs w:val="24"/>
        </w:rPr>
        <w:t xml:space="preserve"> quarter of 2015 </w:t>
      </w:r>
      <w:r w:rsidR="00F54E41" w:rsidRPr="0034727D">
        <w:rPr>
          <w:sz w:val="24"/>
          <w:szCs w:val="24"/>
        </w:rPr>
        <w:t>have</w:t>
      </w:r>
      <w:r w:rsidRPr="0034727D">
        <w:rPr>
          <w:sz w:val="24"/>
          <w:szCs w:val="24"/>
        </w:rPr>
        <w:t xml:space="preserve"> levels of tritium</w:t>
      </w:r>
      <w:r w:rsidR="00F54E41" w:rsidRPr="0034727D">
        <w:rPr>
          <w:sz w:val="24"/>
          <w:szCs w:val="24"/>
        </w:rPr>
        <w:t xml:space="preserve"> </w:t>
      </w:r>
      <w:r w:rsidR="009018C7">
        <w:rPr>
          <w:sz w:val="24"/>
          <w:szCs w:val="24"/>
        </w:rPr>
        <w:t>detected</w:t>
      </w:r>
      <w:r w:rsidRPr="0034727D">
        <w:rPr>
          <w:sz w:val="24"/>
          <w:szCs w:val="24"/>
        </w:rPr>
        <w:t xml:space="preserve"> above 3,000 picocuries per li</w:t>
      </w:r>
      <w:r w:rsidR="00F54E41" w:rsidRPr="0034727D">
        <w:rPr>
          <w:sz w:val="24"/>
          <w:szCs w:val="24"/>
        </w:rPr>
        <w:t>ter (</w:t>
      </w:r>
      <w:proofErr w:type="spellStart"/>
      <w:r w:rsidR="00F54E41" w:rsidRPr="0034727D">
        <w:rPr>
          <w:sz w:val="24"/>
          <w:szCs w:val="24"/>
        </w:rPr>
        <w:t>pCi</w:t>
      </w:r>
      <w:proofErr w:type="spellEnd"/>
      <w:r w:rsidR="00F54E41" w:rsidRPr="0034727D">
        <w:rPr>
          <w:sz w:val="24"/>
          <w:szCs w:val="24"/>
        </w:rPr>
        <w:t>/L)</w:t>
      </w:r>
      <w:proofErr w:type="gramStart"/>
      <w:r w:rsidR="00F54E41" w:rsidRPr="0034727D">
        <w:rPr>
          <w:sz w:val="24"/>
          <w:szCs w:val="24"/>
        </w:rPr>
        <w:t xml:space="preserve">.  </w:t>
      </w:r>
      <w:proofErr w:type="gramEnd"/>
      <w:r w:rsidR="00F54E41" w:rsidRPr="0034727D">
        <w:rPr>
          <w:sz w:val="24"/>
          <w:szCs w:val="24"/>
        </w:rPr>
        <w:t>No wells are above</w:t>
      </w:r>
      <w:r w:rsidRPr="0034727D">
        <w:rPr>
          <w:sz w:val="24"/>
          <w:szCs w:val="24"/>
        </w:rPr>
        <w:t xml:space="preserve"> the 20,000 </w:t>
      </w:r>
      <w:proofErr w:type="spellStart"/>
      <w:r w:rsidRPr="0034727D">
        <w:rPr>
          <w:sz w:val="24"/>
          <w:szCs w:val="24"/>
        </w:rPr>
        <w:t>pCi</w:t>
      </w:r>
      <w:proofErr w:type="spellEnd"/>
      <w:r w:rsidRPr="0034727D">
        <w:rPr>
          <w:sz w:val="24"/>
          <w:szCs w:val="24"/>
        </w:rPr>
        <w:t>/L Environmental Protection Agency (EPA) drinking water standard</w:t>
      </w:r>
      <w:proofErr w:type="gramStart"/>
      <w:r w:rsidR="00F54E41" w:rsidRPr="0034727D">
        <w:rPr>
          <w:sz w:val="24"/>
          <w:szCs w:val="24"/>
        </w:rPr>
        <w:t>.</w:t>
      </w:r>
      <w:r w:rsidRPr="0034727D">
        <w:rPr>
          <w:sz w:val="24"/>
          <w:szCs w:val="24"/>
        </w:rPr>
        <w:t xml:space="preserve">  </w:t>
      </w:r>
      <w:proofErr w:type="gramEnd"/>
      <w:r w:rsidR="00F12EC8" w:rsidRPr="0034727D">
        <w:rPr>
          <w:sz w:val="24"/>
          <w:szCs w:val="24"/>
        </w:rPr>
        <w:t xml:space="preserve">Available </w:t>
      </w:r>
      <w:r w:rsidR="00F54E41" w:rsidRPr="0034727D">
        <w:rPr>
          <w:sz w:val="24"/>
          <w:szCs w:val="24"/>
        </w:rPr>
        <w:t>d</w:t>
      </w:r>
      <w:r w:rsidR="00766A74" w:rsidRPr="0034727D">
        <w:rPr>
          <w:sz w:val="24"/>
          <w:szCs w:val="24"/>
        </w:rPr>
        <w:t xml:space="preserve">ata </w:t>
      </w:r>
      <w:r w:rsidR="00527FE1" w:rsidRPr="0034727D">
        <w:rPr>
          <w:sz w:val="24"/>
          <w:szCs w:val="24"/>
        </w:rPr>
        <w:t xml:space="preserve">for </w:t>
      </w:r>
      <w:r w:rsidRPr="0034727D">
        <w:rPr>
          <w:sz w:val="24"/>
          <w:szCs w:val="24"/>
        </w:rPr>
        <w:t>the second and third quarters of</w:t>
      </w:r>
      <w:r w:rsidR="00527FE1" w:rsidRPr="0034727D">
        <w:rPr>
          <w:sz w:val="24"/>
          <w:szCs w:val="24"/>
        </w:rPr>
        <w:t xml:space="preserve"> </w:t>
      </w:r>
      <w:r w:rsidR="001B70DC" w:rsidRPr="0034727D">
        <w:rPr>
          <w:sz w:val="24"/>
          <w:szCs w:val="24"/>
        </w:rPr>
        <w:t>2015</w:t>
      </w:r>
      <w:r w:rsidR="00527FE1" w:rsidRPr="0034727D">
        <w:rPr>
          <w:sz w:val="24"/>
          <w:szCs w:val="24"/>
        </w:rPr>
        <w:t xml:space="preserve"> </w:t>
      </w:r>
      <w:r w:rsidR="00766A74" w:rsidRPr="0034727D">
        <w:rPr>
          <w:sz w:val="24"/>
          <w:szCs w:val="24"/>
        </w:rPr>
        <w:t xml:space="preserve">indicate a decrease or </w:t>
      </w:r>
      <w:r w:rsidR="00F12EC8" w:rsidRPr="0034727D">
        <w:rPr>
          <w:sz w:val="24"/>
          <w:szCs w:val="24"/>
        </w:rPr>
        <w:t xml:space="preserve">continued </w:t>
      </w:r>
      <w:r w:rsidR="00766A74" w:rsidRPr="0034727D">
        <w:rPr>
          <w:sz w:val="24"/>
          <w:szCs w:val="24"/>
        </w:rPr>
        <w:t>stabilization in the levels of tritium in groundwater at PNPS</w:t>
      </w:r>
      <w:r w:rsidR="00B733C9" w:rsidRPr="0034727D">
        <w:rPr>
          <w:sz w:val="24"/>
          <w:szCs w:val="24"/>
        </w:rPr>
        <w:t xml:space="preserve"> in all monitoring wells</w:t>
      </w:r>
      <w:r w:rsidR="001967F1" w:rsidRPr="0034727D">
        <w:rPr>
          <w:sz w:val="24"/>
          <w:szCs w:val="24"/>
        </w:rPr>
        <w:t xml:space="preserve">, with the majority of testing results below the PNPS screening level of 3,000 </w:t>
      </w:r>
      <w:proofErr w:type="spellStart"/>
      <w:r w:rsidR="001967F1" w:rsidRPr="0034727D">
        <w:rPr>
          <w:sz w:val="24"/>
          <w:szCs w:val="24"/>
        </w:rPr>
        <w:t>pCi</w:t>
      </w:r>
      <w:proofErr w:type="spellEnd"/>
      <w:r w:rsidR="001967F1" w:rsidRPr="0034727D">
        <w:rPr>
          <w:sz w:val="24"/>
          <w:szCs w:val="24"/>
        </w:rPr>
        <w:t>/L</w:t>
      </w:r>
      <w:proofErr w:type="gramStart"/>
      <w:r w:rsidR="001967F1" w:rsidRPr="0034727D">
        <w:rPr>
          <w:sz w:val="24"/>
          <w:szCs w:val="24"/>
        </w:rPr>
        <w:t xml:space="preserve">.  </w:t>
      </w:r>
      <w:proofErr w:type="gramEnd"/>
      <w:r w:rsidR="00F1512D" w:rsidRPr="0034727D">
        <w:rPr>
          <w:sz w:val="24"/>
          <w:szCs w:val="24"/>
        </w:rPr>
        <w:t xml:space="preserve">Results for </w:t>
      </w:r>
      <w:r w:rsidR="00C41352" w:rsidRPr="0034727D">
        <w:rPr>
          <w:sz w:val="24"/>
          <w:szCs w:val="24"/>
        </w:rPr>
        <w:t xml:space="preserve">all </w:t>
      </w:r>
      <w:r w:rsidR="00F1512D" w:rsidRPr="0034727D">
        <w:rPr>
          <w:sz w:val="24"/>
          <w:szCs w:val="24"/>
        </w:rPr>
        <w:t xml:space="preserve">groundwater wells monitored on a quarterly basis ranged from </w:t>
      </w:r>
      <w:r w:rsidR="00F54E41" w:rsidRPr="0034727D">
        <w:rPr>
          <w:sz w:val="24"/>
          <w:szCs w:val="24"/>
        </w:rPr>
        <w:t>levels that are not detecta</w:t>
      </w:r>
      <w:r w:rsidR="00F54E41" w:rsidRPr="00191786">
        <w:rPr>
          <w:sz w:val="24"/>
          <w:szCs w:val="24"/>
        </w:rPr>
        <w:t xml:space="preserve">ble (~300 </w:t>
      </w:r>
      <w:proofErr w:type="spellStart"/>
      <w:r w:rsidR="00F54E41" w:rsidRPr="00191786">
        <w:rPr>
          <w:sz w:val="24"/>
          <w:szCs w:val="24"/>
        </w:rPr>
        <w:t>pCi</w:t>
      </w:r>
      <w:proofErr w:type="spellEnd"/>
      <w:r w:rsidR="00F54E41" w:rsidRPr="00191786">
        <w:rPr>
          <w:sz w:val="24"/>
          <w:szCs w:val="24"/>
        </w:rPr>
        <w:t>/L),</w:t>
      </w:r>
      <w:r w:rsidR="00F54E41" w:rsidRPr="0034727D">
        <w:rPr>
          <w:sz w:val="24"/>
          <w:szCs w:val="24"/>
        </w:rPr>
        <w:t xml:space="preserve"> </w:t>
      </w:r>
      <w:r w:rsidR="00F1512D" w:rsidRPr="0034727D">
        <w:rPr>
          <w:sz w:val="24"/>
          <w:szCs w:val="24"/>
        </w:rPr>
        <w:t>to approximately 1</w:t>
      </w:r>
      <w:r w:rsidR="00470450" w:rsidRPr="0034727D">
        <w:rPr>
          <w:sz w:val="24"/>
          <w:szCs w:val="24"/>
        </w:rPr>
        <w:t>,</w:t>
      </w:r>
      <w:r w:rsidR="00F1512D" w:rsidRPr="0034727D">
        <w:rPr>
          <w:sz w:val="24"/>
          <w:szCs w:val="24"/>
        </w:rPr>
        <w:t xml:space="preserve">000 </w:t>
      </w:r>
      <w:proofErr w:type="spellStart"/>
      <w:r w:rsidR="00F1512D" w:rsidRPr="0034727D">
        <w:rPr>
          <w:sz w:val="24"/>
          <w:szCs w:val="24"/>
        </w:rPr>
        <w:t>pCi</w:t>
      </w:r>
      <w:proofErr w:type="spellEnd"/>
      <w:r w:rsidR="00F1512D" w:rsidRPr="0034727D">
        <w:rPr>
          <w:sz w:val="24"/>
          <w:szCs w:val="24"/>
        </w:rPr>
        <w:t>/L</w:t>
      </w:r>
      <w:proofErr w:type="gramStart"/>
      <w:r w:rsidR="00F1512D" w:rsidRPr="0034727D">
        <w:rPr>
          <w:sz w:val="24"/>
          <w:szCs w:val="24"/>
        </w:rPr>
        <w:t xml:space="preserve">.  </w:t>
      </w:r>
      <w:proofErr w:type="gramEnd"/>
      <w:r w:rsidR="0034727D">
        <w:rPr>
          <w:sz w:val="24"/>
          <w:szCs w:val="24"/>
        </w:rPr>
        <w:t xml:space="preserve">No tritium </w:t>
      </w:r>
      <w:proofErr w:type="gramStart"/>
      <w:r w:rsidR="0034727D">
        <w:rPr>
          <w:sz w:val="24"/>
          <w:szCs w:val="24"/>
        </w:rPr>
        <w:t>has been</w:t>
      </w:r>
      <w:r w:rsidR="00B47C8E" w:rsidRPr="0034727D">
        <w:rPr>
          <w:sz w:val="24"/>
          <w:szCs w:val="24"/>
        </w:rPr>
        <w:t xml:space="preserve"> detected</w:t>
      </w:r>
      <w:proofErr w:type="gramEnd"/>
      <w:r w:rsidR="00B47C8E" w:rsidRPr="0034727D">
        <w:rPr>
          <w:sz w:val="24"/>
          <w:szCs w:val="24"/>
        </w:rPr>
        <w:t xml:space="preserve"> in surface water samples collected during </w:t>
      </w:r>
      <w:r w:rsidR="00F54E41" w:rsidRPr="0034727D">
        <w:rPr>
          <w:sz w:val="24"/>
          <w:szCs w:val="24"/>
        </w:rPr>
        <w:t xml:space="preserve">the </w:t>
      </w:r>
      <w:r w:rsidR="00B47C8E" w:rsidRPr="0034727D">
        <w:rPr>
          <w:sz w:val="24"/>
          <w:szCs w:val="24"/>
        </w:rPr>
        <w:t>2</w:t>
      </w:r>
      <w:r w:rsidR="00F54E41" w:rsidRPr="0034727D">
        <w:rPr>
          <w:sz w:val="24"/>
          <w:szCs w:val="24"/>
          <w:vertAlign w:val="superscript"/>
        </w:rPr>
        <w:t>nd</w:t>
      </w:r>
      <w:r w:rsidR="00F54E41" w:rsidRPr="0034727D">
        <w:rPr>
          <w:sz w:val="24"/>
          <w:szCs w:val="24"/>
        </w:rPr>
        <w:t xml:space="preserve"> or </w:t>
      </w:r>
      <w:r w:rsidR="00B47C8E" w:rsidRPr="0034727D">
        <w:rPr>
          <w:sz w:val="24"/>
          <w:szCs w:val="24"/>
        </w:rPr>
        <w:t>3</w:t>
      </w:r>
      <w:r w:rsidR="00F54E41" w:rsidRPr="0034727D">
        <w:rPr>
          <w:sz w:val="24"/>
          <w:szCs w:val="24"/>
          <w:vertAlign w:val="superscript"/>
        </w:rPr>
        <w:t>rd</w:t>
      </w:r>
      <w:r w:rsidR="00F54E41" w:rsidRPr="0034727D">
        <w:rPr>
          <w:sz w:val="24"/>
          <w:szCs w:val="24"/>
        </w:rPr>
        <w:t xml:space="preserve"> quarter of 2015</w:t>
      </w:r>
      <w:r w:rsidR="00B47C8E" w:rsidRPr="0034727D">
        <w:rPr>
          <w:sz w:val="24"/>
          <w:szCs w:val="24"/>
        </w:rPr>
        <w:t xml:space="preserve">. </w:t>
      </w:r>
      <w:r w:rsidR="00F54E41" w:rsidRPr="0034727D">
        <w:rPr>
          <w:sz w:val="24"/>
          <w:szCs w:val="24"/>
        </w:rPr>
        <w:t xml:space="preserve"> </w:t>
      </w:r>
    </w:p>
    <w:p w:rsidR="00FF79E2" w:rsidRPr="0034727D" w:rsidRDefault="00FF79E2" w:rsidP="00F767E8">
      <w:pPr>
        <w:spacing w:after="0" w:line="240" w:lineRule="auto"/>
        <w:rPr>
          <w:sz w:val="24"/>
          <w:szCs w:val="24"/>
        </w:rPr>
      </w:pPr>
    </w:p>
    <w:p w:rsidR="00652575" w:rsidRPr="0034727D" w:rsidRDefault="00652575" w:rsidP="00B733C9">
      <w:pPr>
        <w:rPr>
          <w:rStyle w:val="Emphasis"/>
          <w:b/>
          <w:i w:val="0"/>
          <w:caps/>
          <w:sz w:val="24"/>
          <w:szCs w:val="24"/>
        </w:rPr>
      </w:pPr>
      <w:r w:rsidRPr="0034727D">
        <w:rPr>
          <w:rStyle w:val="Emphasis"/>
          <w:b/>
          <w:i w:val="0"/>
          <w:caps/>
          <w:sz w:val="24"/>
          <w:szCs w:val="24"/>
        </w:rPr>
        <w:t>Discussion</w:t>
      </w:r>
    </w:p>
    <w:p w:rsidR="007D7430" w:rsidRPr="0034727D" w:rsidRDefault="007D7430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>The current m</w:t>
      </w:r>
      <w:r w:rsidR="005F3846" w:rsidRPr="0034727D">
        <w:rPr>
          <w:sz w:val="24"/>
          <w:szCs w:val="24"/>
        </w:rPr>
        <w:t xml:space="preserve">onitoring </w:t>
      </w:r>
      <w:r w:rsidR="002D5FAF" w:rsidRPr="0034727D">
        <w:rPr>
          <w:sz w:val="24"/>
          <w:szCs w:val="24"/>
        </w:rPr>
        <w:t xml:space="preserve">results </w:t>
      </w:r>
      <w:r w:rsidR="005F3846" w:rsidRPr="0034727D">
        <w:rPr>
          <w:sz w:val="24"/>
          <w:szCs w:val="24"/>
        </w:rPr>
        <w:t>indicate</w:t>
      </w:r>
      <w:r w:rsidR="002D5FAF" w:rsidRPr="0034727D">
        <w:rPr>
          <w:sz w:val="24"/>
          <w:szCs w:val="24"/>
        </w:rPr>
        <w:t xml:space="preserve"> a</w:t>
      </w:r>
      <w:r w:rsidR="005F3846" w:rsidRPr="0034727D">
        <w:rPr>
          <w:sz w:val="24"/>
          <w:szCs w:val="24"/>
        </w:rPr>
        <w:t xml:space="preserve"> </w:t>
      </w:r>
      <w:r w:rsidR="00AA10C1" w:rsidRPr="0034727D">
        <w:rPr>
          <w:sz w:val="24"/>
          <w:szCs w:val="24"/>
        </w:rPr>
        <w:t>stabilization in the levels of tritium in groundwater at PNPS</w:t>
      </w:r>
      <w:r w:rsidR="00DF7FB6" w:rsidRPr="0034727D">
        <w:rPr>
          <w:sz w:val="24"/>
          <w:szCs w:val="24"/>
        </w:rPr>
        <w:t xml:space="preserve">, </w:t>
      </w:r>
      <w:r w:rsidR="002D5FAF" w:rsidRPr="0034727D">
        <w:rPr>
          <w:sz w:val="24"/>
          <w:szCs w:val="24"/>
        </w:rPr>
        <w:t xml:space="preserve">with </w:t>
      </w:r>
      <w:r w:rsidR="00DF7FB6" w:rsidRPr="0034727D">
        <w:rPr>
          <w:sz w:val="24"/>
          <w:szCs w:val="24"/>
        </w:rPr>
        <w:t xml:space="preserve">an overall decrease </w:t>
      </w:r>
      <w:r w:rsidR="002D5FAF" w:rsidRPr="0034727D">
        <w:rPr>
          <w:sz w:val="24"/>
          <w:szCs w:val="24"/>
        </w:rPr>
        <w:t xml:space="preserve">in tritium trends </w:t>
      </w:r>
      <w:r w:rsidR="005F3846" w:rsidRPr="0034727D">
        <w:rPr>
          <w:sz w:val="24"/>
          <w:szCs w:val="24"/>
        </w:rPr>
        <w:t>since the investigation began</w:t>
      </w:r>
      <w:r w:rsidR="00894202" w:rsidRPr="0034727D">
        <w:rPr>
          <w:sz w:val="24"/>
          <w:szCs w:val="24"/>
        </w:rPr>
        <w:t xml:space="preserve"> in 2010</w:t>
      </w:r>
      <w:r w:rsidR="005F3846" w:rsidRPr="0034727D">
        <w:rPr>
          <w:sz w:val="24"/>
          <w:szCs w:val="24"/>
        </w:rPr>
        <w:t xml:space="preserve">. </w:t>
      </w:r>
      <w:r w:rsidR="00D50CA5" w:rsidRPr="0034727D">
        <w:rPr>
          <w:sz w:val="24"/>
          <w:szCs w:val="24"/>
        </w:rPr>
        <w:t xml:space="preserve">The investigation </w:t>
      </w:r>
      <w:proofErr w:type="gramStart"/>
      <w:r w:rsidR="00D50CA5" w:rsidRPr="0034727D">
        <w:rPr>
          <w:sz w:val="24"/>
          <w:szCs w:val="24"/>
        </w:rPr>
        <w:t>is presently focused</w:t>
      </w:r>
      <w:proofErr w:type="gramEnd"/>
      <w:r w:rsidR="00D50CA5" w:rsidRPr="0034727D">
        <w:rPr>
          <w:sz w:val="24"/>
          <w:szCs w:val="24"/>
        </w:rPr>
        <w:t xml:space="preserve"> on </w:t>
      </w:r>
      <w:r w:rsidR="00894202" w:rsidRPr="0034727D">
        <w:rPr>
          <w:sz w:val="24"/>
          <w:szCs w:val="24"/>
        </w:rPr>
        <w:t xml:space="preserve">tritium detected in </w:t>
      </w:r>
      <w:r w:rsidR="00D50CA5" w:rsidRPr="0034727D">
        <w:rPr>
          <w:sz w:val="24"/>
          <w:szCs w:val="24"/>
        </w:rPr>
        <w:t xml:space="preserve">wells </w:t>
      </w:r>
      <w:r w:rsidR="00894202" w:rsidRPr="0034727D">
        <w:rPr>
          <w:sz w:val="24"/>
          <w:szCs w:val="24"/>
        </w:rPr>
        <w:t>MW-</w:t>
      </w:r>
      <w:r w:rsidR="00D50CA5" w:rsidRPr="0034727D">
        <w:rPr>
          <w:sz w:val="24"/>
          <w:szCs w:val="24"/>
        </w:rPr>
        <w:t xml:space="preserve">216 and </w:t>
      </w:r>
      <w:r w:rsidR="00894202" w:rsidRPr="0034727D">
        <w:rPr>
          <w:sz w:val="24"/>
          <w:szCs w:val="24"/>
        </w:rPr>
        <w:t>MW-</w:t>
      </w:r>
      <w:r w:rsidR="00D50CA5" w:rsidRPr="0034727D">
        <w:rPr>
          <w:sz w:val="24"/>
          <w:szCs w:val="24"/>
        </w:rPr>
        <w:t>218</w:t>
      </w:r>
      <w:r w:rsidR="00D11132" w:rsidRPr="0034727D">
        <w:rPr>
          <w:sz w:val="24"/>
          <w:szCs w:val="24"/>
        </w:rPr>
        <w:t xml:space="preserve">. </w:t>
      </w:r>
      <w:r w:rsidR="006470FA" w:rsidRPr="0034727D">
        <w:rPr>
          <w:sz w:val="24"/>
          <w:szCs w:val="24"/>
        </w:rPr>
        <w:t xml:space="preserve">  </w:t>
      </w:r>
    </w:p>
    <w:p w:rsidR="007D7430" w:rsidRPr="0034727D" w:rsidRDefault="007D7430" w:rsidP="0034727D">
      <w:pPr>
        <w:spacing w:after="0" w:line="240" w:lineRule="auto"/>
        <w:jc w:val="both"/>
        <w:rPr>
          <w:sz w:val="24"/>
          <w:szCs w:val="24"/>
        </w:rPr>
      </w:pPr>
    </w:p>
    <w:p w:rsidR="00653F0D" w:rsidRPr="0034727D" w:rsidRDefault="006F0427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>M</w:t>
      </w:r>
      <w:r w:rsidR="007D7430" w:rsidRPr="0034727D">
        <w:rPr>
          <w:sz w:val="24"/>
          <w:szCs w:val="24"/>
        </w:rPr>
        <w:t xml:space="preserve">onitoring </w:t>
      </w:r>
      <w:r w:rsidRPr="0034727D">
        <w:rPr>
          <w:sz w:val="24"/>
          <w:szCs w:val="24"/>
        </w:rPr>
        <w:t>W</w:t>
      </w:r>
      <w:r w:rsidR="007D7430" w:rsidRPr="0034727D">
        <w:rPr>
          <w:sz w:val="24"/>
          <w:szCs w:val="24"/>
        </w:rPr>
        <w:t xml:space="preserve">ell </w:t>
      </w:r>
      <w:r w:rsidR="00E13DEF" w:rsidRPr="0034727D">
        <w:rPr>
          <w:sz w:val="24"/>
          <w:szCs w:val="24"/>
        </w:rPr>
        <w:t xml:space="preserve">216 </w:t>
      </w:r>
      <w:r w:rsidR="007D7430" w:rsidRPr="0034727D">
        <w:rPr>
          <w:sz w:val="24"/>
          <w:szCs w:val="24"/>
        </w:rPr>
        <w:t xml:space="preserve">appears to have </w:t>
      </w:r>
      <w:r w:rsidR="00E13DEF" w:rsidRPr="0034727D">
        <w:rPr>
          <w:sz w:val="24"/>
          <w:szCs w:val="24"/>
        </w:rPr>
        <w:t xml:space="preserve">cyclical </w:t>
      </w:r>
      <w:r w:rsidR="007D7430" w:rsidRPr="0034727D">
        <w:rPr>
          <w:sz w:val="24"/>
          <w:szCs w:val="24"/>
        </w:rPr>
        <w:t>f</w:t>
      </w:r>
      <w:r w:rsidR="00470450" w:rsidRPr="0034727D">
        <w:rPr>
          <w:sz w:val="24"/>
          <w:szCs w:val="24"/>
        </w:rPr>
        <w:t xml:space="preserve">luctuations </w:t>
      </w:r>
      <w:r w:rsidR="007D7430" w:rsidRPr="0034727D">
        <w:rPr>
          <w:sz w:val="24"/>
          <w:szCs w:val="24"/>
        </w:rPr>
        <w:t xml:space="preserve">of tritium, with higher </w:t>
      </w:r>
      <w:r w:rsidR="00DF7FB6" w:rsidRPr="0034727D">
        <w:rPr>
          <w:sz w:val="24"/>
          <w:szCs w:val="24"/>
        </w:rPr>
        <w:t xml:space="preserve">levels </w:t>
      </w:r>
      <w:r w:rsidR="007D7430" w:rsidRPr="0034727D">
        <w:rPr>
          <w:sz w:val="24"/>
          <w:szCs w:val="24"/>
        </w:rPr>
        <w:t>d</w:t>
      </w:r>
      <w:r w:rsidR="00314B35" w:rsidRPr="0034727D">
        <w:rPr>
          <w:sz w:val="24"/>
          <w:szCs w:val="24"/>
        </w:rPr>
        <w:t xml:space="preserve">etected during </w:t>
      </w:r>
      <w:r w:rsidR="007D7430" w:rsidRPr="0034727D">
        <w:rPr>
          <w:sz w:val="24"/>
          <w:szCs w:val="24"/>
        </w:rPr>
        <w:t xml:space="preserve">October and </w:t>
      </w:r>
      <w:r w:rsidRPr="0034727D">
        <w:rPr>
          <w:sz w:val="24"/>
          <w:szCs w:val="24"/>
        </w:rPr>
        <w:t>early November</w:t>
      </w:r>
      <w:r w:rsidR="007D427B" w:rsidRPr="0034727D">
        <w:rPr>
          <w:sz w:val="24"/>
          <w:szCs w:val="24"/>
        </w:rPr>
        <w:t xml:space="preserve"> </w:t>
      </w:r>
      <w:r w:rsidR="007D7430" w:rsidRPr="0034727D">
        <w:rPr>
          <w:sz w:val="24"/>
          <w:szCs w:val="24"/>
        </w:rPr>
        <w:t xml:space="preserve">of </w:t>
      </w:r>
      <w:r w:rsidR="007D427B" w:rsidRPr="0034727D">
        <w:rPr>
          <w:sz w:val="24"/>
          <w:szCs w:val="24"/>
        </w:rPr>
        <w:t>each year</w:t>
      </w:r>
      <w:r w:rsidR="007D7430" w:rsidRPr="0034727D">
        <w:rPr>
          <w:sz w:val="24"/>
          <w:szCs w:val="24"/>
        </w:rPr>
        <w:t xml:space="preserve"> (Figure 1)</w:t>
      </w:r>
      <w:proofErr w:type="gramStart"/>
      <w:r w:rsidR="007D7430" w:rsidRPr="0034727D">
        <w:rPr>
          <w:sz w:val="24"/>
          <w:szCs w:val="24"/>
        </w:rPr>
        <w:t xml:space="preserve">.  </w:t>
      </w:r>
      <w:proofErr w:type="gramEnd"/>
      <w:r w:rsidR="008A2E22">
        <w:rPr>
          <w:sz w:val="24"/>
          <w:szCs w:val="24"/>
        </w:rPr>
        <w:t xml:space="preserve">Multiple potential sources of tritium are present </w:t>
      </w:r>
      <w:proofErr w:type="spellStart"/>
      <w:r w:rsidR="008A2E22">
        <w:rPr>
          <w:sz w:val="24"/>
          <w:szCs w:val="24"/>
        </w:rPr>
        <w:t>upgradient</w:t>
      </w:r>
      <w:proofErr w:type="spellEnd"/>
      <w:r w:rsidR="008A2E22">
        <w:rPr>
          <w:sz w:val="24"/>
          <w:szCs w:val="24"/>
        </w:rPr>
        <w:t xml:space="preserve"> of this well</w:t>
      </w:r>
      <w:proofErr w:type="gramStart"/>
      <w:r w:rsidR="008A2E22">
        <w:rPr>
          <w:sz w:val="24"/>
          <w:szCs w:val="24"/>
        </w:rPr>
        <w:t xml:space="preserve">.  </w:t>
      </w:r>
      <w:proofErr w:type="gramEnd"/>
      <w:r w:rsidR="008A2E22">
        <w:rPr>
          <w:sz w:val="24"/>
          <w:szCs w:val="24"/>
        </w:rPr>
        <w:t>In order</w:t>
      </w:r>
      <w:r w:rsidR="007D7430" w:rsidRPr="0034727D">
        <w:rPr>
          <w:sz w:val="24"/>
          <w:szCs w:val="24"/>
        </w:rPr>
        <w:t xml:space="preserve"> to address a potential route of migration from the inside of the plant to groundwater, </w:t>
      </w:r>
      <w:r w:rsidR="00653F0D" w:rsidRPr="0034727D">
        <w:rPr>
          <w:sz w:val="24"/>
          <w:szCs w:val="24"/>
        </w:rPr>
        <w:t xml:space="preserve">Entergy resealed </w:t>
      </w:r>
      <w:r w:rsidR="007D7430" w:rsidRPr="0034727D">
        <w:rPr>
          <w:sz w:val="24"/>
          <w:szCs w:val="24"/>
        </w:rPr>
        <w:t>an engineered</w:t>
      </w:r>
      <w:r w:rsidR="00653F0D" w:rsidRPr="0034727D">
        <w:rPr>
          <w:sz w:val="24"/>
          <w:szCs w:val="24"/>
        </w:rPr>
        <w:t xml:space="preserve"> </w:t>
      </w:r>
      <w:r w:rsidR="007D7430" w:rsidRPr="0034727D">
        <w:rPr>
          <w:sz w:val="24"/>
          <w:szCs w:val="24"/>
        </w:rPr>
        <w:t>“</w:t>
      </w:r>
      <w:r w:rsidR="00653F0D" w:rsidRPr="0034727D">
        <w:rPr>
          <w:sz w:val="24"/>
          <w:szCs w:val="24"/>
        </w:rPr>
        <w:t>seismic gap</w:t>
      </w:r>
      <w:r w:rsidR="007D7430" w:rsidRPr="0034727D">
        <w:rPr>
          <w:sz w:val="24"/>
          <w:szCs w:val="24"/>
        </w:rPr>
        <w:t>”</w:t>
      </w:r>
      <w:r w:rsidR="00653F0D" w:rsidRPr="0034727D">
        <w:rPr>
          <w:sz w:val="24"/>
          <w:szCs w:val="24"/>
        </w:rPr>
        <w:t xml:space="preserve"> that bisects the Reactor Bay and Turbine building (Condenser Bay) during </w:t>
      </w:r>
      <w:r w:rsidR="007D7430" w:rsidRPr="0034727D">
        <w:rPr>
          <w:sz w:val="24"/>
          <w:szCs w:val="24"/>
        </w:rPr>
        <w:t>a</w:t>
      </w:r>
      <w:r w:rsidR="00653F0D" w:rsidRPr="0034727D">
        <w:rPr>
          <w:sz w:val="24"/>
          <w:szCs w:val="24"/>
        </w:rPr>
        <w:t xml:space="preserve"> scheduled maintenance outage </w:t>
      </w:r>
      <w:r w:rsidR="007D7430" w:rsidRPr="0034727D">
        <w:rPr>
          <w:sz w:val="24"/>
          <w:szCs w:val="24"/>
        </w:rPr>
        <w:t xml:space="preserve">in the </w:t>
      </w:r>
      <w:r w:rsidR="00653F0D" w:rsidRPr="0034727D">
        <w:rPr>
          <w:sz w:val="24"/>
          <w:szCs w:val="24"/>
        </w:rPr>
        <w:t>spring of 2015</w:t>
      </w:r>
      <w:proofErr w:type="gramStart"/>
      <w:r w:rsidR="00653F0D" w:rsidRPr="0034727D">
        <w:rPr>
          <w:sz w:val="24"/>
          <w:szCs w:val="24"/>
        </w:rPr>
        <w:t xml:space="preserve">. </w:t>
      </w:r>
      <w:r w:rsidR="00F54E41" w:rsidRPr="0034727D">
        <w:rPr>
          <w:sz w:val="24"/>
          <w:szCs w:val="24"/>
        </w:rPr>
        <w:t xml:space="preserve"> </w:t>
      </w:r>
      <w:proofErr w:type="gramEnd"/>
      <w:r w:rsidR="00653F0D" w:rsidRPr="0034727D">
        <w:rPr>
          <w:sz w:val="24"/>
          <w:szCs w:val="24"/>
        </w:rPr>
        <w:t xml:space="preserve">Subsequently, Entergy completed additional sealing and painting in other areas within the power block (e.g. </w:t>
      </w:r>
      <w:proofErr w:type="spellStart"/>
      <w:r w:rsidR="00653F0D" w:rsidRPr="0034727D">
        <w:rPr>
          <w:sz w:val="24"/>
          <w:szCs w:val="24"/>
        </w:rPr>
        <w:t>Radwaste</w:t>
      </w:r>
      <w:proofErr w:type="spellEnd"/>
      <w:r w:rsidR="00653F0D" w:rsidRPr="0034727D">
        <w:rPr>
          <w:sz w:val="24"/>
          <w:szCs w:val="24"/>
        </w:rPr>
        <w:t xml:space="preserve"> corridors)</w:t>
      </w:r>
      <w:proofErr w:type="gramStart"/>
      <w:r w:rsidR="00653F0D" w:rsidRPr="0034727D">
        <w:rPr>
          <w:sz w:val="24"/>
          <w:szCs w:val="24"/>
        </w:rPr>
        <w:t>.</w:t>
      </w:r>
      <w:r w:rsidR="006470FA" w:rsidRPr="0034727D">
        <w:rPr>
          <w:sz w:val="24"/>
          <w:szCs w:val="24"/>
        </w:rPr>
        <w:t xml:space="preserve"> </w:t>
      </w:r>
      <w:r w:rsidR="00653F0D" w:rsidRPr="0034727D">
        <w:rPr>
          <w:sz w:val="24"/>
          <w:szCs w:val="24"/>
        </w:rPr>
        <w:t xml:space="preserve"> </w:t>
      </w:r>
      <w:proofErr w:type="gramEnd"/>
      <w:r w:rsidR="007D7430" w:rsidRPr="0034727D">
        <w:rPr>
          <w:sz w:val="24"/>
          <w:szCs w:val="24"/>
        </w:rPr>
        <w:t>C</w:t>
      </w:r>
      <w:r w:rsidR="007D38E8" w:rsidRPr="0034727D">
        <w:rPr>
          <w:sz w:val="24"/>
          <w:szCs w:val="24"/>
        </w:rPr>
        <w:t xml:space="preserve">ondensed water from rooftop air conditioners </w:t>
      </w:r>
      <w:r w:rsidR="00653F0D" w:rsidRPr="0034727D">
        <w:rPr>
          <w:sz w:val="24"/>
          <w:szCs w:val="24"/>
        </w:rPr>
        <w:t xml:space="preserve">has been </w:t>
      </w:r>
      <w:r w:rsidR="007D38E8" w:rsidRPr="0034727D">
        <w:rPr>
          <w:sz w:val="24"/>
          <w:szCs w:val="24"/>
        </w:rPr>
        <w:t>previously identified as a</w:t>
      </w:r>
      <w:r w:rsidR="007D7430" w:rsidRPr="0034727D">
        <w:rPr>
          <w:sz w:val="24"/>
          <w:szCs w:val="24"/>
        </w:rPr>
        <w:t>nother</w:t>
      </w:r>
      <w:r w:rsidR="007D38E8" w:rsidRPr="0034727D">
        <w:rPr>
          <w:sz w:val="24"/>
          <w:szCs w:val="24"/>
        </w:rPr>
        <w:t xml:space="preserve"> potential</w:t>
      </w:r>
      <w:r w:rsidR="00653F0D" w:rsidRPr="0034727D">
        <w:rPr>
          <w:sz w:val="24"/>
          <w:szCs w:val="24"/>
        </w:rPr>
        <w:t xml:space="preserve"> </w:t>
      </w:r>
      <w:r w:rsidR="007D7430" w:rsidRPr="0034727D">
        <w:rPr>
          <w:sz w:val="24"/>
          <w:szCs w:val="24"/>
        </w:rPr>
        <w:t xml:space="preserve">groundwater source of </w:t>
      </w:r>
      <w:r w:rsidR="00653F0D" w:rsidRPr="0034727D">
        <w:rPr>
          <w:sz w:val="24"/>
          <w:szCs w:val="24"/>
        </w:rPr>
        <w:t xml:space="preserve">tritium </w:t>
      </w:r>
      <w:r w:rsidR="009018C7">
        <w:rPr>
          <w:sz w:val="24"/>
          <w:szCs w:val="24"/>
        </w:rPr>
        <w:t xml:space="preserve">at MW-216 and </w:t>
      </w:r>
      <w:r w:rsidR="007D7430" w:rsidRPr="0034727D">
        <w:rPr>
          <w:sz w:val="24"/>
          <w:szCs w:val="24"/>
        </w:rPr>
        <w:t>a</w:t>
      </w:r>
      <w:r w:rsidR="007D38E8" w:rsidRPr="0034727D">
        <w:rPr>
          <w:sz w:val="24"/>
          <w:szCs w:val="24"/>
        </w:rPr>
        <w:t>t</w:t>
      </w:r>
      <w:r w:rsidR="00653F0D" w:rsidRPr="0034727D">
        <w:rPr>
          <w:sz w:val="24"/>
          <w:szCs w:val="24"/>
        </w:rPr>
        <w:t xml:space="preserve"> </w:t>
      </w:r>
      <w:r w:rsidR="007D7430" w:rsidRPr="0034727D">
        <w:rPr>
          <w:sz w:val="24"/>
          <w:szCs w:val="24"/>
        </w:rPr>
        <w:t xml:space="preserve">PNPS, consistent with observations at </w:t>
      </w:r>
      <w:r w:rsidR="00653F0D" w:rsidRPr="0034727D">
        <w:rPr>
          <w:sz w:val="24"/>
          <w:szCs w:val="24"/>
        </w:rPr>
        <w:t>nuclear pow</w:t>
      </w:r>
      <w:r w:rsidR="006470FA" w:rsidRPr="0034727D">
        <w:rPr>
          <w:sz w:val="24"/>
          <w:szCs w:val="24"/>
        </w:rPr>
        <w:t>er plants</w:t>
      </w:r>
      <w:r w:rsidR="007D38E8" w:rsidRPr="0034727D">
        <w:rPr>
          <w:sz w:val="24"/>
          <w:szCs w:val="24"/>
        </w:rPr>
        <w:t xml:space="preserve"> in other states</w:t>
      </w:r>
      <w:proofErr w:type="gramStart"/>
      <w:r w:rsidR="007D38E8" w:rsidRPr="0034727D">
        <w:rPr>
          <w:sz w:val="24"/>
          <w:szCs w:val="24"/>
        </w:rPr>
        <w:t xml:space="preserve">.  </w:t>
      </w:r>
      <w:proofErr w:type="gramEnd"/>
      <w:r w:rsidR="007D7430" w:rsidRPr="0034727D">
        <w:rPr>
          <w:sz w:val="24"/>
          <w:szCs w:val="24"/>
        </w:rPr>
        <w:t>However, an</w:t>
      </w:r>
      <w:r w:rsidR="007D38E8" w:rsidRPr="0034727D">
        <w:rPr>
          <w:sz w:val="24"/>
          <w:szCs w:val="24"/>
        </w:rPr>
        <w:t xml:space="preserve"> o</w:t>
      </w:r>
      <w:r w:rsidR="006470FA" w:rsidRPr="0034727D">
        <w:rPr>
          <w:sz w:val="24"/>
          <w:szCs w:val="24"/>
        </w:rPr>
        <w:t xml:space="preserve">n-site evaluation </w:t>
      </w:r>
      <w:r w:rsidR="007D7430" w:rsidRPr="0034727D">
        <w:rPr>
          <w:sz w:val="24"/>
          <w:szCs w:val="24"/>
        </w:rPr>
        <w:t xml:space="preserve">of condensate water collected from </w:t>
      </w:r>
      <w:r w:rsidR="007D38E8" w:rsidRPr="0034727D">
        <w:rPr>
          <w:sz w:val="24"/>
          <w:szCs w:val="24"/>
        </w:rPr>
        <w:t>AC</w:t>
      </w:r>
      <w:r w:rsidR="006470FA" w:rsidRPr="0034727D">
        <w:rPr>
          <w:sz w:val="24"/>
          <w:szCs w:val="24"/>
        </w:rPr>
        <w:t xml:space="preserve"> units on t</w:t>
      </w:r>
      <w:r w:rsidR="007D7430" w:rsidRPr="0034727D">
        <w:rPr>
          <w:sz w:val="24"/>
          <w:szCs w:val="24"/>
        </w:rPr>
        <w:t xml:space="preserve">he roof of the reactor building has yet to reveal detectable </w:t>
      </w:r>
      <w:r w:rsidR="006470FA" w:rsidRPr="0034727D">
        <w:rPr>
          <w:sz w:val="24"/>
          <w:szCs w:val="24"/>
        </w:rPr>
        <w:t>levels of tritium</w:t>
      </w:r>
      <w:r w:rsidR="00653F0D" w:rsidRPr="0034727D">
        <w:rPr>
          <w:sz w:val="24"/>
          <w:szCs w:val="24"/>
        </w:rPr>
        <w:t xml:space="preserve">.  </w:t>
      </w:r>
    </w:p>
    <w:p w:rsidR="00653F0D" w:rsidRPr="0034727D" w:rsidRDefault="00653F0D" w:rsidP="0034727D">
      <w:pPr>
        <w:spacing w:after="0" w:line="240" w:lineRule="auto"/>
        <w:jc w:val="both"/>
        <w:rPr>
          <w:sz w:val="24"/>
          <w:szCs w:val="24"/>
        </w:rPr>
      </w:pPr>
    </w:p>
    <w:p w:rsidR="00C3724A" w:rsidRPr="0034727D" w:rsidRDefault="00C3724A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 xml:space="preserve">MDPH continues to monitor weekly results for </w:t>
      </w:r>
      <w:r w:rsidR="00BE4BB5" w:rsidRPr="0034727D">
        <w:rPr>
          <w:sz w:val="24"/>
          <w:szCs w:val="24"/>
        </w:rPr>
        <w:t>MW-</w:t>
      </w:r>
      <w:r w:rsidR="007729F4" w:rsidRPr="0034727D">
        <w:rPr>
          <w:sz w:val="24"/>
          <w:szCs w:val="24"/>
        </w:rPr>
        <w:t>218</w:t>
      </w:r>
      <w:r w:rsidRPr="0034727D">
        <w:rPr>
          <w:sz w:val="24"/>
          <w:szCs w:val="24"/>
        </w:rPr>
        <w:t xml:space="preserve"> </w:t>
      </w:r>
      <w:r w:rsidR="006470FA" w:rsidRPr="0034727D">
        <w:rPr>
          <w:sz w:val="24"/>
          <w:szCs w:val="24"/>
        </w:rPr>
        <w:t>(</w:t>
      </w:r>
      <w:r w:rsidRPr="0034727D">
        <w:rPr>
          <w:sz w:val="24"/>
          <w:szCs w:val="24"/>
        </w:rPr>
        <w:t>located on the west side of the Power Block</w:t>
      </w:r>
      <w:r w:rsidR="006470FA" w:rsidRPr="0034727D">
        <w:rPr>
          <w:sz w:val="24"/>
          <w:szCs w:val="24"/>
        </w:rPr>
        <w:t>)</w:t>
      </w:r>
      <w:proofErr w:type="gramStart"/>
      <w:r w:rsidRPr="0034727D">
        <w:rPr>
          <w:sz w:val="24"/>
          <w:szCs w:val="24"/>
        </w:rPr>
        <w:t>.</w:t>
      </w:r>
      <w:r w:rsidR="00BE4BB5" w:rsidRPr="0034727D">
        <w:rPr>
          <w:sz w:val="24"/>
          <w:szCs w:val="24"/>
        </w:rPr>
        <w:t xml:space="preserve"> </w:t>
      </w:r>
      <w:r w:rsidR="00194B82" w:rsidRPr="0034727D">
        <w:rPr>
          <w:sz w:val="24"/>
          <w:szCs w:val="24"/>
        </w:rPr>
        <w:t xml:space="preserve"> </w:t>
      </w:r>
      <w:proofErr w:type="gramEnd"/>
      <w:r w:rsidR="00194B82" w:rsidRPr="0034727D">
        <w:rPr>
          <w:sz w:val="24"/>
          <w:szCs w:val="24"/>
        </w:rPr>
        <w:t>T</w:t>
      </w:r>
      <w:r w:rsidR="00433802" w:rsidRPr="0034727D">
        <w:rPr>
          <w:sz w:val="24"/>
          <w:szCs w:val="24"/>
        </w:rPr>
        <w:t xml:space="preserve">ritium levels </w:t>
      </w:r>
      <w:r w:rsidR="00BE4BB5" w:rsidRPr="0034727D">
        <w:rPr>
          <w:sz w:val="24"/>
          <w:szCs w:val="24"/>
        </w:rPr>
        <w:t>in MW-</w:t>
      </w:r>
      <w:r w:rsidR="00433802" w:rsidRPr="0034727D">
        <w:rPr>
          <w:sz w:val="24"/>
          <w:szCs w:val="24"/>
        </w:rPr>
        <w:t xml:space="preserve">218 </w:t>
      </w:r>
      <w:r w:rsidR="00BE4BB5" w:rsidRPr="0034727D">
        <w:rPr>
          <w:sz w:val="24"/>
          <w:szCs w:val="24"/>
        </w:rPr>
        <w:t xml:space="preserve">have fluctuated </w:t>
      </w:r>
      <w:r w:rsidR="00433802" w:rsidRPr="0034727D">
        <w:rPr>
          <w:sz w:val="24"/>
          <w:szCs w:val="24"/>
        </w:rPr>
        <w:t>between</w:t>
      </w:r>
      <w:r w:rsidR="007729F4" w:rsidRPr="0034727D">
        <w:rPr>
          <w:sz w:val="24"/>
          <w:szCs w:val="24"/>
        </w:rPr>
        <w:t xml:space="preserve"> 962 </w:t>
      </w:r>
      <w:proofErr w:type="spellStart"/>
      <w:r w:rsidR="00653F0D" w:rsidRPr="0034727D">
        <w:rPr>
          <w:sz w:val="24"/>
          <w:szCs w:val="24"/>
        </w:rPr>
        <w:t>pCi</w:t>
      </w:r>
      <w:proofErr w:type="spellEnd"/>
      <w:r w:rsidR="00653F0D" w:rsidRPr="0034727D">
        <w:rPr>
          <w:sz w:val="24"/>
          <w:szCs w:val="24"/>
        </w:rPr>
        <w:t xml:space="preserve">/L </w:t>
      </w:r>
      <w:r w:rsidR="006470FA" w:rsidRPr="0034727D">
        <w:rPr>
          <w:sz w:val="24"/>
          <w:szCs w:val="24"/>
        </w:rPr>
        <w:t>a</w:t>
      </w:r>
      <w:r w:rsidR="007729F4" w:rsidRPr="0034727D">
        <w:rPr>
          <w:sz w:val="24"/>
          <w:szCs w:val="24"/>
        </w:rPr>
        <w:t xml:space="preserve">nd </w:t>
      </w:r>
      <w:r w:rsidR="00653F0D" w:rsidRPr="0034727D">
        <w:rPr>
          <w:sz w:val="24"/>
          <w:szCs w:val="24"/>
        </w:rPr>
        <w:t xml:space="preserve">5,831 </w:t>
      </w:r>
      <w:proofErr w:type="spellStart"/>
      <w:r w:rsidR="00653F0D" w:rsidRPr="0034727D">
        <w:rPr>
          <w:sz w:val="24"/>
          <w:szCs w:val="24"/>
        </w:rPr>
        <w:t>pCi</w:t>
      </w:r>
      <w:proofErr w:type="spellEnd"/>
      <w:r w:rsidR="00653F0D" w:rsidRPr="0034727D">
        <w:rPr>
          <w:sz w:val="24"/>
          <w:szCs w:val="24"/>
        </w:rPr>
        <w:t xml:space="preserve">/L </w:t>
      </w:r>
      <w:r w:rsidR="006470FA" w:rsidRPr="0034727D">
        <w:rPr>
          <w:sz w:val="24"/>
          <w:szCs w:val="24"/>
        </w:rPr>
        <w:t>since this well was installed in</w:t>
      </w:r>
      <w:r w:rsidR="00BE4BB5" w:rsidRPr="0034727D">
        <w:rPr>
          <w:sz w:val="24"/>
          <w:szCs w:val="24"/>
        </w:rPr>
        <w:t xml:space="preserve"> </w:t>
      </w:r>
      <w:r w:rsidR="00653F0D" w:rsidRPr="0034727D">
        <w:rPr>
          <w:sz w:val="24"/>
          <w:szCs w:val="24"/>
        </w:rPr>
        <w:t>September 2013</w:t>
      </w:r>
      <w:proofErr w:type="gramStart"/>
      <w:r w:rsidR="00653F0D" w:rsidRPr="0034727D">
        <w:rPr>
          <w:sz w:val="24"/>
          <w:szCs w:val="24"/>
        </w:rPr>
        <w:t xml:space="preserve">. </w:t>
      </w:r>
      <w:r w:rsidR="006470FA" w:rsidRPr="0034727D">
        <w:rPr>
          <w:sz w:val="24"/>
          <w:szCs w:val="24"/>
        </w:rPr>
        <w:t xml:space="preserve"> </w:t>
      </w:r>
      <w:proofErr w:type="gramEnd"/>
      <w:r w:rsidR="007B2D95" w:rsidRPr="0034727D">
        <w:rPr>
          <w:sz w:val="24"/>
          <w:szCs w:val="24"/>
        </w:rPr>
        <w:t>This fall, Entergy worked with ERM to conduct</w:t>
      </w:r>
      <w:r w:rsidRPr="0034727D">
        <w:rPr>
          <w:sz w:val="24"/>
          <w:szCs w:val="24"/>
        </w:rPr>
        <w:t xml:space="preserve"> pump test</w:t>
      </w:r>
      <w:r w:rsidR="007B2D95" w:rsidRPr="0034727D">
        <w:rPr>
          <w:sz w:val="24"/>
          <w:szCs w:val="24"/>
        </w:rPr>
        <w:t>s</w:t>
      </w:r>
      <w:r w:rsidRPr="0034727D">
        <w:rPr>
          <w:sz w:val="24"/>
          <w:szCs w:val="24"/>
        </w:rPr>
        <w:t xml:space="preserve"> </w:t>
      </w:r>
      <w:r w:rsidR="007B2D95" w:rsidRPr="0034727D">
        <w:rPr>
          <w:sz w:val="24"/>
          <w:szCs w:val="24"/>
        </w:rPr>
        <w:t>of</w:t>
      </w:r>
      <w:r w:rsidRPr="0034727D">
        <w:rPr>
          <w:sz w:val="24"/>
          <w:szCs w:val="24"/>
        </w:rPr>
        <w:t xml:space="preserve"> </w:t>
      </w:r>
      <w:r w:rsidR="00CF073D" w:rsidRPr="0034727D">
        <w:rPr>
          <w:sz w:val="24"/>
          <w:szCs w:val="24"/>
        </w:rPr>
        <w:t>MW-</w:t>
      </w:r>
      <w:r w:rsidRPr="0034727D">
        <w:rPr>
          <w:sz w:val="24"/>
          <w:szCs w:val="24"/>
        </w:rPr>
        <w:t xml:space="preserve">218 </w:t>
      </w:r>
      <w:r w:rsidR="00BE3A33" w:rsidRPr="0034727D">
        <w:rPr>
          <w:sz w:val="24"/>
          <w:szCs w:val="24"/>
        </w:rPr>
        <w:t xml:space="preserve">with </w:t>
      </w:r>
      <w:r w:rsidR="00653F0D" w:rsidRPr="0034727D">
        <w:rPr>
          <w:sz w:val="24"/>
          <w:szCs w:val="24"/>
        </w:rPr>
        <w:t xml:space="preserve">the </w:t>
      </w:r>
      <w:r w:rsidR="006470FA" w:rsidRPr="0034727D">
        <w:rPr>
          <w:sz w:val="24"/>
          <w:szCs w:val="24"/>
        </w:rPr>
        <w:t xml:space="preserve">stated </w:t>
      </w:r>
      <w:r w:rsidR="00BE3A33" w:rsidRPr="0034727D">
        <w:rPr>
          <w:sz w:val="24"/>
          <w:szCs w:val="24"/>
        </w:rPr>
        <w:t xml:space="preserve">goal </w:t>
      </w:r>
      <w:r w:rsidR="00653F0D" w:rsidRPr="0034727D">
        <w:rPr>
          <w:sz w:val="24"/>
          <w:szCs w:val="24"/>
        </w:rPr>
        <w:t xml:space="preserve">of </w:t>
      </w:r>
      <w:r w:rsidR="006470FA" w:rsidRPr="0034727D">
        <w:rPr>
          <w:sz w:val="24"/>
          <w:szCs w:val="24"/>
        </w:rPr>
        <w:t xml:space="preserve">characterizing </w:t>
      </w:r>
      <w:r w:rsidR="00BE3A33" w:rsidRPr="0034727D">
        <w:rPr>
          <w:sz w:val="24"/>
          <w:szCs w:val="24"/>
        </w:rPr>
        <w:t xml:space="preserve">the </w:t>
      </w:r>
      <w:r w:rsidR="007B2D95" w:rsidRPr="0034727D">
        <w:rPr>
          <w:sz w:val="24"/>
          <w:szCs w:val="24"/>
        </w:rPr>
        <w:t xml:space="preserve">groundwater </w:t>
      </w:r>
      <w:r w:rsidRPr="0034727D">
        <w:rPr>
          <w:sz w:val="24"/>
          <w:szCs w:val="24"/>
        </w:rPr>
        <w:t xml:space="preserve">flow </w:t>
      </w:r>
      <w:r w:rsidR="007B2D95" w:rsidRPr="0034727D">
        <w:rPr>
          <w:sz w:val="24"/>
          <w:szCs w:val="24"/>
        </w:rPr>
        <w:t>at this well</w:t>
      </w:r>
      <w:proofErr w:type="gramStart"/>
      <w:r w:rsidRPr="0034727D">
        <w:rPr>
          <w:sz w:val="24"/>
          <w:szCs w:val="24"/>
        </w:rPr>
        <w:t xml:space="preserve">. </w:t>
      </w:r>
      <w:r w:rsidR="006470FA" w:rsidRPr="0034727D">
        <w:rPr>
          <w:sz w:val="24"/>
          <w:szCs w:val="24"/>
        </w:rPr>
        <w:t xml:space="preserve"> </w:t>
      </w:r>
      <w:proofErr w:type="gramEnd"/>
      <w:r w:rsidR="007B2D95" w:rsidRPr="0034727D">
        <w:rPr>
          <w:sz w:val="24"/>
          <w:szCs w:val="24"/>
        </w:rPr>
        <w:t xml:space="preserve">Entergy </w:t>
      </w:r>
      <w:r w:rsidR="006470FA" w:rsidRPr="0034727D">
        <w:rPr>
          <w:sz w:val="24"/>
          <w:szCs w:val="24"/>
        </w:rPr>
        <w:t xml:space="preserve">has attributed the source of contamination in this </w:t>
      </w:r>
      <w:r w:rsidR="006470FA" w:rsidRPr="0034727D">
        <w:rPr>
          <w:sz w:val="24"/>
          <w:szCs w:val="24"/>
        </w:rPr>
        <w:lastRenderedPageBreak/>
        <w:t xml:space="preserve">well to </w:t>
      </w:r>
      <w:r w:rsidR="009018C7">
        <w:rPr>
          <w:sz w:val="24"/>
          <w:szCs w:val="24"/>
        </w:rPr>
        <w:t xml:space="preserve">residual tritium in </w:t>
      </w:r>
      <w:r w:rsidR="00DE6A05" w:rsidRPr="0034727D">
        <w:rPr>
          <w:sz w:val="24"/>
          <w:szCs w:val="24"/>
        </w:rPr>
        <w:t xml:space="preserve">subsurface </w:t>
      </w:r>
      <w:r w:rsidR="007B2D95" w:rsidRPr="0034727D">
        <w:rPr>
          <w:sz w:val="24"/>
          <w:szCs w:val="24"/>
        </w:rPr>
        <w:t>soil</w:t>
      </w:r>
      <w:r w:rsidR="006470FA" w:rsidRPr="0034727D">
        <w:rPr>
          <w:sz w:val="24"/>
          <w:szCs w:val="24"/>
        </w:rPr>
        <w:t xml:space="preserve"> that is </w:t>
      </w:r>
      <w:proofErr w:type="gramStart"/>
      <w:r w:rsidR="006470FA" w:rsidRPr="0034727D">
        <w:rPr>
          <w:sz w:val="24"/>
          <w:szCs w:val="24"/>
        </w:rPr>
        <w:t>up-gradient</w:t>
      </w:r>
      <w:proofErr w:type="gramEnd"/>
      <w:r w:rsidR="006470FA" w:rsidRPr="0034727D">
        <w:rPr>
          <w:sz w:val="24"/>
          <w:szCs w:val="24"/>
        </w:rPr>
        <w:t xml:space="preserve">, and contaminated during a </w:t>
      </w:r>
      <w:r w:rsidR="00DE6A05" w:rsidRPr="0034727D">
        <w:rPr>
          <w:sz w:val="24"/>
          <w:szCs w:val="24"/>
        </w:rPr>
        <w:t xml:space="preserve">break in the </w:t>
      </w:r>
      <w:r w:rsidRPr="0034727D">
        <w:rPr>
          <w:sz w:val="24"/>
          <w:szCs w:val="24"/>
        </w:rPr>
        <w:t xml:space="preserve">neutralization sump </w:t>
      </w:r>
      <w:r w:rsidR="0066210B">
        <w:rPr>
          <w:sz w:val="24"/>
          <w:szCs w:val="24"/>
        </w:rPr>
        <w:t xml:space="preserve">discharge </w:t>
      </w:r>
      <w:r w:rsidRPr="0034727D">
        <w:rPr>
          <w:sz w:val="24"/>
          <w:szCs w:val="24"/>
        </w:rPr>
        <w:t>line</w:t>
      </w:r>
      <w:r w:rsidR="00BE4BB5" w:rsidRPr="0034727D">
        <w:rPr>
          <w:sz w:val="24"/>
          <w:szCs w:val="24"/>
        </w:rPr>
        <w:t xml:space="preserve"> in </w:t>
      </w:r>
      <w:r w:rsidR="00E91E41" w:rsidRPr="0034727D">
        <w:rPr>
          <w:sz w:val="24"/>
          <w:szCs w:val="24"/>
        </w:rPr>
        <w:t>201</w:t>
      </w:r>
      <w:r w:rsidR="004F2741" w:rsidRPr="0034727D">
        <w:rPr>
          <w:sz w:val="24"/>
          <w:szCs w:val="24"/>
        </w:rPr>
        <w:t>3</w:t>
      </w:r>
      <w:r w:rsidRPr="0034727D">
        <w:rPr>
          <w:sz w:val="24"/>
          <w:szCs w:val="24"/>
        </w:rPr>
        <w:t>.</w:t>
      </w:r>
      <w:r w:rsidR="00652575" w:rsidRPr="0034727D">
        <w:rPr>
          <w:sz w:val="24"/>
          <w:szCs w:val="24"/>
        </w:rPr>
        <w:t xml:space="preserve"> </w:t>
      </w:r>
      <w:r w:rsidR="00AA10C1" w:rsidRPr="0034727D">
        <w:rPr>
          <w:sz w:val="24"/>
          <w:szCs w:val="24"/>
        </w:rPr>
        <w:t xml:space="preserve"> </w:t>
      </w:r>
    </w:p>
    <w:p w:rsidR="00C3724A" w:rsidRPr="0034727D" w:rsidRDefault="00C3724A" w:rsidP="0034727D">
      <w:pPr>
        <w:spacing w:after="0" w:line="240" w:lineRule="auto"/>
        <w:jc w:val="both"/>
        <w:rPr>
          <w:sz w:val="24"/>
          <w:szCs w:val="24"/>
        </w:rPr>
      </w:pPr>
    </w:p>
    <w:p w:rsidR="00433802" w:rsidRPr="0034727D" w:rsidRDefault="0034727D" w:rsidP="0034727D">
      <w:pPr>
        <w:spacing w:after="0" w:line="240" w:lineRule="auto"/>
        <w:jc w:val="both"/>
        <w:rPr>
          <w:sz w:val="24"/>
          <w:szCs w:val="24"/>
        </w:rPr>
      </w:pPr>
      <w:r w:rsidRPr="0034727D">
        <w:rPr>
          <w:sz w:val="24"/>
          <w:szCs w:val="24"/>
        </w:rPr>
        <w:t xml:space="preserve">Staff from the MDPH Bureau of Environmental Health </w:t>
      </w:r>
      <w:r>
        <w:rPr>
          <w:sz w:val="24"/>
          <w:szCs w:val="24"/>
        </w:rPr>
        <w:t>will continue</w:t>
      </w:r>
      <w:r w:rsidRPr="0034727D">
        <w:rPr>
          <w:sz w:val="24"/>
          <w:szCs w:val="24"/>
        </w:rPr>
        <w:t xml:space="preserve"> to review information obtained from the latest groundwater monitoring, and </w:t>
      </w:r>
      <w:r>
        <w:rPr>
          <w:sz w:val="24"/>
          <w:szCs w:val="24"/>
        </w:rPr>
        <w:t>will maintain</w:t>
      </w:r>
      <w:r w:rsidRPr="0034727D">
        <w:rPr>
          <w:sz w:val="24"/>
          <w:szCs w:val="24"/>
        </w:rPr>
        <w:t xml:space="preserve"> regular contact with MEMA, NRC, and Entergy to discuss on-going investigation activities at PNPS.</w:t>
      </w:r>
    </w:p>
    <w:p w:rsidR="004E151B" w:rsidRDefault="004E151B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191786" w:rsidRDefault="00191786" w:rsidP="009C7F6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F3CF6" w:rsidRDefault="00003684" w:rsidP="009C7F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bookmarkStart w:id="0" w:name="_GoBack"/>
      <w:r w:rsidRPr="00003684">
        <w:rPr>
          <w:noProof/>
        </w:rPr>
        <w:drawing>
          <wp:inline distT="0" distB="0" distL="0" distR="0" wp14:anchorId="56A0A20B" wp14:editId="6B7563E0">
            <wp:extent cx="6858000" cy="6000750"/>
            <wp:effectExtent l="0" t="0" r="0" b="0"/>
            <wp:docPr id="8" name="Picture 8" descr="Figure 1.  Current and historic analytical testing results from measuring tritium in groundwater samples collected from 4 weekly and 3 monthly monitoring wells (MW) at Pilgrim Nuclear Power Station (PNPS). Results for the 16 quarterly groundwater wells and 2 surface wells are not shown. Data are plotted separately based on PNPS operator (solid lines) or MDPH (dotted lines) produced results.  The solid red line at 3000 pCi/L represents the screening level and represents 1/10th of the 30,000 pCi/L NRC determined level of concern.  (a) Current results from weekly samples collected from January through July 2015 showing a maximum level of 4,247 on May 12, 2015; (b) Biweekly and monthly results from January through July 2015  (c) Historic monitoring results for MW-216 (d) Historic monitoring results for MW-218.  " title="Figure 1.  Current and historic analytical testing results from measuring tritium in groundwater samples collected from 4 weekly and 3 monthly monitoring wells (MW) at Pilgrim Nuclear Power Station (PNP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3CF6" w:rsidRDefault="002F3CF6" w:rsidP="009C7F6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Figure 1</w:t>
      </w:r>
      <w:proofErr w:type="gramStart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.  </w:t>
      </w:r>
      <w:proofErr w:type="gramEnd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Current and historic analytical testing results from measuring tritium in groundwater samples collected from </w:t>
      </w:r>
      <w:r w:rsidR="00336E13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4 weekly and 3 monthly 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monitoring wells (MW) at Pilgri</w:t>
      </w:r>
      <w:r w:rsidR="00336E13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m Nuclear Power Station (PNPS). Results for the 16 quarterly groundwater wells and 2 surface wells </w:t>
      </w:r>
      <w:proofErr w:type="gramStart"/>
      <w:r w:rsidR="00336E13">
        <w:rPr>
          <w:rFonts w:asciiTheme="minorHAnsi" w:eastAsiaTheme="minorEastAsia" w:hAnsiTheme="minorHAnsi" w:cstheme="minorBidi"/>
          <w:color w:val="000000" w:themeColor="text1"/>
          <w:kern w:val="24"/>
        </w:rPr>
        <w:t>are not shown</w:t>
      </w:r>
      <w:proofErr w:type="gramEnd"/>
      <w:r w:rsidR="00336E13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. 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Data are plotted separately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based on PNPS operator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(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solid lines) or 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MDPH (dotted lines) produced results</w:t>
      </w:r>
      <w:proofErr w:type="gramStart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.  </w:t>
      </w:r>
      <w:proofErr w:type="gramEnd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The solid red line at 3000 </w:t>
      </w:r>
      <w:proofErr w:type="spellStart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pCi</w:t>
      </w:r>
      <w:proofErr w:type="spellEnd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/L represents the screening level and represents 1/10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  <w:vertAlign w:val="superscript"/>
        </w:rPr>
        <w:t>th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of the 30,000 </w:t>
      </w:r>
      <w:proofErr w:type="spellStart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pCi</w:t>
      </w:r>
      <w:proofErr w:type="spellEnd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>/L NRC determined level of concern</w:t>
      </w:r>
      <w:proofErr w:type="gramStart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.  </w:t>
      </w:r>
      <w:proofErr w:type="gramEnd"/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(a) Current results from weekly samples collected from January through July 2015 showing a maximum level of 4,247 on May 12, 2015; (b)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Biweekly and m</w:t>
      </w:r>
      <w:r w:rsidRPr="00076204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onthly results from January through July 2015  (c) Historic monitoring results for MW-216 (d) Historic monitoring results for MW-218.  </w:t>
      </w:r>
    </w:p>
    <w:p w:rsidR="00DC54F0" w:rsidRDefault="00DC54F0" w:rsidP="009C7F6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:rsidR="00DC54F0" w:rsidRPr="009C7F6F" w:rsidRDefault="00DC54F0" w:rsidP="00E979AB"/>
    <w:sectPr w:rsidR="00DC54F0" w:rsidRPr="009C7F6F" w:rsidSect="00945DC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80" w:rsidRDefault="006E1E80" w:rsidP="00945DC3">
      <w:pPr>
        <w:spacing w:after="0" w:line="240" w:lineRule="auto"/>
      </w:pPr>
      <w:r>
        <w:separator/>
      </w:r>
    </w:p>
  </w:endnote>
  <w:endnote w:type="continuationSeparator" w:id="0">
    <w:p w:rsidR="006E1E80" w:rsidRDefault="006E1E80" w:rsidP="0094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80" w:rsidRDefault="004326C4" w:rsidP="004326C4">
    <w:pPr>
      <w:pStyle w:val="Footer"/>
      <w:rPr>
        <w:sz w:val="16"/>
        <w:szCs w:val="16"/>
      </w:rPr>
    </w:pPr>
    <w:r w:rsidRPr="004326C4">
      <w:rPr>
        <w:sz w:val="16"/>
        <w:szCs w:val="16"/>
      </w:rPr>
      <w:fldChar w:fldCharType="begin"/>
    </w:r>
    <w:r w:rsidRPr="004326C4">
      <w:rPr>
        <w:sz w:val="16"/>
        <w:szCs w:val="16"/>
      </w:rPr>
      <w:instrText xml:space="preserve"> FILENAME   \* MERGEFORMAT </w:instrText>
    </w:r>
    <w:r w:rsidRPr="004326C4">
      <w:rPr>
        <w:sz w:val="16"/>
        <w:szCs w:val="16"/>
      </w:rPr>
      <w:fldChar w:fldCharType="separate"/>
    </w:r>
    <w:r w:rsidR="00495B9E">
      <w:rPr>
        <w:noProof/>
        <w:sz w:val="16"/>
        <w:szCs w:val="16"/>
      </w:rPr>
      <w:t>pnps-update-10-26-15</w:t>
    </w:r>
    <w:r w:rsidRPr="004326C4">
      <w:rPr>
        <w:sz w:val="16"/>
        <w:szCs w:val="16"/>
      </w:rPr>
      <w:fldChar w:fldCharType="end"/>
    </w:r>
  </w:p>
  <w:p w:rsidR="00685C19" w:rsidRPr="009132D4" w:rsidRDefault="00685C19" w:rsidP="00685C19">
    <w:pPr>
      <w:pStyle w:val="Header"/>
      <w:rPr>
        <w:rFonts w:ascii="Tahoma" w:hAnsi="Tahoma" w:cs="Tahoma"/>
        <w:sz w:val="16"/>
        <w:szCs w:val="16"/>
      </w:rPr>
    </w:pPr>
    <w:r w:rsidRPr="009132D4">
      <w:rPr>
        <w:rFonts w:ascii="Tahoma" w:hAnsi="Tahoma" w:cs="Tahoma"/>
        <w:sz w:val="16"/>
        <w:szCs w:val="16"/>
      </w:rPr>
      <w:tab/>
    </w:r>
    <w:r w:rsidRPr="009132D4">
      <w:rPr>
        <w:rFonts w:ascii="Tahoma" w:hAnsi="Tahoma" w:cs="Tahoma"/>
        <w:sz w:val="16"/>
        <w:szCs w:val="16"/>
      </w:rPr>
      <w:ptab w:relativeTo="margin" w:alignment="right" w:leader="none"/>
    </w:r>
    <w:r w:rsidRPr="009132D4">
      <w:rPr>
        <w:sz w:val="16"/>
        <w:szCs w:val="16"/>
      </w:rPr>
      <w:t xml:space="preserve"> </w:t>
    </w:r>
    <w:r w:rsidRPr="009132D4">
      <w:rPr>
        <w:rFonts w:ascii="Tahoma" w:hAnsi="Tahoma" w:cs="Tahoma"/>
        <w:sz w:val="16"/>
        <w:szCs w:val="16"/>
      </w:rPr>
      <w:t xml:space="preserve">Pg. </w:t>
    </w:r>
    <w:r w:rsidRPr="009132D4">
      <w:rPr>
        <w:rFonts w:ascii="Tahoma" w:hAnsi="Tahoma" w:cs="Tahoma"/>
        <w:sz w:val="16"/>
        <w:szCs w:val="16"/>
      </w:rPr>
      <w:fldChar w:fldCharType="begin"/>
    </w:r>
    <w:r w:rsidRPr="009132D4">
      <w:rPr>
        <w:rFonts w:ascii="Tahoma" w:hAnsi="Tahoma" w:cs="Tahoma"/>
        <w:sz w:val="16"/>
        <w:szCs w:val="16"/>
      </w:rPr>
      <w:instrText xml:space="preserve"> PAGE   \* MERGEFORMAT </w:instrText>
    </w:r>
    <w:r w:rsidRPr="009132D4">
      <w:rPr>
        <w:rFonts w:ascii="Tahoma" w:hAnsi="Tahoma" w:cs="Tahoma"/>
        <w:sz w:val="16"/>
        <w:szCs w:val="16"/>
      </w:rPr>
      <w:fldChar w:fldCharType="separate"/>
    </w:r>
    <w:r w:rsidR="00495B9E">
      <w:rPr>
        <w:rFonts w:ascii="Tahoma" w:hAnsi="Tahoma" w:cs="Tahoma"/>
        <w:noProof/>
        <w:sz w:val="16"/>
        <w:szCs w:val="16"/>
      </w:rPr>
      <w:t>4</w:t>
    </w:r>
    <w:r w:rsidRPr="009132D4">
      <w:rPr>
        <w:rFonts w:ascii="Tahoma" w:hAnsi="Tahoma" w:cs="Tahoma"/>
        <w:sz w:val="16"/>
        <w:szCs w:val="16"/>
      </w:rPr>
      <w:fldChar w:fldCharType="end"/>
    </w:r>
    <w:r w:rsidRPr="009132D4">
      <w:rPr>
        <w:rFonts w:ascii="Tahoma" w:hAnsi="Tahoma" w:cs="Tahoma"/>
        <w:sz w:val="16"/>
        <w:szCs w:val="16"/>
      </w:rPr>
      <w:t xml:space="preserve"> of </w:t>
    </w:r>
    <w:r w:rsidRPr="009132D4">
      <w:rPr>
        <w:rFonts w:ascii="Tahoma" w:hAnsi="Tahoma" w:cs="Tahoma"/>
        <w:sz w:val="16"/>
        <w:szCs w:val="16"/>
      </w:rPr>
      <w:fldChar w:fldCharType="begin"/>
    </w:r>
    <w:r w:rsidRPr="009132D4">
      <w:rPr>
        <w:rFonts w:ascii="Tahoma" w:hAnsi="Tahoma" w:cs="Tahoma"/>
        <w:sz w:val="16"/>
        <w:szCs w:val="16"/>
      </w:rPr>
      <w:instrText xml:space="preserve"> NUMPAGES   \* MERGEFORMAT </w:instrText>
    </w:r>
    <w:r w:rsidRPr="009132D4">
      <w:rPr>
        <w:rFonts w:ascii="Tahoma" w:hAnsi="Tahoma" w:cs="Tahoma"/>
        <w:sz w:val="16"/>
        <w:szCs w:val="16"/>
      </w:rPr>
      <w:fldChar w:fldCharType="separate"/>
    </w:r>
    <w:r w:rsidR="00495B9E">
      <w:rPr>
        <w:rFonts w:ascii="Tahoma" w:hAnsi="Tahoma" w:cs="Tahoma"/>
        <w:noProof/>
        <w:sz w:val="16"/>
        <w:szCs w:val="16"/>
      </w:rPr>
      <w:t>4</w:t>
    </w:r>
    <w:r w:rsidRPr="009132D4">
      <w:rPr>
        <w:rFonts w:ascii="Tahoma" w:hAnsi="Tahoma" w:cs="Tahoma"/>
        <w:sz w:val="16"/>
        <w:szCs w:val="16"/>
      </w:rPr>
      <w:fldChar w:fldCharType="end"/>
    </w:r>
    <w:r w:rsidRPr="009132D4">
      <w:rPr>
        <w:rFonts w:ascii="Tahoma" w:hAnsi="Tahoma" w:cs="Tahoma"/>
        <w:sz w:val="16"/>
        <w:szCs w:val="16"/>
      </w:rPr>
      <w:t xml:space="preserve">     </w:t>
    </w:r>
  </w:p>
  <w:p w:rsidR="00685C19" w:rsidRPr="004326C4" w:rsidRDefault="00685C19" w:rsidP="004326C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80" w:rsidRDefault="006E1E80" w:rsidP="00945DC3">
      <w:pPr>
        <w:spacing w:after="0" w:line="240" w:lineRule="auto"/>
      </w:pPr>
      <w:r>
        <w:separator/>
      </w:r>
    </w:p>
  </w:footnote>
  <w:footnote w:type="continuationSeparator" w:id="0">
    <w:p w:rsidR="006E1E80" w:rsidRDefault="006E1E80" w:rsidP="00945DC3">
      <w:pPr>
        <w:spacing w:after="0" w:line="240" w:lineRule="auto"/>
      </w:pPr>
      <w:r>
        <w:continuationSeparator/>
      </w:r>
    </w:p>
  </w:footnote>
  <w:footnote w:id="1">
    <w:p w:rsidR="0066210B" w:rsidRDefault="0066210B" w:rsidP="0066210B">
      <w:pPr>
        <w:pStyle w:val="FootnoteText"/>
      </w:pPr>
      <w:r>
        <w:rPr>
          <w:rStyle w:val="FootnoteReference"/>
        </w:rPr>
        <w:footnoteRef/>
      </w:r>
      <w:r>
        <w:t xml:space="preserve"> Previous </w:t>
      </w:r>
      <w:r w:rsidRPr="0066210B">
        <w:t>PNPS Tritium in Groundwater Investigation Update</w:t>
      </w:r>
      <w:r>
        <w:t>s are available here:</w:t>
      </w:r>
    </w:p>
    <w:p w:rsidR="0066210B" w:rsidRDefault="00495B9E" w:rsidP="0066210B">
      <w:pPr>
        <w:pStyle w:val="FootnoteText"/>
      </w:pPr>
      <w:hyperlink r:id="rId1" w:history="1">
        <w:r w:rsidR="0066210B" w:rsidRPr="000A73C5">
          <w:rPr>
            <w:rStyle w:val="Hyperlink"/>
          </w:rPr>
          <w:t>http://www.mass.gov/eohhs/gov/departments/dph/programs/environmental-health/exposure-topics/radiation/environmental-monitoring.html</w:t>
        </w:r>
      </w:hyperlink>
    </w:p>
    <w:p w:rsidR="0066210B" w:rsidRDefault="0066210B" w:rsidP="0066210B">
      <w:pPr>
        <w:pStyle w:val="FootnoteText"/>
      </w:pPr>
    </w:p>
  </w:footnote>
  <w:footnote w:id="2">
    <w:p w:rsidR="00F54E41" w:rsidRDefault="00F54E41" w:rsidP="00F54E41">
      <w:pPr>
        <w:pStyle w:val="FootnoteText"/>
      </w:pPr>
      <w:r>
        <w:rPr>
          <w:rStyle w:val="FootnoteReference"/>
        </w:rPr>
        <w:footnoteRef/>
      </w:r>
      <w:r>
        <w:t xml:space="preserve"> Groundwater and surface water monitoring locations and summary tables for both quarters are available on the MDPH website:</w:t>
      </w:r>
    </w:p>
    <w:p w:rsidR="00F54E41" w:rsidRDefault="00495B9E" w:rsidP="00F54E41">
      <w:pPr>
        <w:pStyle w:val="FootnoteText"/>
      </w:pPr>
      <w:hyperlink r:id="rId2" w:history="1">
        <w:r w:rsidR="00F54E41" w:rsidRPr="000A73C5">
          <w:rPr>
            <w:rStyle w:val="Hyperlink"/>
          </w:rPr>
          <w:t>http://www.mass.gov/eohhs/gov/departments/dph/programs/environmental-health/exposure-topics/radiation/environmental-monitoring.html</w:t>
        </w:r>
      </w:hyperlink>
    </w:p>
    <w:p w:rsidR="00F54E41" w:rsidRDefault="00F54E41" w:rsidP="00F54E4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E9F"/>
    <w:multiLevelType w:val="hybridMultilevel"/>
    <w:tmpl w:val="21FA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C9E"/>
    <w:multiLevelType w:val="hybridMultilevel"/>
    <w:tmpl w:val="C7628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F1BB2"/>
    <w:multiLevelType w:val="hybridMultilevel"/>
    <w:tmpl w:val="58E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85910"/>
    <w:multiLevelType w:val="hybridMultilevel"/>
    <w:tmpl w:val="2FCE677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F14DF4"/>
    <w:multiLevelType w:val="hybridMultilevel"/>
    <w:tmpl w:val="A77CBAEE"/>
    <w:lvl w:ilvl="0" w:tplc="8CB6B7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A62"/>
    <w:multiLevelType w:val="hybridMultilevel"/>
    <w:tmpl w:val="B41E5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0022B"/>
    <w:multiLevelType w:val="hybridMultilevel"/>
    <w:tmpl w:val="B4D4B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8C2AC2"/>
    <w:multiLevelType w:val="hybridMultilevel"/>
    <w:tmpl w:val="B12C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0A68"/>
    <w:multiLevelType w:val="hybridMultilevel"/>
    <w:tmpl w:val="C5A24A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6953CC5"/>
    <w:multiLevelType w:val="hybridMultilevel"/>
    <w:tmpl w:val="2DC65A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01678C"/>
    <w:multiLevelType w:val="hybridMultilevel"/>
    <w:tmpl w:val="8658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B0093"/>
    <w:multiLevelType w:val="hybridMultilevel"/>
    <w:tmpl w:val="576A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47226"/>
    <w:multiLevelType w:val="hybridMultilevel"/>
    <w:tmpl w:val="C08C6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63F60"/>
    <w:multiLevelType w:val="hybridMultilevel"/>
    <w:tmpl w:val="9756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46BFA"/>
    <w:multiLevelType w:val="hybridMultilevel"/>
    <w:tmpl w:val="57722B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D1E0398"/>
    <w:multiLevelType w:val="hybridMultilevel"/>
    <w:tmpl w:val="0CF4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B61B8"/>
    <w:multiLevelType w:val="hybridMultilevel"/>
    <w:tmpl w:val="AB82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516B7"/>
    <w:multiLevelType w:val="hybridMultilevel"/>
    <w:tmpl w:val="569CF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36AF6"/>
    <w:multiLevelType w:val="hybridMultilevel"/>
    <w:tmpl w:val="21DA0D58"/>
    <w:lvl w:ilvl="0" w:tplc="A60E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A70067"/>
    <w:multiLevelType w:val="hybridMultilevel"/>
    <w:tmpl w:val="7E24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579A4"/>
    <w:multiLevelType w:val="hybridMultilevel"/>
    <w:tmpl w:val="D390C6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2"/>
  </w:num>
  <w:num w:numId="7">
    <w:abstractNumId w:val="18"/>
  </w:num>
  <w:num w:numId="8">
    <w:abstractNumId w:val="4"/>
  </w:num>
  <w:num w:numId="9">
    <w:abstractNumId w:val="11"/>
  </w:num>
  <w:num w:numId="10">
    <w:abstractNumId w:val="19"/>
  </w:num>
  <w:num w:numId="11">
    <w:abstractNumId w:val="15"/>
  </w:num>
  <w:num w:numId="12">
    <w:abstractNumId w:val="10"/>
  </w:num>
  <w:num w:numId="13">
    <w:abstractNumId w:val="1"/>
  </w:num>
  <w:num w:numId="14">
    <w:abstractNumId w:val="9"/>
  </w:num>
  <w:num w:numId="15">
    <w:abstractNumId w:val="3"/>
  </w:num>
  <w:num w:numId="16">
    <w:abstractNumId w:val="20"/>
  </w:num>
  <w:num w:numId="17">
    <w:abstractNumId w:val="14"/>
  </w:num>
  <w:num w:numId="18">
    <w:abstractNumId w:val="17"/>
  </w:num>
  <w:num w:numId="19">
    <w:abstractNumId w:val="2"/>
  </w:num>
  <w:num w:numId="20">
    <w:abstractNumId w:val="7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65"/>
    <w:rsid w:val="00003684"/>
    <w:rsid w:val="00004815"/>
    <w:rsid w:val="00005CC1"/>
    <w:rsid w:val="000110D3"/>
    <w:rsid w:val="000159A5"/>
    <w:rsid w:val="00020923"/>
    <w:rsid w:val="00030859"/>
    <w:rsid w:val="00040BA0"/>
    <w:rsid w:val="00055F99"/>
    <w:rsid w:val="0006385A"/>
    <w:rsid w:val="00067B92"/>
    <w:rsid w:val="00076204"/>
    <w:rsid w:val="00097F63"/>
    <w:rsid w:val="000A7794"/>
    <w:rsid w:val="000A7D9A"/>
    <w:rsid w:val="000B5EE0"/>
    <w:rsid w:val="000C7633"/>
    <w:rsid w:val="000D0FC7"/>
    <w:rsid w:val="000D29A4"/>
    <w:rsid w:val="000D5FD3"/>
    <w:rsid w:val="000D7D2E"/>
    <w:rsid w:val="000F3095"/>
    <w:rsid w:val="00110A0D"/>
    <w:rsid w:val="00111C36"/>
    <w:rsid w:val="00126EFF"/>
    <w:rsid w:val="00131988"/>
    <w:rsid w:val="001320D3"/>
    <w:rsid w:val="0013367F"/>
    <w:rsid w:val="00141EB3"/>
    <w:rsid w:val="0014331D"/>
    <w:rsid w:val="0014405A"/>
    <w:rsid w:val="0014480C"/>
    <w:rsid w:val="00151907"/>
    <w:rsid w:val="001608E1"/>
    <w:rsid w:val="00171D89"/>
    <w:rsid w:val="00191786"/>
    <w:rsid w:val="0019381D"/>
    <w:rsid w:val="00194B82"/>
    <w:rsid w:val="001967F1"/>
    <w:rsid w:val="001A1481"/>
    <w:rsid w:val="001A16E7"/>
    <w:rsid w:val="001B0A4C"/>
    <w:rsid w:val="001B70DC"/>
    <w:rsid w:val="001C36BE"/>
    <w:rsid w:val="001E33F4"/>
    <w:rsid w:val="001E513D"/>
    <w:rsid w:val="002064A7"/>
    <w:rsid w:val="00213CC7"/>
    <w:rsid w:val="00220C12"/>
    <w:rsid w:val="00234F78"/>
    <w:rsid w:val="0026012E"/>
    <w:rsid w:val="00270E38"/>
    <w:rsid w:val="00276C2A"/>
    <w:rsid w:val="00286837"/>
    <w:rsid w:val="00292BBF"/>
    <w:rsid w:val="00297356"/>
    <w:rsid w:val="002A5639"/>
    <w:rsid w:val="002A6F48"/>
    <w:rsid w:val="002A77BD"/>
    <w:rsid w:val="002B65BE"/>
    <w:rsid w:val="002C477B"/>
    <w:rsid w:val="002D5FAF"/>
    <w:rsid w:val="002E2D31"/>
    <w:rsid w:val="002F3CF6"/>
    <w:rsid w:val="003022FE"/>
    <w:rsid w:val="003073F7"/>
    <w:rsid w:val="00314B35"/>
    <w:rsid w:val="00335AB6"/>
    <w:rsid w:val="00336E13"/>
    <w:rsid w:val="00342361"/>
    <w:rsid w:val="0034727D"/>
    <w:rsid w:val="00350BFA"/>
    <w:rsid w:val="00352F4B"/>
    <w:rsid w:val="00366847"/>
    <w:rsid w:val="003858F4"/>
    <w:rsid w:val="003910B0"/>
    <w:rsid w:val="00394851"/>
    <w:rsid w:val="003960BF"/>
    <w:rsid w:val="003C0E40"/>
    <w:rsid w:val="003C6468"/>
    <w:rsid w:val="003D519A"/>
    <w:rsid w:val="003E67C0"/>
    <w:rsid w:val="003F3733"/>
    <w:rsid w:val="003F3D34"/>
    <w:rsid w:val="00402990"/>
    <w:rsid w:val="00402ED9"/>
    <w:rsid w:val="004038BC"/>
    <w:rsid w:val="00415554"/>
    <w:rsid w:val="00415B88"/>
    <w:rsid w:val="00426B64"/>
    <w:rsid w:val="004326C4"/>
    <w:rsid w:val="00433802"/>
    <w:rsid w:val="00442B00"/>
    <w:rsid w:val="004567E9"/>
    <w:rsid w:val="0046666F"/>
    <w:rsid w:val="00466C43"/>
    <w:rsid w:val="00470450"/>
    <w:rsid w:val="00472BBD"/>
    <w:rsid w:val="00495B9E"/>
    <w:rsid w:val="004A40CC"/>
    <w:rsid w:val="004A5AC8"/>
    <w:rsid w:val="004B4BDE"/>
    <w:rsid w:val="004B77BF"/>
    <w:rsid w:val="004D5CE8"/>
    <w:rsid w:val="004E0228"/>
    <w:rsid w:val="004E054A"/>
    <w:rsid w:val="004E151B"/>
    <w:rsid w:val="004E312F"/>
    <w:rsid w:val="004E331D"/>
    <w:rsid w:val="004F2741"/>
    <w:rsid w:val="004F5C81"/>
    <w:rsid w:val="005061BC"/>
    <w:rsid w:val="00525748"/>
    <w:rsid w:val="00527FE1"/>
    <w:rsid w:val="005306B0"/>
    <w:rsid w:val="00543697"/>
    <w:rsid w:val="00545B00"/>
    <w:rsid w:val="00563020"/>
    <w:rsid w:val="005B38BF"/>
    <w:rsid w:val="005C2304"/>
    <w:rsid w:val="005C33C1"/>
    <w:rsid w:val="005D53A9"/>
    <w:rsid w:val="005F3846"/>
    <w:rsid w:val="00602D48"/>
    <w:rsid w:val="0061099E"/>
    <w:rsid w:val="006140FD"/>
    <w:rsid w:val="006342CC"/>
    <w:rsid w:val="006468F0"/>
    <w:rsid w:val="006470FA"/>
    <w:rsid w:val="00652575"/>
    <w:rsid w:val="00653F0D"/>
    <w:rsid w:val="006612D8"/>
    <w:rsid w:val="0066210B"/>
    <w:rsid w:val="0066606E"/>
    <w:rsid w:val="006677C9"/>
    <w:rsid w:val="006708F8"/>
    <w:rsid w:val="006714D3"/>
    <w:rsid w:val="0067271A"/>
    <w:rsid w:val="00685C19"/>
    <w:rsid w:val="006B712D"/>
    <w:rsid w:val="006C25BD"/>
    <w:rsid w:val="006C2741"/>
    <w:rsid w:val="006C4467"/>
    <w:rsid w:val="006C5929"/>
    <w:rsid w:val="006C7B19"/>
    <w:rsid w:val="006E1E80"/>
    <w:rsid w:val="006F0201"/>
    <w:rsid w:val="006F0427"/>
    <w:rsid w:val="00703249"/>
    <w:rsid w:val="00713750"/>
    <w:rsid w:val="00727584"/>
    <w:rsid w:val="00730775"/>
    <w:rsid w:val="0073312F"/>
    <w:rsid w:val="007352FC"/>
    <w:rsid w:val="007364A9"/>
    <w:rsid w:val="00741584"/>
    <w:rsid w:val="00752DB7"/>
    <w:rsid w:val="007608A0"/>
    <w:rsid w:val="00762F72"/>
    <w:rsid w:val="00766A74"/>
    <w:rsid w:val="00770EB9"/>
    <w:rsid w:val="007729F4"/>
    <w:rsid w:val="00776DB7"/>
    <w:rsid w:val="007852A5"/>
    <w:rsid w:val="007B2C8F"/>
    <w:rsid w:val="007B2D95"/>
    <w:rsid w:val="007C2FF1"/>
    <w:rsid w:val="007D38E8"/>
    <w:rsid w:val="007D427B"/>
    <w:rsid w:val="007D7430"/>
    <w:rsid w:val="007E06F0"/>
    <w:rsid w:val="007F3833"/>
    <w:rsid w:val="008106C3"/>
    <w:rsid w:val="00833C60"/>
    <w:rsid w:val="0083749E"/>
    <w:rsid w:val="0085226F"/>
    <w:rsid w:val="00861CD6"/>
    <w:rsid w:val="00880AAC"/>
    <w:rsid w:val="008826ED"/>
    <w:rsid w:val="0088798F"/>
    <w:rsid w:val="00894202"/>
    <w:rsid w:val="008A2E22"/>
    <w:rsid w:val="008C3D00"/>
    <w:rsid w:val="008D58BE"/>
    <w:rsid w:val="008D6A21"/>
    <w:rsid w:val="008E4C57"/>
    <w:rsid w:val="008E55DB"/>
    <w:rsid w:val="008F0D0E"/>
    <w:rsid w:val="008F11B9"/>
    <w:rsid w:val="008F539A"/>
    <w:rsid w:val="009018C7"/>
    <w:rsid w:val="009019EB"/>
    <w:rsid w:val="00912E8F"/>
    <w:rsid w:val="009132D4"/>
    <w:rsid w:val="009362E4"/>
    <w:rsid w:val="00945DC3"/>
    <w:rsid w:val="00953CC1"/>
    <w:rsid w:val="009556BF"/>
    <w:rsid w:val="009611E1"/>
    <w:rsid w:val="00976D77"/>
    <w:rsid w:val="00980B3E"/>
    <w:rsid w:val="009847BF"/>
    <w:rsid w:val="009849A2"/>
    <w:rsid w:val="009C7F6F"/>
    <w:rsid w:val="009E3AA4"/>
    <w:rsid w:val="009F55D7"/>
    <w:rsid w:val="009F6356"/>
    <w:rsid w:val="00A12819"/>
    <w:rsid w:val="00A14D64"/>
    <w:rsid w:val="00A339F8"/>
    <w:rsid w:val="00A33EEE"/>
    <w:rsid w:val="00A366F8"/>
    <w:rsid w:val="00A434D5"/>
    <w:rsid w:val="00A43DB8"/>
    <w:rsid w:val="00A47D72"/>
    <w:rsid w:val="00A523C2"/>
    <w:rsid w:val="00A66F32"/>
    <w:rsid w:val="00A67A20"/>
    <w:rsid w:val="00A75647"/>
    <w:rsid w:val="00A7665E"/>
    <w:rsid w:val="00AA10C1"/>
    <w:rsid w:val="00AA3A2B"/>
    <w:rsid w:val="00AB06BF"/>
    <w:rsid w:val="00AB4BF2"/>
    <w:rsid w:val="00AC0814"/>
    <w:rsid w:val="00AC6361"/>
    <w:rsid w:val="00B018A5"/>
    <w:rsid w:val="00B05BAE"/>
    <w:rsid w:val="00B102CD"/>
    <w:rsid w:val="00B14601"/>
    <w:rsid w:val="00B47C8E"/>
    <w:rsid w:val="00B640E8"/>
    <w:rsid w:val="00B706C8"/>
    <w:rsid w:val="00B72A6E"/>
    <w:rsid w:val="00B733C9"/>
    <w:rsid w:val="00B76096"/>
    <w:rsid w:val="00B8523C"/>
    <w:rsid w:val="00B8797F"/>
    <w:rsid w:val="00BA5E8F"/>
    <w:rsid w:val="00BB75F1"/>
    <w:rsid w:val="00BC2BA9"/>
    <w:rsid w:val="00BC692A"/>
    <w:rsid w:val="00BD5C98"/>
    <w:rsid w:val="00BE3129"/>
    <w:rsid w:val="00BE3A33"/>
    <w:rsid w:val="00BE4BB5"/>
    <w:rsid w:val="00BE7E06"/>
    <w:rsid w:val="00C13AD7"/>
    <w:rsid w:val="00C3724A"/>
    <w:rsid w:val="00C41352"/>
    <w:rsid w:val="00C4206F"/>
    <w:rsid w:val="00C440A0"/>
    <w:rsid w:val="00C702AD"/>
    <w:rsid w:val="00C83AE5"/>
    <w:rsid w:val="00C97C49"/>
    <w:rsid w:val="00CA5DFB"/>
    <w:rsid w:val="00CD6A3C"/>
    <w:rsid w:val="00CE2215"/>
    <w:rsid w:val="00CF073D"/>
    <w:rsid w:val="00D11132"/>
    <w:rsid w:val="00D118B9"/>
    <w:rsid w:val="00D153C1"/>
    <w:rsid w:val="00D21F39"/>
    <w:rsid w:val="00D2453C"/>
    <w:rsid w:val="00D42E6C"/>
    <w:rsid w:val="00D445B0"/>
    <w:rsid w:val="00D44BAA"/>
    <w:rsid w:val="00D50CA5"/>
    <w:rsid w:val="00D624EE"/>
    <w:rsid w:val="00D75C7F"/>
    <w:rsid w:val="00D779B2"/>
    <w:rsid w:val="00D81DAD"/>
    <w:rsid w:val="00D83254"/>
    <w:rsid w:val="00D83C8C"/>
    <w:rsid w:val="00D85C7D"/>
    <w:rsid w:val="00D90D38"/>
    <w:rsid w:val="00DA05A5"/>
    <w:rsid w:val="00DA2990"/>
    <w:rsid w:val="00DC54F0"/>
    <w:rsid w:val="00DC69FC"/>
    <w:rsid w:val="00DD29C9"/>
    <w:rsid w:val="00DD3E7C"/>
    <w:rsid w:val="00DE6A05"/>
    <w:rsid w:val="00DF18D7"/>
    <w:rsid w:val="00DF7FB6"/>
    <w:rsid w:val="00E13DEF"/>
    <w:rsid w:val="00E15773"/>
    <w:rsid w:val="00E167E7"/>
    <w:rsid w:val="00E24AD9"/>
    <w:rsid w:val="00E24D1A"/>
    <w:rsid w:val="00E262AB"/>
    <w:rsid w:val="00E34935"/>
    <w:rsid w:val="00E51D28"/>
    <w:rsid w:val="00E5215A"/>
    <w:rsid w:val="00E56212"/>
    <w:rsid w:val="00E60584"/>
    <w:rsid w:val="00E658FF"/>
    <w:rsid w:val="00E73334"/>
    <w:rsid w:val="00E87EE9"/>
    <w:rsid w:val="00E91E41"/>
    <w:rsid w:val="00E979AB"/>
    <w:rsid w:val="00EA27C5"/>
    <w:rsid w:val="00EB2C66"/>
    <w:rsid w:val="00EC44F4"/>
    <w:rsid w:val="00EF150F"/>
    <w:rsid w:val="00EF1560"/>
    <w:rsid w:val="00F00740"/>
    <w:rsid w:val="00F12EC8"/>
    <w:rsid w:val="00F1392B"/>
    <w:rsid w:val="00F1512D"/>
    <w:rsid w:val="00F1721B"/>
    <w:rsid w:val="00F20265"/>
    <w:rsid w:val="00F2581F"/>
    <w:rsid w:val="00F34980"/>
    <w:rsid w:val="00F44BC5"/>
    <w:rsid w:val="00F514A1"/>
    <w:rsid w:val="00F54E41"/>
    <w:rsid w:val="00F55B6C"/>
    <w:rsid w:val="00F62FFD"/>
    <w:rsid w:val="00F645AB"/>
    <w:rsid w:val="00F65064"/>
    <w:rsid w:val="00F65844"/>
    <w:rsid w:val="00F6646E"/>
    <w:rsid w:val="00F73F9C"/>
    <w:rsid w:val="00F75483"/>
    <w:rsid w:val="00F767E8"/>
    <w:rsid w:val="00F821CA"/>
    <w:rsid w:val="00F85E5F"/>
    <w:rsid w:val="00F9080E"/>
    <w:rsid w:val="00F94762"/>
    <w:rsid w:val="00FB1549"/>
    <w:rsid w:val="00FB79FD"/>
    <w:rsid w:val="00FD6AA2"/>
    <w:rsid w:val="00FE6ED8"/>
    <w:rsid w:val="00FF06E0"/>
    <w:rsid w:val="00FF406D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C3"/>
  </w:style>
  <w:style w:type="paragraph" w:styleId="Footer">
    <w:name w:val="footer"/>
    <w:basedOn w:val="Normal"/>
    <w:link w:val="FooterChar"/>
    <w:uiPriority w:val="99"/>
    <w:unhideWhenUsed/>
    <w:rsid w:val="0094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C3"/>
  </w:style>
  <w:style w:type="paragraph" w:styleId="BalloonText">
    <w:name w:val="Balloon Text"/>
    <w:basedOn w:val="Normal"/>
    <w:link w:val="BalloonTextChar"/>
    <w:uiPriority w:val="99"/>
    <w:semiHidden/>
    <w:unhideWhenUsed/>
    <w:rsid w:val="0094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C3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E167E7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16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0D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0D0E"/>
    <w:rPr>
      <w:i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1375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D6A2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7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372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3724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24A"/>
    <w:rPr>
      <w:b/>
      <w:bCs/>
    </w:rPr>
  </w:style>
  <w:style w:type="character" w:styleId="Emphasis">
    <w:name w:val="Emphasis"/>
    <w:basedOn w:val="DefaultParagraphFont"/>
    <w:uiPriority w:val="20"/>
    <w:qFormat/>
    <w:rsid w:val="00C372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1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7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A0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37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7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735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C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cOffice">
    <w:name w:val="Exec Office"/>
    <w:basedOn w:val="Normal"/>
    <w:rsid w:val="00685C19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685C19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685C19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C3"/>
  </w:style>
  <w:style w:type="paragraph" w:styleId="Footer">
    <w:name w:val="footer"/>
    <w:basedOn w:val="Normal"/>
    <w:link w:val="FooterChar"/>
    <w:uiPriority w:val="99"/>
    <w:unhideWhenUsed/>
    <w:rsid w:val="0094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C3"/>
  </w:style>
  <w:style w:type="paragraph" w:styleId="BalloonText">
    <w:name w:val="Balloon Text"/>
    <w:basedOn w:val="Normal"/>
    <w:link w:val="BalloonTextChar"/>
    <w:uiPriority w:val="99"/>
    <w:semiHidden/>
    <w:unhideWhenUsed/>
    <w:rsid w:val="0094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C3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E167E7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16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0D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0D0E"/>
    <w:rPr>
      <w:i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1375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D6A2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7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372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3724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24A"/>
    <w:rPr>
      <w:b/>
      <w:bCs/>
    </w:rPr>
  </w:style>
  <w:style w:type="character" w:styleId="Emphasis">
    <w:name w:val="Emphasis"/>
    <w:basedOn w:val="DefaultParagraphFont"/>
    <w:uiPriority w:val="20"/>
    <w:qFormat/>
    <w:rsid w:val="00C372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1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7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A0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37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7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735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C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cOffice">
    <w:name w:val="Exec Office"/>
    <w:basedOn w:val="Normal"/>
    <w:rsid w:val="00685C19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685C19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685C19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emf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footnotes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eohhs/gov/departments/dph/programs/environmental-health/exposure-topics/radiation/environmental-monitoring.html"/>
  <Relationship Id="rId2" Type="http://schemas.openxmlformats.org/officeDocument/2006/relationships/hyperlink" TargetMode="External" Target="http://www.mass.gov/eohhs/gov/departments/dph/programs/environmental-health/exposure-topics/radiation/environmental-monitoring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9188-E4B3-4745-9625-F58CB3D5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PNPS Tritium in Groundwater Investigation Update - 10/26/15</vt:lpstr>
    </vt:vector>
  </TitlesOfParts>
  <Company>EOHHS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2015-11-19T17:55:00Z</dcterms:created>
  <dc:creator>MDPH - Bureau of Environmental Health</dc:creator>
  <keywords>PNPS; tritium, Pilgrim Nuclear Power Station, groundwater</keywords>
  <lastModifiedBy/>
  <lastPrinted>2015-11-19T18:28:00Z</lastPrinted>
  <dcterms:modified xsi:type="dcterms:W3CDTF">2015-11-19T18:33:00Z</dcterms:modified>
  <revision>7</revision>
  <dc:subject>This document describes the results of an on-going investigation of levels of tritium in groundwater and surface water at Pilgrim Nuclear Power Station (PNPS) in Plymouth, MA.</dc:subject>
  <dc:title>PNPS Tritium in Groundwater Investigation Update - 10/26/15</dc:title>
</coreProperties>
</file>