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319B254C" w14:textId="77777777" w:rsidR="00457C02" w:rsidRDefault="00457C02" w:rsidP="000F315B">
      <w:pPr>
        <w:pStyle w:val="ExecOffice"/>
        <w:framePr w:w="6926" w:wrap="notBeside" w:vAnchor="page" w:x="2884" w:y="711"/>
      </w:pPr>
      <w:r>
        <w:t>Bureau of Environmental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20584EC7" w14:textId="77777777" w:rsidR="00457C02" w:rsidRDefault="00457C02" w:rsidP="000F315B">
      <w:pPr>
        <w:pStyle w:val="ExecOffice"/>
        <w:framePr w:w="6926" w:wrap="notBeside" w:vAnchor="page" w:x="2884" w:y="711"/>
      </w:pPr>
      <w:r>
        <w:t>Phone: 617-624-5757   Fax: 617-624-5777</w:t>
      </w:r>
    </w:p>
    <w:p w14:paraId="76D2DACB" w14:textId="77777777" w:rsidR="00457C02" w:rsidRDefault="00457C02" w:rsidP="000F315B">
      <w:pPr>
        <w:pStyle w:val="ExecOffice"/>
        <w:framePr w:w="6926" w:wrap="notBeside" w:vAnchor="page" w:x="2884" w:y="711"/>
      </w:pPr>
      <w:r>
        <w:t>TTY: 617-624-5286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8A60332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3D58BD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262F93E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A00B1A5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7ABAC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007A477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8A60332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3D58BD9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262F93E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A00B1A5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7ABAC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007A477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7D7FF3BF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95360B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EB1393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FEE02A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8E86F5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95360B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EB1393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FEE02A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8E86F5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4E8C46CF" w:rsidR="00FC6B42" w:rsidRDefault="007A6CF2" w:rsidP="0072610D">
      <w:r w:rsidRPr="00CD3F2D">
        <w:rPr>
          <w:rFonts w:ascii="Arial" w:hAnsi="Arial" w:cs="Arial"/>
          <w:b/>
          <w:noProof/>
          <w:color w:val="FF000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6617B" wp14:editId="70EB25B5">
                <wp:simplePos x="0" y="0"/>
                <wp:positionH relativeFrom="column">
                  <wp:posOffset>2409190</wp:posOffset>
                </wp:positionH>
                <wp:positionV relativeFrom="paragraph">
                  <wp:posOffset>6350</wp:posOffset>
                </wp:positionV>
                <wp:extent cx="1095375" cy="448310"/>
                <wp:effectExtent l="0" t="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DC18" w14:textId="77777777" w:rsidR="00B550C8" w:rsidRDefault="00B550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617B" id="_x0000_s1028" type="#_x0000_t202" style="position:absolute;margin-left:189.7pt;margin-top:.5pt;width:86.2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" stroked="f">
                <v:textbox>
                  <w:txbxContent>
                    <w:p w14:paraId="41B3DC18" w14:textId="77777777" w:rsidR="00B550C8" w:rsidRDefault="00B550C8"/>
                  </w:txbxContent>
                </v:textbox>
              </v:shape>
            </w:pict>
          </mc:Fallback>
        </mc:AlternateContent>
      </w:r>
    </w:p>
    <w:p w14:paraId="6421779F" w14:textId="0983BAA6" w:rsidR="00FC6B42" w:rsidRDefault="00FC6B42" w:rsidP="0072610D"/>
    <w:p w14:paraId="72F700CD" w14:textId="196EE678" w:rsidR="00966329" w:rsidRDefault="00966329" w:rsidP="0072610D"/>
    <w:p w14:paraId="08E6A3D9" w14:textId="7CC2BE2E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29CD6FAC" w:rsidR="00284BC8" w:rsidRPr="006A7D07" w:rsidRDefault="00966329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J</w:t>
      </w:r>
      <w:r w:rsidR="003D0572">
        <w:rPr>
          <w:b/>
          <w:szCs w:val="24"/>
        </w:rPr>
        <w:t>anuary</w:t>
      </w:r>
      <w:r w:rsidRPr="006A7D07">
        <w:rPr>
          <w:b/>
          <w:szCs w:val="24"/>
        </w:rPr>
        <w:t xml:space="preserve"> - </w:t>
      </w:r>
      <w:r w:rsidR="003D0572">
        <w:rPr>
          <w:b/>
          <w:szCs w:val="24"/>
        </w:rPr>
        <w:t>June</w:t>
      </w:r>
      <w:r w:rsidR="008B1356" w:rsidRPr="006A7D07">
        <w:rPr>
          <w:b/>
          <w:szCs w:val="24"/>
        </w:rPr>
        <w:t xml:space="preserve"> 20</w:t>
      </w:r>
      <w:r w:rsidR="003D0572">
        <w:rPr>
          <w:b/>
          <w:szCs w:val="24"/>
        </w:rPr>
        <w:t>20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3F81BBE8">
                <wp:simplePos x="0" y="0"/>
                <wp:positionH relativeFrom="column">
                  <wp:posOffset>19878</wp:posOffset>
                </wp:positionH>
                <wp:positionV relativeFrom="paragraph">
                  <wp:posOffset>100937</wp:posOffset>
                </wp:positionV>
                <wp:extent cx="5977719" cy="2176670"/>
                <wp:effectExtent l="0" t="0" r="2349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217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2E4AC98C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</w:t>
                            </w:r>
                            <w:r w:rsidR="003D0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anuary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3D0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June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3D0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09FB3AAB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D17A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wells were detectable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982F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except </w:t>
                            </w:r>
                            <w:r w:rsidR="0060216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6C76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onitoring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6C76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ell (MW)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-216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were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stable or tended to decrease over time.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33260E0E" w:rsidR="006C76A4" w:rsidRPr="005C4D56" w:rsidRDefault="006C76A4" w:rsidP="00AE2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</w:t>
                            </w:r>
                            <w:r w:rsidR="00E1528F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(including MW-216)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are less than the US EPA drinking water standard for tritium of 20,000 </w:t>
                            </w:r>
                            <w:proofErr w:type="spellStart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/L.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A2AF" id="_x0000_s1029" type="#_x0000_t202" style="position:absolute;left:0;text-align:left;margin-left:1.55pt;margin-top:7.95pt;width:470.7pt;height:1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2E4AC98C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</w:t>
                      </w:r>
                      <w:r w:rsidR="003D0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anuary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3D0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June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20</w:t>
                      </w:r>
                      <w:r w:rsidR="003D0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09FB3AAB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D17A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other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wells were detectable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</w:t>
                      </w:r>
                      <w:r w:rsidR="00982F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except </w:t>
                      </w:r>
                      <w:r w:rsidR="0060216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 w:rsidR="006C76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onitoring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</w:t>
                      </w:r>
                      <w:r w:rsidR="006C76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ell (MW)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-216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were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stable or tended to decrease over time.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33260E0E" w:rsidR="006C76A4" w:rsidRPr="005C4D56" w:rsidRDefault="006C76A4" w:rsidP="00AE2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szCs w:val="24"/>
                        </w:rPr>
                      </w:pP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</w:t>
                      </w:r>
                      <w:r w:rsidR="00E1528F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(including MW-216)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are less than the US EPA drinking water standard for tritium of 20,000 </w:t>
                      </w:r>
                      <w:proofErr w:type="spellStart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/L. </w:t>
                      </w:r>
                    </w:p>
                  </w:txbxContent>
                </v:textbox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2B76D945" w14:textId="77777777" w:rsidR="00E63136" w:rsidRDefault="00E63136" w:rsidP="00106ED6">
      <w:pPr>
        <w:jc w:val="both"/>
        <w:rPr>
          <w:b/>
          <w:szCs w:val="24"/>
        </w:rPr>
      </w:pPr>
    </w:p>
    <w:p w14:paraId="0979FBA5" w14:textId="77777777" w:rsidR="00E63136" w:rsidRDefault="00E63136" w:rsidP="00106ED6">
      <w:pPr>
        <w:jc w:val="both"/>
        <w:rPr>
          <w:b/>
          <w:szCs w:val="24"/>
        </w:rPr>
      </w:pPr>
    </w:p>
    <w:p w14:paraId="27B798AC" w14:textId="77777777" w:rsidR="00E63136" w:rsidRDefault="00E63136" w:rsidP="00106ED6">
      <w:pPr>
        <w:jc w:val="both"/>
        <w:rPr>
          <w:b/>
          <w:szCs w:val="24"/>
        </w:rPr>
      </w:pPr>
    </w:p>
    <w:p w14:paraId="3961B6F9" w14:textId="349EBDD3" w:rsidR="006C76A4" w:rsidRDefault="006C76A4" w:rsidP="00312BB1">
      <w:pPr>
        <w:rPr>
          <w:b/>
          <w:szCs w:val="24"/>
        </w:rPr>
      </w:pPr>
    </w:p>
    <w:p w14:paraId="1D0CD416" w14:textId="77777777" w:rsidR="007C1430" w:rsidRDefault="007C1430" w:rsidP="0035250D">
      <w:pPr>
        <w:jc w:val="both"/>
        <w:rPr>
          <w:b/>
          <w:szCs w:val="24"/>
        </w:rPr>
      </w:pPr>
    </w:p>
    <w:p w14:paraId="5012D147" w14:textId="77777777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0D51CE87" w:rsidR="00106ED6" w:rsidRPr="008B1356" w:rsidRDefault="0071739B" w:rsidP="00312BB1">
      <w:pPr>
        <w:jc w:val="both"/>
        <w:rPr>
          <w:szCs w:val="24"/>
        </w:rPr>
      </w:pPr>
      <w:r>
        <w:rPr>
          <w:szCs w:val="24"/>
        </w:rPr>
        <w:t>Holtec</w:t>
      </w:r>
      <w:r w:rsidR="00106ED6" w:rsidRPr="008B1356">
        <w:rPr>
          <w:szCs w:val="24"/>
        </w:rPr>
        <w:t xml:space="preserve"> collects samples at 23 groundwater wells and one surface water location on-site at PNPS. The sampling intervals </w:t>
      </w:r>
      <w:r w:rsidR="005B4EB1" w:rsidRPr="008B1356">
        <w:rPr>
          <w:szCs w:val="24"/>
        </w:rPr>
        <w:t xml:space="preserve">for the </w:t>
      </w:r>
      <w:r w:rsidR="003D0572">
        <w:rPr>
          <w:szCs w:val="24"/>
        </w:rPr>
        <w:t>first</w:t>
      </w:r>
      <w:r w:rsidR="005B4EB1" w:rsidRPr="008B1356">
        <w:rPr>
          <w:szCs w:val="24"/>
        </w:rPr>
        <w:t xml:space="preserve"> six months of 20</w:t>
      </w:r>
      <w:r w:rsidR="003D0572">
        <w:rPr>
          <w:szCs w:val="24"/>
        </w:rPr>
        <w:t>20</w:t>
      </w:r>
      <w:r w:rsidR="005B4EB1" w:rsidRPr="008B1356">
        <w:rPr>
          <w:szCs w:val="24"/>
        </w:rPr>
        <w:t xml:space="preserve"> </w:t>
      </w:r>
      <w:r w:rsidR="00106ED6" w:rsidRPr="008B1356">
        <w:rPr>
          <w:szCs w:val="24"/>
        </w:rPr>
        <w:t>range</w:t>
      </w:r>
      <w:r w:rsidR="000428EA" w:rsidRPr="008B1356">
        <w:rPr>
          <w:szCs w:val="24"/>
        </w:rPr>
        <w:t>d</w:t>
      </w:r>
      <w:r w:rsidR="00106ED6" w:rsidRPr="008B1356">
        <w:rPr>
          <w:szCs w:val="24"/>
        </w:rPr>
        <w:t xml:space="preserve"> from </w:t>
      </w:r>
      <w:r w:rsidR="004229BF" w:rsidRPr="004229BF">
        <w:rPr>
          <w:szCs w:val="24"/>
        </w:rPr>
        <w:t>monthly</w:t>
      </w:r>
      <w:r w:rsidR="00106ED6" w:rsidRPr="004229BF">
        <w:rPr>
          <w:szCs w:val="24"/>
        </w:rPr>
        <w:t xml:space="preserve"> to quarterly</w:t>
      </w:r>
      <w:r w:rsidR="002334E3" w:rsidRPr="004229BF">
        <w:rPr>
          <w:szCs w:val="24"/>
        </w:rPr>
        <w:t>,</w:t>
      </w:r>
      <w:r w:rsidR="00106ED6" w:rsidRPr="008B1356">
        <w:rPr>
          <w:szCs w:val="24"/>
        </w:rPr>
        <w:t xml:space="preserve"> based on past monitoring results and analysis of possible tritium pathways</w:t>
      </w:r>
      <w:r w:rsidR="00F90DCB">
        <w:rPr>
          <w:szCs w:val="24"/>
        </w:rPr>
        <w:t xml:space="preserve"> in groundwater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r>
        <w:rPr>
          <w:szCs w:val="24"/>
        </w:rPr>
        <w:t>Holtec</w:t>
      </w:r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</w:t>
      </w:r>
      <w:r w:rsidR="004F0A3A" w:rsidRPr="008B1356">
        <w:rPr>
          <w:szCs w:val="24"/>
        </w:rPr>
        <w:lastRenderedPageBreak/>
        <w:t xml:space="preserve">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24EF814A" w14:textId="77777777" w:rsidR="00106ED6" w:rsidRPr="008B1356" w:rsidRDefault="00106ED6" w:rsidP="00106ED6">
      <w:pPr>
        <w:jc w:val="both"/>
        <w:rPr>
          <w:szCs w:val="24"/>
        </w:rPr>
      </w:pPr>
    </w:p>
    <w:p w14:paraId="133FB7D9" w14:textId="73B7CB3C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>protective screening level of 3,000 picocuries per liter (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/L),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pCi/L.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 xml:space="preserve">.   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5F5B09FC" w14:textId="55351752" w:rsidR="00B168BB" w:rsidRPr="005E200D" w:rsidRDefault="00832D67" w:rsidP="00312BB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3D0572">
        <w:rPr>
          <w:szCs w:val="24"/>
        </w:rPr>
        <w:t>fir</w:t>
      </w:r>
      <w:r w:rsidR="001F006D">
        <w:rPr>
          <w:szCs w:val="24"/>
        </w:rPr>
        <w:t>st</w:t>
      </w:r>
      <w:r w:rsidRPr="005E200D">
        <w:rPr>
          <w:szCs w:val="24"/>
        </w:rPr>
        <w:t xml:space="preserve"> six months of 20</w:t>
      </w:r>
      <w:r w:rsidR="004229BF">
        <w:rPr>
          <w:szCs w:val="24"/>
        </w:rPr>
        <w:t>20</w:t>
      </w:r>
      <w:r w:rsidRPr="005E200D">
        <w:rPr>
          <w:szCs w:val="24"/>
        </w:rPr>
        <w:t xml:space="preserve"> </w:t>
      </w:r>
      <w:r w:rsidRPr="00B23244">
        <w:rPr>
          <w:szCs w:val="24"/>
        </w:rPr>
        <w:t>showed stabilization or a reduction</w:t>
      </w:r>
      <w:r w:rsidRPr="005E200D">
        <w:rPr>
          <w:szCs w:val="24"/>
        </w:rPr>
        <w:t xml:space="preserve"> in tritium levels at most wells</w:t>
      </w:r>
      <w:r w:rsidR="0071739B">
        <w:rPr>
          <w:szCs w:val="24"/>
        </w:rPr>
        <w:t>;</w:t>
      </w:r>
      <w:r w:rsidR="003068A1" w:rsidRPr="005E200D">
        <w:rPr>
          <w:szCs w:val="24"/>
        </w:rPr>
        <w:t xml:space="preserve"> there was no detectable tritium activity in</w:t>
      </w:r>
      <w:r w:rsidR="00291BAE" w:rsidRPr="005E200D">
        <w:rPr>
          <w:szCs w:val="24"/>
        </w:rPr>
        <w:t xml:space="preserve"> surface water samples or in</w:t>
      </w:r>
      <w:r w:rsidR="003068A1" w:rsidRPr="005E200D">
        <w:rPr>
          <w:szCs w:val="24"/>
        </w:rPr>
        <w:t xml:space="preserve"> </w:t>
      </w:r>
      <w:r w:rsidR="00D17A75">
        <w:rPr>
          <w:szCs w:val="24"/>
        </w:rPr>
        <w:t>9</w:t>
      </w:r>
      <w:r w:rsidR="003068A1" w:rsidRPr="005E200D">
        <w:rPr>
          <w:szCs w:val="24"/>
        </w:rPr>
        <w:t xml:space="preserve"> o</w:t>
      </w:r>
      <w:r w:rsidR="00284BC8" w:rsidRPr="005E200D">
        <w:rPr>
          <w:szCs w:val="24"/>
        </w:rPr>
        <w:t>f the 23 on-site groundwater wells that are routinely monitored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</w:p>
    <w:p w14:paraId="429AF498" w14:textId="77777777" w:rsidR="00B168BB" w:rsidRPr="005E200D" w:rsidRDefault="00B168BB" w:rsidP="00312BB1">
      <w:pPr>
        <w:jc w:val="both"/>
        <w:rPr>
          <w:szCs w:val="24"/>
        </w:rPr>
      </w:pPr>
    </w:p>
    <w:p w14:paraId="4DA64236" w14:textId="4E2BFB6B" w:rsidR="005E200D" w:rsidRDefault="00832D67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00D">
        <w:rPr>
          <w:rFonts w:ascii="Times New Roman" w:hAnsi="Times New Roman"/>
          <w:sz w:val="24"/>
          <w:szCs w:val="24"/>
        </w:rPr>
        <w:t>Figure 1 shows sampling results in 20</w:t>
      </w:r>
      <w:r w:rsidR="003D0572">
        <w:rPr>
          <w:rFonts w:ascii="Times New Roman" w:hAnsi="Times New Roman"/>
          <w:sz w:val="24"/>
          <w:szCs w:val="24"/>
        </w:rPr>
        <w:t>20</w:t>
      </w:r>
      <w:r w:rsidRPr="005E200D">
        <w:rPr>
          <w:rFonts w:ascii="Times New Roman" w:hAnsi="Times New Roman"/>
          <w:sz w:val="24"/>
          <w:szCs w:val="24"/>
        </w:rPr>
        <w:t xml:space="preserve"> for </w:t>
      </w:r>
      <w:r w:rsidR="004229BF" w:rsidRPr="005E200D">
        <w:rPr>
          <w:rFonts w:ascii="Times New Roman" w:hAnsi="Times New Roman"/>
          <w:sz w:val="24"/>
          <w:szCs w:val="24"/>
        </w:rPr>
        <w:t>MW-216</w:t>
      </w:r>
      <w:r w:rsidR="004229BF">
        <w:rPr>
          <w:rFonts w:ascii="Times New Roman" w:hAnsi="Times New Roman"/>
          <w:sz w:val="24"/>
          <w:szCs w:val="24"/>
        </w:rPr>
        <w:t xml:space="preserve">, </w:t>
      </w:r>
      <w:r w:rsidR="005E200D" w:rsidRPr="005E200D">
        <w:rPr>
          <w:rFonts w:ascii="Times New Roman" w:hAnsi="Times New Roman"/>
          <w:sz w:val="24"/>
          <w:szCs w:val="24"/>
        </w:rPr>
        <w:t>where</w:t>
      </w:r>
      <w:r w:rsidRPr="005E200D">
        <w:rPr>
          <w:rFonts w:ascii="Times New Roman" w:hAnsi="Times New Roman"/>
          <w:sz w:val="24"/>
          <w:szCs w:val="24"/>
        </w:rPr>
        <w:t xml:space="preserve"> tritium levels exceeded the screening level of 3,000 </w:t>
      </w:r>
      <w:proofErr w:type="spellStart"/>
      <w:r w:rsidRPr="005E200D">
        <w:rPr>
          <w:rFonts w:ascii="Times New Roman" w:hAnsi="Times New Roman"/>
          <w:sz w:val="24"/>
          <w:szCs w:val="24"/>
        </w:rPr>
        <w:t>pCi</w:t>
      </w:r>
      <w:proofErr w:type="spellEnd"/>
      <w:r w:rsidRPr="005E200D">
        <w:rPr>
          <w:rFonts w:ascii="Times New Roman" w:hAnsi="Times New Roman"/>
          <w:sz w:val="24"/>
          <w:szCs w:val="24"/>
        </w:rPr>
        <w:t>/L</w:t>
      </w:r>
      <w:r w:rsidR="00B23244">
        <w:rPr>
          <w:rFonts w:ascii="Times New Roman" w:hAnsi="Times New Roman"/>
          <w:sz w:val="24"/>
          <w:szCs w:val="24"/>
        </w:rPr>
        <w:t xml:space="preserve">, </w:t>
      </w:r>
      <w:r w:rsidRPr="005E200D">
        <w:rPr>
          <w:rFonts w:ascii="Times New Roman" w:hAnsi="Times New Roman"/>
          <w:sz w:val="24"/>
          <w:szCs w:val="24"/>
        </w:rPr>
        <w:t>as well as historic</w:t>
      </w:r>
      <w:r w:rsidR="005E200D" w:rsidRPr="005E200D">
        <w:rPr>
          <w:rFonts w:ascii="Times New Roman" w:hAnsi="Times New Roman"/>
          <w:sz w:val="24"/>
          <w:szCs w:val="24"/>
        </w:rPr>
        <w:t>al</w:t>
      </w:r>
      <w:r w:rsidRPr="005E200D">
        <w:rPr>
          <w:rFonts w:ascii="Times New Roman" w:hAnsi="Times New Roman"/>
          <w:sz w:val="24"/>
          <w:szCs w:val="24"/>
        </w:rPr>
        <w:t xml:space="preserve"> </w:t>
      </w:r>
      <w:r w:rsidR="0076019F" w:rsidRPr="005E200D">
        <w:rPr>
          <w:rFonts w:ascii="Times New Roman" w:hAnsi="Times New Roman"/>
          <w:sz w:val="24"/>
          <w:szCs w:val="24"/>
        </w:rPr>
        <w:t xml:space="preserve">results for </w:t>
      </w:r>
      <w:r w:rsidRPr="005E200D">
        <w:rPr>
          <w:rFonts w:ascii="Times New Roman" w:hAnsi="Times New Roman"/>
          <w:sz w:val="24"/>
          <w:szCs w:val="24"/>
        </w:rPr>
        <w:t>wells of interest (MW-216, MW-218</w:t>
      </w:r>
      <w:r w:rsidR="00982F58" w:rsidRPr="005E200D">
        <w:rPr>
          <w:rFonts w:ascii="Times New Roman" w:hAnsi="Times New Roman"/>
          <w:sz w:val="24"/>
          <w:szCs w:val="24"/>
        </w:rPr>
        <w:t>,</w:t>
      </w:r>
      <w:r w:rsidR="009D7B57">
        <w:rPr>
          <w:rFonts w:ascii="Times New Roman" w:hAnsi="Times New Roman"/>
          <w:sz w:val="24"/>
          <w:szCs w:val="24"/>
        </w:rPr>
        <w:t xml:space="preserve"> and MW-219).</w:t>
      </w:r>
    </w:p>
    <w:p w14:paraId="7E46E708" w14:textId="77777777" w:rsidR="005E200D" w:rsidRPr="00C75EBA" w:rsidRDefault="005E200D" w:rsidP="005C4D56"/>
    <w:p w14:paraId="011A20CF" w14:textId="2591AF11" w:rsidR="005E200D" w:rsidRPr="00E1528F" w:rsidRDefault="0076019F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5E200D">
        <w:rPr>
          <w:rFonts w:ascii="Times New Roman" w:hAnsi="Times New Roman"/>
          <w:sz w:val="24"/>
          <w:szCs w:val="24"/>
        </w:rPr>
        <w:t>Elevat</w:t>
      </w:r>
      <w:r w:rsidR="00832D67" w:rsidRPr="005E200D">
        <w:rPr>
          <w:rFonts w:ascii="Times New Roman" w:hAnsi="Times New Roman"/>
          <w:sz w:val="24"/>
          <w:szCs w:val="24"/>
        </w:rPr>
        <w:t>ed tritium levels in MW-216 are consistent with the historically</w:t>
      </w:r>
      <w:r w:rsidR="00A838EA">
        <w:rPr>
          <w:rFonts w:ascii="Times New Roman" w:hAnsi="Times New Roman"/>
          <w:sz w:val="24"/>
          <w:szCs w:val="24"/>
        </w:rPr>
        <w:t xml:space="preserve"> cyclical pattern at this well</w:t>
      </w:r>
      <w:r w:rsidR="005C4D56">
        <w:rPr>
          <w:rFonts w:ascii="Times New Roman" w:hAnsi="Times New Roman"/>
          <w:sz w:val="24"/>
          <w:szCs w:val="24"/>
        </w:rPr>
        <w:t xml:space="preserve"> </w:t>
      </w:r>
      <w:r w:rsidR="00A838EA">
        <w:rPr>
          <w:rFonts w:ascii="Times New Roman" w:hAnsi="Times New Roman"/>
          <w:sz w:val="24"/>
          <w:szCs w:val="24"/>
        </w:rPr>
        <w:t>and may be related</w:t>
      </w:r>
      <w:r w:rsidR="00A838EA" w:rsidRPr="00312BB1">
        <w:rPr>
          <w:rFonts w:ascii="Times New Roman" w:hAnsi="Times New Roman"/>
          <w:sz w:val="24"/>
        </w:rPr>
        <w:t xml:space="preserve"> to its location in a preferential pathway of water from seismic gaps (i.e., separation joints between different parts of a building that allow independent movement during an earthquake).</w:t>
      </w:r>
    </w:p>
    <w:p w14:paraId="12184313" w14:textId="77777777" w:rsidR="00E1528F" w:rsidRPr="00E1528F" w:rsidRDefault="00E1528F" w:rsidP="005C4D56">
      <w:pPr>
        <w:ind w:left="360"/>
      </w:pPr>
    </w:p>
    <w:p w14:paraId="24FA9258" w14:textId="607B6514" w:rsidR="00A55A64" w:rsidRPr="00A55A64" w:rsidRDefault="00A838EA" w:rsidP="00A55A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Tritium </w:t>
      </w:r>
      <w:r w:rsidRPr="00B23244">
        <w:rPr>
          <w:rFonts w:ascii="Times New Roman" w:hAnsi="Times New Roman"/>
          <w:sz w:val="24"/>
          <w:szCs w:val="24"/>
        </w:rPr>
        <w:t>levels in MW-209</w:t>
      </w:r>
      <w:r w:rsidR="00B23244">
        <w:rPr>
          <w:rFonts w:ascii="Times New Roman" w:hAnsi="Times New Roman"/>
          <w:sz w:val="24"/>
          <w:szCs w:val="24"/>
        </w:rPr>
        <w:t xml:space="preserve"> and MW-215, where levels have previously exceeded 3,000 </w:t>
      </w:r>
      <w:proofErr w:type="spellStart"/>
      <w:r w:rsidR="00B23244">
        <w:rPr>
          <w:rFonts w:ascii="Times New Roman" w:hAnsi="Times New Roman"/>
          <w:sz w:val="24"/>
          <w:szCs w:val="24"/>
        </w:rPr>
        <w:t>pCi</w:t>
      </w:r>
      <w:proofErr w:type="spellEnd"/>
      <w:r w:rsidR="00B23244">
        <w:rPr>
          <w:rFonts w:ascii="Times New Roman" w:hAnsi="Times New Roman"/>
          <w:sz w:val="24"/>
          <w:szCs w:val="24"/>
        </w:rPr>
        <w:t xml:space="preserve">/L, were below 1000 </w:t>
      </w:r>
      <w:proofErr w:type="spellStart"/>
      <w:r w:rsidR="00B23244">
        <w:rPr>
          <w:rFonts w:ascii="Times New Roman" w:hAnsi="Times New Roman"/>
          <w:sz w:val="24"/>
          <w:szCs w:val="24"/>
        </w:rPr>
        <w:t>pCi</w:t>
      </w:r>
      <w:proofErr w:type="spellEnd"/>
      <w:r w:rsidR="00B23244">
        <w:rPr>
          <w:rFonts w:ascii="Times New Roman" w:hAnsi="Times New Roman"/>
          <w:sz w:val="24"/>
          <w:szCs w:val="24"/>
        </w:rPr>
        <w:t>/L for the first 6 months of 2020</w:t>
      </w:r>
      <w:r w:rsidR="00A55A64">
        <w:rPr>
          <w:rFonts w:ascii="Times New Roman" w:hAnsi="Times New Roman"/>
          <w:sz w:val="24"/>
          <w:szCs w:val="24"/>
        </w:rPr>
        <w:t>.</w:t>
      </w:r>
    </w:p>
    <w:p w14:paraId="40C5FC96" w14:textId="77777777" w:rsidR="0076019F" w:rsidRDefault="0076019F" w:rsidP="0076019F">
      <w:pPr>
        <w:jc w:val="both"/>
        <w:rPr>
          <w:szCs w:val="24"/>
        </w:rPr>
      </w:pPr>
    </w:p>
    <w:p w14:paraId="7B15754B" w14:textId="76EA9F81" w:rsidR="009058E7" w:rsidRDefault="00AC2875" w:rsidP="009058E7">
      <w:pPr>
        <w:jc w:val="both"/>
        <w:rPr>
          <w:szCs w:val="24"/>
        </w:rPr>
      </w:pPr>
      <w:r>
        <w:rPr>
          <w:szCs w:val="24"/>
        </w:rPr>
        <w:t xml:space="preserve">None of the tritium levels measured in groundwater wells at PNPS for the first six months of 2020 present a health risk. </w:t>
      </w:r>
      <w:r w:rsidR="00166DCE">
        <w:rPr>
          <w:rFonts w:ascii="Calibri" w:hAnsi="Calibri"/>
          <w:szCs w:val="24"/>
        </w:rPr>
        <w:br w:type="page"/>
      </w:r>
    </w:p>
    <w:p w14:paraId="0141ADBE" w14:textId="3CB5B6AD" w:rsidR="009058E7" w:rsidRDefault="000D18C5" w:rsidP="009058E7">
      <w:pPr>
        <w:jc w:val="both"/>
        <w:rPr>
          <w:rFonts w:ascii="Calibri" w:hAnsi="Calibri"/>
          <w:color w:val="000000"/>
          <w:kern w:val="24"/>
          <w:sz w:val="22"/>
        </w:rPr>
      </w:pPr>
      <w:r>
        <w:rPr>
          <w:noProof/>
        </w:rPr>
        <w:lastRenderedPageBreak/>
        <w:drawing>
          <wp:inline distT="0" distB="0" distL="0" distR="0" wp14:anchorId="6C0AF0EB" wp14:editId="4405D3D4">
            <wp:extent cx="5943600" cy="37719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053A5" w:rsidRPr="00C47208">
        <w:rPr>
          <w:rFonts w:ascii="Calibri" w:hAnsi="Calibri"/>
          <w:color w:val="000000"/>
          <w:kern w:val="24"/>
          <w:sz w:val="22"/>
        </w:rPr>
        <w:t xml:space="preserve">                </w:t>
      </w:r>
    </w:p>
    <w:p w14:paraId="222DDFD2" w14:textId="77777777" w:rsidR="000D18C5" w:rsidRDefault="000D18C5" w:rsidP="009058E7">
      <w:pPr>
        <w:jc w:val="both"/>
        <w:rPr>
          <w:rFonts w:ascii="Calibri" w:hAnsi="Calibri"/>
          <w:color w:val="000000"/>
          <w:kern w:val="24"/>
          <w:sz w:val="22"/>
        </w:rPr>
      </w:pPr>
    </w:p>
    <w:tbl>
      <w:tblPr>
        <w:tblStyle w:val="TableGrid"/>
        <w:tblW w:w="1071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510"/>
        <w:gridCol w:w="3510"/>
      </w:tblGrid>
      <w:tr w:rsidR="004A4100" w14:paraId="261D4083" w14:textId="77777777" w:rsidTr="005222B4">
        <w:trPr>
          <w:trHeight w:val="4140"/>
        </w:trPr>
        <w:tc>
          <w:tcPr>
            <w:tcW w:w="3690" w:type="dxa"/>
          </w:tcPr>
          <w:p w14:paraId="4FB3104A" w14:textId="0065BA32" w:rsidR="00750869" w:rsidRDefault="000D4BD4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9A4CB95" wp14:editId="6D777348">
                  <wp:extent cx="2419350" cy="2657475"/>
                  <wp:effectExtent l="0" t="0" r="0" b="0"/>
                  <wp:docPr id="11" name="Chart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2384BE8D" w14:textId="5B6DF0B4" w:rsidR="00750869" w:rsidRDefault="000D4BD4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3B81870" wp14:editId="4389F2BE">
                  <wp:extent cx="2305050" cy="2647950"/>
                  <wp:effectExtent l="0" t="0" r="0" b="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368EFA18" w14:textId="543DB9A7" w:rsidR="00750869" w:rsidRDefault="005222B4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F080ED6" wp14:editId="5CE00761">
                  <wp:extent cx="2286000" cy="2695575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B40BA9B" w14:textId="0E5FDF09" w:rsidR="00284BC8" w:rsidRDefault="00284BC8" w:rsidP="00185D28">
      <w:pPr>
        <w:jc w:val="both"/>
        <w:rPr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 xml:space="preserve">tritium in groundwater samples collected from Pilgrim Nuclear Power Station (PNPS).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 </w:t>
      </w:r>
      <w:r w:rsidRPr="006F4F25">
        <w:rPr>
          <w:b/>
          <w:color w:val="000000"/>
          <w:kern w:val="24"/>
          <w:sz w:val="22"/>
        </w:rPr>
        <w:t>a)</w:t>
      </w:r>
      <w:r w:rsidRPr="006F4F25">
        <w:rPr>
          <w:color w:val="000000"/>
          <w:kern w:val="24"/>
          <w:sz w:val="22"/>
        </w:rPr>
        <w:t xml:space="preserve"> Results from samples collected </w:t>
      </w:r>
      <w:r w:rsidR="00C3250A" w:rsidRPr="006F4F25">
        <w:rPr>
          <w:color w:val="000000"/>
          <w:kern w:val="24"/>
          <w:sz w:val="22"/>
        </w:rPr>
        <w:t>from J</w:t>
      </w:r>
      <w:r w:rsidR="003F7EA9">
        <w:rPr>
          <w:color w:val="000000"/>
          <w:kern w:val="24"/>
          <w:sz w:val="22"/>
        </w:rPr>
        <w:t>anuary</w:t>
      </w:r>
      <w:r w:rsidR="00C3250A" w:rsidRPr="006F4F25">
        <w:rPr>
          <w:color w:val="000000"/>
          <w:kern w:val="24"/>
          <w:sz w:val="22"/>
        </w:rPr>
        <w:t xml:space="preserve"> through </w:t>
      </w:r>
      <w:r w:rsidR="00167C0A">
        <w:rPr>
          <w:color w:val="000000"/>
          <w:kern w:val="24"/>
          <w:sz w:val="22"/>
        </w:rPr>
        <w:t>June</w:t>
      </w:r>
      <w:r w:rsidR="00915A2E" w:rsidRPr="006F4F25">
        <w:rPr>
          <w:color w:val="000000"/>
          <w:kern w:val="24"/>
          <w:sz w:val="22"/>
        </w:rPr>
        <w:t xml:space="preserve"> 20</w:t>
      </w:r>
      <w:r w:rsidR="00167C0A">
        <w:rPr>
          <w:color w:val="000000"/>
          <w:kern w:val="24"/>
          <w:sz w:val="22"/>
        </w:rPr>
        <w:t>20</w:t>
      </w:r>
      <w:r w:rsidR="00915A2E" w:rsidRPr="006F4F25">
        <w:rPr>
          <w:color w:val="000000"/>
          <w:kern w:val="24"/>
          <w:sz w:val="22"/>
        </w:rPr>
        <w:t xml:space="preserve"> </w:t>
      </w:r>
      <w:r w:rsidR="005F3354">
        <w:rPr>
          <w:color w:val="000000"/>
          <w:kern w:val="24"/>
          <w:sz w:val="22"/>
        </w:rPr>
        <w:t>for</w:t>
      </w:r>
      <w:r w:rsidRPr="006F4F25">
        <w:rPr>
          <w:color w:val="000000"/>
          <w:kern w:val="24"/>
          <w:sz w:val="22"/>
        </w:rPr>
        <w:t xml:space="preserve"> </w:t>
      </w:r>
      <w:r w:rsidR="00C3250A" w:rsidRPr="006F4F25">
        <w:rPr>
          <w:color w:val="000000"/>
          <w:kern w:val="24"/>
          <w:sz w:val="22"/>
        </w:rPr>
        <w:t>MW-216</w:t>
      </w:r>
      <w:r w:rsidRPr="006F4F25">
        <w:rPr>
          <w:color w:val="000000"/>
          <w:kern w:val="24"/>
          <w:sz w:val="22"/>
        </w:rPr>
        <w:t xml:space="preserve"> showing a</w:t>
      </w:r>
      <w:r w:rsidR="00C3250A" w:rsidRPr="006F4F25">
        <w:rPr>
          <w:color w:val="000000"/>
          <w:kern w:val="24"/>
          <w:sz w:val="22"/>
        </w:rPr>
        <w:t xml:space="preserve"> maximum level of </w:t>
      </w:r>
      <w:r w:rsidR="00167C0A">
        <w:rPr>
          <w:color w:val="000000"/>
          <w:kern w:val="24"/>
          <w:sz w:val="22"/>
        </w:rPr>
        <w:t>3</w:t>
      </w:r>
      <w:r w:rsidR="00915A2E" w:rsidRPr="006F4F25">
        <w:rPr>
          <w:color w:val="000000"/>
          <w:kern w:val="24"/>
          <w:sz w:val="22"/>
        </w:rPr>
        <w:t>,</w:t>
      </w:r>
      <w:r w:rsidR="00167C0A">
        <w:rPr>
          <w:color w:val="000000"/>
          <w:kern w:val="24"/>
          <w:sz w:val="22"/>
        </w:rPr>
        <w:t xml:space="preserve">700 </w:t>
      </w:r>
      <w:proofErr w:type="spellStart"/>
      <w:r w:rsidR="00167C0A">
        <w:rPr>
          <w:color w:val="000000"/>
          <w:kern w:val="24"/>
          <w:sz w:val="22"/>
        </w:rPr>
        <w:t>pCi</w:t>
      </w:r>
      <w:proofErr w:type="spellEnd"/>
      <w:r w:rsidR="00167C0A">
        <w:rPr>
          <w:color w:val="000000"/>
          <w:kern w:val="24"/>
          <w:sz w:val="22"/>
        </w:rPr>
        <w:t>/L</w:t>
      </w:r>
      <w:r w:rsidR="000B4537" w:rsidRPr="006F4F25">
        <w:rPr>
          <w:color w:val="000000"/>
          <w:kern w:val="24"/>
          <w:sz w:val="22"/>
        </w:rPr>
        <w:t xml:space="preserve"> </w:t>
      </w:r>
      <w:r w:rsidR="00572514" w:rsidRPr="006F4F25">
        <w:rPr>
          <w:color w:val="000000"/>
          <w:kern w:val="24"/>
          <w:sz w:val="22"/>
        </w:rPr>
        <w:t xml:space="preserve">on </w:t>
      </w:r>
      <w:r w:rsidR="00B04EF2">
        <w:rPr>
          <w:color w:val="000000"/>
          <w:kern w:val="24"/>
          <w:sz w:val="22"/>
        </w:rPr>
        <w:t>April</w:t>
      </w:r>
      <w:r w:rsidR="000B4537">
        <w:rPr>
          <w:color w:val="000000"/>
          <w:kern w:val="24"/>
          <w:sz w:val="22"/>
        </w:rPr>
        <w:t xml:space="preserve"> </w:t>
      </w:r>
      <w:r w:rsidR="00B04EF2">
        <w:rPr>
          <w:color w:val="000000"/>
          <w:kern w:val="24"/>
          <w:sz w:val="22"/>
        </w:rPr>
        <w:t>8</w:t>
      </w:r>
      <w:r w:rsidR="00C3250A" w:rsidRPr="006F4F25">
        <w:rPr>
          <w:color w:val="000000"/>
          <w:kern w:val="24"/>
          <w:sz w:val="22"/>
        </w:rPr>
        <w:t xml:space="preserve">, </w:t>
      </w:r>
      <w:r w:rsidR="00915A2E" w:rsidRPr="006F4F25">
        <w:rPr>
          <w:color w:val="000000"/>
          <w:kern w:val="24"/>
          <w:sz w:val="22"/>
        </w:rPr>
        <w:t>20</w:t>
      </w:r>
      <w:r w:rsidR="00B04EF2">
        <w:rPr>
          <w:color w:val="000000"/>
          <w:kern w:val="24"/>
          <w:sz w:val="22"/>
        </w:rPr>
        <w:t>20</w:t>
      </w:r>
      <w:r w:rsidRPr="006F4F25">
        <w:rPr>
          <w:color w:val="000000"/>
          <w:kern w:val="24"/>
          <w:sz w:val="22"/>
        </w:rPr>
        <w:t xml:space="preserve">. </w:t>
      </w:r>
      <w:r w:rsidR="00B04EF2" w:rsidRPr="006F4F25">
        <w:rPr>
          <w:color w:val="000000"/>
          <w:kern w:val="24"/>
          <w:sz w:val="22"/>
        </w:rPr>
        <w:t xml:space="preserve">The solid red line at 3,000 </w:t>
      </w:r>
      <w:proofErr w:type="spellStart"/>
      <w:r w:rsidR="00B04EF2" w:rsidRPr="006F4F25">
        <w:rPr>
          <w:color w:val="000000"/>
          <w:kern w:val="24"/>
          <w:sz w:val="22"/>
        </w:rPr>
        <w:t>pCi</w:t>
      </w:r>
      <w:proofErr w:type="spellEnd"/>
      <w:r w:rsidR="00B04EF2" w:rsidRPr="006F4F25">
        <w:rPr>
          <w:color w:val="000000"/>
          <w:kern w:val="24"/>
          <w:sz w:val="22"/>
        </w:rPr>
        <w:t>/L represents the screening level, which is 1/10</w:t>
      </w:r>
      <w:r w:rsidR="00B04EF2" w:rsidRPr="006F4F25">
        <w:rPr>
          <w:color w:val="000000"/>
          <w:kern w:val="24"/>
          <w:sz w:val="22"/>
          <w:vertAlign w:val="superscript"/>
        </w:rPr>
        <w:t>th</w:t>
      </w:r>
      <w:r w:rsidR="00B04EF2" w:rsidRPr="006F4F25">
        <w:rPr>
          <w:color w:val="000000"/>
          <w:kern w:val="24"/>
          <w:sz w:val="22"/>
        </w:rPr>
        <w:t xml:space="preserve"> of the 30,000 </w:t>
      </w:r>
      <w:proofErr w:type="spellStart"/>
      <w:r w:rsidR="00B04EF2" w:rsidRPr="006F4F25">
        <w:rPr>
          <w:color w:val="000000"/>
          <w:kern w:val="24"/>
          <w:sz w:val="22"/>
        </w:rPr>
        <w:t>pCi</w:t>
      </w:r>
      <w:proofErr w:type="spellEnd"/>
      <w:r w:rsidR="00B04EF2" w:rsidRPr="006F4F25">
        <w:rPr>
          <w:color w:val="000000"/>
          <w:kern w:val="24"/>
          <w:sz w:val="22"/>
        </w:rPr>
        <w:t xml:space="preserve">/L NRC level of concern. </w:t>
      </w:r>
      <w:r w:rsidR="005E200D">
        <w:rPr>
          <w:b/>
          <w:color w:val="000000"/>
          <w:kern w:val="24"/>
          <w:sz w:val="22"/>
        </w:rPr>
        <w:t>b</w:t>
      </w:r>
      <w:r w:rsidR="009469F8" w:rsidRPr="006F4F25">
        <w:rPr>
          <w:b/>
          <w:color w:val="000000"/>
          <w:kern w:val="24"/>
          <w:sz w:val="22"/>
        </w:rPr>
        <w:t>-d</w:t>
      </w:r>
      <w:r w:rsidR="000E6680" w:rsidRPr="006F4F25">
        <w:rPr>
          <w:b/>
          <w:color w:val="000000"/>
          <w:kern w:val="24"/>
          <w:sz w:val="22"/>
        </w:rPr>
        <w:t>)</w:t>
      </w:r>
      <w:r w:rsidR="000E6680" w:rsidRPr="006F4F25">
        <w:rPr>
          <w:color w:val="000000"/>
          <w:kern w:val="24"/>
          <w:sz w:val="22"/>
        </w:rPr>
        <w:t xml:space="preserve"> Historical monitoring results for MW-216</w:t>
      </w:r>
      <w:r w:rsidR="005F3354">
        <w:rPr>
          <w:color w:val="000000"/>
          <w:kern w:val="24"/>
          <w:sz w:val="22"/>
        </w:rPr>
        <w:t>,</w:t>
      </w:r>
      <w:r w:rsidR="000E6680" w:rsidRPr="006F4F25">
        <w:rPr>
          <w:color w:val="000000"/>
          <w:kern w:val="24"/>
          <w:sz w:val="22"/>
        </w:rPr>
        <w:t xml:space="preserve"> MW-218</w:t>
      </w:r>
      <w:r w:rsidR="009469F8" w:rsidRPr="006F4F25">
        <w:rPr>
          <w:color w:val="000000"/>
          <w:kern w:val="24"/>
          <w:sz w:val="22"/>
        </w:rPr>
        <w:t xml:space="preserve"> and MW-219</w:t>
      </w:r>
      <w:r w:rsidR="000E6680" w:rsidRPr="006F4F25">
        <w:rPr>
          <w:color w:val="000000"/>
          <w:kern w:val="24"/>
          <w:sz w:val="22"/>
        </w:rPr>
        <w:t>.</w:t>
      </w:r>
      <w:r w:rsidR="005222B4">
        <w:rPr>
          <w:color w:val="000000"/>
          <w:kern w:val="24"/>
          <w:sz w:val="22"/>
        </w:rPr>
        <w:t xml:space="preserve">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580D4C13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B92612" w:rsidRPr="00B92612">
        <w:rPr>
          <w:rFonts w:asciiTheme="minorHAnsi" w:hAnsiTheme="minorHAnsi"/>
          <w:sz w:val="20"/>
        </w:rPr>
        <w:t>January</w:t>
      </w:r>
      <w:r w:rsidR="00D779B1" w:rsidRPr="00B92612">
        <w:rPr>
          <w:rFonts w:asciiTheme="minorHAnsi" w:hAnsiTheme="minorHAnsi"/>
          <w:sz w:val="20"/>
        </w:rPr>
        <w:t xml:space="preserve"> </w:t>
      </w:r>
      <w:r w:rsidR="00B92612">
        <w:rPr>
          <w:rFonts w:asciiTheme="minorHAnsi" w:hAnsiTheme="minorHAnsi"/>
          <w:sz w:val="20"/>
        </w:rPr>
        <w:t>2021</w:t>
      </w:r>
    </w:p>
    <w:sectPr w:rsidR="00080437" w:rsidRPr="0008043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B2D0D" w14:textId="77777777" w:rsidR="00C75EBA" w:rsidRDefault="00C75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B92612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6C76A4" w:rsidRDefault="00284BC8" w:rsidP="00284BC8">
      <w:pPr>
        <w:pStyle w:val="FootnoteText"/>
        <w:rPr>
          <w:rFonts w:ascii="Times New Roman" w:hAnsi="Times New Roman"/>
        </w:rPr>
      </w:pPr>
      <w:r w:rsidRPr="006C76A4">
        <w:rPr>
          <w:rStyle w:val="FootnoteReference"/>
          <w:rFonts w:ascii="Times New Roman" w:hAnsi="Times New Roman"/>
        </w:rPr>
        <w:footnoteRef/>
      </w:r>
      <w:r w:rsidRPr="006C76A4">
        <w:rPr>
          <w:rFonts w:ascii="Times New Roman" w:hAnsi="Times New Roman"/>
        </w:rPr>
        <w:t xml:space="preserve"> Summary tables of groundwater and surface water</w:t>
      </w:r>
      <w:r w:rsidR="006B023E" w:rsidRPr="006C76A4">
        <w:rPr>
          <w:rFonts w:ascii="Times New Roman" w:hAnsi="Times New Roman"/>
        </w:rPr>
        <w:t xml:space="preserve"> monitoring results are on the </w:t>
      </w:r>
      <w:r w:rsidRPr="006C76A4">
        <w:rPr>
          <w:rFonts w:ascii="Times New Roman" w:hAnsi="Times New Roman"/>
        </w:rPr>
        <w:t>DPH website:</w:t>
      </w:r>
    </w:p>
    <w:p w14:paraId="566F4BD0" w14:textId="31101546" w:rsidR="00284BC8" w:rsidRDefault="00B92612" w:rsidP="00312BB1">
      <w:pPr>
        <w:pStyle w:val="FootnoteText"/>
        <w:spacing w:after="60"/>
      </w:pPr>
      <w:hyperlink r:id="rId2" w:anchor="summaries---results-" w:history="1">
        <w:r w:rsidR="002E2241" w:rsidRPr="006C76A4">
          <w:rPr>
            <w:rStyle w:val="Hyperlink"/>
            <w:rFonts w:ascii="Times New Roman" w:hAnsi="Times New Roman"/>
          </w:rPr>
          <w:t>https://www.mass.gov/lists/environmental-monitoring-data-for-tritium-in-groundwater-at-pilgrim-nuclear-power-station#summaries---results-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8ACDC" w14:textId="1A87D3EB" w:rsidR="00291BAE" w:rsidRDefault="0029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f5c3bec-5783-4c64-b065-5d987c30ae72"/>
  </w:docVars>
  <w:rsids>
    <w:rsidRoot w:val="006D77A6"/>
    <w:rsid w:val="000011D1"/>
    <w:rsid w:val="00002016"/>
    <w:rsid w:val="0001169A"/>
    <w:rsid w:val="00011C23"/>
    <w:rsid w:val="00014F24"/>
    <w:rsid w:val="0001602D"/>
    <w:rsid w:val="00020CAB"/>
    <w:rsid w:val="00022A21"/>
    <w:rsid w:val="00023296"/>
    <w:rsid w:val="00027614"/>
    <w:rsid w:val="00032BAF"/>
    <w:rsid w:val="00032D57"/>
    <w:rsid w:val="00033154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7B67"/>
    <w:rsid w:val="000902C1"/>
    <w:rsid w:val="00093062"/>
    <w:rsid w:val="000A0DFD"/>
    <w:rsid w:val="000A779F"/>
    <w:rsid w:val="000B29B4"/>
    <w:rsid w:val="000B34CF"/>
    <w:rsid w:val="000B4537"/>
    <w:rsid w:val="000B71AC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21EA1"/>
    <w:rsid w:val="0012706B"/>
    <w:rsid w:val="0014024C"/>
    <w:rsid w:val="0015268B"/>
    <w:rsid w:val="00154733"/>
    <w:rsid w:val="001562CA"/>
    <w:rsid w:val="00160F69"/>
    <w:rsid w:val="001633B0"/>
    <w:rsid w:val="00166DCE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A00E4"/>
    <w:rsid w:val="001A746E"/>
    <w:rsid w:val="001C047A"/>
    <w:rsid w:val="001E2B6E"/>
    <w:rsid w:val="001E7A84"/>
    <w:rsid w:val="001F006D"/>
    <w:rsid w:val="001F1DA4"/>
    <w:rsid w:val="001F2DEF"/>
    <w:rsid w:val="001F4610"/>
    <w:rsid w:val="0020037F"/>
    <w:rsid w:val="0020047A"/>
    <w:rsid w:val="002018D4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C6B5C"/>
    <w:rsid w:val="002D5688"/>
    <w:rsid w:val="002E2241"/>
    <w:rsid w:val="002E4882"/>
    <w:rsid w:val="002E58B9"/>
    <w:rsid w:val="002F4301"/>
    <w:rsid w:val="002F763D"/>
    <w:rsid w:val="00300DC1"/>
    <w:rsid w:val="0030352A"/>
    <w:rsid w:val="003068A1"/>
    <w:rsid w:val="00312BB1"/>
    <w:rsid w:val="00315428"/>
    <w:rsid w:val="00330777"/>
    <w:rsid w:val="00330F67"/>
    <w:rsid w:val="0033607B"/>
    <w:rsid w:val="003414E9"/>
    <w:rsid w:val="00346031"/>
    <w:rsid w:val="00350377"/>
    <w:rsid w:val="0035250D"/>
    <w:rsid w:val="00357C1A"/>
    <w:rsid w:val="003744C0"/>
    <w:rsid w:val="003751EC"/>
    <w:rsid w:val="0037583A"/>
    <w:rsid w:val="003835A9"/>
    <w:rsid w:val="00385812"/>
    <w:rsid w:val="00387859"/>
    <w:rsid w:val="00391D0E"/>
    <w:rsid w:val="00392D0B"/>
    <w:rsid w:val="00392EE1"/>
    <w:rsid w:val="00395C27"/>
    <w:rsid w:val="003A7AFC"/>
    <w:rsid w:val="003B6DC5"/>
    <w:rsid w:val="003C3D4D"/>
    <w:rsid w:val="003C5B05"/>
    <w:rsid w:val="003C60EF"/>
    <w:rsid w:val="003D0572"/>
    <w:rsid w:val="003E509A"/>
    <w:rsid w:val="003E750D"/>
    <w:rsid w:val="003F0CBE"/>
    <w:rsid w:val="003F76C4"/>
    <w:rsid w:val="003F7EA9"/>
    <w:rsid w:val="0040474A"/>
    <w:rsid w:val="00411A09"/>
    <w:rsid w:val="00417237"/>
    <w:rsid w:val="004229BF"/>
    <w:rsid w:val="004260BB"/>
    <w:rsid w:val="00426810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465E"/>
    <w:rsid w:val="00487FCD"/>
    <w:rsid w:val="00490B3F"/>
    <w:rsid w:val="004A4100"/>
    <w:rsid w:val="004A4B39"/>
    <w:rsid w:val="004A66D6"/>
    <w:rsid w:val="004B37A0"/>
    <w:rsid w:val="004B4BD7"/>
    <w:rsid w:val="004B6B34"/>
    <w:rsid w:val="004B6F5E"/>
    <w:rsid w:val="004C0740"/>
    <w:rsid w:val="004C31BB"/>
    <w:rsid w:val="004C7349"/>
    <w:rsid w:val="004D287D"/>
    <w:rsid w:val="004D3EB5"/>
    <w:rsid w:val="004D5F2A"/>
    <w:rsid w:val="004D6B39"/>
    <w:rsid w:val="004F0A3A"/>
    <w:rsid w:val="004F3980"/>
    <w:rsid w:val="004F404E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72514"/>
    <w:rsid w:val="0058276E"/>
    <w:rsid w:val="00582CF3"/>
    <w:rsid w:val="0059048F"/>
    <w:rsid w:val="00595F6C"/>
    <w:rsid w:val="005B4EB1"/>
    <w:rsid w:val="005B52D4"/>
    <w:rsid w:val="005B7A08"/>
    <w:rsid w:val="005C1879"/>
    <w:rsid w:val="005C1B25"/>
    <w:rsid w:val="005C200A"/>
    <w:rsid w:val="005C4D56"/>
    <w:rsid w:val="005C7E13"/>
    <w:rsid w:val="005D0C30"/>
    <w:rsid w:val="005D1DE7"/>
    <w:rsid w:val="005D4A3C"/>
    <w:rsid w:val="005E200D"/>
    <w:rsid w:val="005E3109"/>
    <w:rsid w:val="005E62F9"/>
    <w:rsid w:val="005F2AA4"/>
    <w:rsid w:val="005F3354"/>
    <w:rsid w:val="00602162"/>
    <w:rsid w:val="0060507D"/>
    <w:rsid w:val="0060627E"/>
    <w:rsid w:val="00606BE0"/>
    <w:rsid w:val="00611E00"/>
    <w:rsid w:val="006139BF"/>
    <w:rsid w:val="00613C45"/>
    <w:rsid w:val="00617557"/>
    <w:rsid w:val="006314D3"/>
    <w:rsid w:val="0063585E"/>
    <w:rsid w:val="00656899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15A93"/>
    <w:rsid w:val="0071739B"/>
    <w:rsid w:val="00724BAA"/>
    <w:rsid w:val="0072610D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2D67"/>
    <w:rsid w:val="00840577"/>
    <w:rsid w:val="00842C13"/>
    <w:rsid w:val="00845815"/>
    <w:rsid w:val="00852A35"/>
    <w:rsid w:val="00855AEB"/>
    <w:rsid w:val="00861EFC"/>
    <w:rsid w:val="00872D98"/>
    <w:rsid w:val="00873460"/>
    <w:rsid w:val="0088403C"/>
    <w:rsid w:val="0088540E"/>
    <w:rsid w:val="008860D5"/>
    <w:rsid w:val="00886DAF"/>
    <w:rsid w:val="008949E5"/>
    <w:rsid w:val="008950E6"/>
    <w:rsid w:val="008A5D7E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7F16"/>
    <w:rsid w:val="008F10CD"/>
    <w:rsid w:val="008F1313"/>
    <w:rsid w:val="008F192B"/>
    <w:rsid w:val="009058E7"/>
    <w:rsid w:val="00906057"/>
    <w:rsid w:val="00914229"/>
    <w:rsid w:val="00915A2E"/>
    <w:rsid w:val="00924561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5C7E"/>
    <w:rsid w:val="00A35CD8"/>
    <w:rsid w:val="00A4277A"/>
    <w:rsid w:val="00A433A6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B0BFE"/>
    <w:rsid w:val="00AB4A5C"/>
    <w:rsid w:val="00AC2875"/>
    <w:rsid w:val="00AC4879"/>
    <w:rsid w:val="00AC79C0"/>
    <w:rsid w:val="00AD37F0"/>
    <w:rsid w:val="00AD6FF3"/>
    <w:rsid w:val="00AD71EB"/>
    <w:rsid w:val="00AE2098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6B53"/>
    <w:rsid w:val="00B403BF"/>
    <w:rsid w:val="00B404A3"/>
    <w:rsid w:val="00B4142B"/>
    <w:rsid w:val="00B51C5A"/>
    <w:rsid w:val="00B550C8"/>
    <w:rsid w:val="00B605B3"/>
    <w:rsid w:val="00B608D9"/>
    <w:rsid w:val="00B609F9"/>
    <w:rsid w:val="00B63C72"/>
    <w:rsid w:val="00B70D5D"/>
    <w:rsid w:val="00B840E6"/>
    <w:rsid w:val="00B851F1"/>
    <w:rsid w:val="00B92612"/>
    <w:rsid w:val="00BA0430"/>
    <w:rsid w:val="00BA4055"/>
    <w:rsid w:val="00BA7FB6"/>
    <w:rsid w:val="00BB63D6"/>
    <w:rsid w:val="00BC4CC4"/>
    <w:rsid w:val="00BC74F0"/>
    <w:rsid w:val="00BD15A3"/>
    <w:rsid w:val="00BD4D9C"/>
    <w:rsid w:val="00BF03B7"/>
    <w:rsid w:val="00BF0505"/>
    <w:rsid w:val="00BF08BE"/>
    <w:rsid w:val="00BF7F2D"/>
    <w:rsid w:val="00C070B2"/>
    <w:rsid w:val="00C07F8F"/>
    <w:rsid w:val="00C105D0"/>
    <w:rsid w:val="00C1112C"/>
    <w:rsid w:val="00C20BFE"/>
    <w:rsid w:val="00C2189E"/>
    <w:rsid w:val="00C24272"/>
    <w:rsid w:val="00C24E87"/>
    <w:rsid w:val="00C2659E"/>
    <w:rsid w:val="00C3250A"/>
    <w:rsid w:val="00C44658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2489"/>
    <w:rsid w:val="00CF32A4"/>
    <w:rsid w:val="00CF3DE8"/>
    <w:rsid w:val="00D01E6F"/>
    <w:rsid w:val="00D0493F"/>
    <w:rsid w:val="00D065BD"/>
    <w:rsid w:val="00D15AF0"/>
    <w:rsid w:val="00D16D25"/>
    <w:rsid w:val="00D17A75"/>
    <w:rsid w:val="00D17BB6"/>
    <w:rsid w:val="00D2157A"/>
    <w:rsid w:val="00D22EAD"/>
    <w:rsid w:val="00D271BA"/>
    <w:rsid w:val="00D32430"/>
    <w:rsid w:val="00D32EBF"/>
    <w:rsid w:val="00D4175D"/>
    <w:rsid w:val="00D45C5E"/>
    <w:rsid w:val="00D466A6"/>
    <w:rsid w:val="00D5162C"/>
    <w:rsid w:val="00D55EF6"/>
    <w:rsid w:val="00D56F91"/>
    <w:rsid w:val="00D56FBD"/>
    <w:rsid w:val="00D738B5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B79F7"/>
    <w:rsid w:val="00DC298E"/>
    <w:rsid w:val="00DC3855"/>
    <w:rsid w:val="00DC6538"/>
    <w:rsid w:val="00DD178E"/>
    <w:rsid w:val="00DE314F"/>
    <w:rsid w:val="00DF09F2"/>
    <w:rsid w:val="00DF32DC"/>
    <w:rsid w:val="00DF406F"/>
    <w:rsid w:val="00E04C4E"/>
    <w:rsid w:val="00E1528F"/>
    <w:rsid w:val="00E17283"/>
    <w:rsid w:val="00E22135"/>
    <w:rsid w:val="00E242A8"/>
    <w:rsid w:val="00E274B8"/>
    <w:rsid w:val="00E30521"/>
    <w:rsid w:val="00E362CA"/>
    <w:rsid w:val="00E3634A"/>
    <w:rsid w:val="00E40D30"/>
    <w:rsid w:val="00E41E49"/>
    <w:rsid w:val="00E532E6"/>
    <w:rsid w:val="00E62A69"/>
    <w:rsid w:val="00E63136"/>
    <w:rsid w:val="00E65E53"/>
    <w:rsid w:val="00E66B5A"/>
    <w:rsid w:val="00E672ED"/>
    <w:rsid w:val="00E72707"/>
    <w:rsid w:val="00E7501A"/>
    <w:rsid w:val="00E81454"/>
    <w:rsid w:val="00E9281D"/>
    <w:rsid w:val="00E964B8"/>
    <w:rsid w:val="00EA0558"/>
    <w:rsid w:val="00EA1D6E"/>
    <w:rsid w:val="00EA1EC9"/>
    <w:rsid w:val="00EB255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23AB9"/>
    <w:rsid w:val="00F26F48"/>
    <w:rsid w:val="00F33A52"/>
    <w:rsid w:val="00F33EF7"/>
    <w:rsid w:val="00F416E2"/>
    <w:rsid w:val="00F42080"/>
    <w:rsid w:val="00F426EA"/>
    <w:rsid w:val="00F43932"/>
    <w:rsid w:val="00F51C49"/>
    <w:rsid w:val="00F627B7"/>
    <w:rsid w:val="00F718A6"/>
    <w:rsid w:val="00F90DCB"/>
    <w:rsid w:val="00F95AF2"/>
    <w:rsid w:val="00FA062C"/>
    <w:rsid w:val="00FA194A"/>
    <w:rsid w:val="00FA224D"/>
    <w:rsid w:val="00FA5EF4"/>
    <w:rsid w:val="00FB405A"/>
    <w:rsid w:val="00FB42F6"/>
    <w:rsid w:val="00FC6B42"/>
    <w:rsid w:val="00FD044C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FAD6A1"/>
  <w15:docId w15:val="{8FDCA21D-6998-48D4-A9BB-522926D5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d.docs.live.net/f4429f9caf600d1f/Documents/DPH/Projects/Radiation/Tritium%20Report/Tritium%20linechart%20Jan-Jun_20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f4429f9caf600d1f/Documents/DPH/Projects/Radiation/Tritium%20Report/Tritium%20linechart%20Jan-Jun_20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f4429f9caf600d1f/Documents/DPH/Projects/Radiation/Tritium%20Report/Tritium%20linechart%20Jan-Jun_20.xlsm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f4429f9caf600d1f/Documents/DPH/Projects/Radiation/Tritium%20Report/Tritium%20linechart%20Jan-Jun_20.xlsm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/>
              <a:t>a) MW-216</a:t>
            </a:r>
          </a:p>
        </c:rich>
      </c:tx>
      <c:layout>
        <c:manualLayout>
          <c:xMode val="edge"/>
          <c:yMode val="edge"/>
          <c:x val="3.3912544195555033E-2"/>
          <c:y val="8.364699860078988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11844673261996"/>
          <c:y val="8.3478693945376339E-2"/>
          <c:w val="0.8349884940982164"/>
          <c:h val="0.77404531898922391"/>
        </c:manualLayout>
      </c:layout>
      <c:lineChart>
        <c:grouping val="standard"/>
        <c:varyColors val="0"/>
        <c:ser>
          <c:idx val="5"/>
          <c:order val="0"/>
          <c:tx>
            <c:v>Holtec</c:v>
          </c:tx>
          <c:spPr>
            <a:ln w="28575">
              <a:solidFill>
                <a:srgbClr val="8EB4E3"/>
              </a:solidFill>
            </a:ln>
          </c:spPr>
          <c:marker>
            <c:symbol val="none"/>
          </c:marker>
          <c:cat>
            <c:numRef>
              <c:f>'[Tritium linechart Jan-Jun_20.xlsm]wells of interest data'!$A$304:$A$314</c:f>
              <c:numCache>
                <c:formatCode>m/d/yyyy</c:formatCode>
                <c:ptCount val="11"/>
                <c:pt idx="0">
                  <c:v>43831</c:v>
                </c:pt>
                <c:pt idx="1">
                  <c:v>43836</c:v>
                </c:pt>
                <c:pt idx="2">
                  <c:v>43864</c:v>
                </c:pt>
                <c:pt idx="3">
                  <c:v>43885</c:v>
                </c:pt>
                <c:pt idx="4">
                  <c:v>43892</c:v>
                </c:pt>
                <c:pt idx="5">
                  <c:v>43927</c:v>
                </c:pt>
                <c:pt idx="6">
                  <c:v>43955</c:v>
                </c:pt>
                <c:pt idx="7">
                  <c:v>43969</c:v>
                </c:pt>
                <c:pt idx="8">
                  <c:v>43983</c:v>
                </c:pt>
                <c:pt idx="9">
                  <c:v>43990</c:v>
                </c:pt>
                <c:pt idx="10">
                  <c:v>44012</c:v>
                </c:pt>
              </c:numCache>
            </c:numRef>
          </c:cat>
          <c:val>
            <c:numRef>
              <c:f>'[Tritium linechart Jan-Jun_20.xlsm]wells of interest data'!$H$304:$H$314</c:f>
              <c:numCache>
                <c:formatCode>0</c:formatCode>
                <c:ptCount val="11"/>
                <c:pt idx="1">
                  <c:v>728</c:v>
                </c:pt>
                <c:pt idx="2" formatCode="General">
                  <c:v>1910</c:v>
                </c:pt>
                <c:pt idx="4" formatCode="#,##0">
                  <c:v>3010</c:v>
                </c:pt>
                <c:pt idx="5" formatCode="#,##0">
                  <c:v>3700</c:v>
                </c:pt>
                <c:pt idx="6" formatCode="#,##0">
                  <c:v>1700</c:v>
                </c:pt>
                <c:pt idx="9" formatCode="#,##0">
                  <c:v>1550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6F-406C-8BF2-492A7AC80A3E}"/>
            </c:ext>
          </c:extLst>
        </c:ser>
        <c:ser>
          <c:idx val="4"/>
          <c:order val="1"/>
          <c:tx>
            <c:v>MERL</c:v>
          </c:tx>
          <c:spPr>
            <a:ln w="28575">
              <a:solidFill>
                <a:srgbClr val="1F497D">
                  <a:lumMod val="40000"/>
                  <a:lumOff val="60000"/>
                </a:srgbClr>
              </a:solidFill>
              <a:prstDash val="dash"/>
              <a:headEnd type="none" w="med" len="med"/>
              <a:tailEnd type="none" w="med" len="med"/>
            </a:ln>
          </c:spPr>
          <c:marker>
            <c:symbol val="none"/>
          </c:marker>
          <c:cat>
            <c:numRef>
              <c:f>'[Tritium linechart Jan-Jun_20.xlsm]wells of interest data'!$A$304:$A$314</c:f>
              <c:numCache>
                <c:formatCode>m/d/yyyy</c:formatCode>
                <c:ptCount val="11"/>
                <c:pt idx="0">
                  <c:v>43831</c:v>
                </c:pt>
                <c:pt idx="1">
                  <c:v>43836</c:v>
                </c:pt>
                <c:pt idx="2">
                  <c:v>43864</c:v>
                </c:pt>
                <c:pt idx="3">
                  <c:v>43885</c:v>
                </c:pt>
                <c:pt idx="4">
                  <c:v>43892</c:v>
                </c:pt>
                <c:pt idx="5">
                  <c:v>43927</c:v>
                </c:pt>
                <c:pt idx="6">
                  <c:v>43955</c:v>
                </c:pt>
                <c:pt idx="7">
                  <c:v>43969</c:v>
                </c:pt>
                <c:pt idx="8">
                  <c:v>43983</c:v>
                </c:pt>
                <c:pt idx="9">
                  <c:v>43990</c:v>
                </c:pt>
                <c:pt idx="10">
                  <c:v>44012</c:v>
                </c:pt>
              </c:numCache>
            </c:numRef>
          </c:cat>
          <c:val>
            <c:numRef>
              <c:f>'[Tritium linechart Jan-Jun_20.xlsm]wells of interest data'!$J$304:$J$314</c:f>
              <c:numCache>
                <c:formatCode>#,##0</c:formatCode>
                <c:ptCount val="11"/>
                <c:pt idx="1">
                  <c:v>847.7</c:v>
                </c:pt>
                <c:pt idx="2">
                  <c:v>1835.3</c:v>
                </c:pt>
                <c:pt idx="4">
                  <c:v>2638.9</c:v>
                </c:pt>
                <c:pt idx="5">
                  <c:v>3630.8</c:v>
                </c:pt>
                <c:pt idx="6">
                  <c:v>1541.4</c:v>
                </c:pt>
                <c:pt idx="9">
                  <c:v>1460.3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6F-406C-8BF2-492A7AC80A3E}"/>
            </c:ext>
          </c:extLst>
        </c:ser>
        <c:ser>
          <c:idx val="12"/>
          <c:order val="2"/>
          <c:tx>
            <c:v>NRC Screening Level</c:v>
          </c:tx>
          <c:spPr>
            <a:ln w="1905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numRef>
              <c:f>'[Tritium linechart Jan-Jun_20.xlsm]wells of interest data'!$A$304:$A$314</c:f>
              <c:numCache>
                <c:formatCode>m/d/yyyy</c:formatCode>
                <c:ptCount val="11"/>
                <c:pt idx="0">
                  <c:v>43831</c:v>
                </c:pt>
                <c:pt idx="1">
                  <c:v>43836</c:v>
                </c:pt>
                <c:pt idx="2">
                  <c:v>43864</c:v>
                </c:pt>
                <c:pt idx="3">
                  <c:v>43885</c:v>
                </c:pt>
                <c:pt idx="4">
                  <c:v>43892</c:v>
                </c:pt>
                <c:pt idx="5">
                  <c:v>43927</c:v>
                </c:pt>
                <c:pt idx="6">
                  <c:v>43955</c:v>
                </c:pt>
                <c:pt idx="7">
                  <c:v>43969</c:v>
                </c:pt>
                <c:pt idx="8">
                  <c:v>43983</c:v>
                </c:pt>
                <c:pt idx="9">
                  <c:v>43990</c:v>
                </c:pt>
                <c:pt idx="10">
                  <c:v>44012</c:v>
                </c:pt>
              </c:numCache>
            </c:numRef>
          </c:cat>
          <c:val>
            <c:numRef>
              <c:f>'[Tritium linechart Jan-Jun_20.xlsm]wells of interest data'!$N$304:$N$314</c:f>
              <c:numCache>
                <c:formatCode>0</c:formatCode>
                <c:ptCount val="11"/>
                <c:pt idx="0">
                  <c:v>3000</c:v>
                </c:pt>
                <c:pt idx="1">
                  <c:v>3000</c:v>
                </c:pt>
                <c:pt idx="2">
                  <c:v>3000</c:v>
                </c:pt>
                <c:pt idx="5">
                  <c:v>3000</c:v>
                </c:pt>
                <c:pt idx="9">
                  <c:v>3000</c:v>
                </c:pt>
                <c:pt idx="10">
                  <c:v>3000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F6F-406C-8BF2-492A7AC80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71776"/>
        <c:axId val="138982912"/>
      </c:lineChart>
      <c:dateAx>
        <c:axId val="138971776"/>
        <c:scaling>
          <c:orientation val="minMax"/>
          <c:max val="44012"/>
          <c:min val="43831"/>
        </c:scaling>
        <c:delete val="0"/>
        <c:axPos val="b"/>
        <c:majorGridlines>
          <c:spPr>
            <a:ln w="3175"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Sample date 2020</a:t>
                </a:r>
              </a:p>
            </c:rich>
          </c:tx>
          <c:layout>
            <c:manualLayout>
              <c:xMode val="edge"/>
              <c:yMode val="edge"/>
              <c:x val="0.43064119388922539"/>
              <c:y val="0.92521805986372918"/>
            </c:manualLayout>
          </c:layout>
          <c:overlay val="0"/>
        </c:title>
        <c:numFmt formatCode="[$-409]mmm;@" sourceLinked="0"/>
        <c:majorTickMark val="in"/>
        <c:minorTickMark val="none"/>
        <c:tickLblPos val="nextTo"/>
        <c:spPr>
          <a:ln w="38100">
            <a:solidFill>
              <a:schemeClr val="bg1">
                <a:lumMod val="50000"/>
                <a:alpha val="83000"/>
              </a:schemeClr>
            </a:solidFill>
          </a:ln>
        </c:spPr>
        <c:txPr>
          <a:bodyPr anchor="t" anchorCtr="0"/>
          <a:lstStyle/>
          <a:p>
            <a:pPr>
              <a:defRPr sz="1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8982912"/>
        <c:crosses val="autoZero"/>
        <c:auto val="0"/>
        <c:lblOffset val="100"/>
        <c:baseTimeUnit val="days"/>
        <c:majorUnit val="1"/>
        <c:majorTimeUnit val="months"/>
      </c:dateAx>
      <c:valAx>
        <c:axId val="138982912"/>
        <c:scaling>
          <c:orientation val="minMax"/>
          <c:max val="40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  <a:alpha val="70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5149551834796849E-3"/>
              <c:y val="0.24210273537540902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</a:ln>
        </c:spPr>
        <c:txPr>
          <a:bodyPr anchor="ctr" anchorCtr="0"/>
          <a:lstStyle/>
          <a:p>
            <a:pPr>
              <a:defRPr sz="1100" kern="1000" spc="-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8971776"/>
        <c:crosses val="autoZero"/>
        <c:crossBetween val="midCat"/>
        <c:majorUnit val="1000"/>
      </c:valAx>
      <c:spPr>
        <a:ln w="3175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lang="en-US" sz="1000" b="0" i="0" u="none" strike="noStrike" kern="1200" baseline="0">
                <a:solidFill>
                  <a:sysClr val="windowText" lastClr="000000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71758345110707311"/>
          <c:y val="9.7520082716933104E-2"/>
          <c:w val="0.27957466855104651"/>
          <c:h val="9.4075632213906982E-2"/>
        </c:manualLayout>
      </c:layout>
      <c:overlay val="1"/>
      <c:spPr>
        <a:ln>
          <a:noFill/>
        </a:ln>
      </c:spPr>
      <c:txPr>
        <a:bodyPr/>
        <a:lstStyle/>
        <a:p>
          <a:pPr>
            <a:defRPr lang="en-US" sz="1000" b="0" i="0" u="none" strike="noStrike" kern="1200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  <a:cs typeface="Verdana" panose="020B060403050404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b) MW-216</a:t>
            </a:r>
          </a:p>
        </c:rich>
      </c:tx>
      <c:layout>
        <c:manualLayout>
          <c:xMode val="edge"/>
          <c:yMode val="edge"/>
          <c:x val="0.16114668789711167"/>
          <c:y val="1.53068738952233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394007304657795"/>
          <c:y val="9.1513893217801387E-2"/>
          <c:w val="0.77090649781539311"/>
          <c:h val="0.73291639620316285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'[Tritium linechart Jan-Jun_20.xlsm]wells of interest data'!$A$3:$A$313</c:f>
              <c:numCache>
                <c:formatCode>m/d/yyyy</c:formatCode>
                <c:ptCount val="311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43101</c:v>
                </c:pt>
                <c:pt idx="238">
                  <c:v>43115</c:v>
                </c:pt>
                <c:pt idx="239">
                  <c:v>43122</c:v>
                </c:pt>
                <c:pt idx="240">
                  <c:v>43129</c:v>
                </c:pt>
                <c:pt idx="241">
                  <c:v>43143</c:v>
                </c:pt>
                <c:pt idx="242">
                  <c:v>43164</c:v>
                </c:pt>
                <c:pt idx="243">
                  <c:v>43185</c:v>
                </c:pt>
                <c:pt idx="244">
                  <c:v>43206</c:v>
                </c:pt>
                <c:pt idx="245">
                  <c:v>43220</c:v>
                </c:pt>
                <c:pt idx="246">
                  <c:v>43248</c:v>
                </c:pt>
                <c:pt idx="247">
                  <c:v>43255</c:v>
                </c:pt>
                <c:pt idx="248">
                  <c:v>43262</c:v>
                </c:pt>
                <c:pt idx="249">
                  <c:v>43269</c:v>
                </c:pt>
                <c:pt idx="250">
                  <c:v>43276</c:v>
                </c:pt>
                <c:pt idx="251">
                  <c:v>43277</c:v>
                </c:pt>
                <c:pt idx="252">
                  <c:v>43278</c:v>
                </c:pt>
                <c:pt idx="253">
                  <c:v>43290</c:v>
                </c:pt>
                <c:pt idx="254">
                  <c:v>43297</c:v>
                </c:pt>
                <c:pt idx="255">
                  <c:v>43304</c:v>
                </c:pt>
                <c:pt idx="256">
                  <c:v>43311</c:v>
                </c:pt>
                <c:pt idx="257">
                  <c:v>43318</c:v>
                </c:pt>
                <c:pt idx="258">
                  <c:v>43325</c:v>
                </c:pt>
                <c:pt idx="259">
                  <c:v>43332</c:v>
                </c:pt>
                <c:pt idx="260">
                  <c:v>43339</c:v>
                </c:pt>
                <c:pt idx="261">
                  <c:v>43346</c:v>
                </c:pt>
                <c:pt idx="262">
                  <c:v>43353</c:v>
                </c:pt>
                <c:pt idx="263">
                  <c:v>43360</c:v>
                </c:pt>
                <c:pt idx="264">
                  <c:v>43367</c:v>
                </c:pt>
                <c:pt idx="265">
                  <c:v>43374</c:v>
                </c:pt>
                <c:pt idx="266">
                  <c:v>43381</c:v>
                </c:pt>
                <c:pt idx="267">
                  <c:v>43388</c:v>
                </c:pt>
                <c:pt idx="268">
                  <c:v>43395</c:v>
                </c:pt>
                <c:pt idx="269">
                  <c:v>43402</c:v>
                </c:pt>
                <c:pt idx="270">
                  <c:v>43409</c:v>
                </c:pt>
                <c:pt idx="271">
                  <c:v>43416</c:v>
                </c:pt>
                <c:pt idx="272">
                  <c:v>43423</c:v>
                </c:pt>
                <c:pt idx="273">
                  <c:v>43430</c:v>
                </c:pt>
                <c:pt idx="274">
                  <c:v>43437</c:v>
                </c:pt>
                <c:pt idx="275">
                  <c:v>43444</c:v>
                </c:pt>
                <c:pt idx="276">
                  <c:v>43451</c:v>
                </c:pt>
                <c:pt idx="277">
                  <c:v>43458</c:v>
                </c:pt>
                <c:pt idx="278">
                  <c:v>43465</c:v>
                </c:pt>
                <c:pt idx="279">
                  <c:v>43472</c:v>
                </c:pt>
                <c:pt idx="280">
                  <c:v>43479</c:v>
                </c:pt>
                <c:pt idx="281">
                  <c:v>43500</c:v>
                </c:pt>
                <c:pt idx="282">
                  <c:v>43521</c:v>
                </c:pt>
                <c:pt idx="283">
                  <c:v>43528</c:v>
                </c:pt>
                <c:pt idx="284">
                  <c:v>43542</c:v>
                </c:pt>
                <c:pt idx="285">
                  <c:v>43549</c:v>
                </c:pt>
                <c:pt idx="286">
                  <c:v>43563</c:v>
                </c:pt>
                <c:pt idx="287">
                  <c:v>43584</c:v>
                </c:pt>
                <c:pt idx="288">
                  <c:v>43605</c:v>
                </c:pt>
                <c:pt idx="289">
                  <c:v>43619</c:v>
                </c:pt>
                <c:pt idx="290">
                  <c:v>43626</c:v>
                </c:pt>
                <c:pt idx="291">
                  <c:v>43647</c:v>
                </c:pt>
                <c:pt idx="292">
                  <c:v>43668</c:v>
                </c:pt>
                <c:pt idx="293">
                  <c:v>43689</c:v>
                </c:pt>
                <c:pt idx="294">
                  <c:v>43710</c:v>
                </c:pt>
                <c:pt idx="295">
                  <c:v>43717</c:v>
                </c:pt>
                <c:pt idx="296">
                  <c:v>43724</c:v>
                </c:pt>
                <c:pt idx="297">
                  <c:v>43745</c:v>
                </c:pt>
                <c:pt idx="298">
                  <c:v>43780</c:v>
                </c:pt>
                <c:pt idx="299">
                  <c:v>43801</c:v>
                </c:pt>
                <c:pt idx="300">
                  <c:v>43808</c:v>
                </c:pt>
                <c:pt idx="301">
                  <c:v>43831</c:v>
                </c:pt>
                <c:pt idx="302">
                  <c:v>43836</c:v>
                </c:pt>
                <c:pt idx="303">
                  <c:v>43864</c:v>
                </c:pt>
                <c:pt idx="304">
                  <c:v>43885</c:v>
                </c:pt>
                <c:pt idx="305">
                  <c:v>43892</c:v>
                </c:pt>
                <c:pt idx="306">
                  <c:v>43927</c:v>
                </c:pt>
                <c:pt idx="307">
                  <c:v>43955</c:v>
                </c:pt>
                <c:pt idx="308">
                  <c:v>43969</c:v>
                </c:pt>
                <c:pt idx="309">
                  <c:v>43983</c:v>
                </c:pt>
                <c:pt idx="310">
                  <c:v>43990</c:v>
                </c:pt>
              </c:numCache>
            </c:numRef>
          </c:cat>
          <c:val>
            <c:numRef>
              <c:f>'[Tritium linechart Jan-Jun_20.xlsm]wells of interest data'!$H$3:$H$313</c:f>
              <c:numCache>
                <c:formatCode>0</c:formatCode>
                <c:ptCount val="311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1">
                  <c:v>1210</c:v>
                </c:pt>
                <c:pt idx="242">
                  <c:v>1460</c:v>
                </c:pt>
                <c:pt idx="243">
                  <c:v>575</c:v>
                </c:pt>
                <c:pt idx="244">
                  <c:v>601</c:v>
                </c:pt>
                <c:pt idx="245">
                  <c:v>699</c:v>
                </c:pt>
                <c:pt idx="246">
                  <c:v>1670</c:v>
                </c:pt>
                <c:pt idx="253">
                  <c:v>1820</c:v>
                </c:pt>
                <c:pt idx="259">
                  <c:v>3000</c:v>
                </c:pt>
                <c:pt idx="262">
                  <c:v>2690</c:v>
                </c:pt>
                <c:pt idx="265">
                  <c:v>1810</c:v>
                </c:pt>
                <c:pt idx="268">
                  <c:v>2170</c:v>
                </c:pt>
                <c:pt idx="271">
                  <c:v>723</c:v>
                </c:pt>
                <c:pt idx="274">
                  <c:v>1380</c:v>
                </c:pt>
                <c:pt idx="277">
                  <c:v>1280</c:v>
                </c:pt>
                <c:pt idx="280">
                  <c:v>1420</c:v>
                </c:pt>
                <c:pt idx="281">
                  <c:v>1550</c:v>
                </c:pt>
                <c:pt idx="284">
                  <c:v>709</c:v>
                </c:pt>
                <c:pt idx="289">
                  <c:v>3140</c:v>
                </c:pt>
                <c:pt idx="291">
                  <c:v>4120</c:v>
                </c:pt>
                <c:pt idx="292">
                  <c:v>5280</c:v>
                </c:pt>
                <c:pt idx="293">
                  <c:v>4510</c:v>
                </c:pt>
                <c:pt idx="295">
                  <c:v>2720</c:v>
                </c:pt>
                <c:pt idx="297">
                  <c:v>3780</c:v>
                </c:pt>
                <c:pt idx="298">
                  <c:v>3560</c:v>
                </c:pt>
                <c:pt idx="300" formatCode="General">
                  <c:v>2480</c:v>
                </c:pt>
                <c:pt idx="302">
                  <c:v>728</c:v>
                </c:pt>
                <c:pt idx="303" formatCode="General">
                  <c:v>1910</c:v>
                </c:pt>
                <c:pt idx="305" formatCode="#,##0">
                  <c:v>3010</c:v>
                </c:pt>
                <c:pt idx="306" formatCode="#,##0">
                  <c:v>3700</c:v>
                </c:pt>
                <c:pt idx="307" formatCode="#,##0">
                  <c:v>1700</c:v>
                </c:pt>
                <c:pt idx="310" formatCode="#,##0">
                  <c:v>1550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BB-4F23-B9E4-D0F23AF1B3E6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'[Tritium linechart Jan-Jun_20.xlsm]wells of interest data'!$A$3:$A$313</c:f>
              <c:numCache>
                <c:formatCode>m/d/yyyy</c:formatCode>
                <c:ptCount val="311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43101</c:v>
                </c:pt>
                <c:pt idx="238">
                  <c:v>43115</c:v>
                </c:pt>
                <c:pt idx="239">
                  <c:v>43122</c:v>
                </c:pt>
                <c:pt idx="240">
                  <c:v>43129</c:v>
                </c:pt>
                <c:pt idx="241">
                  <c:v>43143</c:v>
                </c:pt>
                <c:pt idx="242">
                  <c:v>43164</c:v>
                </c:pt>
                <c:pt idx="243">
                  <c:v>43185</c:v>
                </c:pt>
                <c:pt idx="244">
                  <c:v>43206</c:v>
                </c:pt>
                <c:pt idx="245">
                  <c:v>43220</c:v>
                </c:pt>
                <c:pt idx="246">
                  <c:v>43248</c:v>
                </c:pt>
                <c:pt idx="247">
                  <c:v>43255</c:v>
                </c:pt>
                <c:pt idx="248">
                  <c:v>43262</c:v>
                </c:pt>
                <c:pt idx="249">
                  <c:v>43269</c:v>
                </c:pt>
                <c:pt idx="250">
                  <c:v>43276</c:v>
                </c:pt>
                <c:pt idx="251">
                  <c:v>43277</c:v>
                </c:pt>
                <c:pt idx="252">
                  <c:v>43278</c:v>
                </c:pt>
                <c:pt idx="253">
                  <c:v>43290</c:v>
                </c:pt>
                <c:pt idx="254">
                  <c:v>43297</c:v>
                </c:pt>
                <c:pt idx="255">
                  <c:v>43304</c:v>
                </c:pt>
                <c:pt idx="256">
                  <c:v>43311</c:v>
                </c:pt>
                <c:pt idx="257">
                  <c:v>43318</c:v>
                </c:pt>
                <c:pt idx="258">
                  <c:v>43325</c:v>
                </c:pt>
                <c:pt idx="259">
                  <c:v>43332</c:v>
                </c:pt>
                <c:pt idx="260">
                  <c:v>43339</c:v>
                </c:pt>
                <c:pt idx="261">
                  <c:v>43346</c:v>
                </c:pt>
                <c:pt idx="262">
                  <c:v>43353</c:v>
                </c:pt>
                <c:pt idx="263">
                  <c:v>43360</c:v>
                </c:pt>
                <c:pt idx="264">
                  <c:v>43367</c:v>
                </c:pt>
                <c:pt idx="265">
                  <c:v>43374</c:v>
                </c:pt>
                <c:pt idx="266">
                  <c:v>43381</c:v>
                </c:pt>
                <c:pt idx="267">
                  <c:v>43388</c:v>
                </c:pt>
                <c:pt idx="268">
                  <c:v>43395</c:v>
                </c:pt>
                <c:pt idx="269">
                  <c:v>43402</c:v>
                </c:pt>
                <c:pt idx="270">
                  <c:v>43409</c:v>
                </c:pt>
                <c:pt idx="271">
                  <c:v>43416</c:v>
                </c:pt>
                <c:pt idx="272">
                  <c:v>43423</c:v>
                </c:pt>
                <c:pt idx="273">
                  <c:v>43430</c:v>
                </c:pt>
                <c:pt idx="274">
                  <c:v>43437</c:v>
                </c:pt>
                <c:pt idx="275">
                  <c:v>43444</c:v>
                </c:pt>
                <c:pt idx="276">
                  <c:v>43451</c:v>
                </c:pt>
                <c:pt idx="277">
                  <c:v>43458</c:v>
                </c:pt>
                <c:pt idx="278">
                  <c:v>43465</c:v>
                </c:pt>
                <c:pt idx="279">
                  <c:v>43472</c:v>
                </c:pt>
                <c:pt idx="280">
                  <c:v>43479</c:v>
                </c:pt>
                <c:pt idx="281">
                  <c:v>43500</c:v>
                </c:pt>
                <c:pt idx="282">
                  <c:v>43521</c:v>
                </c:pt>
                <c:pt idx="283">
                  <c:v>43528</c:v>
                </c:pt>
                <c:pt idx="284">
                  <c:v>43542</c:v>
                </c:pt>
                <c:pt idx="285">
                  <c:v>43549</c:v>
                </c:pt>
                <c:pt idx="286">
                  <c:v>43563</c:v>
                </c:pt>
                <c:pt idx="287">
                  <c:v>43584</c:v>
                </c:pt>
                <c:pt idx="288">
                  <c:v>43605</c:v>
                </c:pt>
                <c:pt idx="289">
                  <c:v>43619</c:v>
                </c:pt>
                <c:pt idx="290">
                  <c:v>43626</c:v>
                </c:pt>
                <c:pt idx="291">
                  <c:v>43647</c:v>
                </c:pt>
                <c:pt idx="292">
                  <c:v>43668</c:v>
                </c:pt>
                <c:pt idx="293">
                  <c:v>43689</c:v>
                </c:pt>
                <c:pt idx="294">
                  <c:v>43710</c:v>
                </c:pt>
                <c:pt idx="295">
                  <c:v>43717</c:v>
                </c:pt>
                <c:pt idx="296">
                  <c:v>43724</c:v>
                </c:pt>
                <c:pt idx="297">
                  <c:v>43745</c:v>
                </c:pt>
                <c:pt idx="298">
                  <c:v>43780</c:v>
                </c:pt>
                <c:pt idx="299">
                  <c:v>43801</c:v>
                </c:pt>
                <c:pt idx="300">
                  <c:v>43808</c:v>
                </c:pt>
                <c:pt idx="301">
                  <c:v>43831</c:v>
                </c:pt>
                <c:pt idx="302">
                  <c:v>43836</c:v>
                </c:pt>
                <c:pt idx="303">
                  <c:v>43864</c:v>
                </c:pt>
                <c:pt idx="304">
                  <c:v>43885</c:v>
                </c:pt>
                <c:pt idx="305">
                  <c:v>43892</c:v>
                </c:pt>
                <c:pt idx="306">
                  <c:v>43927</c:v>
                </c:pt>
                <c:pt idx="307">
                  <c:v>43955</c:v>
                </c:pt>
                <c:pt idx="308">
                  <c:v>43969</c:v>
                </c:pt>
                <c:pt idx="309">
                  <c:v>43983</c:v>
                </c:pt>
                <c:pt idx="310">
                  <c:v>43990</c:v>
                </c:pt>
              </c:numCache>
            </c:numRef>
          </c:cat>
          <c:val>
            <c:numRef>
              <c:f>'[Tritium linechart Jan-Jun_20.xlsm]wells of interest data'!$J$3:$J$313</c:f>
              <c:numCache>
                <c:formatCode>0</c:formatCode>
                <c:ptCount val="311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</c:v>
                </c:pt>
                <c:pt idx="239">
                  <c:v>1522</c:v>
                </c:pt>
                <c:pt idx="241">
                  <c:v>1231</c:v>
                </c:pt>
                <c:pt idx="242">
                  <c:v>1670</c:v>
                </c:pt>
                <c:pt idx="243">
                  <c:v>584</c:v>
                </c:pt>
                <c:pt idx="244">
                  <c:v>492</c:v>
                </c:pt>
                <c:pt idx="245">
                  <c:v>724</c:v>
                </c:pt>
                <c:pt idx="246">
                  <c:v>1514</c:v>
                </c:pt>
                <c:pt idx="249">
                  <c:v>1818</c:v>
                </c:pt>
                <c:pt idx="253">
                  <c:v>1731</c:v>
                </c:pt>
                <c:pt idx="256">
                  <c:v>1966</c:v>
                </c:pt>
                <c:pt idx="259">
                  <c:v>3009</c:v>
                </c:pt>
                <c:pt idx="262">
                  <c:v>2181</c:v>
                </c:pt>
                <c:pt idx="265">
                  <c:v>1845</c:v>
                </c:pt>
                <c:pt idx="268">
                  <c:v>2117</c:v>
                </c:pt>
                <c:pt idx="271">
                  <c:v>810</c:v>
                </c:pt>
                <c:pt idx="274">
                  <c:v>1091</c:v>
                </c:pt>
                <c:pt idx="277">
                  <c:v>1332</c:v>
                </c:pt>
                <c:pt idx="280">
                  <c:v>1277</c:v>
                </c:pt>
                <c:pt idx="281">
                  <c:v>1541</c:v>
                </c:pt>
                <c:pt idx="284">
                  <c:v>746</c:v>
                </c:pt>
                <c:pt idx="289">
                  <c:v>2817</c:v>
                </c:pt>
                <c:pt idx="291">
                  <c:v>3812.7302025782678</c:v>
                </c:pt>
                <c:pt idx="292">
                  <c:v>4528</c:v>
                </c:pt>
                <c:pt idx="293">
                  <c:v>4075</c:v>
                </c:pt>
                <c:pt idx="295">
                  <c:v>2945</c:v>
                </c:pt>
                <c:pt idx="297">
                  <c:v>3126.6006152647242</c:v>
                </c:pt>
                <c:pt idx="298">
                  <c:v>3588.1086089564205</c:v>
                </c:pt>
                <c:pt idx="300">
                  <c:v>2340.1815681227445</c:v>
                </c:pt>
                <c:pt idx="302" formatCode="#,##0">
                  <c:v>847.7</c:v>
                </c:pt>
                <c:pt idx="303" formatCode="#,##0">
                  <c:v>1835.3</c:v>
                </c:pt>
                <c:pt idx="305" formatCode="#,##0">
                  <c:v>2638.9</c:v>
                </c:pt>
                <c:pt idx="306" formatCode="#,##0">
                  <c:v>3630.8</c:v>
                </c:pt>
                <c:pt idx="307" formatCode="#,##0">
                  <c:v>1541.4</c:v>
                </c:pt>
                <c:pt idx="310" formatCode="#,##0">
                  <c:v>1460.3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BB-4F23-B9E4-D0F23AF1B3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738688"/>
        <c:axId val="138745344"/>
      </c:lineChart>
      <c:dateAx>
        <c:axId val="138738688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2012 - 2020</a:t>
                </a:r>
              </a:p>
            </c:rich>
          </c:tx>
          <c:layout>
            <c:manualLayout>
              <c:xMode val="edge"/>
              <c:yMode val="edge"/>
              <c:x val="0.35541004265658505"/>
              <c:y val="0.92733553467106933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138745344"/>
        <c:crosses val="autoZero"/>
        <c:auto val="0"/>
        <c:lblOffset val="100"/>
        <c:baseTimeUnit val="days"/>
        <c:majorUnit val="6"/>
        <c:majorTimeUnit val="months"/>
        <c:minorUnit val="1"/>
        <c:minorTimeUnit val="months"/>
      </c:dateAx>
      <c:valAx>
        <c:axId val="138745344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6.8829360578603867E-3"/>
              <c:y val="0.24805476148636252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8738688"/>
        <c:crosses val="autoZero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55215708140109421"/>
          <c:y val="0.12182541698416732"/>
          <c:w val="0.33900561652591354"/>
          <c:h val="9.4770600219401341E-2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c) MW-218</a:t>
            </a:r>
          </a:p>
        </c:rich>
      </c:tx>
      <c:layout>
        <c:manualLayout>
          <c:xMode val="edge"/>
          <c:yMode val="edge"/>
          <c:x val="0.16114668789711167"/>
          <c:y val="1.53068738952233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825492475867981"/>
          <c:y val="9.1513893217801387E-2"/>
          <c:w val="0.83503463489342566"/>
          <c:h val="0.7382522328593818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'[Tritium linechart Jan-Jun_20.xlsm]wells of interest data'!$A$64:$A$313</c:f>
              <c:numCache>
                <c:formatCode>m/d/yyyy</c:formatCode>
                <c:ptCount val="250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43101</c:v>
                </c:pt>
                <c:pt idx="177">
                  <c:v>43115</c:v>
                </c:pt>
                <c:pt idx="178">
                  <c:v>43122</c:v>
                </c:pt>
                <c:pt idx="179">
                  <c:v>43129</c:v>
                </c:pt>
                <c:pt idx="180">
                  <c:v>43143</c:v>
                </c:pt>
                <c:pt idx="181">
                  <c:v>43164</c:v>
                </c:pt>
                <c:pt idx="182">
                  <c:v>43185</c:v>
                </c:pt>
                <c:pt idx="183">
                  <c:v>43206</c:v>
                </c:pt>
                <c:pt idx="184">
                  <c:v>43220</c:v>
                </c:pt>
                <c:pt idx="185">
                  <c:v>43248</c:v>
                </c:pt>
                <c:pt idx="186">
                  <c:v>43255</c:v>
                </c:pt>
                <c:pt idx="187">
                  <c:v>43262</c:v>
                </c:pt>
                <c:pt idx="188">
                  <c:v>43269</c:v>
                </c:pt>
                <c:pt idx="189">
                  <c:v>43276</c:v>
                </c:pt>
                <c:pt idx="190">
                  <c:v>43277</c:v>
                </c:pt>
                <c:pt idx="191">
                  <c:v>43278</c:v>
                </c:pt>
                <c:pt idx="192">
                  <c:v>43290</c:v>
                </c:pt>
                <c:pt idx="193">
                  <c:v>43297</c:v>
                </c:pt>
                <c:pt idx="194">
                  <c:v>43304</c:v>
                </c:pt>
                <c:pt idx="195">
                  <c:v>43311</c:v>
                </c:pt>
                <c:pt idx="196">
                  <c:v>43318</c:v>
                </c:pt>
                <c:pt idx="197">
                  <c:v>43325</c:v>
                </c:pt>
                <c:pt idx="198">
                  <c:v>43332</c:v>
                </c:pt>
                <c:pt idx="199">
                  <c:v>43339</c:v>
                </c:pt>
                <c:pt idx="200">
                  <c:v>43346</c:v>
                </c:pt>
                <c:pt idx="201">
                  <c:v>43353</c:v>
                </c:pt>
                <c:pt idx="202">
                  <c:v>43360</c:v>
                </c:pt>
                <c:pt idx="203">
                  <c:v>43367</c:v>
                </c:pt>
                <c:pt idx="204">
                  <c:v>43374</c:v>
                </c:pt>
                <c:pt idx="205">
                  <c:v>43381</c:v>
                </c:pt>
                <c:pt idx="206">
                  <c:v>43388</c:v>
                </c:pt>
                <c:pt idx="207">
                  <c:v>43395</c:v>
                </c:pt>
                <c:pt idx="208">
                  <c:v>43402</c:v>
                </c:pt>
                <c:pt idx="209">
                  <c:v>43409</c:v>
                </c:pt>
                <c:pt idx="210">
                  <c:v>43416</c:v>
                </c:pt>
                <c:pt idx="211">
                  <c:v>43423</c:v>
                </c:pt>
                <c:pt idx="212">
                  <c:v>43430</c:v>
                </c:pt>
                <c:pt idx="213">
                  <c:v>43437</c:v>
                </c:pt>
                <c:pt idx="214">
                  <c:v>43444</c:v>
                </c:pt>
                <c:pt idx="215">
                  <c:v>43451</c:v>
                </c:pt>
                <c:pt idx="216">
                  <c:v>43458</c:v>
                </c:pt>
                <c:pt idx="217">
                  <c:v>43465</c:v>
                </c:pt>
                <c:pt idx="218">
                  <c:v>43472</c:v>
                </c:pt>
                <c:pt idx="219">
                  <c:v>43479</c:v>
                </c:pt>
                <c:pt idx="220">
                  <c:v>43500</c:v>
                </c:pt>
                <c:pt idx="221">
                  <c:v>43521</c:v>
                </c:pt>
                <c:pt idx="222">
                  <c:v>43528</c:v>
                </c:pt>
                <c:pt idx="223">
                  <c:v>43542</c:v>
                </c:pt>
                <c:pt idx="224">
                  <c:v>43549</c:v>
                </c:pt>
                <c:pt idx="225">
                  <c:v>43563</c:v>
                </c:pt>
                <c:pt idx="226">
                  <c:v>43584</c:v>
                </c:pt>
                <c:pt idx="227">
                  <c:v>43605</c:v>
                </c:pt>
                <c:pt idx="228">
                  <c:v>43619</c:v>
                </c:pt>
                <c:pt idx="229">
                  <c:v>43626</c:v>
                </c:pt>
                <c:pt idx="230">
                  <c:v>43647</c:v>
                </c:pt>
                <c:pt idx="231">
                  <c:v>43668</c:v>
                </c:pt>
                <c:pt idx="232">
                  <c:v>43689</c:v>
                </c:pt>
                <c:pt idx="233">
                  <c:v>43710</c:v>
                </c:pt>
                <c:pt idx="234">
                  <c:v>43717</c:v>
                </c:pt>
                <c:pt idx="235">
                  <c:v>43724</c:v>
                </c:pt>
                <c:pt idx="236">
                  <c:v>43745</c:v>
                </c:pt>
                <c:pt idx="237">
                  <c:v>43780</c:v>
                </c:pt>
                <c:pt idx="238">
                  <c:v>43801</c:v>
                </c:pt>
                <c:pt idx="239">
                  <c:v>43808</c:v>
                </c:pt>
                <c:pt idx="240">
                  <c:v>43831</c:v>
                </c:pt>
                <c:pt idx="241">
                  <c:v>43836</c:v>
                </c:pt>
                <c:pt idx="242">
                  <c:v>43864</c:v>
                </c:pt>
                <c:pt idx="243">
                  <c:v>43885</c:v>
                </c:pt>
                <c:pt idx="244">
                  <c:v>43892</c:v>
                </c:pt>
                <c:pt idx="245">
                  <c:v>43927</c:v>
                </c:pt>
                <c:pt idx="246">
                  <c:v>43955</c:v>
                </c:pt>
                <c:pt idx="247">
                  <c:v>43969</c:v>
                </c:pt>
                <c:pt idx="248">
                  <c:v>43983</c:v>
                </c:pt>
                <c:pt idx="249">
                  <c:v>43990</c:v>
                </c:pt>
              </c:numCache>
            </c:numRef>
          </c:cat>
          <c:val>
            <c:numRef>
              <c:f>'[Tritium linechart Jan-Jun_20.xlsm]wells of interest data'!$I$64:$I$313</c:f>
              <c:numCache>
                <c:formatCode>0</c:formatCode>
                <c:ptCount val="250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8">
                  <c:v>2200</c:v>
                </c:pt>
                <c:pt idx="180">
                  <c:v>2090</c:v>
                </c:pt>
                <c:pt idx="181">
                  <c:v>1710</c:v>
                </c:pt>
                <c:pt idx="182">
                  <c:v>1170</c:v>
                </c:pt>
                <c:pt idx="183">
                  <c:v>1270</c:v>
                </c:pt>
                <c:pt idx="184">
                  <c:v>1080</c:v>
                </c:pt>
                <c:pt idx="185">
                  <c:v>1270</c:v>
                </c:pt>
                <c:pt idx="188">
                  <c:v>1320</c:v>
                </c:pt>
                <c:pt idx="192">
                  <c:v>1110</c:v>
                </c:pt>
                <c:pt idx="198">
                  <c:v>1280</c:v>
                </c:pt>
                <c:pt idx="201">
                  <c:v>1170</c:v>
                </c:pt>
                <c:pt idx="204">
                  <c:v>1340</c:v>
                </c:pt>
                <c:pt idx="207">
                  <c:v>1630</c:v>
                </c:pt>
                <c:pt idx="210">
                  <c:v>1150</c:v>
                </c:pt>
                <c:pt idx="213">
                  <c:v>1130</c:v>
                </c:pt>
                <c:pt idx="216">
                  <c:v>1170</c:v>
                </c:pt>
                <c:pt idx="219">
                  <c:v>1180</c:v>
                </c:pt>
                <c:pt idx="220">
                  <c:v>1160</c:v>
                </c:pt>
                <c:pt idx="223">
                  <c:v>1130</c:v>
                </c:pt>
                <c:pt idx="229">
                  <c:v>1020</c:v>
                </c:pt>
                <c:pt idx="234">
                  <c:v>1110</c:v>
                </c:pt>
                <c:pt idx="238" formatCode="General">
                  <c:v>1210</c:v>
                </c:pt>
                <c:pt idx="244" formatCode="#,##0">
                  <c:v>722</c:v>
                </c:pt>
                <c:pt idx="249" formatCode="#,##0">
                  <c:v>723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D4-4468-B9EE-9E803EF0B21D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'[Tritium linechart Jan-Jun_20.xlsm]wells of interest data'!$A$64:$A$313</c:f>
              <c:numCache>
                <c:formatCode>m/d/yyyy</c:formatCode>
                <c:ptCount val="250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43101</c:v>
                </c:pt>
                <c:pt idx="177">
                  <c:v>43115</c:v>
                </c:pt>
                <c:pt idx="178">
                  <c:v>43122</c:v>
                </c:pt>
                <c:pt idx="179">
                  <c:v>43129</c:v>
                </c:pt>
                <c:pt idx="180">
                  <c:v>43143</c:v>
                </c:pt>
                <c:pt idx="181">
                  <c:v>43164</c:v>
                </c:pt>
                <c:pt idx="182">
                  <c:v>43185</c:v>
                </c:pt>
                <c:pt idx="183">
                  <c:v>43206</c:v>
                </c:pt>
                <c:pt idx="184">
                  <c:v>43220</c:v>
                </c:pt>
                <c:pt idx="185">
                  <c:v>43248</c:v>
                </c:pt>
                <c:pt idx="186">
                  <c:v>43255</c:v>
                </c:pt>
                <c:pt idx="187">
                  <c:v>43262</c:v>
                </c:pt>
                <c:pt idx="188">
                  <c:v>43269</c:v>
                </c:pt>
                <c:pt idx="189">
                  <c:v>43276</c:v>
                </c:pt>
                <c:pt idx="190">
                  <c:v>43277</c:v>
                </c:pt>
                <c:pt idx="191">
                  <c:v>43278</c:v>
                </c:pt>
                <c:pt idx="192">
                  <c:v>43290</c:v>
                </c:pt>
                <c:pt idx="193">
                  <c:v>43297</c:v>
                </c:pt>
                <c:pt idx="194">
                  <c:v>43304</c:v>
                </c:pt>
                <c:pt idx="195">
                  <c:v>43311</c:v>
                </c:pt>
                <c:pt idx="196">
                  <c:v>43318</c:v>
                </c:pt>
                <c:pt idx="197">
                  <c:v>43325</c:v>
                </c:pt>
                <c:pt idx="198">
                  <c:v>43332</c:v>
                </c:pt>
                <c:pt idx="199">
                  <c:v>43339</c:v>
                </c:pt>
                <c:pt idx="200">
                  <c:v>43346</c:v>
                </c:pt>
                <c:pt idx="201">
                  <c:v>43353</c:v>
                </c:pt>
                <c:pt idx="202">
                  <c:v>43360</c:v>
                </c:pt>
                <c:pt idx="203">
                  <c:v>43367</c:v>
                </c:pt>
                <c:pt idx="204">
                  <c:v>43374</c:v>
                </c:pt>
                <c:pt idx="205">
                  <c:v>43381</c:v>
                </c:pt>
                <c:pt idx="206">
                  <c:v>43388</c:v>
                </c:pt>
                <c:pt idx="207">
                  <c:v>43395</c:v>
                </c:pt>
                <c:pt idx="208">
                  <c:v>43402</c:v>
                </c:pt>
                <c:pt idx="209">
                  <c:v>43409</c:v>
                </c:pt>
                <c:pt idx="210">
                  <c:v>43416</c:v>
                </c:pt>
                <c:pt idx="211">
                  <c:v>43423</c:v>
                </c:pt>
                <c:pt idx="212">
                  <c:v>43430</c:v>
                </c:pt>
                <c:pt idx="213">
                  <c:v>43437</c:v>
                </c:pt>
                <c:pt idx="214">
                  <c:v>43444</c:v>
                </c:pt>
                <c:pt idx="215">
                  <c:v>43451</c:v>
                </c:pt>
                <c:pt idx="216">
                  <c:v>43458</c:v>
                </c:pt>
                <c:pt idx="217">
                  <c:v>43465</c:v>
                </c:pt>
                <c:pt idx="218">
                  <c:v>43472</c:v>
                </c:pt>
                <c:pt idx="219">
                  <c:v>43479</c:v>
                </c:pt>
                <c:pt idx="220">
                  <c:v>43500</c:v>
                </c:pt>
                <c:pt idx="221">
                  <c:v>43521</c:v>
                </c:pt>
                <c:pt idx="222">
                  <c:v>43528</c:v>
                </c:pt>
                <c:pt idx="223">
                  <c:v>43542</c:v>
                </c:pt>
                <c:pt idx="224">
                  <c:v>43549</c:v>
                </c:pt>
                <c:pt idx="225">
                  <c:v>43563</c:v>
                </c:pt>
                <c:pt idx="226">
                  <c:v>43584</c:v>
                </c:pt>
                <c:pt idx="227">
                  <c:v>43605</c:v>
                </c:pt>
                <c:pt idx="228">
                  <c:v>43619</c:v>
                </c:pt>
                <c:pt idx="229">
                  <c:v>43626</c:v>
                </c:pt>
                <c:pt idx="230">
                  <c:v>43647</c:v>
                </c:pt>
                <c:pt idx="231">
                  <c:v>43668</c:v>
                </c:pt>
                <c:pt idx="232">
                  <c:v>43689</c:v>
                </c:pt>
                <c:pt idx="233">
                  <c:v>43710</c:v>
                </c:pt>
                <c:pt idx="234">
                  <c:v>43717</c:v>
                </c:pt>
                <c:pt idx="235">
                  <c:v>43724</c:v>
                </c:pt>
                <c:pt idx="236">
                  <c:v>43745</c:v>
                </c:pt>
                <c:pt idx="237">
                  <c:v>43780</c:v>
                </c:pt>
                <c:pt idx="238">
                  <c:v>43801</c:v>
                </c:pt>
                <c:pt idx="239">
                  <c:v>43808</c:v>
                </c:pt>
                <c:pt idx="240">
                  <c:v>43831</c:v>
                </c:pt>
                <c:pt idx="241">
                  <c:v>43836</c:v>
                </c:pt>
                <c:pt idx="242">
                  <c:v>43864</c:v>
                </c:pt>
                <c:pt idx="243">
                  <c:v>43885</c:v>
                </c:pt>
                <c:pt idx="244">
                  <c:v>43892</c:v>
                </c:pt>
                <c:pt idx="245">
                  <c:v>43927</c:v>
                </c:pt>
                <c:pt idx="246">
                  <c:v>43955</c:v>
                </c:pt>
                <c:pt idx="247">
                  <c:v>43969</c:v>
                </c:pt>
                <c:pt idx="248">
                  <c:v>43983</c:v>
                </c:pt>
                <c:pt idx="249">
                  <c:v>43990</c:v>
                </c:pt>
              </c:numCache>
            </c:numRef>
          </c:cat>
          <c:val>
            <c:numRef>
              <c:f>'[Tritium linechart Jan-Jun_20.xlsm]wells of interest data'!$K$64:$K$313</c:f>
              <c:numCache>
                <c:formatCode>0</c:formatCode>
                <c:ptCount val="250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2066</c:v>
                </c:pt>
                <c:pt idx="178">
                  <c:v>2283</c:v>
                </c:pt>
                <c:pt idx="180">
                  <c:v>2126</c:v>
                </c:pt>
                <c:pt idx="181">
                  <c:v>1797</c:v>
                </c:pt>
                <c:pt idx="182">
                  <c:v>1193</c:v>
                </c:pt>
                <c:pt idx="183">
                  <c:v>1115</c:v>
                </c:pt>
                <c:pt idx="184">
                  <c:v>1249</c:v>
                </c:pt>
                <c:pt idx="185">
                  <c:v>1140</c:v>
                </c:pt>
                <c:pt idx="188">
                  <c:v>1103</c:v>
                </c:pt>
                <c:pt idx="192">
                  <c:v>1128</c:v>
                </c:pt>
                <c:pt idx="195">
                  <c:v>1084</c:v>
                </c:pt>
                <c:pt idx="198">
                  <c:v>1031</c:v>
                </c:pt>
                <c:pt idx="201">
                  <c:v>1023</c:v>
                </c:pt>
                <c:pt idx="204">
                  <c:v>1095</c:v>
                </c:pt>
                <c:pt idx="207">
                  <c:v>1344</c:v>
                </c:pt>
                <c:pt idx="210">
                  <c:v>1279</c:v>
                </c:pt>
                <c:pt idx="213">
                  <c:v>1150</c:v>
                </c:pt>
                <c:pt idx="216">
                  <c:v>976</c:v>
                </c:pt>
                <c:pt idx="219">
                  <c:v>996</c:v>
                </c:pt>
                <c:pt idx="220">
                  <c:v>951</c:v>
                </c:pt>
                <c:pt idx="223">
                  <c:v>995</c:v>
                </c:pt>
                <c:pt idx="229">
                  <c:v>1069</c:v>
                </c:pt>
                <c:pt idx="238">
                  <c:v>1118.2234866445392</c:v>
                </c:pt>
                <c:pt idx="244" formatCode="#,##0">
                  <c:v>751</c:v>
                </c:pt>
                <c:pt idx="249" formatCode="#,##0">
                  <c:v>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D4-4468-B9EE-9E803EF0B2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730496"/>
        <c:axId val="138794496"/>
      </c:lineChart>
      <c:dateAx>
        <c:axId val="138730496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2013 - 2020</a:t>
                </a:r>
              </a:p>
            </c:rich>
          </c:tx>
          <c:layout>
            <c:manualLayout>
              <c:xMode val="edge"/>
              <c:yMode val="edge"/>
              <c:x val="0.38104929506762475"/>
              <c:y val="0.92627859699355763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138794496"/>
        <c:crosses val="autoZero"/>
        <c:auto val="0"/>
        <c:lblOffset val="100"/>
        <c:baseTimeUnit val="days"/>
        <c:majorUnit val="6"/>
        <c:majorTimeUnit val="months"/>
        <c:minorUnit val="1"/>
        <c:minorTimeUnit val="months"/>
      </c:dateAx>
      <c:valAx>
        <c:axId val="138794496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8730496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51943862389102191"/>
          <c:y val="0.10744424932494949"/>
          <c:w val="0.3362842454610529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d) MW 219</a:t>
            </a:r>
          </a:p>
        </c:rich>
      </c:tx>
      <c:layout>
        <c:manualLayout>
          <c:xMode val="edge"/>
          <c:yMode val="edge"/>
          <c:x val="0.13347883313315037"/>
          <c:y val="2.21198168258011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271784776902886"/>
          <c:y val="9.6072266585051413E-2"/>
          <c:w val="0.80563657392249388"/>
          <c:h val="0.71988870649119396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25400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'[Tritium linechart Jan-Jun_20.xlsm]wells of interest data'!$A$124:$A$313</c:f>
              <c:numCache>
                <c:formatCode>m/d/yyyy</c:formatCode>
                <c:ptCount val="190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43101</c:v>
                </c:pt>
                <c:pt idx="117">
                  <c:v>43115</c:v>
                </c:pt>
                <c:pt idx="118">
                  <c:v>43122</c:v>
                </c:pt>
                <c:pt idx="119">
                  <c:v>43129</c:v>
                </c:pt>
                <c:pt idx="120">
                  <c:v>43143</c:v>
                </c:pt>
                <c:pt idx="121">
                  <c:v>43164</c:v>
                </c:pt>
                <c:pt idx="122">
                  <c:v>43185</c:v>
                </c:pt>
                <c:pt idx="123">
                  <c:v>43206</c:v>
                </c:pt>
                <c:pt idx="124">
                  <c:v>43220</c:v>
                </c:pt>
                <c:pt idx="125">
                  <c:v>43248</c:v>
                </c:pt>
                <c:pt idx="126">
                  <c:v>43255</c:v>
                </c:pt>
                <c:pt idx="127">
                  <c:v>43262</c:v>
                </c:pt>
                <c:pt idx="128">
                  <c:v>43269</c:v>
                </c:pt>
                <c:pt idx="129">
                  <c:v>43276</c:v>
                </c:pt>
                <c:pt idx="130">
                  <c:v>43277</c:v>
                </c:pt>
                <c:pt idx="131">
                  <c:v>43278</c:v>
                </c:pt>
                <c:pt idx="132">
                  <c:v>43290</c:v>
                </c:pt>
                <c:pt idx="133">
                  <c:v>43297</c:v>
                </c:pt>
                <c:pt idx="134">
                  <c:v>43304</c:v>
                </c:pt>
                <c:pt idx="135">
                  <c:v>43311</c:v>
                </c:pt>
                <c:pt idx="136">
                  <c:v>43318</c:v>
                </c:pt>
                <c:pt idx="137">
                  <c:v>43325</c:v>
                </c:pt>
                <c:pt idx="138">
                  <c:v>43332</c:v>
                </c:pt>
                <c:pt idx="139">
                  <c:v>43339</c:v>
                </c:pt>
                <c:pt idx="140">
                  <c:v>43346</c:v>
                </c:pt>
                <c:pt idx="141">
                  <c:v>43353</c:v>
                </c:pt>
                <c:pt idx="142">
                  <c:v>43360</c:v>
                </c:pt>
                <c:pt idx="143">
                  <c:v>43367</c:v>
                </c:pt>
                <c:pt idx="144">
                  <c:v>43374</c:v>
                </c:pt>
                <c:pt idx="145">
                  <c:v>43381</c:v>
                </c:pt>
                <c:pt idx="146">
                  <c:v>43388</c:v>
                </c:pt>
                <c:pt idx="147">
                  <c:v>43395</c:v>
                </c:pt>
                <c:pt idx="148">
                  <c:v>43402</c:v>
                </c:pt>
                <c:pt idx="149">
                  <c:v>43409</c:v>
                </c:pt>
                <c:pt idx="150">
                  <c:v>43416</c:v>
                </c:pt>
                <c:pt idx="151">
                  <c:v>43423</c:v>
                </c:pt>
                <c:pt idx="152">
                  <c:v>43430</c:v>
                </c:pt>
                <c:pt idx="153">
                  <c:v>43437</c:v>
                </c:pt>
                <c:pt idx="154">
                  <c:v>43444</c:v>
                </c:pt>
                <c:pt idx="155">
                  <c:v>43451</c:v>
                </c:pt>
                <c:pt idx="156">
                  <c:v>43458</c:v>
                </c:pt>
                <c:pt idx="157">
                  <c:v>43465</c:v>
                </c:pt>
                <c:pt idx="158">
                  <c:v>43472</c:v>
                </c:pt>
                <c:pt idx="159">
                  <c:v>43479</c:v>
                </c:pt>
                <c:pt idx="160">
                  <c:v>43500</c:v>
                </c:pt>
                <c:pt idx="161">
                  <c:v>43521</c:v>
                </c:pt>
                <c:pt idx="162">
                  <c:v>43528</c:v>
                </c:pt>
                <c:pt idx="163">
                  <c:v>43542</c:v>
                </c:pt>
                <c:pt idx="164">
                  <c:v>43549</c:v>
                </c:pt>
                <c:pt idx="165">
                  <c:v>43563</c:v>
                </c:pt>
                <c:pt idx="166">
                  <c:v>43584</c:v>
                </c:pt>
                <c:pt idx="167">
                  <c:v>43605</c:v>
                </c:pt>
                <c:pt idx="168">
                  <c:v>43619</c:v>
                </c:pt>
                <c:pt idx="169">
                  <c:v>43626</c:v>
                </c:pt>
                <c:pt idx="170">
                  <c:v>43647</c:v>
                </c:pt>
                <c:pt idx="171">
                  <c:v>43668</c:v>
                </c:pt>
                <c:pt idx="172">
                  <c:v>43689</c:v>
                </c:pt>
                <c:pt idx="173">
                  <c:v>43710</c:v>
                </c:pt>
                <c:pt idx="174">
                  <c:v>43717</c:v>
                </c:pt>
                <c:pt idx="175">
                  <c:v>43724</c:v>
                </c:pt>
                <c:pt idx="176">
                  <c:v>43745</c:v>
                </c:pt>
                <c:pt idx="177">
                  <c:v>43780</c:v>
                </c:pt>
                <c:pt idx="178">
                  <c:v>43801</c:v>
                </c:pt>
                <c:pt idx="179">
                  <c:v>43808</c:v>
                </c:pt>
                <c:pt idx="180">
                  <c:v>43831</c:v>
                </c:pt>
                <c:pt idx="181">
                  <c:v>43836</c:v>
                </c:pt>
                <c:pt idx="182">
                  <c:v>43864</c:v>
                </c:pt>
                <c:pt idx="183">
                  <c:v>43885</c:v>
                </c:pt>
                <c:pt idx="184">
                  <c:v>43892</c:v>
                </c:pt>
                <c:pt idx="185">
                  <c:v>43927</c:v>
                </c:pt>
                <c:pt idx="186">
                  <c:v>43955</c:v>
                </c:pt>
                <c:pt idx="187">
                  <c:v>43969</c:v>
                </c:pt>
                <c:pt idx="188">
                  <c:v>43983</c:v>
                </c:pt>
                <c:pt idx="189">
                  <c:v>43990</c:v>
                </c:pt>
              </c:numCache>
            </c:numRef>
          </c:cat>
          <c:val>
            <c:numRef>
              <c:f>'[Tritium linechart Jan-Jun_20.xlsm]wells of interest data'!$M$124:$M$313</c:f>
              <c:numCache>
                <c:formatCode>0</c:formatCode>
                <c:ptCount val="190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8">
                  <c:v>1060</c:v>
                </c:pt>
                <c:pt idx="119">
                  <c:v>4410</c:v>
                </c:pt>
                <c:pt idx="120">
                  <c:v>1110</c:v>
                </c:pt>
                <c:pt idx="121">
                  <c:v>747</c:v>
                </c:pt>
                <c:pt idx="122">
                  <c:v>3680</c:v>
                </c:pt>
                <c:pt idx="123">
                  <c:v>1320</c:v>
                </c:pt>
                <c:pt idx="124">
                  <c:v>5560</c:v>
                </c:pt>
                <c:pt idx="125">
                  <c:v>12200</c:v>
                </c:pt>
                <c:pt idx="126">
                  <c:v>4950</c:v>
                </c:pt>
                <c:pt idx="127">
                  <c:v>14500</c:v>
                </c:pt>
                <c:pt idx="128">
                  <c:v>19000</c:v>
                </c:pt>
                <c:pt idx="129">
                  <c:v>18200</c:v>
                </c:pt>
                <c:pt idx="130">
                  <c:v>19200</c:v>
                </c:pt>
                <c:pt idx="131">
                  <c:v>17700</c:v>
                </c:pt>
                <c:pt idx="132">
                  <c:v>20500</c:v>
                </c:pt>
                <c:pt idx="133">
                  <c:v>34500</c:v>
                </c:pt>
                <c:pt idx="134">
                  <c:v>33000</c:v>
                </c:pt>
                <c:pt idx="135">
                  <c:v>31500</c:v>
                </c:pt>
                <c:pt idx="136">
                  <c:v>11200</c:v>
                </c:pt>
                <c:pt idx="137">
                  <c:v>26500</c:v>
                </c:pt>
                <c:pt idx="138">
                  <c:v>1910</c:v>
                </c:pt>
                <c:pt idx="139">
                  <c:v>34300</c:v>
                </c:pt>
                <c:pt idx="140">
                  <c:v>22000</c:v>
                </c:pt>
                <c:pt idx="141">
                  <c:v>4290</c:v>
                </c:pt>
                <c:pt idx="142">
                  <c:v>25900</c:v>
                </c:pt>
                <c:pt idx="143">
                  <c:v>19900</c:v>
                </c:pt>
                <c:pt idx="144">
                  <c:v>13300</c:v>
                </c:pt>
                <c:pt idx="145">
                  <c:v>13800</c:v>
                </c:pt>
                <c:pt idx="146">
                  <c:v>10000</c:v>
                </c:pt>
                <c:pt idx="147">
                  <c:v>6410</c:v>
                </c:pt>
                <c:pt idx="148">
                  <c:v>722</c:v>
                </c:pt>
                <c:pt idx="149">
                  <c:v>1920</c:v>
                </c:pt>
                <c:pt idx="150">
                  <c:v>3280</c:v>
                </c:pt>
                <c:pt idx="151">
                  <c:v>1960</c:v>
                </c:pt>
                <c:pt idx="152">
                  <c:v>603</c:v>
                </c:pt>
                <c:pt idx="153">
                  <c:v>1230</c:v>
                </c:pt>
                <c:pt idx="154">
                  <c:v>3410</c:v>
                </c:pt>
                <c:pt idx="155">
                  <c:v>589</c:v>
                </c:pt>
                <c:pt idx="156">
                  <c:v>1140</c:v>
                </c:pt>
                <c:pt idx="158">
                  <c:v>958</c:v>
                </c:pt>
                <c:pt idx="159">
                  <c:v>1140</c:v>
                </c:pt>
                <c:pt idx="160">
                  <c:v>834</c:v>
                </c:pt>
                <c:pt idx="161">
                  <c:v>546</c:v>
                </c:pt>
                <c:pt idx="163">
                  <c:v>834</c:v>
                </c:pt>
                <c:pt idx="165">
                  <c:v>368</c:v>
                </c:pt>
                <c:pt idx="166">
                  <c:v>681</c:v>
                </c:pt>
                <c:pt idx="167">
                  <c:v>825</c:v>
                </c:pt>
                <c:pt idx="169">
                  <c:v>845</c:v>
                </c:pt>
                <c:pt idx="170">
                  <c:v>672</c:v>
                </c:pt>
                <c:pt idx="171">
                  <c:v>159</c:v>
                </c:pt>
                <c:pt idx="172">
                  <c:v>147</c:v>
                </c:pt>
                <c:pt idx="174">
                  <c:v>147.5</c:v>
                </c:pt>
                <c:pt idx="176" formatCode="General">
                  <c:v>373</c:v>
                </c:pt>
                <c:pt idx="177" formatCode="General">
                  <c:v>385</c:v>
                </c:pt>
                <c:pt idx="178">
                  <c:v>151</c:v>
                </c:pt>
                <c:pt idx="181" formatCode="General">
                  <c:v>441</c:v>
                </c:pt>
                <c:pt idx="182" formatCode="General">
                  <c:v>149</c:v>
                </c:pt>
                <c:pt idx="184" formatCode="#,##0">
                  <c:v>169.5</c:v>
                </c:pt>
                <c:pt idx="185" formatCode="#,##0">
                  <c:v>146.5</c:v>
                </c:pt>
                <c:pt idx="186" formatCode="#,##0">
                  <c:v>139.5</c:v>
                </c:pt>
                <c:pt idx="189" formatCode="#,##0">
                  <c:v>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A0-40B5-B41B-1B6324403AAD}"/>
            </c:ext>
          </c:extLst>
        </c:ser>
        <c:ser>
          <c:idx val="3"/>
          <c:order val="1"/>
          <c:tx>
            <c:v>MERL</c:v>
          </c:tx>
          <c:spPr>
            <a:ln w="2222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'[Tritium linechart Jan-Jun_20.xlsm]wells of interest data'!$A$124:$A$313</c:f>
              <c:numCache>
                <c:formatCode>m/d/yyyy</c:formatCode>
                <c:ptCount val="190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43101</c:v>
                </c:pt>
                <c:pt idx="117">
                  <c:v>43115</c:v>
                </c:pt>
                <c:pt idx="118">
                  <c:v>43122</c:v>
                </c:pt>
                <c:pt idx="119">
                  <c:v>43129</c:v>
                </c:pt>
                <c:pt idx="120">
                  <c:v>43143</c:v>
                </c:pt>
                <c:pt idx="121">
                  <c:v>43164</c:v>
                </c:pt>
                <c:pt idx="122">
                  <c:v>43185</c:v>
                </c:pt>
                <c:pt idx="123">
                  <c:v>43206</c:v>
                </c:pt>
                <c:pt idx="124">
                  <c:v>43220</c:v>
                </c:pt>
                <c:pt idx="125">
                  <c:v>43248</c:v>
                </c:pt>
                <c:pt idx="126">
                  <c:v>43255</c:v>
                </c:pt>
                <c:pt idx="127">
                  <c:v>43262</c:v>
                </c:pt>
                <c:pt idx="128">
                  <c:v>43269</c:v>
                </c:pt>
                <c:pt idx="129">
                  <c:v>43276</c:v>
                </c:pt>
                <c:pt idx="130">
                  <c:v>43277</c:v>
                </c:pt>
                <c:pt idx="131">
                  <c:v>43278</c:v>
                </c:pt>
                <c:pt idx="132">
                  <c:v>43290</c:v>
                </c:pt>
                <c:pt idx="133">
                  <c:v>43297</c:v>
                </c:pt>
                <c:pt idx="134">
                  <c:v>43304</c:v>
                </c:pt>
                <c:pt idx="135">
                  <c:v>43311</c:v>
                </c:pt>
                <c:pt idx="136">
                  <c:v>43318</c:v>
                </c:pt>
                <c:pt idx="137">
                  <c:v>43325</c:v>
                </c:pt>
                <c:pt idx="138">
                  <c:v>43332</c:v>
                </c:pt>
                <c:pt idx="139">
                  <c:v>43339</c:v>
                </c:pt>
                <c:pt idx="140">
                  <c:v>43346</c:v>
                </c:pt>
                <c:pt idx="141">
                  <c:v>43353</c:v>
                </c:pt>
                <c:pt idx="142">
                  <c:v>43360</c:v>
                </c:pt>
                <c:pt idx="143">
                  <c:v>43367</c:v>
                </c:pt>
                <c:pt idx="144">
                  <c:v>43374</c:v>
                </c:pt>
                <c:pt idx="145">
                  <c:v>43381</c:v>
                </c:pt>
                <c:pt idx="146">
                  <c:v>43388</c:v>
                </c:pt>
                <c:pt idx="147">
                  <c:v>43395</c:v>
                </c:pt>
                <c:pt idx="148">
                  <c:v>43402</c:v>
                </c:pt>
                <c:pt idx="149">
                  <c:v>43409</c:v>
                </c:pt>
                <c:pt idx="150">
                  <c:v>43416</c:v>
                </c:pt>
                <c:pt idx="151">
                  <c:v>43423</c:v>
                </c:pt>
                <c:pt idx="152">
                  <c:v>43430</c:v>
                </c:pt>
                <c:pt idx="153">
                  <c:v>43437</c:v>
                </c:pt>
                <c:pt idx="154">
                  <c:v>43444</c:v>
                </c:pt>
                <c:pt idx="155">
                  <c:v>43451</c:v>
                </c:pt>
                <c:pt idx="156">
                  <c:v>43458</c:v>
                </c:pt>
                <c:pt idx="157">
                  <c:v>43465</c:v>
                </c:pt>
                <c:pt idx="158">
                  <c:v>43472</c:v>
                </c:pt>
                <c:pt idx="159">
                  <c:v>43479</c:v>
                </c:pt>
                <c:pt idx="160">
                  <c:v>43500</c:v>
                </c:pt>
                <c:pt idx="161">
                  <c:v>43521</c:v>
                </c:pt>
                <c:pt idx="162">
                  <c:v>43528</c:v>
                </c:pt>
                <c:pt idx="163">
                  <c:v>43542</c:v>
                </c:pt>
                <c:pt idx="164">
                  <c:v>43549</c:v>
                </c:pt>
                <c:pt idx="165">
                  <c:v>43563</c:v>
                </c:pt>
                <c:pt idx="166">
                  <c:v>43584</c:v>
                </c:pt>
                <c:pt idx="167">
                  <c:v>43605</c:v>
                </c:pt>
                <c:pt idx="168">
                  <c:v>43619</c:v>
                </c:pt>
                <c:pt idx="169">
                  <c:v>43626</c:v>
                </c:pt>
                <c:pt idx="170">
                  <c:v>43647</c:v>
                </c:pt>
                <c:pt idx="171">
                  <c:v>43668</c:v>
                </c:pt>
                <c:pt idx="172">
                  <c:v>43689</c:v>
                </c:pt>
                <c:pt idx="173">
                  <c:v>43710</c:v>
                </c:pt>
                <c:pt idx="174">
                  <c:v>43717</c:v>
                </c:pt>
                <c:pt idx="175">
                  <c:v>43724</c:v>
                </c:pt>
                <c:pt idx="176">
                  <c:v>43745</c:v>
                </c:pt>
                <c:pt idx="177">
                  <c:v>43780</c:v>
                </c:pt>
                <c:pt idx="178">
                  <c:v>43801</c:v>
                </c:pt>
                <c:pt idx="179">
                  <c:v>43808</c:v>
                </c:pt>
                <c:pt idx="180">
                  <c:v>43831</c:v>
                </c:pt>
                <c:pt idx="181">
                  <c:v>43836</c:v>
                </c:pt>
                <c:pt idx="182">
                  <c:v>43864</c:v>
                </c:pt>
                <c:pt idx="183">
                  <c:v>43885</c:v>
                </c:pt>
                <c:pt idx="184">
                  <c:v>43892</c:v>
                </c:pt>
                <c:pt idx="185">
                  <c:v>43927</c:v>
                </c:pt>
                <c:pt idx="186">
                  <c:v>43955</c:v>
                </c:pt>
                <c:pt idx="187">
                  <c:v>43969</c:v>
                </c:pt>
                <c:pt idx="188">
                  <c:v>43983</c:v>
                </c:pt>
                <c:pt idx="189">
                  <c:v>43990</c:v>
                </c:pt>
              </c:numCache>
            </c:numRef>
          </c:cat>
          <c:val>
            <c:numRef>
              <c:f>'[Tritium linechart Jan-Jun_20.xlsm]wells of interest data'!$L$124:$L$313</c:f>
              <c:numCache>
                <c:formatCode>0</c:formatCode>
                <c:ptCount val="190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</c:v>
                </c:pt>
                <c:pt idx="117">
                  <c:v>2376</c:v>
                </c:pt>
                <c:pt idx="118">
                  <c:v>967</c:v>
                </c:pt>
                <c:pt idx="119">
                  <c:v>4590</c:v>
                </c:pt>
                <c:pt idx="120">
                  <c:v>843</c:v>
                </c:pt>
                <c:pt idx="121">
                  <c:v>750</c:v>
                </c:pt>
                <c:pt idx="122">
                  <c:v>4513</c:v>
                </c:pt>
                <c:pt idx="123">
                  <c:v>793</c:v>
                </c:pt>
                <c:pt idx="124">
                  <c:v>4978</c:v>
                </c:pt>
                <c:pt idx="125">
                  <c:v>11638</c:v>
                </c:pt>
                <c:pt idx="126">
                  <c:v>6489</c:v>
                </c:pt>
                <c:pt idx="127">
                  <c:v>15816</c:v>
                </c:pt>
                <c:pt idx="128">
                  <c:v>18125</c:v>
                </c:pt>
                <c:pt idx="130">
                  <c:v>18755</c:v>
                </c:pt>
                <c:pt idx="131">
                  <c:v>16716</c:v>
                </c:pt>
                <c:pt idx="133">
                  <c:v>31784</c:v>
                </c:pt>
                <c:pt idx="135">
                  <c:v>40500</c:v>
                </c:pt>
                <c:pt idx="136">
                  <c:v>9772</c:v>
                </c:pt>
                <c:pt idx="137">
                  <c:v>25336</c:v>
                </c:pt>
                <c:pt idx="138">
                  <c:v>1163</c:v>
                </c:pt>
                <c:pt idx="139">
                  <c:v>31690</c:v>
                </c:pt>
                <c:pt idx="140">
                  <c:v>23116</c:v>
                </c:pt>
                <c:pt idx="141">
                  <c:v>6690</c:v>
                </c:pt>
                <c:pt idx="142">
                  <c:v>24116</c:v>
                </c:pt>
                <c:pt idx="143">
                  <c:v>18016</c:v>
                </c:pt>
                <c:pt idx="144">
                  <c:v>12296</c:v>
                </c:pt>
                <c:pt idx="145">
                  <c:v>14989</c:v>
                </c:pt>
                <c:pt idx="146">
                  <c:v>11271</c:v>
                </c:pt>
                <c:pt idx="147">
                  <c:v>5793</c:v>
                </c:pt>
                <c:pt idx="148">
                  <c:v>1023</c:v>
                </c:pt>
                <c:pt idx="149">
                  <c:v>2270</c:v>
                </c:pt>
                <c:pt idx="150">
                  <c:v>3548</c:v>
                </c:pt>
                <c:pt idx="151">
                  <c:v>1684</c:v>
                </c:pt>
                <c:pt idx="152">
                  <c:v>865</c:v>
                </c:pt>
                <c:pt idx="153">
                  <c:v>1151</c:v>
                </c:pt>
                <c:pt idx="154">
                  <c:v>3444</c:v>
                </c:pt>
                <c:pt idx="155">
                  <c:v>738</c:v>
                </c:pt>
                <c:pt idx="156">
                  <c:v>953</c:v>
                </c:pt>
                <c:pt idx="157">
                  <c:v>584</c:v>
                </c:pt>
                <c:pt idx="158">
                  <c:v>991</c:v>
                </c:pt>
                <c:pt idx="159">
                  <c:v>1183</c:v>
                </c:pt>
                <c:pt idx="160">
                  <c:v>763</c:v>
                </c:pt>
                <c:pt idx="161">
                  <c:v>835</c:v>
                </c:pt>
                <c:pt idx="163">
                  <c:v>471</c:v>
                </c:pt>
                <c:pt idx="165">
                  <c:v>638</c:v>
                </c:pt>
                <c:pt idx="166">
                  <c:v>713</c:v>
                </c:pt>
                <c:pt idx="167">
                  <c:v>644</c:v>
                </c:pt>
                <c:pt idx="169">
                  <c:v>716</c:v>
                </c:pt>
                <c:pt idx="170">
                  <c:v>716.30546083100785</c:v>
                </c:pt>
                <c:pt idx="171" formatCode="#,##0">
                  <c:v>150</c:v>
                </c:pt>
                <c:pt idx="172" formatCode="#,##0">
                  <c:v>150</c:v>
                </c:pt>
                <c:pt idx="176">
                  <c:v>258.96977116489313</c:v>
                </c:pt>
                <c:pt idx="177">
                  <c:v>467.9140197220861</c:v>
                </c:pt>
                <c:pt idx="178">
                  <c:v>244.0399154834667</c:v>
                </c:pt>
                <c:pt idx="181" formatCode="#,##0">
                  <c:v>433.3</c:v>
                </c:pt>
                <c:pt idx="182" formatCode="#,##0">
                  <c:v>150</c:v>
                </c:pt>
                <c:pt idx="184" formatCode="#,##0">
                  <c:v>308.39999999999998</c:v>
                </c:pt>
                <c:pt idx="185" formatCode="#,##0">
                  <c:v>150</c:v>
                </c:pt>
                <c:pt idx="186" formatCode="#,##0">
                  <c:v>370.5</c:v>
                </c:pt>
                <c:pt idx="189" formatCode="#,##0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CA0-40B5-B41B-1B6324403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324480"/>
        <c:axId val="210331136"/>
      </c:lineChart>
      <c:dateAx>
        <c:axId val="210324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2015 -2020</a:t>
                </a:r>
              </a:p>
            </c:rich>
          </c:tx>
          <c:layout>
            <c:manualLayout>
              <c:xMode val="edge"/>
              <c:yMode val="edge"/>
              <c:x val="0.35838538932633424"/>
              <c:y val="0.91721024271259399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210331136"/>
        <c:crosses val="autoZero"/>
        <c:auto val="0"/>
        <c:lblOffset val="100"/>
        <c:baseTimeUnit val="days"/>
        <c:majorUnit val="6"/>
        <c:majorTimeUnit val="months"/>
        <c:minorUnit val="6"/>
        <c:minorTimeUnit val="months"/>
      </c:dateAx>
      <c:valAx>
        <c:axId val="210331136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210324480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18648775153105865"/>
          <c:y val="0.11868562366099995"/>
          <c:w val="0.33843000874890639"/>
          <c:h val="0.1270689927010007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</cdr:x>
      <cdr:y>0.18782</cdr:y>
    </cdr:from>
    <cdr:to>
      <cdr:x>0.78727</cdr:x>
      <cdr:y>0.21827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48027" y="704851"/>
          <a:ext cx="876300" cy="114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0.67615</cdr:x>
      <cdr:y>0.43235</cdr:y>
    </cdr:from>
    <cdr:to>
      <cdr:x>0.82217</cdr:x>
      <cdr:y>0.4957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263515" y="2933699"/>
          <a:ext cx="1136698" cy="4298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endParaRPr lang="en-US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0.70489</cdr:x>
      <cdr:y>0.76268</cdr:y>
    </cdr:from>
    <cdr:to>
      <cdr:x>0.77706</cdr:x>
      <cdr:y>0.7971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595077" y="5276849"/>
          <a:ext cx="5728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aseline="0"/>
            <a:t> </a:t>
          </a:r>
          <a:endParaRPr lang="en-US" sz="1000" b="1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0.69527</cdr:x>
      <cdr:y>0.81499</cdr:y>
    </cdr:from>
    <cdr:to>
      <cdr:x>0.79511</cdr:x>
      <cdr:y>0.86043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518694" y="5638800"/>
          <a:ext cx="792477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50" b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 </a:t>
          </a:r>
        </a:p>
      </cdr:txBody>
    </cdr:sp>
  </cdr:relSizeAnchor>
  <cdr:relSizeAnchor xmlns:cdr="http://schemas.openxmlformats.org/drawingml/2006/chartDrawing">
    <cdr:from>
      <cdr:x>0.10463</cdr:x>
      <cdr:y>0.81499</cdr:y>
    </cdr:from>
    <cdr:to>
      <cdr:x>0.18763</cdr:x>
      <cdr:y>0.8439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30508" y="5638800"/>
          <a:ext cx="658806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 b="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0.3948</cdr:x>
      <cdr:y>0.27121</cdr:y>
    </cdr:from>
    <cdr:to>
      <cdr:x>0.504</cdr:x>
      <cdr:y>0.33729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133724" y="1876425"/>
          <a:ext cx="866775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0.12984</cdr:x>
      <cdr:y>0.27064</cdr:y>
    </cdr:from>
    <cdr:to>
      <cdr:x>0.36058</cdr:x>
      <cdr:y>0.33586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771729" y="1020833"/>
          <a:ext cx="1371396" cy="2459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solidFill>
                <a:srgbClr val="C00000"/>
              </a:solidFill>
              <a:effectLst/>
              <a:latin typeface="+mn-lt"/>
              <a:ea typeface="+mn-ea"/>
              <a:cs typeface="+mn-cs"/>
            </a:rPr>
            <a:t>NRC screening level</a:t>
          </a:r>
          <a:endParaRPr lang="en-US" sz="11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0.49944</cdr:x>
      <cdr:y>0.07631</cdr:y>
    </cdr:from>
    <cdr:to>
      <cdr:x>0.64904</cdr:x>
      <cdr:y>0.13636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2968461" y="287851"/>
          <a:ext cx="889164" cy="2264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3,700 pCi/L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EAB2-3040-455C-8389-3C03C66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3592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Erdman</dc:creator>
  <cp:keywords>3H update report;DRAFT</cp:keywords>
  <cp:lastModifiedBy>Mara Seeley</cp:lastModifiedBy>
  <cp:revision>3</cp:revision>
  <cp:lastPrinted>2020-03-11T19:24:00Z</cp:lastPrinted>
  <dcterms:created xsi:type="dcterms:W3CDTF">2021-01-07T20:25:00Z</dcterms:created>
  <dcterms:modified xsi:type="dcterms:W3CDTF">2021-01-07T20:28:00Z</dcterms:modified>
</cp:coreProperties>
</file>