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B90F636" w14:textId="77777777" w:rsidR="00F17191" w:rsidRDefault="00F17191" w:rsidP="00F1719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418BF0A1" w14:textId="29E054EE" w:rsidR="00E32795" w:rsidRPr="00E662E1" w:rsidRDefault="00E32795" w:rsidP="00E32795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309B2D67" w14:textId="5579FD10" w:rsidR="00E32795" w:rsidRDefault="00F17191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 w:rsidR="00E32795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2984E2" w14:textId="77777777" w:rsidR="00E32795" w:rsidRDefault="00E32795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FDBC257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CBB878E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B90F636" w14:textId="77777777" w:rsidR="00F17191" w:rsidRDefault="00F17191" w:rsidP="00F1719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418BF0A1" w14:textId="29E054EE" w:rsidR="00E32795" w:rsidRPr="00E662E1" w:rsidRDefault="00E32795" w:rsidP="00E32795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309B2D67" w14:textId="5579FD10" w:rsidR="00E32795" w:rsidRDefault="00F17191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 w:rsidR="00E32795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2984E2" w14:textId="77777777" w:rsidR="00E32795" w:rsidRDefault="00E32795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FDBC257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CBB878E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22119093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D49C1A5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196BC78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EC92628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5C988DA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18E86F5A" w14:textId="21A5B862" w:rsidR="00FC6B42" w:rsidRDefault="00FC6B42" w:rsidP="00E32795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D49C1A5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196BC78" w14:textId="77777777" w:rsidR="00E32795" w:rsidRDefault="00E32795" w:rsidP="00E32795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EC92628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5C988DA" w14:textId="77777777" w:rsidR="00E32795" w:rsidRDefault="00E32795" w:rsidP="00E32795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18E86F5A" w14:textId="21A5B862" w:rsidR="00FC6B42" w:rsidRDefault="00FC6B42" w:rsidP="00E32795">
                      <w:pPr>
                        <w:pStyle w:val="Governor"/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2A89AB10" w:rsidR="00FC6B42" w:rsidRDefault="00FC6B42" w:rsidP="0072610D"/>
    <w:p w14:paraId="6421779F" w14:textId="0983BAA6" w:rsidR="00FC6B42" w:rsidRDefault="00FC6B42" w:rsidP="0072610D"/>
    <w:p w14:paraId="72F700CD" w14:textId="196EE678" w:rsidR="00966329" w:rsidRDefault="00966329" w:rsidP="0072610D"/>
    <w:p w14:paraId="547A746D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14F260A9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5B50716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3112817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08E6A3D9" w14:textId="0F650236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317AB7BD" w:rsidR="00284BC8" w:rsidRPr="006A7D07" w:rsidRDefault="00E5707E" w:rsidP="007A6CF2">
      <w:pPr>
        <w:jc w:val="center"/>
        <w:rPr>
          <w:b/>
          <w:szCs w:val="24"/>
        </w:rPr>
      </w:pPr>
      <w:r>
        <w:rPr>
          <w:b/>
          <w:szCs w:val="24"/>
        </w:rPr>
        <w:t>January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June</w:t>
      </w:r>
      <w:r w:rsidRPr="006A7D07">
        <w:rPr>
          <w:b/>
          <w:szCs w:val="24"/>
        </w:rPr>
        <w:t xml:space="preserve"> 20</w:t>
      </w:r>
      <w:r>
        <w:rPr>
          <w:b/>
          <w:szCs w:val="24"/>
        </w:rPr>
        <w:t>22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7BC3F85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77719" cy="21240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2EC3F151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E57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January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E57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June</w:t>
                            </w:r>
                            <w:r w:rsidR="00E5707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E57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="00E5707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27D65CEB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="00E5707E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single well where tritium was detected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decrease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2B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during the first six months of 2022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186BB092" w:rsidR="006C76A4" w:rsidRPr="00C21DEE" w:rsidRDefault="006C76A4" w:rsidP="00E570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than the US EPA drinking water standard for tritium of 20,000 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2AF" id="_x0000_s1028" type="#_x0000_t202" style="position:absolute;left:0;text-align:left;margin-left:0;margin-top:1.1pt;width:470.7pt;height:16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2EC3F151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E57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January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E57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June</w:t>
                      </w:r>
                      <w:r w:rsidR="00E5707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20</w:t>
                      </w:r>
                      <w:r w:rsidR="00E57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</w:t>
                      </w:r>
                      <w:r w:rsidR="00E5707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27D65CEB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</w:t>
                      </w:r>
                      <w:r w:rsidR="00E5707E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single well where tritium was detected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decrease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82B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during the first six months of 2022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186BB092" w:rsidR="006C76A4" w:rsidRPr="00C21DEE" w:rsidRDefault="006C76A4" w:rsidP="00E570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than the US EPA drinking water standard for tritium of 20,000 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5423DE47" w14:textId="77777777" w:rsidR="00306127" w:rsidRDefault="00306127" w:rsidP="0035250D">
      <w:pPr>
        <w:jc w:val="both"/>
        <w:rPr>
          <w:b/>
          <w:szCs w:val="24"/>
        </w:rPr>
      </w:pPr>
    </w:p>
    <w:p w14:paraId="1DD1BDF0" w14:textId="77777777" w:rsidR="00306127" w:rsidRDefault="00306127" w:rsidP="0035250D">
      <w:pPr>
        <w:jc w:val="both"/>
        <w:rPr>
          <w:b/>
          <w:szCs w:val="24"/>
        </w:rPr>
      </w:pPr>
    </w:p>
    <w:p w14:paraId="7C79D914" w14:textId="77777777" w:rsidR="00306127" w:rsidRDefault="00306127" w:rsidP="0035250D">
      <w:pPr>
        <w:jc w:val="both"/>
        <w:rPr>
          <w:b/>
          <w:szCs w:val="24"/>
        </w:rPr>
      </w:pPr>
    </w:p>
    <w:p w14:paraId="674715BC" w14:textId="77777777" w:rsidR="00306127" w:rsidRDefault="00306127" w:rsidP="0035250D">
      <w:pPr>
        <w:jc w:val="both"/>
        <w:rPr>
          <w:b/>
          <w:szCs w:val="24"/>
        </w:rPr>
      </w:pPr>
    </w:p>
    <w:p w14:paraId="50E7E4F1" w14:textId="77777777" w:rsidR="00306127" w:rsidRDefault="00306127" w:rsidP="0035250D">
      <w:pPr>
        <w:jc w:val="both"/>
        <w:rPr>
          <w:b/>
          <w:szCs w:val="24"/>
        </w:rPr>
      </w:pPr>
    </w:p>
    <w:p w14:paraId="5012D147" w14:textId="2D19C6AF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126D27BE" w:rsidR="00106ED6" w:rsidRDefault="0071739B" w:rsidP="00312BB1">
      <w:pPr>
        <w:jc w:val="both"/>
        <w:rPr>
          <w:szCs w:val="24"/>
        </w:rPr>
      </w:pPr>
      <w:bookmarkStart w:id="0" w:name="_Hlk125123784"/>
      <w:proofErr w:type="spellStart"/>
      <w:r>
        <w:rPr>
          <w:szCs w:val="24"/>
        </w:rPr>
        <w:t>Holtec</w:t>
      </w:r>
      <w:proofErr w:type="spellEnd"/>
      <w:r w:rsidR="00166453">
        <w:rPr>
          <w:szCs w:val="24"/>
        </w:rPr>
        <w:t xml:space="preserve">, </w:t>
      </w:r>
      <w:r w:rsidR="00166453" w:rsidRPr="005934A8">
        <w:rPr>
          <w:szCs w:val="24"/>
        </w:rPr>
        <w:t>the current owner of Pilgrim for purposes of decommissioning,</w:t>
      </w:r>
      <w:r w:rsidR="00106ED6" w:rsidRPr="008B1356">
        <w:rPr>
          <w:szCs w:val="24"/>
        </w:rPr>
        <w:t xml:space="preserve"> collects samples at 23 groundwater wells and one surface water location on-site at PNPS. </w:t>
      </w:r>
      <w:bookmarkEnd w:id="0"/>
      <w:r w:rsidR="00106ED6" w:rsidRPr="008B1356">
        <w:rPr>
          <w:szCs w:val="24"/>
        </w:rPr>
        <w:t xml:space="preserve">The sampling interval </w:t>
      </w:r>
      <w:r w:rsidR="005B4EB1" w:rsidRPr="008B1356">
        <w:rPr>
          <w:szCs w:val="24"/>
        </w:rPr>
        <w:t xml:space="preserve">for the </w:t>
      </w:r>
      <w:r w:rsidR="00E5707E">
        <w:rPr>
          <w:szCs w:val="24"/>
        </w:rPr>
        <w:t>first</w:t>
      </w:r>
      <w:r w:rsidR="00E5707E" w:rsidRPr="008B1356">
        <w:rPr>
          <w:szCs w:val="24"/>
        </w:rPr>
        <w:t xml:space="preserve"> </w:t>
      </w:r>
      <w:r w:rsidR="005B4EB1" w:rsidRPr="008B1356">
        <w:rPr>
          <w:szCs w:val="24"/>
        </w:rPr>
        <w:t xml:space="preserve">six months of </w:t>
      </w:r>
      <w:r w:rsidR="00E5707E" w:rsidRPr="008B1356">
        <w:rPr>
          <w:szCs w:val="24"/>
        </w:rPr>
        <w:t>20</w:t>
      </w:r>
      <w:r w:rsidR="00E5707E">
        <w:rPr>
          <w:szCs w:val="24"/>
        </w:rPr>
        <w:t>22</w:t>
      </w:r>
      <w:r w:rsidR="00E5707E" w:rsidRPr="008B1356">
        <w:rPr>
          <w:szCs w:val="24"/>
        </w:rPr>
        <w:t xml:space="preserve"> </w:t>
      </w:r>
      <w:r w:rsidR="00E5707E">
        <w:rPr>
          <w:szCs w:val="24"/>
        </w:rPr>
        <w:t xml:space="preserve">was </w:t>
      </w:r>
      <w:r w:rsidR="00106ED6" w:rsidRPr="004229BF">
        <w:rPr>
          <w:szCs w:val="24"/>
        </w:rPr>
        <w:t>quarterly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4F55E30B" w14:textId="77777777" w:rsidR="00E5707E" w:rsidRPr="008B1356" w:rsidRDefault="00E5707E" w:rsidP="00312BB1">
      <w:pPr>
        <w:jc w:val="both"/>
        <w:rPr>
          <w:szCs w:val="24"/>
        </w:rPr>
      </w:pPr>
    </w:p>
    <w:p w14:paraId="133FB7D9" w14:textId="42A94F75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>.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4DA64236" w14:textId="6B5F287C" w:rsidR="005E200D" w:rsidRPr="00BD161D" w:rsidRDefault="00832D67" w:rsidP="000B3E8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E5707E">
        <w:rPr>
          <w:szCs w:val="24"/>
        </w:rPr>
        <w:t>first</w:t>
      </w:r>
      <w:r w:rsidR="00E5707E" w:rsidRPr="005E200D">
        <w:rPr>
          <w:szCs w:val="24"/>
        </w:rPr>
        <w:t xml:space="preserve"> </w:t>
      </w:r>
      <w:r w:rsidRPr="005E200D">
        <w:rPr>
          <w:szCs w:val="24"/>
        </w:rPr>
        <w:t xml:space="preserve">six months of </w:t>
      </w:r>
      <w:r w:rsidR="00E5707E" w:rsidRPr="005E200D">
        <w:rPr>
          <w:szCs w:val="24"/>
        </w:rPr>
        <w:t>20</w:t>
      </w:r>
      <w:r w:rsidR="00E5707E">
        <w:rPr>
          <w:szCs w:val="24"/>
        </w:rPr>
        <w:t>22</w:t>
      </w:r>
      <w:r w:rsidR="00E5707E" w:rsidRPr="005E200D">
        <w:rPr>
          <w:szCs w:val="24"/>
        </w:rPr>
        <w:t xml:space="preserve"> </w:t>
      </w:r>
      <w:r w:rsidRPr="00B23244">
        <w:rPr>
          <w:szCs w:val="24"/>
        </w:rPr>
        <w:t xml:space="preserve">showed stabilization </w:t>
      </w:r>
      <w:r w:rsidR="00306127">
        <w:rPr>
          <w:szCs w:val="24"/>
        </w:rPr>
        <w:t xml:space="preserve">or reduction </w:t>
      </w:r>
      <w:r w:rsidR="00E5707E">
        <w:rPr>
          <w:szCs w:val="24"/>
        </w:rPr>
        <w:t xml:space="preserve">of </w:t>
      </w:r>
      <w:r w:rsidRPr="005E200D">
        <w:rPr>
          <w:szCs w:val="24"/>
        </w:rPr>
        <w:t xml:space="preserve">tritium </w:t>
      </w:r>
      <w:r w:rsidR="00593DAE">
        <w:rPr>
          <w:szCs w:val="24"/>
        </w:rPr>
        <w:t xml:space="preserve">to </w:t>
      </w:r>
      <w:r w:rsidRPr="005E200D">
        <w:rPr>
          <w:szCs w:val="24"/>
        </w:rPr>
        <w:t xml:space="preserve">levels </w:t>
      </w:r>
      <w:r w:rsidR="00E5707E">
        <w:rPr>
          <w:szCs w:val="24"/>
        </w:rPr>
        <w:t>below method detection limits (MDLs)</w:t>
      </w:r>
      <w:r w:rsidR="00010698">
        <w:rPr>
          <w:szCs w:val="24"/>
        </w:rPr>
        <w:t>. There was</w:t>
      </w:r>
      <w:r w:rsidR="003068A1" w:rsidRPr="005E200D">
        <w:rPr>
          <w:szCs w:val="24"/>
        </w:rPr>
        <w:t xml:space="preserve"> no detectable tritium activity in</w:t>
      </w:r>
      <w:r w:rsidR="00291BAE" w:rsidRPr="005E200D">
        <w:rPr>
          <w:szCs w:val="24"/>
        </w:rPr>
        <w:t xml:space="preserve"> surface water samples or in</w:t>
      </w:r>
      <w:r w:rsidR="003068A1" w:rsidRPr="005E200D">
        <w:rPr>
          <w:szCs w:val="24"/>
        </w:rPr>
        <w:t xml:space="preserve"> </w:t>
      </w:r>
      <w:r w:rsidR="00010698">
        <w:rPr>
          <w:szCs w:val="24"/>
        </w:rPr>
        <w:t>22</w:t>
      </w:r>
      <w:r w:rsidR="00E5707E" w:rsidRPr="005E200D">
        <w:rPr>
          <w:szCs w:val="24"/>
        </w:rPr>
        <w:t xml:space="preserve"> </w:t>
      </w:r>
      <w:r w:rsidR="003068A1" w:rsidRPr="005E200D">
        <w:rPr>
          <w:szCs w:val="24"/>
        </w:rPr>
        <w:t>o</w:t>
      </w:r>
      <w:r w:rsidR="00284BC8" w:rsidRPr="005E200D">
        <w:rPr>
          <w:szCs w:val="24"/>
        </w:rPr>
        <w:t>f the 23 on-site groundwater wells that are routinely monitored</w:t>
      </w:r>
      <w:r w:rsidR="00593DAE">
        <w:rPr>
          <w:szCs w:val="24"/>
        </w:rPr>
        <w:t>,</w:t>
      </w:r>
      <w:r w:rsidR="00E5707E">
        <w:rPr>
          <w:szCs w:val="24"/>
        </w:rPr>
        <w:t xml:space="preserve"> at MDLs ranging from</w:t>
      </w:r>
      <w:r w:rsidR="00833BE3">
        <w:rPr>
          <w:szCs w:val="24"/>
        </w:rPr>
        <w:t xml:space="preserve"> 300 – 570 </w:t>
      </w:r>
      <w:proofErr w:type="spellStart"/>
      <w:r w:rsidR="00833BE3">
        <w:rPr>
          <w:szCs w:val="24"/>
        </w:rPr>
        <w:t>pCi</w:t>
      </w:r>
      <w:proofErr w:type="spellEnd"/>
      <w:r w:rsidR="00833BE3">
        <w:rPr>
          <w:szCs w:val="24"/>
        </w:rPr>
        <w:t>/L</w:t>
      </w:r>
      <w:r w:rsidR="00010698">
        <w:rPr>
          <w:szCs w:val="24"/>
        </w:rPr>
        <w:t>. Tritium levels in the single well where tritium was detected decreased to below the MDL for the second quarterly sample, collected in May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  <w:r w:rsidRPr="00BD161D">
        <w:rPr>
          <w:szCs w:val="24"/>
        </w:rPr>
        <w:t xml:space="preserve">Figure 1 shows sampling results </w:t>
      </w:r>
      <w:r w:rsidR="004C4C8E" w:rsidRPr="00BD161D">
        <w:rPr>
          <w:szCs w:val="24"/>
        </w:rPr>
        <w:t>for MW-216, MW-218, and MW-219</w:t>
      </w:r>
      <w:r w:rsidR="004229BF" w:rsidRPr="00BD161D">
        <w:rPr>
          <w:szCs w:val="24"/>
        </w:rPr>
        <w:t xml:space="preserve">, </w:t>
      </w:r>
      <w:r w:rsidR="005E200D" w:rsidRPr="00BD161D">
        <w:rPr>
          <w:szCs w:val="24"/>
        </w:rPr>
        <w:t>where</w:t>
      </w:r>
      <w:r w:rsidRPr="00BD161D">
        <w:rPr>
          <w:szCs w:val="24"/>
        </w:rPr>
        <w:t xml:space="preserve"> tritium levels </w:t>
      </w:r>
      <w:r w:rsidR="004C4C8E" w:rsidRPr="00BD161D">
        <w:rPr>
          <w:szCs w:val="24"/>
        </w:rPr>
        <w:t xml:space="preserve">have historically </w:t>
      </w:r>
      <w:r w:rsidRPr="00BD161D">
        <w:rPr>
          <w:szCs w:val="24"/>
        </w:rPr>
        <w:t xml:space="preserve">exceeded the screening level of 3,000 </w:t>
      </w:r>
      <w:proofErr w:type="spellStart"/>
      <w:r w:rsidRPr="00BD161D">
        <w:rPr>
          <w:szCs w:val="24"/>
        </w:rPr>
        <w:t>pCi</w:t>
      </w:r>
      <w:proofErr w:type="spellEnd"/>
      <w:r w:rsidRPr="00BD161D">
        <w:rPr>
          <w:szCs w:val="24"/>
        </w:rPr>
        <w:t>/L</w:t>
      </w:r>
      <w:r w:rsidR="009D7B57" w:rsidRPr="00BD161D">
        <w:rPr>
          <w:szCs w:val="24"/>
        </w:rPr>
        <w:t>.</w:t>
      </w:r>
      <w:r w:rsidR="0056698A" w:rsidRPr="00BD161D">
        <w:rPr>
          <w:szCs w:val="24"/>
        </w:rPr>
        <w:t xml:space="preserve"> </w:t>
      </w:r>
      <w:r w:rsidR="00016120" w:rsidRPr="00BD161D">
        <w:rPr>
          <w:szCs w:val="24"/>
        </w:rPr>
        <w:t xml:space="preserve">For the </w:t>
      </w:r>
      <w:r w:rsidR="00010698" w:rsidRPr="00BD161D">
        <w:rPr>
          <w:szCs w:val="24"/>
        </w:rPr>
        <w:t xml:space="preserve">first </w:t>
      </w:r>
      <w:r w:rsidR="00016120" w:rsidRPr="00BD161D">
        <w:rPr>
          <w:szCs w:val="24"/>
        </w:rPr>
        <w:t xml:space="preserve">six months of </w:t>
      </w:r>
      <w:r w:rsidR="00010698" w:rsidRPr="00BD161D">
        <w:rPr>
          <w:szCs w:val="24"/>
        </w:rPr>
        <w:t>2022</w:t>
      </w:r>
      <w:r w:rsidR="00016120" w:rsidRPr="00BD161D">
        <w:rPr>
          <w:szCs w:val="24"/>
        </w:rPr>
        <w:t>, t</w:t>
      </w:r>
      <w:r w:rsidR="0056698A" w:rsidRPr="00BD161D">
        <w:rPr>
          <w:szCs w:val="24"/>
        </w:rPr>
        <w:t xml:space="preserve">ritium levels at </w:t>
      </w:r>
      <w:r w:rsidR="003A09D8" w:rsidRPr="00BD161D">
        <w:rPr>
          <w:szCs w:val="24"/>
        </w:rPr>
        <w:t>MW-216</w:t>
      </w:r>
      <w:r w:rsidR="0056698A" w:rsidRPr="00BD161D">
        <w:rPr>
          <w:szCs w:val="24"/>
        </w:rPr>
        <w:t xml:space="preserve"> </w:t>
      </w:r>
      <w:r w:rsidR="00010698" w:rsidRPr="00BD161D">
        <w:rPr>
          <w:szCs w:val="24"/>
        </w:rPr>
        <w:t>were</w:t>
      </w:r>
      <w:r w:rsidR="0056698A" w:rsidRPr="00BD161D">
        <w:rPr>
          <w:szCs w:val="24"/>
        </w:rPr>
        <w:t xml:space="preserve"> </w:t>
      </w:r>
      <w:r w:rsidR="00010698" w:rsidRPr="00BD161D">
        <w:rPr>
          <w:szCs w:val="24"/>
        </w:rPr>
        <w:t>424</w:t>
      </w:r>
      <w:r w:rsidR="0056698A" w:rsidRPr="00BD161D">
        <w:rPr>
          <w:szCs w:val="24"/>
        </w:rPr>
        <w:t xml:space="preserve"> </w:t>
      </w:r>
      <w:proofErr w:type="spellStart"/>
      <w:r w:rsidR="0056698A" w:rsidRPr="00BD161D">
        <w:rPr>
          <w:szCs w:val="24"/>
        </w:rPr>
        <w:t>pCi</w:t>
      </w:r>
      <w:proofErr w:type="spellEnd"/>
      <w:r w:rsidR="0056698A" w:rsidRPr="00BD161D">
        <w:rPr>
          <w:szCs w:val="24"/>
        </w:rPr>
        <w:t>/L</w:t>
      </w:r>
      <w:r w:rsidR="00010698" w:rsidRPr="00BD161D">
        <w:rPr>
          <w:szCs w:val="24"/>
        </w:rPr>
        <w:t xml:space="preserve"> for the first quarterly sample, and below the detection limit for the second quarterly sample. T</w:t>
      </w:r>
      <w:r w:rsidR="003A09D8" w:rsidRPr="00BD161D">
        <w:rPr>
          <w:szCs w:val="24"/>
        </w:rPr>
        <w:t xml:space="preserve">ritium levels at MW-218 and MW-219 were below </w:t>
      </w:r>
      <w:r w:rsidR="00010698" w:rsidRPr="00BD161D">
        <w:rPr>
          <w:szCs w:val="24"/>
        </w:rPr>
        <w:t xml:space="preserve">the </w:t>
      </w:r>
      <w:r w:rsidR="003A09D8" w:rsidRPr="00BD161D">
        <w:rPr>
          <w:szCs w:val="24"/>
        </w:rPr>
        <w:t>detection</w:t>
      </w:r>
      <w:r w:rsidR="0056698A" w:rsidRPr="00BD161D">
        <w:rPr>
          <w:szCs w:val="24"/>
        </w:rPr>
        <w:t xml:space="preserve"> </w:t>
      </w:r>
      <w:r w:rsidR="003A09D8" w:rsidRPr="00BD161D">
        <w:rPr>
          <w:szCs w:val="24"/>
        </w:rPr>
        <w:t>limit</w:t>
      </w:r>
      <w:r w:rsidR="00010698" w:rsidRPr="00BD161D">
        <w:rPr>
          <w:szCs w:val="24"/>
        </w:rPr>
        <w:t xml:space="preserve"> for both sampling rounds</w:t>
      </w:r>
      <w:r w:rsidR="0056698A" w:rsidRPr="00BD161D">
        <w:rPr>
          <w:szCs w:val="24"/>
        </w:rPr>
        <w:t>.</w:t>
      </w:r>
    </w:p>
    <w:p w14:paraId="40C5FC96" w14:textId="25053215" w:rsidR="0076019F" w:rsidRDefault="0076019F" w:rsidP="0076019F">
      <w:pPr>
        <w:jc w:val="both"/>
        <w:rPr>
          <w:szCs w:val="24"/>
        </w:rPr>
      </w:pPr>
    </w:p>
    <w:p w14:paraId="7B15754B" w14:textId="535F2725" w:rsidR="009058E7" w:rsidRDefault="00E5707E" w:rsidP="009058E7">
      <w:pPr>
        <w:jc w:val="both"/>
        <w:rPr>
          <w:szCs w:val="24"/>
        </w:rPr>
      </w:pPr>
      <w:r>
        <w:rPr>
          <w:szCs w:val="24"/>
        </w:rPr>
        <w:t>T</w:t>
      </w:r>
      <w:r w:rsidR="00AC2875">
        <w:rPr>
          <w:szCs w:val="24"/>
        </w:rPr>
        <w:t xml:space="preserve">ritium levels in groundwater wells at PNPS for the </w:t>
      </w:r>
      <w:r>
        <w:rPr>
          <w:szCs w:val="24"/>
        </w:rPr>
        <w:t xml:space="preserve">first </w:t>
      </w:r>
      <w:r w:rsidR="00AC2875">
        <w:rPr>
          <w:szCs w:val="24"/>
        </w:rPr>
        <w:t xml:space="preserve">six months of </w:t>
      </w:r>
      <w:r>
        <w:rPr>
          <w:szCs w:val="24"/>
        </w:rPr>
        <w:t xml:space="preserve">2022 do not </w:t>
      </w:r>
      <w:r w:rsidR="00AC2875">
        <w:rPr>
          <w:szCs w:val="24"/>
        </w:rPr>
        <w:t xml:space="preserve">present a health risk. </w:t>
      </w:r>
      <w:r w:rsidR="00166DCE">
        <w:rPr>
          <w:rFonts w:ascii="Calibri" w:hAnsi="Calibri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46F9" w14:paraId="7BE888B9" w14:textId="77777777" w:rsidTr="0061533C">
        <w:trPr>
          <w:trHeight w:val="3600"/>
        </w:trPr>
        <w:tc>
          <w:tcPr>
            <w:tcW w:w="9350" w:type="dxa"/>
          </w:tcPr>
          <w:p w14:paraId="2AE3B020" w14:textId="4FE8F3FF" w:rsidR="00872021" w:rsidRDefault="00872021" w:rsidP="008D59A5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E56065" wp14:editId="1963CE63">
                  <wp:extent cx="4550410" cy="230505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C46F9" w14:paraId="71D170E4" w14:textId="77777777" w:rsidTr="0061533C">
        <w:trPr>
          <w:trHeight w:val="3600"/>
        </w:trPr>
        <w:tc>
          <w:tcPr>
            <w:tcW w:w="9350" w:type="dxa"/>
          </w:tcPr>
          <w:p w14:paraId="22D21DE4" w14:textId="42D27647" w:rsidR="00F37274" w:rsidRDefault="00082069" w:rsidP="00F37274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580D066" wp14:editId="3687AAF2">
                  <wp:extent cx="4580255" cy="2317750"/>
                  <wp:effectExtent l="0" t="0" r="0" b="0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C46F9" w14:paraId="08EA3146" w14:textId="77777777" w:rsidTr="0061533C">
        <w:trPr>
          <w:trHeight w:val="3600"/>
        </w:trPr>
        <w:tc>
          <w:tcPr>
            <w:tcW w:w="9350" w:type="dxa"/>
          </w:tcPr>
          <w:p w14:paraId="0AE4DC75" w14:textId="23FD47ED" w:rsidR="00F37274" w:rsidRDefault="00F37274" w:rsidP="00F37274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A94B37F" wp14:editId="29FE4AAE">
                  <wp:extent cx="4564380" cy="2298700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84A1F-0C96-4AB0-AB9B-EE393FB99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B40BA9B" w14:textId="16B8F7E5" w:rsidR="00284BC8" w:rsidRPr="005C46F9" w:rsidRDefault="00284BC8" w:rsidP="005C46F9">
      <w:pPr>
        <w:rPr>
          <w:rFonts w:ascii="Calibri" w:hAnsi="Calibri"/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>tritium in groundwater samples collected from Pilgrim Nuclear Power Station (PNPS)</w:t>
      </w:r>
      <w:r w:rsidR="004C4C8E">
        <w:rPr>
          <w:color w:val="000000"/>
          <w:kern w:val="24"/>
          <w:sz w:val="22"/>
        </w:rPr>
        <w:t xml:space="preserve">, at monitoring wells where tritium levels have historically exceeded 3,000 </w:t>
      </w:r>
      <w:proofErr w:type="spellStart"/>
      <w:r w:rsidR="004C4C8E">
        <w:rPr>
          <w:color w:val="000000"/>
          <w:kern w:val="24"/>
          <w:sz w:val="22"/>
        </w:rPr>
        <w:t>pCi</w:t>
      </w:r>
      <w:proofErr w:type="spellEnd"/>
      <w:r w:rsidR="004C4C8E">
        <w:rPr>
          <w:color w:val="000000"/>
          <w:kern w:val="24"/>
          <w:sz w:val="22"/>
        </w:rPr>
        <w:t>/L</w:t>
      </w:r>
      <w:r w:rsidRPr="006F4F25">
        <w:rPr>
          <w:color w:val="000000"/>
          <w:kern w:val="24"/>
          <w:sz w:val="22"/>
        </w:rPr>
        <w:t xml:space="preserve">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0F11C3A5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5033B5">
        <w:rPr>
          <w:rFonts w:asciiTheme="minorHAnsi" w:hAnsiTheme="minorHAnsi"/>
          <w:sz w:val="20"/>
        </w:rPr>
        <w:t>August</w:t>
      </w:r>
      <w:r w:rsidR="005033B5" w:rsidRPr="00CF3CBA">
        <w:rPr>
          <w:rFonts w:asciiTheme="minorHAnsi" w:hAnsiTheme="minorHAnsi"/>
          <w:sz w:val="20"/>
        </w:rPr>
        <w:t xml:space="preserve"> </w:t>
      </w:r>
      <w:r w:rsidR="00C21DEE" w:rsidRPr="00CF3CBA">
        <w:rPr>
          <w:rFonts w:asciiTheme="minorHAnsi" w:hAnsiTheme="minorHAnsi"/>
          <w:sz w:val="20"/>
        </w:rPr>
        <w:t>202</w:t>
      </w:r>
      <w:r w:rsidR="00C21DEE">
        <w:rPr>
          <w:rFonts w:asciiTheme="minorHAnsi" w:hAnsiTheme="minorHAnsi"/>
          <w:sz w:val="20"/>
        </w:rPr>
        <w:t>3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5033B5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5033B5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6388">
    <w:abstractNumId w:val="3"/>
  </w:num>
  <w:num w:numId="2" w16cid:durableId="2009672520">
    <w:abstractNumId w:val="7"/>
  </w:num>
  <w:num w:numId="3" w16cid:durableId="1599634349">
    <w:abstractNumId w:val="6"/>
  </w:num>
  <w:num w:numId="4" w16cid:durableId="131481919">
    <w:abstractNumId w:val="5"/>
  </w:num>
  <w:num w:numId="5" w16cid:durableId="261686440">
    <w:abstractNumId w:val="0"/>
  </w:num>
  <w:num w:numId="6" w16cid:durableId="1325085385">
    <w:abstractNumId w:val="2"/>
  </w:num>
  <w:num w:numId="7" w16cid:durableId="2004434906">
    <w:abstractNumId w:val="1"/>
  </w:num>
  <w:num w:numId="8" w16cid:durableId="172132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0698"/>
    <w:rsid w:val="0001169A"/>
    <w:rsid w:val="00011C23"/>
    <w:rsid w:val="00014F24"/>
    <w:rsid w:val="0001602D"/>
    <w:rsid w:val="00016120"/>
    <w:rsid w:val="00020CAB"/>
    <w:rsid w:val="00022533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2069"/>
    <w:rsid w:val="00087B67"/>
    <w:rsid w:val="000902C1"/>
    <w:rsid w:val="00093062"/>
    <w:rsid w:val="000A0DFD"/>
    <w:rsid w:val="000A779F"/>
    <w:rsid w:val="000B29B4"/>
    <w:rsid w:val="000B34CF"/>
    <w:rsid w:val="000B3E81"/>
    <w:rsid w:val="000B4537"/>
    <w:rsid w:val="000B71AC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16B2C"/>
    <w:rsid w:val="00121EA1"/>
    <w:rsid w:val="0012706B"/>
    <w:rsid w:val="0014024C"/>
    <w:rsid w:val="0015268B"/>
    <w:rsid w:val="00154733"/>
    <w:rsid w:val="001562CA"/>
    <w:rsid w:val="00160F69"/>
    <w:rsid w:val="001633B0"/>
    <w:rsid w:val="00166453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92A62"/>
    <w:rsid w:val="001A00E4"/>
    <w:rsid w:val="001A746E"/>
    <w:rsid w:val="001C047A"/>
    <w:rsid w:val="001E2B6E"/>
    <w:rsid w:val="001E4558"/>
    <w:rsid w:val="001E7A84"/>
    <w:rsid w:val="001F006D"/>
    <w:rsid w:val="001F1DA4"/>
    <w:rsid w:val="001F1EA3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6783E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B1C7B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127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5C27"/>
    <w:rsid w:val="003A09D8"/>
    <w:rsid w:val="003A7AFC"/>
    <w:rsid w:val="003B3FFB"/>
    <w:rsid w:val="003B6DC5"/>
    <w:rsid w:val="003C3D4D"/>
    <w:rsid w:val="003C4AB4"/>
    <w:rsid w:val="003C5B05"/>
    <w:rsid w:val="003C60EF"/>
    <w:rsid w:val="003D0572"/>
    <w:rsid w:val="003D50A0"/>
    <w:rsid w:val="003E509A"/>
    <w:rsid w:val="003E750D"/>
    <w:rsid w:val="003F0CBE"/>
    <w:rsid w:val="003F3091"/>
    <w:rsid w:val="003F76C4"/>
    <w:rsid w:val="003F7EA9"/>
    <w:rsid w:val="00402D7D"/>
    <w:rsid w:val="0040474A"/>
    <w:rsid w:val="00411A09"/>
    <w:rsid w:val="0041268A"/>
    <w:rsid w:val="00417237"/>
    <w:rsid w:val="00422906"/>
    <w:rsid w:val="004229BF"/>
    <w:rsid w:val="004260BB"/>
    <w:rsid w:val="00426810"/>
    <w:rsid w:val="00426D93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2639"/>
    <w:rsid w:val="0048465E"/>
    <w:rsid w:val="00487FCD"/>
    <w:rsid w:val="00490B3F"/>
    <w:rsid w:val="004A18DB"/>
    <w:rsid w:val="004A4100"/>
    <w:rsid w:val="004A4B39"/>
    <w:rsid w:val="004A66D6"/>
    <w:rsid w:val="004B37A0"/>
    <w:rsid w:val="004B4BD7"/>
    <w:rsid w:val="004B6B34"/>
    <w:rsid w:val="004B6F5E"/>
    <w:rsid w:val="004C0740"/>
    <w:rsid w:val="004C31BB"/>
    <w:rsid w:val="004C4C8E"/>
    <w:rsid w:val="004C7349"/>
    <w:rsid w:val="004D0E2C"/>
    <w:rsid w:val="004D287D"/>
    <w:rsid w:val="004D3EB5"/>
    <w:rsid w:val="004D5F2A"/>
    <w:rsid w:val="004D6B39"/>
    <w:rsid w:val="004F0A3A"/>
    <w:rsid w:val="004F3980"/>
    <w:rsid w:val="004F404E"/>
    <w:rsid w:val="005033B5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576C4"/>
    <w:rsid w:val="0056698A"/>
    <w:rsid w:val="00572514"/>
    <w:rsid w:val="00576C16"/>
    <w:rsid w:val="0058276E"/>
    <w:rsid w:val="00582CF3"/>
    <w:rsid w:val="0059048F"/>
    <w:rsid w:val="005934A8"/>
    <w:rsid w:val="00593DAE"/>
    <w:rsid w:val="00595F6C"/>
    <w:rsid w:val="005A3C54"/>
    <w:rsid w:val="005B4EB1"/>
    <w:rsid w:val="005B52D4"/>
    <w:rsid w:val="005B7A08"/>
    <w:rsid w:val="005C1879"/>
    <w:rsid w:val="005C1B25"/>
    <w:rsid w:val="005C200A"/>
    <w:rsid w:val="005C46F9"/>
    <w:rsid w:val="005C4D56"/>
    <w:rsid w:val="005C7E13"/>
    <w:rsid w:val="005D0C30"/>
    <w:rsid w:val="005D1DE7"/>
    <w:rsid w:val="005D4A3C"/>
    <w:rsid w:val="005D6A59"/>
    <w:rsid w:val="005E200D"/>
    <w:rsid w:val="005E3109"/>
    <w:rsid w:val="005E62F9"/>
    <w:rsid w:val="005F1387"/>
    <w:rsid w:val="005F2AA4"/>
    <w:rsid w:val="005F3354"/>
    <w:rsid w:val="005F426E"/>
    <w:rsid w:val="00602162"/>
    <w:rsid w:val="0060507D"/>
    <w:rsid w:val="0060627E"/>
    <w:rsid w:val="00606BE0"/>
    <w:rsid w:val="00611E00"/>
    <w:rsid w:val="006139BF"/>
    <w:rsid w:val="00613C45"/>
    <w:rsid w:val="0061533C"/>
    <w:rsid w:val="00617557"/>
    <w:rsid w:val="006314D3"/>
    <w:rsid w:val="0063585E"/>
    <w:rsid w:val="00645A4C"/>
    <w:rsid w:val="00656899"/>
    <w:rsid w:val="00663A9B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1AE0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05102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1B1E"/>
    <w:rsid w:val="00832D67"/>
    <w:rsid w:val="00833BE3"/>
    <w:rsid w:val="00840577"/>
    <w:rsid w:val="00842C13"/>
    <w:rsid w:val="00845815"/>
    <w:rsid w:val="00852A35"/>
    <w:rsid w:val="00855AEB"/>
    <w:rsid w:val="00861EFC"/>
    <w:rsid w:val="00872021"/>
    <w:rsid w:val="00872D98"/>
    <w:rsid w:val="00873460"/>
    <w:rsid w:val="0088403C"/>
    <w:rsid w:val="0088540E"/>
    <w:rsid w:val="008860D5"/>
    <w:rsid w:val="00886DAF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7F16"/>
    <w:rsid w:val="008D59A5"/>
    <w:rsid w:val="008F10CD"/>
    <w:rsid w:val="008F1313"/>
    <w:rsid w:val="008F192B"/>
    <w:rsid w:val="008F3249"/>
    <w:rsid w:val="008F68C1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1ACB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4697"/>
    <w:rsid w:val="00A35C7E"/>
    <w:rsid w:val="00A35CD8"/>
    <w:rsid w:val="00A4277A"/>
    <w:rsid w:val="00A433A6"/>
    <w:rsid w:val="00A47588"/>
    <w:rsid w:val="00A51BE9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2875"/>
    <w:rsid w:val="00AC4879"/>
    <w:rsid w:val="00AC79C0"/>
    <w:rsid w:val="00AD37F0"/>
    <w:rsid w:val="00AD5D52"/>
    <w:rsid w:val="00AD6FF3"/>
    <w:rsid w:val="00AD71EB"/>
    <w:rsid w:val="00AE2098"/>
    <w:rsid w:val="00AE53EF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6B53"/>
    <w:rsid w:val="00B403BF"/>
    <w:rsid w:val="00B404A3"/>
    <w:rsid w:val="00B4142B"/>
    <w:rsid w:val="00B463E2"/>
    <w:rsid w:val="00B51C5A"/>
    <w:rsid w:val="00B550C8"/>
    <w:rsid w:val="00B605B3"/>
    <w:rsid w:val="00B608D9"/>
    <w:rsid w:val="00B609F9"/>
    <w:rsid w:val="00B63C72"/>
    <w:rsid w:val="00B70D5D"/>
    <w:rsid w:val="00B751B1"/>
    <w:rsid w:val="00B840E6"/>
    <w:rsid w:val="00B851F1"/>
    <w:rsid w:val="00B92612"/>
    <w:rsid w:val="00BA0430"/>
    <w:rsid w:val="00BA26D3"/>
    <w:rsid w:val="00BA4055"/>
    <w:rsid w:val="00BA7FB6"/>
    <w:rsid w:val="00BB1B76"/>
    <w:rsid w:val="00BB63D6"/>
    <w:rsid w:val="00BC4CC4"/>
    <w:rsid w:val="00BC74F0"/>
    <w:rsid w:val="00BD15A3"/>
    <w:rsid w:val="00BD161D"/>
    <w:rsid w:val="00BD4D9C"/>
    <w:rsid w:val="00BE579A"/>
    <w:rsid w:val="00BF03B7"/>
    <w:rsid w:val="00BF0505"/>
    <w:rsid w:val="00BF08BE"/>
    <w:rsid w:val="00BF4B3E"/>
    <w:rsid w:val="00BF4F9D"/>
    <w:rsid w:val="00BF77A3"/>
    <w:rsid w:val="00BF7F2D"/>
    <w:rsid w:val="00C070B2"/>
    <w:rsid w:val="00C07F8F"/>
    <w:rsid w:val="00C105D0"/>
    <w:rsid w:val="00C1112C"/>
    <w:rsid w:val="00C20BFE"/>
    <w:rsid w:val="00C2189E"/>
    <w:rsid w:val="00C21DEE"/>
    <w:rsid w:val="00C24272"/>
    <w:rsid w:val="00C24E87"/>
    <w:rsid w:val="00C2659E"/>
    <w:rsid w:val="00C3250A"/>
    <w:rsid w:val="00C44658"/>
    <w:rsid w:val="00C455E6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82B50"/>
    <w:rsid w:val="00C93513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15C5"/>
    <w:rsid w:val="00CF2489"/>
    <w:rsid w:val="00CF32A4"/>
    <w:rsid w:val="00CF3CBA"/>
    <w:rsid w:val="00CF3DE8"/>
    <w:rsid w:val="00CF5F94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3F5B"/>
    <w:rsid w:val="00D271B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66D50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0CED"/>
    <w:rsid w:val="00DC298E"/>
    <w:rsid w:val="00DC3855"/>
    <w:rsid w:val="00DC6538"/>
    <w:rsid w:val="00DC6F43"/>
    <w:rsid w:val="00DD178E"/>
    <w:rsid w:val="00DE314F"/>
    <w:rsid w:val="00DF09F2"/>
    <w:rsid w:val="00DF32DC"/>
    <w:rsid w:val="00DF406F"/>
    <w:rsid w:val="00E04C4E"/>
    <w:rsid w:val="00E1528F"/>
    <w:rsid w:val="00E17283"/>
    <w:rsid w:val="00E20297"/>
    <w:rsid w:val="00E22135"/>
    <w:rsid w:val="00E242A8"/>
    <w:rsid w:val="00E251BF"/>
    <w:rsid w:val="00E274B8"/>
    <w:rsid w:val="00E30521"/>
    <w:rsid w:val="00E32795"/>
    <w:rsid w:val="00E362CA"/>
    <w:rsid w:val="00E3634A"/>
    <w:rsid w:val="00E40D30"/>
    <w:rsid w:val="00E41E49"/>
    <w:rsid w:val="00E532E6"/>
    <w:rsid w:val="00E5707E"/>
    <w:rsid w:val="00E62A69"/>
    <w:rsid w:val="00E63136"/>
    <w:rsid w:val="00E65E53"/>
    <w:rsid w:val="00E66B5A"/>
    <w:rsid w:val="00E672ED"/>
    <w:rsid w:val="00E72707"/>
    <w:rsid w:val="00E7501A"/>
    <w:rsid w:val="00E81454"/>
    <w:rsid w:val="00E85832"/>
    <w:rsid w:val="00E9281D"/>
    <w:rsid w:val="00E93A95"/>
    <w:rsid w:val="00E964B8"/>
    <w:rsid w:val="00EA0558"/>
    <w:rsid w:val="00EA1D6E"/>
    <w:rsid w:val="00EA1EC9"/>
    <w:rsid w:val="00EB255D"/>
    <w:rsid w:val="00EC624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17191"/>
    <w:rsid w:val="00F23AB9"/>
    <w:rsid w:val="00F26F48"/>
    <w:rsid w:val="00F327CB"/>
    <w:rsid w:val="00F33A52"/>
    <w:rsid w:val="00F33EF7"/>
    <w:rsid w:val="00F37274"/>
    <w:rsid w:val="00F416E2"/>
    <w:rsid w:val="00F42080"/>
    <w:rsid w:val="00F426EA"/>
    <w:rsid w:val="00F43932"/>
    <w:rsid w:val="00F51C49"/>
    <w:rsid w:val="00F55952"/>
    <w:rsid w:val="00F627B7"/>
    <w:rsid w:val="00F64C48"/>
    <w:rsid w:val="00F718A6"/>
    <w:rsid w:val="00F85A66"/>
    <w:rsid w:val="00F90DCB"/>
    <w:rsid w:val="00F95AF2"/>
    <w:rsid w:val="00FA062C"/>
    <w:rsid w:val="00FA194A"/>
    <w:rsid w:val="00FA224D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2\Tritium%20QC%20Jan-Jun_2022\Tritium%20linechart%20Jan-Jun_22_0921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2\Tritium%20QC%20Jan-Jun_2022\Tritium%20linechart%20Jan-Jun_22_0921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2\Tritium%20QC%20Jan-Jun_2022\Tritium%20linechart%20Jan-Jun_22_0921.xlsm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MW-216</a:t>
            </a:r>
          </a:p>
        </c:rich>
      </c:tx>
      <c:layout>
        <c:manualLayout>
          <c:xMode val="edge"/>
          <c:yMode val="edge"/>
          <c:x val="0.46227983010561391"/>
          <c:y val="4.1899261839511912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1425519898206976"/>
          <c:y val="4.113050443655266E-2"/>
          <c:w val="0.83783395342397715"/>
          <c:h val="0.7472682130949847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data'!$A$3:$A$363</c:f>
              <c:numCache>
                <c:formatCode>m/d/yyyy</c:formatCode>
                <c:ptCount val="361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</c:numCache>
            </c:numRef>
          </c:cat>
          <c:val>
            <c:numRef>
              <c:f>'wells of interest data'!$I$3:$I$363</c:f>
              <c:numCache>
                <c:formatCode>0</c:formatCode>
                <c:ptCount val="361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  <c:pt idx="333" formatCode="General">
                  <c:v>590</c:v>
                </c:pt>
                <c:pt idx="334" formatCode="General">
                  <c:v>671</c:v>
                </c:pt>
                <c:pt idx="335" formatCode="General">
                  <c:v>179</c:v>
                </c:pt>
                <c:pt idx="339" formatCode="General">
                  <c:v>538</c:v>
                </c:pt>
                <c:pt idx="340" formatCode="General">
                  <c:v>680</c:v>
                </c:pt>
                <c:pt idx="341" formatCode="General">
                  <c:v>275</c:v>
                </c:pt>
                <c:pt idx="344" formatCode="General">
                  <c:v>799</c:v>
                </c:pt>
                <c:pt idx="346" formatCode="General">
                  <c:v>275</c:v>
                </c:pt>
                <c:pt idx="348" formatCode="General">
                  <c:v>284</c:v>
                </c:pt>
                <c:pt idx="349" formatCode="General">
                  <c:v>913</c:v>
                </c:pt>
                <c:pt idx="352">
                  <c:v>272.5</c:v>
                </c:pt>
                <c:pt idx="353" formatCode="General">
                  <c:v>486</c:v>
                </c:pt>
                <c:pt idx="354">
                  <c:v>237.5</c:v>
                </c:pt>
                <c:pt idx="358" formatCode="General">
                  <c:v>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FA-49FD-8627-AAEA3F10D4FF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data'!$A$3:$A$363</c:f>
              <c:numCache>
                <c:formatCode>m/d/yyyy</c:formatCode>
                <c:ptCount val="361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</c:numCache>
            </c:numRef>
          </c:cat>
          <c:val>
            <c:numRef>
              <c:f>'wells of interest data'!$K$3:$K$363</c:f>
              <c:numCache>
                <c:formatCode>0</c:formatCode>
                <c:ptCount val="361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  <c:pt idx="333">
                  <c:v>756.9</c:v>
                </c:pt>
                <c:pt idx="334">
                  <c:v>798.9</c:v>
                </c:pt>
                <c:pt idx="335">
                  <c:v>75</c:v>
                </c:pt>
                <c:pt idx="339">
                  <c:v>775.9</c:v>
                </c:pt>
                <c:pt idx="340">
                  <c:v>680.3</c:v>
                </c:pt>
                <c:pt idx="341">
                  <c:v>285</c:v>
                </c:pt>
                <c:pt idx="344">
                  <c:v>558</c:v>
                </c:pt>
                <c:pt idx="346">
                  <c:v>213.9</c:v>
                </c:pt>
                <c:pt idx="348">
                  <c:v>243.1</c:v>
                </c:pt>
                <c:pt idx="349">
                  <c:v>922.1</c:v>
                </c:pt>
                <c:pt idx="352">
                  <c:v>417.9</c:v>
                </c:pt>
                <c:pt idx="353">
                  <c:v>388.5</c:v>
                </c:pt>
                <c:pt idx="354">
                  <c:v>424</c:v>
                </c:pt>
                <c:pt idx="358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FA-49FD-8627-AAEA3F10D4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139328"/>
        <c:axId val="71141632"/>
      </c:lineChart>
      <c:dateAx>
        <c:axId val="71139328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2012 - 2022</a:t>
                </a:r>
              </a:p>
            </c:rich>
          </c:tx>
          <c:layout>
            <c:manualLayout>
              <c:xMode val="edge"/>
              <c:yMode val="edge"/>
              <c:x val="0.43060427521915601"/>
              <c:y val="0.89969675278193539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1141632"/>
        <c:crosses val="autoZero"/>
        <c:auto val="0"/>
        <c:lblOffset val="100"/>
        <c:baseTimeUnit val="months"/>
        <c:majorUnit val="1"/>
        <c:majorTimeUnit val="years"/>
        <c:minorUnit val="1"/>
        <c:minorTimeUnit val="months"/>
      </c:dateAx>
      <c:valAx>
        <c:axId val="7114163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4.0919389681369359E-3"/>
              <c:y val="0.11031387605474935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1139328"/>
        <c:crossesAt val="41172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70375570552983135"/>
          <c:y val="4.3959567037591372E-2"/>
          <c:w val="0.27567811550036686"/>
          <c:h val="0.16088631483048091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MW-218</a:t>
            </a:r>
          </a:p>
        </c:rich>
      </c:tx>
      <c:layout>
        <c:manualLayout>
          <c:xMode val="edge"/>
          <c:yMode val="edge"/>
          <c:x val="0.48846965021474975"/>
          <c:y val="5.2266024240205128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282548829797272"/>
          <c:y val="4.4474945473824801E-2"/>
          <c:w val="0.83503463489342566"/>
          <c:h val="0.75537052121358395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data'!$A$64:$A$363</c:f>
              <c:numCache>
                <c:formatCode>m/d/yyyy</c:formatCode>
                <c:ptCount val="300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</c:numCache>
            </c:numRef>
          </c:cat>
          <c:val>
            <c:numRef>
              <c:f>'wells of interest data'!$J$64:$J$363</c:f>
              <c:numCache>
                <c:formatCode>0</c:formatCode>
                <c:ptCount val="300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  <c:pt idx="277" formatCode="General">
                  <c:v>367</c:v>
                </c:pt>
                <c:pt idx="282">
                  <c:v>237.5</c:v>
                </c:pt>
                <c:pt idx="286">
                  <c:v>271.5</c:v>
                </c:pt>
                <c:pt idx="289">
                  <c:v>252.5</c:v>
                </c:pt>
                <c:pt idx="296">
                  <c:v>247</c:v>
                </c:pt>
                <c:pt idx="298">
                  <c:v>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54-404F-B5DE-12C52392F1CE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data'!$A$64:$A$363</c:f>
              <c:numCache>
                <c:formatCode>m/d/yyyy</c:formatCode>
                <c:ptCount val="300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</c:numCache>
            </c:numRef>
          </c:cat>
          <c:val>
            <c:numRef>
              <c:f>'wells of interest data'!$L$64:$L$363</c:f>
              <c:numCache>
                <c:formatCode>0</c:formatCode>
                <c:ptCount val="300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  <c:pt idx="277">
                  <c:v>217</c:v>
                </c:pt>
                <c:pt idx="282">
                  <c:v>374.5</c:v>
                </c:pt>
                <c:pt idx="286">
                  <c:v>186.6</c:v>
                </c:pt>
                <c:pt idx="289">
                  <c:v>237.4</c:v>
                </c:pt>
                <c:pt idx="296">
                  <c:v>150</c:v>
                </c:pt>
                <c:pt idx="298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54-404F-B5DE-12C52392F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177408"/>
        <c:axId val="76179712"/>
      </c:lineChart>
      <c:dateAx>
        <c:axId val="76177408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2013 - 2022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6179712"/>
        <c:crosses val="autoZero"/>
        <c:auto val="0"/>
        <c:lblOffset val="100"/>
        <c:baseTimeUnit val="months"/>
        <c:majorUnit val="1"/>
        <c:majorTimeUnit val="years"/>
      </c:dateAx>
      <c:valAx>
        <c:axId val="7617971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8243438411180165E-3"/>
              <c:y val="0.12656671340739942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6177408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7194525195649587"/>
          <c:y val="5.8129220148851267E-2"/>
          <c:w val="0.27567811550036686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MW 219</a:t>
            </a:r>
          </a:p>
        </c:rich>
      </c:tx>
      <c:layout>
        <c:manualLayout>
          <c:xMode val="edge"/>
          <c:yMode val="edge"/>
          <c:x val="0.39236676175077445"/>
          <c:y val="3.7531648322965155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3178591615947841"/>
          <c:y val="4.9171052110948445E-2"/>
          <c:w val="0.83346062334862581"/>
          <c:h val="0.73128985948579628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data'!$A$124:$A$363</c:f>
              <c:numCache>
                <c:formatCode>m/d/yyyy</c:formatCode>
                <c:ptCount val="240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</c:numCache>
            </c:numRef>
          </c:cat>
          <c:val>
            <c:numRef>
              <c:f>'wells of interest data'!$N$124:$N$363</c:f>
              <c:numCache>
                <c:formatCode>0</c:formatCode>
                <c:ptCount val="240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  <c:pt idx="212">
                  <c:v>194.5</c:v>
                </c:pt>
                <c:pt idx="213" formatCode="General">
                  <c:v>183</c:v>
                </c:pt>
                <c:pt idx="215">
                  <c:v>178.5</c:v>
                </c:pt>
                <c:pt idx="218" formatCode="General">
                  <c:v>155</c:v>
                </c:pt>
                <c:pt idx="219" formatCode="General">
                  <c:v>284</c:v>
                </c:pt>
                <c:pt idx="221" formatCode="General">
                  <c:v>238</c:v>
                </c:pt>
                <c:pt idx="223">
                  <c:v>277.5</c:v>
                </c:pt>
                <c:pt idx="224" formatCode="General">
                  <c:v>263</c:v>
                </c:pt>
                <c:pt idx="227">
                  <c:v>286.5</c:v>
                </c:pt>
                <c:pt idx="228">
                  <c:v>253.5</c:v>
                </c:pt>
                <c:pt idx="231" formatCode="General">
                  <c:v>302</c:v>
                </c:pt>
                <c:pt idx="232">
                  <c:v>88.5</c:v>
                </c:pt>
                <c:pt idx="235">
                  <c:v>251</c:v>
                </c:pt>
                <c:pt idx="238">
                  <c:v>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70-4E8F-9FBE-797217240EC6}"/>
            </c:ext>
          </c:extLst>
        </c:ser>
        <c:ser>
          <c:idx val="3"/>
          <c:order val="1"/>
          <c:tx>
            <c:v>MERL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data'!$A$124:$A$363</c:f>
              <c:numCache>
                <c:formatCode>m/d/yyyy</c:formatCode>
                <c:ptCount val="240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</c:numCache>
            </c:numRef>
          </c:cat>
          <c:val>
            <c:numRef>
              <c:f>'wells of interest data'!$M$124:$M$363</c:f>
              <c:numCache>
                <c:formatCode>0</c:formatCode>
                <c:ptCount val="240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  <c:pt idx="212">
                  <c:v>298</c:v>
                </c:pt>
                <c:pt idx="213">
                  <c:v>19</c:v>
                </c:pt>
                <c:pt idx="215">
                  <c:v>303.3</c:v>
                </c:pt>
                <c:pt idx="218">
                  <c:v>227</c:v>
                </c:pt>
                <c:pt idx="219">
                  <c:v>268</c:v>
                </c:pt>
                <c:pt idx="221" formatCode="General">
                  <c:v>141</c:v>
                </c:pt>
                <c:pt idx="223">
                  <c:v>61.2</c:v>
                </c:pt>
                <c:pt idx="224">
                  <c:v>109.5</c:v>
                </c:pt>
                <c:pt idx="227">
                  <c:v>150</c:v>
                </c:pt>
                <c:pt idx="228">
                  <c:v>22.4</c:v>
                </c:pt>
                <c:pt idx="231">
                  <c:v>150</c:v>
                </c:pt>
                <c:pt idx="232">
                  <c:v>150</c:v>
                </c:pt>
                <c:pt idx="235">
                  <c:v>150</c:v>
                </c:pt>
                <c:pt idx="238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70-4E8F-9FBE-797217240E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067968"/>
        <c:axId val="76070272"/>
      </c:lineChart>
      <c:dateAx>
        <c:axId val="76067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2015 -2022</a:t>
                </a:r>
              </a:p>
            </c:rich>
          </c:tx>
          <c:layout>
            <c:manualLayout>
              <c:xMode val="edge"/>
              <c:yMode val="edge"/>
              <c:x val="0.441718919144302"/>
              <c:y val="0.94581202433307876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76070272"/>
        <c:crosses val="autoZero"/>
        <c:auto val="0"/>
        <c:lblOffset val="100"/>
        <c:baseTimeUnit val="days"/>
        <c:majorUnit val="6"/>
        <c:majorTimeUnit val="months"/>
        <c:minorUnit val="1"/>
        <c:minorTimeUnit val="days"/>
      </c:dateAx>
      <c:valAx>
        <c:axId val="76070272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015121440370872E-2"/>
              <c:y val="0.10155131161091051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76067968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6982922741562696"/>
          <c:y val="6.3142787255494742E-2"/>
          <c:w val="0.25509653536717403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AB2-3040-455C-8389-3C03C66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2023-08-09T17:53:00Z</dcterms:created>
  <dcterms:modified xsi:type="dcterms:W3CDTF">2023-08-09T17:54:00Z</dcterms:modified>
</cp:coreProperties>
</file>