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7DA" w:rsidRDefault="00F51C49" w:rsidP="000F315B">
      <w:pPr>
        <w:framePr w:w="6926" w:hSpace="187" w:wrap="notBeside" w:vAnchor="page" w:hAnchor="page" w:x="2884" w:y="711"/>
        <w:jc w:val="center"/>
        <w:rPr>
          <w:rFonts w:ascii="Arial" w:hAnsi="Arial"/>
          <w:sz w:val="36"/>
        </w:rPr>
      </w:pPr>
      <w:bookmarkStart w:id="0" w:name="_GoBack"/>
      <w:bookmarkEnd w:id="0"/>
      <w:r>
        <w:rPr>
          <w:rFonts w:ascii="Arial" w:hAnsi="Arial"/>
          <w:sz w:val="36"/>
        </w:rPr>
        <w:t xml:space="preserve"> </w:t>
      </w:r>
      <w:r w:rsidR="000537DA">
        <w:rPr>
          <w:rFonts w:ascii="Arial" w:hAnsi="Arial"/>
          <w:sz w:val="36"/>
        </w:rPr>
        <w:t>The Commonwealth of Massachusetts</w:t>
      </w:r>
    </w:p>
    <w:p w:rsidR="000537DA" w:rsidRDefault="000537DA" w:rsidP="000F315B">
      <w:pPr>
        <w:pStyle w:val="ExecOffice"/>
        <w:framePr w:w="6926" w:wrap="notBeside" w:vAnchor="page" w:x="2884" w:y="711"/>
      </w:pPr>
      <w:r>
        <w:t>Executive Office of Health and Human Services</w:t>
      </w:r>
    </w:p>
    <w:p w:rsidR="000537DA" w:rsidRDefault="000537DA" w:rsidP="000F315B">
      <w:pPr>
        <w:pStyle w:val="ExecOffice"/>
        <w:framePr w:w="6926" w:wrap="notBeside" w:vAnchor="page" w:x="2884" w:y="711"/>
      </w:pPr>
      <w:r>
        <w:t>Department of Public Health</w:t>
      </w:r>
    </w:p>
    <w:p w:rsidR="00457C02" w:rsidRDefault="00457C02" w:rsidP="000F315B">
      <w:pPr>
        <w:pStyle w:val="ExecOffice"/>
        <w:framePr w:w="6926" w:wrap="notBeside" w:vAnchor="page" w:x="2884" w:y="711"/>
      </w:pPr>
      <w:r>
        <w:t>Bureau of Environmental Health</w:t>
      </w:r>
    </w:p>
    <w:p w:rsidR="006D06D9" w:rsidRDefault="005E7339" w:rsidP="000F315B">
      <w:pPr>
        <w:pStyle w:val="ExecOffice"/>
        <w:framePr w:w="6926" w:wrap="notBeside" w:vAnchor="page" w:x="2884" w:y="711"/>
      </w:pPr>
      <w:r>
        <w:rPr>
          <w:noProof/>
        </w:rPr>
        <mc:AlternateContent>
          <mc:Choice Requires="wps">
            <w:drawing>
              <wp:anchor distT="0" distB="0" distL="114300" distR="114300" simplePos="0" relativeHeight="251654144" behindDoc="0" locked="0" layoutInCell="1" allowOverlap="1">
                <wp:simplePos x="0" y="0"/>
                <wp:positionH relativeFrom="margin">
                  <wp:posOffset>4845050</wp:posOffset>
                </wp:positionH>
                <wp:positionV relativeFrom="margin">
                  <wp:posOffset>596900</wp:posOffset>
                </wp:positionV>
                <wp:extent cx="1814195" cy="1136015"/>
                <wp:effectExtent l="0" t="0" r="0" b="6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RDefault="00FC6B42" w:rsidP="00FC6B42">
                            <w:pPr>
                              <w:pStyle w:val="Governor"/>
                              <w:spacing w:after="0"/>
                              <w:rPr>
                                <w:sz w:val="16"/>
                              </w:rPr>
                            </w:pPr>
                          </w:p>
                          <w:p w:rsidR="00FC6B42" w:rsidRPr="003A7AFC" w:rsidRDefault="00FC6B42" w:rsidP="00FC6B42">
                            <w:pPr>
                              <w:pStyle w:val="Weld"/>
                            </w:pPr>
                            <w:r>
                              <w:t>MARYLOU SUDDERS</w:t>
                            </w:r>
                          </w:p>
                          <w:p w:rsidR="00FC6B42" w:rsidRDefault="00FC6B42" w:rsidP="00FC6B42">
                            <w:pPr>
                              <w:pStyle w:val="Governor"/>
                            </w:pPr>
                            <w:r>
                              <w:t>Secretary</w:t>
                            </w:r>
                          </w:p>
                          <w:p w:rsidR="00FC6B42" w:rsidRDefault="0003315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rsidR="004813AC" w:rsidRDefault="004813AC" w:rsidP="00FC6B42">
                            <w:pPr>
                              <w:jc w:val="center"/>
                              <w:rPr>
                                <w:rFonts w:ascii="Arial Rounded MT Bold" w:hAnsi="Arial Rounded MT Bold"/>
                                <w:sz w:val="14"/>
                                <w:szCs w:val="14"/>
                              </w:rPr>
                            </w:pPr>
                          </w:p>
                          <w:p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1.5pt;margin-top:47pt;width:142.85pt;height:89.45pt;z-index:251654144;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" stroked="f">
                <v:textbox style="mso-fit-shape-to-text:t">
                  <w:txbxContent>
                    <w:p w:rsidR="00FC6B42" w:rsidRDefault="00FC6B42" w:rsidP="00FC6B42">
                      <w:pPr>
                        <w:pStyle w:val="Governor"/>
                        <w:spacing w:after="0"/>
                        <w:rPr>
                          <w:sz w:val="16"/>
                        </w:rPr>
                      </w:pPr>
                    </w:p>
                    <w:p w:rsidR="00FC6B42" w:rsidRPr="003A7AFC" w:rsidRDefault="00FC6B42" w:rsidP="00FC6B42">
                      <w:pPr>
                        <w:pStyle w:val="Weld"/>
                      </w:pPr>
                      <w:r>
                        <w:t>MARYLOU SUDDERS</w:t>
                      </w:r>
                    </w:p>
                    <w:p w:rsidR="00FC6B42" w:rsidRDefault="00FC6B42" w:rsidP="00FC6B42">
                      <w:pPr>
                        <w:pStyle w:val="Governor"/>
                      </w:pPr>
                      <w:r>
                        <w:t>Secretary</w:t>
                      </w:r>
                    </w:p>
                    <w:p w:rsidR="00FC6B42" w:rsidRDefault="0003315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rsidR="004813AC" w:rsidRDefault="004813AC" w:rsidP="00FC6B42">
                      <w:pPr>
                        <w:jc w:val="center"/>
                        <w:rPr>
                          <w:rFonts w:ascii="Arial Rounded MT Bold" w:hAnsi="Arial Rounded MT Bold"/>
                          <w:sz w:val="14"/>
                          <w:szCs w:val="14"/>
                        </w:rPr>
                      </w:pPr>
                    </w:p>
                    <w:p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4813AC" w:rsidRPr="00FC6B42" w:rsidRDefault="004813AC" w:rsidP="00FC6B42">
                      <w:pPr>
                        <w:jc w:val="center"/>
                        <w:rPr>
                          <w:rFonts w:ascii="Arial Rounded MT Bold" w:hAnsi="Arial Rounded MT Bold"/>
                          <w:sz w:val="14"/>
                          <w:szCs w:val="14"/>
                        </w:rPr>
                      </w:pPr>
                    </w:p>
                  </w:txbxContent>
                </v:textbox>
                <w10:wrap type="square" anchorx="margin" anchory="margin"/>
              </v:shape>
            </w:pict>
          </mc:Fallback>
        </mc:AlternateContent>
      </w:r>
      <w:r w:rsidR="000537DA">
        <w:t>250 Washington Street, Boston, MA 02108-4619</w:t>
      </w:r>
      <w:r w:rsidR="00457C02">
        <w:t xml:space="preserve"> </w:t>
      </w:r>
    </w:p>
    <w:p w:rsidR="00457C02" w:rsidRDefault="00457C02" w:rsidP="000F315B">
      <w:pPr>
        <w:pStyle w:val="ExecOffice"/>
        <w:framePr w:w="6926" w:wrap="notBeside" w:vAnchor="page" w:x="2884" w:y="711"/>
      </w:pPr>
      <w:r>
        <w:t>Phone: 617-624-5757   Fax: 617-624-5777</w:t>
      </w:r>
    </w:p>
    <w:p w:rsidR="00457C02" w:rsidRDefault="00457C02" w:rsidP="000F315B">
      <w:pPr>
        <w:pStyle w:val="ExecOffice"/>
        <w:framePr w:w="6926" w:wrap="notBeside" w:vAnchor="page" w:x="2884" w:y="711"/>
      </w:pPr>
      <w:r>
        <w:t>TTY: 617-624-5286</w:t>
      </w:r>
    </w:p>
    <w:p w:rsidR="00BA4055" w:rsidRDefault="005E7339" w:rsidP="00BA4055">
      <w:pPr>
        <w:framePr w:w="1927" w:hSpace="180" w:wrap="auto" w:vAnchor="text" w:hAnchor="page" w:x="940" w:y="-951"/>
        <w:rPr>
          <w:rFonts w:ascii="LinePrinter" w:hAnsi="LinePrinter"/>
        </w:rPr>
      </w:pPr>
      <w:r>
        <w:rPr>
          <w:rFonts w:ascii="LinePrinter" w:hAnsi="LinePrinter"/>
          <w:noProof/>
        </w:rPr>
        <w:drawing>
          <wp:inline distT="0" distB="0" distL="0" distR="0">
            <wp:extent cx="960120" cy="1150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1150620"/>
                    </a:xfrm>
                    <a:prstGeom prst="rect">
                      <a:avLst/>
                    </a:prstGeom>
                    <a:noFill/>
                    <a:ln>
                      <a:noFill/>
                    </a:ln>
                  </pic:spPr>
                </pic:pic>
              </a:graphicData>
            </a:graphic>
          </wp:inline>
        </w:drawing>
      </w:r>
    </w:p>
    <w:p w:rsidR="009908FF" w:rsidRDefault="005E7339" w:rsidP="0072610D">
      <w:r>
        <w:rPr>
          <w:noProof/>
        </w:rPr>
        <mc:AlternateContent>
          <mc:Choice Requires="wps">
            <w:drawing>
              <wp:anchor distT="0" distB="0" distL="114300" distR="114300" simplePos="0" relativeHeight="251655168" behindDoc="0" locked="0" layoutInCell="1" allowOverlap="1">
                <wp:simplePos x="0" y="0"/>
                <wp:positionH relativeFrom="margin">
                  <wp:posOffset>-495300</wp:posOffset>
                </wp:positionH>
                <wp:positionV relativeFrom="margin">
                  <wp:posOffset>654050</wp:posOffset>
                </wp:positionV>
                <wp:extent cx="1572895" cy="802005"/>
                <wp:effectExtent l="0" t="0" r="0" b="12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RDefault="00FC6B42" w:rsidP="00FC6B42">
                            <w:pPr>
                              <w:pStyle w:val="Governor"/>
                              <w:spacing w:after="0"/>
                              <w:rPr>
                                <w:sz w:val="16"/>
                              </w:rPr>
                            </w:pPr>
                          </w:p>
                          <w:p w:rsidR="00FC6B42" w:rsidRDefault="00FC6B42" w:rsidP="00FC6B42">
                            <w:pPr>
                              <w:pStyle w:val="Governor"/>
                              <w:spacing w:after="0"/>
                              <w:rPr>
                                <w:sz w:val="16"/>
                              </w:rPr>
                            </w:pPr>
                            <w:r>
                              <w:rPr>
                                <w:sz w:val="16"/>
                              </w:rPr>
                              <w:t>CHARLES D. BAKER</w:t>
                            </w:r>
                          </w:p>
                          <w:p w:rsidR="00FC6B42" w:rsidRDefault="00FC6B42" w:rsidP="00FC6B42">
                            <w:pPr>
                              <w:pStyle w:val="Governor"/>
                            </w:pPr>
                            <w:r>
                              <w:t>Governor</w:t>
                            </w:r>
                          </w:p>
                          <w:p w:rsidR="00FC6B42" w:rsidRDefault="00FC6B42" w:rsidP="00FC6B42">
                            <w:pPr>
                              <w:pStyle w:val="Governor"/>
                              <w:spacing w:after="0"/>
                              <w:rPr>
                                <w:sz w:val="16"/>
                              </w:rPr>
                            </w:pPr>
                            <w:r>
                              <w:rPr>
                                <w:sz w:val="16"/>
                              </w:rPr>
                              <w:t>KARYN E. POLITO</w:t>
                            </w:r>
                          </w:p>
                          <w:p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9pt;margin-top:51.5pt;width:123.85pt;height:63.15pt;z-index:251655168;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" stroked="f">
                <v:textbox style="mso-fit-shape-to-text:t">
                  <w:txbxContent>
                    <w:p w:rsidR="00FC6B42" w:rsidRDefault="00FC6B42" w:rsidP="00FC6B42">
                      <w:pPr>
                        <w:pStyle w:val="Governor"/>
                        <w:spacing w:after="0"/>
                        <w:rPr>
                          <w:sz w:val="16"/>
                        </w:rPr>
                      </w:pPr>
                    </w:p>
                    <w:p w:rsidR="00FC6B42" w:rsidRDefault="00FC6B42" w:rsidP="00FC6B42">
                      <w:pPr>
                        <w:pStyle w:val="Governor"/>
                        <w:spacing w:after="0"/>
                        <w:rPr>
                          <w:sz w:val="16"/>
                        </w:rPr>
                      </w:pPr>
                      <w:r>
                        <w:rPr>
                          <w:sz w:val="16"/>
                        </w:rPr>
                        <w:t>CHARLES D. BAKER</w:t>
                      </w:r>
                    </w:p>
                    <w:p w:rsidR="00FC6B42" w:rsidRDefault="00FC6B42" w:rsidP="00FC6B42">
                      <w:pPr>
                        <w:pStyle w:val="Governor"/>
                      </w:pPr>
                      <w:r>
                        <w:t>Governor</w:t>
                      </w:r>
                    </w:p>
                    <w:p w:rsidR="00FC6B42" w:rsidRDefault="00FC6B42" w:rsidP="00FC6B42">
                      <w:pPr>
                        <w:pStyle w:val="Governor"/>
                        <w:spacing w:after="0"/>
                        <w:rPr>
                          <w:sz w:val="16"/>
                        </w:rPr>
                      </w:pPr>
                      <w:r>
                        <w:rPr>
                          <w:sz w:val="16"/>
                        </w:rPr>
                        <w:t>KARYN E. POLITO</w:t>
                      </w:r>
                    </w:p>
                    <w:p w:rsidR="00FC6B42" w:rsidRDefault="00FC6B42" w:rsidP="00FC6B42">
                      <w:pPr>
                        <w:pStyle w:val="Governor"/>
                      </w:pPr>
                      <w:r>
                        <w:t>Lieutenant Governor</w:t>
                      </w:r>
                    </w:p>
                  </w:txbxContent>
                </v:textbox>
                <w10:wrap type="square" anchorx="margin" anchory="margin"/>
              </v:shape>
            </w:pict>
          </mc:Fallback>
        </mc:AlternateContent>
      </w:r>
    </w:p>
    <w:p w:rsidR="00FC6B42" w:rsidRDefault="00FC6B42" w:rsidP="0072610D"/>
    <w:p w:rsidR="00FC6B42" w:rsidRDefault="00FC6B42" w:rsidP="0072610D"/>
    <w:p w:rsidR="00284BC8" w:rsidRDefault="00284BC8" w:rsidP="00284BC8">
      <w:pPr>
        <w:spacing w:line="360" w:lineRule="auto"/>
        <w:rPr>
          <w:rFonts w:cs="Tahoma"/>
          <w:b/>
          <w:sz w:val="28"/>
          <w:szCs w:val="28"/>
        </w:rPr>
      </w:pPr>
    </w:p>
    <w:p w:rsidR="00284BC8" w:rsidRPr="00C47208" w:rsidRDefault="00284BC8" w:rsidP="00284BC8">
      <w:pPr>
        <w:spacing w:line="360" w:lineRule="auto"/>
        <w:rPr>
          <w:rFonts w:ascii="Calibri" w:hAnsi="Calibri" w:cs="Tahoma"/>
          <w:b/>
          <w:sz w:val="28"/>
          <w:szCs w:val="28"/>
        </w:rPr>
      </w:pPr>
      <w:r w:rsidRPr="00C47208">
        <w:rPr>
          <w:rFonts w:ascii="Calibri" w:hAnsi="Calibri" w:cs="Tahoma"/>
          <w:b/>
          <w:sz w:val="28"/>
          <w:szCs w:val="28"/>
        </w:rPr>
        <w:t>MEMORANDUM</w:t>
      </w:r>
    </w:p>
    <w:p w:rsidR="00284BC8" w:rsidRPr="00C47208" w:rsidRDefault="00284BC8" w:rsidP="00284BC8">
      <w:pPr>
        <w:rPr>
          <w:rFonts w:ascii="Calibri" w:hAnsi="Calibri" w:cs="Tahoma"/>
          <w:szCs w:val="24"/>
        </w:rPr>
      </w:pPr>
      <w:r w:rsidRPr="00C47208">
        <w:rPr>
          <w:rFonts w:ascii="Calibri" w:hAnsi="Calibri" w:cs="Tahoma"/>
          <w:b/>
          <w:szCs w:val="24"/>
        </w:rPr>
        <w:t xml:space="preserve">TO:  </w:t>
      </w:r>
      <w:r w:rsidRPr="00C47208">
        <w:rPr>
          <w:rFonts w:ascii="Calibri" w:hAnsi="Calibri" w:cs="Tahoma"/>
          <w:b/>
          <w:szCs w:val="24"/>
        </w:rPr>
        <w:tab/>
      </w:r>
      <w:r w:rsidRPr="00C47208">
        <w:rPr>
          <w:rFonts w:ascii="Calibri" w:hAnsi="Calibri" w:cs="Tahoma"/>
          <w:b/>
          <w:szCs w:val="24"/>
        </w:rPr>
        <w:tab/>
      </w:r>
      <w:r w:rsidRPr="00C47208">
        <w:rPr>
          <w:rFonts w:ascii="Calibri" w:hAnsi="Calibri" w:cs="Tahoma"/>
          <w:szCs w:val="24"/>
        </w:rPr>
        <w:t>Radiation Control Program</w:t>
      </w:r>
      <w:r w:rsidRPr="00C47208">
        <w:rPr>
          <w:rFonts w:ascii="Calibri" w:hAnsi="Calibri" w:cs="Tahoma"/>
          <w:b/>
          <w:szCs w:val="24"/>
        </w:rPr>
        <w:tab/>
      </w:r>
    </w:p>
    <w:p w:rsidR="00284BC8" w:rsidRPr="00C47208" w:rsidRDefault="00284BC8" w:rsidP="00284BC8">
      <w:pPr>
        <w:rPr>
          <w:rFonts w:ascii="Calibri" w:hAnsi="Calibri" w:cs="Tahoma"/>
          <w:b/>
          <w:szCs w:val="24"/>
        </w:rPr>
      </w:pPr>
      <w:r w:rsidRPr="00C47208">
        <w:rPr>
          <w:rFonts w:ascii="Calibri" w:hAnsi="Calibri" w:cs="Tahoma"/>
          <w:b/>
          <w:szCs w:val="24"/>
        </w:rPr>
        <w:t>FROM:</w:t>
      </w:r>
      <w:r w:rsidRPr="00C47208">
        <w:rPr>
          <w:rFonts w:ascii="Calibri" w:hAnsi="Calibri" w:cs="Tahoma"/>
          <w:b/>
          <w:szCs w:val="24"/>
        </w:rPr>
        <w:tab/>
      </w:r>
      <w:r w:rsidRPr="00C47208">
        <w:rPr>
          <w:rFonts w:ascii="Calibri" w:hAnsi="Calibri" w:cs="Tahoma"/>
          <w:b/>
          <w:szCs w:val="24"/>
        </w:rPr>
        <w:tab/>
      </w:r>
      <w:r w:rsidRPr="00C47208">
        <w:rPr>
          <w:rFonts w:ascii="Calibri" w:hAnsi="Calibri" w:cs="Tahoma"/>
          <w:szCs w:val="24"/>
        </w:rPr>
        <w:t>Environmental Toxicology Program</w:t>
      </w:r>
    </w:p>
    <w:p w:rsidR="00284BC8" w:rsidRPr="00C47208" w:rsidRDefault="00284BC8" w:rsidP="00284BC8">
      <w:pPr>
        <w:rPr>
          <w:rFonts w:ascii="Calibri" w:hAnsi="Calibri" w:cs="Tahoma"/>
          <w:b/>
          <w:szCs w:val="24"/>
        </w:rPr>
      </w:pPr>
      <w:r w:rsidRPr="00C47208">
        <w:rPr>
          <w:rFonts w:ascii="Calibri" w:hAnsi="Calibri" w:cs="Tahoma"/>
          <w:b/>
          <w:szCs w:val="24"/>
        </w:rPr>
        <w:t>CC:</w:t>
      </w:r>
      <w:r w:rsidRPr="00C47208">
        <w:rPr>
          <w:rFonts w:ascii="Calibri" w:hAnsi="Calibri" w:cs="Tahoma"/>
          <w:b/>
          <w:szCs w:val="24"/>
        </w:rPr>
        <w:tab/>
      </w:r>
      <w:r w:rsidRPr="00C47208">
        <w:rPr>
          <w:rFonts w:ascii="Calibri" w:hAnsi="Calibri" w:cs="Tahoma"/>
          <w:b/>
          <w:szCs w:val="24"/>
        </w:rPr>
        <w:tab/>
      </w:r>
      <w:r w:rsidRPr="00C47208">
        <w:rPr>
          <w:rFonts w:ascii="Calibri" w:hAnsi="Calibri" w:cs="Tahoma"/>
          <w:szCs w:val="24"/>
        </w:rPr>
        <w:t>Bureau of Environmental Health (BEH) Director; BEH Deputy Director</w:t>
      </w:r>
    </w:p>
    <w:p w:rsidR="00391D0E" w:rsidRDefault="00284BC8" w:rsidP="00284BC8">
      <w:pPr>
        <w:rPr>
          <w:rFonts w:ascii="Calibri" w:hAnsi="Calibri" w:cs="Tahoma"/>
          <w:b/>
          <w:szCs w:val="24"/>
        </w:rPr>
      </w:pPr>
      <w:r w:rsidRPr="00677DE4">
        <w:rPr>
          <w:rFonts w:ascii="Calibri" w:hAnsi="Calibri" w:cs="Tahoma"/>
          <w:b/>
          <w:szCs w:val="24"/>
        </w:rPr>
        <w:t>DATE:</w:t>
      </w:r>
      <w:r w:rsidRPr="00677DE4">
        <w:rPr>
          <w:rFonts w:ascii="Calibri" w:hAnsi="Calibri" w:cs="Tahoma"/>
          <w:b/>
          <w:szCs w:val="24"/>
        </w:rPr>
        <w:tab/>
      </w:r>
      <w:r w:rsidRPr="00677DE4">
        <w:rPr>
          <w:rFonts w:ascii="Calibri" w:hAnsi="Calibri" w:cs="Tahoma"/>
          <w:b/>
          <w:szCs w:val="24"/>
        </w:rPr>
        <w:tab/>
      </w:r>
      <w:r w:rsidR="00677DE4">
        <w:rPr>
          <w:rFonts w:ascii="Calibri" w:hAnsi="Calibri" w:cs="Tahoma"/>
          <w:szCs w:val="24"/>
        </w:rPr>
        <w:t>May 1</w:t>
      </w:r>
      <w:r w:rsidR="00391D0E" w:rsidRPr="00677DE4">
        <w:rPr>
          <w:rFonts w:ascii="Calibri" w:hAnsi="Calibri" w:cs="Tahoma"/>
          <w:szCs w:val="24"/>
        </w:rPr>
        <w:t>, 2018</w:t>
      </w:r>
    </w:p>
    <w:p w:rsidR="00284BC8" w:rsidRPr="00C47208" w:rsidRDefault="00284BC8" w:rsidP="00284BC8">
      <w:pPr>
        <w:rPr>
          <w:rFonts w:ascii="Calibri" w:hAnsi="Calibri" w:cs="Tahoma"/>
          <w:szCs w:val="24"/>
        </w:rPr>
      </w:pPr>
      <w:r w:rsidRPr="00C47208">
        <w:rPr>
          <w:rFonts w:ascii="Calibri" w:hAnsi="Calibri" w:cs="Tahoma"/>
          <w:b/>
          <w:szCs w:val="24"/>
        </w:rPr>
        <w:t>SUBJECT:</w:t>
      </w:r>
      <w:r w:rsidRPr="00C47208">
        <w:rPr>
          <w:rFonts w:ascii="Calibri" w:hAnsi="Calibri" w:cs="Tahoma"/>
          <w:b/>
          <w:szCs w:val="24"/>
        </w:rPr>
        <w:tab/>
      </w:r>
      <w:r w:rsidRPr="00C47208">
        <w:rPr>
          <w:rFonts w:ascii="Calibri" w:hAnsi="Calibri" w:cs="Tahoma"/>
          <w:szCs w:val="24"/>
        </w:rPr>
        <w:t>Pilgrim Nuclear Power Station Tritium in Groundwater Investigation Update</w:t>
      </w:r>
    </w:p>
    <w:p w:rsidR="00284BC8" w:rsidRPr="00C47208" w:rsidRDefault="00284BC8" w:rsidP="00284BC8">
      <w:pPr>
        <w:rPr>
          <w:rFonts w:ascii="Calibri" w:hAnsi="Calibri"/>
          <w:b/>
          <w:szCs w:val="24"/>
        </w:rPr>
      </w:pPr>
    </w:p>
    <w:p w:rsidR="00284BC8" w:rsidRPr="00C47208" w:rsidRDefault="00284BC8" w:rsidP="00284BC8">
      <w:pPr>
        <w:rPr>
          <w:rFonts w:ascii="Calibri" w:hAnsi="Calibri"/>
          <w:b/>
          <w:szCs w:val="24"/>
        </w:rPr>
      </w:pPr>
    </w:p>
    <w:p w:rsidR="00284BC8" w:rsidRPr="00C47208" w:rsidRDefault="00284BC8" w:rsidP="00284BC8">
      <w:pPr>
        <w:pStyle w:val="ListParagraph"/>
        <w:spacing w:after="0" w:line="240" w:lineRule="auto"/>
        <w:ind w:left="0"/>
        <w:jc w:val="both"/>
        <w:rPr>
          <w:b/>
          <w:sz w:val="28"/>
          <w:szCs w:val="28"/>
        </w:rPr>
      </w:pPr>
      <w:r w:rsidRPr="00C47208">
        <w:rPr>
          <w:b/>
          <w:sz w:val="28"/>
          <w:szCs w:val="28"/>
        </w:rPr>
        <w:t>PURPOSE</w:t>
      </w:r>
    </w:p>
    <w:p w:rsidR="00284BC8" w:rsidRPr="00C47208" w:rsidRDefault="00284BC8" w:rsidP="00284BC8">
      <w:pPr>
        <w:pStyle w:val="ListParagraph"/>
        <w:spacing w:after="0" w:line="240" w:lineRule="auto"/>
        <w:ind w:left="0"/>
        <w:jc w:val="both"/>
        <w:rPr>
          <w:sz w:val="24"/>
          <w:szCs w:val="24"/>
        </w:rPr>
      </w:pPr>
    </w:p>
    <w:p w:rsidR="00284BC8" w:rsidRPr="00C47208" w:rsidRDefault="00284BC8" w:rsidP="00284BC8">
      <w:pPr>
        <w:pStyle w:val="ListParagraph"/>
        <w:spacing w:after="0" w:line="240" w:lineRule="auto"/>
        <w:ind w:left="0"/>
        <w:jc w:val="both"/>
        <w:rPr>
          <w:sz w:val="24"/>
          <w:szCs w:val="24"/>
        </w:rPr>
      </w:pPr>
      <w:r w:rsidRPr="00677DE4">
        <w:rPr>
          <w:sz w:val="24"/>
          <w:szCs w:val="24"/>
        </w:rPr>
        <w:t xml:space="preserve">This document updates the results of on-going tritium in groundwater and surface water monitoring at Pilgrim Nuclear Power Station (PNPS) in Plymouth, MA for the </w:t>
      </w:r>
      <w:r w:rsidR="00E22135" w:rsidRPr="00677DE4">
        <w:rPr>
          <w:sz w:val="24"/>
          <w:szCs w:val="24"/>
        </w:rPr>
        <w:t>last</w:t>
      </w:r>
      <w:r w:rsidR="00E532E6" w:rsidRPr="00677DE4">
        <w:rPr>
          <w:sz w:val="24"/>
          <w:szCs w:val="24"/>
        </w:rPr>
        <w:t xml:space="preserve"> </w:t>
      </w:r>
      <w:r w:rsidRPr="00677DE4">
        <w:rPr>
          <w:sz w:val="24"/>
          <w:szCs w:val="24"/>
        </w:rPr>
        <w:t>six months of 201</w:t>
      </w:r>
      <w:r w:rsidR="00E532E6" w:rsidRPr="00677DE4">
        <w:rPr>
          <w:sz w:val="24"/>
          <w:szCs w:val="24"/>
        </w:rPr>
        <w:t>7</w:t>
      </w:r>
      <w:r w:rsidRPr="00677DE4">
        <w:rPr>
          <w:sz w:val="24"/>
          <w:szCs w:val="24"/>
        </w:rPr>
        <w:t>.</w:t>
      </w:r>
      <w:r w:rsidRPr="00C47208">
        <w:rPr>
          <w:sz w:val="24"/>
          <w:szCs w:val="24"/>
        </w:rPr>
        <w:t xml:space="preserve"> </w:t>
      </w:r>
    </w:p>
    <w:p w:rsidR="00284BC8" w:rsidRPr="00C47208" w:rsidRDefault="00284BC8" w:rsidP="00284BC8">
      <w:pPr>
        <w:pStyle w:val="ListParagraph"/>
        <w:spacing w:after="0" w:line="240" w:lineRule="auto"/>
        <w:ind w:left="360"/>
        <w:jc w:val="both"/>
        <w:rPr>
          <w:sz w:val="24"/>
          <w:szCs w:val="24"/>
        </w:rPr>
      </w:pPr>
    </w:p>
    <w:p w:rsidR="00106ED6" w:rsidRPr="00C47208" w:rsidRDefault="00106ED6" w:rsidP="00106ED6">
      <w:pPr>
        <w:rPr>
          <w:rStyle w:val="Strong"/>
          <w:rFonts w:ascii="Calibri" w:hAnsi="Calibri"/>
          <w:caps/>
          <w:sz w:val="28"/>
          <w:szCs w:val="28"/>
        </w:rPr>
      </w:pPr>
      <w:r w:rsidRPr="00C47208">
        <w:rPr>
          <w:rStyle w:val="Strong"/>
          <w:rFonts w:ascii="Calibri" w:hAnsi="Calibri"/>
          <w:caps/>
          <w:sz w:val="28"/>
          <w:szCs w:val="28"/>
        </w:rPr>
        <w:t>Introduction</w:t>
      </w:r>
    </w:p>
    <w:p w:rsidR="00106ED6" w:rsidRPr="00C47208" w:rsidRDefault="00106ED6" w:rsidP="00106ED6">
      <w:pPr>
        <w:rPr>
          <w:rStyle w:val="Strong"/>
          <w:rFonts w:ascii="Calibri" w:hAnsi="Calibri"/>
          <w:caps/>
          <w:szCs w:val="24"/>
        </w:rPr>
      </w:pPr>
    </w:p>
    <w:p w:rsidR="00106ED6" w:rsidRPr="00C47208" w:rsidRDefault="00106ED6" w:rsidP="00106ED6">
      <w:pPr>
        <w:jc w:val="both"/>
        <w:rPr>
          <w:rFonts w:ascii="Calibri" w:hAnsi="Calibri"/>
          <w:sz w:val="18"/>
          <w:szCs w:val="18"/>
        </w:rPr>
      </w:pPr>
      <w:r w:rsidRPr="00677DE4">
        <w:rPr>
          <w:rFonts w:ascii="Calibri" w:hAnsi="Calibri"/>
          <w:szCs w:val="24"/>
        </w:rPr>
        <w:t xml:space="preserve">This document describes monitoring results for tritium in groundwater and surface water at the Pilgrim Nuclear Power Station located in Plymouth, MA during the </w:t>
      </w:r>
      <w:r w:rsidR="00E22135" w:rsidRPr="00677DE4">
        <w:rPr>
          <w:rFonts w:ascii="Calibri" w:hAnsi="Calibri"/>
          <w:szCs w:val="24"/>
        </w:rPr>
        <w:t>last</w:t>
      </w:r>
      <w:r w:rsidRPr="00677DE4">
        <w:rPr>
          <w:rFonts w:ascii="Calibri" w:hAnsi="Calibri"/>
          <w:szCs w:val="24"/>
        </w:rPr>
        <w:t xml:space="preserve"> six months of 2017.  The history of the investigation, which began in 2010, and previous update reports are available</w:t>
      </w:r>
      <w:r w:rsidRPr="00C47208">
        <w:rPr>
          <w:rFonts w:ascii="Calibri" w:hAnsi="Calibri"/>
          <w:szCs w:val="24"/>
        </w:rPr>
        <w:t xml:space="preserve"> online</w:t>
      </w:r>
      <w:r w:rsidRPr="00C47208">
        <w:rPr>
          <w:rStyle w:val="FootnoteReference"/>
          <w:rFonts w:ascii="Calibri" w:hAnsi="Calibri"/>
          <w:szCs w:val="24"/>
        </w:rPr>
        <w:footnoteReference w:id="1"/>
      </w:r>
      <w:r w:rsidRPr="00C47208">
        <w:rPr>
          <w:rFonts w:ascii="Calibri" w:hAnsi="Calibri"/>
          <w:szCs w:val="24"/>
        </w:rPr>
        <w:t>.</w:t>
      </w:r>
    </w:p>
    <w:p w:rsidR="00106ED6" w:rsidRPr="00C47208" w:rsidRDefault="00106ED6" w:rsidP="00106ED6">
      <w:pPr>
        <w:jc w:val="both"/>
        <w:rPr>
          <w:rFonts w:ascii="Calibri" w:hAnsi="Calibri"/>
        </w:rPr>
      </w:pPr>
      <w:r w:rsidRPr="00C47208">
        <w:rPr>
          <w:rFonts w:ascii="Calibri" w:hAnsi="Calibri"/>
        </w:rPr>
        <w:t xml:space="preserve">  </w:t>
      </w:r>
    </w:p>
    <w:p w:rsidR="00106ED6" w:rsidRPr="00C47208" w:rsidRDefault="00106ED6" w:rsidP="00106ED6">
      <w:pPr>
        <w:jc w:val="both"/>
        <w:rPr>
          <w:rFonts w:ascii="Calibri" w:hAnsi="Calibri"/>
          <w:szCs w:val="24"/>
        </w:rPr>
      </w:pPr>
      <w:r w:rsidRPr="00C47208">
        <w:rPr>
          <w:rFonts w:ascii="Calibri" w:hAnsi="Calibri"/>
          <w:szCs w:val="24"/>
        </w:rPr>
        <w:t xml:space="preserve">Entergy collects samples at 23 groundwater wells and </w:t>
      </w:r>
      <w:r>
        <w:rPr>
          <w:rFonts w:ascii="Calibri" w:hAnsi="Calibri"/>
          <w:szCs w:val="24"/>
        </w:rPr>
        <w:t xml:space="preserve">one surface water location </w:t>
      </w:r>
      <w:r w:rsidRPr="00C47208">
        <w:rPr>
          <w:rFonts w:ascii="Calibri" w:hAnsi="Calibri"/>
          <w:szCs w:val="24"/>
        </w:rPr>
        <w:t xml:space="preserve">on-site at PNPS.  The sampling intervals range from </w:t>
      </w:r>
      <w:r>
        <w:rPr>
          <w:rFonts w:ascii="Calibri" w:hAnsi="Calibri"/>
          <w:szCs w:val="24"/>
        </w:rPr>
        <w:t xml:space="preserve">every third week to </w:t>
      </w:r>
      <w:r w:rsidRPr="00C47208">
        <w:rPr>
          <w:rFonts w:ascii="Calibri" w:hAnsi="Calibri"/>
          <w:szCs w:val="24"/>
        </w:rPr>
        <w:t>quarterly</w:t>
      </w:r>
      <w:r w:rsidR="002334E3">
        <w:rPr>
          <w:rFonts w:ascii="Calibri" w:hAnsi="Calibri"/>
          <w:szCs w:val="24"/>
        </w:rPr>
        <w:t>,</w:t>
      </w:r>
      <w:r w:rsidRPr="00C47208">
        <w:rPr>
          <w:rFonts w:ascii="Calibri" w:hAnsi="Calibri"/>
          <w:szCs w:val="24"/>
        </w:rPr>
        <w:t xml:space="preserve"> and are based on past monitoring results and analysis of possible groundwater tritium pathways. Well and surface water samples are sent by Entergy to an independent analytical lab, Teledyne, and duplicate (or “split”) samples are provided to MDPH for analysis at the Massachusetts Environmental Radiation Lab</w:t>
      </w:r>
      <w:r>
        <w:rPr>
          <w:rFonts w:ascii="Calibri" w:hAnsi="Calibri"/>
          <w:szCs w:val="24"/>
        </w:rPr>
        <w:t xml:space="preserve"> (MERL)</w:t>
      </w:r>
      <w:r w:rsidRPr="00C47208">
        <w:rPr>
          <w:rFonts w:ascii="Calibri" w:hAnsi="Calibri"/>
          <w:szCs w:val="24"/>
        </w:rPr>
        <w:t>.  Entergy regularly reports the Teledyne results to MDPH, MEMA, and NRC officials. Summaries of both laboratory results are on the MDPH website</w:t>
      </w:r>
      <w:r w:rsidRPr="00C47208">
        <w:rPr>
          <w:rFonts w:ascii="Calibri" w:hAnsi="Calibri"/>
          <w:szCs w:val="24"/>
          <w:vertAlign w:val="superscript"/>
        </w:rPr>
        <w:t>2</w:t>
      </w:r>
      <w:r w:rsidRPr="00C47208">
        <w:rPr>
          <w:rFonts w:ascii="Calibri" w:hAnsi="Calibri"/>
          <w:szCs w:val="24"/>
        </w:rPr>
        <w:t xml:space="preserve">.  </w:t>
      </w:r>
    </w:p>
    <w:p w:rsidR="00106ED6" w:rsidRPr="00C47208" w:rsidRDefault="00106ED6" w:rsidP="00106ED6">
      <w:pPr>
        <w:jc w:val="both"/>
        <w:rPr>
          <w:rFonts w:ascii="Calibri" w:hAnsi="Calibri"/>
          <w:szCs w:val="24"/>
        </w:rPr>
      </w:pPr>
    </w:p>
    <w:p w:rsidR="00106ED6" w:rsidRPr="00C47208" w:rsidRDefault="00106ED6" w:rsidP="00106ED6">
      <w:pPr>
        <w:jc w:val="both"/>
        <w:rPr>
          <w:rFonts w:ascii="Calibri" w:hAnsi="Calibri"/>
          <w:szCs w:val="24"/>
        </w:rPr>
      </w:pPr>
      <w:r w:rsidRPr="00677DE4">
        <w:rPr>
          <w:rFonts w:ascii="Calibri" w:hAnsi="Calibri"/>
          <w:szCs w:val="24"/>
        </w:rPr>
        <w:t xml:space="preserve">This letter updates results from both Entergy and MERL for sampling performed during the </w:t>
      </w:r>
      <w:r w:rsidR="00E22135" w:rsidRPr="00677DE4">
        <w:rPr>
          <w:rFonts w:ascii="Calibri" w:hAnsi="Calibri"/>
          <w:szCs w:val="24"/>
        </w:rPr>
        <w:t>last</w:t>
      </w:r>
      <w:r w:rsidRPr="00677DE4">
        <w:rPr>
          <w:rFonts w:ascii="Calibri" w:hAnsi="Calibri"/>
          <w:szCs w:val="24"/>
        </w:rPr>
        <w:t xml:space="preserve"> six months of 2017. Results were compared to a conservative, health protective screening level</w:t>
      </w:r>
      <w:r w:rsidRPr="00C47208">
        <w:rPr>
          <w:rFonts w:ascii="Calibri" w:hAnsi="Calibri"/>
          <w:szCs w:val="24"/>
        </w:rPr>
        <w:t xml:space="preserve"> of 3,000 picocuries per liter (pCi/L), (or 1/10</w:t>
      </w:r>
      <w:r w:rsidRPr="00C47208">
        <w:rPr>
          <w:rFonts w:ascii="Calibri" w:hAnsi="Calibri"/>
          <w:szCs w:val="24"/>
          <w:vertAlign w:val="superscript"/>
        </w:rPr>
        <w:t>th</w:t>
      </w:r>
      <w:r w:rsidRPr="00C47208">
        <w:rPr>
          <w:rFonts w:ascii="Calibri" w:hAnsi="Calibri"/>
          <w:szCs w:val="24"/>
        </w:rPr>
        <w:t xml:space="preserve"> the NRC-approved level of 30,000 pCi/L tritium </w:t>
      </w:r>
      <w:r>
        <w:rPr>
          <w:rFonts w:ascii="Calibri" w:hAnsi="Calibri"/>
          <w:szCs w:val="24"/>
        </w:rPr>
        <w:t xml:space="preserve">in non-drinking water sources) </w:t>
      </w:r>
      <w:r w:rsidRPr="00C47208">
        <w:rPr>
          <w:rFonts w:ascii="Calibri" w:hAnsi="Calibri"/>
          <w:szCs w:val="24"/>
        </w:rPr>
        <w:t xml:space="preserve">and </w:t>
      </w:r>
      <w:r>
        <w:rPr>
          <w:rFonts w:ascii="Calibri" w:hAnsi="Calibri"/>
          <w:szCs w:val="24"/>
        </w:rPr>
        <w:t xml:space="preserve">to </w:t>
      </w:r>
      <w:r w:rsidRPr="00C47208">
        <w:rPr>
          <w:rFonts w:ascii="Calibri" w:hAnsi="Calibri"/>
          <w:szCs w:val="24"/>
        </w:rPr>
        <w:t xml:space="preserve">the US Environmental Protection Agency (EPA) drinking water standard for tritium of 20,000 pCi/L.  The closest municipal drinking water wells are 2.5 miles from PNPS and are not expected to be impacted by on-site tritium sources.   </w:t>
      </w:r>
    </w:p>
    <w:p w:rsidR="00106ED6" w:rsidRDefault="00106ED6" w:rsidP="00284BC8">
      <w:pPr>
        <w:pStyle w:val="ListParagraph"/>
        <w:spacing w:after="0" w:line="240" w:lineRule="auto"/>
        <w:ind w:left="0"/>
        <w:rPr>
          <w:b/>
          <w:sz w:val="28"/>
          <w:szCs w:val="28"/>
        </w:rPr>
      </w:pPr>
    </w:p>
    <w:p w:rsidR="00284BC8" w:rsidRPr="00C47208" w:rsidRDefault="00284BC8" w:rsidP="00284BC8">
      <w:pPr>
        <w:pStyle w:val="ListParagraph"/>
        <w:spacing w:after="0" w:line="240" w:lineRule="auto"/>
        <w:ind w:left="0"/>
        <w:rPr>
          <w:b/>
          <w:sz w:val="28"/>
          <w:szCs w:val="28"/>
        </w:rPr>
      </w:pPr>
      <w:r w:rsidRPr="00C47208">
        <w:rPr>
          <w:b/>
          <w:sz w:val="28"/>
          <w:szCs w:val="28"/>
        </w:rPr>
        <w:t>OVERVIEW</w:t>
      </w:r>
    </w:p>
    <w:p w:rsidR="00284BC8" w:rsidRPr="002334E3" w:rsidRDefault="00284BC8" w:rsidP="00284BC8">
      <w:pPr>
        <w:pStyle w:val="ListParagraph"/>
        <w:spacing w:after="0" w:line="240" w:lineRule="auto"/>
        <w:ind w:left="0"/>
        <w:rPr>
          <w:b/>
          <w:sz w:val="20"/>
          <w:szCs w:val="24"/>
        </w:rPr>
      </w:pPr>
    </w:p>
    <w:p w:rsidR="0020047A" w:rsidRPr="00677DE4" w:rsidRDefault="00284BC8" w:rsidP="008F10CD">
      <w:pPr>
        <w:pStyle w:val="ListParagraph"/>
        <w:numPr>
          <w:ilvl w:val="0"/>
          <w:numId w:val="1"/>
        </w:numPr>
        <w:spacing w:after="0" w:line="240" w:lineRule="auto"/>
        <w:jc w:val="both"/>
        <w:rPr>
          <w:sz w:val="24"/>
          <w:szCs w:val="24"/>
        </w:rPr>
      </w:pPr>
      <w:r w:rsidRPr="00677DE4">
        <w:rPr>
          <w:sz w:val="24"/>
          <w:szCs w:val="24"/>
        </w:rPr>
        <w:t xml:space="preserve">Sampling results for </w:t>
      </w:r>
      <w:r w:rsidR="00557293" w:rsidRPr="00677DE4">
        <w:rPr>
          <w:sz w:val="24"/>
          <w:szCs w:val="24"/>
        </w:rPr>
        <w:t>7</w:t>
      </w:r>
      <w:r w:rsidRPr="00677DE4">
        <w:rPr>
          <w:sz w:val="24"/>
          <w:szCs w:val="24"/>
        </w:rPr>
        <w:t xml:space="preserve"> of 23 routinely sampled groundwater wells indicate no detectable activity above background</w:t>
      </w:r>
      <w:r w:rsidR="0020047A" w:rsidRPr="00677DE4">
        <w:rPr>
          <w:sz w:val="24"/>
          <w:szCs w:val="24"/>
        </w:rPr>
        <w:t xml:space="preserve">. </w:t>
      </w:r>
      <w:r w:rsidR="00391D0E" w:rsidRPr="00677DE4">
        <w:rPr>
          <w:sz w:val="24"/>
          <w:szCs w:val="24"/>
        </w:rPr>
        <w:t xml:space="preserve">With the exception of </w:t>
      </w:r>
      <w:r w:rsidR="00B51C5A" w:rsidRPr="00677DE4">
        <w:rPr>
          <w:sz w:val="24"/>
          <w:szCs w:val="24"/>
        </w:rPr>
        <w:t>MW-219</w:t>
      </w:r>
      <w:r w:rsidR="00391D0E" w:rsidRPr="00677DE4">
        <w:rPr>
          <w:sz w:val="24"/>
          <w:szCs w:val="24"/>
        </w:rPr>
        <w:t>, t</w:t>
      </w:r>
      <w:r w:rsidR="0020047A" w:rsidRPr="00677DE4">
        <w:rPr>
          <w:sz w:val="24"/>
          <w:szCs w:val="24"/>
        </w:rPr>
        <w:t xml:space="preserve">he </w:t>
      </w:r>
      <w:r w:rsidRPr="00677DE4">
        <w:rPr>
          <w:sz w:val="24"/>
          <w:szCs w:val="24"/>
        </w:rPr>
        <w:t xml:space="preserve">remaining </w:t>
      </w:r>
      <w:r w:rsidR="00106ED6" w:rsidRPr="00677DE4">
        <w:rPr>
          <w:sz w:val="24"/>
          <w:szCs w:val="24"/>
        </w:rPr>
        <w:t>1</w:t>
      </w:r>
      <w:r w:rsidR="00C96B0C">
        <w:rPr>
          <w:sz w:val="24"/>
          <w:szCs w:val="24"/>
        </w:rPr>
        <w:t>5</w:t>
      </w:r>
      <w:r w:rsidR="00106ED6" w:rsidRPr="00677DE4">
        <w:rPr>
          <w:sz w:val="24"/>
          <w:szCs w:val="24"/>
        </w:rPr>
        <w:t xml:space="preserve"> </w:t>
      </w:r>
      <w:r w:rsidR="00C96A7B" w:rsidRPr="00677DE4">
        <w:rPr>
          <w:sz w:val="24"/>
          <w:szCs w:val="24"/>
        </w:rPr>
        <w:t xml:space="preserve">wells </w:t>
      </w:r>
      <w:r w:rsidRPr="00677DE4">
        <w:rPr>
          <w:sz w:val="24"/>
          <w:szCs w:val="24"/>
        </w:rPr>
        <w:t xml:space="preserve">showed stabilization </w:t>
      </w:r>
      <w:r w:rsidR="009379FC" w:rsidRPr="00677DE4">
        <w:rPr>
          <w:sz w:val="24"/>
          <w:szCs w:val="24"/>
        </w:rPr>
        <w:t xml:space="preserve">and reduction </w:t>
      </w:r>
      <w:r w:rsidRPr="00677DE4">
        <w:rPr>
          <w:sz w:val="24"/>
          <w:szCs w:val="24"/>
        </w:rPr>
        <w:t>in tritium levels</w:t>
      </w:r>
      <w:r w:rsidR="002334E3" w:rsidRPr="00677DE4">
        <w:rPr>
          <w:sz w:val="24"/>
          <w:szCs w:val="24"/>
        </w:rPr>
        <w:t xml:space="preserve">; </w:t>
      </w:r>
      <w:r w:rsidR="0020047A" w:rsidRPr="00677DE4">
        <w:rPr>
          <w:sz w:val="24"/>
          <w:szCs w:val="24"/>
        </w:rPr>
        <w:t xml:space="preserve">no </w:t>
      </w:r>
      <w:r w:rsidRPr="00677DE4">
        <w:rPr>
          <w:sz w:val="24"/>
          <w:szCs w:val="24"/>
        </w:rPr>
        <w:t xml:space="preserve">detectable tritium was measured in </w:t>
      </w:r>
      <w:r w:rsidR="00C96A7B" w:rsidRPr="00677DE4">
        <w:rPr>
          <w:sz w:val="24"/>
          <w:szCs w:val="24"/>
        </w:rPr>
        <w:t xml:space="preserve">surface water </w:t>
      </w:r>
      <w:r w:rsidRPr="00677DE4">
        <w:rPr>
          <w:sz w:val="24"/>
          <w:szCs w:val="24"/>
        </w:rPr>
        <w:t>samples.</w:t>
      </w:r>
    </w:p>
    <w:p w:rsidR="00284BC8" w:rsidRPr="00677DE4" w:rsidRDefault="00284BC8" w:rsidP="0020047A">
      <w:pPr>
        <w:pStyle w:val="ListParagraph"/>
        <w:spacing w:after="0" w:line="240" w:lineRule="auto"/>
        <w:ind w:left="0"/>
        <w:jc w:val="both"/>
        <w:rPr>
          <w:sz w:val="12"/>
          <w:szCs w:val="24"/>
        </w:rPr>
      </w:pPr>
      <w:r w:rsidRPr="00677DE4">
        <w:rPr>
          <w:sz w:val="24"/>
          <w:szCs w:val="24"/>
        </w:rPr>
        <w:t xml:space="preserve"> </w:t>
      </w:r>
    </w:p>
    <w:p w:rsidR="008F10CD" w:rsidRPr="00677DE4" w:rsidRDefault="00391D0E" w:rsidP="008F10CD">
      <w:pPr>
        <w:pStyle w:val="ListParagraph"/>
        <w:numPr>
          <w:ilvl w:val="0"/>
          <w:numId w:val="1"/>
        </w:numPr>
        <w:spacing w:after="0" w:line="240" w:lineRule="auto"/>
        <w:jc w:val="both"/>
        <w:rPr>
          <w:sz w:val="24"/>
          <w:szCs w:val="24"/>
        </w:rPr>
      </w:pPr>
      <w:r w:rsidRPr="00677DE4">
        <w:rPr>
          <w:sz w:val="24"/>
          <w:szCs w:val="24"/>
        </w:rPr>
        <w:t xml:space="preserve">Sampling frequency for </w:t>
      </w:r>
      <w:r w:rsidR="00B51C5A" w:rsidRPr="00677DE4">
        <w:rPr>
          <w:sz w:val="24"/>
          <w:szCs w:val="24"/>
        </w:rPr>
        <w:t>MW-219</w:t>
      </w:r>
      <w:r w:rsidRPr="00677DE4">
        <w:rPr>
          <w:sz w:val="24"/>
          <w:szCs w:val="24"/>
        </w:rPr>
        <w:t xml:space="preserve"> was increased from quarterly to every third week following a rise in tritium levels</w:t>
      </w:r>
      <w:r w:rsidR="00557293" w:rsidRPr="00677DE4">
        <w:rPr>
          <w:sz w:val="24"/>
          <w:szCs w:val="24"/>
        </w:rPr>
        <w:t xml:space="preserve"> </w:t>
      </w:r>
      <w:r w:rsidR="008F10CD" w:rsidRPr="00677DE4">
        <w:rPr>
          <w:sz w:val="24"/>
          <w:szCs w:val="24"/>
        </w:rPr>
        <w:t xml:space="preserve">identified </w:t>
      </w:r>
      <w:r w:rsidR="00557293" w:rsidRPr="00677DE4">
        <w:rPr>
          <w:sz w:val="24"/>
          <w:szCs w:val="24"/>
        </w:rPr>
        <w:t xml:space="preserve">in August. Results </w:t>
      </w:r>
      <w:r w:rsidR="009469F8" w:rsidRPr="00677DE4">
        <w:rPr>
          <w:sz w:val="24"/>
          <w:szCs w:val="24"/>
        </w:rPr>
        <w:t xml:space="preserve">remained </w:t>
      </w:r>
      <w:r w:rsidR="00557293" w:rsidRPr="00677DE4">
        <w:rPr>
          <w:sz w:val="24"/>
          <w:szCs w:val="24"/>
        </w:rPr>
        <w:t xml:space="preserve">elevated between 1,750 and 6,030 </w:t>
      </w:r>
      <w:proofErr w:type="spellStart"/>
      <w:r w:rsidR="00557293" w:rsidRPr="00677DE4">
        <w:rPr>
          <w:sz w:val="24"/>
          <w:szCs w:val="24"/>
        </w:rPr>
        <w:t>pCi</w:t>
      </w:r>
      <w:proofErr w:type="spellEnd"/>
      <w:r w:rsidR="00557293" w:rsidRPr="00677DE4">
        <w:rPr>
          <w:sz w:val="24"/>
          <w:szCs w:val="24"/>
        </w:rPr>
        <w:t>/L</w:t>
      </w:r>
      <w:r w:rsidR="009469F8" w:rsidRPr="00677DE4">
        <w:rPr>
          <w:sz w:val="24"/>
          <w:szCs w:val="24"/>
        </w:rPr>
        <w:t xml:space="preserve"> </w:t>
      </w:r>
      <w:r w:rsidRPr="00677DE4">
        <w:rPr>
          <w:sz w:val="24"/>
          <w:szCs w:val="24"/>
        </w:rPr>
        <w:t>through</w:t>
      </w:r>
      <w:r w:rsidR="009469F8" w:rsidRPr="00677DE4">
        <w:rPr>
          <w:sz w:val="24"/>
          <w:szCs w:val="24"/>
        </w:rPr>
        <w:t xml:space="preserve"> the end of </w:t>
      </w:r>
      <w:r w:rsidRPr="00677DE4">
        <w:rPr>
          <w:sz w:val="24"/>
          <w:szCs w:val="24"/>
        </w:rPr>
        <w:t xml:space="preserve">December </w:t>
      </w:r>
      <w:r w:rsidR="009469F8" w:rsidRPr="00677DE4">
        <w:rPr>
          <w:sz w:val="24"/>
          <w:szCs w:val="24"/>
        </w:rPr>
        <w:t xml:space="preserve">2017. </w:t>
      </w:r>
      <w:r w:rsidR="0088540E" w:rsidRPr="00677DE4">
        <w:rPr>
          <w:sz w:val="24"/>
          <w:szCs w:val="24"/>
        </w:rPr>
        <w:t xml:space="preserve"> Increased surveillance will continue </w:t>
      </w:r>
      <w:r w:rsidR="008F10CD" w:rsidRPr="00677DE4">
        <w:rPr>
          <w:sz w:val="24"/>
          <w:szCs w:val="24"/>
        </w:rPr>
        <w:t xml:space="preserve">at </w:t>
      </w:r>
      <w:r w:rsidR="00B51C5A" w:rsidRPr="00677DE4">
        <w:rPr>
          <w:sz w:val="24"/>
          <w:szCs w:val="24"/>
        </w:rPr>
        <w:t>MW-219</w:t>
      </w:r>
      <w:r w:rsidR="008F10CD" w:rsidRPr="00677DE4">
        <w:rPr>
          <w:sz w:val="24"/>
          <w:szCs w:val="24"/>
        </w:rPr>
        <w:t>.</w:t>
      </w:r>
    </w:p>
    <w:p w:rsidR="008F10CD" w:rsidRPr="007A2474" w:rsidRDefault="008F10CD" w:rsidP="007A2474">
      <w:pPr>
        <w:pStyle w:val="ListParagraph"/>
        <w:rPr>
          <w:sz w:val="12"/>
          <w:szCs w:val="12"/>
        </w:rPr>
      </w:pPr>
    </w:p>
    <w:p w:rsidR="00284BC8" w:rsidRPr="008F10CD" w:rsidRDefault="00284BC8" w:rsidP="00284BC8">
      <w:pPr>
        <w:pStyle w:val="ListParagraph"/>
        <w:numPr>
          <w:ilvl w:val="0"/>
          <w:numId w:val="1"/>
        </w:numPr>
        <w:spacing w:after="0" w:line="240" w:lineRule="auto"/>
        <w:jc w:val="both"/>
        <w:rPr>
          <w:sz w:val="24"/>
          <w:szCs w:val="24"/>
        </w:rPr>
      </w:pPr>
      <w:r w:rsidRPr="00C47208">
        <w:rPr>
          <w:sz w:val="24"/>
          <w:szCs w:val="24"/>
        </w:rPr>
        <w:t xml:space="preserve">On-site efforts by Entergy have focused on identifying sources of tritium and monitoring for new sources, with emphasis on surveillance for leaks in the Condenser Bay area. </w:t>
      </w:r>
    </w:p>
    <w:p w:rsidR="0020047A" w:rsidRPr="0020047A" w:rsidRDefault="0020047A" w:rsidP="0020047A">
      <w:pPr>
        <w:pStyle w:val="ListParagraph"/>
        <w:rPr>
          <w:b/>
          <w:bCs/>
          <w:sz w:val="12"/>
        </w:rPr>
      </w:pPr>
    </w:p>
    <w:p w:rsidR="00284BC8" w:rsidRPr="00C47208" w:rsidRDefault="00284BC8" w:rsidP="00284BC8">
      <w:pPr>
        <w:pStyle w:val="ListParagraph"/>
        <w:numPr>
          <w:ilvl w:val="0"/>
          <w:numId w:val="1"/>
        </w:numPr>
        <w:spacing w:after="0" w:line="240" w:lineRule="auto"/>
        <w:jc w:val="both"/>
        <w:rPr>
          <w:b/>
          <w:bCs/>
        </w:rPr>
      </w:pPr>
      <w:r w:rsidRPr="00C47208">
        <w:rPr>
          <w:sz w:val="24"/>
          <w:szCs w:val="24"/>
        </w:rPr>
        <w:t>Staff from the MDPH Bureau of Environmental Health continue</w:t>
      </w:r>
      <w:r w:rsidR="00C07F8F">
        <w:rPr>
          <w:sz w:val="24"/>
          <w:szCs w:val="24"/>
        </w:rPr>
        <w:t>s</w:t>
      </w:r>
      <w:r w:rsidRPr="00C47208">
        <w:rPr>
          <w:sz w:val="24"/>
          <w:szCs w:val="24"/>
        </w:rPr>
        <w:t xml:space="preserve"> to review new information from the monitoring efforts and to maintain regular contact with the Massachusetts Emergency Management Agency (MEMA), the Nuclear Regulatory Committee (NRC), and Entergy.</w:t>
      </w:r>
    </w:p>
    <w:p w:rsidR="00284BC8" w:rsidRPr="00C47208" w:rsidRDefault="00284BC8" w:rsidP="00284BC8">
      <w:pPr>
        <w:jc w:val="both"/>
        <w:rPr>
          <w:rStyle w:val="Strong"/>
          <w:rFonts w:ascii="Calibri" w:hAnsi="Calibri"/>
        </w:rPr>
      </w:pPr>
    </w:p>
    <w:p w:rsidR="00284BC8" w:rsidRPr="002334E3" w:rsidRDefault="00284BC8" w:rsidP="00284BC8">
      <w:pPr>
        <w:jc w:val="both"/>
        <w:rPr>
          <w:rFonts w:ascii="Calibri" w:hAnsi="Calibri"/>
          <w:sz w:val="22"/>
          <w:szCs w:val="24"/>
        </w:rPr>
      </w:pPr>
    </w:p>
    <w:p w:rsidR="00284BC8" w:rsidRPr="00C47208" w:rsidRDefault="00284BC8" w:rsidP="00284BC8">
      <w:pPr>
        <w:keepNext/>
        <w:rPr>
          <w:rStyle w:val="Strong"/>
          <w:rFonts w:ascii="Calibri" w:hAnsi="Calibri"/>
          <w:caps/>
          <w:sz w:val="28"/>
          <w:szCs w:val="28"/>
        </w:rPr>
      </w:pPr>
      <w:r w:rsidRPr="00C47208">
        <w:rPr>
          <w:rStyle w:val="Strong"/>
          <w:rFonts w:ascii="Calibri" w:hAnsi="Calibri"/>
          <w:caps/>
          <w:sz w:val="28"/>
          <w:szCs w:val="28"/>
        </w:rPr>
        <w:t>Results</w:t>
      </w:r>
    </w:p>
    <w:p w:rsidR="00284BC8" w:rsidRPr="002334E3" w:rsidRDefault="00284BC8" w:rsidP="00284BC8">
      <w:pPr>
        <w:keepNext/>
        <w:rPr>
          <w:rStyle w:val="Strong"/>
          <w:rFonts w:ascii="Calibri" w:hAnsi="Calibri"/>
          <w:caps/>
          <w:sz w:val="20"/>
          <w:szCs w:val="24"/>
        </w:rPr>
      </w:pPr>
    </w:p>
    <w:p w:rsidR="0001602D" w:rsidRDefault="00284BC8" w:rsidP="00284BC8">
      <w:pPr>
        <w:jc w:val="both"/>
        <w:rPr>
          <w:rFonts w:ascii="Calibri" w:hAnsi="Calibri"/>
          <w:szCs w:val="24"/>
        </w:rPr>
      </w:pPr>
      <w:r w:rsidRPr="00677DE4">
        <w:rPr>
          <w:rFonts w:ascii="Calibri" w:hAnsi="Calibri"/>
          <w:szCs w:val="24"/>
        </w:rPr>
        <w:t>Of the 23 on-site groundwater wells that are routinely monitored</w:t>
      </w:r>
      <w:r w:rsidRPr="00677DE4">
        <w:rPr>
          <w:rStyle w:val="FootnoteReference"/>
          <w:rFonts w:ascii="Calibri" w:hAnsi="Calibri"/>
          <w:szCs w:val="24"/>
        </w:rPr>
        <w:footnoteReference w:id="2"/>
      </w:r>
      <w:r w:rsidRPr="00677DE4">
        <w:rPr>
          <w:rFonts w:ascii="Calibri" w:hAnsi="Calibri"/>
          <w:szCs w:val="24"/>
        </w:rPr>
        <w:t xml:space="preserve">, </w:t>
      </w:r>
      <w:r w:rsidR="00CA72EB" w:rsidRPr="00677DE4">
        <w:rPr>
          <w:rFonts w:ascii="Calibri" w:hAnsi="Calibri"/>
          <w:szCs w:val="24"/>
        </w:rPr>
        <w:t xml:space="preserve">two </w:t>
      </w:r>
      <w:r w:rsidR="0020047A" w:rsidRPr="00677DE4">
        <w:rPr>
          <w:rFonts w:ascii="Calibri" w:hAnsi="Calibri"/>
          <w:szCs w:val="24"/>
        </w:rPr>
        <w:t>(</w:t>
      </w:r>
      <w:r w:rsidR="00CF1327" w:rsidRPr="00677DE4">
        <w:rPr>
          <w:rFonts w:ascii="Calibri" w:hAnsi="Calibri"/>
          <w:szCs w:val="24"/>
        </w:rPr>
        <w:t>MW-216 and MW 219</w:t>
      </w:r>
      <w:r w:rsidR="0020047A" w:rsidRPr="00677DE4">
        <w:rPr>
          <w:rFonts w:ascii="Calibri" w:hAnsi="Calibri"/>
          <w:szCs w:val="24"/>
        </w:rPr>
        <w:t>)</w:t>
      </w:r>
      <w:r w:rsidR="00CA72EB" w:rsidRPr="00677DE4">
        <w:rPr>
          <w:rFonts w:ascii="Calibri" w:hAnsi="Calibri"/>
          <w:szCs w:val="24"/>
        </w:rPr>
        <w:t xml:space="preserve"> </w:t>
      </w:r>
      <w:r w:rsidRPr="00677DE4">
        <w:rPr>
          <w:rFonts w:ascii="Calibri" w:hAnsi="Calibri"/>
          <w:szCs w:val="24"/>
        </w:rPr>
        <w:t xml:space="preserve">had levels of tritium detected above 3,000 </w:t>
      </w:r>
      <w:proofErr w:type="spellStart"/>
      <w:r w:rsidRPr="00677DE4">
        <w:rPr>
          <w:rFonts w:ascii="Calibri" w:hAnsi="Calibri"/>
          <w:szCs w:val="24"/>
        </w:rPr>
        <w:t>pCi</w:t>
      </w:r>
      <w:proofErr w:type="spellEnd"/>
      <w:r w:rsidRPr="00677DE4">
        <w:rPr>
          <w:rFonts w:ascii="Calibri" w:hAnsi="Calibri"/>
          <w:szCs w:val="24"/>
        </w:rPr>
        <w:t xml:space="preserve">/L during </w:t>
      </w:r>
      <w:r w:rsidR="00CF1327" w:rsidRPr="00677DE4">
        <w:rPr>
          <w:rFonts w:ascii="Calibri" w:hAnsi="Calibri"/>
          <w:szCs w:val="24"/>
        </w:rPr>
        <w:t>2017</w:t>
      </w:r>
      <w:r w:rsidRPr="00677DE4">
        <w:rPr>
          <w:rFonts w:ascii="Calibri" w:hAnsi="Calibri"/>
          <w:szCs w:val="24"/>
        </w:rPr>
        <w:t xml:space="preserve">. All results were well below the EPA drinking water standard of 20,000 pCi/L. Figure 1 shows sampling results in </w:t>
      </w:r>
      <w:r w:rsidR="00CA72EB" w:rsidRPr="00677DE4">
        <w:rPr>
          <w:rFonts w:ascii="Calibri" w:hAnsi="Calibri"/>
          <w:szCs w:val="24"/>
        </w:rPr>
        <w:t>2017</w:t>
      </w:r>
      <w:r w:rsidR="00BD4D9C" w:rsidRPr="00677DE4">
        <w:rPr>
          <w:rFonts w:ascii="Calibri" w:hAnsi="Calibri"/>
          <w:szCs w:val="24"/>
        </w:rPr>
        <w:t xml:space="preserve"> </w:t>
      </w:r>
      <w:r w:rsidRPr="00677DE4">
        <w:rPr>
          <w:rFonts w:ascii="Calibri" w:hAnsi="Calibri"/>
          <w:szCs w:val="24"/>
        </w:rPr>
        <w:t xml:space="preserve">for </w:t>
      </w:r>
      <w:r w:rsidR="00BD4D9C" w:rsidRPr="00677DE4">
        <w:rPr>
          <w:rFonts w:ascii="Calibri" w:hAnsi="Calibri"/>
          <w:szCs w:val="24"/>
        </w:rPr>
        <w:t xml:space="preserve">the </w:t>
      </w:r>
      <w:r w:rsidR="00B609F9" w:rsidRPr="00677DE4">
        <w:rPr>
          <w:rFonts w:ascii="Calibri" w:hAnsi="Calibri"/>
          <w:szCs w:val="24"/>
        </w:rPr>
        <w:t xml:space="preserve">three </w:t>
      </w:r>
      <w:r w:rsidRPr="00677DE4">
        <w:rPr>
          <w:rFonts w:ascii="Calibri" w:hAnsi="Calibri"/>
          <w:szCs w:val="24"/>
        </w:rPr>
        <w:t xml:space="preserve">wells </w:t>
      </w:r>
      <w:r w:rsidR="00BD4D9C" w:rsidRPr="00677DE4">
        <w:rPr>
          <w:rFonts w:ascii="Calibri" w:hAnsi="Calibri"/>
          <w:szCs w:val="24"/>
        </w:rPr>
        <w:t xml:space="preserve">(MW-216, </w:t>
      </w:r>
      <w:r w:rsidR="00B609F9" w:rsidRPr="00677DE4">
        <w:rPr>
          <w:rFonts w:ascii="Calibri" w:hAnsi="Calibri"/>
          <w:szCs w:val="24"/>
        </w:rPr>
        <w:t xml:space="preserve">MW-218, </w:t>
      </w:r>
      <w:r w:rsidR="00BD4D9C" w:rsidRPr="00677DE4">
        <w:rPr>
          <w:rFonts w:ascii="Calibri" w:hAnsi="Calibri"/>
          <w:szCs w:val="24"/>
        </w:rPr>
        <w:t>MW-21</w:t>
      </w:r>
      <w:r w:rsidR="00CF1327" w:rsidRPr="00677DE4">
        <w:rPr>
          <w:rFonts w:ascii="Calibri" w:hAnsi="Calibri"/>
          <w:szCs w:val="24"/>
        </w:rPr>
        <w:t>9</w:t>
      </w:r>
      <w:r w:rsidR="00BD4D9C" w:rsidRPr="00677DE4">
        <w:rPr>
          <w:rFonts w:ascii="Calibri" w:hAnsi="Calibri"/>
          <w:szCs w:val="24"/>
        </w:rPr>
        <w:t xml:space="preserve">) </w:t>
      </w:r>
      <w:r w:rsidRPr="00677DE4">
        <w:rPr>
          <w:rFonts w:ascii="Calibri" w:hAnsi="Calibri"/>
          <w:szCs w:val="24"/>
        </w:rPr>
        <w:t>where tritium levels reached 2,000 pCi/L (1/10</w:t>
      </w:r>
      <w:r w:rsidRPr="00677DE4">
        <w:rPr>
          <w:rFonts w:ascii="Calibri" w:hAnsi="Calibri"/>
          <w:szCs w:val="24"/>
          <w:vertAlign w:val="superscript"/>
        </w:rPr>
        <w:t>th</w:t>
      </w:r>
      <w:r w:rsidRPr="00677DE4">
        <w:rPr>
          <w:rFonts w:ascii="Calibri" w:hAnsi="Calibri"/>
          <w:szCs w:val="24"/>
        </w:rPr>
        <w:t xml:space="preserve"> of the EPA drinking water standard), and historic results </w:t>
      </w:r>
      <w:r w:rsidR="00BD4D9C" w:rsidRPr="00677DE4">
        <w:rPr>
          <w:rFonts w:ascii="Calibri" w:hAnsi="Calibri"/>
          <w:szCs w:val="24"/>
        </w:rPr>
        <w:t xml:space="preserve">for </w:t>
      </w:r>
      <w:r w:rsidR="00CF1327" w:rsidRPr="00677DE4">
        <w:rPr>
          <w:rFonts w:ascii="Calibri" w:hAnsi="Calibri"/>
          <w:szCs w:val="24"/>
        </w:rPr>
        <w:t>the</w:t>
      </w:r>
      <w:r w:rsidR="00D738B5" w:rsidRPr="00677DE4">
        <w:rPr>
          <w:rFonts w:ascii="Calibri" w:hAnsi="Calibri"/>
          <w:szCs w:val="24"/>
        </w:rPr>
        <w:t>se</w:t>
      </w:r>
      <w:r w:rsidR="00CF1327" w:rsidRPr="00677DE4">
        <w:rPr>
          <w:rFonts w:ascii="Calibri" w:hAnsi="Calibri"/>
          <w:szCs w:val="24"/>
        </w:rPr>
        <w:t xml:space="preserve"> three wells of interest</w:t>
      </w:r>
      <w:r w:rsidRPr="00677DE4">
        <w:rPr>
          <w:rFonts w:ascii="Calibri" w:hAnsi="Calibri"/>
          <w:szCs w:val="24"/>
        </w:rPr>
        <w:t>.</w:t>
      </w:r>
      <w:r w:rsidRPr="00C47208">
        <w:rPr>
          <w:rFonts w:ascii="Calibri" w:hAnsi="Calibri"/>
          <w:szCs w:val="24"/>
        </w:rPr>
        <w:t xml:space="preserve"> </w:t>
      </w:r>
    </w:p>
    <w:p w:rsidR="0001602D" w:rsidRDefault="0001602D" w:rsidP="00284BC8">
      <w:pPr>
        <w:jc w:val="both"/>
        <w:rPr>
          <w:rFonts w:ascii="Calibri" w:hAnsi="Calibri"/>
          <w:szCs w:val="24"/>
        </w:rPr>
      </w:pPr>
    </w:p>
    <w:p w:rsidR="00284BC8" w:rsidRDefault="00284BC8" w:rsidP="00284BC8">
      <w:pPr>
        <w:jc w:val="both"/>
        <w:rPr>
          <w:rFonts w:ascii="Calibri" w:hAnsi="Calibri"/>
          <w:szCs w:val="24"/>
        </w:rPr>
      </w:pPr>
      <w:r w:rsidRPr="00677DE4">
        <w:rPr>
          <w:rFonts w:ascii="Calibri" w:hAnsi="Calibri"/>
          <w:szCs w:val="24"/>
        </w:rPr>
        <w:t xml:space="preserve">Two additional wells, MW-215 and MW-206, are sampled </w:t>
      </w:r>
      <w:r w:rsidR="00BD4D9C" w:rsidRPr="00677DE4">
        <w:rPr>
          <w:rFonts w:ascii="Calibri" w:hAnsi="Calibri"/>
          <w:szCs w:val="24"/>
        </w:rPr>
        <w:t xml:space="preserve">every third week </w:t>
      </w:r>
      <w:r w:rsidRPr="00677DE4">
        <w:rPr>
          <w:rFonts w:ascii="Calibri" w:hAnsi="Calibri"/>
          <w:szCs w:val="24"/>
        </w:rPr>
        <w:t xml:space="preserve">due to their location in preferential pathways </w:t>
      </w:r>
      <w:r w:rsidR="00C3250A" w:rsidRPr="00677DE4">
        <w:rPr>
          <w:rFonts w:ascii="Calibri" w:hAnsi="Calibri"/>
          <w:szCs w:val="24"/>
        </w:rPr>
        <w:t xml:space="preserve">of water </w:t>
      </w:r>
      <w:r w:rsidRPr="00677DE4">
        <w:rPr>
          <w:rFonts w:ascii="Calibri" w:hAnsi="Calibri"/>
          <w:szCs w:val="24"/>
        </w:rPr>
        <w:t xml:space="preserve">from seismic gaps; </w:t>
      </w:r>
      <w:r w:rsidR="00472DC5" w:rsidRPr="00677DE4">
        <w:rPr>
          <w:rFonts w:ascii="Calibri" w:hAnsi="Calibri"/>
          <w:szCs w:val="24"/>
        </w:rPr>
        <w:t>both</w:t>
      </w:r>
      <w:r w:rsidR="0001602D" w:rsidRPr="00677DE4">
        <w:rPr>
          <w:rFonts w:ascii="Calibri" w:hAnsi="Calibri"/>
          <w:szCs w:val="24"/>
        </w:rPr>
        <w:t xml:space="preserve"> have low tritium levels </w:t>
      </w:r>
      <w:r w:rsidRPr="00677DE4">
        <w:rPr>
          <w:rFonts w:ascii="Calibri" w:hAnsi="Calibri"/>
          <w:szCs w:val="24"/>
        </w:rPr>
        <w:t xml:space="preserve">ranging from non-detectable to </w:t>
      </w:r>
      <w:r w:rsidR="00472DC5" w:rsidRPr="00677DE4">
        <w:rPr>
          <w:rFonts w:ascii="Calibri" w:hAnsi="Calibri"/>
          <w:szCs w:val="24"/>
        </w:rPr>
        <w:t xml:space="preserve">1,410 </w:t>
      </w:r>
      <w:proofErr w:type="spellStart"/>
      <w:r w:rsidR="0001602D" w:rsidRPr="00677DE4">
        <w:rPr>
          <w:rFonts w:ascii="Calibri" w:hAnsi="Calibri"/>
          <w:szCs w:val="24"/>
        </w:rPr>
        <w:t>pCi</w:t>
      </w:r>
      <w:proofErr w:type="spellEnd"/>
      <w:r w:rsidR="0001602D" w:rsidRPr="00677DE4">
        <w:rPr>
          <w:rFonts w:ascii="Calibri" w:hAnsi="Calibri"/>
          <w:szCs w:val="24"/>
        </w:rPr>
        <w:t>/L</w:t>
      </w:r>
      <w:r w:rsidRPr="00677DE4">
        <w:rPr>
          <w:rFonts w:ascii="Calibri" w:hAnsi="Calibri"/>
          <w:szCs w:val="24"/>
        </w:rPr>
        <w:t>.</w:t>
      </w:r>
      <w:r w:rsidR="00D15AF0" w:rsidRPr="00677DE4">
        <w:rPr>
          <w:rFonts w:ascii="Calibri" w:hAnsi="Calibri"/>
          <w:szCs w:val="24"/>
        </w:rPr>
        <w:t xml:space="preserve"> </w:t>
      </w:r>
      <w:r w:rsidR="0020047A" w:rsidRPr="00677DE4">
        <w:rPr>
          <w:rFonts w:ascii="Calibri" w:hAnsi="Calibri"/>
          <w:szCs w:val="24"/>
        </w:rPr>
        <w:t xml:space="preserve">Results for the </w:t>
      </w:r>
      <w:r w:rsidR="00472DC5" w:rsidRPr="00677DE4">
        <w:rPr>
          <w:rFonts w:ascii="Calibri" w:hAnsi="Calibri"/>
          <w:szCs w:val="24"/>
        </w:rPr>
        <w:t xml:space="preserve">17 </w:t>
      </w:r>
      <w:r w:rsidR="0001602D" w:rsidRPr="00677DE4">
        <w:rPr>
          <w:rFonts w:ascii="Calibri" w:hAnsi="Calibri"/>
          <w:szCs w:val="24"/>
        </w:rPr>
        <w:t xml:space="preserve">quarterly sampled wells ranged from </w:t>
      </w:r>
      <w:r w:rsidRPr="00677DE4">
        <w:rPr>
          <w:rFonts w:ascii="Calibri" w:hAnsi="Calibri"/>
          <w:szCs w:val="24"/>
        </w:rPr>
        <w:t xml:space="preserve">no detection to </w:t>
      </w:r>
      <w:r w:rsidR="000011D1" w:rsidRPr="00677DE4">
        <w:rPr>
          <w:rFonts w:ascii="Calibri" w:hAnsi="Calibri"/>
          <w:szCs w:val="24"/>
        </w:rPr>
        <w:t>1,780</w:t>
      </w:r>
      <w:r w:rsidRPr="00677DE4">
        <w:rPr>
          <w:rFonts w:ascii="Calibri" w:hAnsi="Calibri"/>
          <w:szCs w:val="24"/>
        </w:rPr>
        <w:t xml:space="preserve"> </w:t>
      </w:r>
      <w:proofErr w:type="spellStart"/>
      <w:r w:rsidRPr="00677DE4">
        <w:rPr>
          <w:rFonts w:ascii="Calibri" w:hAnsi="Calibri"/>
          <w:szCs w:val="24"/>
        </w:rPr>
        <w:t>pCi</w:t>
      </w:r>
      <w:proofErr w:type="spellEnd"/>
      <w:r w:rsidRPr="00677DE4">
        <w:rPr>
          <w:rFonts w:ascii="Calibri" w:hAnsi="Calibri"/>
          <w:szCs w:val="24"/>
        </w:rPr>
        <w:t>/L. No tritium was detected in surface water samples collecte</w:t>
      </w:r>
      <w:r w:rsidR="00BD4D9C" w:rsidRPr="00677DE4">
        <w:rPr>
          <w:rFonts w:ascii="Calibri" w:hAnsi="Calibri"/>
          <w:szCs w:val="24"/>
        </w:rPr>
        <w:t xml:space="preserve">d during the </w:t>
      </w:r>
      <w:r w:rsidR="00CF1327" w:rsidRPr="00677DE4">
        <w:rPr>
          <w:rFonts w:ascii="Calibri" w:hAnsi="Calibri"/>
          <w:szCs w:val="24"/>
        </w:rPr>
        <w:t xml:space="preserve">second </w:t>
      </w:r>
      <w:r w:rsidR="00BD4D9C" w:rsidRPr="00677DE4">
        <w:rPr>
          <w:rFonts w:ascii="Calibri" w:hAnsi="Calibri"/>
          <w:szCs w:val="24"/>
        </w:rPr>
        <w:t>half of 2017</w:t>
      </w:r>
      <w:r w:rsidRPr="00677DE4">
        <w:rPr>
          <w:rFonts w:ascii="Calibri" w:hAnsi="Calibri"/>
          <w:szCs w:val="24"/>
        </w:rPr>
        <w:t>.</w:t>
      </w:r>
      <w:r w:rsidRPr="00C47208">
        <w:rPr>
          <w:rFonts w:ascii="Calibri" w:hAnsi="Calibri"/>
          <w:szCs w:val="24"/>
        </w:rPr>
        <w:t xml:space="preserve"> </w:t>
      </w:r>
    </w:p>
    <w:p w:rsidR="00284BC8" w:rsidRPr="00C47208" w:rsidRDefault="00284BC8" w:rsidP="00284BC8">
      <w:pPr>
        <w:rPr>
          <w:rStyle w:val="Emphasis"/>
          <w:rFonts w:ascii="Calibri" w:hAnsi="Calibri"/>
          <w:b/>
          <w:i w:val="0"/>
          <w:caps/>
          <w:sz w:val="28"/>
          <w:szCs w:val="28"/>
        </w:rPr>
      </w:pPr>
      <w:r w:rsidRPr="00C47208">
        <w:rPr>
          <w:rStyle w:val="Emphasis"/>
          <w:rFonts w:ascii="Calibri" w:hAnsi="Calibri"/>
          <w:b/>
          <w:i w:val="0"/>
          <w:caps/>
          <w:sz w:val="28"/>
          <w:szCs w:val="28"/>
        </w:rPr>
        <w:lastRenderedPageBreak/>
        <w:t>Discussion</w:t>
      </w:r>
    </w:p>
    <w:p w:rsidR="00284BC8" w:rsidRPr="00C47208" w:rsidRDefault="00284BC8" w:rsidP="00284BC8">
      <w:pPr>
        <w:rPr>
          <w:rStyle w:val="Emphasis"/>
          <w:rFonts w:ascii="Calibri" w:hAnsi="Calibri"/>
          <w:b/>
          <w:i w:val="0"/>
          <w:caps/>
          <w:szCs w:val="24"/>
        </w:rPr>
      </w:pPr>
    </w:p>
    <w:p w:rsidR="00B609F9" w:rsidRDefault="00284BC8" w:rsidP="00B609F9">
      <w:pPr>
        <w:jc w:val="both"/>
        <w:rPr>
          <w:rFonts w:ascii="Calibri" w:hAnsi="Calibri"/>
          <w:szCs w:val="24"/>
        </w:rPr>
      </w:pPr>
      <w:r w:rsidRPr="00677DE4">
        <w:rPr>
          <w:rFonts w:ascii="Calibri" w:hAnsi="Calibri"/>
          <w:szCs w:val="24"/>
        </w:rPr>
        <w:t xml:space="preserve">Monitoring results for </w:t>
      </w:r>
      <w:r w:rsidR="00BD4D9C" w:rsidRPr="00677DE4">
        <w:rPr>
          <w:rFonts w:ascii="Calibri" w:hAnsi="Calibri"/>
          <w:szCs w:val="24"/>
        </w:rPr>
        <w:t>2017</w:t>
      </w:r>
      <w:r w:rsidRPr="00677DE4">
        <w:rPr>
          <w:rFonts w:ascii="Calibri" w:hAnsi="Calibri"/>
          <w:szCs w:val="24"/>
        </w:rPr>
        <w:t xml:space="preserve"> showed stabilization in groundwater tritium levels </w:t>
      </w:r>
      <w:r w:rsidR="00BD4D9C" w:rsidRPr="00677DE4">
        <w:rPr>
          <w:rFonts w:ascii="Calibri" w:hAnsi="Calibri"/>
          <w:szCs w:val="24"/>
        </w:rPr>
        <w:t xml:space="preserve">at </w:t>
      </w:r>
      <w:r w:rsidR="00472DC5" w:rsidRPr="00677DE4">
        <w:rPr>
          <w:rFonts w:ascii="Calibri" w:hAnsi="Calibri"/>
          <w:szCs w:val="24"/>
        </w:rPr>
        <w:t xml:space="preserve">most </w:t>
      </w:r>
      <w:r w:rsidR="00BD4D9C" w:rsidRPr="00677DE4">
        <w:rPr>
          <w:rFonts w:ascii="Calibri" w:hAnsi="Calibri"/>
          <w:szCs w:val="24"/>
        </w:rPr>
        <w:t>wells.</w:t>
      </w:r>
      <w:r w:rsidRPr="00677DE4">
        <w:rPr>
          <w:rFonts w:ascii="Calibri" w:hAnsi="Calibri"/>
          <w:szCs w:val="24"/>
        </w:rPr>
        <w:t xml:space="preserve"> </w:t>
      </w:r>
      <w:r w:rsidR="00B609F9" w:rsidRPr="00677DE4">
        <w:rPr>
          <w:rFonts w:ascii="Calibri" w:hAnsi="Calibri"/>
          <w:szCs w:val="24"/>
        </w:rPr>
        <w:t>MW-216 has historically shown a pattern of cyclic fluctuations characterized by September-November increases; the second half year results were comparable to previous year trends. MW-218 had a high</w:t>
      </w:r>
      <w:r w:rsidR="00D738B5" w:rsidRPr="00677DE4">
        <w:rPr>
          <w:rFonts w:ascii="Calibri" w:hAnsi="Calibri"/>
          <w:szCs w:val="24"/>
        </w:rPr>
        <w:t>er</w:t>
      </w:r>
      <w:r w:rsidR="00B609F9" w:rsidRPr="00677DE4">
        <w:rPr>
          <w:rFonts w:ascii="Calibri" w:hAnsi="Calibri"/>
          <w:szCs w:val="24"/>
        </w:rPr>
        <w:t xml:space="preserve"> reading in January 2017, and the remainder of the year has been below the screening level </w:t>
      </w:r>
      <w:proofErr w:type="gramStart"/>
      <w:r w:rsidR="00B609F9" w:rsidRPr="00677DE4">
        <w:rPr>
          <w:rFonts w:ascii="Calibri" w:hAnsi="Calibri"/>
          <w:szCs w:val="24"/>
        </w:rPr>
        <w:t xml:space="preserve">of 3,000 </w:t>
      </w:r>
      <w:proofErr w:type="spellStart"/>
      <w:r w:rsidR="00B609F9" w:rsidRPr="00677DE4">
        <w:rPr>
          <w:rFonts w:ascii="Calibri" w:hAnsi="Calibri"/>
          <w:szCs w:val="24"/>
        </w:rPr>
        <w:t>pCi</w:t>
      </w:r>
      <w:proofErr w:type="spellEnd"/>
      <w:r w:rsidR="00B609F9" w:rsidRPr="00677DE4">
        <w:rPr>
          <w:rFonts w:ascii="Calibri" w:hAnsi="Calibri"/>
          <w:szCs w:val="24"/>
        </w:rPr>
        <w:t>/L.</w:t>
      </w:r>
      <w:proofErr w:type="gramEnd"/>
      <w:r w:rsidR="00B609F9">
        <w:rPr>
          <w:rFonts w:ascii="Calibri" w:hAnsi="Calibri"/>
          <w:szCs w:val="24"/>
        </w:rPr>
        <w:t xml:space="preserve"> </w:t>
      </w:r>
    </w:p>
    <w:p w:rsidR="00387859" w:rsidRDefault="00387859" w:rsidP="00284BC8">
      <w:pPr>
        <w:jc w:val="both"/>
        <w:rPr>
          <w:rFonts w:ascii="Calibri" w:hAnsi="Calibri"/>
          <w:szCs w:val="24"/>
        </w:rPr>
      </w:pPr>
    </w:p>
    <w:p w:rsidR="00CA6F9C" w:rsidRPr="00677DE4" w:rsidRDefault="00CA6F9C" w:rsidP="00B36B53">
      <w:pPr>
        <w:pStyle w:val="NoSpacing"/>
        <w:jc w:val="both"/>
        <w:rPr>
          <w:sz w:val="24"/>
          <w:szCs w:val="24"/>
        </w:rPr>
      </w:pPr>
      <w:r w:rsidRPr="00677DE4">
        <w:rPr>
          <w:sz w:val="24"/>
          <w:szCs w:val="24"/>
        </w:rPr>
        <w:t xml:space="preserve">MW-219 had an unexplained increase in August and the sampling frequency was increased to every third week to more closely monitor this well. Entergy reviewed plant records and </w:t>
      </w:r>
      <w:r w:rsidR="00845815" w:rsidRPr="00677DE4">
        <w:rPr>
          <w:sz w:val="24"/>
          <w:szCs w:val="24"/>
        </w:rPr>
        <w:t xml:space="preserve">is </w:t>
      </w:r>
      <w:r w:rsidRPr="00677DE4">
        <w:rPr>
          <w:sz w:val="24"/>
          <w:szCs w:val="24"/>
        </w:rPr>
        <w:t>work</w:t>
      </w:r>
      <w:r w:rsidR="00845815" w:rsidRPr="00677DE4">
        <w:rPr>
          <w:sz w:val="24"/>
          <w:szCs w:val="24"/>
        </w:rPr>
        <w:t>ing</w:t>
      </w:r>
      <w:r w:rsidRPr="00677DE4">
        <w:rPr>
          <w:sz w:val="24"/>
          <w:szCs w:val="24"/>
        </w:rPr>
        <w:t xml:space="preserve"> with their environmental consultant to </w:t>
      </w:r>
      <w:r w:rsidR="00845815" w:rsidRPr="00677DE4">
        <w:rPr>
          <w:sz w:val="24"/>
          <w:szCs w:val="24"/>
        </w:rPr>
        <w:t>identify sources. Possibilities</w:t>
      </w:r>
      <w:r w:rsidR="00B51C5A" w:rsidRPr="00677DE4">
        <w:rPr>
          <w:sz w:val="24"/>
          <w:szCs w:val="24"/>
        </w:rPr>
        <w:t xml:space="preserve"> includ</w:t>
      </w:r>
      <w:r w:rsidR="00845815" w:rsidRPr="00677DE4">
        <w:rPr>
          <w:sz w:val="24"/>
          <w:szCs w:val="24"/>
        </w:rPr>
        <w:t>e</w:t>
      </w:r>
      <w:r w:rsidR="00B51C5A" w:rsidRPr="00677DE4">
        <w:rPr>
          <w:sz w:val="24"/>
          <w:szCs w:val="24"/>
        </w:rPr>
        <w:t xml:space="preserve"> a</w:t>
      </w:r>
      <w:r w:rsidRPr="00677DE4">
        <w:rPr>
          <w:sz w:val="24"/>
          <w:szCs w:val="24"/>
        </w:rPr>
        <w:t xml:space="preserve"> recent change in surface water </w:t>
      </w:r>
      <w:r w:rsidR="00B51C5A" w:rsidRPr="00677DE4">
        <w:rPr>
          <w:sz w:val="24"/>
          <w:szCs w:val="24"/>
        </w:rPr>
        <w:t>flow</w:t>
      </w:r>
      <w:r w:rsidRPr="00677DE4">
        <w:rPr>
          <w:sz w:val="24"/>
          <w:szCs w:val="24"/>
        </w:rPr>
        <w:t xml:space="preserve"> </w:t>
      </w:r>
      <w:r w:rsidR="00B51C5A" w:rsidRPr="00677DE4">
        <w:rPr>
          <w:sz w:val="24"/>
          <w:szCs w:val="24"/>
        </w:rPr>
        <w:t>to</w:t>
      </w:r>
      <w:r w:rsidRPr="00677DE4">
        <w:rPr>
          <w:sz w:val="24"/>
          <w:szCs w:val="24"/>
        </w:rPr>
        <w:t xml:space="preserve"> </w:t>
      </w:r>
      <w:r w:rsidR="00B51C5A" w:rsidRPr="00677DE4">
        <w:rPr>
          <w:sz w:val="24"/>
          <w:szCs w:val="24"/>
        </w:rPr>
        <w:t>C</w:t>
      </w:r>
      <w:r w:rsidRPr="00677DE4">
        <w:rPr>
          <w:sz w:val="24"/>
          <w:szCs w:val="24"/>
        </w:rPr>
        <w:t xml:space="preserve">atch </w:t>
      </w:r>
      <w:r w:rsidR="00B51C5A" w:rsidRPr="00677DE4">
        <w:rPr>
          <w:sz w:val="24"/>
          <w:szCs w:val="24"/>
        </w:rPr>
        <w:t>B</w:t>
      </w:r>
      <w:r w:rsidRPr="00677DE4">
        <w:rPr>
          <w:sz w:val="24"/>
          <w:szCs w:val="24"/>
        </w:rPr>
        <w:t xml:space="preserve">asin 10 </w:t>
      </w:r>
      <w:r w:rsidR="00B51C5A" w:rsidRPr="00677DE4">
        <w:rPr>
          <w:sz w:val="24"/>
          <w:szCs w:val="24"/>
        </w:rPr>
        <w:t>just upstream of MW-219</w:t>
      </w:r>
      <w:r w:rsidR="001101F2" w:rsidRPr="00677DE4">
        <w:rPr>
          <w:sz w:val="24"/>
          <w:szCs w:val="24"/>
        </w:rPr>
        <w:t>,</w:t>
      </w:r>
      <w:r w:rsidR="00B51C5A" w:rsidRPr="00677DE4">
        <w:rPr>
          <w:sz w:val="24"/>
          <w:szCs w:val="24"/>
        </w:rPr>
        <w:t xml:space="preserve"> and migration of tritium </w:t>
      </w:r>
      <w:r w:rsidR="00B609F9" w:rsidRPr="00677DE4">
        <w:rPr>
          <w:sz w:val="24"/>
          <w:szCs w:val="24"/>
        </w:rPr>
        <w:t xml:space="preserve">present in </w:t>
      </w:r>
      <w:r w:rsidR="00B51C5A" w:rsidRPr="00677DE4">
        <w:rPr>
          <w:sz w:val="24"/>
          <w:szCs w:val="24"/>
        </w:rPr>
        <w:t xml:space="preserve">subsurface soil </w:t>
      </w:r>
      <w:r w:rsidR="00D738B5" w:rsidRPr="00677DE4">
        <w:rPr>
          <w:sz w:val="24"/>
          <w:szCs w:val="24"/>
        </w:rPr>
        <w:t>from</w:t>
      </w:r>
      <w:r w:rsidR="00B51C5A" w:rsidRPr="00677DE4">
        <w:rPr>
          <w:sz w:val="24"/>
          <w:szCs w:val="24"/>
        </w:rPr>
        <w:t xml:space="preserve"> </w:t>
      </w:r>
      <w:r w:rsidR="00B609F9" w:rsidRPr="00677DE4">
        <w:rPr>
          <w:sz w:val="24"/>
          <w:szCs w:val="24"/>
        </w:rPr>
        <w:t xml:space="preserve">a </w:t>
      </w:r>
      <w:r w:rsidR="00B51C5A" w:rsidRPr="00677DE4">
        <w:rPr>
          <w:sz w:val="24"/>
          <w:szCs w:val="24"/>
        </w:rPr>
        <w:t xml:space="preserve">discharge line separation </w:t>
      </w:r>
      <w:r w:rsidR="00B609F9" w:rsidRPr="00677DE4">
        <w:rPr>
          <w:sz w:val="24"/>
          <w:szCs w:val="24"/>
        </w:rPr>
        <w:t xml:space="preserve">issue </w:t>
      </w:r>
      <w:r w:rsidR="00845815" w:rsidRPr="00677DE4">
        <w:rPr>
          <w:sz w:val="24"/>
          <w:szCs w:val="24"/>
        </w:rPr>
        <w:t xml:space="preserve">previously </w:t>
      </w:r>
      <w:r w:rsidR="00D738B5" w:rsidRPr="00677DE4">
        <w:rPr>
          <w:sz w:val="24"/>
          <w:szCs w:val="24"/>
        </w:rPr>
        <w:t>identified</w:t>
      </w:r>
      <w:r w:rsidR="00B51C5A" w:rsidRPr="00677DE4">
        <w:rPr>
          <w:sz w:val="24"/>
          <w:szCs w:val="24"/>
        </w:rPr>
        <w:t xml:space="preserve"> in 2013.</w:t>
      </w:r>
      <w:r w:rsidR="00B609F9" w:rsidRPr="00677DE4">
        <w:rPr>
          <w:sz w:val="24"/>
          <w:szCs w:val="24"/>
        </w:rPr>
        <w:t xml:space="preserve"> </w:t>
      </w:r>
      <w:r w:rsidR="001101F2" w:rsidRPr="00677DE4">
        <w:rPr>
          <w:sz w:val="24"/>
          <w:szCs w:val="24"/>
        </w:rPr>
        <w:t>Increased surveillance will continue at MW-219 until results stabilize.</w:t>
      </w:r>
    </w:p>
    <w:p w:rsidR="00B609F9" w:rsidRPr="00677DE4" w:rsidRDefault="00B609F9" w:rsidP="00B609F9">
      <w:pPr>
        <w:jc w:val="both"/>
        <w:rPr>
          <w:rFonts w:ascii="Calibri" w:hAnsi="Calibri"/>
          <w:szCs w:val="24"/>
        </w:rPr>
      </w:pPr>
    </w:p>
    <w:p w:rsidR="00B609F9" w:rsidRDefault="00B609F9" w:rsidP="00B609F9">
      <w:pPr>
        <w:jc w:val="both"/>
        <w:rPr>
          <w:rFonts w:ascii="Calibri" w:hAnsi="Calibri"/>
          <w:szCs w:val="24"/>
        </w:rPr>
      </w:pPr>
      <w:r w:rsidRPr="00677DE4">
        <w:rPr>
          <w:rFonts w:ascii="Calibri" w:hAnsi="Calibri"/>
          <w:szCs w:val="24"/>
        </w:rPr>
        <w:t>Periodic reduced power events at the plant have continued to allow entry to the high-radiation Condenser Bay area to check and repair any leaks and inspect the seismic gap areas that were previously sealed.</w:t>
      </w:r>
      <w:r>
        <w:rPr>
          <w:rFonts w:ascii="Calibri" w:hAnsi="Calibri"/>
          <w:szCs w:val="24"/>
        </w:rPr>
        <w:t xml:space="preserve"> </w:t>
      </w:r>
    </w:p>
    <w:p w:rsidR="00284BC8" w:rsidRPr="00C47208" w:rsidRDefault="00284BC8" w:rsidP="00284BC8">
      <w:pPr>
        <w:jc w:val="both"/>
        <w:rPr>
          <w:rFonts w:ascii="Calibri" w:hAnsi="Calibri"/>
          <w:szCs w:val="24"/>
        </w:rPr>
      </w:pPr>
    </w:p>
    <w:p w:rsidR="00284BC8" w:rsidRPr="00C47208" w:rsidRDefault="00284BC8" w:rsidP="00284BC8">
      <w:pPr>
        <w:jc w:val="both"/>
        <w:rPr>
          <w:rFonts w:ascii="Calibri" w:hAnsi="Calibri"/>
          <w:szCs w:val="24"/>
        </w:rPr>
      </w:pPr>
      <w:r w:rsidRPr="00C47208">
        <w:rPr>
          <w:rFonts w:ascii="Calibri" w:hAnsi="Calibri"/>
          <w:szCs w:val="24"/>
        </w:rPr>
        <w:t>Staff from the MDPH Bureau of Environmental Health will continue to review groundwater monitoring results, and maintain contact with MEMA, NRC, and Entergy to discuss on-going tritium in groundwater activities at PNPS.</w:t>
      </w:r>
    </w:p>
    <w:p w:rsidR="00284BC8" w:rsidRPr="00C47208" w:rsidRDefault="00284BC8" w:rsidP="00284BC8">
      <w:pPr>
        <w:jc w:val="both"/>
        <w:rPr>
          <w:rFonts w:ascii="Calibri" w:hAnsi="Calibri"/>
          <w:szCs w:val="24"/>
        </w:rPr>
      </w:pPr>
    </w:p>
    <w:p w:rsidR="00284BC8" w:rsidRPr="00C47208" w:rsidRDefault="00284BC8" w:rsidP="00284BC8">
      <w:pPr>
        <w:jc w:val="both"/>
        <w:rPr>
          <w:rFonts w:ascii="Calibri" w:hAnsi="Calibri"/>
          <w:szCs w:val="24"/>
        </w:rPr>
      </w:pPr>
    </w:p>
    <w:p w:rsidR="009058E7" w:rsidRDefault="00166DCE" w:rsidP="009058E7">
      <w:pPr>
        <w:jc w:val="both"/>
        <w:rPr>
          <w:szCs w:val="24"/>
        </w:rPr>
      </w:pPr>
      <w:r>
        <w:rPr>
          <w:rFonts w:ascii="Calibri" w:hAnsi="Calibri"/>
          <w:szCs w:val="24"/>
        </w:rPr>
        <w:br w:type="page"/>
      </w:r>
      <w:r w:rsidR="005E7339">
        <w:rPr>
          <w:noProof/>
        </w:rPr>
        <w:lastRenderedPageBreak/>
        <mc:AlternateContent>
          <mc:Choice Requires="wps">
            <w:drawing>
              <wp:anchor distT="0" distB="0" distL="114300" distR="114300" simplePos="0" relativeHeight="251657216" behindDoc="0" locked="0" layoutInCell="1" allowOverlap="1">
                <wp:simplePos x="0" y="0"/>
                <wp:positionH relativeFrom="column">
                  <wp:posOffset>-522605</wp:posOffset>
                </wp:positionH>
                <wp:positionV relativeFrom="paragraph">
                  <wp:posOffset>-662305</wp:posOffset>
                </wp:positionV>
                <wp:extent cx="5126355" cy="495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355" cy="495300"/>
                        </a:xfrm>
                        <a:prstGeom prst="rect">
                          <a:avLst/>
                        </a:prstGeom>
                        <a:noFill/>
                        <a:ln w="9525">
                          <a:noFill/>
                          <a:miter lim="800000"/>
                          <a:headEnd/>
                          <a:tailEnd/>
                        </a:ln>
                      </wps:spPr>
                      <wps:txbx>
                        <w:txbxContent>
                          <w:p w:rsidR="00B17769" w:rsidRDefault="00B17769" w:rsidP="00A053A5">
                            <w:pPr>
                              <w:rPr>
                                <w:rFonts w:ascii="Calibri" w:hAnsi="Calibri"/>
                                <w:b/>
                              </w:rPr>
                            </w:pPr>
                          </w:p>
                          <w:p w:rsidR="00A053A5" w:rsidRDefault="00166DCE" w:rsidP="00166DCE">
                            <w:pPr>
                              <w:numPr>
                                <w:ilvl w:val="0"/>
                                <w:numId w:val="4"/>
                              </w:numPr>
                              <w:rPr>
                                <w:rFonts w:ascii="Calibri" w:hAnsi="Calibri"/>
                                <w:b/>
                              </w:rPr>
                            </w:pPr>
                            <w:r>
                              <w:rPr>
                                <w:rFonts w:ascii="Calibri" w:hAnsi="Calibri"/>
                                <w:b/>
                              </w:rPr>
                              <w:t>2017 W</w:t>
                            </w:r>
                            <w:r w:rsidR="00A053A5" w:rsidRPr="00426810">
                              <w:rPr>
                                <w:rFonts w:ascii="Calibri" w:hAnsi="Calibri"/>
                                <w:b/>
                              </w:rPr>
                              <w:t>ells of interest</w:t>
                            </w:r>
                          </w:p>
                          <w:p w:rsidR="00166DCE" w:rsidRPr="00426810" w:rsidRDefault="005E7339" w:rsidP="00166DCE">
                            <w:pPr>
                              <w:rPr>
                                <w:rFonts w:ascii="Calibri" w:hAnsi="Calibri"/>
                                <w:b/>
                              </w:rPr>
                            </w:pPr>
                            <w:r>
                              <w:rPr>
                                <w:noProof/>
                              </w:rPr>
                              <w:drawing>
                                <wp:inline distT="0" distB="0" distL="0" distR="0">
                                  <wp:extent cx="441960" cy="381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960" cy="381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1.15pt;margin-top:-52.15pt;width:403.65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" filled="f" stroked="f">
                <v:textbox>
                  <w:txbxContent>
                    <w:p w:rsidR="00B17769" w:rsidRDefault="00B17769" w:rsidP="00A053A5">
                      <w:pPr>
                        <w:rPr>
                          <w:rFonts w:ascii="Calibri" w:hAnsi="Calibri"/>
                          <w:b/>
                        </w:rPr>
                      </w:pPr>
                    </w:p>
                    <w:p w:rsidR="00A053A5" w:rsidRDefault="00166DCE" w:rsidP="00166DCE">
                      <w:pPr>
                        <w:numPr>
                          <w:ilvl w:val="0"/>
                          <w:numId w:val="4"/>
                        </w:numPr>
                        <w:rPr>
                          <w:rFonts w:ascii="Calibri" w:hAnsi="Calibri"/>
                          <w:b/>
                        </w:rPr>
                      </w:pPr>
                      <w:r>
                        <w:rPr>
                          <w:rFonts w:ascii="Calibri" w:hAnsi="Calibri"/>
                          <w:b/>
                        </w:rPr>
                        <w:t>2017 W</w:t>
                      </w:r>
                      <w:r w:rsidR="00A053A5" w:rsidRPr="00426810">
                        <w:rPr>
                          <w:rFonts w:ascii="Calibri" w:hAnsi="Calibri"/>
                          <w:b/>
                        </w:rPr>
                        <w:t>ells of interest</w:t>
                      </w:r>
                    </w:p>
                    <w:p w:rsidR="00166DCE" w:rsidRPr="00426810" w:rsidRDefault="005E7339" w:rsidP="00166DCE">
                      <w:pPr>
                        <w:rPr>
                          <w:rFonts w:ascii="Calibri" w:hAnsi="Calibri"/>
                          <w:b/>
                        </w:rPr>
                      </w:pPr>
                      <w:r>
                        <w:rPr>
                          <w:noProof/>
                        </w:rPr>
                        <w:drawing>
                          <wp:inline distT="0" distB="0" distL="0" distR="0">
                            <wp:extent cx="441960" cy="381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960" cy="381000"/>
                                    </a:xfrm>
                                    <a:prstGeom prst="rect">
                                      <a:avLst/>
                                    </a:prstGeom>
                                    <a:noFill/>
                                    <a:ln>
                                      <a:noFill/>
                                    </a:ln>
                                  </pic:spPr>
                                </pic:pic>
                              </a:graphicData>
                            </a:graphic>
                          </wp:inline>
                        </w:drawing>
                      </w:r>
                    </w:p>
                  </w:txbxContent>
                </v:textbox>
              </v:shape>
            </w:pict>
          </mc:Fallback>
        </mc:AlternateContent>
      </w:r>
      <w:r w:rsidR="005E7339">
        <w:rPr>
          <w:noProof/>
        </w:rPr>
        <w:drawing>
          <wp:inline distT="0" distB="0" distL="0" distR="0">
            <wp:extent cx="4572000" cy="3985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0" cy="3985260"/>
                    </a:xfrm>
                    <a:prstGeom prst="rect">
                      <a:avLst/>
                    </a:prstGeom>
                    <a:noFill/>
                    <a:ln>
                      <a:noFill/>
                    </a:ln>
                  </pic:spPr>
                </pic:pic>
              </a:graphicData>
            </a:graphic>
          </wp:inline>
        </w:drawing>
      </w:r>
    </w:p>
    <w:p w:rsidR="009058E7" w:rsidRDefault="005E7339" w:rsidP="009058E7">
      <w:pPr>
        <w:jc w:val="both"/>
        <w:rPr>
          <w:szCs w:val="24"/>
        </w:rPr>
      </w:pPr>
      <w:r>
        <w:rPr>
          <w:noProof/>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0</wp:posOffset>
                </wp:positionV>
                <wp:extent cx="6985635" cy="277495"/>
                <wp:effectExtent l="635"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63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8E7" w:rsidRPr="009B5889" w:rsidRDefault="002A1A65" w:rsidP="00667197">
                            <w:pPr>
                              <w:numPr>
                                <w:ilvl w:val="0"/>
                                <w:numId w:val="6"/>
                              </w:numPr>
                              <w:rPr>
                                <w:rFonts w:ascii="Calibri" w:hAnsi="Calibri" w:cs="Tahoma"/>
                                <w:b/>
                                <w:szCs w:val="22"/>
                              </w:rPr>
                            </w:pPr>
                            <w:r w:rsidRPr="009B5889">
                              <w:rPr>
                                <w:rFonts w:ascii="Calibri" w:hAnsi="Calibri" w:cs="Tahoma"/>
                                <w:b/>
                                <w:szCs w:val="22"/>
                              </w:rPr>
                              <w:t xml:space="preserve">MW-216                                 </w:t>
                            </w:r>
                            <w:r w:rsidR="00667197">
                              <w:rPr>
                                <w:rFonts w:ascii="Calibri" w:hAnsi="Calibri" w:cs="Tahoma"/>
                                <w:b/>
                                <w:szCs w:val="22"/>
                              </w:rPr>
                              <w:t xml:space="preserve">           c</w:t>
                            </w:r>
                            <w:r w:rsidRPr="009B5889">
                              <w:rPr>
                                <w:rFonts w:ascii="Calibri" w:hAnsi="Calibri" w:cs="Tahoma"/>
                                <w:b/>
                                <w:szCs w:val="22"/>
                              </w:rPr>
                              <w:t xml:space="preserve">) MW-218                                       </w:t>
                            </w:r>
                            <w:r w:rsidR="00667197">
                              <w:rPr>
                                <w:rFonts w:ascii="Calibri" w:hAnsi="Calibri" w:cs="Tahoma"/>
                                <w:b/>
                                <w:szCs w:val="22"/>
                              </w:rPr>
                              <w:t>d</w:t>
                            </w:r>
                            <w:r w:rsidRPr="009B5889">
                              <w:rPr>
                                <w:rFonts w:ascii="Calibri" w:hAnsi="Calibri" w:cs="Tahoma"/>
                                <w:b/>
                                <w:szCs w:val="22"/>
                              </w:rPr>
                              <w:t>) MW-219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0;margin-top:0;width:550.05pt;height:21.85pt;z-index:25166131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" filled="f" stroked="f">
                <v:textbox style="mso-fit-shape-to-text:t">
                  <w:txbxContent>
                    <w:p w:rsidR="009058E7" w:rsidRPr="009B5889" w:rsidRDefault="002A1A65" w:rsidP="00667197">
                      <w:pPr>
                        <w:numPr>
                          <w:ilvl w:val="0"/>
                          <w:numId w:val="6"/>
                        </w:numPr>
                        <w:rPr>
                          <w:rFonts w:ascii="Calibri" w:hAnsi="Calibri" w:cs="Tahoma"/>
                          <w:b/>
                          <w:szCs w:val="22"/>
                        </w:rPr>
                      </w:pPr>
                      <w:r w:rsidRPr="009B5889">
                        <w:rPr>
                          <w:rFonts w:ascii="Calibri" w:hAnsi="Calibri" w:cs="Tahoma"/>
                          <w:b/>
                          <w:szCs w:val="22"/>
                        </w:rPr>
                        <w:t xml:space="preserve">MW-216                                 </w:t>
                      </w:r>
                      <w:r w:rsidR="00667197">
                        <w:rPr>
                          <w:rFonts w:ascii="Calibri" w:hAnsi="Calibri" w:cs="Tahoma"/>
                          <w:b/>
                          <w:szCs w:val="22"/>
                        </w:rPr>
                        <w:t xml:space="preserve">           c</w:t>
                      </w:r>
                      <w:r w:rsidRPr="009B5889">
                        <w:rPr>
                          <w:rFonts w:ascii="Calibri" w:hAnsi="Calibri" w:cs="Tahoma"/>
                          <w:b/>
                          <w:szCs w:val="22"/>
                        </w:rPr>
                        <w:t xml:space="preserve">) MW-218                                       </w:t>
                      </w:r>
                      <w:r w:rsidR="00667197">
                        <w:rPr>
                          <w:rFonts w:ascii="Calibri" w:hAnsi="Calibri" w:cs="Tahoma"/>
                          <w:b/>
                          <w:szCs w:val="22"/>
                        </w:rPr>
                        <w:t>d</w:t>
                      </w:r>
                      <w:r w:rsidRPr="009B5889">
                        <w:rPr>
                          <w:rFonts w:ascii="Calibri" w:hAnsi="Calibri" w:cs="Tahoma"/>
                          <w:b/>
                          <w:szCs w:val="22"/>
                        </w:rPr>
                        <w:t>) MW-219</w:t>
                      </w:r>
                    </w:p>
                  </w:txbxContent>
                </v:textbox>
              </v:shape>
            </w:pict>
          </mc:Fallback>
        </mc:AlternateContent>
      </w:r>
    </w:p>
    <w:p w:rsidR="009058E7" w:rsidRDefault="005E7339" w:rsidP="009058E7">
      <w:pPr>
        <w:jc w:val="both"/>
        <w:rPr>
          <w:rFonts w:ascii="Calibri" w:hAnsi="Calibri"/>
          <w:color w:val="000000"/>
          <w:kern w:val="24"/>
          <w:sz w:val="22"/>
        </w:rPr>
      </w:pPr>
      <w:r>
        <w:rPr>
          <w:noProof/>
        </w:rPr>
        <w:drawing>
          <wp:anchor distT="0" distB="0" distL="114300" distR="114300" simplePos="0" relativeHeight="251658240" behindDoc="0" locked="0" layoutInCell="1" allowOverlap="1">
            <wp:simplePos x="0" y="0"/>
            <wp:positionH relativeFrom="margin">
              <wp:posOffset>-722630</wp:posOffset>
            </wp:positionH>
            <wp:positionV relativeFrom="margin">
              <wp:posOffset>4289425</wp:posOffset>
            </wp:positionV>
            <wp:extent cx="2651125" cy="2316480"/>
            <wp:effectExtent l="0" t="0" r="0" b="0"/>
            <wp:wrapSquare wrapText="bothSides"/>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1125" cy="2316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simplePos x="0" y="0"/>
            <wp:positionH relativeFrom="margin">
              <wp:posOffset>1928495</wp:posOffset>
            </wp:positionH>
            <wp:positionV relativeFrom="margin">
              <wp:posOffset>4246245</wp:posOffset>
            </wp:positionV>
            <wp:extent cx="2007870" cy="2305685"/>
            <wp:effectExtent l="0" t="0" r="0" b="0"/>
            <wp:wrapSquare wrapText="bothSides"/>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l="888" t="2899" r="12721" b="-853"/>
                    <a:stretch>
                      <a:fillRect/>
                    </a:stretch>
                  </pic:blipFill>
                  <pic:spPr bwMode="auto">
                    <a:xfrm>
                      <a:off x="0" y="0"/>
                      <a:ext cx="2007870" cy="23056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simplePos x="0" y="0"/>
            <wp:positionH relativeFrom="margin">
              <wp:posOffset>3936365</wp:posOffset>
            </wp:positionH>
            <wp:positionV relativeFrom="margin">
              <wp:posOffset>4161155</wp:posOffset>
            </wp:positionV>
            <wp:extent cx="2560320" cy="2336165"/>
            <wp:effectExtent l="0" t="0" r="0" b="0"/>
            <wp:wrapSquare wrapText="bothSides"/>
            <wp:docPr id="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l="6085" t="-6665" r="3329" b="63"/>
                    <a:stretch>
                      <a:fillRect/>
                    </a:stretch>
                  </pic:blipFill>
                  <pic:spPr bwMode="auto">
                    <a:xfrm>
                      <a:off x="0" y="0"/>
                      <a:ext cx="2560320" cy="23361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6192" behindDoc="0" locked="0" layoutInCell="1" allowOverlap="1">
                <wp:simplePos x="0" y="0"/>
                <wp:positionH relativeFrom="column">
                  <wp:posOffset>2472690</wp:posOffset>
                </wp:positionH>
                <wp:positionV relativeFrom="paragraph">
                  <wp:posOffset>-161925</wp:posOffset>
                </wp:positionV>
                <wp:extent cx="390525" cy="16192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161925"/>
                        </a:xfrm>
                        <a:prstGeom prst="rect">
                          <a:avLst/>
                        </a:prstGeom>
                        <a:solidFill>
                          <a:sysClr val="window" lastClr="FFFFFF"/>
                        </a:solidFill>
                        <a:ln w="25400" cap="flat" cmpd="sng" algn="ctr">
                          <a:noFill/>
                          <a:prstDash val="solid"/>
                        </a:ln>
                        <a:effectLst/>
                      </wps:spPr>
                      <wps:txbx>
                        <w:txbxContent>
                          <w:p w:rsidR="00A053A5" w:rsidRPr="007F3241" w:rsidRDefault="00A053A5" w:rsidP="00A053A5">
                            <w:pPr>
                              <w:rPr>
                                <w:b/>
                                <w:i/>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30" style="position:absolute;left:0;text-align:left;margin-left:194.7pt;margin-top:-12.75pt;width:30.7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" fillcolor="window" stroked="f" strokeweight="2pt">
                <v:path arrowok="t"/>
                <v:textbox>
                  <w:txbxContent>
                    <w:p w:rsidR="00A053A5" w:rsidRPr="007F3241" w:rsidRDefault="00A053A5" w:rsidP="00A053A5">
                      <w:pPr>
                        <w:rPr>
                          <w:b/>
                          <w:i/>
                          <w:sz w:val="28"/>
                          <w:szCs w:val="28"/>
                        </w:rPr>
                      </w:pPr>
                    </w:p>
                  </w:txbxContent>
                </v:textbox>
              </v:rect>
            </w:pict>
          </mc:Fallback>
        </mc:AlternateContent>
      </w:r>
      <w:r w:rsidR="00A053A5" w:rsidRPr="00C47208">
        <w:rPr>
          <w:rFonts w:ascii="Calibri" w:hAnsi="Calibri"/>
          <w:color w:val="000000"/>
          <w:kern w:val="24"/>
          <w:sz w:val="22"/>
        </w:rPr>
        <w:t xml:space="preserve">                             </w:t>
      </w:r>
      <w:r w:rsidR="00A053A5" w:rsidRPr="00C47208">
        <w:rPr>
          <w:rFonts w:ascii="Calibri" w:hAnsi="Calibri"/>
          <w:color w:val="000000"/>
          <w:kern w:val="24"/>
          <w:sz w:val="22"/>
        </w:rPr>
        <w:tab/>
      </w:r>
      <w:r w:rsidR="00A053A5" w:rsidRPr="00C47208">
        <w:rPr>
          <w:rFonts w:ascii="Calibri" w:hAnsi="Calibri"/>
          <w:color w:val="000000"/>
          <w:kern w:val="24"/>
          <w:sz w:val="22"/>
        </w:rPr>
        <w:tab/>
      </w:r>
    </w:p>
    <w:p w:rsidR="00CF1327" w:rsidRPr="009058E7" w:rsidRDefault="009058E7" w:rsidP="009058E7">
      <w:pPr>
        <w:jc w:val="both"/>
        <w:rPr>
          <w:szCs w:val="24"/>
        </w:rPr>
      </w:pPr>
      <w:r>
        <w:rPr>
          <w:rFonts w:ascii="Calibri" w:hAnsi="Calibri"/>
          <w:color w:val="000000"/>
          <w:kern w:val="24"/>
          <w:sz w:val="20"/>
        </w:rPr>
        <w:t xml:space="preserve">          </w:t>
      </w:r>
      <w:r w:rsidRPr="000E6680">
        <w:rPr>
          <w:rFonts w:ascii="Calibri" w:hAnsi="Calibri"/>
          <w:color w:val="000000"/>
          <w:kern w:val="24"/>
          <w:sz w:val="20"/>
        </w:rPr>
        <w:t>2012-2017</w:t>
      </w:r>
      <w:r>
        <w:rPr>
          <w:rFonts w:ascii="Calibri" w:hAnsi="Calibri"/>
          <w:color w:val="000000"/>
          <w:kern w:val="24"/>
          <w:sz w:val="20"/>
        </w:rPr>
        <w:t xml:space="preserve">                                                                    2013-</w:t>
      </w:r>
      <w:r w:rsidRPr="000E6680">
        <w:rPr>
          <w:rFonts w:ascii="Calibri" w:hAnsi="Calibri"/>
          <w:color w:val="000000"/>
          <w:kern w:val="24"/>
          <w:sz w:val="20"/>
        </w:rPr>
        <w:t>2017</w:t>
      </w:r>
      <w:r>
        <w:rPr>
          <w:rFonts w:ascii="Calibri" w:hAnsi="Calibri"/>
          <w:color w:val="000000"/>
          <w:kern w:val="24"/>
          <w:sz w:val="20"/>
        </w:rPr>
        <w:tab/>
      </w:r>
      <w:r>
        <w:rPr>
          <w:rFonts w:ascii="Calibri" w:hAnsi="Calibri"/>
          <w:color w:val="000000"/>
          <w:kern w:val="24"/>
          <w:sz w:val="20"/>
        </w:rPr>
        <w:tab/>
        <w:t xml:space="preserve">                                   2015-2017</w:t>
      </w:r>
    </w:p>
    <w:p w:rsidR="004F3980" w:rsidRDefault="004F3980" w:rsidP="0072610D">
      <w:pPr>
        <w:rPr>
          <w:rFonts w:ascii="Calibri" w:hAnsi="Calibri"/>
          <w:b/>
          <w:color w:val="000000"/>
          <w:kern w:val="24"/>
          <w:sz w:val="22"/>
        </w:rPr>
      </w:pPr>
    </w:p>
    <w:p w:rsidR="00284BC8" w:rsidRPr="00C47208" w:rsidRDefault="00284BC8" w:rsidP="0072610D">
      <w:pPr>
        <w:rPr>
          <w:rFonts w:ascii="Calibri" w:hAnsi="Calibri"/>
          <w:sz w:val="22"/>
        </w:rPr>
      </w:pPr>
      <w:proofErr w:type="gramStart"/>
      <w:r w:rsidRPr="00C47208">
        <w:rPr>
          <w:rFonts w:ascii="Calibri" w:hAnsi="Calibri"/>
          <w:b/>
          <w:color w:val="000000"/>
          <w:kern w:val="24"/>
          <w:sz w:val="22"/>
        </w:rPr>
        <w:t>Figure 1</w:t>
      </w:r>
      <w:r w:rsidRPr="00C47208">
        <w:rPr>
          <w:rFonts w:ascii="Calibri" w:hAnsi="Calibri"/>
          <w:color w:val="000000"/>
          <w:kern w:val="24"/>
          <w:sz w:val="22"/>
        </w:rPr>
        <w:t>.</w:t>
      </w:r>
      <w:proofErr w:type="gramEnd"/>
      <w:r w:rsidRPr="00C47208">
        <w:rPr>
          <w:rFonts w:ascii="Calibri" w:hAnsi="Calibri"/>
          <w:color w:val="000000"/>
          <w:kern w:val="24"/>
          <w:sz w:val="22"/>
        </w:rPr>
        <w:t xml:space="preserve"> </w:t>
      </w:r>
      <w:r w:rsidR="00A053A5" w:rsidRPr="00C47208">
        <w:rPr>
          <w:rFonts w:ascii="Calibri" w:hAnsi="Calibri"/>
          <w:color w:val="000000"/>
          <w:kern w:val="24"/>
          <w:sz w:val="22"/>
        </w:rPr>
        <w:t xml:space="preserve"> </w:t>
      </w:r>
      <w:r w:rsidR="00C3250A">
        <w:rPr>
          <w:rFonts w:ascii="Calibri" w:hAnsi="Calibri"/>
          <w:color w:val="000000"/>
          <w:kern w:val="24"/>
          <w:sz w:val="22"/>
        </w:rPr>
        <w:t xml:space="preserve">2017 </w:t>
      </w:r>
      <w:r w:rsidRPr="00C47208">
        <w:rPr>
          <w:rFonts w:ascii="Calibri" w:hAnsi="Calibri"/>
          <w:color w:val="000000"/>
          <w:kern w:val="24"/>
          <w:sz w:val="22"/>
        </w:rPr>
        <w:t xml:space="preserve">and historical results for </w:t>
      </w:r>
      <w:r w:rsidR="009469F8">
        <w:rPr>
          <w:rFonts w:ascii="Calibri" w:hAnsi="Calibri"/>
          <w:color w:val="000000"/>
          <w:kern w:val="24"/>
          <w:sz w:val="22"/>
        </w:rPr>
        <w:t xml:space="preserve">three </w:t>
      </w:r>
      <w:r w:rsidRPr="00C47208">
        <w:rPr>
          <w:rFonts w:ascii="Calibri" w:hAnsi="Calibri"/>
          <w:color w:val="000000"/>
          <w:kern w:val="24"/>
          <w:sz w:val="22"/>
        </w:rPr>
        <w:t>wells of interest</w:t>
      </w:r>
      <w:r w:rsidR="00A053A5" w:rsidRPr="00C47208">
        <w:rPr>
          <w:rFonts w:ascii="Calibri" w:hAnsi="Calibri"/>
          <w:color w:val="000000"/>
          <w:kern w:val="24"/>
          <w:sz w:val="22"/>
        </w:rPr>
        <w:t>,</w:t>
      </w:r>
      <w:r w:rsidRPr="00C47208">
        <w:rPr>
          <w:rFonts w:ascii="Calibri" w:hAnsi="Calibri"/>
          <w:color w:val="000000"/>
          <w:kern w:val="24"/>
          <w:sz w:val="22"/>
        </w:rPr>
        <w:t xml:space="preserve"> MW-216, MW-218,</w:t>
      </w:r>
      <w:r w:rsidR="009469F8">
        <w:rPr>
          <w:rFonts w:ascii="Calibri" w:hAnsi="Calibri"/>
          <w:color w:val="000000"/>
          <w:kern w:val="24"/>
          <w:sz w:val="22"/>
        </w:rPr>
        <w:t xml:space="preserve"> MW-219</w:t>
      </w:r>
      <w:r w:rsidRPr="00C47208">
        <w:rPr>
          <w:rFonts w:ascii="Calibri" w:hAnsi="Calibri"/>
          <w:color w:val="000000"/>
          <w:kern w:val="24"/>
          <w:sz w:val="22"/>
        </w:rPr>
        <w:t xml:space="preserve"> from tritium in groundwater samples collected from Pilgrim Nuclear Power Station (PNPS). Data are plotted separately based on PNPS operator (solid lines) or MDPH (dotted lines) produced results.  The solid red line </w:t>
      </w:r>
      <w:proofErr w:type="gramStart"/>
      <w:r w:rsidRPr="00C47208">
        <w:rPr>
          <w:rFonts w:ascii="Calibri" w:hAnsi="Calibri"/>
          <w:color w:val="000000"/>
          <w:kern w:val="24"/>
          <w:sz w:val="22"/>
        </w:rPr>
        <w:t>at 3,000 pCi/L</w:t>
      </w:r>
      <w:proofErr w:type="gramEnd"/>
      <w:r w:rsidRPr="00C47208">
        <w:rPr>
          <w:rFonts w:ascii="Calibri" w:hAnsi="Calibri"/>
          <w:color w:val="000000"/>
          <w:kern w:val="24"/>
          <w:sz w:val="22"/>
        </w:rPr>
        <w:t xml:space="preserve"> represents the screening level which is 1/10</w:t>
      </w:r>
      <w:r w:rsidRPr="00C47208">
        <w:rPr>
          <w:rFonts w:ascii="Calibri" w:hAnsi="Calibri"/>
          <w:color w:val="000000"/>
          <w:kern w:val="24"/>
          <w:sz w:val="22"/>
          <w:vertAlign w:val="superscript"/>
        </w:rPr>
        <w:t>th</w:t>
      </w:r>
      <w:r w:rsidRPr="00C47208">
        <w:rPr>
          <w:rFonts w:ascii="Calibri" w:hAnsi="Calibri"/>
          <w:color w:val="000000"/>
          <w:kern w:val="24"/>
          <w:sz w:val="22"/>
        </w:rPr>
        <w:t xml:space="preserve"> of the 30,000 pCi/L NRC level of concern.  </w:t>
      </w:r>
      <w:r w:rsidRPr="00C47208">
        <w:rPr>
          <w:rFonts w:ascii="Calibri" w:hAnsi="Calibri"/>
          <w:b/>
          <w:color w:val="000000"/>
          <w:kern w:val="24"/>
          <w:sz w:val="22"/>
        </w:rPr>
        <w:t>a)</w:t>
      </w:r>
      <w:r w:rsidRPr="00C47208">
        <w:rPr>
          <w:rFonts w:ascii="Calibri" w:hAnsi="Calibri"/>
          <w:color w:val="000000"/>
          <w:kern w:val="24"/>
          <w:sz w:val="22"/>
        </w:rPr>
        <w:t xml:space="preserve"> Results from samples collected </w:t>
      </w:r>
      <w:r w:rsidR="00C3250A">
        <w:rPr>
          <w:rFonts w:ascii="Calibri" w:hAnsi="Calibri"/>
          <w:color w:val="000000"/>
          <w:kern w:val="24"/>
          <w:sz w:val="22"/>
        </w:rPr>
        <w:t xml:space="preserve">from January through </w:t>
      </w:r>
      <w:r w:rsidR="004F3980">
        <w:rPr>
          <w:rFonts w:ascii="Calibri" w:hAnsi="Calibri"/>
          <w:color w:val="000000"/>
          <w:kern w:val="24"/>
          <w:sz w:val="22"/>
        </w:rPr>
        <w:t>December</w:t>
      </w:r>
      <w:r w:rsidR="00C3250A">
        <w:rPr>
          <w:rFonts w:ascii="Calibri" w:hAnsi="Calibri"/>
          <w:color w:val="000000"/>
          <w:kern w:val="24"/>
          <w:sz w:val="22"/>
        </w:rPr>
        <w:t xml:space="preserve"> 2017 </w:t>
      </w:r>
      <w:r w:rsidRPr="00C47208">
        <w:rPr>
          <w:rFonts w:ascii="Calibri" w:hAnsi="Calibri"/>
          <w:color w:val="000000"/>
          <w:kern w:val="24"/>
          <w:sz w:val="22"/>
        </w:rPr>
        <w:t>at wells with tritium levels ab</w:t>
      </w:r>
      <w:r w:rsidR="00C3250A">
        <w:rPr>
          <w:rFonts w:ascii="Calibri" w:hAnsi="Calibri"/>
          <w:color w:val="000000"/>
          <w:kern w:val="24"/>
          <w:sz w:val="22"/>
        </w:rPr>
        <w:t xml:space="preserve">ove 2,000 </w:t>
      </w:r>
      <w:proofErr w:type="spellStart"/>
      <w:r w:rsidR="00C3250A">
        <w:rPr>
          <w:rFonts w:ascii="Calibri" w:hAnsi="Calibri"/>
          <w:color w:val="000000"/>
          <w:kern w:val="24"/>
          <w:sz w:val="22"/>
        </w:rPr>
        <w:t>pCi</w:t>
      </w:r>
      <w:proofErr w:type="spellEnd"/>
      <w:r w:rsidR="00C3250A">
        <w:rPr>
          <w:rFonts w:ascii="Calibri" w:hAnsi="Calibri"/>
          <w:color w:val="000000"/>
          <w:kern w:val="24"/>
          <w:sz w:val="22"/>
        </w:rPr>
        <w:t>/L (MW-216</w:t>
      </w:r>
      <w:r w:rsidR="004F3980">
        <w:rPr>
          <w:rFonts w:ascii="Calibri" w:hAnsi="Calibri"/>
          <w:color w:val="000000"/>
          <w:kern w:val="24"/>
          <w:sz w:val="22"/>
        </w:rPr>
        <w:t xml:space="preserve">, MW-218, </w:t>
      </w:r>
      <w:proofErr w:type="gramStart"/>
      <w:r w:rsidR="004F3980">
        <w:rPr>
          <w:rFonts w:ascii="Calibri" w:hAnsi="Calibri"/>
          <w:color w:val="000000"/>
          <w:kern w:val="24"/>
          <w:sz w:val="22"/>
        </w:rPr>
        <w:t>MW</w:t>
      </w:r>
      <w:proofErr w:type="gramEnd"/>
      <w:r w:rsidR="004F3980">
        <w:rPr>
          <w:rFonts w:ascii="Calibri" w:hAnsi="Calibri"/>
          <w:color w:val="000000"/>
          <w:kern w:val="24"/>
          <w:sz w:val="22"/>
        </w:rPr>
        <w:t>-219</w:t>
      </w:r>
      <w:r w:rsidRPr="00C47208">
        <w:rPr>
          <w:rFonts w:ascii="Calibri" w:hAnsi="Calibri"/>
          <w:color w:val="000000"/>
          <w:kern w:val="24"/>
          <w:sz w:val="22"/>
        </w:rPr>
        <w:t>) showing a</w:t>
      </w:r>
      <w:r w:rsidR="00C3250A">
        <w:rPr>
          <w:rFonts w:ascii="Calibri" w:hAnsi="Calibri"/>
          <w:color w:val="000000"/>
          <w:kern w:val="24"/>
          <w:sz w:val="22"/>
        </w:rPr>
        <w:t xml:space="preserve"> maximum level of </w:t>
      </w:r>
      <w:r w:rsidR="004F3980">
        <w:rPr>
          <w:rFonts w:ascii="Calibri" w:hAnsi="Calibri"/>
          <w:color w:val="000000"/>
          <w:kern w:val="24"/>
          <w:sz w:val="22"/>
        </w:rPr>
        <w:t>6,030</w:t>
      </w:r>
      <w:r w:rsidR="00C3250A">
        <w:rPr>
          <w:rFonts w:ascii="Calibri" w:hAnsi="Calibri"/>
          <w:color w:val="000000"/>
          <w:kern w:val="24"/>
          <w:sz w:val="22"/>
        </w:rPr>
        <w:t xml:space="preserve"> </w:t>
      </w:r>
      <w:r w:rsidR="004F3980">
        <w:rPr>
          <w:rFonts w:ascii="Calibri" w:hAnsi="Calibri"/>
          <w:color w:val="000000"/>
          <w:kern w:val="24"/>
          <w:sz w:val="22"/>
        </w:rPr>
        <w:t>in November</w:t>
      </w:r>
      <w:r w:rsidR="00C3250A">
        <w:rPr>
          <w:rFonts w:ascii="Calibri" w:hAnsi="Calibri"/>
          <w:color w:val="000000"/>
          <w:kern w:val="24"/>
          <w:sz w:val="22"/>
        </w:rPr>
        <w:t>, 2017 at MW-21</w:t>
      </w:r>
      <w:r w:rsidR="004F3980">
        <w:rPr>
          <w:rFonts w:ascii="Calibri" w:hAnsi="Calibri"/>
          <w:color w:val="000000"/>
          <w:kern w:val="24"/>
          <w:sz w:val="22"/>
        </w:rPr>
        <w:t>9</w:t>
      </w:r>
      <w:r w:rsidRPr="00C47208">
        <w:rPr>
          <w:rFonts w:ascii="Calibri" w:hAnsi="Calibri"/>
          <w:color w:val="000000"/>
          <w:kern w:val="24"/>
          <w:sz w:val="22"/>
        </w:rPr>
        <w:t xml:space="preserve">. </w:t>
      </w:r>
      <w:proofErr w:type="gramStart"/>
      <w:r w:rsidR="000E6680">
        <w:rPr>
          <w:rFonts w:ascii="Calibri" w:hAnsi="Calibri"/>
          <w:b/>
          <w:color w:val="000000"/>
          <w:kern w:val="24"/>
          <w:sz w:val="22"/>
        </w:rPr>
        <w:t xml:space="preserve">b </w:t>
      </w:r>
      <w:r w:rsidR="009469F8">
        <w:rPr>
          <w:rFonts w:ascii="Calibri" w:hAnsi="Calibri"/>
          <w:b/>
          <w:color w:val="000000"/>
          <w:kern w:val="24"/>
          <w:sz w:val="22"/>
        </w:rPr>
        <w:t>-d</w:t>
      </w:r>
      <w:r w:rsidR="000E6680" w:rsidRPr="00C47208">
        <w:rPr>
          <w:rFonts w:ascii="Calibri" w:hAnsi="Calibri"/>
          <w:b/>
          <w:color w:val="000000"/>
          <w:kern w:val="24"/>
          <w:sz w:val="22"/>
        </w:rPr>
        <w:t>)</w:t>
      </w:r>
      <w:r w:rsidR="000E6680" w:rsidRPr="00C47208">
        <w:rPr>
          <w:rFonts w:ascii="Calibri" w:hAnsi="Calibri"/>
          <w:color w:val="000000"/>
          <w:kern w:val="24"/>
          <w:sz w:val="22"/>
        </w:rPr>
        <w:t xml:space="preserve"> Historica</w:t>
      </w:r>
      <w:r w:rsidR="000E6680">
        <w:rPr>
          <w:rFonts w:ascii="Calibri" w:hAnsi="Calibri"/>
          <w:color w:val="000000"/>
          <w:kern w:val="24"/>
          <w:sz w:val="22"/>
        </w:rPr>
        <w:t xml:space="preserve">l monitoring results for MW-216 </w:t>
      </w:r>
      <w:r w:rsidR="000E6680" w:rsidRPr="00C47208">
        <w:rPr>
          <w:rFonts w:ascii="Calibri" w:hAnsi="Calibri"/>
          <w:color w:val="000000"/>
          <w:kern w:val="24"/>
          <w:sz w:val="22"/>
        </w:rPr>
        <w:t>MW-218</w:t>
      </w:r>
      <w:r w:rsidR="009469F8">
        <w:rPr>
          <w:rFonts w:ascii="Calibri" w:hAnsi="Calibri"/>
          <w:color w:val="000000"/>
          <w:kern w:val="24"/>
          <w:sz w:val="22"/>
        </w:rPr>
        <w:t>, and MW-219</w:t>
      </w:r>
      <w:r w:rsidR="000E6680">
        <w:rPr>
          <w:rFonts w:ascii="Calibri" w:hAnsi="Calibri"/>
          <w:color w:val="000000"/>
          <w:kern w:val="24"/>
          <w:sz w:val="22"/>
        </w:rPr>
        <w:t>.</w:t>
      </w:r>
      <w:proofErr w:type="gramEnd"/>
    </w:p>
    <w:sectPr w:rsidR="00284BC8" w:rsidRPr="00C47208">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AEA" w:rsidRDefault="000C3AEA" w:rsidP="00284BC8">
      <w:r>
        <w:separator/>
      </w:r>
    </w:p>
  </w:endnote>
  <w:endnote w:type="continuationSeparator" w:id="0">
    <w:p w:rsidR="000C3AEA" w:rsidRDefault="000C3AEA" w:rsidP="0028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3A5" w:rsidRPr="00C47208" w:rsidRDefault="00F019ED">
    <w:pPr>
      <w:pStyle w:val="Footer"/>
      <w:rPr>
        <w:rFonts w:ascii="Calibri" w:hAnsi="Calibri"/>
        <w:color w:val="A6A6A6"/>
        <w:sz w:val="20"/>
      </w:rPr>
    </w:pPr>
    <w:r w:rsidRPr="00C47208">
      <w:rPr>
        <w:rFonts w:ascii="Calibri" w:hAnsi="Calibri"/>
        <w:color w:val="A6A6A6"/>
        <w:sz w:val="20"/>
      </w:rPr>
      <w:fldChar w:fldCharType="begin"/>
    </w:r>
    <w:r w:rsidRPr="00C47208">
      <w:rPr>
        <w:rFonts w:ascii="Calibri" w:hAnsi="Calibri"/>
        <w:color w:val="A6A6A6"/>
        <w:sz w:val="20"/>
      </w:rPr>
      <w:instrText xml:space="preserve"> FILENAME   \* MERGEFORMAT </w:instrText>
    </w:r>
    <w:r w:rsidRPr="00C47208">
      <w:rPr>
        <w:rFonts w:ascii="Calibri" w:hAnsi="Calibri"/>
        <w:color w:val="A6A6A6"/>
        <w:sz w:val="20"/>
      </w:rPr>
      <w:fldChar w:fldCharType="separate"/>
    </w:r>
    <w:r w:rsidR="009957E4">
      <w:rPr>
        <w:rFonts w:ascii="Calibri" w:hAnsi="Calibri"/>
        <w:noProof/>
        <w:color w:val="A6A6A6"/>
        <w:sz w:val="20"/>
      </w:rPr>
      <w:t>pnps-May-1-2018-update</w:t>
    </w:r>
    <w:r w:rsidRPr="00C47208">
      <w:rPr>
        <w:rFonts w:ascii="Calibri" w:hAnsi="Calibri"/>
        <w:color w:val="A6A6A6"/>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AEA" w:rsidRDefault="000C3AEA" w:rsidP="00284BC8">
      <w:r>
        <w:separator/>
      </w:r>
    </w:p>
  </w:footnote>
  <w:footnote w:type="continuationSeparator" w:id="0">
    <w:p w:rsidR="000C3AEA" w:rsidRDefault="000C3AEA" w:rsidP="00284BC8">
      <w:r>
        <w:continuationSeparator/>
      </w:r>
    </w:p>
  </w:footnote>
  <w:footnote w:id="1">
    <w:p w:rsidR="00106ED6" w:rsidRPr="0006798B" w:rsidRDefault="00106ED6" w:rsidP="00106ED6">
      <w:pPr>
        <w:pStyle w:val="FootnoteText"/>
      </w:pPr>
      <w:r w:rsidRPr="0006798B">
        <w:rPr>
          <w:rStyle w:val="FootnoteReference"/>
        </w:rPr>
        <w:footnoteRef/>
      </w:r>
      <w:r w:rsidRPr="0006798B">
        <w:t xml:space="preserve"> Previous PNPS Tritium in Groundwater Investigation Updates are available here:</w:t>
      </w:r>
    </w:p>
    <w:p w:rsidR="00106ED6" w:rsidRPr="00061B3B" w:rsidRDefault="00160F69" w:rsidP="00106ED6">
      <w:pPr>
        <w:pStyle w:val="FootnoteText"/>
        <w:rPr>
          <w:sz w:val="18"/>
          <w:szCs w:val="18"/>
        </w:rPr>
      </w:pPr>
      <w:hyperlink r:id="rId1" w:history="1">
        <w:r>
          <w:rPr>
            <w:rStyle w:val="Hyperlink"/>
          </w:rPr>
          <w:t>https://www.mass.gov/lists/environmental-monitoring-data-for-tritium-in-groundwater-at-pilgrim-nuclear-power-station</w:t>
        </w:r>
      </w:hyperlink>
    </w:p>
    <w:p w:rsidR="00106ED6" w:rsidRDefault="00106ED6" w:rsidP="00106ED6">
      <w:pPr>
        <w:pStyle w:val="FootnoteText"/>
      </w:pPr>
    </w:p>
  </w:footnote>
  <w:footnote w:id="2">
    <w:p w:rsidR="00284BC8" w:rsidRPr="0006798B" w:rsidRDefault="00284BC8" w:rsidP="00284BC8">
      <w:pPr>
        <w:pStyle w:val="FootnoteText"/>
      </w:pPr>
      <w:r w:rsidRPr="0006798B">
        <w:rPr>
          <w:rStyle w:val="FootnoteReference"/>
        </w:rPr>
        <w:footnoteRef/>
      </w:r>
      <w:r w:rsidRPr="0006798B">
        <w:t xml:space="preserve"> Summary tables of groundwater and surface water monitoring results are on the MDPH website:</w:t>
      </w:r>
    </w:p>
    <w:p w:rsidR="00284BC8" w:rsidRPr="00061B3B" w:rsidRDefault="00284BC8" w:rsidP="00284BC8">
      <w:pPr>
        <w:pStyle w:val="FootnoteText"/>
        <w:rPr>
          <w:sz w:val="18"/>
          <w:szCs w:val="18"/>
        </w:rPr>
      </w:pPr>
      <w:hyperlink r:id="rId2" w:history="1">
        <w:r>
          <w:rPr>
            <w:rStyle w:val="Hyperlink"/>
            <w:sz w:val="18"/>
            <w:szCs w:val="18"/>
          </w:rPr>
          <w:t>mass.gov/eohhs/gov/departments/dph/programs/environmental-health/exposure-topics/radiation/environmental-monitoring</w:t>
        </w:r>
      </w:hyperlink>
    </w:p>
    <w:p w:rsidR="00284BC8" w:rsidRDefault="00284BC8" w:rsidP="00284BC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A70B5"/>
    <w:multiLevelType w:val="hybridMultilevel"/>
    <w:tmpl w:val="16EE27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DC7268"/>
    <w:multiLevelType w:val="hybridMultilevel"/>
    <w:tmpl w:val="130C2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5E7739"/>
    <w:multiLevelType w:val="hybridMultilevel"/>
    <w:tmpl w:val="2F8C64D6"/>
    <w:lvl w:ilvl="0" w:tplc="05F83FA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E0022B"/>
    <w:multiLevelType w:val="hybridMultilevel"/>
    <w:tmpl w:val="7FAA0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CE62B71"/>
    <w:multiLevelType w:val="hybridMultilevel"/>
    <w:tmpl w:val="41EC8542"/>
    <w:lvl w:ilvl="0" w:tplc="0E94B6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1F41E1C"/>
    <w:multiLevelType w:val="hybridMultilevel"/>
    <w:tmpl w:val="931655F6"/>
    <w:lvl w:ilvl="0" w:tplc="80DCEB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44907AF"/>
    <w:multiLevelType w:val="hybridMultilevel"/>
    <w:tmpl w:val="0290C2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bf5c3bec-5783-4c64-b065-5d987c30ae72"/>
  </w:docVars>
  <w:rsids>
    <w:rsidRoot w:val="006D77A6"/>
    <w:rsid w:val="000011D1"/>
    <w:rsid w:val="0001169A"/>
    <w:rsid w:val="00011C23"/>
    <w:rsid w:val="0001602D"/>
    <w:rsid w:val="00023296"/>
    <w:rsid w:val="00033154"/>
    <w:rsid w:val="00042048"/>
    <w:rsid w:val="000537DA"/>
    <w:rsid w:val="00087B67"/>
    <w:rsid w:val="00093062"/>
    <w:rsid w:val="000A0DFD"/>
    <w:rsid w:val="000B29B4"/>
    <w:rsid w:val="000C3AEA"/>
    <w:rsid w:val="000E6680"/>
    <w:rsid w:val="000F315B"/>
    <w:rsid w:val="000F4B0F"/>
    <w:rsid w:val="00101513"/>
    <w:rsid w:val="00106ED6"/>
    <w:rsid w:val="001101F2"/>
    <w:rsid w:val="00121EA1"/>
    <w:rsid w:val="0014024C"/>
    <w:rsid w:val="0015268B"/>
    <w:rsid w:val="00154733"/>
    <w:rsid w:val="001562CA"/>
    <w:rsid w:val="00160F69"/>
    <w:rsid w:val="00166DCE"/>
    <w:rsid w:val="00173094"/>
    <w:rsid w:val="00177C77"/>
    <w:rsid w:val="001804F5"/>
    <w:rsid w:val="001F1DA4"/>
    <w:rsid w:val="001F4610"/>
    <w:rsid w:val="0020047A"/>
    <w:rsid w:val="002334E3"/>
    <w:rsid w:val="00276957"/>
    <w:rsid w:val="00276DCC"/>
    <w:rsid w:val="00282C5A"/>
    <w:rsid w:val="00284BC8"/>
    <w:rsid w:val="00297407"/>
    <w:rsid w:val="002A1A65"/>
    <w:rsid w:val="002E58B9"/>
    <w:rsid w:val="00330777"/>
    <w:rsid w:val="003744C0"/>
    <w:rsid w:val="00385812"/>
    <w:rsid w:val="00387859"/>
    <w:rsid w:val="00391D0E"/>
    <w:rsid w:val="00392D0B"/>
    <w:rsid w:val="003A7AFC"/>
    <w:rsid w:val="003C3D4D"/>
    <w:rsid w:val="003C5B05"/>
    <w:rsid w:val="003C60EF"/>
    <w:rsid w:val="003E509A"/>
    <w:rsid w:val="00426810"/>
    <w:rsid w:val="00431821"/>
    <w:rsid w:val="004412B5"/>
    <w:rsid w:val="00457C02"/>
    <w:rsid w:val="00470263"/>
    <w:rsid w:val="00472DC5"/>
    <w:rsid w:val="004813AC"/>
    <w:rsid w:val="00487FCD"/>
    <w:rsid w:val="004A4BFA"/>
    <w:rsid w:val="004B37A0"/>
    <w:rsid w:val="004B6F5E"/>
    <w:rsid w:val="004D287D"/>
    <w:rsid w:val="004D6B39"/>
    <w:rsid w:val="004F3980"/>
    <w:rsid w:val="00525F44"/>
    <w:rsid w:val="00530F9A"/>
    <w:rsid w:val="00536543"/>
    <w:rsid w:val="005448AA"/>
    <w:rsid w:val="00557293"/>
    <w:rsid w:val="0058276E"/>
    <w:rsid w:val="0059048F"/>
    <w:rsid w:val="00595F6C"/>
    <w:rsid w:val="005C1879"/>
    <w:rsid w:val="005C1B25"/>
    <w:rsid w:val="005D0C30"/>
    <w:rsid w:val="005E7339"/>
    <w:rsid w:val="0060507D"/>
    <w:rsid w:val="0060627E"/>
    <w:rsid w:val="00606BE0"/>
    <w:rsid w:val="00667197"/>
    <w:rsid w:val="00677DE4"/>
    <w:rsid w:val="006B0D6D"/>
    <w:rsid w:val="006B118D"/>
    <w:rsid w:val="006D06D9"/>
    <w:rsid w:val="006D77A6"/>
    <w:rsid w:val="006E27A6"/>
    <w:rsid w:val="006F4996"/>
    <w:rsid w:val="00702109"/>
    <w:rsid w:val="00715A93"/>
    <w:rsid w:val="0072610D"/>
    <w:rsid w:val="00742886"/>
    <w:rsid w:val="00767D5E"/>
    <w:rsid w:val="0077035A"/>
    <w:rsid w:val="00786CE0"/>
    <w:rsid w:val="007A2474"/>
    <w:rsid w:val="007B3F4B"/>
    <w:rsid w:val="007B3FD9"/>
    <w:rsid w:val="007B7347"/>
    <w:rsid w:val="007D10F3"/>
    <w:rsid w:val="007E4776"/>
    <w:rsid w:val="0080338C"/>
    <w:rsid w:val="0082000A"/>
    <w:rsid w:val="00842C13"/>
    <w:rsid w:val="00845815"/>
    <w:rsid w:val="0088540E"/>
    <w:rsid w:val="008F10CD"/>
    <w:rsid w:val="008F192B"/>
    <w:rsid w:val="009058E7"/>
    <w:rsid w:val="00906057"/>
    <w:rsid w:val="009379FC"/>
    <w:rsid w:val="009469F8"/>
    <w:rsid w:val="00957224"/>
    <w:rsid w:val="00973110"/>
    <w:rsid w:val="009908FF"/>
    <w:rsid w:val="00995505"/>
    <w:rsid w:val="009957E4"/>
    <w:rsid w:val="009A32B7"/>
    <w:rsid w:val="009B5889"/>
    <w:rsid w:val="009C40BE"/>
    <w:rsid w:val="009C4A86"/>
    <w:rsid w:val="009E40AB"/>
    <w:rsid w:val="00A053A5"/>
    <w:rsid w:val="00A055E2"/>
    <w:rsid w:val="00A05A68"/>
    <w:rsid w:val="00A10E3B"/>
    <w:rsid w:val="00A65101"/>
    <w:rsid w:val="00A76AEE"/>
    <w:rsid w:val="00A807E3"/>
    <w:rsid w:val="00A9754D"/>
    <w:rsid w:val="00AD37F0"/>
    <w:rsid w:val="00AD71EB"/>
    <w:rsid w:val="00B17769"/>
    <w:rsid w:val="00B36B53"/>
    <w:rsid w:val="00B403BF"/>
    <w:rsid w:val="00B51C5A"/>
    <w:rsid w:val="00B608D9"/>
    <w:rsid w:val="00B609F9"/>
    <w:rsid w:val="00BA0430"/>
    <w:rsid w:val="00BA4055"/>
    <w:rsid w:val="00BA7FB6"/>
    <w:rsid w:val="00BB63D6"/>
    <w:rsid w:val="00BD4D9C"/>
    <w:rsid w:val="00C07F8F"/>
    <w:rsid w:val="00C105D0"/>
    <w:rsid w:val="00C20BFE"/>
    <w:rsid w:val="00C3250A"/>
    <w:rsid w:val="00C47208"/>
    <w:rsid w:val="00C62D46"/>
    <w:rsid w:val="00C65558"/>
    <w:rsid w:val="00C96A7B"/>
    <w:rsid w:val="00C96B0C"/>
    <w:rsid w:val="00CA6F9C"/>
    <w:rsid w:val="00CA72EB"/>
    <w:rsid w:val="00CC1778"/>
    <w:rsid w:val="00CE575B"/>
    <w:rsid w:val="00CF1327"/>
    <w:rsid w:val="00CF3DE8"/>
    <w:rsid w:val="00D0493F"/>
    <w:rsid w:val="00D065BD"/>
    <w:rsid w:val="00D15AF0"/>
    <w:rsid w:val="00D22EAD"/>
    <w:rsid w:val="00D32430"/>
    <w:rsid w:val="00D466A6"/>
    <w:rsid w:val="00D5162C"/>
    <w:rsid w:val="00D56F91"/>
    <w:rsid w:val="00D738B5"/>
    <w:rsid w:val="00D8671C"/>
    <w:rsid w:val="00D94C89"/>
    <w:rsid w:val="00DA57C3"/>
    <w:rsid w:val="00DC3855"/>
    <w:rsid w:val="00DE314F"/>
    <w:rsid w:val="00DF09F2"/>
    <w:rsid w:val="00E22135"/>
    <w:rsid w:val="00E242A8"/>
    <w:rsid w:val="00E274B8"/>
    <w:rsid w:val="00E532E6"/>
    <w:rsid w:val="00E72707"/>
    <w:rsid w:val="00E964B8"/>
    <w:rsid w:val="00EA0558"/>
    <w:rsid w:val="00EB255D"/>
    <w:rsid w:val="00F019ED"/>
    <w:rsid w:val="00F0586E"/>
    <w:rsid w:val="00F33EF7"/>
    <w:rsid w:val="00F42080"/>
    <w:rsid w:val="00F43932"/>
    <w:rsid w:val="00F51C49"/>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PlainText">
    <w:name w:val="Plain Text"/>
    <w:basedOn w:val="Normal"/>
    <w:link w:val="PlainTextChar"/>
    <w:uiPriority w:val="99"/>
    <w:unhideWhenUsed/>
    <w:rsid w:val="00D065BD"/>
    <w:rPr>
      <w:rFonts w:ascii="Calibri" w:eastAsia="Calibri" w:hAnsi="Calibri"/>
      <w:sz w:val="22"/>
      <w:szCs w:val="22"/>
    </w:rPr>
  </w:style>
  <w:style w:type="character" w:customStyle="1" w:styleId="PlainTextChar">
    <w:name w:val="Plain Text Char"/>
    <w:link w:val="PlainText"/>
    <w:uiPriority w:val="99"/>
    <w:rsid w:val="00D065BD"/>
    <w:rPr>
      <w:rFonts w:ascii="Calibri" w:eastAsia="Calibri" w:hAnsi="Calibri"/>
      <w:sz w:val="22"/>
      <w:szCs w:val="22"/>
    </w:rPr>
  </w:style>
  <w:style w:type="character" w:styleId="CommentReference">
    <w:name w:val="annotation reference"/>
    <w:uiPriority w:val="99"/>
    <w:unhideWhenUsed/>
    <w:rsid w:val="00D065BD"/>
    <w:rPr>
      <w:sz w:val="16"/>
      <w:szCs w:val="16"/>
    </w:rPr>
  </w:style>
  <w:style w:type="paragraph" w:styleId="CommentText">
    <w:name w:val="annotation text"/>
    <w:basedOn w:val="Normal"/>
    <w:link w:val="CommentTextChar"/>
    <w:uiPriority w:val="99"/>
    <w:unhideWhenUsed/>
    <w:rsid w:val="00D065BD"/>
    <w:rPr>
      <w:rFonts w:ascii="Calibri" w:eastAsia="Calibri" w:hAnsi="Calibri"/>
      <w:sz w:val="20"/>
    </w:rPr>
  </w:style>
  <w:style w:type="character" w:customStyle="1" w:styleId="CommentTextChar">
    <w:name w:val="Comment Text Char"/>
    <w:link w:val="CommentText"/>
    <w:uiPriority w:val="99"/>
    <w:rsid w:val="00D065BD"/>
    <w:rPr>
      <w:rFonts w:ascii="Calibri" w:eastAsia="Calibri" w:hAnsi="Calibri"/>
    </w:rPr>
  </w:style>
  <w:style w:type="paragraph" w:styleId="ListParagraph">
    <w:name w:val="List Paragraph"/>
    <w:basedOn w:val="Normal"/>
    <w:uiPriority w:val="34"/>
    <w:qFormat/>
    <w:rsid w:val="00284BC8"/>
    <w:pPr>
      <w:spacing w:after="200" w:line="276" w:lineRule="auto"/>
      <w:ind w:left="720"/>
      <w:contextualSpacing/>
    </w:pPr>
    <w:rPr>
      <w:rFonts w:ascii="Calibri" w:eastAsia="Calibri" w:hAnsi="Calibri"/>
      <w:sz w:val="22"/>
      <w:szCs w:val="22"/>
    </w:rPr>
  </w:style>
  <w:style w:type="character" w:styleId="Strong">
    <w:name w:val="Strong"/>
    <w:uiPriority w:val="22"/>
    <w:qFormat/>
    <w:rsid w:val="00284BC8"/>
    <w:rPr>
      <w:b/>
      <w:bCs/>
    </w:rPr>
  </w:style>
  <w:style w:type="character" w:styleId="Emphasis">
    <w:name w:val="Emphasis"/>
    <w:uiPriority w:val="20"/>
    <w:qFormat/>
    <w:rsid w:val="00284BC8"/>
    <w:rPr>
      <w:i/>
      <w:iCs/>
    </w:rPr>
  </w:style>
  <w:style w:type="paragraph" w:styleId="FootnoteText">
    <w:name w:val="footnote text"/>
    <w:basedOn w:val="Normal"/>
    <w:link w:val="FootnoteTextChar"/>
    <w:uiPriority w:val="99"/>
    <w:unhideWhenUsed/>
    <w:rsid w:val="00284BC8"/>
    <w:rPr>
      <w:rFonts w:ascii="Calibri" w:eastAsia="Calibri" w:hAnsi="Calibri"/>
      <w:sz w:val="20"/>
    </w:rPr>
  </w:style>
  <w:style w:type="character" w:customStyle="1" w:styleId="FootnoteTextChar">
    <w:name w:val="Footnote Text Char"/>
    <w:link w:val="FootnoteText"/>
    <w:uiPriority w:val="99"/>
    <w:rsid w:val="00284BC8"/>
    <w:rPr>
      <w:rFonts w:ascii="Calibri" w:eastAsia="Calibri" w:hAnsi="Calibri"/>
    </w:rPr>
  </w:style>
  <w:style w:type="character" w:styleId="FootnoteReference">
    <w:name w:val="footnote reference"/>
    <w:uiPriority w:val="99"/>
    <w:unhideWhenUsed/>
    <w:rsid w:val="00284BC8"/>
    <w:rPr>
      <w:vertAlign w:val="superscript"/>
    </w:rPr>
  </w:style>
  <w:style w:type="paragraph" w:styleId="Header">
    <w:name w:val="header"/>
    <w:basedOn w:val="Normal"/>
    <w:link w:val="HeaderChar"/>
    <w:rsid w:val="00A053A5"/>
    <w:pPr>
      <w:tabs>
        <w:tab w:val="center" w:pos="4680"/>
        <w:tab w:val="right" w:pos="9360"/>
      </w:tabs>
    </w:pPr>
  </w:style>
  <w:style w:type="character" w:customStyle="1" w:styleId="HeaderChar">
    <w:name w:val="Header Char"/>
    <w:link w:val="Header"/>
    <w:rsid w:val="00A053A5"/>
    <w:rPr>
      <w:sz w:val="24"/>
    </w:rPr>
  </w:style>
  <w:style w:type="paragraph" w:styleId="Footer">
    <w:name w:val="footer"/>
    <w:basedOn w:val="Normal"/>
    <w:link w:val="FooterChar"/>
    <w:rsid w:val="00A053A5"/>
    <w:pPr>
      <w:tabs>
        <w:tab w:val="center" w:pos="4680"/>
        <w:tab w:val="right" w:pos="9360"/>
      </w:tabs>
    </w:pPr>
  </w:style>
  <w:style w:type="character" w:customStyle="1" w:styleId="FooterChar">
    <w:name w:val="Footer Char"/>
    <w:link w:val="Footer"/>
    <w:rsid w:val="00A053A5"/>
    <w:rPr>
      <w:sz w:val="24"/>
    </w:rPr>
  </w:style>
  <w:style w:type="paragraph" w:styleId="CommentSubject">
    <w:name w:val="annotation subject"/>
    <w:basedOn w:val="CommentText"/>
    <w:next w:val="CommentText"/>
    <w:link w:val="CommentSubjectChar"/>
    <w:rsid w:val="00E532E6"/>
    <w:rPr>
      <w:rFonts w:ascii="Times New Roman" w:eastAsia="Times New Roman" w:hAnsi="Times New Roman"/>
      <w:b/>
      <w:bCs/>
    </w:rPr>
  </w:style>
  <w:style w:type="character" w:customStyle="1" w:styleId="CommentSubjectChar">
    <w:name w:val="Comment Subject Char"/>
    <w:link w:val="CommentSubject"/>
    <w:rsid w:val="00E532E6"/>
    <w:rPr>
      <w:rFonts w:ascii="Calibri" w:eastAsia="Calibri" w:hAnsi="Calibri"/>
      <w:b/>
      <w:bCs/>
    </w:rPr>
  </w:style>
  <w:style w:type="paragraph" w:styleId="NoSpacing">
    <w:name w:val="No Spacing"/>
    <w:uiPriority w:val="1"/>
    <w:qFormat/>
    <w:rsid w:val="00CA6F9C"/>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PlainText">
    <w:name w:val="Plain Text"/>
    <w:basedOn w:val="Normal"/>
    <w:link w:val="PlainTextChar"/>
    <w:uiPriority w:val="99"/>
    <w:unhideWhenUsed/>
    <w:rsid w:val="00D065BD"/>
    <w:rPr>
      <w:rFonts w:ascii="Calibri" w:eastAsia="Calibri" w:hAnsi="Calibri"/>
      <w:sz w:val="22"/>
      <w:szCs w:val="22"/>
    </w:rPr>
  </w:style>
  <w:style w:type="character" w:customStyle="1" w:styleId="PlainTextChar">
    <w:name w:val="Plain Text Char"/>
    <w:link w:val="PlainText"/>
    <w:uiPriority w:val="99"/>
    <w:rsid w:val="00D065BD"/>
    <w:rPr>
      <w:rFonts w:ascii="Calibri" w:eastAsia="Calibri" w:hAnsi="Calibri"/>
      <w:sz w:val="22"/>
      <w:szCs w:val="22"/>
    </w:rPr>
  </w:style>
  <w:style w:type="character" w:styleId="CommentReference">
    <w:name w:val="annotation reference"/>
    <w:uiPriority w:val="99"/>
    <w:unhideWhenUsed/>
    <w:rsid w:val="00D065BD"/>
    <w:rPr>
      <w:sz w:val="16"/>
      <w:szCs w:val="16"/>
    </w:rPr>
  </w:style>
  <w:style w:type="paragraph" w:styleId="CommentText">
    <w:name w:val="annotation text"/>
    <w:basedOn w:val="Normal"/>
    <w:link w:val="CommentTextChar"/>
    <w:uiPriority w:val="99"/>
    <w:unhideWhenUsed/>
    <w:rsid w:val="00D065BD"/>
    <w:rPr>
      <w:rFonts w:ascii="Calibri" w:eastAsia="Calibri" w:hAnsi="Calibri"/>
      <w:sz w:val="20"/>
    </w:rPr>
  </w:style>
  <w:style w:type="character" w:customStyle="1" w:styleId="CommentTextChar">
    <w:name w:val="Comment Text Char"/>
    <w:link w:val="CommentText"/>
    <w:uiPriority w:val="99"/>
    <w:rsid w:val="00D065BD"/>
    <w:rPr>
      <w:rFonts w:ascii="Calibri" w:eastAsia="Calibri" w:hAnsi="Calibri"/>
    </w:rPr>
  </w:style>
  <w:style w:type="paragraph" w:styleId="ListParagraph">
    <w:name w:val="List Paragraph"/>
    <w:basedOn w:val="Normal"/>
    <w:uiPriority w:val="34"/>
    <w:qFormat/>
    <w:rsid w:val="00284BC8"/>
    <w:pPr>
      <w:spacing w:after="200" w:line="276" w:lineRule="auto"/>
      <w:ind w:left="720"/>
      <w:contextualSpacing/>
    </w:pPr>
    <w:rPr>
      <w:rFonts w:ascii="Calibri" w:eastAsia="Calibri" w:hAnsi="Calibri"/>
      <w:sz w:val="22"/>
      <w:szCs w:val="22"/>
    </w:rPr>
  </w:style>
  <w:style w:type="character" w:styleId="Strong">
    <w:name w:val="Strong"/>
    <w:uiPriority w:val="22"/>
    <w:qFormat/>
    <w:rsid w:val="00284BC8"/>
    <w:rPr>
      <w:b/>
      <w:bCs/>
    </w:rPr>
  </w:style>
  <w:style w:type="character" w:styleId="Emphasis">
    <w:name w:val="Emphasis"/>
    <w:uiPriority w:val="20"/>
    <w:qFormat/>
    <w:rsid w:val="00284BC8"/>
    <w:rPr>
      <w:i/>
      <w:iCs/>
    </w:rPr>
  </w:style>
  <w:style w:type="paragraph" w:styleId="FootnoteText">
    <w:name w:val="footnote text"/>
    <w:basedOn w:val="Normal"/>
    <w:link w:val="FootnoteTextChar"/>
    <w:uiPriority w:val="99"/>
    <w:unhideWhenUsed/>
    <w:rsid w:val="00284BC8"/>
    <w:rPr>
      <w:rFonts w:ascii="Calibri" w:eastAsia="Calibri" w:hAnsi="Calibri"/>
      <w:sz w:val="20"/>
    </w:rPr>
  </w:style>
  <w:style w:type="character" w:customStyle="1" w:styleId="FootnoteTextChar">
    <w:name w:val="Footnote Text Char"/>
    <w:link w:val="FootnoteText"/>
    <w:uiPriority w:val="99"/>
    <w:rsid w:val="00284BC8"/>
    <w:rPr>
      <w:rFonts w:ascii="Calibri" w:eastAsia="Calibri" w:hAnsi="Calibri"/>
    </w:rPr>
  </w:style>
  <w:style w:type="character" w:styleId="FootnoteReference">
    <w:name w:val="footnote reference"/>
    <w:uiPriority w:val="99"/>
    <w:unhideWhenUsed/>
    <w:rsid w:val="00284BC8"/>
    <w:rPr>
      <w:vertAlign w:val="superscript"/>
    </w:rPr>
  </w:style>
  <w:style w:type="paragraph" w:styleId="Header">
    <w:name w:val="header"/>
    <w:basedOn w:val="Normal"/>
    <w:link w:val="HeaderChar"/>
    <w:rsid w:val="00A053A5"/>
    <w:pPr>
      <w:tabs>
        <w:tab w:val="center" w:pos="4680"/>
        <w:tab w:val="right" w:pos="9360"/>
      </w:tabs>
    </w:pPr>
  </w:style>
  <w:style w:type="character" w:customStyle="1" w:styleId="HeaderChar">
    <w:name w:val="Header Char"/>
    <w:link w:val="Header"/>
    <w:rsid w:val="00A053A5"/>
    <w:rPr>
      <w:sz w:val="24"/>
    </w:rPr>
  </w:style>
  <w:style w:type="paragraph" w:styleId="Footer">
    <w:name w:val="footer"/>
    <w:basedOn w:val="Normal"/>
    <w:link w:val="FooterChar"/>
    <w:rsid w:val="00A053A5"/>
    <w:pPr>
      <w:tabs>
        <w:tab w:val="center" w:pos="4680"/>
        <w:tab w:val="right" w:pos="9360"/>
      </w:tabs>
    </w:pPr>
  </w:style>
  <w:style w:type="character" w:customStyle="1" w:styleId="FooterChar">
    <w:name w:val="Footer Char"/>
    <w:link w:val="Footer"/>
    <w:rsid w:val="00A053A5"/>
    <w:rPr>
      <w:sz w:val="24"/>
    </w:rPr>
  </w:style>
  <w:style w:type="paragraph" w:styleId="CommentSubject">
    <w:name w:val="annotation subject"/>
    <w:basedOn w:val="CommentText"/>
    <w:next w:val="CommentText"/>
    <w:link w:val="CommentSubjectChar"/>
    <w:rsid w:val="00E532E6"/>
    <w:rPr>
      <w:rFonts w:ascii="Times New Roman" w:eastAsia="Times New Roman" w:hAnsi="Times New Roman"/>
      <w:b/>
      <w:bCs/>
    </w:rPr>
  </w:style>
  <w:style w:type="character" w:customStyle="1" w:styleId="CommentSubjectChar">
    <w:name w:val="Comment Subject Char"/>
    <w:link w:val="CommentSubject"/>
    <w:rsid w:val="00E532E6"/>
    <w:rPr>
      <w:rFonts w:ascii="Calibri" w:eastAsia="Calibri" w:hAnsi="Calibri"/>
      <w:b/>
      <w:bCs/>
    </w:rPr>
  </w:style>
  <w:style w:type="paragraph" w:styleId="NoSpacing">
    <w:name w:val="No Spacing"/>
    <w:uiPriority w:val="1"/>
    <w:qFormat/>
    <w:rsid w:val="00CA6F9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40078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mass.gov/eohhs/gov/departments/dph/programs/environmental-health/exposure-topics/radiation/environmental-monitoring.html" TargetMode="External"/><Relationship Id="rId1" Type="http://schemas.openxmlformats.org/officeDocument/2006/relationships/hyperlink" Target="https://www.mass.gov/lists/environmental-monitoring-data-for-tritium-in-groundwater-at-pilgrim-nuclear-power-st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DPH Letterhead</Template>
  <TotalTime>0</TotalTime>
  <Pages>4</Pages>
  <Words>924</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6316</CharactersWithSpaces>
  <SharedDoc>false</SharedDoc>
  <HLinks>
    <vt:vector size="12" baseType="variant">
      <vt:variant>
        <vt:i4>3342384</vt:i4>
      </vt:variant>
      <vt:variant>
        <vt:i4>3</vt:i4>
      </vt:variant>
      <vt:variant>
        <vt:i4>0</vt:i4>
      </vt:variant>
      <vt:variant>
        <vt:i4>5</vt:i4>
      </vt:variant>
      <vt:variant>
        <vt:lpwstr>http://www.mass.gov/eohhs/gov/departments/dph/programs/environmental-health/exposure-topics/radiation/environmental-monitoring.html</vt:lpwstr>
      </vt:variant>
      <vt:variant>
        <vt:lpwstr/>
      </vt:variant>
      <vt:variant>
        <vt:i4>1900545</vt:i4>
      </vt:variant>
      <vt:variant>
        <vt:i4>0</vt:i4>
      </vt:variant>
      <vt:variant>
        <vt:i4>0</vt:i4>
      </vt:variant>
      <vt:variant>
        <vt:i4>5</vt:i4>
      </vt:variant>
      <vt:variant>
        <vt:lpwstr>https://www.mass.gov/lists/environmental-monitoring-data-for-tritium-in-groundwater-at-pilgrim-nuclear-power-station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PNPS Updates as of May 1, 2018</dc:title>
  <dc:subject/>
  <dc:creator>Elizabeth Erdman</dc:creator>
  <cp:keywords>3H update report;DRAFT</cp:keywords>
  <cp:lastModifiedBy>AutoBVT</cp:lastModifiedBy>
  <cp:revision>2</cp:revision>
  <cp:lastPrinted>2018-11-30T20:11:00Z</cp:lastPrinted>
  <dcterms:created xsi:type="dcterms:W3CDTF">2018-11-30T20:50:00Z</dcterms:created>
  <dcterms:modified xsi:type="dcterms:W3CDTF">2018-11-30T20:50:00Z</dcterms:modified>
</cp:coreProperties>
</file>