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457C02" w:rsidRDefault="00457C02" w:rsidP="000F315B">
      <w:pPr>
        <w:pStyle w:val="ExecOffice"/>
        <w:framePr w:w="6926" w:wrap="notBeside" w:vAnchor="page" w:x="2884" w:y="711"/>
      </w:pPr>
      <w:r>
        <w:t>Bureau of Environmental Health</w:t>
      </w:r>
    </w:p>
    <w:p w:rsidR="006D06D9" w:rsidRDefault="00617557" w:rsidP="000F315B">
      <w:pPr>
        <w:pStyle w:val="ExecOffice"/>
        <w:framePr w:w="6926" w:wrap="notBeside" w:vAnchor="page" w:x="2884" w:y="7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6A049C" wp14:editId="3D3FA3A6">
                <wp:simplePos x="0" y="0"/>
                <wp:positionH relativeFrom="margin">
                  <wp:posOffset>4845050</wp:posOffset>
                </wp:positionH>
                <wp:positionV relativeFrom="margin">
                  <wp:posOffset>596900</wp:posOffset>
                </wp:positionV>
                <wp:extent cx="1814195" cy="1136015"/>
                <wp:effectExtent l="0" t="0" r="0" b="6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5pt;margin-top:47pt;width:142.85pt;height:89.45pt;z-index:25165414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537DA">
        <w:t>250 Washington Street, Boston, MA 02108-4619</w:t>
      </w:r>
      <w:r w:rsidR="00457C02">
        <w:t xml:space="preserve"> </w:t>
      </w:r>
    </w:p>
    <w:p w:rsidR="00457C02" w:rsidRDefault="00457C02" w:rsidP="000F315B">
      <w:pPr>
        <w:pStyle w:val="ExecOffice"/>
        <w:framePr w:w="6926" w:wrap="notBeside" w:vAnchor="page" w:x="2884" w:y="711"/>
      </w:pPr>
      <w:r>
        <w:t>Phone: 617-624-5757   Fax: 617-624-5777</w:t>
      </w:r>
    </w:p>
    <w:p w:rsidR="00457C02" w:rsidRDefault="00457C02" w:rsidP="000F315B">
      <w:pPr>
        <w:pStyle w:val="ExecOffice"/>
        <w:framePr w:w="6926" w:wrap="notBeside" w:vAnchor="page" w:x="2884" w:y="711"/>
      </w:pPr>
      <w:r>
        <w:t>TTY: 617-624-5286</w:t>
      </w:r>
    </w:p>
    <w:p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D75DC03" wp14:editId="3D864E95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617557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96D2D9" wp14:editId="3C23ACA5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C6B42" w:rsidRDefault="00FC6B42" w:rsidP="0072610D"/>
    <w:p w:rsidR="00FC6B42" w:rsidRDefault="00FC6B42" w:rsidP="0072610D"/>
    <w:p w:rsidR="00966329" w:rsidRDefault="00966329" w:rsidP="0072610D"/>
    <w:p w:rsidR="008B1356" w:rsidRPr="006A7D07" w:rsidRDefault="00966329" w:rsidP="00966329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>Update of</w:t>
      </w:r>
      <w:r w:rsidR="008B1356" w:rsidRPr="006A7D07">
        <w:rPr>
          <w:b/>
          <w:szCs w:val="24"/>
        </w:rPr>
        <w:t xml:space="preserve"> the Tritium in Groundwater Investigation at</w:t>
      </w:r>
    </w:p>
    <w:p w:rsidR="008B1356" w:rsidRPr="006A7D07" w:rsidRDefault="008B1356" w:rsidP="00966329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:rsidR="00284BC8" w:rsidRPr="006A7D07" w:rsidRDefault="00966329" w:rsidP="00966329">
      <w:pPr>
        <w:jc w:val="center"/>
        <w:rPr>
          <w:b/>
          <w:szCs w:val="24"/>
        </w:rPr>
      </w:pPr>
      <w:r w:rsidRPr="006A7D07">
        <w:rPr>
          <w:b/>
          <w:szCs w:val="24"/>
        </w:rPr>
        <w:t>July - December</w:t>
      </w:r>
      <w:r w:rsidR="008B1356" w:rsidRPr="006A7D07">
        <w:rPr>
          <w:b/>
          <w:szCs w:val="24"/>
        </w:rPr>
        <w:t xml:space="preserve"> 2018</w:t>
      </w:r>
    </w:p>
    <w:p w:rsidR="008B1356" w:rsidRPr="008B1356" w:rsidRDefault="008B1356" w:rsidP="00284BC8">
      <w:pPr>
        <w:rPr>
          <w:b/>
          <w:szCs w:val="24"/>
        </w:rPr>
      </w:pPr>
    </w:p>
    <w:p w:rsidR="00106ED6" w:rsidRPr="008B1356" w:rsidRDefault="00106ED6" w:rsidP="00106ED6">
      <w:pPr>
        <w:jc w:val="both"/>
        <w:rPr>
          <w:szCs w:val="24"/>
        </w:rPr>
      </w:pPr>
      <w:r w:rsidRPr="008B1356">
        <w:rPr>
          <w:szCs w:val="24"/>
        </w:rPr>
        <w:t>Th</w:t>
      </w:r>
      <w:r w:rsidR="008B1356" w:rsidRPr="008B1356">
        <w:rPr>
          <w:szCs w:val="24"/>
        </w:rPr>
        <w:t xml:space="preserve">e purpose of this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Pr="008B1356">
        <w:rPr>
          <w:szCs w:val="24"/>
        </w:rPr>
        <w:t>is</w:t>
      </w:r>
      <w:r w:rsidR="008B1356" w:rsidRPr="008B1356">
        <w:rPr>
          <w:szCs w:val="24"/>
        </w:rPr>
        <w:t xml:space="preserve"> to provide an update on the</w:t>
      </w:r>
      <w:r w:rsidRPr="008B1356">
        <w:rPr>
          <w:szCs w:val="24"/>
        </w:rPr>
        <w:t xml:space="preserve"> monitoring </w:t>
      </w:r>
      <w:r w:rsidR="008B1356" w:rsidRPr="008B1356">
        <w:rPr>
          <w:szCs w:val="24"/>
        </w:rPr>
        <w:t>of</w:t>
      </w:r>
      <w:r w:rsidRPr="008B1356">
        <w:rPr>
          <w:szCs w:val="24"/>
        </w:rPr>
        <w:t xml:space="preserve"> tritium in groundwater and surface water</w:t>
      </w:r>
      <w:r w:rsidR="00966329" w:rsidRPr="00966329">
        <w:rPr>
          <w:szCs w:val="24"/>
        </w:rPr>
        <w:t xml:space="preserve"> </w:t>
      </w:r>
      <w:r w:rsidR="00966329" w:rsidRPr="008B1356">
        <w:rPr>
          <w:szCs w:val="24"/>
        </w:rPr>
        <w:t xml:space="preserve">during the </w:t>
      </w:r>
      <w:r w:rsidR="00966329">
        <w:rPr>
          <w:szCs w:val="24"/>
        </w:rPr>
        <w:t>last</w:t>
      </w:r>
      <w:r w:rsidR="00966329" w:rsidRPr="008B1356">
        <w:rPr>
          <w:szCs w:val="24"/>
        </w:rPr>
        <w:t xml:space="preserve"> six months of 2018</w:t>
      </w:r>
      <w:r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Pr="008B1356">
        <w:rPr>
          <w:szCs w:val="24"/>
        </w:rPr>
        <w:t>located in Plymouth, MA.  The history of the investigation, which began in 2010, and previous update reports</w:t>
      </w:r>
      <w:r w:rsidR="00232B7D">
        <w:rPr>
          <w:szCs w:val="24"/>
        </w:rPr>
        <w:t xml:space="preserve"> </w:t>
      </w:r>
      <w:r w:rsidRPr="008B1356">
        <w:rPr>
          <w:szCs w:val="24"/>
        </w:rPr>
        <w:t>are available online</w:t>
      </w:r>
      <w:r w:rsidRPr="008B1356">
        <w:rPr>
          <w:rStyle w:val="FootnoteReference"/>
          <w:szCs w:val="24"/>
        </w:rPr>
        <w:footnoteReference w:id="1"/>
      </w:r>
      <w:r w:rsidRPr="008B1356">
        <w:rPr>
          <w:szCs w:val="24"/>
        </w:rPr>
        <w:t>.</w:t>
      </w:r>
    </w:p>
    <w:p w:rsidR="008B1356" w:rsidRPr="008B1356" w:rsidRDefault="008B1356" w:rsidP="00106ED6">
      <w:pPr>
        <w:jc w:val="both"/>
        <w:rPr>
          <w:szCs w:val="24"/>
        </w:rPr>
      </w:pPr>
    </w:p>
    <w:p w:rsidR="008B1356" w:rsidRPr="008B1356" w:rsidRDefault="008B1356" w:rsidP="00106ED6">
      <w:pPr>
        <w:jc w:val="both"/>
        <w:rPr>
          <w:b/>
          <w:szCs w:val="24"/>
        </w:rPr>
      </w:pPr>
      <w:r w:rsidRPr="008B1356">
        <w:rPr>
          <w:b/>
          <w:szCs w:val="24"/>
        </w:rPr>
        <w:t>BACKGROUND</w:t>
      </w:r>
    </w:p>
    <w:p w:rsidR="00106ED6" w:rsidRPr="008B1356" w:rsidRDefault="00106ED6" w:rsidP="00106ED6">
      <w:pPr>
        <w:jc w:val="both"/>
        <w:rPr>
          <w:szCs w:val="24"/>
        </w:rPr>
      </w:pPr>
    </w:p>
    <w:p w:rsidR="00106ED6" w:rsidRPr="008B1356" w:rsidRDefault="00106ED6" w:rsidP="00106ED6">
      <w:pPr>
        <w:jc w:val="both"/>
        <w:rPr>
          <w:szCs w:val="24"/>
        </w:rPr>
      </w:pPr>
      <w:r w:rsidRPr="008B1356">
        <w:rPr>
          <w:szCs w:val="24"/>
        </w:rPr>
        <w:t xml:space="preserve">Entergy collects samples at 23 groundwater wells and one surface water location on-site at PNPS.  The sampling intervals </w:t>
      </w:r>
      <w:r w:rsidR="005B4EB1" w:rsidRPr="008B1356">
        <w:rPr>
          <w:szCs w:val="24"/>
        </w:rPr>
        <w:t xml:space="preserve">for the </w:t>
      </w:r>
      <w:r w:rsidR="00886DAF">
        <w:rPr>
          <w:szCs w:val="24"/>
        </w:rPr>
        <w:t>last</w:t>
      </w:r>
      <w:r w:rsidR="005B4EB1" w:rsidRPr="008B1356">
        <w:rPr>
          <w:szCs w:val="24"/>
        </w:rPr>
        <w:t xml:space="preserve"> six months of 2018 </w:t>
      </w:r>
      <w:r w:rsidRPr="008B1356">
        <w:rPr>
          <w:szCs w:val="24"/>
        </w:rPr>
        <w:t>range</w:t>
      </w:r>
      <w:r w:rsidR="000428EA" w:rsidRPr="008B1356">
        <w:rPr>
          <w:szCs w:val="24"/>
        </w:rPr>
        <w:t>d</w:t>
      </w:r>
      <w:r w:rsidRPr="008B1356">
        <w:rPr>
          <w:szCs w:val="24"/>
        </w:rPr>
        <w:t xml:space="preserve"> from week</w:t>
      </w:r>
      <w:r w:rsidR="00032BAF" w:rsidRPr="008B1356">
        <w:rPr>
          <w:szCs w:val="24"/>
        </w:rPr>
        <w:t>ly</w:t>
      </w:r>
      <w:r w:rsidRPr="008B1356">
        <w:rPr>
          <w:szCs w:val="24"/>
        </w:rPr>
        <w:t xml:space="preserve"> to quarterly</w:t>
      </w:r>
      <w:r w:rsidR="002334E3" w:rsidRPr="008B1356">
        <w:rPr>
          <w:szCs w:val="24"/>
        </w:rPr>
        <w:t>,</w:t>
      </w:r>
      <w:r w:rsidRPr="008B1356">
        <w:rPr>
          <w:szCs w:val="24"/>
        </w:rPr>
        <w:t xml:space="preserve"> and are based on past monitoring results and analysis of possible tritium pathways</w:t>
      </w:r>
      <w:r w:rsidR="00F90DCB">
        <w:rPr>
          <w:szCs w:val="24"/>
        </w:rPr>
        <w:t xml:space="preserve"> in groundwater</w:t>
      </w:r>
      <w:r w:rsidRPr="008B1356">
        <w:rPr>
          <w:szCs w:val="24"/>
        </w:rPr>
        <w:t xml:space="preserve">. </w:t>
      </w:r>
      <w:r w:rsidR="00F90DCB">
        <w:rPr>
          <w:szCs w:val="24"/>
        </w:rPr>
        <w:t xml:space="preserve"> </w:t>
      </w:r>
      <w:r w:rsidRPr="008B1356">
        <w:rPr>
          <w:szCs w:val="24"/>
        </w:rPr>
        <w:t xml:space="preserve">Well and surface water samples are sent by Entergy to an independent analytical lab, Teledyne, and duplicate (or “split”) samples are provided to </w:t>
      </w:r>
      <w:r w:rsidR="00D55EF6" w:rsidRPr="008B1356">
        <w:rPr>
          <w:szCs w:val="24"/>
        </w:rPr>
        <w:t>the Massachusetts Department of Public Health (</w:t>
      </w:r>
      <w:r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Pr="008B1356">
        <w:rPr>
          <w:szCs w:val="24"/>
        </w:rPr>
        <w:t xml:space="preserve"> for analysis at the Massachusetts Environmental Radiation Lab (MERL).  Entergy regularly r</w:t>
      </w:r>
      <w:r w:rsidR="006B023E" w:rsidRPr="008B1356">
        <w:rPr>
          <w:szCs w:val="24"/>
        </w:rPr>
        <w:t xml:space="preserve">eports the Teledyne results to </w:t>
      </w:r>
      <w:r w:rsidRPr="008B1356">
        <w:rPr>
          <w:szCs w:val="24"/>
        </w:rPr>
        <w:t xml:space="preserve">DPH, </w:t>
      </w:r>
      <w:r w:rsidR="004F0A3A" w:rsidRPr="008B1356">
        <w:rPr>
          <w:szCs w:val="24"/>
        </w:rPr>
        <w:t>the Massachusetts Emergency Management Agency (</w:t>
      </w:r>
      <w:r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Pr="008B1356">
        <w:rPr>
          <w:szCs w:val="24"/>
        </w:rPr>
        <w:t xml:space="preserve">, and </w:t>
      </w:r>
      <w:r w:rsidR="004F0A3A" w:rsidRPr="008B1356">
        <w:rPr>
          <w:szCs w:val="24"/>
        </w:rPr>
        <w:t>the Nuclear Regulatory Committee (</w:t>
      </w:r>
      <w:r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Pr="008B1356">
        <w:rPr>
          <w:szCs w:val="24"/>
        </w:rPr>
        <w:t xml:space="preserve">. </w:t>
      </w:r>
      <w:r w:rsidR="006B6497">
        <w:rPr>
          <w:szCs w:val="24"/>
        </w:rPr>
        <w:t xml:space="preserve"> </w:t>
      </w:r>
      <w:r w:rsidRPr="008B1356">
        <w:rPr>
          <w:szCs w:val="24"/>
        </w:rPr>
        <w:t>Summaries of both</w:t>
      </w:r>
      <w:r w:rsidR="006B023E" w:rsidRPr="008B1356">
        <w:rPr>
          <w:szCs w:val="24"/>
        </w:rPr>
        <w:t xml:space="preserve"> laboratory results are on the </w:t>
      </w:r>
      <w:r w:rsidRPr="008B1356">
        <w:rPr>
          <w:szCs w:val="24"/>
        </w:rPr>
        <w:t>DPH website</w:t>
      </w:r>
      <w:r w:rsidRPr="008B1356">
        <w:rPr>
          <w:szCs w:val="24"/>
          <w:vertAlign w:val="superscript"/>
        </w:rPr>
        <w:t>2</w:t>
      </w:r>
      <w:r w:rsidRPr="008B1356">
        <w:rPr>
          <w:szCs w:val="24"/>
        </w:rPr>
        <w:t xml:space="preserve">.  </w:t>
      </w:r>
    </w:p>
    <w:p w:rsidR="00106ED6" w:rsidRPr="008B1356" w:rsidRDefault="00106ED6" w:rsidP="00106ED6">
      <w:pPr>
        <w:jc w:val="both"/>
        <w:rPr>
          <w:szCs w:val="24"/>
        </w:rPr>
      </w:pPr>
    </w:p>
    <w:p w:rsidR="00106ED6" w:rsidRPr="008B1356" w:rsidRDefault="00106ED6" w:rsidP="00106ED6">
      <w:pPr>
        <w:jc w:val="both"/>
        <w:rPr>
          <w:szCs w:val="24"/>
        </w:rPr>
      </w:pPr>
      <w:r w:rsidRPr="008B1356">
        <w:rPr>
          <w:szCs w:val="24"/>
        </w:rPr>
        <w:t xml:space="preserve">This letter updates results from both Entergy and MERL for sampling performed during the </w:t>
      </w:r>
      <w:r w:rsidR="00CE4376">
        <w:rPr>
          <w:szCs w:val="24"/>
        </w:rPr>
        <w:t>last</w:t>
      </w:r>
      <w:r w:rsidR="00915A2E" w:rsidRPr="008B1356">
        <w:rPr>
          <w:szCs w:val="24"/>
        </w:rPr>
        <w:t xml:space="preserve"> </w:t>
      </w:r>
      <w:r w:rsidRPr="008B1356">
        <w:rPr>
          <w:szCs w:val="24"/>
        </w:rPr>
        <w:t xml:space="preserve">six months of </w:t>
      </w:r>
      <w:r w:rsidR="00915A2E" w:rsidRPr="008B1356">
        <w:rPr>
          <w:szCs w:val="24"/>
        </w:rPr>
        <w:t>2018</w:t>
      </w:r>
      <w:r w:rsidRPr="008B1356">
        <w:rPr>
          <w:szCs w:val="24"/>
        </w:rPr>
        <w:t xml:space="preserve">. </w:t>
      </w:r>
      <w:r w:rsidR="00CE4376">
        <w:rPr>
          <w:szCs w:val="24"/>
        </w:rPr>
        <w:t xml:space="preserve"> </w:t>
      </w:r>
      <w:r w:rsidRPr="008B1356">
        <w:rPr>
          <w:szCs w:val="24"/>
        </w:rPr>
        <w:t xml:space="preserve">Results were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>protective screening level of 3,000 picocuries per liter (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/L),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pCi/L 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and to the US Environmental Protection Agency (EPA) drinking water standard for tritium of 20,000 pCi/L.  The closest municipal drinking water wells are 2.5 miles from PNPS and are not expected to be impacted by on-site tritium sources.   </w:t>
      </w:r>
    </w:p>
    <w:p w:rsidR="00106ED6" w:rsidRPr="008B1356" w:rsidRDefault="00106ED6" w:rsidP="00284BC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4BC8" w:rsidRPr="008B1356" w:rsidRDefault="00966329" w:rsidP="00284BC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SUMMARY</w:t>
      </w:r>
    </w:p>
    <w:p w:rsidR="00284BC8" w:rsidRPr="008B1356" w:rsidRDefault="00284BC8" w:rsidP="00284BC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0047A" w:rsidRPr="00872D98" w:rsidRDefault="00284BC8" w:rsidP="00872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356">
        <w:rPr>
          <w:rFonts w:ascii="Times New Roman" w:hAnsi="Times New Roman"/>
          <w:sz w:val="24"/>
          <w:szCs w:val="24"/>
        </w:rPr>
        <w:t xml:space="preserve">Sampling results for </w:t>
      </w:r>
      <w:r w:rsidR="00A819EE">
        <w:rPr>
          <w:rFonts w:ascii="Times New Roman" w:hAnsi="Times New Roman"/>
          <w:sz w:val="24"/>
          <w:szCs w:val="24"/>
        </w:rPr>
        <w:t>8</w:t>
      </w:r>
      <w:r w:rsidR="00A819EE" w:rsidRPr="001C047A">
        <w:rPr>
          <w:rFonts w:ascii="Times New Roman" w:hAnsi="Times New Roman"/>
          <w:sz w:val="24"/>
          <w:szCs w:val="24"/>
        </w:rPr>
        <w:t xml:space="preserve"> </w:t>
      </w:r>
      <w:r w:rsidRPr="001C047A">
        <w:rPr>
          <w:rFonts w:ascii="Times New Roman" w:hAnsi="Times New Roman"/>
          <w:sz w:val="24"/>
          <w:szCs w:val="24"/>
        </w:rPr>
        <w:t>of 23</w:t>
      </w:r>
      <w:r w:rsidRPr="008B1356">
        <w:rPr>
          <w:rFonts w:ascii="Times New Roman" w:hAnsi="Times New Roman"/>
          <w:sz w:val="24"/>
          <w:szCs w:val="24"/>
        </w:rPr>
        <w:t xml:space="preserve"> routinely sampled groundwater wells indicate no detectable </w:t>
      </w:r>
      <w:r w:rsidR="00F90DCB">
        <w:rPr>
          <w:rFonts w:ascii="Times New Roman" w:hAnsi="Times New Roman"/>
          <w:sz w:val="24"/>
          <w:szCs w:val="24"/>
        </w:rPr>
        <w:t>tritium</w:t>
      </w:r>
      <w:r w:rsidR="0020047A" w:rsidRPr="008B1356">
        <w:rPr>
          <w:rFonts w:ascii="Times New Roman" w:hAnsi="Times New Roman"/>
          <w:sz w:val="24"/>
          <w:szCs w:val="24"/>
        </w:rPr>
        <w:t xml:space="preserve">. </w:t>
      </w:r>
      <w:r w:rsidR="00CE4376">
        <w:rPr>
          <w:rFonts w:ascii="Times New Roman" w:hAnsi="Times New Roman"/>
          <w:sz w:val="24"/>
          <w:szCs w:val="24"/>
        </w:rPr>
        <w:t xml:space="preserve"> </w:t>
      </w:r>
      <w:r w:rsidR="00032BAF" w:rsidRPr="008B1356">
        <w:rPr>
          <w:rFonts w:ascii="Times New Roman" w:hAnsi="Times New Roman"/>
          <w:sz w:val="24"/>
          <w:szCs w:val="24"/>
        </w:rPr>
        <w:t xml:space="preserve">No detectable tritium was measured in surface water samples.  </w:t>
      </w:r>
      <w:r w:rsidR="00391D0E" w:rsidRPr="008B1356">
        <w:rPr>
          <w:rFonts w:ascii="Times New Roman" w:hAnsi="Times New Roman"/>
          <w:sz w:val="24"/>
          <w:szCs w:val="24"/>
        </w:rPr>
        <w:t xml:space="preserve">With the exception of </w:t>
      </w:r>
      <w:r w:rsidR="00A819EE">
        <w:rPr>
          <w:rFonts w:ascii="Times New Roman" w:hAnsi="Times New Roman"/>
          <w:sz w:val="24"/>
          <w:szCs w:val="24"/>
        </w:rPr>
        <w:lastRenderedPageBreak/>
        <w:t>MW-211, MW-215</w:t>
      </w:r>
      <w:r w:rsidR="00A4277A">
        <w:rPr>
          <w:rFonts w:ascii="Times New Roman" w:hAnsi="Times New Roman"/>
          <w:sz w:val="24"/>
          <w:szCs w:val="24"/>
        </w:rPr>
        <w:t>, MW-216,</w:t>
      </w:r>
      <w:r w:rsidR="00A819EE">
        <w:rPr>
          <w:rFonts w:ascii="Times New Roman" w:hAnsi="Times New Roman"/>
          <w:sz w:val="24"/>
          <w:szCs w:val="24"/>
        </w:rPr>
        <w:t xml:space="preserve"> and </w:t>
      </w:r>
      <w:r w:rsidR="00B51C5A" w:rsidRPr="008B1356">
        <w:rPr>
          <w:rFonts w:ascii="Times New Roman" w:hAnsi="Times New Roman"/>
          <w:sz w:val="24"/>
          <w:szCs w:val="24"/>
        </w:rPr>
        <w:t>MW-219</w:t>
      </w:r>
      <w:r w:rsidR="00391D0E" w:rsidRPr="008B1356">
        <w:rPr>
          <w:rFonts w:ascii="Times New Roman" w:hAnsi="Times New Roman"/>
          <w:sz w:val="24"/>
          <w:szCs w:val="24"/>
        </w:rPr>
        <w:t xml:space="preserve">, </w:t>
      </w:r>
      <w:r w:rsidR="00032BAF" w:rsidRPr="008B1356">
        <w:rPr>
          <w:rFonts w:ascii="Times New Roman" w:hAnsi="Times New Roman"/>
          <w:sz w:val="24"/>
          <w:szCs w:val="24"/>
        </w:rPr>
        <w:t xml:space="preserve">tritium levels in </w:t>
      </w:r>
      <w:r w:rsidR="00391D0E" w:rsidRPr="008B1356">
        <w:rPr>
          <w:rFonts w:ascii="Times New Roman" w:hAnsi="Times New Roman"/>
          <w:sz w:val="24"/>
          <w:szCs w:val="24"/>
        </w:rPr>
        <w:t>t</w:t>
      </w:r>
      <w:r w:rsidR="0020047A" w:rsidRPr="008B1356">
        <w:rPr>
          <w:rFonts w:ascii="Times New Roman" w:hAnsi="Times New Roman"/>
          <w:sz w:val="24"/>
          <w:szCs w:val="24"/>
        </w:rPr>
        <w:t xml:space="preserve">he </w:t>
      </w:r>
      <w:r w:rsidRPr="008B1356">
        <w:rPr>
          <w:rFonts w:ascii="Times New Roman" w:hAnsi="Times New Roman"/>
          <w:sz w:val="24"/>
          <w:szCs w:val="24"/>
        </w:rPr>
        <w:t xml:space="preserve">remaining </w:t>
      </w:r>
      <w:r w:rsidR="00106ED6" w:rsidRPr="008B1356">
        <w:rPr>
          <w:rFonts w:ascii="Times New Roman" w:hAnsi="Times New Roman"/>
          <w:sz w:val="24"/>
          <w:szCs w:val="24"/>
        </w:rPr>
        <w:t>1</w:t>
      </w:r>
      <w:r w:rsidR="00C96B0C" w:rsidRPr="008B1356">
        <w:rPr>
          <w:rFonts w:ascii="Times New Roman" w:hAnsi="Times New Roman"/>
          <w:sz w:val="24"/>
          <w:szCs w:val="24"/>
        </w:rPr>
        <w:t>5</w:t>
      </w:r>
      <w:r w:rsidR="00106ED6" w:rsidRPr="008B1356">
        <w:rPr>
          <w:rFonts w:ascii="Times New Roman" w:hAnsi="Times New Roman"/>
          <w:sz w:val="24"/>
          <w:szCs w:val="24"/>
        </w:rPr>
        <w:t xml:space="preserve"> </w:t>
      </w:r>
      <w:r w:rsidR="00C96A7B" w:rsidRPr="008B1356">
        <w:rPr>
          <w:rFonts w:ascii="Times New Roman" w:hAnsi="Times New Roman"/>
          <w:sz w:val="24"/>
          <w:szCs w:val="24"/>
        </w:rPr>
        <w:t xml:space="preserve">wells </w:t>
      </w:r>
      <w:r w:rsidR="00032BAF" w:rsidRPr="008B1356">
        <w:rPr>
          <w:rFonts w:ascii="Times New Roman" w:hAnsi="Times New Roman"/>
          <w:sz w:val="24"/>
          <w:szCs w:val="24"/>
        </w:rPr>
        <w:t xml:space="preserve">were </w:t>
      </w:r>
      <w:r w:rsidR="0088403C">
        <w:rPr>
          <w:rFonts w:ascii="Times New Roman" w:hAnsi="Times New Roman"/>
          <w:sz w:val="24"/>
          <w:szCs w:val="24"/>
        </w:rPr>
        <w:t xml:space="preserve">detectable and </w:t>
      </w:r>
      <w:r w:rsidR="00032BAF" w:rsidRPr="008B1356">
        <w:rPr>
          <w:rFonts w:ascii="Times New Roman" w:hAnsi="Times New Roman"/>
          <w:sz w:val="24"/>
          <w:szCs w:val="24"/>
        </w:rPr>
        <w:t xml:space="preserve">either stable or tended to decrease over time.  </w:t>
      </w:r>
      <w:r w:rsidR="00CF2489" w:rsidRPr="00872D98">
        <w:rPr>
          <w:rFonts w:ascii="Times New Roman" w:hAnsi="Times New Roman"/>
          <w:sz w:val="24"/>
          <w:szCs w:val="24"/>
        </w:rPr>
        <w:t>Results</w:t>
      </w:r>
      <w:r w:rsidR="00032BAF" w:rsidRPr="00872D98">
        <w:rPr>
          <w:rFonts w:ascii="Times New Roman" w:hAnsi="Times New Roman"/>
          <w:sz w:val="24"/>
          <w:szCs w:val="24"/>
        </w:rPr>
        <w:t xml:space="preserve"> were </w:t>
      </w:r>
      <w:r w:rsidR="00036855" w:rsidRPr="00872D98">
        <w:rPr>
          <w:rFonts w:ascii="Times New Roman" w:hAnsi="Times New Roman"/>
          <w:sz w:val="24"/>
          <w:szCs w:val="24"/>
        </w:rPr>
        <w:t>less than</w:t>
      </w:r>
      <w:r w:rsidR="00032BAF" w:rsidRPr="00872D98">
        <w:rPr>
          <w:rFonts w:ascii="Times New Roman" w:hAnsi="Times New Roman"/>
          <w:sz w:val="24"/>
          <w:szCs w:val="24"/>
        </w:rPr>
        <w:t xml:space="preserve"> the EPA drinking water stand</w:t>
      </w:r>
      <w:r w:rsidR="00D55EF6" w:rsidRPr="00872D98">
        <w:rPr>
          <w:rFonts w:ascii="Times New Roman" w:hAnsi="Times New Roman"/>
          <w:sz w:val="24"/>
          <w:szCs w:val="24"/>
        </w:rPr>
        <w:t xml:space="preserve">ard for tritium </w:t>
      </w:r>
      <w:proofErr w:type="gramStart"/>
      <w:r w:rsidR="00D55EF6" w:rsidRPr="00872D98">
        <w:rPr>
          <w:rFonts w:ascii="Times New Roman" w:hAnsi="Times New Roman"/>
          <w:sz w:val="24"/>
          <w:szCs w:val="24"/>
        </w:rPr>
        <w:t>of 20,000 pCi/L</w:t>
      </w:r>
      <w:r w:rsidR="00CF2489" w:rsidRPr="00872D98">
        <w:rPr>
          <w:rFonts w:ascii="Times New Roman" w:hAnsi="Times New Roman"/>
          <w:sz w:val="24"/>
          <w:szCs w:val="24"/>
        </w:rPr>
        <w:t xml:space="preserve"> in all wells except for </w:t>
      </w:r>
      <w:r w:rsidR="0040474A" w:rsidRPr="00872D98">
        <w:rPr>
          <w:rFonts w:ascii="Times New Roman" w:hAnsi="Times New Roman"/>
          <w:sz w:val="24"/>
          <w:szCs w:val="24"/>
        </w:rPr>
        <w:t>MW-</w:t>
      </w:r>
      <w:r w:rsidR="00CF2489" w:rsidRPr="00872D98">
        <w:rPr>
          <w:rFonts w:ascii="Times New Roman" w:hAnsi="Times New Roman"/>
          <w:sz w:val="24"/>
          <w:szCs w:val="24"/>
        </w:rPr>
        <w:t>219</w:t>
      </w:r>
      <w:proofErr w:type="gramEnd"/>
      <w:r w:rsidR="00350377" w:rsidRPr="00872D98">
        <w:rPr>
          <w:rFonts w:ascii="Times New Roman" w:hAnsi="Times New Roman"/>
          <w:sz w:val="24"/>
          <w:szCs w:val="24"/>
        </w:rPr>
        <w:t>.</w:t>
      </w:r>
    </w:p>
    <w:p w:rsidR="00284BC8" w:rsidRPr="008B1356" w:rsidRDefault="00284BC8" w:rsidP="0020047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1356">
        <w:rPr>
          <w:rFonts w:ascii="Times New Roman" w:hAnsi="Times New Roman"/>
          <w:sz w:val="24"/>
          <w:szCs w:val="24"/>
        </w:rPr>
        <w:t xml:space="preserve"> </w:t>
      </w:r>
    </w:p>
    <w:p w:rsidR="008F10CD" w:rsidRPr="008B1356" w:rsidRDefault="00032BAF" w:rsidP="00872D9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356">
        <w:rPr>
          <w:rFonts w:ascii="Times New Roman" w:hAnsi="Times New Roman"/>
          <w:sz w:val="24"/>
          <w:szCs w:val="24"/>
        </w:rPr>
        <w:t xml:space="preserve">Tritium levels </w:t>
      </w:r>
      <w:r w:rsidR="00724BAA" w:rsidRPr="008B1356">
        <w:rPr>
          <w:rFonts w:ascii="Times New Roman" w:hAnsi="Times New Roman"/>
          <w:sz w:val="24"/>
          <w:szCs w:val="24"/>
        </w:rPr>
        <w:t xml:space="preserve">at MW-219 </w:t>
      </w:r>
      <w:r w:rsidR="001C047A">
        <w:rPr>
          <w:rFonts w:ascii="Times New Roman" w:hAnsi="Times New Roman"/>
          <w:sz w:val="24"/>
          <w:szCs w:val="24"/>
        </w:rPr>
        <w:t xml:space="preserve">peaked </w:t>
      </w:r>
      <w:proofErr w:type="gramStart"/>
      <w:r w:rsidR="001C047A">
        <w:rPr>
          <w:rFonts w:ascii="Times New Roman" w:hAnsi="Times New Roman"/>
          <w:sz w:val="24"/>
          <w:szCs w:val="24"/>
        </w:rPr>
        <w:t xml:space="preserve">at </w:t>
      </w:r>
      <w:r w:rsidR="00CA5E0F">
        <w:rPr>
          <w:rFonts w:ascii="Times New Roman" w:hAnsi="Times New Roman"/>
          <w:sz w:val="24"/>
          <w:szCs w:val="24"/>
        </w:rPr>
        <w:t>40</w:t>
      </w:r>
      <w:r w:rsidR="001C047A">
        <w:rPr>
          <w:rFonts w:ascii="Times New Roman" w:hAnsi="Times New Roman"/>
          <w:sz w:val="24"/>
          <w:szCs w:val="24"/>
        </w:rPr>
        <w:t>,</w:t>
      </w:r>
      <w:r w:rsidR="00CA5E0F">
        <w:rPr>
          <w:rFonts w:ascii="Times New Roman" w:hAnsi="Times New Roman"/>
          <w:sz w:val="24"/>
          <w:szCs w:val="24"/>
        </w:rPr>
        <w:t>500</w:t>
      </w:r>
      <w:r w:rsidR="00724BAA" w:rsidRPr="008B1356">
        <w:rPr>
          <w:rFonts w:ascii="Times New Roman" w:hAnsi="Times New Roman"/>
          <w:sz w:val="24"/>
          <w:szCs w:val="24"/>
        </w:rPr>
        <w:t xml:space="preserve"> pCi/L</w:t>
      </w:r>
      <w:proofErr w:type="gramEnd"/>
      <w:r w:rsidR="00724BAA" w:rsidRPr="008B1356">
        <w:rPr>
          <w:rFonts w:ascii="Times New Roman" w:hAnsi="Times New Roman"/>
          <w:sz w:val="24"/>
          <w:szCs w:val="24"/>
        </w:rPr>
        <w:t xml:space="preserve"> </w:t>
      </w:r>
      <w:r w:rsidR="001C047A">
        <w:rPr>
          <w:rFonts w:ascii="Times New Roman" w:hAnsi="Times New Roman"/>
          <w:sz w:val="24"/>
          <w:szCs w:val="24"/>
        </w:rPr>
        <w:t xml:space="preserve">in July.  Tritium levels steadily decreased </w:t>
      </w:r>
      <w:r w:rsidR="006A187F">
        <w:rPr>
          <w:rFonts w:ascii="Times New Roman" w:hAnsi="Times New Roman"/>
          <w:sz w:val="24"/>
          <w:szCs w:val="24"/>
        </w:rPr>
        <w:t>starting in mid-September</w:t>
      </w:r>
      <w:r w:rsidR="007344B3">
        <w:rPr>
          <w:rFonts w:ascii="Times New Roman" w:hAnsi="Times New Roman"/>
          <w:sz w:val="24"/>
          <w:szCs w:val="24"/>
        </w:rPr>
        <w:t xml:space="preserve">, </w:t>
      </w:r>
      <w:r w:rsidR="006A187F">
        <w:rPr>
          <w:rFonts w:ascii="Times New Roman" w:hAnsi="Times New Roman"/>
          <w:sz w:val="24"/>
          <w:szCs w:val="24"/>
        </w:rPr>
        <w:t>stabiliz</w:t>
      </w:r>
      <w:r w:rsidR="007344B3">
        <w:rPr>
          <w:rFonts w:ascii="Times New Roman" w:hAnsi="Times New Roman"/>
          <w:sz w:val="24"/>
          <w:szCs w:val="24"/>
        </w:rPr>
        <w:t>ing</w:t>
      </w:r>
      <w:r w:rsidR="001C04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187F">
        <w:rPr>
          <w:rFonts w:ascii="Times New Roman" w:hAnsi="Times New Roman"/>
          <w:sz w:val="24"/>
          <w:szCs w:val="24"/>
        </w:rPr>
        <w:t>at about 1,000 pCi/L starting in November</w:t>
      </w:r>
      <w:proofErr w:type="gramEnd"/>
      <w:r w:rsidR="006A187F">
        <w:rPr>
          <w:rFonts w:ascii="Times New Roman" w:hAnsi="Times New Roman"/>
          <w:sz w:val="24"/>
          <w:szCs w:val="24"/>
        </w:rPr>
        <w:t>.</w:t>
      </w:r>
      <w:r w:rsidR="005E3109">
        <w:rPr>
          <w:rFonts w:ascii="Times New Roman" w:hAnsi="Times New Roman"/>
          <w:sz w:val="24"/>
          <w:szCs w:val="24"/>
        </w:rPr>
        <w:t xml:space="preserve">  </w:t>
      </w:r>
      <w:r w:rsidR="005E3109" w:rsidRPr="008B1356">
        <w:rPr>
          <w:rFonts w:ascii="Times New Roman" w:hAnsi="Times New Roman"/>
          <w:sz w:val="24"/>
          <w:szCs w:val="24"/>
        </w:rPr>
        <w:t xml:space="preserve">Sampling frequency for MW-219 </w:t>
      </w:r>
      <w:r w:rsidR="005E3109">
        <w:rPr>
          <w:rFonts w:ascii="Times New Roman" w:hAnsi="Times New Roman"/>
          <w:sz w:val="24"/>
          <w:szCs w:val="24"/>
        </w:rPr>
        <w:t>remained at a</w:t>
      </w:r>
      <w:r w:rsidR="005E3109" w:rsidRPr="008B1356">
        <w:rPr>
          <w:rFonts w:ascii="Times New Roman" w:hAnsi="Times New Roman"/>
          <w:sz w:val="24"/>
          <w:szCs w:val="24"/>
        </w:rPr>
        <w:t xml:space="preserve"> weekly </w:t>
      </w:r>
      <w:r w:rsidR="005E3109">
        <w:rPr>
          <w:rFonts w:ascii="Times New Roman" w:hAnsi="Times New Roman"/>
          <w:sz w:val="24"/>
          <w:szCs w:val="24"/>
        </w:rPr>
        <w:t xml:space="preserve">interval through </w:t>
      </w:r>
      <w:r w:rsidR="005E3109" w:rsidRPr="008B1356">
        <w:rPr>
          <w:rFonts w:ascii="Times New Roman" w:hAnsi="Times New Roman"/>
          <w:sz w:val="24"/>
          <w:szCs w:val="24"/>
        </w:rPr>
        <w:t xml:space="preserve">the end </w:t>
      </w:r>
      <w:r w:rsidR="00966329">
        <w:rPr>
          <w:rFonts w:ascii="Times New Roman" w:hAnsi="Times New Roman"/>
          <w:sz w:val="24"/>
          <w:szCs w:val="24"/>
        </w:rPr>
        <w:t xml:space="preserve">of </w:t>
      </w:r>
      <w:r w:rsidR="005E3109">
        <w:rPr>
          <w:rFonts w:ascii="Times New Roman" w:hAnsi="Times New Roman"/>
          <w:sz w:val="24"/>
          <w:szCs w:val="24"/>
        </w:rPr>
        <w:t>2018.</w:t>
      </w:r>
      <w:r w:rsidR="00966329">
        <w:rPr>
          <w:rFonts w:ascii="Times New Roman" w:hAnsi="Times New Roman"/>
          <w:sz w:val="24"/>
          <w:szCs w:val="24"/>
        </w:rPr>
        <w:t xml:space="preserve">  Tritium levels in MW-215, which is downgradient from MW-219, </w:t>
      </w:r>
      <w:r w:rsidR="008860D5">
        <w:rPr>
          <w:rFonts w:ascii="Times New Roman" w:hAnsi="Times New Roman"/>
          <w:sz w:val="24"/>
          <w:szCs w:val="24"/>
        </w:rPr>
        <w:t xml:space="preserve">reached a peak </w:t>
      </w:r>
      <w:proofErr w:type="gramStart"/>
      <w:r w:rsidR="008860D5">
        <w:rPr>
          <w:rFonts w:ascii="Times New Roman" w:hAnsi="Times New Roman"/>
          <w:sz w:val="24"/>
          <w:szCs w:val="24"/>
        </w:rPr>
        <w:t xml:space="preserve">of </w:t>
      </w:r>
      <w:r w:rsidR="00966329">
        <w:rPr>
          <w:rFonts w:ascii="Times New Roman" w:hAnsi="Times New Roman"/>
          <w:sz w:val="24"/>
          <w:szCs w:val="24"/>
        </w:rPr>
        <w:t>3</w:t>
      </w:r>
      <w:r w:rsidR="00A4277A">
        <w:rPr>
          <w:rFonts w:ascii="Times New Roman" w:hAnsi="Times New Roman"/>
          <w:sz w:val="24"/>
          <w:szCs w:val="24"/>
        </w:rPr>
        <w:t>,</w:t>
      </w:r>
      <w:r w:rsidR="008860D5">
        <w:rPr>
          <w:rFonts w:ascii="Times New Roman" w:hAnsi="Times New Roman"/>
          <w:sz w:val="24"/>
          <w:szCs w:val="24"/>
        </w:rPr>
        <w:t xml:space="preserve">394 </w:t>
      </w:r>
      <w:proofErr w:type="spellStart"/>
      <w:r w:rsidR="00966329">
        <w:rPr>
          <w:rFonts w:ascii="Times New Roman" w:hAnsi="Times New Roman"/>
          <w:sz w:val="24"/>
          <w:szCs w:val="24"/>
        </w:rPr>
        <w:t>pCi</w:t>
      </w:r>
      <w:proofErr w:type="spellEnd"/>
      <w:r w:rsidR="00966329">
        <w:rPr>
          <w:rFonts w:ascii="Times New Roman" w:hAnsi="Times New Roman"/>
          <w:sz w:val="24"/>
          <w:szCs w:val="24"/>
        </w:rPr>
        <w:t>/L</w:t>
      </w:r>
      <w:proofErr w:type="gramEnd"/>
      <w:r w:rsidR="00582CF3">
        <w:rPr>
          <w:rFonts w:ascii="Times New Roman" w:hAnsi="Times New Roman"/>
          <w:sz w:val="24"/>
          <w:szCs w:val="24"/>
        </w:rPr>
        <w:t xml:space="preserve"> </w:t>
      </w:r>
      <w:r w:rsidR="00582CF3" w:rsidRPr="006A2D5E">
        <w:rPr>
          <w:rFonts w:ascii="Times New Roman" w:hAnsi="Times New Roman"/>
          <w:sz w:val="24"/>
          <w:szCs w:val="24"/>
        </w:rPr>
        <w:t>at the end of December</w:t>
      </w:r>
      <w:r w:rsidR="00966329">
        <w:rPr>
          <w:rFonts w:ascii="Times New Roman" w:hAnsi="Times New Roman"/>
          <w:sz w:val="24"/>
          <w:szCs w:val="24"/>
        </w:rPr>
        <w:t>.</w:t>
      </w:r>
      <w:r w:rsidR="00B4142B">
        <w:rPr>
          <w:rFonts w:ascii="Times New Roman" w:hAnsi="Times New Roman"/>
          <w:sz w:val="24"/>
          <w:szCs w:val="24"/>
        </w:rPr>
        <w:t xml:space="preserve">  </w:t>
      </w:r>
    </w:p>
    <w:p w:rsidR="008F10CD" w:rsidRPr="008B1356" w:rsidRDefault="008F10CD" w:rsidP="00872D9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F6" w:rsidRDefault="0082371C" w:rsidP="00872D9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Tritium levels exceeded the screening level </w:t>
      </w:r>
      <w:proofErr w:type="gramStart"/>
      <w:r>
        <w:rPr>
          <w:rFonts w:ascii="Times New Roman" w:hAnsi="Times New Roman"/>
          <w:sz w:val="24"/>
          <w:szCs w:val="24"/>
        </w:rPr>
        <w:t xml:space="preserve">of 3,000 pCi/L </w:t>
      </w:r>
      <w:r w:rsidR="0040474A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MW-211 and MW-</w:t>
      </w:r>
      <w:r w:rsidR="00966329">
        <w:rPr>
          <w:rFonts w:ascii="Times New Roman" w:hAnsi="Times New Roman"/>
          <w:sz w:val="24"/>
          <w:szCs w:val="24"/>
        </w:rPr>
        <w:t>216</w:t>
      </w:r>
      <w:proofErr w:type="gramEnd"/>
      <w:r w:rsidR="008B5708">
        <w:rPr>
          <w:rFonts w:ascii="Times New Roman" w:hAnsi="Times New Roman"/>
          <w:sz w:val="24"/>
          <w:szCs w:val="24"/>
        </w:rPr>
        <w:t xml:space="preserve">.  Tritium levels in MW-211 </w:t>
      </w:r>
      <w:r w:rsidR="008860D5">
        <w:rPr>
          <w:rFonts w:ascii="Times New Roman" w:hAnsi="Times New Roman"/>
          <w:sz w:val="24"/>
          <w:szCs w:val="24"/>
        </w:rPr>
        <w:t xml:space="preserve">(which peaked at 4,020 </w:t>
      </w:r>
      <w:proofErr w:type="spellStart"/>
      <w:r w:rsidR="008860D5">
        <w:rPr>
          <w:rFonts w:ascii="Times New Roman" w:hAnsi="Times New Roman"/>
          <w:sz w:val="24"/>
          <w:szCs w:val="24"/>
        </w:rPr>
        <w:t>pCi</w:t>
      </w:r>
      <w:proofErr w:type="spellEnd"/>
      <w:r w:rsidR="008860D5">
        <w:rPr>
          <w:rFonts w:ascii="Times New Roman" w:hAnsi="Times New Roman"/>
          <w:sz w:val="24"/>
          <w:szCs w:val="24"/>
        </w:rPr>
        <w:t xml:space="preserve">/L) </w:t>
      </w:r>
      <w:r w:rsidR="00CF1375">
        <w:rPr>
          <w:rFonts w:ascii="Times New Roman" w:hAnsi="Times New Roman"/>
          <w:sz w:val="24"/>
          <w:szCs w:val="24"/>
        </w:rPr>
        <w:t xml:space="preserve">were attributed to a leak that was </w:t>
      </w:r>
      <w:r w:rsidR="004D3EB5">
        <w:rPr>
          <w:rFonts w:ascii="Times New Roman" w:hAnsi="Times New Roman"/>
          <w:sz w:val="24"/>
          <w:szCs w:val="24"/>
        </w:rPr>
        <w:t>identified in the early fall.</w:t>
      </w:r>
      <w:r w:rsidR="00966329">
        <w:rPr>
          <w:rFonts w:ascii="Times New Roman" w:hAnsi="Times New Roman"/>
          <w:sz w:val="24"/>
          <w:szCs w:val="24"/>
        </w:rPr>
        <w:t xml:space="preserve">  </w:t>
      </w:r>
      <w:r w:rsidR="008860D5">
        <w:rPr>
          <w:rFonts w:ascii="Times New Roman" w:hAnsi="Times New Roman"/>
          <w:sz w:val="24"/>
          <w:szCs w:val="24"/>
        </w:rPr>
        <w:t xml:space="preserve">Levels at </w:t>
      </w:r>
      <w:r w:rsidR="00966329" w:rsidRPr="006A2D5E">
        <w:rPr>
          <w:rFonts w:ascii="Times New Roman" w:hAnsi="Times New Roman"/>
          <w:sz w:val="24"/>
          <w:szCs w:val="24"/>
        </w:rPr>
        <w:t xml:space="preserve">MW-216 </w:t>
      </w:r>
      <w:r w:rsidR="008860D5">
        <w:rPr>
          <w:rFonts w:ascii="Times New Roman" w:hAnsi="Times New Roman"/>
          <w:sz w:val="24"/>
          <w:szCs w:val="24"/>
        </w:rPr>
        <w:t xml:space="preserve">have historically peaked in the fall while, during this monitoring period, they peaked in August at 3,009 </w:t>
      </w:r>
      <w:proofErr w:type="spellStart"/>
      <w:r w:rsidR="008860D5">
        <w:rPr>
          <w:rFonts w:ascii="Times New Roman" w:hAnsi="Times New Roman"/>
          <w:sz w:val="24"/>
          <w:szCs w:val="24"/>
        </w:rPr>
        <w:t>pCi</w:t>
      </w:r>
      <w:proofErr w:type="spellEnd"/>
      <w:r w:rsidR="008860D5">
        <w:rPr>
          <w:rFonts w:ascii="Times New Roman" w:hAnsi="Times New Roman"/>
          <w:sz w:val="24"/>
          <w:szCs w:val="24"/>
        </w:rPr>
        <w:t>/L</w:t>
      </w:r>
      <w:r w:rsidR="00966329" w:rsidRPr="006A2D5E">
        <w:rPr>
          <w:rFonts w:ascii="Times New Roman" w:hAnsi="Times New Roman"/>
          <w:sz w:val="24"/>
          <w:szCs w:val="24"/>
        </w:rPr>
        <w:t>.</w:t>
      </w:r>
    </w:p>
    <w:p w:rsidR="00B4142B" w:rsidRPr="00872D98" w:rsidRDefault="00B4142B" w:rsidP="00872D9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42B" w:rsidRDefault="00B4142B" w:rsidP="00872D9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Entergy identified potential sources of tritium in MW-211 and MW-219 in early fall, and installed containment systems to capture the </w:t>
      </w:r>
      <w:proofErr w:type="spellStart"/>
      <w:r>
        <w:rPr>
          <w:rFonts w:ascii="Times New Roman" w:hAnsi="Times New Roman"/>
          <w:sz w:val="24"/>
          <w:szCs w:val="24"/>
        </w:rPr>
        <w:t>tritiated</w:t>
      </w:r>
      <w:proofErr w:type="spellEnd"/>
      <w:r>
        <w:rPr>
          <w:rFonts w:ascii="Times New Roman" w:hAnsi="Times New Roman"/>
          <w:sz w:val="24"/>
          <w:szCs w:val="24"/>
        </w:rPr>
        <w:t xml:space="preserve"> water while they worked on implementing permanent solutions, which have effectively addressed the problems.</w:t>
      </w:r>
    </w:p>
    <w:p w:rsidR="00872D98" w:rsidRPr="00872D98" w:rsidRDefault="00872D98" w:rsidP="00872D9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2D98" w:rsidRPr="00872D98" w:rsidRDefault="00872D98" w:rsidP="00872D9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D98">
        <w:rPr>
          <w:rFonts w:ascii="Times New Roman" w:hAnsi="Times New Roman"/>
          <w:sz w:val="24"/>
          <w:szCs w:val="24"/>
        </w:rPr>
        <w:t xml:space="preserve">As stated earlier, the closest municipal drinking water wells are 2.5 miles from PNPS and are not expected to be impacted by on-site tritium sources.   </w:t>
      </w:r>
    </w:p>
    <w:p w:rsidR="008860D5" w:rsidRPr="00872D98" w:rsidRDefault="008860D5" w:rsidP="00872D98">
      <w:pPr>
        <w:pStyle w:val="ListParagraph"/>
        <w:rPr>
          <w:rFonts w:ascii="Times New Roman" w:hAnsi="Times New Roman"/>
          <w:sz w:val="24"/>
          <w:szCs w:val="24"/>
        </w:rPr>
      </w:pPr>
    </w:p>
    <w:p w:rsidR="00B4142B" w:rsidRDefault="00284BC8" w:rsidP="00872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42B">
        <w:rPr>
          <w:rFonts w:ascii="Times New Roman" w:hAnsi="Times New Roman"/>
          <w:sz w:val="24"/>
          <w:szCs w:val="24"/>
        </w:rPr>
        <w:t xml:space="preserve">On-site efforts by Entergy </w:t>
      </w:r>
      <w:r w:rsidR="00966329" w:rsidRPr="00B4142B">
        <w:rPr>
          <w:rFonts w:ascii="Times New Roman" w:hAnsi="Times New Roman"/>
          <w:sz w:val="24"/>
          <w:szCs w:val="24"/>
        </w:rPr>
        <w:t xml:space="preserve">have continued to </w:t>
      </w:r>
      <w:r w:rsidRPr="00B4142B">
        <w:rPr>
          <w:rFonts w:ascii="Times New Roman" w:hAnsi="Times New Roman"/>
          <w:sz w:val="24"/>
          <w:szCs w:val="24"/>
        </w:rPr>
        <w:t>focus on identifying sources of tritium and monitoring for new sources</w:t>
      </w:r>
      <w:r w:rsidR="009323E9" w:rsidRPr="00B4142B">
        <w:rPr>
          <w:rFonts w:ascii="Times New Roman" w:hAnsi="Times New Roman"/>
          <w:sz w:val="24"/>
          <w:szCs w:val="24"/>
        </w:rPr>
        <w:t>.</w:t>
      </w:r>
    </w:p>
    <w:p w:rsidR="0020047A" w:rsidRPr="00B4142B" w:rsidRDefault="009323E9" w:rsidP="00872D98">
      <w:pPr>
        <w:rPr>
          <w:b/>
          <w:bCs/>
        </w:rPr>
      </w:pPr>
      <w:r w:rsidRPr="00872D98">
        <w:rPr>
          <w:szCs w:val="24"/>
        </w:rPr>
        <w:t xml:space="preserve">  </w:t>
      </w:r>
    </w:p>
    <w:p w:rsidR="00284BC8" w:rsidRPr="00232B7D" w:rsidRDefault="006B023E" w:rsidP="001820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1356">
        <w:rPr>
          <w:rFonts w:ascii="Times New Roman" w:hAnsi="Times New Roman"/>
          <w:sz w:val="24"/>
          <w:szCs w:val="24"/>
        </w:rPr>
        <w:t xml:space="preserve">Staff from the </w:t>
      </w:r>
      <w:r w:rsidR="00284BC8" w:rsidRPr="008B1356">
        <w:rPr>
          <w:rFonts w:ascii="Times New Roman" w:hAnsi="Times New Roman"/>
          <w:sz w:val="24"/>
          <w:szCs w:val="24"/>
        </w:rPr>
        <w:t>DPH Bureau of Environmental Health continue</w:t>
      </w:r>
      <w:r w:rsidR="00C07F8F" w:rsidRPr="008B1356">
        <w:rPr>
          <w:rFonts w:ascii="Times New Roman" w:hAnsi="Times New Roman"/>
          <w:sz w:val="24"/>
          <w:szCs w:val="24"/>
        </w:rPr>
        <w:t>s</w:t>
      </w:r>
      <w:r w:rsidR="00284BC8" w:rsidRPr="008B1356">
        <w:rPr>
          <w:rFonts w:ascii="Times New Roman" w:hAnsi="Times New Roman"/>
          <w:sz w:val="24"/>
          <w:szCs w:val="24"/>
        </w:rPr>
        <w:t xml:space="preserve"> to review new information from the monitoring efforts and to maintain regular contact with MEMA, NRC, and Entergy.</w:t>
      </w:r>
    </w:p>
    <w:p w:rsidR="00232B7D" w:rsidRPr="00232B7D" w:rsidRDefault="00232B7D" w:rsidP="00182028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84BC8" w:rsidRPr="008B1356" w:rsidRDefault="00284BC8" w:rsidP="00284BC8">
      <w:pPr>
        <w:keepNext/>
        <w:rPr>
          <w:rStyle w:val="Strong"/>
          <w:caps/>
          <w:szCs w:val="24"/>
        </w:rPr>
      </w:pPr>
      <w:r w:rsidRPr="008B1356">
        <w:rPr>
          <w:rStyle w:val="Strong"/>
          <w:caps/>
          <w:szCs w:val="24"/>
        </w:rPr>
        <w:t>Results</w:t>
      </w:r>
    </w:p>
    <w:p w:rsidR="00284BC8" w:rsidRPr="008B1356" w:rsidRDefault="00284BC8" w:rsidP="00284BC8">
      <w:pPr>
        <w:keepNext/>
        <w:rPr>
          <w:rStyle w:val="Strong"/>
          <w:caps/>
          <w:szCs w:val="24"/>
        </w:rPr>
      </w:pPr>
    </w:p>
    <w:p w:rsidR="0030352A" w:rsidRDefault="00284BC8" w:rsidP="00284BC8">
      <w:pPr>
        <w:jc w:val="both"/>
        <w:rPr>
          <w:szCs w:val="24"/>
        </w:rPr>
      </w:pPr>
      <w:r w:rsidRPr="008B1356">
        <w:rPr>
          <w:szCs w:val="24"/>
        </w:rPr>
        <w:t>Of the 23 on-site groundwater wells that are routinely monitored</w:t>
      </w:r>
      <w:r w:rsidRPr="008B1356">
        <w:rPr>
          <w:rStyle w:val="FootnoteReference"/>
          <w:szCs w:val="24"/>
        </w:rPr>
        <w:footnoteReference w:id="2"/>
      </w:r>
      <w:r w:rsidRPr="008B1356">
        <w:rPr>
          <w:szCs w:val="24"/>
        </w:rPr>
        <w:t xml:space="preserve">, </w:t>
      </w:r>
      <w:r w:rsidR="007344B3">
        <w:rPr>
          <w:szCs w:val="24"/>
        </w:rPr>
        <w:t>four</w:t>
      </w:r>
      <w:r w:rsidR="001E7A84" w:rsidRPr="008B1356">
        <w:rPr>
          <w:szCs w:val="24"/>
        </w:rPr>
        <w:t xml:space="preserve"> </w:t>
      </w:r>
      <w:r w:rsidR="0020047A" w:rsidRPr="008B1356">
        <w:rPr>
          <w:szCs w:val="24"/>
        </w:rPr>
        <w:t>(</w:t>
      </w:r>
      <w:r w:rsidR="00A30C6C">
        <w:rPr>
          <w:szCs w:val="24"/>
        </w:rPr>
        <w:t>MW</w:t>
      </w:r>
      <w:r w:rsidR="00EF2A89">
        <w:rPr>
          <w:szCs w:val="24"/>
        </w:rPr>
        <w:t>-</w:t>
      </w:r>
      <w:r w:rsidR="00A30C6C">
        <w:rPr>
          <w:szCs w:val="24"/>
        </w:rPr>
        <w:t>211</w:t>
      </w:r>
      <w:r w:rsidR="007344B3">
        <w:rPr>
          <w:szCs w:val="24"/>
        </w:rPr>
        <w:t xml:space="preserve">, MW-215, </w:t>
      </w:r>
      <w:proofErr w:type="gramStart"/>
      <w:r w:rsidR="007344B3">
        <w:rPr>
          <w:szCs w:val="24"/>
        </w:rPr>
        <w:t>MW</w:t>
      </w:r>
      <w:proofErr w:type="gramEnd"/>
      <w:r w:rsidR="007344B3">
        <w:rPr>
          <w:szCs w:val="24"/>
        </w:rPr>
        <w:t>-216</w:t>
      </w:r>
      <w:r w:rsidR="00A30C6C">
        <w:rPr>
          <w:szCs w:val="24"/>
        </w:rPr>
        <w:t xml:space="preserve"> &amp; </w:t>
      </w:r>
      <w:r w:rsidR="00CF1327" w:rsidRPr="008B1356">
        <w:rPr>
          <w:szCs w:val="24"/>
        </w:rPr>
        <w:t>MW</w:t>
      </w:r>
      <w:r w:rsidR="00EF2A89">
        <w:rPr>
          <w:szCs w:val="24"/>
        </w:rPr>
        <w:t>-</w:t>
      </w:r>
      <w:r w:rsidR="00CF1327" w:rsidRPr="008B1356">
        <w:rPr>
          <w:szCs w:val="24"/>
        </w:rPr>
        <w:t>219</w:t>
      </w:r>
      <w:r w:rsidR="0020047A" w:rsidRPr="008B1356">
        <w:rPr>
          <w:szCs w:val="24"/>
        </w:rPr>
        <w:t>)</w:t>
      </w:r>
      <w:r w:rsidR="00CA72EB" w:rsidRPr="008B1356">
        <w:rPr>
          <w:szCs w:val="24"/>
        </w:rPr>
        <w:t xml:space="preserve"> </w:t>
      </w:r>
      <w:r w:rsidRPr="008B1356">
        <w:rPr>
          <w:szCs w:val="24"/>
        </w:rPr>
        <w:t xml:space="preserve">had tritium </w:t>
      </w:r>
      <w:r w:rsidR="0020037F">
        <w:rPr>
          <w:szCs w:val="24"/>
        </w:rPr>
        <w:t xml:space="preserve">levels greater than </w:t>
      </w:r>
      <w:r w:rsidR="008B5708">
        <w:rPr>
          <w:szCs w:val="24"/>
        </w:rPr>
        <w:t xml:space="preserve">the screening level of </w:t>
      </w:r>
      <w:r w:rsidRPr="008B1356">
        <w:rPr>
          <w:szCs w:val="24"/>
        </w:rPr>
        <w:t xml:space="preserve">3,000 pCi/L during </w:t>
      </w:r>
      <w:r w:rsidR="002018D4" w:rsidRPr="008B1356">
        <w:rPr>
          <w:szCs w:val="24"/>
        </w:rPr>
        <w:t xml:space="preserve">the </w:t>
      </w:r>
      <w:r w:rsidR="00A30C6C">
        <w:rPr>
          <w:szCs w:val="24"/>
        </w:rPr>
        <w:t>second</w:t>
      </w:r>
      <w:r w:rsidR="002018D4" w:rsidRPr="008B1356">
        <w:rPr>
          <w:szCs w:val="24"/>
        </w:rPr>
        <w:t xml:space="preserve"> half of </w:t>
      </w:r>
      <w:r w:rsidR="004F0A3A" w:rsidRPr="008B1356">
        <w:rPr>
          <w:szCs w:val="24"/>
        </w:rPr>
        <w:t>2018</w:t>
      </w:r>
      <w:r w:rsidRPr="008B1356">
        <w:rPr>
          <w:szCs w:val="24"/>
        </w:rPr>
        <w:t xml:space="preserve">. </w:t>
      </w:r>
      <w:r w:rsidR="009370F6">
        <w:rPr>
          <w:szCs w:val="24"/>
        </w:rPr>
        <w:t xml:space="preserve"> </w:t>
      </w:r>
      <w:r w:rsidR="007344B3">
        <w:rPr>
          <w:szCs w:val="24"/>
        </w:rPr>
        <w:t xml:space="preserve">With the exception of MW-219, tritium levels </w:t>
      </w:r>
      <w:r w:rsidRPr="008B1356">
        <w:rPr>
          <w:szCs w:val="24"/>
        </w:rPr>
        <w:t xml:space="preserve">were </w:t>
      </w:r>
      <w:r w:rsidR="0020037F">
        <w:rPr>
          <w:szCs w:val="24"/>
        </w:rPr>
        <w:t>less than</w:t>
      </w:r>
      <w:r w:rsidRPr="008B1356">
        <w:rPr>
          <w:szCs w:val="24"/>
        </w:rPr>
        <w:t xml:space="preserve"> the EPA drinking water standard </w:t>
      </w:r>
      <w:proofErr w:type="gramStart"/>
      <w:r w:rsidRPr="008B1356">
        <w:rPr>
          <w:szCs w:val="24"/>
        </w:rPr>
        <w:t>of 20,000 pCi/L.</w:t>
      </w:r>
      <w:proofErr w:type="gramEnd"/>
      <w:r w:rsidR="00A30C6C">
        <w:rPr>
          <w:szCs w:val="24"/>
        </w:rPr>
        <w:t xml:space="preserve">  </w:t>
      </w:r>
    </w:p>
    <w:p w:rsidR="0030352A" w:rsidRDefault="0030352A" w:rsidP="00284BC8">
      <w:pPr>
        <w:jc w:val="both"/>
        <w:rPr>
          <w:szCs w:val="24"/>
        </w:rPr>
      </w:pPr>
    </w:p>
    <w:p w:rsidR="00966329" w:rsidRDefault="007344B3" w:rsidP="00284BC8">
      <w:pPr>
        <w:jc w:val="both"/>
        <w:rPr>
          <w:szCs w:val="24"/>
        </w:rPr>
      </w:pPr>
      <w:r>
        <w:rPr>
          <w:szCs w:val="24"/>
        </w:rPr>
        <w:t xml:space="preserve">Tritium levels in MW-219 reached a peak </w:t>
      </w:r>
      <w:proofErr w:type="gramStart"/>
      <w:r>
        <w:rPr>
          <w:szCs w:val="24"/>
        </w:rPr>
        <w:t xml:space="preserve">of </w:t>
      </w:r>
      <w:r w:rsidR="00CA5E0F">
        <w:rPr>
          <w:szCs w:val="24"/>
        </w:rPr>
        <w:t>40</w:t>
      </w:r>
      <w:r>
        <w:rPr>
          <w:szCs w:val="24"/>
        </w:rPr>
        <w:t>,</w:t>
      </w:r>
      <w:r w:rsidR="00CA5E0F">
        <w:rPr>
          <w:szCs w:val="24"/>
        </w:rPr>
        <w:t>500</w:t>
      </w:r>
      <w:r>
        <w:rPr>
          <w:szCs w:val="24"/>
        </w:rPr>
        <w:t xml:space="preserve"> pCi/L</w:t>
      </w:r>
      <w:proofErr w:type="gramEnd"/>
      <w:r>
        <w:rPr>
          <w:szCs w:val="24"/>
        </w:rPr>
        <w:t xml:space="preserve"> at the end of July.  Tritium levels in MW-219 steadily decreased between mid-September and the end of October; with the exception of one sample in November and one in December, tritium levels stabilized </w:t>
      </w:r>
      <w:proofErr w:type="gramStart"/>
      <w:r>
        <w:rPr>
          <w:szCs w:val="24"/>
        </w:rPr>
        <w:t>at a</w:t>
      </w:r>
      <w:r w:rsidR="00BF08BE">
        <w:rPr>
          <w:szCs w:val="24"/>
        </w:rPr>
        <w:t>pproximately</w:t>
      </w:r>
      <w:r>
        <w:rPr>
          <w:szCs w:val="24"/>
        </w:rPr>
        <w:t xml:space="preserve"> 1,000 </w:t>
      </w:r>
      <w:proofErr w:type="spellStart"/>
      <w:r>
        <w:rPr>
          <w:szCs w:val="24"/>
        </w:rPr>
        <w:t>pCi</w:t>
      </w:r>
      <w:proofErr w:type="spellEnd"/>
      <w:r>
        <w:rPr>
          <w:szCs w:val="24"/>
        </w:rPr>
        <w:t>/L.</w:t>
      </w:r>
      <w:proofErr w:type="gramEnd"/>
      <w:r w:rsidR="00D91914">
        <w:rPr>
          <w:szCs w:val="24"/>
        </w:rPr>
        <w:t xml:space="preserve">  Tritium levels in MW-215 started increasing in mid-November, reaching a peak </w:t>
      </w:r>
      <w:proofErr w:type="gramStart"/>
      <w:r w:rsidR="00D91914">
        <w:rPr>
          <w:szCs w:val="24"/>
        </w:rPr>
        <w:t xml:space="preserve">of 3,394 </w:t>
      </w:r>
      <w:proofErr w:type="spellStart"/>
      <w:r w:rsidR="00D91914">
        <w:rPr>
          <w:szCs w:val="24"/>
        </w:rPr>
        <w:t>pCi</w:t>
      </w:r>
      <w:proofErr w:type="spellEnd"/>
      <w:r w:rsidR="00D91914">
        <w:rPr>
          <w:szCs w:val="24"/>
        </w:rPr>
        <w:t>/L</w:t>
      </w:r>
      <w:proofErr w:type="gramEnd"/>
      <w:r w:rsidR="00D91914">
        <w:rPr>
          <w:szCs w:val="24"/>
        </w:rPr>
        <w:t xml:space="preserve"> at the end of December.  Given that MW-215 is downgradient from MW-219, elevated tritium levels in MW-215 were not unexpected.</w:t>
      </w:r>
      <w:r>
        <w:rPr>
          <w:szCs w:val="24"/>
        </w:rPr>
        <w:t xml:space="preserve">  </w:t>
      </w:r>
    </w:p>
    <w:p w:rsidR="00966329" w:rsidRDefault="00966329" w:rsidP="00284BC8">
      <w:pPr>
        <w:jc w:val="both"/>
        <w:rPr>
          <w:szCs w:val="24"/>
        </w:rPr>
      </w:pPr>
    </w:p>
    <w:p w:rsidR="009370F6" w:rsidRDefault="00CF1375" w:rsidP="00284BC8">
      <w:pPr>
        <w:jc w:val="both"/>
        <w:rPr>
          <w:szCs w:val="24"/>
        </w:rPr>
      </w:pPr>
      <w:r>
        <w:rPr>
          <w:szCs w:val="24"/>
        </w:rPr>
        <w:lastRenderedPageBreak/>
        <w:t xml:space="preserve">Tritium levels in MW-211, which were </w:t>
      </w:r>
      <w:proofErr w:type="gramStart"/>
      <w:r>
        <w:rPr>
          <w:szCs w:val="24"/>
        </w:rPr>
        <w:t xml:space="preserve">historically less than </w:t>
      </w:r>
      <w:r w:rsidR="008207E4">
        <w:rPr>
          <w:szCs w:val="24"/>
        </w:rPr>
        <w:t>2</w:t>
      </w:r>
      <w:r>
        <w:rPr>
          <w:szCs w:val="24"/>
        </w:rPr>
        <w:t>,000 pCi/L,</w:t>
      </w:r>
      <w:proofErr w:type="gramEnd"/>
      <w:r>
        <w:rPr>
          <w:szCs w:val="24"/>
        </w:rPr>
        <w:t xml:space="preserve"> started to increase at the end of June</w:t>
      </w:r>
      <w:r w:rsidR="000B71AC">
        <w:rPr>
          <w:szCs w:val="24"/>
        </w:rPr>
        <w:t xml:space="preserve">.  Tritium levels in MW-211 </w:t>
      </w:r>
      <w:r w:rsidR="008207E4">
        <w:rPr>
          <w:szCs w:val="24"/>
        </w:rPr>
        <w:t>reach</w:t>
      </w:r>
      <w:r w:rsidR="000B71AC">
        <w:rPr>
          <w:szCs w:val="24"/>
        </w:rPr>
        <w:t>ed</w:t>
      </w:r>
      <w:r w:rsidR="008207E4">
        <w:rPr>
          <w:szCs w:val="24"/>
        </w:rPr>
        <w:t xml:space="preserve"> a peak </w:t>
      </w:r>
      <w:proofErr w:type="gramStart"/>
      <w:r w:rsidR="008207E4">
        <w:rPr>
          <w:szCs w:val="24"/>
        </w:rPr>
        <w:t>of 4,020 pCi/L</w:t>
      </w:r>
      <w:proofErr w:type="gramEnd"/>
      <w:r w:rsidR="008207E4">
        <w:rPr>
          <w:szCs w:val="24"/>
        </w:rPr>
        <w:t xml:space="preserve"> in mid-September, decreasing to less than 2,000 pCi/L by the end of November</w:t>
      </w:r>
      <w:r>
        <w:rPr>
          <w:szCs w:val="24"/>
        </w:rPr>
        <w:t>.</w:t>
      </w:r>
      <w:r w:rsidR="008207E4">
        <w:rPr>
          <w:szCs w:val="24"/>
        </w:rPr>
        <w:t xml:space="preserve"> </w:t>
      </w:r>
      <w:r w:rsidR="0030352A">
        <w:rPr>
          <w:szCs w:val="24"/>
        </w:rPr>
        <w:t xml:space="preserve"> </w:t>
      </w:r>
      <w:r w:rsidR="008207E4">
        <w:rPr>
          <w:szCs w:val="24"/>
        </w:rPr>
        <w:t xml:space="preserve">The maximum tritium level in MW-216, </w:t>
      </w:r>
      <w:proofErr w:type="gramStart"/>
      <w:r w:rsidR="008207E4">
        <w:rPr>
          <w:szCs w:val="24"/>
        </w:rPr>
        <w:t>of 3,</w:t>
      </w:r>
      <w:r w:rsidR="001633B0">
        <w:rPr>
          <w:szCs w:val="24"/>
        </w:rPr>
        <w:t xml:space="preserve">009 </w:t>
      </w:r>
      <w:proofErr w:type="spellStart"/>
      <w:r w:rsidR="001633B0">
        <w:rPr>
          <w:szCs w:val="24"/>
        </w:rPr>
        <w:t>pCi</w:t>
      </w:r>
      <w:proofErr w:type="spellEnd"/>
      <w:r w:rsidR="001633B0">
        <w:rPr>
          <w:szCs w:val="24"/>
        </w:rPr>
        <w:t>/L,</w:t>
      </w:r>
      <w:proofErr w:type="gramEnd"/>
      <w:r w:rsidR="001633B0">
        <w:rPr>
          <w:szCs w:val="24"/>
        </w:rPr>
        <w:t xml:space="preserve"> occurred </w:t>
      </w:r>
      <w:r w:rsidR="00A35CD8">
        <w:rPr>
          <w:szCs w:val="24"/>
        </w:rPr>
        <w:t xml:space="preserve">in </w:t>
      </w:r>
      <w:r w:rsidR="001633B0">
        <w:rPr>
          <w:szCs w:val="24"/>
        </w:rPr>
        <w:t>August.</w:t>
      </w:r>
    </w:p>
    <w:p w:rsidR="009370F6" w:rsidRDefault="009370F6" w:rsidP="00284BC8">
      <w:pPr>
        <w:jc w:val="both"/>
        <w:rPr>
          <w:szCs w:val="24"/>
        </w:rPr>
      </w:pPr>
    </w:p>
    <w:p w:rsidR="001633B0" w:rsidRDefault="009323E9" w:rsidP="00284BC8">
      <w:pPr>
        <w:jc w:val="both"/>
        <w:rPr>
          <w:szCs w:val="24"/>
        </w:rPr>
      </w:pPr>
      <w:r>
        <w:rPr>
          <w:szCs w:val="24"/>
        </w:rPr>
        <w:t>The source of the tritium</w:t>
      </w:r>
      <w:r w:rsidR="00BF08BE">
        <w:rPr>
          <w:szCs w:val="24"/>
        </w:rPr>
        <w:t xml:space="preserve"> in MW-219</w:t>
      </w:r>
      <w:r>
        <w:rPr>
          <w:szCs w:val="24"/>
        </w:rPr>
        <w:t xml:space="preserve">, a leak in a hinge pin cover on a </w:t>
      </w:r>
      <w:proofErr w:type="spellStart"/>
      <w:r>
        <w:rPr>
          <w:szCs w:val="24"/>
        </w:rPr>
        <w:t>feedwater</w:t>
      </w:r>
      <w:proofErr w:type="spellEnd"/>
      <w:r>
        <w:rPr>
          <w:szCs w:val="24"/>
        </w:rPr>
        <w:t xml:space="preserve"> check valve in the steam tunnel, was identified </w:t>
      </w:r>
      <w:r w:rsidR="001633B0">
        <w:rPr>
          <w:szCs w:val="24"/>
        </w:rPr>
        <w:t>in late summer/early fall</w:t>
      </w:r>
      <w:r>
        <w:rPr>
          <w:szCs w:val="24"/>
        </w:rPr>
        <w:t xml:space="preserve">.  </w:t>
      </w:r>
      <w:r w:rsidR="00BF08BE">
        <w:rPr>
          <w:szCs w:val="24"/>
        </w:rPr>
        <w:t xml:space="preserve">Entergy subsequently installed a containment system to divert </w:t>
      </w:r>
      <w:proofErr w:type="spellStart"/>
      <w:r w:rsidR="00BF08BE">
        <w:rPr>
          <w:szCs w:val="24"/>
        </w:rPr>
        <w:t>tritiated</w:t>
      </w:r>
      <w:proofErr w:type="spellEnd"/>
      <w:r w:rsidR="00BF08BE">
        <w:rPr>
          <w:szCs w:val="24"/>
        </w:rPr>
        <w:t xml:space="preserve"> water from entering the groundwater</w:t>
      </w:r>
      <w:r w:rsidR="001633B0">
        <w:rPr>
          <w:szCs w:val="24"/>
        </w:rPr>
        <w:t>, and the leak was permanently fixed in February 2019</w:t>
      </w:r>
      <w:r w:rsidR="00BF08BE">
        <w:rPr>
          <w:szCs w:val="24"/>
        </w:rPr>
        <w:t>.</w:t>
      </w:r>
      <w:r w:rsidR="001633B0">
        <w:rPr>
          <w:szCs w:val="24"/>
        </w:rPr>
        <w:t xml:space="preserve">  A leaking valve in the closed cooling system in the old executive office building was identified as a potential source of tritium in MW-211.  Entergy repaired the valve, installed a containment system, and also re-grouted the expansion joints and sealed the floor in the vicinity of the leaking valve.</w:t>
      </w:r>
    </w:p>
    <w:p w:rsidR="00BF08BE" w:rsidRDefault="00BF08BE" w:rsidP="00284BC8">
      <w:pPr>
        <w:jc w:val="both"/>
        <w:rPr>
          <w:szCs w:val="24"/>
        </w:rPr>
      </w:pPr>
    </w:p>
    <w:p w:rsidR="0001602D" w:rsidRPr="008B1356" w:rsidRDefault="00284BC8" w:rsidP="00284BC8">
      <w:pPr>
        <w:jc w:val="both"/>
        <w:rPr>
          <w:szCs w:val="24"/>
        </w:rPr>
      </w:pPr>
      <w:r w:rsidRPr="008B1356">
        <w:rPr>
          <w:szCs w:val="24"/>
        </w:rPr>
        <w:t xml:space="preserve">Figure 1 shows sampling results in </w:t>
      </w:r>
      <w:r w:rsidR="00617557" w:rsidRPr="008B1356">
        <w:rPr>
          <w:szCs w:val="24"/>
        </w:rPr>
        <w:t xml:space="preserve">2018 </w:t>
      </w:r>
      <w:r w:rsidRPr="008B1356">
        <w:rPr>
          <w:szCs w:val="24"/>
        </w:rPr>
        <w:t xml:space="preserve">for </w:t>
      </w:r>
      <w:r w:rsidR="00BD4D9C" w:rsidRPr="008B1356">
        <w:rPr>
          <w:szCs w:val="24"/>
        </w:rPr>
        <w:t xml:space="preserve">the </w:t>
      </w:r>
      <w:r w:rsidR="00BF08BE">
        <w:rPr>
          <w:szCs w:val="24"/>
        </w:rPr>
        <w:t>four</w:t>
      </w:r>
      <w:r w:rsidR="00B609F9" w:rsidRPr="008B1356">
        <w:rPr>
          <w:szCs w:val="24"/>
        </w:rPr>
        <w:t xml:space="preserve"> </w:t>
      </w:r>
      <w:r w:rsidRPr="008B1356">
        <w:rPr>
          <w:szCs w:val="24"/>
        </w:rPr>
        <w:t xml:space="preserve">wells </w:t>
      </w:r>
      <w:r w:rsidR="008B5708">
        <w:rPr>
          <w:szCs w:val="24"/>
        </w:rPr>
        <w:t xml:space="preserve">at which tritium levels exceeded the screening level of 3,000 pCi/L (MW-211, MW-215, MW-216 and </w:t>
      </w:r>
      <w:r w:rsidR="00BD4D9C" w:rsidRPr="008B1356">
        <w:rPr>
          <w:szCs w:val="24"/>
        </w:rPr>
        <w:t>MW-21</w:t>
      </w:r>
      <w:r w:rsidR="00CF1327" w:rsidRPr="008B1356">
        <w:rPr>
          <w:szCs w:val="24"/>
        </w:rPr>
        <w:t>9</w:t>
      </w:r>
      <w:r w:rsidR="00BD4D9C" w:rsidRPr="008B1356">
        <w:rPr>
          <w:szCs w:val="24"/>
        </w:rPr>
        <w:t>)</w:t>
      </w:r>
      <w:r w:rsidR="00330F67">
        <w:rPr>
          <w:szCs w:val="24"/>
        </w:rPr>
        <w:t>, as well as historic wells of interest (MW-216, MW-218 and MW-219)</w:t>
      </w:r>
      <w:r w:rsidRPr="008B1356">
        <w:rPr>
          <w:szCs w:val="24"/>
        </w:rPr>
        <w:t>.</w:t>
      </w:r>
      <w:r w:rsidR="00B605B3" w:rsidRPr="008B1356">
        <w:rPr>
          <w:szCs w:val="24"/>
        </w:rPr>
        <w:t xml:space="preserve"> </w:t>
      </w:r>
      <w:r w:rsidR="008B5708">
        <w:rPr>
          <w:szCs w:val="24"/>
        </w:rPr>
        <w:t xml:space="preserve"> MW-219 was sampled weekly throughout the last 6 months of 2018; sampling frequency at MW-211 was increased from quarterly to weekly </w:t>
      </w:r>
      <w:r w:rsidR="00330F67">
        <w:rPr>
          <w:szCs w:val="24"/>
        </w:rPr>
        <w:t xml:space="preserve">in August.  MW-215, </w:t>
      </w:r>
      <w:r w:rsidR="008B5708">
        <w:rPr>
          <w:szCs w:val="24"/>
        </w:rPr>
        <w:t xml:space="preserve">MW-216 </w:t>
      </w:r>
      <w:r w:rsidR="00330F67">
        <w:rPr>
          <w:szCs w:val="24"/>
        </w:rPr>
        <w:t xml:space="preserve">and MW-218 </w:t>
      </w:r>
      <w:r w:rsidR="008B5708">
        <w:rPr>
          <w:szCs w:val="24"/>
        </w:rPr>
        <w:t>were sampled every third week</w:t>
      </w:r>
      <w:r w:rsidR="00330F67">
        <w:rPr>
          <w:szCs w:val="24"/>
        </w:rPr>
        <w:t>.</w:t>
      </w:r>
    </w:p>
    <w:p w:rsidR="0001602D" w:rsidRPr="008B1356" w:rsidRDefault="0001602D" w:rsidP="00284BC8">
      <w:pPr>
        <w:jc w:val="both"/>
        <w:rPr>
          <w:szCs w:val="24"/>
        </w:rPr>
      </w:pPr>
    </w:p>
    <w:p w:rsidR="00617557" w:rsidRPr="008B1356" w:rsidRDefault="00330F67" w:rsidP="00284BC8">
      <w:pPr>
        <w:jc w:val="both"/>
        <w:rPr>
          <w:szCs w:val="24"/>
        </w:rPr>
      </w:pPr>
      <w:r>
        <w:rPr>
          <w:szCs w:val="24"/>
        </w:rPr>
        <w:t>The target sampling frequency for</w:t>
      </w:r>
      <w:r w:rsidR="00284BC8" w:rsidRPr="008B1356">
        <w:rPr>
          <w:szCs w:val="24"/>
        </w:rPr>
        <w:t xml:space="preserve"> </w:t>
      </w:r>
      <w:r w:rsidR="003F76C4" w:rsidRPr="008B1356">
        <w:rPr>
          <w:szCs w:val="24"/>
        </w:rPr>
        <w:t xml:space="preserve">MW-206 </w:t>
      </w:r>
      <w:r w:rsidR="005B52D4" w:rsidRPr="008B1356">
        <w:rPr>
          <w:szCs w:val="24"/>
        </w:rPr>
        <w:t xml:space="preserve">is </w:t>
      </w:r>
      <w:r>
        <w:rPr>
          <w:szCs w:val="24"/>
        </w:rPr>
        <w:t xml:space="preserve">also </w:t>
      </w:r>
      <w:r w:rsidR="00BD4D9C" w:rsidRPr="008B1356">
        <w:rPr>
          <w:szCs w:val="24"/>
        </w:rPr>
        <w:t>every third week</w:t>
      </w:r>
      <w:r w:rsidR="005B52D4" w:rsidRPr="008B1356">
        <w:rPr>
          <w:szCs w:val="24"/>
        </w:rPr>
        <w:t>,</w:t>
      </w:r>
      <w:r w:rsidR="00BD4D9C" w:rsidRPr="008B1356">
        <w:rPr>
          <w:szCs w:val="24"/>
        </w:rPr>
        <w:t xml:space="preserve"> </w:t>
      </w:r>
      <w:r w:rsidR="00284BC8" w:rsidRPr="008B1356">
        <w:rPr>
          <w:szCs w:val="24"/>
        </w:rPr>
        <w:t xml:space="preserve">due to </w:t>
      </w:r>
      <w:r>
        <w:rPr>
          <w:szCs w:val="24"/>
        </w:rPr>
        <w:t>its</w:t>
      </w:r>
      <w:r w:rsidR="00284BC8" w:rsidRPr="008B1356">
        <w:rPr>
          <w:szCs w:val="24"/>
        </w:rPr>
        <w:t xml:space="preserve"> location in </w:t>
      </w:r>
      <w:r>
        <w:rPr>
          <w:szCs w:val="24"/>
        </w:rPr>
        <w:t>a preferential pathway</w:t>
      </w:r>
      <w:r w:rsidR="00284BC8" w:rsidRPr="008B1356">
        <w:rPr>
          <w:szCs w:val="24"/>
        </w:rPr>
        <w:t xml:space="preserve"> </w:t>
      </w:r>
      <w:r w:rsidR="00C3250A" w:rsidRPr="008B1356">
        <w:rPr>
          <w:szCs w:val="24"/>
        </w:rPr>
        <w:t xml:space="preserve">of water </w:t>
      </w:r>
      <w:r w:rsidR="00284BC8" w:rsidRPr="008B1356">
        <w:rPr>
          <w:szCs w:val="24"/>
        </w:rPr>
        <w:t>from seismic gaps</w:t>
      </w:r>
      <w:r w:rsidR="00E41E49">
        <w:rPr>
          <w:szCs w:val="24"/>
        </w:rPr>
        <w:t xml:space="preserve"> (i.e., </w:t>
      </w:r>
      <w:r w:rsidR="00A54980">
        <w:rPr>
          <w:szCs w:val="24"/>
        </w:rPr>
        <w:t>separation joints between different parts of a building that allow independent movement during an earthquake)</w:t>
      </w:r>
      <w:r>
        <w:rPr>
          <w:szCs w:val="24"/>
        </w:rPr>
        <w:t xml:space="preserve">; </w:t>
      </w:r>
      <w:r w:rsidR="0001602D" w:rsidRPr="008B1356">
        <w:rPr>
          <w:szCs w:val="24"/>
        </w:rPr>
        <w:t xml:space="preserve">tritium levels </w:t>
      </w:r>
      <w:r>
        <w:rPr>
          <w:szCs w:val="24"/>
        </w:rPr>
        <w:t xml:space="preserve">in this well were low, </w:t>
      </w:r>
      <w:r w:rsidR="00284BC8" w:rsidRPr="008B1356">
        <w:rPr>
          <w:szCs w:val="24"/>
        </w:rPr>
        <w:t xml:space="preserve">ranging from non-detectable to </w:t>
      </w:r>
      <w:r w:rsidR="00CF2489">
        <w:rPr>
          <w:szCs w:val="24"/>
        </w:rPr>
        <w:t>406</w:t>
      </w:r>
      <w:r w:rsidR="00B605B3" w:rsidRPr="008B1356">
        <w:rPr>
          <w:szCs w:val="24"/>
        </w:rPr>
        <w:t xml:space="preserve"> </w:t>
      </w:r>
      <w:r w:rsidR="0001602D" w:rsidRPr="008B1356">
        <w:rPr>
          <w:szCs w:val="24"/>
        </w:rPr>
        <w:t>pCi/L</w:t>
      </w:r>
      <w:r w:rsidR="00284BC8" w:rsidRPr="008B1356">
        <w:rPr>
          <w:szCs w:val="24"/>
        </w:rPr>
        <w:t>.</w:t>
      </w:r>
      <w:r w:rsidR="00D15AF0" w:rsidRPr="008B1356">
        <w:rPr>
          <w:szCs w:val="24"/>
        </w:rPr>
        <w:t xml:space="preserve"> </w:t>
      </w:r>
      <w:r w:rsidR="00CF2489">
        <w:rPr>
          <w:szCs w:val="24"/>
        </w:rPr>
        <w:t xml:space="preserve"> </w:t>
      </w:r>
      <w:r w:rsidR="0020047A" w:rsidRPr="008B1356">
        <w:rPr>
          <w:szCs w:val="24"/>
        </w:rPr>
        <w:t xml:space="preserve">Results for the </w:t>
      </w:r>
      <w:r w:rsidR="00472DC5" w:rsidRPr="008B1356">
        <w:rPr>
          <w:szCs w:val="24"/>
        </w:rPr>
        <w:t xml:space="preserve">17 </w:t>
      </w:r>
      <w:r w:rsidR="00A9452E" w:rsidRPr="008B1356">
        <w:rPr>
          <w:szCs w:val="24"/>
        </w:rPr>
        <w:t xml:space="preserve">wells </w:t>
      </w:r>
      <w:r w:rsidR="0001602D" w:rsidRPr="008B1356">
        <w:rPr>
          <w:szCs w:val="24"/>
        </w:rPr>
        <w:t xml:space="preserve">sampled </w:t>
      </w:r>
      <w:r w:rsidR="00A9452E" w:rsidRPr="008B1356">
        <w:rPr>
          <w:szCs w:val="24"/>
        </w:rPr>
        <w:t>quarterly</w:t>
      </w:r>
      <w:r w:rsidR="00A9452E" w:rsidRPr="008B1356" w:rsidDel="00A9452E">
        <w:rPr>
          <w:szCs w:val="24"/>
        </w:rPr>
        <w:t xml:space="preserve"> </w:t>
      </w:r>
      <w:r w:rsidR="0001602D" w:rsidRPr="008B1356">
        <w:rPr>
          <w:szCs w:val="24"/>
        </w:rPr>
        <w:t xml:space="preserve">ranged from </w:t>
      </w:r>
      <w:r w:rsidR="003F76C4" w:rsidRPr="008B1356">
        <w:rPr>
          <w:szCs w:val="24"/>
        </w:rPr>
        <w:t xml:space="preserve">non-detectable </w:t>
      </w:r>
      <w:proofErr w:type="gramStart"/>
      <w:r w:rsidR="00284BC8" w:rsidRPr="008B1356">
        <w:rPr>
          <w:szCs w:val="24"/>
        </w:rPr>
        <w:t xml:space="preserve">to </w:t>
      </w:r>
      <w:r w:rsidR="00EF2A89">
        <w:rPr>
          <w:szCs w:val="24"/>
        </w:rPr>
        <w:t>1</w:t>
      </w:r>
      <w:r w:rsidR="000011D1" w:rsidRPr="008B1356">
        <w:rPr>
          <w:szCs w:val="24"/>
        </w:rPr>
        <w:t>,</w:t>
      </w:r>
      <w:r w:rsidR="00EF2A89">
        <w:rPr>
          <w:szCs w:val="24"/>
        </w:rPr>
        <w:t>43</w:t>
      </w:r>
      <w:r w:rsidR="002F4301" w:rsidRPr="008B1356">
        <w:rPr>
          <w:szCs w:val="24"/>
        </w:rPr>
        <w:t xml:space="preserve">0 </w:t>
      </w:r>
      <w:proofErr w:type="spellStart"/>
      <w:r w:rsidR="00284BC8" w:rsidRPr="008B1356">
        <w:rPr>
          <w:szCs w:val="24"/>
        </w:rPr>
        <w:t>pCi</w:t>
      </w:r>
      <w:proofErr w:type="spellEnd"/>
      <w:r w:rsidR="00284BC8" w:rsidRPr="008B1356">
        <w:rPr>
          <w:szCs w:val="24"/>
        </w:rPr>
        <w:t>/L</w:t>
      </w:r>
      <w:r w:rsidR="00E17283" w:rsidRPr="008B1356">
        <w:rPr>
          <w:szCs w:val="24"/>
        </w:rPr>
        <w:t xml:space="preserve"> at MW-2</w:t>
      </w:r>
      <w:r w:rsidR="00EF2A89">
        <w:rPr>
          <w:szCs w:val="24"/>
        </w:rPr>
        <w:t>02I</w:t>
      </w:r>
      <w:proofErr w:type="gramEnd"/>
      <w:r w:rsidR="00284BC8" w:rsidRPr="008B1356">
        <w:rPr>
          <w:szCs w:val="24"/>
        </w:rPr>
        <w:t xml:space="preserve">. </w:t>
      </w:r>
      <w:r w:rsidR="00EF2A89">
        <w:rPr>
          <w:szCs w:val="24"/>
        </w:rPr>
        <w:t xml:space="preserve"> </w:t>
      </w:r>
      <w:r w:rsidR="00284BC8" w:rsidRPr="008B1356">
        <w:rPr>
          <w:szCs w:val="24"/>
        </w:rPr>
        <w:t>No tritium was detected in surface water samples collecte</w:t>
      </w:r>
      <w:r w:rsidR="00BD4D9C" w:rsidRPr="008B1356">
        <w:rPr>
          <w:szCs w:val="24"/>
        </w:rPr>
        <w:t xml:space="preserve">d during the </w:t>
      </w:r>
      <w:r w:rsidR="00CF2489">
        <w:rPr>
          <w:szCs w:val="24"/>
        </w:rPr>
        <w:t>second</w:t>
      </w:r>
      <w:r w:rsidR="008211F6" w:rsidRPr="008B1356">
        <w:rPr>
          <w:szCs w:val="24"/>
        </w:rPr>
        <w:t xml:space="preserve"> </w:t>
      </w:r>
      <w:r w:rsidR="00BD4D9C" w:rsidRPr="008B1356">
        <w:rPr>
          <w:szCs w:val="24"/>
        </w:rPr>
        <w:t xml:space="preserve">half of </w:t>
      </w:r>
      <w:r w:rsidR="008211F6" w:rsidRPr="008B1356">
        <w:rPr>
          <w:szCs w:val="24"/>
        </w:rPr>
        <w:t>2018</w:t>
      </w:r>
      <w:r w:rsidR="00284BC8" w:rsidRPr="008B1356">
        <w:rPr>
          <w:szCs w:val="24"/>
        </w:rPr>
        <w:t>.</w:t>
      </w:r>
    </w:p>
    <w:p w:rsidR="00617557" w:rsidRPr="008B1356" w:rsidRDefault="00617557" w:rsidP="00284BC8">
      <w:pPr>
        <w:jc w:val="both"/>
        <w:rPr>
          <w:szCs w:val="24"/>
        </w:rPr>
      </w:pPr>
    </w:p>
    <w:p w:rsidR="00284BC8" w:rsidRPr="008B1356" w:rsidRDefault="00284BC8" w:rsidP="00284BC8">
      <w:pPr>
        <w:rPr>
          <w:rStyle w:val="Emphasis"/>
          <w:b/>
          <w:i w:val="0"/>
          <w:caps/>
          <w:szCs w:val="28"/>
        </w:rPr>
      </w:pPr>
      <w:r w:rsidRPr="008B1356">
        <w:rPr>
          <w:rStyle w:val="Emphasis"/>
          <w:b/>
          <w:i w:val="0"/>
          <w:caps/>
          <w:szCs w:val="28"/>
        </w:rPr>
        <w:t>Discussion</w:t>
      </w:r>
    </w:p>
    <w:p w:rsidR="00284BC8" w:rsidRPr="008B1356" w:rsidRDefault="00284BC8" w:rsidP="00284BC8">
      <w:pPr>
        <w:rPr>
          <w:rStyle w:val="Emphasis"/>
          <w:b/>
          <w:i w:val="0"/>
          <w:caps/>
          <w:szCs w:val="24"/>
        </w:rPr>
      </w:pPr>
    </w:p>
    <w:p w:rsidR="00B609F9" w:rsidRPr="008B1356" w:rsidRDefault="00284BC8" w:rsidP="00B609F9">
      <w:pPr>
        <w:jc w:val="both"/>
        <w:rPr>
          <w:szCs w:val="24"/>
        </w:rPr>
      </w:pPr>
      <w:r w:rsidRPr="008B1356">
        <w:rPr>
          <w:szCs w:val="24"/>
        </w:rPr>
        <w:t xml:space="preserve">Monitoring results for </w:t>
      </w:r>
      <w:r w:rsidR="00915A2E" w:rsidRPr="008B1356">
        <w:rPr>
          <w:szCs w:val="24"/>
        </w:rPr>
        <w:t xml:space="preserve">the </w:t>
      </w:r>
      <w:r w:rsidR="00EF2A89">
        <w:rPr>
          <w:szCs w:val="24"/>
        </w:rPr>
        <w:t>last</w:t>
      </w:r>
      <w:r w:rsidR="00915A2E" w:rsidRPr="008B1356">
        <w:rPr>
          <w:szCs w:val="24"/>
        </w:rPr>
        <w:t xml:space="preserve"> six months of 2018 </w:t>
      </w:r>
      <w:r w:rsidRPr="008B1356">
        <w:rPr>
          <w:szCs w:val="24"/>
        </w:rPr>
        <w:t xml:space="preserve">showed stabilization </w:t>
      </w:r>
      <w:r w:rsidR="00D870B3" w:rsidRPr="008B1356">
        <w:rPr>
          <w:szCs w:val="24"/>
        </w:rPr>
        <w:t xml:space="preserve">or reduction </w:t>
      </w:r>
      <w:r w:rsidRPr="008B1356">
        <w:rPr>
          <w:szCs w:val="24"/>
        </w:rPr>
        <w:t xml:space="preserve">in groundwater tritium levels </w:t>
      </w:r>
      <w:r w:rsidR="00BD4D9C" w:rsidRPr="008B1356">
        <w:rPr>
          <w:szCs w:val="24"/>
        </w:rPr>
        <w:t xml:space="preserve">at </w:t>
      </w:r>
      <w:r w:rsidR="00472DC5" w:rsidRPr="008B1356">
        <w:rPr>
          <w:szCs w:val="24"/>
        </w:rPr>
        <w:t xml:space="preserve">most </w:t>
      </w:r>
      <w:r w:rsidR="00BD4D9C" w:rsidRPr="008B1356">
        <w:rPr>
          <w:szCs w:val="24"/>
        </w:rPr>
        <w:t>wells.</w:t>
      </w:r>
      <w:r w:rsidRPr="008B1356">
        <w:rPr>
          <w:szCs w:val="24"/>
        </w:rPr>
        <w:t xml:space="preserve"> </w:t>
      </w:r>
      <w:r w:rsidR="00692183">
        <w:rPr>
          <w:szCs w:val="24"/>
        </w:rPr>
        <w:t xml:space="preserve"> Tritium levels in MW-216, which </w:t>
      </w:r>
      <w:r w:rsidR="00B609F9" w:rsidRPr="008B1356">
        <w:rPr>
          <w:szCs w:val="24"/>
        </w:rPr>
        <w:t xml:space="preserve">historically </w:t>
      </w:r>
      <w:r w:rsidR="00692183">
        <w:rPr>
          <w:szCs w:val="24"/>
        </w:rPr>
        <w:t xml:space="preserve">have been highest in September and November, peaked </w:t>
      </w:r>
      <w:proofErr w:type="gramStart"/>
      <w:r w:rsidR="00914229" w:rsidRPr="006A2D5E">
        <w:rPr>
          <w:szCs w:val="24"/>
        </w:rPr>
        <w:t xml:space="preserve">at 3,009 </w:t>
      </w:r>
      <w:proofErr w:type="spellStart"/>
      <w:r w:rsidR="00914229" w:rsidRPr="006A2D5E">
        <w:rPr>
          <w:szCs w:val="24"/>
        </w:rPr>
        <w:t>pCi</w:t>
      </w:r>
      <w:proofErr w:type="spellEnd"/>
      <w:r w:rsidR="00914229" w:rsidRPr="006A2D5E">
        <w:rPr>
          <w:szCs w:val="24"/>
        </w:rPr>
        <w:t>/L</w:t>
      </w:r>
      <w:proofErr w:type="gramEnd"/>
      <w:r w:rsidR="00914229">
        <w:rPr>
          <w:szCs w:val="24"/>
        </w:rPr>
        <w:t xml:space="preserve"> </w:t>
      </w:r>
      <w:r w:rsidR="00692183">
        <w:rPr>
          <w:szCs w:val="24"/>
        </w:rPr>
        <w:t>in August</w:t>
      </w:r>
      <w:r w:rsidR="00914229">
        <w:rPr>
          <w:szCs w:val="24"/>
        </w:rPr>
        <w:t>, with lower levels throughout the remainder of the year</w:t>
      </w:r>
      <w:r w:rsidR="00B609F9" w:rsidRPr="008B1356">
        <w:rPr>
          <w:szCs w:val="24"/>
        </w:rPr>
        <w:t xml:space="preserve">. </w:t>
      </w:r>
      <w:r w:rsidR="00EF2A89">
        <w:rPr>
          <w:szCs w:val="24"/>
        </w:rPr>
        <w:t xml:space="preserve"> </w:t>
      </w:r>
      <w:r w:rsidR="00D870B3" w:rsidRPr="008B1356">
        <w:rPr>
          <w:szCs w:val="24"/>
        </w:rPr>
        <w:t xml:space="preserve">Tritium levels at </w:t>
      </w:r>
      <w:r w:rsidR="00B609F9" w:rsidRPr="008B1356">
        <w:rPr>
          <w:szCs w:val="24"/>
        </w:rPr>
        <w:t>MW-218</w:t>
      </w:r>
      <w:r w:rsidR="00914229">
        <w:rPr>
          <w:szCs w:val="24"/>
        </w:rPr>
        <w:t xml:space="preserve">, another </w:t>
      </w:r>
      <w:r w:rsidR="000902C1">
        <w:rPr>
          <w:szCs w:val="24"/>
        </w:rPr>
        <w:t>historic well of interest,</w:t>
      </w:r>
      <w:r w:rsidR="00B609F9" w:rsidRPr="008B1356">
        <w:rPr>
          <w:szCs w:val="24"/>
        </w:rPr>
        <w:t xml:space="preserve"> </w:t>
      </w:r>
      <w:r w:rsidR="00692183">
        <w:rPr>
          <w:szCs w:val="24"/>
        </w:rPr>
        <w:t xml:space="preserve">have stabilized </w:t>
      </w:r>
      <w:proofErr w:type="gramStart"/>
      <w:r w:rsidR="00692183">
        <w:rPr>
          <w:szCs w:val="24"/>
        </w:rPr>
        <w:t>at approximately 1,000 pCi/L</w:t>
      </w:r>
      <w:r w:rsidR="00B609F9" w:rsidRPr="003E750D">
        <w:rPr>
          <w:szCs w:val="24"/>
        </w:rPr>
        <w:t>.</w:t>
      </w:r>
      <w:proofErr w:type="gramEnd"/>
    </w:p>
    <w:p w:rsidR="00387859" w:rsidRPr="008B1356" w:rsidRDefault="00387859" w:rsidP="00284BC8">
      <w:pPr>
        <w:jc w:val="both"/>
        <w:rPr>
          <w:szCs w:val="24"/>
        </w:rPr>
      </w:pPr>
    </w:p>
    <w:p w:rsidR="00656899" w:rsidRPr="00182028" w:rsidRDefault="00D870B3">
      <w:pPr>
        <w:jc w:val="both"/>
        <w:rPr>
          <w:bCs/>
          <w:szCs w:val="24"/>
        </w:rPr>
      </w:pPr>
      <w:r w:rsidRPr="00182028">
        <w:rPr>
          <w:szCs w:val="24"/>
        </w:rPr>
        <w:t xml:space="preserve">Tritium levels at </w:t>
      </w:r>
      <w:r w:rsidR="00CA6F9C" w:rsidRPr="00182028">
        <w:rPr>
          <w:szCs w:val="24"/>
        </w:rPr>
        <w:t>MW-219</w:t>
      </w:r>
      <w:r w:rsidR="00020CAB">
        <w:rPr>
          <w:szCs w:val="24"/>
        </w:rPr>
        <w:t xml:space="preserve"> </w:t>
      </w:r>
      <w:r w:rsidR="00692183">
        <w:rPr>
          <w:szCs w:val="24"/>
        </w:rPr>
        <w:t>peaked at 40</w:t>
      </w:r>
      <w:proofErr w:type="gramStart"/>
      <w:r w:rsidR="00692183">
        <w:rPr>
          <w:szCs w:val="24"/>
        </w:rPr>
        <w:t>,500</w:t>
      </w:r>
      <w:r w:rsidRPr="00182028">
        <w:rPr>
          <w:szCs w:val="24"/>
        </w:rPr>
        <w:t>0</w:t>
      </w:r>
      <w:proofErr w:type="gramEnd"/>
      <w:r w:rsidRPr="00182028">
        <w:rPr>
          <w:szCs w:val="24"/>
        </w:rPr>
        <w:t xml:space="preserve"> pCi/L </w:t>
      </w:r>
      <w:r w:rsidR="00692183">
        <w:rPr>
          <w:szCs w:val="24"/>
        </w:rPr>
        <w:t xml:space="preserve">on July 30.  Starting in mid-September, tritium levels steadily decreased and have </w:t>
      </w:r>
      <w:r w:rsidR="00014F24">
        <w:rPr>
          <w:szCs w:val="24"/>
        </w:rPr>
        <w:t xml:space="preserve">now </w:t>
      </w:r>
      <w:r w:rsidR="00692183">
        <w:rPr>
          <w:szCs w:val="24"/>
        </w:rPr>
        <w:t>stabilized at approximately 1,000 pCi/L</w:t>
      </w:r>
      <w:r w:rsidR="003E750D">
        <w:rPr>
          <w:szCs w:val="24"/>
        </w:rPr>
        <w:t xml:space="preserve">.  Entergy identified the source of tritium in MW-219 and subsequently installed a containment system to divert </w:t>
      </w:r>
      <w:proofErr w:type="spellStart"/>
      <w:r w:rsidR="003E750D">
        <w:rPr>
          <w:szCs w:val="24"/>
        </w:rPr>
        <w:t>tritiated</w:t>
      </w:r>
      <w:proofErr w:type="spellEnd"/>
      <w:r w:rsidR="003E750D">
        <w:rPr>
          <w:szCs w:val="24"/>
        </w:rPr>
        <w:t xml:space="preserve"> water from entering the groundwater.  Entergy also took steps to address the source of tritium</w:t>
      </w:r>
      <w:r w:rsidR="00692183">
        <w:rPr>
          <w:szCs w:val="24"/>
        </w:rPr>
        <w:t xml:space="preserve"> </w:t>
      </w:r>
      <w:r w:rsidR="003E750D">
        <w:rPr>
          <w:szCs w:val="24"/>
        </w:rPr>
        <w:t>– a valve leak in the steam tunnel</w:t>
      </w:r>
      <w:r w:rsidR="00014F24">
        <w:rPr>
          <w:szCs w:val="24"/>
        </w:rPr>
        <w:t>, which is now resolved</w:t>
      </w:r>
      <w:r w:rsidR="003E750D">
        <w:rPr>
          <w:szCs w:val="24"/>
        </w:rPr>
        <w:t>.</w:t>
      </w:r>
      <w:r w:rsidR="004D3EB5">
        <w:rPr>
          <w:szCs w:val="24"/>
        </w:rPr>
        <w:t xml:space="preserve">  Tritium levels in MW-211, which increased to 4,020 pCi/L in August, subsequently decreased once the source was identified and the issue remedied.  The increase in tritium levels in MW-215 is expected, given its downgradient location from MW-219, although </w:t>
      </w:r>
      <w:r w:rsidR="000902C1">
        <w:rPr>
          <w:szCs w:val="24"/>
        </w:rPr>
        <w:t xml:space="preserve">the maximum </w:t>
      </w:r>
      <w:r w:rsidR="004D3EB5">
        <w:rPr>
          <w:szCs w:val="24"/>
        </w:rPr>
        <w:t xml:space="preserve">level in MW-215 </w:t>
      </w:r>
      <w:r w:rsidR="000902C1">
        <w:rPr>
          <w:szCs w:val="24"/>
        </w:rPr>
        <w:t xml:space="preserve">should </w:t>
      </w:r>
      <w:r w:rsidR="004D3EB5">
        <w:rPr>
          <w:szCs w:val="24"/>
        </w:rPr>
        <w:t xml:space="preserve">not be as high as </w:t>
      </w:r>
      <w:r w:rsidR="000902C1">
        <w:rPr>
          <w:szCs w:val="24"/>
        </w:rPr>
        <w:t xml:space="preserve">the maximum observed </w:t>
      </w:r>
      <w:r w:rsidR="004D3EB5">
        <w:rPr>
          <w:szCs w:val="24"/>
        </w:rPr>
        <w:t>in MW-219.</w:t>
      </w:r>
    </w:p>
    <w:p w:rsidR="00B609F9" w:rsidRPr="008B1356" w:rsidRDefault="00B609F9" w:rsidP="00656899">
      <w:pPr>
        <w:pStyle w:val="NoSpacing"/>
        <w:jc w:val="both"/>
        <w:rPr>
          <w:rFonts w:ascii="Times New Roman" w:hAnsi="Times New Roman"/>
          <w:szCs w:val="24"/>
        </w:rPr>
      </w:pPr>
    </w:p>
    <w:p w:rsidR="00B609F9" w:rsidRPr="008B1356" w:rsidRDefault="004D3EB5" w:rsidP="00B609F9">
      <w:pPr>
        <w:jc w:val="both"/>
        <w:rPr>
          <w:szCs w:val="24"/>
        </w:rPr>
      </w:pPr>
      <w:r w:rsidRPr="008B1356">
        <w:rPr>
          <w:szCs w:val="24"/>
        </w:rPr>
        <w:t xml:space="preserve">Periodic reduced power events at the plant have continued to allow entry to the high-radiation Condenser Bay area to check and repair any leaks and inspect the seismic gap areas that were previously sealed. </w:t>
      </w:r>
    </w:p>
    <w:p w:rsidR="00284BC8" w:rsidRPr="008B1356" w:rsidRDefault="00284BC8" w:rsidP="00284BC8">
      <w:pPr>
        <w:jc w:val="both"/>
        <w:rPr>
          <w:szCs w:val="24"/>
        </w:rPr>
      </w:pPr>
    </w:p>
    <w:p w:rsidR="009058E7" w:rsidRDefault="006B023E" w:rsidP="009058E7">
      <w:pPr>
        <w:jc w:val="both"/>
        <w:rPr>
          <w:szCs w:val="24"/>
        </w:rPr>
      </w:pPr>
      <w:r w:rsidRPr="008B1356">
        <w:rPr>
          <w:szCs w:val="24"/>
        </w:rPr>
        <w:t xml:space="preserve">Staff from the </w:t>
      </w:r>
      <w:r w:rsidR="00284BC8" w:rsidRPr="008B1356">
        <w:rPr>
          <w:szCs w:val="24"/>
        </w:rPr>
        <w:t>DPH Bureau of Environmental Health will continue to review groundwater monitoring results, and maintain contact with MEMA, NRC, and Entergy to discuss on-going tritium in groundwater activities at PNPS.</w:t>
      </w:r>
      <w:r w:rsidR="00166DCE">
        <w:rPr>
          <w:rFonts w:ascii="Calibri" w:hAnsi="Calibri"/>
          <w:szCs w:val="24"/>
        </w:rPr>
        <w:br w:type="page"/>
      </w:r>
    </w:p>
    <w:p w:rsidR="009058E7" w:rsidRDefault="00CA5E0F" w:rsidP="009058E7">
      <w:pPr>
        <w:jc w:val="both"/>
        <w:rPr>
          <w:rFonts w:ascii="Calibri" w:hAnsi="Calibri"/>
          <w:color w:val="000000"/>
          <w:kern w:val="24"/>
          <w:sz w:val="22"/>
        </w:rPr>
      </w:pPr>
      <w:r>
        <w:rPr>
          <w:noProof/>
        </w:rPr>
        <w:lastRenderedPageBreak/>
        <w:drawing>
          <wp:inline distT="0" distB="0" distL="0" distR="0" wp14:anchorId="5861A45F" wp14:editId="34EBBCEF">
            <wp:extent cx="5619750" cy="40767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053A5" w:rsidRPr="00C47208">
        <w:rPr>
          <w:rFonts w:ascii="Calibri" w:hAnsi="Calibri"/>
          <w:color w:val="000000"/>
          <w:kern w:val="24"/>
          <w:sz w:val="22"/>
        </w:rPr>
        <w:t xml:space="preserve">                </w:t>
      </w:r>
    </w:p>
    <w:tbl>
      <w:tblPr>
        <w:tblStyle w:val="TableGrid"/>
        <w:tblW w:w="1089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3510"/>
        <w:gridCol w:w="3510"/>
      </w:tblGrid>
      <w:tr w:rsidR="004A4100" w:rsidTr="00737D1F">
        <w:tc>
          <w:tcPr>
            <w:tcW w:w="3870" w:type="dxa"/>
          </w:tcPr>
          <w:p w:rsidR="00750869" w:rsidRDefault="00737D1F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2BBF04B" wp14:editId="0EFE546D">
                  <wp:extent cx="2457450" cy="245745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750869" w:rsidRDefault="00737D1F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DF991A5" wp14:editId="7A553BAF">
                  <wp:extent cx="2438400" cy="2457450"/>
                  <wp:effectExtent l="0" t="0" r="0" b="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750869" w:rsidRDefault="00737D1F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2DF9320" wp14:editId="461BF157">
                  <wp:extent cx="2381250" cy="2457450"/>
                  <wp:effectExtent l="0" t="0" r="0" b="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284BC8" w:rsidRDefault="00284BC8" w:rsidP="00185D28">
      <w:pPr>
        <w:jc w:val="both"/>
        <w:rPr>
          <w:color w:val="000000"/>
          <w:kern w:val="24"/>
          <w:sz w:val="22"/>
        </w:rPr>
      </w:pPr>
      <w:proofErr w:type="gramStart"/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>.</w:t>
      </w:r>
      <w:proofErr w:type="gramEnd"/>
      <w:r w:rsidRPr="006F4F25">
        <w:rPr>
          <w:color w:val="000000"/>
          <w:kern w:val="24"/>
          <w:sz w:val="22"/>
        </w:rPr>
        <w:t xml:space="preserve"> </w:t>
      </w:r>
      <w:r w:rsidR="00A053A5" w:rsidRPr="006F4F25">
        <w:rPr>
          <w:color w:val="000000"/>
          <w:kern w:val="24"/>
          <w:sz w:val="22"/>
        </w:rPr>
        <w:t xml:space="preserve"> </w:t>
      </w:r>
      <w:r w:rsidR="00915A2E" w:rsidRPr="006F4F25">
        <w:rPr>
          <w:color w:val="000000"/>
          <w:kern w:val="24"/>
          <w:sz w:val="22"/>
        </w:rPr>
        <w:t xml:space="preserve">2018 </w:t>
      </w:r>
      <w:r w:rsidR="008B7ACD">
        <w:rPr>
          <w:color w:val="000000"/>
          <w:kern w:val="24"/>
          <w:sz w:val="22"/>
        </w:rPr>
        <w:t xml:space="preserve">results for wells with tritium levels greater than 3,000 pCi/L </w:t>
      </w:r>
      <w:r w:rsidRPr="006F4F25">
        <w:rPr>
          <w:color w:val="000000"/>
          <w:kern w:val="24"/>
          <w:sz w:val="22"/>
        </w:rPr>
        <w:t xml:space="preserve">and historical results for </w:t>
      </w:r>
      <w:r w:rsidR="009469F8" w:rsidRPr="006F4F25">
        <w:rPr>
          <w:color w:val="000000"/>
          <w:kern w:val="24"/>
          <w:sz w:val="22"/>
        </w:rPr>
        <w:t xml:space="preserve">three </w:t>
      </w:r>
      <w:r w:rsidRPr="006F4F25">
        <w:rPr>
          <w:color w:val="000000"/>
          <w:kern w:val="24"/>
          <w:sz w:val="22"/>
        </w:rPr>
        <w:t>wells of interest</w:t>
      </w:r>
      <w:r w:rsidR="00DF32DC">
        <w:rPr>
          <w:color w:val="000000"/>
          <w:kern w:val="24"/>
          <w:sz w:val="22"/>
        </w:rPr>
        <w:t xml:space="preserve"> (</w:t>
      </w:r>
      <w:r w:rsidR="005F3354">
        <w:rPr>
          <w:color w:val="000000"/>
          <w:kern w:val="24"/>
          <w:sz w:val="22"/>
        </w:rPr>
        <w:t>MW-216, MW-218 and</w:t>
      </w:r>
      <w:r w:rsidR="009469F8" w:rsidRPr="006F4F25">
        <w:rPr>
          <w:color w:val="000000"/>
          <w:kern w:val="24"/>
          <w:sz w:val="22"/>
        </w:rPr>
        <w:t xml:space="preserve"> MW-219</w:t>
      </w:r>
      <w:r w:rsidR="00DF32DC">
        <w:rPr>
          <w:color w:val="000000"/>
          <w:kern w:val="24"/>
          <w:sz w:val="22"/>
        </w:rPr>
        <w:t>)</w:t>
      </w:r>
      <w:r w:rsidRPr="006F4F25">
        <w:rPr>
          <w:color w:val="000000"/>
          <w:kern w:val="24"/>
          <w:sz w:val="22"/>
        </w:rPr>
        <w:t xml:space="preserve"> from tritium in groundwater samples collected from Pilgrim Nuclear Power Station (PNPS). </w:t>
      </w:r>
      <w:r w:rsidR="005F3354">
        <w:rPr>
          <w:color w:val="000000"/>
          <w:kern w:val="24"/>
          <w:sz w:val="22"/>
        </w:rPr>
        <w:t xml:space="preserve"> </w:t>
      </w:r>
      <w:r w:rsidRPr="006F4F25">
        <w:rPr>
          <w:color w:val="000000"/>
          <w:kern w:val="24"/>
          <w:sz w:val="22"/>
        </w:rPr>
        <w:t xml:space="preserve">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>DPH (dotted lines) produced results.  The solid red line at 3,000 pCi/L represents the screening level</w:t>
      </w:r>
      <w:r w:rsidR="00EF3C31" w:rsidRPr="006F4F25">
        <w:rPr>
          <w:color w:val="000000"/>
          <w:kern w:val="24"/>
          <w:sz w:val="22"/>
        </w:rPr>
        <w:t>,</w:t>
      </w:r>
      <w:r w:rsidRPr="006F4F25">
        <w:rPr>
          <w:color w:val="000000"/>
          <w:kern w:val="24"/>
          <w:sz w:val="22"/>
        </w:rPr>
        <w:t xml:space="preserve"> which is 1/10</w:t>
      </w:r>
      <w:r w:rsidRPr="006F4F25">
        <w:rPr>
          <w:color w:val="000000"/>
          <w:kern w:val="24"/>
          <w:sz w:val="22"/>
          <w:vertAlign w:val="superscript"/>
        </w:rPr>
        <w:t>th</w:t>
      </w:r>
      <w:r w:rsidRPr="006F4F25">
        <w:rPr>
          <w:color w:val="000000"/>
          <w:kern w:val="24"/>
          <w:sz w:val="22"/>
        </w:rPr>
        <w:t xml:space="preserve"> of the 30,000 pCi/L NRC level of concern.  </w:t>
      </w:r>
      <w:r w:rsidRPr="006F4F25">
        <w:rPr>
          <w:b/>
          <w:color w:val="000000"/>
          <w:kern w:val="24"/>
          <w:sz w:val="22"/>
        </w:rPr>
        <w:t>a)</w:t>
      </w:r>
      <w:r w:rsidRPr="006F4F25">
        <w:rPr>
          <w:color w:val="000000"/>
          <w:kern w:val="24"/>
          <w:sz w:val="22"/>
        </w:rPr>
        <w:t xml:space="preserve"> Results from samples collected </w:t>
      </w:r>
      <w:r w:rsidR="00C3250A" w:rsidRPr="006F4F25">
        <w:rPr>
          <w:color w:val="000000"/>
          <w:kern w:val="24"/>
          <w:sz w:val="22"/>
        </w:rPr>
        <w:t>from J</w:t>
      </w:r>
      <w:r w:rsidR="00A30C6C">
        <w:rPr>
          <w:color w:val="000000"/>
          <w:kern w:val="24"/>
          <w:sz w:val="22"/>
        </w:rPr>
        <w:t>uly</w:t>
      </w:r>
      <w:r w:rsidR="00C3250A" w:rsidRPr="006F4F25">
        <w:rPr>
          <w:color w:val="000000"/>
          <w:kern w:val="24"/>
          <w:sz w:val="22"/>
        </w:rPr>
        <w:t xml:space="preserve"> through </w:t>
      </w:r>
      <w:r w:rsidR="00A30C6C">
        <w:rPr>
          <w:color w:val="000000"/>
          <w:kern w:val="24"/>
          <w:sz w:val="22"/>
        </w:rPr>
        <w:t>December</w:t>
      </w:r>
      <w:r w:rsidR="00915A2E" w:rsidRPr="006F4F25">
        <w:rPr>
          <w:color w:val="000000"/>
          <w:kern w:val="24"/>
          <w:sz w:val="22"/>
        </w:rPr>
        <w:t xml:space="preserve"> 2018 </w:t>
      </w:r>
      <w:r w:rsidR="005F3354">
        <w:rPr>
          <w:color w:val="000000"/>
          <w:kern w:val="24"/>
          <w:sz w:val="22"/>
        </w:rPr>
        <w:t>for</w:t>
      </w:r>
      <w:r w:rsidRPr="006F4F25">
        <w:rPr>
          <w:color w:val="000000"/>
          <w:kern w:val="24"/>
          <w:sz w:val="22"/>
        </w:rPr>
        <w:t xml:space="preserve"> wells </w:t>
      </w:r>
      <w:r w:rsidR="005F3354">
        <w:rPr>
          <w:color w:val="000000"/>
          <w:kern w:val="24"/>
          <w:sz w:val="22"/>
        </w:rPr>
        <w:t xml:space="preserve">with tritium levels greater than 3,000 pCi/L </w:t>
      </w:r>
      <w:r w:rsidR="00C3250A" w:rsidRPr="006F4F25">
        <w:rPr>
          <w:color w:val="000000"/>
          <w:kern w:val="24"/>
          <w:sz w:val="22"/>
        </w:rPr>
        <w:t>(</w:t>
      </w:r>
      <w:r w:rsidR="005F3354">
        <w:rPr>
          <w:color w:val="000000"/>
          <w:kern w:val="24"/>
          <w:sz w:val="22"/>
        </w:rPr>
        <w:t xml:space="preserve">MW-211, MW-215, </w:t>
      </w:r>
      <w:r w:rsidR="00C3250A" w:rsidRPr="006F4F25">
        <w:rPr>
          <w:color w:val="000000"/>
          <w:kern w:val="24"/>
          <w:sz w:val="22"/>
        </w:rPr>
        <w:t>MW-216</w:t>
      </w:r>
      <w:r w:rsidR="00DF32DC">
        <w:rPr>
          <w:color w:val="000000"/>
          <w:kern w:val="24"/>
          <w:sz w:val="22"/>
        </w:rPr>
        <w:t xml:space="preserve"> and </w:t>
      </w:r>
      <w:r w:rsidR="004F3980" w:rsidRPr="006F4F25">
        <w:rPr>
          <w:color w:val="000000"/>
          <w:kern w:val="24"/>
          <w:sz w:val="22"/>
        </w:rPr>
        <w:t>MW-219</w:t>
      </w:r>
      <w:r w:rsidRPr="006F4F25">
        <w:rPr>
          <w:color w:val="000000"/>
          <w:kern w:val="24"/>
          <w:sz w:val="22"/>
        </w:rPr>
        <w:t>) showing a</w:t>
      </w:r>
      <w:r w:rsidR="00C3250A" w:rsidRPr="006F4F25">
        <w:rPr>
          <w:color w:val="000000"/>
          <w:kern w:val="24"/>
          <w:sz w:val="22"/>
        </w:rPr>
        <w:t xml:space="preserve"> maximum level of </w:t>
      </w:r>
      <w:r w:rsidR="00DF32DC">
        <w:rPr>
          <w:color w:val="000000"/>
          <w:kern w:val="24"/>
          <w:sz w:val="22"/>
        </w:rPr>
        <w:t>40</w:t>
      </w:r>
      <w:r w:rsidR="00915A2E" w:rsidRPr="006F4F25">
        <w:rPr>
          <w:color w:val="000000"/>
          <w:kern w:val="24"/>
          <w:sz w:val="22"/>
        </w:rPr>
        <w:t>,</w:t>
      </w:r>
      <w:r w:rsidR="00DF32DC">
        <w:rPr>
          <w:color w:val="000000"/>
          <w:kern w:val="24"/>
          <w:sz w:val="22"/>
        </w:rPr>
        <w:t>500</w:t>
      </w:r>
      <w:r w:rsidR="002F763D" w:rsidRPr="006F4F25">
        <w:rPr>
          <w:color w:val="000000"/>
          <w:kern w:val="24"/>
          <w:sz w:val="22"/>
        </w:rPr>
        <w:t xml:space="preserve"> </w:t>
      </w:r>
      <w:r w:rsidR="00572514" w:rsidRPr="006F4F25">
        <w:rPr>
          <w:color w:val="000000"/>
          <w:kern w:val="24"/>
          <w:sz w:val="22"/>
        </w:rPr>
        <w:t xml:space="preserve">on </w:t>
      </w:r>
      <w:r w:rsidR="000E0CB1" w:rsidRPr="006F4F25">
        <w:rPr>
          <w:color w:val="000000"/>
          <w:kern w:val="24"/>
          <w:sz w:val="22"/>
        </w:rPr>
        <w:t>Ju</w:t>
      </w:r>
      <w:r w:rsidR="00A30C6C">
        <w:rPr>
          <w:color w:val="000000"/>
          <w:kern w:val="24"/>
          <w:sz w:val="22"/>
        </w:rPr>
        <w:t>ly</w:t>
      </w:r>
      <w:r w:rsidR="00572514" w:rsidRPr="006F4F25">
        <w:rPr>
          <w:color w:val="000000"/>
          <w:kern w:val="24"/>
          <w:sz w:val="22"/>
        </w:rPr>
        <w:t xml:space="preserve"> </w:t>
      </w:r>
      <w:r w:rsidR="00A30C6C">
        <w:rPr>
          <w:color w:val="000000"/>
          <w:kern w:val="24"/>
          <w:sz w:val="22"/>
        </w:rPr>
        <w:t>30</w:t>
      </w:r>
      <w:r w:rsidR="00C3250A" w:rsidRPr="006F4F25">
        <w:rPr>
          <w:color w:val="000000"/>
          <w:kern w:val="24"/>
          <w:sz w:val="22"/>
        </w:rPr>
        <w:t xml:space="preserve">, </w:t>
      </w:r>
      <w:r w:rsidR="00915A2E" w:rsidRPr="006F4F25">
        <w:rPr>
          <w:color w:val="000000"/>
          <w:kern w:val="24"/>
          <w:sz w:val="22"/>
        </w:rPr>
        <w:t xml:space="preserve">2018 </w:t>
      </w:r>
      <w:r w:rsidR="00C3250A" w:rsidRPr="006F4F25">
        <w:rPr>
          <w:color w:val="000000"/>
          <w:kern w:val="24"/>
          <w:sz w:val="22"/>
        </w:rPr>
        <w:t>at MW-21</w:t>
      </w:r>
      <w:r w:rsidR="004F3980" w:rsidRPr="006F4F25">
        <w:rPr>
          <w:color w:val="000000"/>
          <w:kern w:val="24"/>
          <w:sz w:val="22"/>
        </w:rPr>
        <w:t>9</w:t>
      </w:r>
      <w:r w:rsidRPr="006F4F25">
        <w:rPr>
          <w:color w:val="000000"/>
          <w:kern w:val="24"/>
          <w:sz w:val="22"/>
        </w:rPr>
        <w:t xml:space="preserve">. </w:t>
      </w:r>
      <w:proofErr w:type="gramStart"/>
      <w:r w:rsidR="000E6680" w:rsidRPr="006F4F25">
        <w:rPr>
          <w:b/>
          <w:color w:val="000000"/>
          <w:kern w:val="24"/>
          <w:sz w:val="22"/>
        </w:rPr>
        <w:t xml:space="preserve">b </w:t>
      </w:r>
      <w:r w:rsidR="009469F8" w:rsidRPr="006F4F25">
        <w:rPr>
          <w:b/>
          <w:color w:val="000000"/>
          <w:kern w:val="24"/>
          <w:sz w:val="22"/>
        </w:rPr>
        <w:t>-d</w:t>
      </w:r>
      <w:r w:rsidR="000E6680" w:rsidRPr="006F4F25">
        <w:rPr>
          <w:b/>
          <w:color w:val="000000"/>
          <w:kern w:val="24"/>
          <w:sz w:val="22"/>
        </w:rPr>
        <w:t>)</w:t>
      </w:r>
      <w:r w:rsidR="000E6680" w:rsidRPr="006F4F25">
        <w:rPr>
          <w:color w:val="000000"/>
          <w:kern w:val="24"/>
          <w:sz w:val="22"/>
        </w:rPr>
        <w:t xml:space="preserve"> Historical monitoring results for MW-216</w:t>
      </w:r>
      <w:r w:rsidR="005F3354">
        <w:rPr>
          <w:color w:val="000000"/>
          <w:kern w:val="24"/>
          <w:sz w:val="22"/>
        </w:rPr>
        <w:t>,</w:t>
      </w:r>
      <w:r w:rsidR="000E6680" w:rsidRPr="006F4F25">
        <w:rPr>
          <w:color w:val="000000"/>
          <w:kern w:val="24"/>
          <w:sz w:val="22"/>
        </w:rPr>
        <w:t xml:space="preserve"> MW-218</w:t>
      </w:r>
      <w:r w:rsidR="009469F8" w:rsidRPr="006F4F25">
        <w:rPr>
          <w:color w:val="000000"/>
          <w:kern w:val="24"/>
          <w:sz w:val="22"/>
        </w:rPr>
        <w:t xml:space="preserve"> and MW-219</w:t>
      </w:r>
      <w:r w:rsidR="000E6680" w:rsidRPr="006F4F25">
        <w:rPr>
          <w:color w:val="000000"/>
          <w:kern w:val="24"/>
          <w:sz w:val="22"/>
        </w:rPr>
        <w:t>.</w:t>
      </w:r>
      <w:proofErr w:type="gramEnd"/>
    </w:p>
    <w:p w:rsidR="00080437" w:rsidRDefault="00080437" w:rsidP="00185D28">
      <w:pPr>
        <w:jc w:val="both"/>
        <w:rPr>
          <w:color w:val="000000"/>
          <w:kern w:val="24"/>
          <w:sz w:val="22"/>
        </w:rPr>
      </w:pPr>
    </w:p>
    <w:p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>Posted: May 2019</w:t>
      </w:r>
    </w:p>
    <w:sectPr w:rsidR="00080437" w:rsidRPr="00080437"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EC" w:rsidRDefault="00CE36EC" w:rsidP="00284BC8">
      <w:r>
        <w:separator/>
      </w:r>
    </w:p>
  </w:endnote>
  <w:endnote w:type="continuationSeparator" w:id="0">
    <w:p w:rsidR="00CE36EC" w:rsidRDefault="00CE36EC" w:rsidP="0028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A5" w:rsidRPr="00C47208" w:rsidRDefault="00A053A5">
    <w:pPr>
      <w:pStyle w:val="Footer"/>
      <w:rPr>
        <w:rFonts w:ascii="Calibri" w:hAnsi="Calibri"/>
        <w:color w:val="A6A6A6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EC" w:rsidRDefault="00CE36EC" w:rsidP="00284BC8">
      <w:r>
        <w:separator/>
      </w:r>
    </w:p>
  </w:footnote>
  <w:footnote w:type="continuationSeparator" w:id="0">
    <w:p w:rsidR="00CE36EC" w:rsidRDefault="00CE36EC" w:rsidP="00284BC8">
      <w:r>
        <w:continuationSeparator/>
      </w:r>
    </w:p>
  </w:footnote>
  <w:footnote w:id="1">
    <w:p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:rsidR="00106ED6" w:rsidRPr="002E2241" w:rsidRDefault="00707676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:rsidR="00106ED6" w:rsidRDefault="00106ED6" w:rsidP="00106ED6">
      <w:pPr>
        <w:pStyle w:val="FootnoteText"/>
      </w:pPr>
    </w:p>
  </w:footnote>
  <w:footnote w:id="2">
    <w:p w:rsidR="00284BC8" w:rsidRPr="0006798B" w:rsidRDefault="00284BC8" w:rsidP="00284BC8">
      <w:pPr>
        <w:pStyle w:val="FootnoteText"/>
      </w:pPr>
      <w:r w:rsidRPr="0006798B">
        <w:rPr>
          <w:rStyle w:val="FootnoteReference"/>
        </w:rPr>
        <w:footnoteRef/>
      </w:r>
      <w:r w:rsidRPr="0006798B">
        <w:t xml:space="preserve"> Summary tables of groundwater and surface water</w:t>
      </w:r>
      <w:r w:rsidR="006B023E">
        <w:t xml:space="preserve"> monitoring results are on the </w:t>
      </w:r>
      <w:r w:rsidRPr="0006798B">
        <w:t>DPH website:</w:t>
      </w:r>
    </w:p>
    <w:p w:rsidR="00284BC8" w:rsidRPr="00061B3B" w:rsidRDefault="00707676" w:rsidP="00284BC8">
      <w:pPr>
        <w:pStyle w:val="FootnoteText"/>
        <w:rPr>
          <w:sz w:val="18"/>
          <w:szCs w:val="18"/>
        </w:rPr>
      </w:pPr>
      <w:hyperlink r:id="rId2" w:anchor="summaries---results-" w:history="1">
        <w:r w:rsidR="002E2241">
          <w:rPr>
            <w:rStyle w:val="Hyperlink"/>
          </w:rPr>
          <w:t>https://www.mass.gov/lists/environmental-monitoring-data-for-tritium-in-groundwater-at-pilgrim-nuclear-power-station#summaries---results-</w:t>
        </w:r>
      </w:hyperlink>
    </w:p>
    <w:p w:rsidR="00284BC8" w:rsidRDefault="00284BC8" w:rsidP="00284BC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bf5c3bec-5783-4c64-b065-5d987c30ae72"/>
  </w:docVars>
  <w:rsids>
    <w:rsidRoot w:val="006D77A6"/>
    <w:rsid w:val="000011D1"/>
    <w:rsid w:val="0001169A"/>
    <w:rsid w:val="00011C23"/>
    <w:rsid w:val="00014F24"/>
    <w:rsid w:val="0001602D"/>
    <w:rsid w:val="00020CAB"/>
    <w:rsid w:val="00023296"/>
    <w:rsid w:val="00032BAF"/>
    <w:rsid w:val="00032D57"/>
    <w:rsid w:val="00033154"/>
    <w:rsid w:val="00036855"/>
    <w:rsid w:val="00042048"/>
    <w:rsid w:val="000428EA"/>
    <w:rsid w:val="000537DA"/>
    <w:rsid w:val="00080437"/>
    <w:rsid w:val="00081B9D"/>
    <w:rsid w:val="00087B67"/>
    <w:rsid w:val="000902C1"/>
    <w:rsid w:val="00093062"/>
    <w:rsid w:val="000A0DFD"/>
    <w:rsid w:val="000B29B4"/>
    <w:rsid w:val="000B34CF"/>
    <w:rsid w:val="000B71AC"/>
    <w:rsid w:val="000D4290"/>
    <w:rsid w:val="000D7239"/>
    <w:rsid w:val="000E0CB1"/>
    <w:rsid w:val="000E6680"/>
    <w:rsid w:val="000E686A"/>
    <w:rsid w:val="000F315B"/>
    <w:rsid w:val="000F4B0F"/>
    <w:rsid w:val="00101513"/>
    <w:rsid w:val="00106ED6"/>
    <w:rsid w:val="001101F2"/>
    <w:rsid w:val="00121EA1"/>
    <w:rsid w:val="0014024C"/>
    <w:rsid w:val="0015268B"/>
    <w:rsid w:val="00154733"/>
    <w:rsid w:val="001562CA"/>
    <w:rsid w:val="00160F69"/>
    <w:rsid w:val="001633B0"/>
    <w:rsid w:val="00166DCE"/>
    <w:rsid w:val="00173094"/>
    <w:rsid w:val="00177C77"/>
    <w:rsid w:val="001804F5"/>
    <w:rsid w:val="00182028"/>
    <w:rsid w:val="00182ED0"/>
    <w:rsid w:val="00185D28"/>
    <w:rsid w:val="001C047A"/>
    <w:rsid w:val="001E2B6E"/>
    <w:rsid w:val="001E7A84"/>
    <w:rsid w:val="001F1DA4"/>
    <w:rsid w:val="001F4610"/>
    <w:rsid w:val="0020037F"/>
    <w:rsid w:val="0020047A"/>
    <w:rsid w:val="002018D4"/>
    <w:rsid w:val="00230EB3"/>
    <w:rsid w:val="00232B7D"/>
    <w:rsid w:val="002334E3"/>
    <w:rsid w:val="002420A3"/>
    <w:rsid w:val="00250591"/>
    <w:rsid w:val="00254B2F"/>
    <w:rsid w:val="002715EA"/>
    <w:rsid w:val="00272725"/>
    <w:rsid w:val="00276957"/>
    <w:rsid w:val="00276DCC"/>
    <w:rsid w:val="00282C5A"/>
    <w:rsid w:val="00284BC8"/>
    <w:rsid w:val="00297407"/>
    <w:rsid w:val="002A1A65"/>
    <w:rsid w:val="002C6B5C"/>
    <w:rsid w:val="002E2241"/>
    <w:rsid w:val="002E58B9"/>
    <w:rsid w:val="002F4301"/>
    <w:rsid w:val="002F763D"/>
    <w:rsid w:val="0030352A"/>
    <w:rsid w:val="00315428"/>
    <w:rsid w:val="00330777"/>
    <w:rsid w:val="00330F67"/>
    <w:rsid w:val="0033607B"/>
    <w:rsid w:val="00346031"/>
    <w:rsid w:val="00350377"/>
    <w:rsid w:val="00357C1A"/>
    <w:rsid w:val="003744C0"/>
    <w:rsid w:val="0037583A"/>
    <w:rsid w:val="003835A9"/>
    <w:rsid w:val="00385812"/>
    <w:rsid w:val="00387859"/>
    <w:rsid w:val="00391D0E"/>
    <w:rsid w:val="00392D0B"/>
    <w:rsid w:val="00392EE1"/>
    <w:rsid w:val="00395C27"/>
    <w:rsid w:val="003A7AFC"/>
    <w:rsid w:val="003B6DC5"/>
    <w:rsid w:val="003C3D4D"/>
    <w:rsid w:val="003C5B05"/>
    <w:rsid w:val="003C60EF"/>
    <w:rsid w:val="003E509A"/>
    <w:rsid w:val="003E750D"/>
    <w:rsid w:val="003F76C4"/>
    <w:rsid w:val="0040474A"/>
    <w:rsid w:val="00411A09"/>
    <w:rsid w:val="00417237"/>
    <w:rsid w:val="004260BB"/>
    <w:rsid w:val="00426810"/>
    <w:rsid w:val="00427F2C"/>
    <w:rsid w:val="00431821"/>
    <w:rsid w:val="00435B70"/>
    <w:rsid w:val="004412B5"/>
    <w:rsid w:val="00457C02"/>
    <w:rsid w:val="004630EA"/>
    <w:rsid w:val="0046370B"/>
    <w:rsid w:val="00470263"/>
    <w:rsid w:val="00472DC5"/>
    <w:rsid w:val="004813AC"/>
    <w:rsid w:val="00487FCD"/>
    <w:rsid w:val="004A4100"/>
    <w:rsid w:val="004A66D6"/>
    <w:rsid w:val="004B37A0"/>
    <w:rsid w:val="004B4BD7"/>
    <w:rsid w:val="004B6B34"/>
    <w:rsid w:val="004B6F5E"/>
    <w:rsid w:val="004C31BB"/>
    <w:rsid w:val="004D287D"/>
    <w:rsid w:val="004D3EB5"/>
    <w:rsid w:val="004D6B39"/>
    <w:rsid w:val="004F0A3A"/>
    <w:rsid w:val="004F3980"/>
    <w:rsid w:val="00525F44"/>
    <w:rsid w:val="00530D48"/>
    <w:rsid w:val="00530F9A"/>
    <w:rsid w:val="00536543"/>
    <w:rsid w:val="005448AA"/>
    <w:rsid w:val="00557293"/>
    <w:rsid w:val="00572514"/>
    <w:rsid w:val="0058276E"/>
    <w:rsid w:val="00582CF3"/>
    <w:rsid w:val="0059048F"/>
    <w:rsid w:val="00595F6C"/>
    <w:rsid w:val="005B4EB1"/>
    <w:rsid w:val="005B52D4"/>
    <w:rsid w:val="005B7A08"/>
    <w:rsid w:val="005C1879"/>
    <w:rsid w:val="005C1B25"/>
    <w:rsid w:val="005C7E13"/>
    <w:rsid w:val="005D0C30"/>
    <w:rsid w:val="005E3109"/>
    <w:rsid w:val="005F3354"/>
    <w:rsid w:val="0060507D"/>
    <w:rsid w:val="0060627E"/>
    <w:rsid w:val="00606BE0"/>
    <w:rsid w:val="00611E00"/>
    <w:rsid w:val="00613C45"/>
    <w:rsid w:val="00617557"/>
    <w:rsid w:val="0063585E"/>
    <w:rsid w:val="00656899"/>
    <w:rsid w:val="00667197"/>
    <w:rsid w:val="00677DE4"/>
    <w:rsid w:val="00692183"/>
    <w:rsid w:val="0069674F"/>
    <w:rsid w:val="006A187F"/>
    <w:rsid w:val="006A2D5E"/>
    <w:rsid w:val="006A7D07"/>
    <w:rsid w:val="006B023E"/>
    <w:rsid w:val="006B0D6D"/>
    <w:rsid w:val="006B118D"/>
    <w:rsid w:val="006B6497"/>
    <w:rsid w:val="006D06D9"/>
    <w:rsid w:val="006D77A6"/>
    <w:rsid w:val="006E28B5"/>
    <w:rsid w:val="006E63E7"/>
    <w:rsid w:val="006E6C99"/>
    <w:rsid w:val="006F4996"/>
    <w:rsid w:val="006F4F25"/>
    <w:rsid w:val="00702109"/>
    <w:rsid w:val="00707676"/>
    <w:rsid w:val="00715A93"/>
    <w:rsid w:val="00724BAA"/>
    <w:rsid w:val="0072610D"/>
    <w:rsid w:val="007344B3"/>
    <w:rsid w:val="00737D1F"/>
    <w:rsid w:val="00742886"/>
    <w:rsid w:val="00750869"/>
    <w:rsid w:val="00750F27"/>
    <w:rsid w:val="00767D5E"/>
    <w:rsid w:val="0077035A"/>
    <w:rsid w:val="00786CE0"/>
    <w:rsid w:val="007958FF"/>
    <w:rsid w:val="0079612B"/>
    <w:rsid w:val="00797300"/>
    <w:rsid w:val="00797F22"/>
    <w:rsid w:val="007A2474"/>
    <w:rsid w:val="007B3F4B"/>
    <w:rsid w:val="007B3FD9"/>
    <w:rsid w:val="007B7347"/>
    <w:rsid w:val="007D10F3"/>
    <w:rsid w:val="007E1D12"/>
    <w:rsid w:val="007E4776"/>
    <w:rsid w:val="007E6EFE"/>
    <w:rsid w:val="0080338C"/>
    <w:rsid w:val="0082000A"/>
    <w:rsid w:val="00820443"/>
    <w:rsid w:val="008207E4"/>
    <w:rsid w:val="008211F6"/>
    <w:rsid w:val="0082371C"/>
    <w:rsid w:val="00842C13"/>
    <w:rsid w:val="00845815"/>
    <w:rsid w:val="00852A35"/>
    <w:rsid w:val="00872D98"/>
    <w:rsid w:val="0088403C"/>
    <w:rsid w:val="0088540E"/>
    <w:rsid w:val="008860D5"/>
    <w:rsid w:val="00886DAF"/>
    <w:rsid w:val="008949E5"/>
    <w:rsid w:val="008A7C49"/>
    <w:rsid w:val="008B1356"/>
    <w:rsid w:val="008B5708"/>
    <w:rsid w:val="008B7ACD"/>
    <w:rsid w:val="008C0165"/>
    <w:rsid w:val="008F10CD"/>
    <w:rsid w:val="008F192B"/>
    <w:rsid w:val="009058E7"/>
    <w:rsid w:val="00906057"/>
    <w:rsid w:val="00914229"/>
    <w:rsid w:val="00915A2E"/>
    <w:rsid w:val="0092182C"/>
    <w:rsid w:val="0092535E"/>
    <w:rsid w:val="009323E9"/>
    <w:rsid w:val="009370F6"/>
    <w:rsid w:val="009379FC"/>
    <w:rsid w:val="00940631"/>
    <w:rsid w:val="009469F8"/>
    <w:rsid w:val="0095100A"/>
    <w:rsid w:val="0096056C"/>
    <w:rsid w:val="00966329"/>
    <w:rsid w:val="00966D15"/>
    <w:rsid w:val="00973110"/>
    <w:rsid w:val="009908FF"/>
    <w:rsid w:val="00995505"/>
    <w:rsid w:val="009A32B7"/>
    <w:rsid w:val="009B5889"/>
    <w:rsid w:val="009C34B3"/>
    <w:rsid w:val="009C40BE"/>
    <w:rsid w:val="009C4A86"/>
    <w:rsid w:val="009C50A6"/>
    <w:rsid w:val="009E40AB"/>
    <w:rsid w:val="00A053A5"/>
    <w:rsid w:val="00A055E2"/>
    <w:rsid w:val="00A05A68"/>
    <w:rsid w:val="00A10E3B"/>
    <w:rsid w:val="00A30C6C"/>
    <w:rsid w:val="00A35CD8"/>
    <w:rsid w:val="00A4277A"/>
    <w:rsid w:val="00A54980"/>
    <w:rsid w:val="00A65101"/>
    <w:rsid w:val="00A65967"/>
    <w:rsid w:val="00A76AEE"/>
    <w:rsid w:val="00A807E3"/>
    <w:rsid w:val="00A819EE"/>
    <w:rsid w:val="00A9452E"/>
    <w:rsid w:val="00A9754D"/>
    <w:rsid w:val="00A975BF"/>
    <w:rsid w:val="00AB4A5C"/>
    <w:rsid w:val="00AD37F0"/>
    <w:rsid w:val="00AD6FF3"/>
    <w:rsid w:val="00AD71EB"/>
    <w:rsid w:val="00AE2098"/>
    <w:rsid w:val="00B17769"/>
    <w:rsid w:val="00B24003"/>
    <w:rsid w:val="00B25AD5"/>
    <w:rsid w:val="00B36B53"/>
    <w:rsid w:val="00B403BF"/>
    <w:rsid w:val="00B4142B"/>
    <w:rsid w:val="00B51C5A"/>
    <w:rsid w:val="00B605B3"/>
    <w:rsid w:val="00B608D9"/>
    <w:rsid w:val="00B609F9"/>
    <w:rsid w:val="00B70D5D"/>
    <w:rsid w:val="00B851F1"/>
    <w:rsid w:val="00BA0430"/>
    <w:rsid w:val="00BA4055"/>
    <w:rsid w:val="00BA7FB6"/>
    <w:rsid w:val="00BB63D6"/>
    <w:rsid w:val="00BC74F0"/>
    <w:rsid w:val="00BD4D9C"/>
    <w:rsid w:val="00BF03B7"/>
    <w:rsid w:val="00BF08BE"/>
    <w:rsid w:val="00C07F8F"/>
    <w:rsid w:val="00C105D0"/>
    <w:rsid w:val="00C1112C"/>
    <w:rsid w:val="00C20BFE"/>
    <w:rsid w:val="00C24272"/>
    <w:rsid w:val="00C24E87"/>
    <w:rsid w:val="00C3250A"/>
    <w:rsid w:val="00C44658"/>
    <w:rsid w:val="00C47208"/>
    <w:rsid w:val="00C61632"/>
    <w:rsid w:val="00C62D46"/>
    <w:rsid w:val="00C65558"/>
    <w:rsid w:val="00C76214"/>
    <w:rsid w:val="00C767F6"/>
    <w:rsid w:val="00C770DA"/>
    <w:rsid w:val="00C774EE"/>
    <w:rsid w:val="00C94765"/>
    <w:rsid w:val="00C96A7B"/>
    <w:rsid w:val="00C96B0C"/>
    <w:rsid w:val="00CA5E0F"/>
    <w:rsid w:val="00CA6F9C"/>
    <w:rsid w:val="00CA72EB"/>
    <w:rsid w:val="00CC1778"/>
    <w:rsid w:val="00CE36EC"/>
    <w:rsid w:val="00CE4376"/>
    <w:rsid w:val="00CE575B"/>
    <w:rsid w:val="00CF04BE"/>
    <w:rsid w:val="00CF1327"/>
    <w:rsid w:val="00CF1375"/>
    <w:rsid w:val="00CF1C78"/>
    <w:rsid w:val="00CF2489"/>
    <w:rsid w:val="00CF3DE8"/>
    <w:rsid w:val="00D0493F"/>
    <w:rsid w:val="00D065BD"/>
    <w:rsid w:val="00D15AF0"/>
    <w:rsid w:val="00D17BB6"/>
    <w:rsid w:val="00D2157A"/>
    <w:rsid w:val="00D22EAD"/>
    <w:rsid w:val="00D271BA"/>
    <w:rsid w:val="00D32430"/>
    <w:rsid w:val="00D45C5E"/>
    <w:rsid w:val="00D466A6"/>
    <w:rsid w:val="00D5162C"/>
    <w:rsid w:val="00D55EF6"/>
    <w:rsid w:val="00D56F91"/>
    <w:rsid w:val="00D738B5"/>
    <w:rsid w:val="00D83186"/>
    <w:rsid w:val="00D8671C"/>
    <w:rsid w:val="00D870B3"/>
    <w:rsid w:val="00D91914"/>
    <w:rsid w:val="00D94C89"/>
    <w:rsid w:val="00DA1820"/>
    <w:rsid w:val="00DA57C3"/>
    <w:rsid w:val="00DC298E"/>
    <w:rsid w:val="00DC3855"/>
    <w:rsid w:val="00DC6538"/>
    <w:rsid w:val="00DD178E"/>
    <w:rsid w:val="00DE314F"/>
    <w:rsid w:val="00DF09F2"/>
    <w:rsid w:val="00DF32DC"/>
    <w:rsid w:val="00E17283"/>
    <w:rsid w:val="00E22135"/>
    <w:rsid w:val="00E242A8"/>
    <w:rsid w:val="00E274B8"/>
    <w:rsid w:val="00E41E49"/>
    <w:rsid w:val="00E532E6"/>
    <w:rsid w:val="00E62A69"/>
    <w:rsid w:val="00E72707"/>
    <w:rsid w:val="00E81454"/>
    <w:rsid w:val="00E964B8"/>
    <w:rsid w:val="00EA0558"/>
    <w:rsid w:val="00EA1EC9"/>
    <w:rsid w:val="00EB255D"/>
    <w:rsid w:val="00ED4C04"/>
    <w:rsid w:val="00EF2A89"/>
    <w:rsid w:val="00EF3C31"/>
    <w:rsid w:val="00F01132"/>
    <w:rsid w:val="00F019ED"/>
    <w:rsid w:val="00F03927"/>
    <w:rsid w:val="00F0586E"/>
    <w:rsid w:val="00F15C41"/>
    <w:rsid w:val="00F23AB9"/>
    <w:rsid w:val="00F33EF7"/>
    <w:rsid w:val="00F42080"/>
    <w:rsid w:val="00F426EA"/>
    <w:rsid w:val="00F43932"/>
    <w:rsid w:val="00F51C49"/>
    <w:rsid w:val="00F718A6"/>
    <w:rsid w:val="00F90DCB"/>
    <w:rsid w:val="00F95AF2"/>
    <w:rsid w:val="00FA194A"/>
    <w:rsid w:val="00FC6B42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DPH-FP-CO-121\dph3\Center%20for%20Environmental%20Health\Bureau%20for%20Environmental%20Health\Programs\Toxicology\Projects\Radiation\Pilgrim\Tritium%20Investigate\Report\2018\Jul-Dec18\Tritium%20linechart%20Jul-Dec_18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DPH-FP-CO-121\dph3\Center%20for%20Environmental%20Health\Bureau%20for%20Environmental%20Health\Programs\Toxicology\Projects\Radiation\Pilgrim\Tritium%20Investigate\Report\2018\Jul-Dec18\Tritium%20linechart%20Jul-Dec_18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DPH-FP-CO-121\dph3\Center%20for%20Environmental%20Health\Bureau%20for%20Environmental%20Health\Programs\Toxicology\Projects\Radiation\Pilgrim\Tritium%20Investigate\Report\2018\Jul-Dec18\Tritium%20linechart%20Jul-Dec_18.xlsm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DPH-FP-CO-121\dph3\Center%20for%20Environmental%20Health\Bureau%20for%20Environmental%20Health\Programs\Toxicology\Projects\Radiation\Pilgrim\Tritium%20Investigate\Report\2018\Jul-Dec18\Tritium%20linechart%20Jul-Dec_18.xlsm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400"/>
              <a:t>a) 2018 Wells of Interest</a:t>
            </a:r>
          </a:p>
        </c:rich>
      </c:tx>
      <c:layout>
        <c:manualLayout>
          <c:xMode val="edge"/>
          <c:yMode val="edge"/>
          <c:x val="3.3912544195555033E-2"/>
          <c:y val="8.364699860078988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37793440155644"/>
          <c:y val="8.538080566016204E-2"/>
          <c:w val="0.82100251454582163"/>
          <c:h val="0.63178820038799499"/>
        </c:manualLayout>
      </c:layout>
      <c:lineChart>
        <c:grouping val="standard"/>
        <c:varyColors val="0"/>
        <c:ser>
          <c:idx val="0"/>
          <c:order val="0"/>
          <c:tx>
            <c:v>MERL MW 219</c:v>
          </c:tx>
          <c:spPr>
            <a:ln w="19050">
              <a:solidFill>
                <a:sysClr val="window" lastClr="FFFFFF">
                  <a:lumMod val="50000"/>
                </a:sysClr>
              </a:solidFill>
              <a:prstDash val="sysDash"/>
            </a:ln>
          </c:spPr>
          <c:marker>
            <c:symbol val="none"/>
          </c:marker>
          <c:cat>
            <c:numRef>
              <c:f>'wells of interest data'!$A$256:$A$281</c:f>
              <c:numCache>
                <c:formatCode>m/d/yyyy</c:formatCode>
                <c:ptCount val="26"/>
                <c:pt idx="0">
                  <c:v>43290</c:v>
                </c:pt>
                <c:pt idx="1">
                  <c:v>43297</c:v>
                </c:pt>
                <c:pt idx="2">
                  <c:v>43304</c:v>
                </c:pt>
                <c:pt idx="3">
                  <c:v>43311</c:v>
                </c:pt>
                <c:pt idx="4">
                  <c:v>43318</c:v>
                </c:pt>
                <c:pt idx="5">
                  <c:v>43325</c:v>
                </c:pt>
                <c:pt idx="6">
                  <c:v>43332</c:v>
                </c:pt>
                <c:pt idx="7">
                  <c:v>43339</c:v>
                </c:pt>
                <c:pt idx="8">
                  <c:v>43346</c:v>
                </c:pt>
                <c:pt idx="9">
                  <c:v>43353</c:v>
                </c:pt>
                <c:pt idx="10">
                  <c:v>43360</c:v>
                </c:pt>
                <c:pt idx="11">
                  <c:v>43367</c:v>
                </c:pt>
                <c:pt idx="12">
                  <c:v>43374</c:v>
                </c:pt>
                <c:pt idx="13">
                  <c:v>43381</c:v>
                </c:pt>
                <c:pt idx="14">
                  <c:v>43388</c:v>
                </c:pt>
                <c:pt idx="15">
                  <c:v>43395</c:v>
                </c:pt>
                <c:pt idx="16">
                  <c:v>43402</c:v>
                </c:pt>
                <c:pt idx="17">
                  <c:v>43409</c:v>
                </c:pt>
                <c:pt idx="18">
                  <c:v>43416</c:v>
                </c:pt>
                <c:pt idx="19">
                  <c:v>43423</c:v>
                </c:pt>
                <c:pt idx="20">
                  <c:v>43430</c:v>
                </c:pt>
                <c:pt idx="21">
                  <c:v>43437</c:v>
                </c:pt>
                <c:pt idx="22">
                  <c:v>43444</c:v>
                </c:pt>
                <c:pt idx="23">
                  <c:v>43451</c:v>
                </c:pt>
                <c:pt idx="24">
                  <c:v>43458</c:v>
                </c:pt>
                <c:pt idx="25">
                  <c:v>43465</c:v>
                </c:pt>
              </c:numCache>
            </c:numRef>
          </c:cat>
          <c:val>
            <c:numRef>
              <c:f>'wells of interest data'!$J$256:$J$281</c:f>
              <c:numCache>
                <c:formatCode>General</c:formatCode>
                <c:ptCount val="26"/>
                <c:pt idx="1">
                  <c:v>31784</c:v>
                </c:pt>
                <c:pt idx="3">
                  <c:v>40500</c:v>
                </c:pt>
                <c:pt idx="4">
                  <c:v>9772</c:v>
                </c:pt>
                <c:pt idx="5">
                  <c:v>25336</c:v>
                </c:pt>
                <c:pt idx="6">
                  <c:v>1163</c:v>
                </c:pt>
                <c:pt idx="7">
                  <c:v>31690</c:v>
                </c:pt>
                <c:pt idx="8">
                  <c:v>23116</c:v>
                </c:pt>
                <c:pt idx="9">
                  <c:v>6690</c:v>
                </c:pt>
                <c:pt idx="10">
                  <c:v>24116</c:v>
                </c:pt>
                <c:pt idx="11">
                  <c:v>18016</c:v>
                </c:pt>
                <c:pt idx="12">
                  <c:v>12296</c:v>
                </c:pt>
                <c:pt idx="13">
                  <c:v>14989</c:v>
                </c:pt>
                <c:pt idx="14">
                  <c:v>11271</c:v>
                </c:pt>
                <c:pt idx="15">
                  <c:v>5793</c:v>
                </c:pt>
                <c:pt idx="16">
                  <c:v>1023</c:v>
                </c:pt>
                <c:pt idx="17">
                  <c:v>2270</c:v>
                </c:pt>
                <c:pt idx="18">
                  <c:v>3548</c:v>
                </c:pt>
                <c:pt idx="19">
                  <c:v>1684</c:v>
                </c:pt>
                <c:pt idx="20">
                  <c:v>865</c:v>
                </c:pt>
                <c:pt idx="21">
                  <c:v>1151</c:v>
                </c:pt>
                <c:pt idx="22">
                  <c:v>3444</c:v>
                </c:pt>
                <c:pt idx="23">
                  <c:v>738</c:v>
                </c:pt>
                <c:pt idx="24">
                  <c:v>953</c:v>
                </c:pt>
                <c:pt idx="25">
                  <c:v>584</c:v>
                </c:pt>
              </c:numCache>
            </c:numRef>
          </c:val>
          <c:smooth val="0"/>
        </c:ser>
        <c:ser>
          <c:idx val="1"/>
          <c:order val="1"/>
          <c:tx>
            <c:v>Entergy MW 219</c:v>
          </c:tx>
          <c:spPr>
            <a:ln w="19050">
              <a:solidFill>
                <a:sysClr val="window" lastClr="FFFFFF">
                  <a:lumMod val="50000"/>
                </a:sysClr>
              </a:solidFill>
            </a:ln>
          </c:spPr>
          <c:marker>
            <c:symbol val="none"/>
          </c:marker>
          <c:cat>
            <c:numRef>
              <c:f>'wells of interest data'!$A$256:$A$281</c:f>
              <c:numCache>
                <c:formatCode>m/d/yyyy</c:formatCode>
                <c:ptCount val="26"/>
                <c:pt idx="0">
                  <c:v>43290</c:v>
                </c:pt>
                <c:pt idx="1">
                  <c:v>43297</c:v>
                </c:pt>
                <c:pt idx="2">
                  <c:v>43304</c:v>
                </c:pt>
                <c:pt idx="3">
                  <c:v>43311</c:v>
                </c:pt>
                <c:pt idx="4">
                  <c:v>43318</c:v>
                </c:pt>
                <c:pt idx="5">
                  <c:v>43325</c:v>
                </c:pt>
                <c:pt idx="6">
                  <c:v>43332</c:v>
                </c:pt>
                <c:pt idx="7">
                  <c:v>43339</c:v>
                </c:pt>
                <c:pt idx="8">
                  <c:v>43346</c:v>
                </c:pt>
                <c:pt idx="9">
                  <c:v>43353</c:v>
                </c:pt>
                <c:pt idx="10">
                  <c:v>43360</c:v>
                </c:pt>
                <c:pt idx="11">
                  <c:v>43367</c:v>
                </c:pt>
                <c:pt idx="12">
                  <c:v>43374</c:v>
                </c:pt>
                <c:pt idx="13">
                  <c:v>43381</c:v>
                </c:pt>
                <c:pt idx="14">
                  <c:v>43388</c:v>
                </c:pt>
                <c:pt idx="15">
                  <c:v>43395</c:v>
                </c:pt>
                <c:pt idx="16">
                  <c:v>43402</c:v>
                </c:pt>
                <c:pt idx="17">
                  <c:v>43409</c:v>
                </c:pt>
                <c:pt idx="18">
                  <c:v>43416</c:v>
                </c:pt>
                <c:pt idx="19">
                  <c:v>43423</c:v>
                </c:pt>
                <c:pt idx="20">
                  <c:v>43430</c:v>
                </c:pt>
                <c:pt idx="21">
                  <c:v>43437</c:v>
                </c:pt>
                <c:pt idx="22">
                  <c:v>43444</c:v>
                </c:pt>
                <c:pt idx="23">
                  <c:v>43451</c:v>
                </c:pt>
                <c:pt idx="24">
                  <c:v>43458</c:v>
                </c:pt>
                <c:pt idx="25">
                  <c:v>43465</c:v>
                </c:pt>
              </c:numCache>
            </c:numRef>
          </c:cat>
          <c:val>
            <c:numRef>
              <c:f>'wells of interest data'!$K$256:$K$281</c:f>
              <c:numCache>
                <c:formatCode>General</c:formatCode>
                <c:ptCount val="26"/>
                <c:pt idx="0">
                  <c:v>20500</c:v>
                </c:pt>
                <c:pt idx="1">
                  <c:v>34500</c:v>
                </c:pt>
                <c:pt idx="2">
                  <c:v>33000</c:v>
                </c:pt>
                <c:pt idx="3">
                  <c:v>31500</c:v>
                </c:pt>
                <c:pt idx="4">
                  <c:v>11200</c:v>
                </c:pt>
                <c:pt idx="5">
                  <c:v>26500</c:v>
                </c:pt>
                <c:pt idx="6">
                  <c:v>1910</c:v>
                </c:pt>
                <c:pt idx="7">
                  <c:v>34300</c:v>
                </c:pt>
                <c:pt idx="8">
                  <c:v>22000</c:v>
                </c:pt>
                <c:pt idx="9">
                  <c:v>4290</c:v>
                </c:pt>
                <c:pt idx="10">
                  <c:v>25900</c:v>
                </c:pt>
                <c:pt idx="11">
                  <c:v>19900</c:v>
                </c:pt>
                <c:pt idx="12">
                  <c:v>13300</c:v>
                </c:pt>
                <c:pt idx="13">
                  <c:v>13800</c:v>
                </c:pt>
                <c:pt idx="14">
                  <c:v>10000</c:v>
                </c:pt>
                <c:pt idx="15">
                  <c:v>6410</c:v>
                </c:pt>
                <c:pt idx="16">
                  <c:v>722</c:v>
                </c:pt>
                <c:pt idx="17">
                  <c:v>1920</c:v>
                </c:pt>
                <c:pt idx="18">
                  <c:v>3280</c:v>
                </c:pt>
                <c:pt idx="19">
                  <c:v>1960</c:v>
                </c:pt>
                <c:pt idx="20">
                  <c:v>603</c:v>
                </c:pt>
                <c:pt idx="21">
                  <c:v>1230</c:v>
                </c:pt>
                <c:pt idx="22">
                  <c:v>3410</c:v>
                </c:pt>
                <c:pt idx="23">
                  <c:v>589</c:v>
                </c:pt>
                <c:pt idx="24">
                  <c:v>1140</c:v>
                </c:pt>
              </c:numCache>
            </c:numRef>
          </c:val>
          <c:smooth val="0"/>
        </c:ser>
        <c:ser>
          <c:idx val="4"/>
          <c:order val="2"/>
          <c:tx>
            <c:v>MERL MW 216</c:v>
          </c:tx>
          <c:spPr>
            <a:ln w="22225">
              <a:solidFill>
                <a:srgbClr val="1F497D">
                  <a:lumMod val="40000"/>
                  <a:lumOff val="60000"/>
                </a:srgbClr>
              </a:solidFill>
              <a:prstDash val="sysDash"/>
              <a:headEnd type="none" w="med" len="med"/>
              <a:tailEnd type="none" w="med" len="med"/>
            </a:ln>
          </c:spPr>
          <c:marker>
            <c:symbol val="none"/>
          </c:marker>
          <c:cat>
            <c:numRef>
              <c:f>'wells of interest data'!$A$256:$A$281</c:f>
              <c:numCache>
                <c:formatCode>m/d/yyyy</c:formatCode>
                <c:ptCount val="26"/>
                <c:pt idx="0">
                  <c:v>43290</c:v>
                </c:pt>
                <c:pt idx="1">
                  <c:v>43297</c:v>
                </c:pt>
                <c:pt idx="2">
                  <c:v>43304</c:v>
                </c:pt>
                <c:pt idx="3">
                  <c:v>43311</c:v>
                </c:pt>
                <c:pt idx="4">
                  <c:v>43318</c:v>
                </c:pt>
                <c:pt idx="5">
                  <c:v>43325</c:v>
                </c:pt>
                <c:pt idx="6">
                  <c:v>43332</c:v>
                </c:pt>
                <c:pt idx="7">
                  <c:v>43339</c:v>
                </c:pt>
                <c:pt idx="8">
                  <c:v>43346</c:v>
                </c:pt>
                <c:pt idx="9">
                  <c:v>43353</c:v>
                </c:pt>
                <c:pt idx="10">
                  <c:v>43360</c:v>
                </c:pt>
                <c:pt idx="11">
                  <c:v>43367</c:v>
                </c:pt>
                <c:pt idx="12">
                  <c:v>43374</c:v>
                </c:pt>
                <c:pt idx="13">
                  <c:v>43381</c:v>
                </c:pt>
                <c:pt idx="14">
                  <c:v>43388</c:v>
                </c:pt>
                <c:pt idx="15">
                  <c:v>43395</c:v>
                </c:pt>
                <c:pt idx="16">
                  <c:v>43402</c:v>
                </c:pt>
                <c:pt idx="17">
                  <c:v>43409</c:v>
                </c:pt>
                <c:pt idx="18">
                  <c:v>43416</c:v>
                </c:pt>
                <c:pt idx="19">
                  <c:v>43423</c:v>
                </c:pt>
                <c:pt idx="20">
                  <c:v>43430</c:v>
                </c:pt>
                <c:pt idx="21">
                  <c:v>43437</c:v>
                </c:pt>
                <c:pt idx="22">
                  <c:v>43444</c:v>
                </c:pt>
                <c:pt idx="23">
                  <c:v>43451</c:v>
                </c:pt>
                <c:pt idx="24">
                  <c:v>43458</c:v>
                </c:pt>
                <c:pt idx="25">
                  <c:v>43465</c:v>
                </c:pt>
              </c:numCache>
            </c:numRef>
          </c:cat>
          <c:val>
            <c:numRef>
              <c:f>'wells of interest data'!$H$256:$H$281</c:f>
              <c:numCache>
                <c:formatCode>General</c:formatCode>
                <c:ptCount val="26"/>
                <c:pt idx="0" formatCode="0">
                  <c:v>1731</c:v>
                </c:pt>
                <c:pt idx="3" formatCode="0">
                  <c:v>1966</c:v>
                </c:pt>
                <c:pt idx="6" formatCode="0">
                  <c:v>3009</c:v>
                </c:pt>
                <c:pt idx="9" formatCode="0">
                  <c:v>2181</c:v>
                </c:pt>
                <c:pt idx="12" formatCode="0">
                  <c:v>1845</c:v>
                </c:pt>
                <c:pt idx="15" formatCode="0">
                  <c:v>2117</c:v>
                </c:pt>
                <c:pt idx="18" formatCode="0">
                  <c:v>810</c:v>
                </c:pt>
                <c:pt idx="21" formatCode="0">
                  <c:v>1091</c:v>
                </c:pt>
                <c:pt idx="24" formatCode="0">
                  <c:v>1332</c:v>
                </c:pt>
              </c:numCache>
            </c:numRef>
          </c:val>
          <c:smooth val="0"/>
        </c:ser>
        <c:ser>
          <c:idx val="5"/>
          <c:order val="3"/>
          <c:tx>
            <c:v>Entergy MW 216</c:v>
          </c:tx>
          <c:spPr>
            <a:ln w="19050">
              <a:solidFill>
                <a:srgbClr val="1F497D">
                  <a:lumMod val="40000"/>
                  <a:lumOff val="60000"/>
                </a:srgbClr>
              </a:solidFill>
            </a:ln>
          </c:spPr>
          <c:marker>
            <c:symbol val="none"/>
          </c:marker>
          <c:cat>
            <c:numRef>
              <c:f>'wells of interest data'!$A$256:$A$281</c:f>
              <c:numCache>
                <c:formatCode>m/d/yyyy</c:formatCode>
                <c:ptCount val="26"/>
                <c:pt idx="0">
                  <c:v>43290</c:v>
                </c:pt>
                <c:pt idx="1">
                  <c:v>43297</c:v>
                </c:pt>
                <c:pt idx="2">
                  <c:v>43304</c:v>
                </c:pt>
                <c:pt idx="3">
                  <c:v>43311</c:v>
                </c:pt>
                <c:pt idx="4">
                  <c:v>43318</c:v>
                </c:pt>
                <c:pt idx="5">
                  <c:v>43325</c:v>
                </c:pt>
                <c:pt idx="6">
                  <c:v>43332</c:v>
                </c:pt>
                <c:pt idx="7">
                  <c:v>43339</c:v>
                </c:pt>
                <c:pt idx="8">
                  <c:v>43346</c:v>
                </c:pt>
                <c:pt idx="9">
                  <c:v>43353</c:v>
                </c:pt>
                <c:pt idx="10">
                  <c:v>43360</c:v>
                </c:pt>
                <c:pt idx="11">
                  <c:v>43367</c:v>
                </c:pt>
                <c:pt idx="12">
                  <c:v>43374</c:v>
                </c:pt>
                <c:pt idx="13">
                  <c:v>43381</c:v>
                </c:pt>
                <c:pt idx="14">
                  <c:v>43388</c:v>
                </c:pt>
                <c:pt idx="15">
                  <c:v>43395</c:v>
                </c:pt>
                <c:pt idx="16">
                  <c:v>43402</c:v>
                </c:pt>
                <c:pt idx="17">
                  <c:v>43409</c:v>
                </c:pt>
                <c:pt idx="18">
                  <c:v>43416</c:v>
                </c:pt>
                <c:pt idx="19">
                  <c:v>43423</c:v>
                </c:pt>
                <c:pt idx="20">
                  <c:v>43430</c:v>
                </c:pt>
                <c:pt idx="21">
                  <c:v>43437</c:v>
                </c:pt>
                <c:pt idx="22">
                  <c:v>43444</c:v>
                </c:pt>
                <c:pt idx="23">
                  <c:v>43451</c:v>
                </c:pt>
                <c:pt idx="24">
                  <c:v>43458</c:v>
                </c:pt>
                <c:pt idx="25">
                  <c:v>43465</c:v>
                </c:pt>
              </c:numCache>
            </c:numRef>
          </c:cat>
          <c:val>
            <c:numRef>
              <c:f>'wells of interest data'!$F$256:$F$281</c:f>
              <c:numCache>
                <c:formatCode>General</c:formatCode>
                <c:ptCount val="26"/>
                <c:pt idx="0">
                  <c:v>1820</c:v>
                </c:pt>
                <c:pt idx="6">
                  <c:v>3000</c:v>
                </c:pt>
                <c:pt idx="9">
                  <c:v>2690</c:v>
                </c:pt>
                <c:pt idx="12">
                  <c:v>1810</c:v>
                </c:pt>
                <c:pt idx="15">
                  <c:v>2170</c:v>
                </c:pt>
                <c:pt idx="18">
                  <c:v>723</c:v>
                </c:pt>
                <c:pt idx="21">
                  <c:v>1380</c:v>
                </c:pt>
                <c:pt idx="24">
                  <c:v>1280</c:v>
                </c:pt>
              </c:numCache>
            </c:numRef>
          </c:val>
          <c:smooth val="0"/>
        </c:ser>
        <c:ser>
          <c:idx val="8"/>
          <c:order val="4"/>
          <c:tx>
            <c:v>MERL MW 215</c:v>
          </c:tx>
          <c:spPr>
            <a:ln w="19050">
              <a:solidFill>
                <a:srgbClr val="8064A2">
                  <a:lumMod val="50000"/>
                </a:srgbClr>
              </a:solidFill>
              <a:prstDash val="sysDash"/>
            </a:ln>
          </c:spPr>
          <c:marker>
            <c:symbol val="none"/>
          </c:marker>
          <c:val>
            <c:numRef>
              <c:f>'wells of interest data'!$E$256:$E$281</c:f>
              <c:numCache>
                <c:formatCode>General</c:formatCode>
                <c:ptCount val="26"/>
                <c:pt idx="12" formatCode="0">
                  <c:v>430</c:v>
                </c:pt>
                <c:pt idx="15" formatCode="0">
                  <c:v>675</c:v>
                </c:pt>
                <c:pt idx="18" formatCode="0">
                  <c:v>2285</c:v>
                </c:pt>
                <c:pt idx="21" formatCode="0">
                  <c:v>2904</c:v>
                </c:pt>
                <c:pt idx="24" formatCode="0">
                  <c:v>3394</c:v>
                </c:pt>
              </c:numCache>
            </c:numRef>
          </c:val>
          <c:smooth val="0"/>
        </c:ser>
        <c:ser>
          <c:idx val="9"/>
          <c:order val="5"/>
          <c:tx>
            <c:v>Entergy MW 215</c:v>
          </c:tx>
          <c:spPr>
            <a:ln w="25400">
              <a:solidFill>
                <a:srgbClr val="8064A2">
                  <a:lumMod val="50000"/>
                </a:srgbClr>
              </a:solidFill>
            </a:ln>
          </c:spPr>
          <c:marker>
            <c:symbol val="none"/>
          </c:marker>
          <c:val>
            <c:numRef>
              <c:f>'wells of interest data'!$D$256:$D$281</c:f>
              <c:numCache>
                <c:formatCode>General</c:formatCode>
                <c:ptCount val="26"/>
                <c:pt idx="9" formatCode="0">
                  <c:v>344</c:v>
                </c:pt>
                <c:pt idx="12" formatCode="0">
                  <c:v>441</c:v>
                </c:pt>
                <c:pt idx="15" formatCode="0">
                  <c:v>620</c:v>
                </c:pt>
                <c:pt idx="18" formatCode="0">
                  <c:v>2260</c:v>
                </c:pt>
                <c:pt idx="21" formatCode="0">
                  <c:v>2310</c:v>
                </c:pt>
                <c:pt idx="24" formatCode="0">
                  <c:v>3350</c:v>
                </c:pt>
              </c:numCache>
            </c:numRef>
          </c:val>
          <c:smooth val="0"/>
        </c:ser>
        <c:ser>
          <c:idx val="2"/>
          <c:order val="6"/>
          <c:tx>
            <c:v>MERL MW 211</c:v>
          </c:tx>
          <c:spPr>
            <a:ln w="19050">
              <a:solidFill>
                <a:srgbClr val="8064A2">
                  <a:lumMod val="60000"/>
                  <a:lumOff val="40000"/>
                </a:srgbClr>
              </a:solidFill>
              <a:prstDash val="sysDash"/>
            </a:ln>
          </c:spPr>
          <c:marker>
            <c:symbol val="none"/>
          </c:marker>
          <c:val>
            <c:numRef>
              <c:f>'wells of interest data'!$C$256:$C$281</c:f>
              <c:numCache>
                <c:formatCode>General</c:formatCode>
                <c:ptCount val="26"/>
                <c:pt idx="0" formatCode="0">
                  <c:v>2537</c:v>
                </c:pt>
                <c:pt idx="4" formatCode="0">
                  <c:v>3315</c:v>
                </c:pt>
                <c:pt idx="5" formatCode="0">
                  <c:v>3304</c:v>
                </c:pt>
                <c:pt idx="6" formatCode="0">
                  <c:v>3279</c:v>
                </c:pt>
                <c:pt idx="7" formatCode="0">
                  <c:v>3098</c:v>
                </c:pt>
                <c:pt idx="8" formatCode="0">
                  <c:v>3064</c:v>
                </c:pt>
                <c:pt idx="9" formatCode="0">
                  <c:v>3633</c:v>
                </c:pt>
                <c:pt idx="10" formatCode="0">
                  <c:v>3938</c:v>
                </c:pt>
                <c:pt idx="11" formatCode="0">
                  <c:v>3375</c:v>
                </c:pt>
                <c:pt idx="12" formatCode="0">
                  <c:v>3800</c:v>
                </c:pt>
                <c:pt idx="13" formatCode="0">
                  <c:v>3485</c:v>
                </c:pt>
                <c:pt idx="14" formatCode="0">
                  <c:v>3019</c:v>
                </c:pt>
                <c:pt idx="15" formatCode="0">
                  <c:v>3107</c:v>
                </c:pt>
                <c:pt idx="16" formatCode="0">
                  <c:v>2968</c:v>
                </c:pt>
                <c:pt idx="17" formatCode="0">
                  <c:v>3104</c:v>
                </c:pt>
                <c:pt idx="18" formatCode="0">
                  <c:v>2551</c:v>
                </c:pt>
                <c:pt idx="19" formatCode="0">
                  <c:v>2282</c:v>
                </c:pt>
                <c:pt idx="20" formatCode="0">
                  <c:v>1593</c:v>
                </c:pt>
                <c:pt idx="21" formatCode="0">
                  <c:v>1508</c:v>
                </c:pt>
                <c:pt idx="22" formatCode="0">
                  <c:v>1544</c:v>
                </c:pt>
                <c:pt idx="23" formatCode="0">
                  <c:v>1107</c:v>
                </c:pt>
                <c:pt idx="24" formatCode="0">
                  <c:v>1384</c:v>
                </c:pt>
                <c:pt idx="25" formatCode="0">
                  <c:v>962</c:v>
                </c:pt>
              </c:numCache>
            </c:numRef>
          </c:val>
          <c:smooth val="0"/>
        </c:ser>
        <c:ser>
          <c:idx val="3"/>
          <c:order val="7"/>
          <c:tx>
            <c:v>Entergy MW 211</c:v>
          </c:tx>
          <c:spPr>
            <a:ln w="19050">
              <a:solidFill>
                <a:srgbClr val="8064A2">
                  <a:lumMod val="60000"/>
                  <a:lumOff val="40000"/>
                </a:srgbClr>
              </a:solidFill>
            </a:ln>
          </c:spPr>
          <c:marker>
            <c:symbol val="none"/>
          </c:marker>
          <c:val>
            <c:numRef>
              <c:f>'wells of interest data'!$B$256:$B$281</c:f>
              <c:numCache>
                <c:formatCode>General</c:formatCode>
                <c:ptCount val="26"/>
                <c:pt idx="0" formatCode="0">
                  <c:v>2430</c:v>
                </c:pt>
                <c:pt idx="4" formatCode="0">
                  <c:v>2940</c:v>
                </c:pt>
                <c:pt idx="5" formatCode="0">
                  <c:v>3260</c:v>
                </c:pt>
                <c:pt idx="6" formatCode="0">
                  <c:v>3420</c:v>
                </c:pt>
                <c:pt idx="7" formatCode="0_);\(0\)">
                  <c:v>3150</c:v>
                </c:pt>
                <c:pt idx="8" formatCode="0_);\(0\)">
                  <c:v>3370</c:v>
                </c:pt>
                <c:pt idx="9" formatCode="0_);\(0\)">
                  <c:v>3660</c:v>
                </c:pt>
                <c:pt idx="10" formatCode="0_);\(0\)">
                  <c:v>4020</c:v>
                </c:pt>
                <c:pt idx="11" formatCode="0_);\(0\)">
                  <c:v>3450</c:v>
                </c:pt>
                <c:pt idx="12" formatCode="0_);\(0\)">
                  <c:v>3690</c:v>
                </c:pt>
                <c:pt idx="13" formatCode="0_);\(0\)">
                  <c:v>3430</c:v>
                </c:pt>
                <c:pt idx="14" formatCode="0_);\(0\)">
                  <c:v>3410</c:v>
                </c:pt>
                <c:pt idx="15" formatCode="0_);\(0\)">
                  <c:v>2910</c:v>
                </c:pt>
                <c:pt idx="16" formatCode="0_);\(0\)">
                  <c:v>2960</c:v>
                </c:pt>
                <c:pt idx="17" formatCode="0_);\(0\)">
                  <c:v>2830</c:v>
                </c:pt>
                <c:pt idx="18" formatCode="0_);\(0\)">
                  <c:v>2440</c:v>
                </c:pt>
                <c:pt idx="19" formatCode="0_);\(0\)">
                  <c:v>2100</c:v>
                </c:pt>
                <c:pt idx="20" formatCode="0_);\(0\)">
                  <c:v>1750</c:v>
                </c:pt>
                <c:pt idx="21" formatCode="0_);\(0\)">
                  <c:v>1460</c:v>
                </c:pt>
                <c:pt idx="22" formatCode="0_);\(0\)">
                  <c:v>1230</c:v>
                </c:pt>
                <c:pt idx="23" formatCode="0_);\(0\)">
                  <c:v>1390</c:v>
                </c:pt>
                <c:pt idx="24" formatCode="0_);\(0\)">
                  <c:v>1140</c:v>
                </c:pt>
              </c:numCache>
            </c:numRef>
          </c:val>
          <c:smooth val="0"/>
        </c:ser>
        <c:ser>
          <c:idx val="12"/>
          <c:order val="8"/>
          <c:tx>
            <c:v>NRC Screening Level</c:v>
          </c:tx>
          <c:spPr>
            <a:ln w="1905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numRef>
              <c:f>'wells of interest data'!$A$256:$A$281</c:f>
              <c:numCache>
                <c:formatCode>m/d/yyyy</c:formatCode>
                <c:ptCount val="26"/>
                <c:pt idx="0">
                  <c:v>43290</c:v>
                </c:pt>
                <c:pt idx="1">
                  <c:v>43297</c:v>
                </c:pt>
                <c:pt idx="2">
                  <c:v>43304</c:v>
                </c:pt>
                <c:pt idx="3">
                  <c:v>43311</c:v>
                </c:pt>
                <c:pt idx="4">
                  <c:v>43318</c:v>
                </c:pt>
                <c:pt idx="5">
                  <c:v>43325</c:v>
                </c:pt>
                <c:pt idx="6">
                  <c:v>43332</c:v>
                </c:pt>
                <c:pt idx="7">
                  <c:v>43339</c:v>
                </c:pt>
                <c:pt idx="8">
                  <c:v>43346</c:v>
                </c:pt>
                <c:pt idx="9">
                  <c:v>43353</c:v>
                </c:pt>
                <c:pt idx="10">
                  <c:v>43360</c:v>
                </c:pt>
                <c:pt idx="11">
                  <c:v>43367</c:v>
                </c:pt>
                <c:pt idx="12">
                  <c:v>43374</c:v>
                </c:pt>
                <c:pt idx="13">
                  <c:v>43381</c:v>
                </c:pt>
                <c:pt idx="14">
                  <c:v>43388</c:v>
                </c:pt>
                <c:pt idx="15">
                  <c:v>43395</c:v>
                </c:pt>
                <c:pt idx="16">
                  <c:v>43402</c:v>
                </c:pt>
                <c:pt idx="17">
                  <c:v>43409</c:v>
                </c:pt>
                <c:pt idx="18">
                  <c:v>43416</c:v>
                </c:pt>
                <c:pt idx="19">
                  <c:v>43423</c:v>
                </c:pt>
                <c:pt idx="20">
                  <c:v>43430</c:v>
                </c:pt>
                <c:pt idx="21">
                  <c:v>43437</c:v>
                </c:pt>
                <c:pt idx="22">
                  <c:v>43444</c:v>
                </c:pt>
                <c:pt idx="23">
                  <c:v>43451</c:v>
                </c:pt>
                <c:pt idx="24">
                  <c:v>43458</c:v>
                </c:pt>
                <c:pt idx="25">
                  <c:v>43465</c:v>
                </c:pt>
              </c:numCache>
            </c:numRef>
          </c:cat>
          <c:val>
            <c:numRef>
              <c:f>'wells of interest data'!$L$256:$L$281</c:f>
              <c:numCache>
                <c:formatCode>General</c:formatCode>
                <c:ptCount val="26"/>
                <c:pt idx="0">
                  <c:v>3000</c:v>
                </c:pt>
                <c:pt idx="25">
                  <c:v>3000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033408"/>
        <c:axId val="136035328"/>
      </c:lineChart>
      <c:dateAx>
        <c:axId val="136033408"/>
        <c:scaling>
          <c:orientation val="minMax"/>
          <c:max val="43465"/>
          <c:min val="43290"/>
        </c:scaling>
        <c:delete val="0"/>
        <c:axPos val="b"/>
        <c:majorGridlines>
          <c:spPr>
            <a:ln w="3175"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400" b="0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400" b="0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Sample date 2018</a:t>
                </a:r>
              </a:p>
            </c:rich>
          </c:tx>
          <c:layout>
            <c:manualLayout>
              <c:xMode val="edge"/>
              <c:yMode val="edge"/>
              <c:x val="0.39119413395003944"/>
              <c:y val="0.7689549241127468"/>
            </c:manualLayout>
          </c:layout>
          <c:overlay val="0"/>
        </c:title>
        <c:numFmt formatCode="[$-409]mmm;@" sourceLinked="0"/>
        <c:majorTickMark val="in"/>
        <c:minorTickMark val="none"/>
        <c:tickLblPos val="nextTo"/>
        <c:spPr>
          <a:ln w="38100">
            <a:solidFill>
              <a:schemeClr val="bg1">
                <a:lumMod val="50000"/>
                <a:alpha val="83000"/>
              </a:schemeClr>
            </a:solidFill>
          </a:ln>
        </c:spPr>
        <c:txPr>
          <a:bodyPr anchor="t" anchorCtr="0"/>
          <a:lstStyle/>
          <a:p>
            <a:pPr>
              <a:defRPr sz="11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6035328"/>
        <c:crosses val="autoZero"/>
        <c:auto val="1"/>
        <c:lblOffset val="100"/>
        <c:baseTimeUnit val="days"/>
        <c:majorUnit val="1"/>
        <c:majorTimeUnit val="months"/>
      </c:dateAx>
      <c:valAx>
        <c:axId val="136035328"/>
        <c:scaling>
          <c:orientation val="minMax"/>
          <c:max val="450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  <a:alpha val="70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400" b="0">
                    <a:solidFill>
                      <a:sysClr val="windowText" lastClr="000000"/>
                    </a:solidFill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400" b="0">
                    <a:solidFill>
                      <a:sysClr val="windowText" lastClr="000000"/>
                    </a:solidFill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5149551834796849E-3"/>
              <c:y val="0.24210273537540902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noFill/>
          <a:ln w="9525">
            <a:solidFill>
              <a:schemeClr val="tx1"/>
            </a:solidFill>
          </a:ln>
        </c:spPr>
        <c:txPr>
          <a:bodyPr anchor="ctr" anchorCtr="0"/>
          <a:lstStyle/>
          <a:p>
            <a:pPr>
              <a:defRPr sz="1100" kern="1000" spc="-1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6033408"/>
        <c:crosses val="autoZero"/>
        <c:crossBetween val="between"/>
        <c:majorUnit val="5000"/>
      </c:valAx>
      <c:spPr>
        <a:ln w="3175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lang="en-US" sz="1000" b="0" i="0" u="none" strike="noStrike" kern="1200" baseline="0">
                <a:solidFill>
                  <a:sysClr val="windowText" lastClr="000000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lang="en-US" sz="1000" b="0" i="0" u="none" strike="noStrike" kern="1200" baseline="0">
                <a:solidFill>
                  <a:sysClr val="windowText" lastClr="000000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lang="en-US" sz="1000" b="0" i="0" u="none" strike="noStrike" kern="1200" baseline="0">
                <a:solidFill>
                  <a:sysClr val="windowText" lastClr="000000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23598487477200944"/>
          <c:y val="0.83175068069762303"/>
          <c:w val="0.53670240805109481"/>
          <c:h val="0.14223234052265207"/>
        </c:manualLayout>
      </c:layout>
      <c:overlay val="1"/>
      <c:spPr>
        <a:ln>
          <a:noFill/>
        </a:ln>
      </c:spPr>
      <c:txPr>
        <a:bodyPr/>
        <a:lstStyle/>
        <a:p>
          <a:pPr>
            <a:defRPr lang="en-US" sz="1000" b="0" i="0" u="none" strike="noStrike" kern="1200" baseline="0">
              <a:solidFill>
                <a:sysClr val="windowText" lastClr="000000"/>
              </a:solidFill>
              <a:latin typeface="+mn-lt"/>
              <a:ea typeface="Verdana" panose="020B0604030504040204" pitchFamily="34" charset="0"/>
              <a:cs typeface="Verdana" panose="020B060403050404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b) MW-216</a:t>
            </a:r>
          </a:p>
        </c:rich>
      </c:tx>
      <c:layout>
        <c:manualLayout>
          <c:xMode val="edge"/>
          <c:yMode val="edge"/>
          <c:x val="0.16114668789711167"/>
          <c:y val="1.53068738952233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688966204805796"/>
          <c:y val="9.1513893217801387E-2"/>
          <c:w val="0.74506663411259644"/>
          <c:h val="0.71380050876674084"/>
        </c:manualLayout>
      </c:layout>
      <c:lineChart>
        <c:grouping val="standard"/>
        <c:varyColors val="0"/>
        <c:ser>
          <c:idx val="2"/>
          <c:order val="0"/>
          <c:tx>
            <c:v>Entergy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data'!$A$3:$A$281</c:f>
              <c:numCache>
                <c:formatCode>m/d/yyyy</c:formatCode>
                <c:ptCount val="279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43101</c:v>
                </c:pt>
                <c:pt idx="238">
                  <c:v>43115</c:v>
                </c:pt>
                <c:pt idx="239">
                  <c:v>43122</c:v>
                </c:pt>
                <c:pt idx="240">
                  <c:v>43129</c:v>
                </c:pt>
                <c:pt idx="241">
                  <c:v>43143</c:v>
                </c:pt>
                <c:pt idx="242">
                  <c:v>43164</c:v>
                </c:pt>
                <c:pt idx="243">
                  <c:v>43185</c:v>
                </c:pt>
                <c:pt idx="244">
                  <c:v>43206</c:v>
                </c:pt>
                <c:pt idx="245">
                  <c:v>43220</c:v>
                </c:pt>
                <c:pt idx="246">
                  <c:v>43248</c:v>
                </c:pt>
                <c:pt idx="247">
                  <c:v>43255</c:v>
                </c:pt>
                <c:pt idx="248">
                  <c:v>43262</c:v>
                </c:pt>
                <c:pt idx="249">
                  <c:v>43269</c:v>
                </c:pt>
                <c:pt idx="250">
                  <c:v>43276</c:v>
                </c:pt>
                <c:pt idx="251">
                  <c:v>43277</c:v>
                </c:pt>
                <c:pt idx="252">
                  <c:v>43278</c:v>
                </c:pt>
                <c:pt idx="253">
                  <c:v>43290</c:v>
                </c:pt>
                <c:pt idx="254">
                  <c:v>43297</c:v>
                </c:pt>
                <c:pt idx="255">
                  <c:v>43304</c:v>
                </c:pt>
                <c:pt idx="256">
                  <c:v>43311</c:v>
                </c:pt>
                <c:pt idx="257">
                  <c:v>43318</c:v>
                </c:pt>
                <c:pt idx="258">
                  <c:v>43325</c:v>
                </c:pt>
                <c:pt idx="259">
                  <c:v>43332</c:v>
                </c:pt>
                <c:pt idx="260">
                  <c:v>43339</c:v>
                </c:pt>
                <c:pt idx="261">
                  <c:v>43346</c:v>
                </c:pt>
                <c:pt idx="262">
                  <c:v>43353</c:v>
                </c:pt>
                <c:pt idx="263">
                  <c:v>43360</c:v>
                </c:pt>
                <c:pt idx="264">
                  <c:v>43367</c:v>
                </c:pt>
                <c:pt idx="265">
                  <c:v>43374</c:v>
                </c:pt>
                <c:pt idx="266">
                  <c:v>43381</c:v>
                </c:pt>
                <c:pt idx="267">
                  <c:v>43388</c:v>
                </c:pt>
                <c:pt idx="268">
                  <c:v>43395</c:v>
                </c:pt>
                <c:pt idx="269">
                  <c:v>43402</c:v>
                </c:pt>
                <c:pt idx="270">
                  <c:v>43409</c:v>
                </c:pt>
                <c:pt idx="271">
                  <c:v>43416</c:v>
                </c:pt>
                <c:pt idx="272">
                  <c:v>43423</c:v>
                </c:pt>
                <c:pt idx="273">
                  <c:v>43430</c:v>
                </c:pt>
                <c:pt idx="274">
                  <c:v>43437</c:v>
                </c:pt>
                <c:pt idx="275">
                  <c:v>43444</c:v>
                </c:pt>
                <c:pt idx="276">
                  <c:v>43451</c:v>
                </c:pt>
                <c:pt idx="277">
                  <c:v>43458</c:v>
                </c:pt>
                <c:pt idx="278">
                  <c:v>43465</c:v>
                </c:pt>
              </c:numCache>
            </c:numRef>
          </c:cat>
          <c:val>
            <c:numRef>
              <c:f>'wells of interest data'!$B$3:$B$281</c:f>
              <c:numCache>
                <c:formatCode>0</c:formatCode>
                <c:ptCount val="279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 formatCode="General">
                  <c:v>1670</c:v>
                </c:pt>
                <c:pt idx="239" formatCode="General">
                  <c:v>1230</c:v>
                </c:pt>
                <c:pt idx="241" formatCode="General">
                  <c:v>1210</c:v>
                </c:pt>
                <c:pt idx="242" formatCode="General">
                  <c:v>1460</c:v>
                </c:pt>
                <c:pt idx="243" formatCode="General">
                  <c:v>575</c:v>
                </c:pt>
                <c:pt idx="244" formatCode="General">
                  <c:v>601</c:v>
                </c:pt>
                <c:pt idx="245" formatCode="General">
                  <c:v>699</c:v>
                </c:pt>
                <c:pt idx="246" formatCode="General">
                  <c:v>1670</c:v>
                </c:pt>
                <c:pt idx="253" formatCode="General">
                  <c:v>1820</c:v>
                </c:pt>
                <c:pt idx="259" formatCode="General">
                  <c:v>3000</c:v>
                </c:pt>
                <c:pt idx="262" formatCode="General">
                  <c:v>2690</c:v>
                </c:pt>
                <c:pt idx="265" formatCode="General">
                  <c:v>1810</c:v>
                </c:pt>
                <c:pt idx="268" formatCode="General">
                  <c:v>2170</c:v>
                </c:pt>
                <c:pt idx="271" formatCode="General">
                  <c:v>723</c:v>
                </c:pt>
                <c:pt idx="274" formatCode="General">
                  <c:v>1380</c:v>
                </c:pt>
                <c:pt idx="277" formatCode="General">
                  <c:v>1280</c:v>
                </c:pt>
              </c:numCache>
            </c:numRef>
          </c:val>
          <c:smooth val="0"/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data'!$A$3:$A$281</c:f>
              <c:numCache>
                <c:formatCode>m/d/yyyy</c:formatCode>
                <c:ptCount val="279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43101</c:v>
                </c:pt>
                <c:pt idx="238">
                  <c:v>43115</c:v>
                </c:pt>
                <c:pt idx="239">
                  <c:v>43122</c:v>
                </c:pt>
                <c:pt idx="240">
                  <c:v>43129</c:v>
                </c:pt>
                <c:pt idx="241">
                  <c:v>43143</c:v>
                </c:pt>
                <c:pt idx="242">
                  <c:v>43164</c:v>
                </c:pt>
                <c:pt idx="243">
                  <c:v>43185</c:v>
                </c:pt>
                <c:pt idx="244">
                  <c:v>43206</c:v>
                </c:pt>
                <c:pt idx="245">
                  <c:v>43220</c:v>
                </c:pt>
                <c:pt idx="246">
                  <c:v>43248</c:v>
                </c:pt>
                <c:pt idx="247">
                  <c:v>43255</c:v>
                </c:pt>
                <c:pt idx="248">
                  <c:v>43262</c:v>
                </c:pt>
                <c:pt idx="249">
                  <c:v>43269</c:v>
                </c:pt>
                <c:pt idx="250">
                  <c:v>43276</c:v>
                </c:pt>
                <c:pt idx="251">
                  <c:v>43277</c:v>
                </c:pt>
                <c:pt idx="252">
                  <c:v>43278</c:v>
                </c:pt>
                <c:pt idx="253">
                  <c:v>43290</c:v>
                </c:pt>
                <c:pt idx="254">
                  <c:v>43297</c:v>
                </c:pt>
                <c:pt idx="255">
                  <c:v>43304</c:v>
                </c:pt>
                <c:pt idx="256">
                  <c:v>43311</c:v>
                </c:pt>
                <c:pt idx="257">
                  <c:v>43318</c:v>
                </c:pt>
                <c:pt idx="258">
                  <c:v>43325</c:v>
                </c:pt>
                <c:pt idx="259">
                  <c:v>43332</c:v>
                </c:pt>
                <c:pt idx="260">
                  <c:v>43339</c:v>
                </c:pt>
                <c:pt idx="261">
                  <c:v>43346</c:v>
                </c:pt>
                <c:pt idx="262">
                  <c:v>43353</c:v>
                </c:pt>
                <c:pt idx="263">
                  <c:v>43360</c:v>
                </c:pt>
                <c:pt idx="264">
                  <c:v>43367</c:v>
                </c:pt>
                <c:pt idx="265">
                  <c:v>43374</c:v>
                </c:pt>
                <c:pt idx="266">
                  <c:v>43381</c:v>
                </c:pt>
                <c:pt idx="267">
                  <c:v>43388</c:v>
                </c:pt>
                <c:pt idx="268">
                  <c:v>43395</c:v>
                </c:pt>
                <c:pt idx="269">
                  <c:v>43402</c:v>
                </c:pt>
                <c:pt idx="270">
                  <c:v>43409</c:v>
                </c:pt>
                <c:pt idx="271">
                  <c:v>43416</c:v>
                </c:pt>
                <c:pt idx="272">
                  <c:v>43423</c:v>
                </c:pt>
                <c:pt idx="273">
                  <c:v>43430</c:v>
                </c:pt>
                <c:pt idx="274">
                  <c:v>43437</c:v>
                </c:pt>
                <c:pt idx="275">
                  <c:v>43444</c:v>
                </c:pt>
                <c:pt idx="276">
                  <c:v>43451</c:v>
                </c:pt>
                <c:pt idx="277">
                  <c:v>43458</c:v>
                </c:pt>
                <c:pt idx="278">
                  <c:v>43465</c:v>
                </c:pt>
              </c:numCache>
            </c:numRef>
          </c:cat>
          <c:val>
            <c:numRef>
              <c:f>'wells of interest data'!$D$3:$D$281</c:f>
              <c:numCache>
                <c:formatCode>0</c:formatCode>
                <c:ptCount val="279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</c:v>
                </c:pt>
                <c:pt idx="239">
                  <c:v>1522</c:v>
                </c:pt>
                <c:pt idx="241">
                  <c:v>1231</c:v>
                </c:pt>
                <c:pt idx="242">
                  <c:v>1670</c:v>
                </c:pt>
                <c:pt idx="243">
                  <c:v>584</c:v>
                </c:pt>
                <c:pt idx="244">
                  <c:v>492</c:v>
                </c:pt>
                <c:pt idx="245">
                  <c:v>724</c:v>
                </c:pt>
                <c:pt idx="246">
                  <c:v>1514</c:v>
                </c:pt>
                <c:pt idx="249">
                  <c:v>1818</c:v>
                </c:pt>
                <c:pt idx="253">
                  <c:v>1731</c:v>
                </c:pt>
                <c:pt idx="256">
                  <c:v>1966</c:v>
                </c:pt>
                <c:pt idx="259">
                  <c:v>3009</c:v>
                </c:pt>
                <c:pt idx="262">
                  <c:v>2181</c:v>
                </c:pt>
                <c:pt idx="265">
                  <c:v>1845</c:v>
                </c:pt>
                <c:pt idx="268">
                  <c:v>2117</c:v>
                </c:pt>
                <c:pt idx="271">
                  <c:v>810</c:v>
                </c:pt>
                <c:pt idx="274">
                  <c:v>1091</c:v>
                </c:pt>
                <c:pt idx="277">
                  <c:v>1332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292992"/>
        <c:axId val="136299648"/>
      </c:lineChart>
      <c:dateAx>
        <c:axId val="136292992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2012 - 2018</a:t>
                </a:r>
              </a:p>
            </c:rich>
          </c:tx>
          <c:layout>
            <c:manualLayout>
              <c:xMode val="edge"/>
              <c:yMode val="edge"/>
              <c:x val="0.44176571486354693"/>
              <c:y val="0.9506846270534412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136299648"/>
        <c:crosses val="autoZero"/>
        <c:auto val="0"/>
        <c:lblOffset val="100"/>
        <c:baseTimeUnit val="days"/>
        <c:majorUnit val="6"/>
        <c:majorTimeUnit val="months"/>
        <c:minorUnit val="1"/>
        <c:minorTimeUnit val="months"/>
      </c:dateAx>
      <c:valAx>
        <c:axId val="136299648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7147856517935258E-3"/>
              <c:y val="0.14986347636777961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6292992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45530122688152352"/>
          <c:y val="0.12978860200614459"/>
          <c:w val="0.44105271724755335"/>
          <c:h val="0.1998576340201178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c) MW-218</a:t>
            </a:r>
          </a:p>
        </c:rich>
      </c:tx>
      <c:layout>
        <c:manualLayout>
          <c:xMode val="edge"/>
          <c:yMode val="edge"/>
          <c:x val="0.10520216292161579"/>
          <c:y val="6.331479854132563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904529503186088"/>
          <c:y val="8.6341683982074938E-2"/>
          <c:w val="0.83646729855914548"/>
          <c:h val="0.71543299509746938"/>
        </c:manualLayout>
      </c:layout>
      <c:lineChart>
        <c:grouping val="standard"/>
        <c:varyColors val="0"/>
        <c:ser>
          <c:idx val="3"/>
          <c:order val="0"/>
          <c:tx>
            <c:v>Entergy</c:v>
          </c:tx>
          <c:spPr>
            <a:ln w="15875">
              <a:solidFill>
                <a:srgbClr val="1F497D">
                  <a:lumMod val="75000"/>
                </a:srgbClr>
              </a:solidFill>
            </a:ln>
          </c:spPr>
          <c:marker>
            <c:symbol val="square"/>
            <c:size val="2"/>
            <c:spPr>
              <a:solidFill>
                <a:srgbClr val="1F497D"/>
              </a:solidFill>
              <a:ln w="19050">
                <a:solidFill>
                  <a:srgbClr val="1F497D"/>
                </a:solidFill>
              </a:ln>
            </c:spPr>
          </c:marker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cat>
            <c:numRef>
              <c:f>'wells of interest data'!$A$64:$A$281</c:f>
              <c:numCache>
                <c:formatCode>m/d/yyyy</c:formatCode>
                <c:ptCount val="218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43101</c:v>
                </c:pt>
                <c:pt idx="177">
                  <c:v>43115</c:v>
                </c:pt>
                <c:pt idx="178">
                  <c:v>43122</c:v>
                </c:pt>
                <c:pt idx="179">
                  <c:v>43129</c:v>
                </c:pt>
                <c:pt idx="180">
                  <c:v>43143</c:v>
                </c:pt>
                <c:pt idx="181">
                  <c:v>43164</c:v>
                </c:pt>
                <c:pt idx="182">
                  <c:v>43185</c:v>
                </c:pt>
                <c:pt idx="183">
                  <c:v>43206</c:v>
                </c:pt>
                <c:pt idx="184">
                  <c:v>43220</c:v>
                </c:pt>
                <c:pt idx="185">
                  <c:v>43248</c:v>
                </c:pt>
                <c:pt idx="186">
                  <c:v>43255</c:v>
                </c:pt>
                <c:pt idx="187">
                  <c:v>43262</c:v>
                </c:pt>
                <c:pt idx="188">
                  <c:v>43269</c:v>
                </c:pt>
                <c:pt idx="189">
                  <c:v>43276</c:v>
                </c:pt>
                <c:pt idx="190">
                  <c:v>43277</c:v>
                </c:pt>
                <c:pt idx="191">
                  <c:v>43278</c:v>
                </c:pt>
                <c:pt idx="192">
                  <c:v>43290</c:v>
                </c:pt>
                <c:pt idx="193">
                  <c:v>43297</c:v>
                </c:pt>
                <c:pt idx="194">
                  <c:v>43304</c:v>
                </c:pt>
                <c:pt idx="195">
                  <c:v>43311</c:v>
                </c:pt>
                <c:pt idx="196">
                  <c:v>43318</c:v>
                </c:pt>
                <c:pt idx="197">
                  <c:v>43325</c:v>
                </c:pt>
                <c:pt idx="198">
                  <c:v>43332</c:v>
                </c:pt>
                <c:pt idx="199">
                  <c:v>43339</c:v>
                </c:pt>
                <c:pt idx="200">
                  <c:v>43346</c:v>
                </c:pt>
                <c:pt idx="201">
                  <c:v>43353</c:v>
                </c:pt>
                <c:pt idx="202">
                  <c:v>43360</c:v>
                </c:pt>
                <c:pt idx="203">
                  <c:v>43367</c:v>
                </c:pt>
                <c:pt idx="204">
                  <c:v>43374</c:v>
                </c:pt>
                <c:pt idx="205">
                  <c:v>43381</c:v>
                </c:pt>
                <c:pt idx="206">
                  <c:v>43388</c:v>
                </c:pt>
                <c:pt idx="207">
                  <c:v>43395</c:v>
                </c:pt>
                <c:pt idx="208">
                  <c:v>43402</c:v>
                </c:pt>
                <c:pt idx="209">
                  <c:v>43409</c:v>
                </c:pt>
                <c:pt idx="210">
                  <c:v>43416</c:v>
                </c:pt>
                <c:pt idx="211">
                  <c:v>43423</c:v>
                </c:pt>
                <c:pt idx="212">
                  <c:v>43430</c:v>
                </c:pt>
                <c:pt idx="213">
                  <c:v>43437</c:v>
                </c:pt>
                <c:pt idx="214">
                  <c:v>43444</c:v>
                </c:pt>
                <c:pt idx="215">
                  <c:v>43451</c:v>
                </c:pt>
                <c:pt idx="216">
                  <c:v>43458</c:v>
                </c:pt>
                <c:pt idx="217">
                  <c:v>43465</c:v>
                </c:pt>
              </c:numCache>
            </c:numRef>
          </c:cat>
          <c:val>
            <c:numRef>
              <c:f>'wells of interest data'!$C$64:$C$281</c:f>
              <c:numCache>
                <c:formatCode>0</c:formatCode>
                <c:ptCount val="218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 formatCode="General">
                  <c:v>2170</c:v>
                </c:pt>
                <c:pt idx="178" formatCode="General">
                  <c:v>2200</c:v>
                </c:pt>
                <c:pt idx="180" formatCode="General">
                  <c:v>2090</c:v>
                </c:pt>
                <c:pt idx="181" formatCode="General">
                  <c:v>1710</c:v>
                </c:pt>
                <c:pt idx="182" formatCode="General">
                  <c:v>1170</c:v>
                </c:pt>
                <c:pt idx="183" formatCode="General">
                  <c:v>1270</c:v>
                </c:pt>
                <c:pt idx="184" formatCode="General">
                  <c:v>1080</c:v>
                </c:pt>
                <c:pt idx="185" formatCode="General">
                  <c:v>1270</c:v>
                </c:pt>
                <c:pt idx="188" formatCode="General">
                  <c:v>1320</c:v>
                </c:pt>
                <c:pt idx="192" formatCode="General">
                  <c:v>1110</c:v>
                </c:pt>
                <c:pt idx="198" formatCode="General">
                  <c:v>1280</c:v>
                </c:pt>
                <c:pt idx="201" formatCode="General">
                  <c:v>1170</c:v>
                </c:pt>
                <c:pt idx="204" formatCode="General">
                  <c:v>1340</c:v>
                </c:pt>
                <c:pt idx="207" formatCode="General">
                  <c:v>1630</c:v>
                </c:pt>
                <c:pt idx="210" formatCode="General">
                  <c:v>1150</c:v>
                </c:pt>
                <c:pt idx="213" formatCode="General">
                  <c:v>1130</c:v>
                </c:pt>
                <c:pt idx="216" formatCode="General">
                  <c:v>1170</c:v>
                </c:pt>
              </c:numCache>
            </c:numRef>
          </c:val>
          <c:smooth val="0"/>
        </c:ser>
        <c:ser>
          <c:idx val="1"/>
          <c:order val="1"/>
          <c:tx>
            <c:v>MERL</c:v>
          </c:tx>
          <c:spPr>
            <a:ln w="15875">
              <a:solidFill>
                <a:srgbClr val="2860A4"/>
              </a:solidFill>
              <a:prstDash val="dash"/>
            </a:ln>
            <a:effectLst/>
          </c:spPr>
          <c:marker>
            <c:symbol val="square"/>
            <c:size val="2"/>
            <c:spPr>
              <a:solidFill>
                <a:srgbClr val="002060">
                  <a:alpha val="81000"/>
                </a:srgbClr>
              </a:solidFill>
              <a:ln w="12700">
                <a:solidFill>
                  <a:srgbClr val="1F497D"/>
                </a:solidFill>
                <a:prstDash val="dash"/>
              </a:ln>
              <a:effectLst/>
            </c:spPr>
          </c:marker>
          <c:cat>
            <c:numRef>
              <c:f>'wells of interest data'!$A$64:$A$281</c:f>
              <c:numCache>
                <c:formatCode>m/d/yyyy</c:formatCode>
                <c:ptCount val="218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43101</c:v>
                </c:pt>
                <c:pt idx="177">
                  <c:v>43115</c:v>
                </c:pt>
                <c:pt idx="178">
                  <c:v>43122</c:v>
                </c:pt>
                <c:pt idx="179">
                  <c:v>43129</c:v>
                </c:pt>
                <c:pt idx="180">
                  <c:v>43143</c:v>
                </c:pt>
                <c:pt idx="181">
                  <c:v>43164</c:v>
                </c:pt>
                <c:pt idx="182">
                  <c:v>43185</c:v>
                </c:pt>
                <c:pt idx="183">
                  <c:v>43206</c:v>
                </c:pt>
                <c:pt idx="184">
                  <c:v>43220</c:v>
                </c:pt>
                <c:pt idx="185">
                  <c:v>43248</c:v>
                </c:pt>
                <c:pt idx="186">
                  <c:v>43255</c:v>
                </c:pt>
                <c:pt idx="187">
                  <c:v>43262</c:v>
                </c:pt>
                <c:pt idx="188">
                  <c:v>43269</c:v>
                </c:pt>
                <c:pt idx="189">
                  <c:v>43276</c:v>
                </c:pt>
                <c:pt idx="190">
                  <c:v>43277</c:v>
                </c:pt>
                <c:pt idx="191">
                  <c:v>43278</c:v>
                </c:pt>
                <c:pt idx="192">
                  <c:v>43290</c:v>
                </c:pt>
                <c:pt idx="193">
                  <c:v>43297</c:v>
                </c:pt>
                <c:pt idx="194">
                  <c:v>43304</c:v>
                </c:pt>
                <c:pt idx="195">
                  <c:v>43311</c:v>
                </c:pt>
                <c:pt idx="196">
                  <c:v>43318</c:v>
                </c:pt>
                <c:pt idx="197">
                  <c:v>43325</c:v>
                </c:pt>
                <c:pt idx="198">
                  <c:v>43332</c:v>
                </c:pt>
                <c:pt idx="199">
                  <c:v>43339</c:v>
                </c:pt>
                <c:pt idx="200">
                  <c:v>43346</c:v>
                </c:pt>
                <c:pt idx="201">
                  <c:v>43353</c:v>
                </c:pt>
                <c:pt idx="202">
                  <c:v>43360</c:v>
                </c:pt>
                <c:pt idx="203">
                  <c:v>43367</c:v>
                </c:pt>
                <c:pt idx="204">
                  <c:v>43374</c:v>
                </c:pt>
                <c:pt idx="205">
                  <c:v>43381</c:v>
                </c:pt>
                <c:pt idx="206">
                  <c:v>43388</c:v>
                </c:pt>
                <c:pt idx="207">
                  <c:v>43395</c:v>
                </c:pt>
                <c:pt idx="208">
                  <c:v>43402</c:v>
                </c:pt>
                <c:pt idx="209">
                  <c:v>43409</c:v>
                </c:pt>
                <c:pt idx="210">
                  <c:v>43416</c:v>
                </c:pt>
                <c:pt idx="211">
                  <c:v>43423</c:v>
                </c:pt>
                <c:pt idx="212">
                  <c:v>43430</c:v>
                </c:pt>
                <c:pt idx="213">
                  <c:v>43437</c:v>
                </c:pt>
                <c:pt idx="214">
                  <c:v>43444</c:v>
                </c:pt>
                <c:pt idx="215">
                  <c:v>43451</c:v>
                </c:pt>
                <c:pt idx="216">
                  <c:v>43458</c:v>
                </c:pt>
                <c:pt idx="217">
                  <c:v>43465</c:v>
                </c:pt>
              </c:numCache>
            </c:numRef>
          </c:cat>
          <c:val>
            <c:numRef>
              <c:f>'wells of interest data'!$E$64:$E$281</c:f>
              <c:numCache>
                <c:formatCode>0</c:formatCode>
                <c:ptCount val="218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2066</c:v>
                </c:pt>
                <c:pt idx="178">
                  <c:v>2283</c:v>
                </c:pt>
                <c:pt idx="180">
                  <c:v>2126</c:v>
                </c:pt>
                <c:pt idx="181">
                  <c:v>1797</c:v>
                </c:pt>
                <c:pt idx="182">
                  <c:v>1193</c:v>
                </c:pt>
                <c:pt idx="183">
                  <c:v>1115</c:v>
                </c:pt>
                <c:pt idx="184">
                  <c:v>1249</c:v>
                </c:pt>
                <c:pt idx="185">
                  <c:v>1140</c:v>
                </c:pt>
                <c:pt idx="188">
                  <c:v>1103</c:v>
                </c:pt>
                <c:pt idx="192">
                  <c:v>1128</c:v>
                </c:pt>
                <c:pt idx="195">
                  <c:v>1084</c:v>
                </c:pt>
                <c:pt idx="198">
                  <c:v>1031</c:v>
                </c:pt>
                <c:pt idx="201">
                  <c:v>1023</c:v>
                </c:pt>
                <c:pt idx="204">
                  <c:v>1095</c:v>
                </c:pt>
                <c:pt idx="207">
                  <c:v>1344</c:v>
                </c:pt>
                <c:pt idx="210">
                  <c:v>1279</c:v>
                </c:pt>
                <c:pt idx="213">
                  <c:v>1150</c:v>
                </c:pt>
                <c:pt idx="216">
                  <c:v>976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411776"/>
        <c:axId val="136418432"/>
      </c:lineChart>
      <c:dateAx>
        <c:axId val="136411776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2013 - 2018</a:t>
                </a:r>
              </a:p>
            </c:rich>
          </c:tx>
          <c:layout>
            <c:manualLayout>
              <c:xMode val="edge"/>
              <c:yMode val="edge"/>
              <c:x val="0.40224777111371846"/>
              <c:y val="0.9451585193293624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</a:defRPr>
            </a:pPr>
            <a:endParaRPr lang="en-US"/>
          </a:p>
        </c:txPr>
        <c:crossAx val="136418432"/>
        <c:crosses val="autoZero"/>
        <c:auto val="0"/>
        <c:lblOffset val="100"/>
        <c:baseTimeUnit val="days"/>
        <c:majorUnit val="6"/>
        <c:majorTimeUnit val="months"/>
        <c:minorUnit val="1"/>
        <c:minorTimeUnit val="months"/>
      </c:dateAx>
      <c:valAx>
        <c:axId val="136418432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36411776"/>
        <c:crosses val="autoZero"/>
        <c:crossBetween val="between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egendEntry>
        <c:idx val="2"/>
        <c:delete val="1"/>
      </c:legendEntry>
      <c:layout>
        <c:manualLayout>
          <c:xMode val="edge"/>
          <c:yMode val="edge"/>
          <c:x val="0.51787360564304463"/>
          <c:y val="0.12511474269570033"/>
          <c:w val="0.33652928149606298"/>
          <c:h val="0.20671794497909982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latin typeface="+mn-lt"/>
            </a:defRPr>
          </a:pPr>
          <a:endParaRPr lang="en-US"/>
        </a:p>
      </c:txPr>
    </c:legend>
    <c:plotVisOnly val="0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d) MW 219</a:t>
            </a:r>
          </a:p>
        </c:rich>
      </c:tx>
      <c:layout>
        <c:manualLayout>
          <c:xMode val="edge"/>
          <c:yMode val="edge"/>
          <c:x val="0.13347883313315037"/>
          <c:y val="2.21198168258011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960996392443261"/>
          <c:y val="9.6072204111118845E-2"/>
          <c:w val="0.80563657392249388"/>
          <c:h val="0.70104318530109555"/>
        </c:manualLayout>
      </c:layout>
      <c:lineChart>
        <c:grouping val="standard"/>
        <c:varyColors val="0"/>
        <c:ser>
          <c:idx val="1"/>
          <c:order val="0"/>
          <c:tx>
            <c:v>Entergy</c:v>
          </c:tx>
          <c:spPr>
            <a:ln w="25400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'data mw219'!$A$2:$A$144</c:f>
              <c:numCache>
                <c:formatCode>m/d/yyyy</c:formatCode>
                <c:ptCount val="143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42374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42619</c:v>
                </c:pt>
                <c:pt idx="78">
                  <c:v>42647</c:v>
                </c:pt>
                <c:pt idx="79">
                  <c:v>42688</c:v>
                </c:pt>
                <c:pt idx="80">
                  <c:v>42754</c:v>
                </c:pt>
                <c:pt idx="81">
                  <c:v>42772</c:v>
                </c:pt>
                <c:pt idx="82">
                  <c:v>42787</c:v>
                </c:pt>
                <c:pt idx="83">
                  <c:v>42794</c:v>
                </c:pt>
                <c:pt idx="84">
                  <c:v>42814</c:v>
                </c:pt>
                <c:pt idx="85">
                  <c:v>42839</c:v>
                </c:pt>
                <c:pt idx="86">
                  <c:v>42852</c:v>
                </c:pt>
                <c:pt idx="87">
                  <c:v>42874</c:v>
                </c:pt>
                <c:pt idx="88">
                  <c:v>42895</c:v>
                </c:pt>
                <c:pt idx="89">
                  <c:v>42901</c:v>
                </c:pt>
                <c:pt idx="90">
                  <c:v>42914</c:v>
                </c:pt>
                <c:pt idx="91">
                  <c:v>42935</c:v>
                </c:pt>
                <c:pt idx="92">
                  <c:v>42958</c:v>
                </c:pt>
                <c:pt idx="93">
                  <c:v>42975</c:v>
                </c:pt>
                <c:pt idx="94">
                  <c:v>42999</c:v>
                </c:pt>
                <c:pt idx="95">
                  <c:v>43018</c:v>
                </c:pt>
                <c:pt idx="96">
                  <c:v>43038</c:v>
                </c:pt>
                <c:pt idx="97">
                  <c:v>43048</c:v>
                </c:pt>
                <c:pt idx="98">
                  <c:v>43059</c:v>
                </c:pt>
                <c:pt idx="99">
                  <c:v>43080</c:v>
                </c:pt>
                <c:pt idx="100">
                  <c:v>43089</c:v>
                </c:pt>
                <c:pt idx="101">
                  <c:v>43101</c:v>
                </c:pt>
                <c:pt idx="102">
                  <c:v>43115</c:v>
                </c:pt>
                <c:pt idx="103">
                  <c:v>43122</c:v>
                </c:pt>
                <c:pt idx="104">
                  <c:v>43129</c:v>
                </c:pt>
                <c:pt idx="105">
                  <c:v>43143</c:v>
                </c:pt>
                <c:pt idx="106">
                  <c:v>43164</c:v>
                </c:pt>
                <c:pt idx="107">
                  <c:v>43185</c:v>
                </c:pt>
                <c:pt idx="108">
                  <c:v>43206</c:v>
                </c:pt>
                <c:pt idx="109">
                  <c:v>43220</c:v>
                </c:pt>
                <c:pt idx="110">
                  <c:v>43248</c:v>
                </c:pt>
                <c:pt idx="111">
                  <c:v>43255</c:v>
                </c:pt>
                <c:pt idx="112">
                  <c:v>43262</c:v>
                </c:pt>
                <c:pt idx="113">
                  <c:v>43269</c:v>
                </c:pt>
                <c:pt idx="114">
                  <c:v>43276</c:v>
                </c:pt>
                <c:pt idx="115">
                  <c:v>43277</c:v>
                </c:pt>
                <c:pt idx="116">
                  <c:v>43278</c:v>
                </c:pt>
                <c:pt idx="117">
                  <c:v>43290</c:v>
                </c:pt>
                <c:pt idx="118">
                  <c:v>43297</c:v>
                </c:pt>
                <c:pt idx="119">
                  <c:v>43304</c:v>
                </c:pt>
                <c:pt idx="120">
                  <c:v>43311</c:v>
                </c:pt>
                <c:pt idx="121">
                  <c:v>43318</c:v>
                </c:pt>
                <c:pt idx="122">
                  <c:v>43325</c:v>
                </c:pt>
                <c:pt idx="123">
                  <c:v>43332</c:v>
                </c:pt>
                <c:pt idx="124">
                  <c:v>43339</c:v>
                </c:pt>
                <c:pt idx="125">
                  <c:v>43346</c:v>
                </c:pt>
                <c:pt idx="126">
                  <c:v>43353</c:v>
                </c:pt>
                <c:pt idx="127">
                  <c:v>43360</c:v>
                </c:pt>
                <c:pt idx="128">
                  <c:v>43367</c:v>
                </c:pt>
                <c:pt idx="129">
                  <c:v>43374</c:v>
                </c:pt>
                <c:pt idx="130">
                  <c:v>43381</c:v>
                </c:pt>
                <c:pt idx="131">
                  <c:v>43388</c:v>
                </c:pt>
                <c:pt idx="132">
                  <c:v>43395</c:v>
                </c:pt>
                <c:pt idx="133">
                  <c:v>43402</c:v>
                </c:pt>
                <c:pt idx="134">
                  <c:v>43409</c:v>
                </c:pt>
                <c:pt idx="135">
                  <c:v>43416</c:v>
                </c:pt>
                <c:pt idx="136">
                  <c:v>43423</c:v>
                </c:pt>
                <c:pt idx="137">
                  <c:v>43430</c:v>
                </c:pt>
                <c:pt idx="138">
                  <c:v>43437</c:v>
                </c:pt>
                <c:pt idx="139">
                  <c:v>43444</c:v>
                </c:pt>
                <c:pt idx="140">
                  <c:v>43451</c:v>
                </c:pt>
                <c:pt idx="141">
                  <c:v>43458</c:v>
                </c:pt>
                <c:pt idx="142">
                  <c:v>43465</c:v>
                </c:pt>
              </c:numCache>
            </c:numRef>
          </c:cat>
          <c:val>
            <c:numRef>
              <c:f>'data mw219'!$B$2:$B$144</c:f>
              <c:numCache>
                <c:formatCode>General</c:formatCode>
                <c:ptCount val="143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 formatCode="0">
                  <c:v>1340</c:v>
                </c:pt>
                <c:pt idx="37" formatCode="0">
                  <c:v>1170</c:v>
                </c:pt>
                <c:pt idx="41" formatCode="0">
                  <c:v>1260</c:v>
                </c:pt>
                <c:pt idx="43" formatCode="0">
                  <c:v>1060</c:v>
                </c:pt>
                <c:pt idx="46" formatCode="0">
                  <c:v>1310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76">
                  <c:v>762</c:v>
                </c:pt>
                <c:pt idx="77">
                  <c:v>1180</c:v>
                </c:pt>
                <c:pt idx="78">
                  <c:v>1080</c:v>
                </c:pt>
                <c:pt idx="79" formatCode="0">
                  <c:v>859</c:v>
                </c:pt>
                <c:pt idx="82" formatCode="0">
                  <c:v>841.2</c:v>
                </c:pt>
                <c:pt idx="89">
                  <c:v>1721</c:v>
                </c:pt>
                <c:pt idx="91">
                  <c:v>1330.6</c:v>
                </c:pt>
                <c:pt idx="93">
                  <c:v>3158.7</c:v>
                </c:pt>
                <c:pt idx="96">
                  <c:v>2244.9</c:v>
                </c:pt>
                <c:pt idx="98">
                  <c:v>5395.8</c:v>
                </c:pt>
                <c:pt idx="99">
                  <c:v>3332.1</c:v>
                </c:pt>
                <c:pt idx="100">
                  <c:v>5315</c:v>
                </c:pt>
                <c:pt idx="101">
                  <c:v>2210</c:v>
                </c:pt>
                <c:pt idx="102">
                  <c:v>2260</c:v>
                </c:pt>
                <c:pt idx="103">
                  <c:v>1060</c:v>
                </c:pt>
                <c:pt idx="104">
                  <c:v>4410</c:v>
                </c:pt>
                <c:pt idx="105">
                  <c:v>1110</c:v>
                </c:pt>
                <c:pt idx="106">
                  <c:v>747</c:v>
                </c:pt>
                <c:pt idx="107">
                  <c:v>3680</c:v>
                </c:pt>
                <c:pt idx="108">
                  <c:v>1320</c:v>
                </c:pt>
                <c:pt idx="109">
                  <c:v>5560</c:v>
                </c:pt>
                <c:pt idx="110">
                  <c:v>12200</c:v>
                </c:pt>
                <c:pt idx="111">
                  <c:v>4950</c:v>
                </c:pt>
                <c:pt idx="112">
                  <c:v>14500</c:v>
                </c:pt>
                <c:pt idx="113">
                  <c:v>19000</c:v>
                </c:pt>
                <c:pt idx="114">
                  <c:v>18200</c:v>
                </c:pt>
                <c:pt idx="115">
                  <c:v>19200</c:v>
                </c:pt>
                <c:pt idx="116">
                  <c:v>17700</c:v>
                </c:pt>
                <c:pt idx="117">
                  <c:v>20500</c:v>
                </c:pt>
                <c:pt idx="118">
                  <c:v>34500</c:v>
                </c:pt>
                <c:pt idx="119">
                  <c:v>33000</c:v>
                </c:pt>
                <c:pt idx="120">
                  <c:v>31500</c:v>
                </c:pt>
                <c:pt idx="121">
                  <c:v>11200</c:v>
                </c:pt>
                <c:pt idx="122">
                  <c:v>26500</c:v>
                </c:pt>
                <c:pt idx="123">
                  <c:v>1910</c:v>
                </c:pt>
                <c:pt idx="124">
                  <c:v>34300</c:v>
                </c:pt>
                <c:pt idx="125">
                  <c:v>22000</c:v>
                </c:pt>
                <c:pt idx="126">
                  <c:v>4290</c:v>
                </c:pt>
                <c:pt idx="127">
                  <c:v>25900</c:v>
                </c:pt>
                <c:pt idx="128">
                  <c:v>19900</c:v>
                </c:pt>
                <c:pt idx="129">
                  <c:v>13300</c:v>
                </c:pt>
                <c:pt idx="130">
                  <c:v>13800</c:v>
                </c:pt>
                <c:pt idx="131">
                  <c:v>10000</c:v>
                </c:pt>
                <c:pt idx="132">
                  <c:v>6410</c:v>
                </c:pt>
                <c:pt idx="133">
                  <c:v>722</c:v>
                </c:pt>
                <c:pt idx="134">
                  <c:v>1920</c:v>
                </c:pt>
                <c:pt idx="135">
                  <c:v>3280</c:v>
                </c:pt>
                <c:pt idx="136">
                  <c:v>1960</c:v>
                </c:pt>
                <c:pt idx="137">
                  <c:v>603</c:v>
                </c:pt>
                <c:pt idx="138">
                  <c:v>1230</c:v>
                </c:pt>
                <c:pt idx="139">
                  <c:v>3410</c:v>
                </c:pt>
                <c:pt idx="140">
                  <c:v>589</c:v>
                </c:pt>
                <c:pt idx="141">
                  <c:v>1140</c:v>
                </c:pt>
              </c:numCache>
            </c:numRef>
          </c:val>
          <c:smooth val="0"/>
        </c:ser>
        <c:ser>
          <c:idx val="3"/>
          <c:order val="1"/>
          <c:tx>
            <c:v>MERL</c:v>
          </c:tx>
          <c:spPr>
            <a:ln w="2222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'data mw219'!$A$2:$A$144</c:f>
              <c:numCache>
                <c:formatCode>m/d/yyyy</c:formatCode>
                <c:ptCount val="143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42374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42619</c:v>
                </c:pt>
                <c:pt idx="78">
                  <c:v>42647</c:v>
                </c:pt>
                <c:pt idx="79">
                  <c:v>42688</c:v>
                </c:pt>
                <c:pt idx="80">
                  <c:v>42754</c:v>
                </c:pt>
                <c:pt idx="81">
                  <c:v>42772</c:v>
                </c:pt>
                <c:pt idx="82">
                  <c:v>42787</c:v>
                </c:pt>
                <c:pt idx="83">
                  <c:v>42794</c:v>
                </c:pt>
                <c:pt idx="84">
                  <c:v>42814</c:v>
                </c:pt>
                <c:pt idx="85">
                  <c:v>42839</c:v>
                </c:pt>
                <c:pt idx="86">
                  <c:v>42852</c:v>
                </c:pt>
                <c:pt idx="87">
                  <c:v>42874</c:v>
                </c:pt>
                <c:pt idx="88">
                  <c:v>42895</c:v>
                </c:pt>
                <c:pt idx="89">
                  <c:v>42901</c:v>
                </c:pt>
                <c:pt idx="90">
                  <c:v>42914</c:v>
                </c:pt>
                <c:pt idx="91">
                  <c:v>42935</c:v>
                </c:pt>
                <c:pt idx="92">
                  <c:v>42958</c:v>
                </c:pt>
                <c:pt idx="93">
                  <c:v>42975</c:v>
                </c:pt>
                <c:pt idx="94">
                  <c:v>42999</c:v>
                </c:pt>
                <c:pt idx="95">
                  <c:v>43018</c:v>
                </c:pt>
                <c:pt idx="96">
                  <c:v>43038</c:v>
                </c:pt>
                <c:pt idx="97">
                  <c:v>43048</c:v>
                </c:pt>
                <c:pt idx="98">
                  <c:v>43059</c:v>
                </c:pt>
                <c:pt idx="99">
                  <c:v>43080</c:v>
                </c:pt>
                <c:pt idx="100">
                  <c:v>43089</c:v>
                </c:pt>
                <c:pt idx="101">
                  <c:v>43101</c:v>
                </c:pt>
                <c:pt idx="102">
                  <c:v>43115</c:v>
                </c:pt>
                <c:pt idx="103">
                  <c:v>43122</c:v>
                </c:pt>
                <c:pt idx="104">
                  <c:v>43129</c:v>
                </c:pt>
                <c:pt idx="105">
                  <c:v>43143</c:v>
                </c:pt>
                <c:pt idx="106">
                  <c:v>43164</c:v>
                </c:pt>
                <c:pt idx="107">
                  <c:v>43185</c:v>
                </c:pt>
                <c:pt idx="108">
                  <c:v>43206</c:v>
                </c:pt>
                <c:pt idx="109">
                  <c:v>43220</c:v>
                </c:pt>
                <c:pt idx="110">
                  <c:v>43248</c:v>
                </c:pt>
                <c:pt idx="111">
                  <c:v>43255</c:v>
                </c:pt>
                <c:pt idx="112">
                  <c:v>43262</c:v>
                </c:pt>
                <c:pt idx="113">
                  <c:v>43269</c:v>
                </c:pt>
                <c:pt idx="114">
                  <c:v>43276</c:v>
                </c:pt>
                <c:pt idx="115">
                  <c:v>43277</c:v>
                </c:pt>
                <c:pt idx="116">
                  <c:v>43278</c:v>
                </c:pt>
                <c:pt idx="117">
                  <c:v>43290</c:v>
                </c:pt>
                <c:pt idx="118">
                  <c:v>43297</c:v>
                </c:pt>
                <c:pt idx="119">
                  <c:v>43304</c:v>
                </c:pt>
                <c:pt idx="120">
                  <c:v>43311</c:v>
                </c:pt>
                <c:pt idx="121">
                  <c:v>43318</c:v>
                </c:pt>
                <c:pt idx="122">
                  <c:v>43325</c:v>
                </c:pt>
                <c:pt idx="123">
                  <c:v>43332</c:v>
                </c:pt>
                <c:pt idx="124">
                  <c:v>43339</c:v>
                </c:pt>
                <c:pt idx="125">
                  <c:v>43346</c:v>
                </c:pt>
                <c:pt idx="126">
                  <c:v>43353</c:v>
                </c:pt>
                <c:pt idx="127">
                  <c:v>43360</c:v>
                </c:pt>
                <c:pt idx="128">
                  <c:v>43367</c:v>
                </c:pt>
                <c:pt idx="129">
                  <c:v>43374</c:v>
                </c:pt>
                <c:pt idx="130">
                  <c:v>43381</c:v>
                </c:pt>
                <c:pt idx="131">
                  <c:v>43388</c:v>
                </c:pt>
                <c:pt idx="132">
                  <c:v>43395</c:v>
                </c:pt>
                <c:pt idx="133">
                  <c:v>43402</c:v>
                </c:pt>
                <c:pt idx="134">
                  <c:v>43409</c:v>
                </c:pt>
                <c:pt idx="135">
                  <c:v>43416</c:v>
                </c:pt>
                <c:pt idx="136">
                  <c:v>43423</c:v>
                </c:pt>
                <c:pt idx="137">
                  <c:v>43430</c:v>
                </c:pt>
                <c:pt idx="138">
                  <c:v>43437</c:v>
                </c:pt>
                <c:pt idx="139">
                  <c:v>43444</c:v>
                </c:pt>
                <c:pt idx="140">
                  <c:v>43451</c:v>
                </c:pt>
                <c:pt idx="141">
                  <c:v>43458</c:v>
                </c:pt>
                <c:pt idx="142">
                  <c:v>43465</c:v>
                </c:pt>
              </c:numCache>
            </c:numRef>
          </c:cat>
          <c:val>
            <c:numRef>
              <c:f>'data mw219'!$C$2:$C$144</c:f>
              <c:numCache>
                <c:formatCode>General</c:formatCode>
                <c:ptCount val="143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 formatCode="0">
                  <c:v>1046.0575254153234</c:v>
                </c:pt>
                <c:pt idx="37" formatCode="0">
                  <c:v>1127.6171901792559</c:v>
                </c:pt>
                <c:pt idx="41" formatCode="0">
                  <c:v>1151.1757095662881</c:v>
                </c:pt>
                <c:pt idx="43" formatCode="0">
                  <c:v>952.30698678974534</c:v>
                </c:pt>
                <c:pt idx="46" formatCode="0">
                  <c:v>1194.0442387913204</c:v>
                </c:pt>
                <c:pt idx="50" formatCode="0">
                  <c:v>1320.9690629045465</c:v>
                </c:pt>
                <c:pt idx="54" formatCode="0">
                  <c:v>1027.9605263157898</c:v>
                </c:pt>
                <c:pt idx="59" formatCode="0">
                  <c:v>1240.32696228801</c:v>
                </c:pt>
                <c:pt idx="61" formatCode="0">
                  <c:v>1159.9099099099101</c:v>
                </c:pt>
                <c:pt idx="63" formatCode="0">
                  <c:v>699.46862415072439</c:v>
                </c:pt>
                <c:pt idx="67" formatCode="0">
                  <c:v>629.50009983908296</c:v>
                </c:pt>
                <c:pt idx="72" formatCode="0">
                  <c:v>958.44450550911642</c:v>
                </c:pt>
                <c:pt idx="76" formatCode="0">
                  <c:v>822.68119042525393</c:v>
                </c:pt>
                <c:pt idx="77" formatCode="0">
                  <c:v>1279.1772451998966</c:v>
                </c:pt>
                <c:pt idx="78" formatCode="0">
                  <c:v>1302.6228954678697</c:v>
                </c:pt>
                <c:pt idx="79" formatCode="0">
                  <c:v>983.6413754324202</c:v>
                </c:pt>
                <c:pt idx="82">
                  <c:v>909</c:v>
                </c:pt>
                <c:pt idx="89">
                  <c:v>1660</c:v>
                </c:pt>
                <c:pt idx="93">
                  <c:v>3210</c:v>
                </c:pt>
                <c:pt idx="96">
                  <c:v>1750</c:v>
                </c:pt>
                <c:pt idx="98">
                  <c:v>6030</c:v>
                </c:pt>
                <c:pt idx="99">
                  <c:v>3900</c:v>
                </c:pt>
                <c:pt idx="100">
                  <c:v>5840</c:v>
                </c:pt>
                <c:pt idx="101">
                  <c:v>3674</c:v>
                </c:pt>
                <c:pt idx="102">
                  <c:v>2376</c:v>
                </c:pt>
                <c:pt idx="103">
                  <c:v>967</c:v>
                </c:pt>
                <c:pt idx="104">
                  <c:v>4590</c:v>
                </c:pt>
                <c:pt idx="105">
                  <c:v>843</c:v>
                </c:pt>
                <c:pt idx="106">
                  <c:v>750</c:v>
                </c:pt>
                <c:pt idx="107">
                  <c:v>4513</c:v>
                </c:pt>
                <c:pt idx="108">
                  <c:v>793</c:v>
                </c:pt>
                <c:pt idx="109">
                  <c:v>4978</c:v>
                </c:pt>
                <c:pt idx="110">
                  <c:v>11638</c:v>
                </c:pt>
                <c:pt idx="111">
                  <c:v>6489</c:v>
                </c:pt>
                <c:pt idx="112">
                  <c:v>15816</c:v>
                </c:pt>
                <c:pt idx="113">
                  <c:v>18125</c:v>
                </c:pt>
                <c:pt idx="115">
                  <c:v>18755</c:v>
                </c:pt>
                <c:pt idx="116">
                  <c:v>16716</c:v>
                </c:pt>
                <c:pt idx="118">
                  <c:v>31784</c:v>
                </c:pt>
                <c:pt idx="120">
                  <c:v>38795</c:v>
                </c:pt>
                <c:pt idx="121">
                  <c:v>9772</c:v>
                </c:pt>
                <c:pt idx="122">
                  <c:v>25336</c:v>
                </c:pt>
                <c:pt idx="123">
                  <c:v>1163</c:v>
                </c:pt>
                <c:pt idx="124">
                  <c:v>31690</c:v>
                </c:pt>
                <c:pt idx="125">
                  <c:v>23116</c:v>
                </c:pt>
                <c:pt idx="126">
                  <c:v>6690</c:v>
                </c:pt>
                <c:pt idx="127">
                  <c:v>24116</c:v>
                </c:pt>
                <c:pt idx="128">
                  <c:v>18016</c:v>
                </c:pt>
                <c:pt idx="129">
                  <c:v>12296</c:v>
                </c:pt>
                <c:pt idx="130">
                  <c:v>14989</c:v>
                </c:pt>
                <c:pt idx="131">
                  <c:v>11271</c:v>
                </c:pt>
                <c:pt idx="132">
                  <c:v>5793</c:v>
                </c:pt>
                <c:pt idx="133">
                  <c:v>1023</c:v>
                </c:pt>
                <c:pt idx="134">
                  <c:v>2270</c:v>
                </c:pt>
                <c:pt idx="135">
                  <c:v>3548</c:v>
                </c:pt>
                <c:pt idx="136">
                  <c:v>1684</c:v>
                </c:pt>
                <c:pt idx="137">
                  <c:v>865</c:v>
                </c:pt>
                <c:pt idx="138">
                  <c:v>1151</c:v>
                </c:pt>
                <c:pt idx="139">
                  <c:v>3444</c:v>
                </c:pt>
                <c:pt idx="140">
                  <c:v>738</c:v>
                </c:pt>
                <c:pt idx="141">
                  <c:v>953</c:v>
                </c:pt>
                <c:pt idx="142">
                  <c:v>584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435584"/>
        <c:axId val="136987008"/>
      </c:lineChart>
      <c:dateAx>
        <c:axId val="136435584"/>
        <c:scaling>
          <c:orientation val="minMax"/>
          <c:max val="43465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2015 -2018</a:t>
                </a:r>
              </a:p>
            </c:rich>
          </c:tx>
          <c:layout>
            <c:manualLayout>
              <c:xMode val="edge"/>
              <c:yMode val="edge"/>
              <c:x val="0.4445618599474464"/>
              <c:y val="0.91236725595918389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136987008"/>
        <c:crosses val="autoZero"/>
        <c:auto val="0"/>
        <c:lblOffset val="100"/>
        <c:baseTimeUnit val="days"/>
        <c:majorUnit val="6"/>
        <c:majorTimeUnit val="months"/>
        <c:minorUnit val="6"/>
        <c:minorTimeUnit val="months"/>
      </c:dateAx>
      <c:valAx>
        <c:axId val="136987008"/>
        <c:scaling>
          <c:orientation val="minMax"/>
          <c:max val="4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136435584"/>
        <c:crosses val="autoZero"/>
        <c:crossBetween val="midCat"/>
        <c:majorUnit val="5000"/>
      </c:valAx>
      <c:spPr>
        <a:noFill/>
        <a:ln w="6350">
          <a:noFill/>
        </a:ln>
      </c:spPr>
    </c:plotArea>
    <c:legend>
      <c:legendPos val="r"/>
      <c:layout>
        <c:manualLayout>
          <c:xMode val="edge"/>
          <c:yMode val="edge"/>
          <c:x val="0.4246038845144357"/>
          <c:y val="0.13353598242080206"/>
          <c:w val="0.3457633595800525"/>
          <c:h val="0.19315782759565181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</cdr:x>
      <cdr:y>0.18782</cdr:y>
    </cdr:from>
    <cdr:to>
      <cdr:x>0.78727</cdr:x>
      <cdr:y>0.21827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48027" y="704851"/>
          <a:ext cx="876300" cy="114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0.67615</cdr:x>
      <cdr:y>0.43235</cdr:y>
    </cdr:from>
    <cdr:to>
      <cdr:x>0.82217</cdr:x>
      <cdr:y>0.4957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263515" y="2933699"/>
          <a:ext cx="1136698" cy="4298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endParaRPr lang="en-US" sz="8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0.70489</cdr:x>
      <cdr:y>0.76268</cdr:y>
    </cdr:from>
    <cdr:to>
      <cdr:x>0.77706</cdr:x>
      <cdr:y>0.7971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5595077" y="5276849"/>
          <a:ext cx="5728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aseline="0"/>
            <a:t> </a:t>
          </a:r>
          <a:endParaRPr lang="en-US" sz="1000" b="1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0.69527</cdr:x>
      <cdr:y>0.81499</cdr:y>
    </cdr:from>
    <cdr:to>
      <cdr:x>0.79511</cdr:x>
      <cdr:y>0.86043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518694" y="5638800"/>
          <a:ext cx="792477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50" b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  </a:t>
          </a:r>
        </a:p>
      </cdr:txBody>
    </cdr:sp>
  </cdr:relSizeAnchor>
  <cdr:relSizeAnchor xmlns:cdr="http://schemas.openxmlformats.org/drawingml/2006/chartDrawing">
    <cdr:from>
      <cdr:x>0.10463</cdr:x>
      <cdr:y>0.81499</cdr:y>
    </cdr:from>
    <cdr:to>
      <cdr:x>0.18763</cdr:x>
      <cdr:y>0.8439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30508" y="5638800"/>
          <a:ext cx="658806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 b="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0.3948</cdr:x>
      <cdr:y>0.27121</cdr:y>
    </cdr:from>
    <cdr:to>
      <cdr:x>0.504</cdr:x>
      <cdr:y>0.33729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133724" y="1876425"/>
          <a:ext cx="866775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0.66567</cdr:x>
      <cdr:y>0.61176</cdr:y>
    </cdr:from>
    <cdr:to>
      <cdr:x>0.93531</cdr:x>
      <cdr:y>0.66225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626781" y="2680413"/>
          <a:ext cx="1469094" cy="2212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solidFill>
                <a:srgbClr val="C00000"/>
              </a:solidFill>
              <a:effectLst/>
              <a:latin typeface="+mn-lt"/>
              <a:ea typeface="+mn-ea"/>
              <a:cs typeface="+mn-cs"/>
            </a:rPr>
            <a:t>NRC screening level</a:t>
          </a:r>
          <a:endParaRPr lang="en-US" sz="11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0.22521</cdr:x>
      <cdr:y>0.08614</cdr:y>
    </cdr:from>
    <cdr:to>
      <cdr:x>0.3986</cdr:x>
      <cdr:y>0.13095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1227012" y="438150"/>
          <a:ext cx="944688" cy="2279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40,500 pCi/L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FE4C-9851-4F05-A7CA-DEA4789D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9097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Erdman</dc:creator>
  <cp:keywords>3H update report;DRAFT</cp:keywords>
  <cp:lastModifiedBy>Paul George</cp:lastModifiedBy>
  <cp:revision>2</cp:revision>
  <cp:lastPrinted>2019-04-24T23:06:00Z</cp:lastPrinted>
  <dcterms:created xsi:type="dcterms:W3CDTF">2019-06-12T19:46:00Z</dcterms:created>
  <dcterms:modified xsi:type="dcterms:W3CDTF">2019-06-12T19:46:00Z</dcterms:modified>
</cp:coreProperties>
</file>