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F567" w14:textId="77777777" w:rsidR="005F2643" w:rsidRPr="00115975" w:rsidRDefault="001E3658" w:rsidP="005F2643">
      <w:pPr>
        <w:framePr w:w="1927" w:hSpace="180" w:wrap="auto" w:vAnchor="text" w:hAnchor="page" w:x="337" w:y="-1163"/>
        <w:rPr>
          <w:rFonts w:ascii="LinePrinter" w:hAnsi="LinePrinter"/>
        </w:rPr>
      </w:pPr>
      <w:bookmarkStart w:id="0" w:name="_GoBack"/>
      <w:bookmarkEnd w:id="0"/>
      <w:r w:rsidRPr="00115975">
        <w:rPr>
          <w:rFonts w:ascii="LinePrinter" w:hAnsi="LinePrinter"/>
          <w:noProof/>
        </w:rPr>
        <w:drawing>
          <wp:inline distT="0" distB="0" distL="0" distR="0" wp14:anchorId="5DEE38E1" wp14:editId="1708E60F">
            <wp:extent cx="1231900" cy="1473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3281" w14:textId="77777777" w:rsidR="000537DA" w:rsidRPr="00115975" w:rsidRDefault="000537DA" w:rsidP="00B125E0"/>
    <w:p w14:paraId="178460A6" w14:textId="77777777"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Executive Office of Health and Human Services</w:t>
      </w:r>
    </w:p>
    <w:p w14:paraId="4C7C756E" w14:textId="77777777"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Department of Public Health</w:t>
      </w:r>
      <w:r w:rsidR="00981562" w:rsidRPr="00115975">
        <w:br/>
        <w:t xml:space="preserve">Bureau of Health Care Safety and Quality </w:t>
      </w:r>
    </w:p>
    <w:p w14:paraId="5DB1CE7B" w14:textId="77777777" w:rsidR="006D06D9" w:rsidRPr="00115975" w:rsidRDefault="00981562" w:rsidP="000F315B">
      <w:pPr>
        <w:pStyle w:val="ExecOffice"/>
        <w:framePr w:w="6926" w:wrap="notBeside" w:vAnchor="page" w:x="2884" w:y="711"/>
      </w:pPr>
      <w:r w:rsidRPr="00115975">
        <w:t>67 Forest Street, Marlborough</w:t>
      </w:r>
      <w:r w:rsidR="000537DA" w:rsidRPr="00115975">
        <w:t xml:space="preserve">, MA </w:t>
      </w:r>
      <w:r w:rsidRPr="00115975">
        <w:t>01752</w:t>
      </w:r>
    </w:p>
    <w:p w14:paraId="094B3681" w14:textId="77777777" w:rsidR="009908FF" w:rsidRPr="00115975" w:rsidRDefault="001E3658" w:rsidP="0072610D">
      <w:r w:rsidRPr="0011597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E8A84" wp14:editId="5DE8CC0E">
                <wp:simplePos x="0" y="0"/>
                <wp:positionH relativeFrom="column">
                  <wp:posOffset>-1409700</wp:posOffset>
                </wp:positionH>
                <wp:positionV relativeFrom="paragraph">
                  <wp:posOffset>280035</wp:posOffset>
                </wp:positionV>
                <wp:extent cx="3419475" cy="684530"/>
                <wp:effectExtent l="0" t="0" r="952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194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80F8D" w14:textId="77777777"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39099686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FE067B9" w14:textId="77777777"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EF80444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E8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1pt;margin-top:22.05pt;width:269.2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" stroked="f">
                <v:path arrowok="t"/>
                <v:textbox style="mso-fit-shape-to-text:t">
                  <w:txbxContent>
                    <w:p w14:paraId="7FC80F8D" w14:textId="77777777"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39099686" w14:textId="77777777" w:rsidR="00B24B9A" w:rsidRDefault="00B24B9A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FE067B9" w14:textId="77777777"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EF80444" w14:textId="77777777" w:rsidR="00B24B9A" w:rsidRDefault="00B24B9A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576A2F8" w14:textId="77777777" w:rsidR="00FC6B42" w:rsidRPr="00115975" w:rsidRDefault="001E3658" w:rsidP="0072610D">
      <w:r w:rsidRPr="0011597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EB1F7" wp14:editId="298E0243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23539" w14:textId="77777777" w:rsidR="00B24B9A" w:rsidRPr="003A7AFC" w:rsidRDefault="00B24B9A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352092AA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DA75E1F" w14:textId="77777777" w:rsidR="00B24B9A" w:rsidRDefault="00B24B9A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58D2A759" w14:textId="77777777" w:rsidR="00B24B9A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46AE43D" w14:textId="77777777"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3C2C902" w14:textId="77777777"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2A62B31" w14:textId="77777777" w:rsidR="00B24B9A" w:rsidRPr="00FC6B42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EB1F7" id="_x0000_s1027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" stroked="f">
                <v:path arrowok="t"/>
                <v:textbox style="mso-fit-shape-to-text:t">
                  <w:txbxContent>
                    <w:p w14:paraId="44E23539" w14:textId="77777777" w:rsidR="00B24B9A" w:rsidRPr="003A7AFC" w:rsidRDefault="00B24B9A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352092AA" w14:textId="77777777" w:rsidR="00B24B9A" w:rsidRDefault="00B24B9A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DA75E1F" w14:textId="77777777" w:rsidR="00B24B9A" w:rsidRDefault="00B24B9A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58D2A759" w14:textId="77777777" w:rsidR="00B24B9A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46AE43D" w14:textId="77777777"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3C2C902" w14:textId="77777777"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2A62B31" w14:textId="77777777" w:rsidR="00B24B9A" w:rsidRPr="00FC6B42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6CF19" w14:textId="77777777" w:rsidR="00FC6B42" w:rsidRPr="00115975" w:rsidRDefault="00FC6B42" w:rsidP="0072610D"/>
    <w:p w14:paraId="4453C51A" w14:textId="77777777" w:rsidR="00033154" w:rsidRPr="00115975" w:rsidRDefault="00033154" w:rsidP="0072610D"/>
    <w:p w14:paraId="5CBD5A2C" w14:textId="77777777" w:rsidR="00033154" w:rsidRPr="00115975" w:rsidRDefault="00033154" w:rsidP="0072610D"/>
    <w:p w14:paraId="6739411E" w14:textId="77777777" w:rsidR="00033154" w:rsidRPr="00115975" w:rsidRDefault="00033154" w:rsidP="0072610D"/>
    <w:p w14:paraId="1A8414C3" w14:textId="77777777" w:rsidR="00033154" w:rsidRPr="00115975" w:rsidRDefault="00033154" w:rsidP="0072610D"/>
    <w:p w14:paraId="581D2FCA" w14:textId="67CF8993" w:rsidR="00033154" w:rsidRPr="00115975" w:rsidRDefault="00033154" w:rsidP="0072610D"/>
    <w:p w14:paraId="72BF4600" w14:textId="77777777" w:rsidR="00033154" w:rsidRPr="00115975" w:rsidRDefault="00033154" w:rsidP="0072610D"/>
    <w:p w14:paraId="2EED643D" w14:textId="77777777" w:rsidR="0061011F" w:rsidRPr="00115975" w:rsidRDefault="00666321" w:rsidP="0061011F">
      <w:pPr>
        <w:jc w:val="center"/>
      </w:pPr>
      <w:r w:rsidRPr="00115975">
        <w:rPr>
          <w:b/>
        </w:rPr>
        <w:t>Memorandum</w:t>
      </w:r>
    </w:p>
    <w:p w14:paraId="642B43E9" w14:textId="77777777"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</w:p>
    <w:p w14:paraId="6AD933FC" w14:textId="46E91D29" w:rsidR="0061011F" w:rsidRPr="00115975" w:rsidRDefault="0061011F" w:rsidP="0061011F">
      <w:pPr>
        <w:autoSpaceDE w:val="0"/>
        <w:autoSpaceDN w:val="0"/>
        <w:adjustRightInd w:val="0"/>
        <w:rPr>
          <w:rFonts w:eastAsia="@Batang"/>
          <w:b/>
        </w:rPr>
      </w:pPr>
      <w:r w:rsidRPr="00115975">
        <w:rPr>
          <w:rFonts w:eastAsia="@Batang"/>
          <w:b/>
        </w:rPr>
        <w:t>TO:</w:t>
      </w:r>
      <w:r w:rsidRPr="00115975">
        <w:rPr>
          <w:rFonts w:eastAsia="@Batang"/>
        </w:rPr>
        <w:tab/>
      </w:r>
      <w:r w:rsidRPr="00115975">
        <w:rPr>
          <w:rFonts w:eastAsia="@Batang"/>
        </w:rPr>
        <w:tab/>
        <w:t>Nursing Home Administrators</w:t>
      </w:r>
      <w:r w:rsidRPr="00115975">
        <w:rPr>
          <w:rFonts w:eastAsia="@Batang"/>
          <w:b/>
        </w:rPr>
        <w:t xml:space="preserve"> </w:t>
      </w:r>
    </w:p>
    <w:p w14:paraId="29AC2B6E" w14:textId="77777777" w:rsidR="0061011F" w:rsidRPr="00115975" w:rsidRDefault="0061011F" w:rsidP="0061011F">
      <w:pPr>
        <w:autoSpaceDE w:val="0"/>
        <w:autoSpaceDN w:val="0"/>
        <w:adjustRightInd w:val="0"/>
        <w:rPr>
          <w:rFonts w:eastAsia="@Batang"/>
          <w:b/>
        </w:rPr>
      </w:pPr>
    </w:p>
    <w:p w14:paraId="4D0AEF8E" w14:textId="77777777"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  <w:r w:rsidRPr="00115975">
        <w:rPr>
          <w:rFonts w:eastAsia="@Batang"/>
          <w:b/>
        </w:rPr>
        <w:t>FROM:</w:t>
      </w:r>
      <w:r w:rsidRPr="00115975">
        <w:rPr>
          <w:rFonts w:eastAsia="@Batang"/>
        </w:rPr>
        <w:t xml:space="preserve">          </w:t>
      </w:r>
      <w:r w:rsidRPr="00115975">
        <w:rPr>
          <w:rFonts w:eastAsia="@Batang"/>
        </w:rPr>
        <w:tab/>
        <w:t xml:space="preserve">Elizabeth </w:t>
      </w:r>
      <w:r w:rsidR="00DF6BBF" w:rsidRPr="00115975">
        <w:rPr>
          <w:rFonts w:eastAsia="@Batang"/>
        </w:rPr>
        <w:t xml:space="preserve">D. </w:t>
      </w:r>
      <w:r w:rsidRPr="00115975">
        <w:rPr>
          <w:rFonts w:eastAsia="@Batang"/>
        </w:rPr>
        <w:t>Kelley, MPH, MBA, Director</w:t>
      </w:r>
      <w:r w:rsidR="0015153D" w:rsidRPr="00115975">
        <w:rPr>
          <w:color w:val="1F497D"/>
        </w:rPr>
        <w:t xml:space="preserve"> </w:t>
      </w:r>
    </w:p>
    <w:p w14:paraId="3794F733" w14:textId="77777777" w:rsidR="0061011F" w:rsidRPr="00115975" w:rsidRDefault="0061011F" w:rsidP="0061011F">
      <w:pPr>
        <w:autoSpaceDE w:val="0"/>
        <w:autoSpaceDN w:val="0"/>
        <w:adjustRightInd w:val="0"/>
        <w:ind w:left="720" w:firstLine="720"/>
        <w:rPr>
          <w:rFonts w:eastAsia="@Batang"/>
        </w:rPr>
      </w:pPr>
      <w:r w:rsidRPr="00115975">
        <w:rPr>
          <w:rFonts w:eastAsia="@Batang"/>
        </w:rPr>
        <w:t>Bureau of Health Care Safety and Quality</w:t>
      </w:r>
      <w:r w:rsidRPr="00115975">
        <w:rPr>
          <w:rFonts w:eastAsia="@Batang"/>
        </w:rPr>
        <w:tab/>
      </w:r>
    </w:p>
    <w:p w14:paraId="68DC267B" w14:textId="77777777"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  <w:r w:rsidRPr="00115975">
        <w:rPr>
          <w:rFonts w:eastAsia="@Batang"/>
        </w:rPr>
        <w:tab/>
      </w:r>
      <w:r w:rsidRPr="00115975">
        <w:rPr>
          <w:rFonts w:eastAsia="@Batang"/>
        </w:rPr>
        <w:tab/>
      </w:r>
    </w:p>
    <w:p w14:paraId="60BD3D69" w14:textId="6685A8EB" w:rsidR="00ED02E7" w:rsidRPr="00115975" w:rsidRDefault="00ED02E7" w:rsidP="00ED02E7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115975">
        <w:rPr>
          <w:rFonts w:eastAsia="@Batang"/>
          <w:b/>
        </w:rPr>
        <w:t>SUBJECT:</w:t>
      </w:r>
      <w:r w:rsidRPr="00115975">
        <w:rPr>
          <w:rFonts w:eastAsia="@Batang"/>
        </w:rPr>
        <w:t xml:space="preserve">   </w:t>
      </w:r>
      <w:r w:rsidRPr="00115975">
        <w:rPr>
          <w:rFonts w:eastAsia="@Batang"/>
        </w:rPr>
        <w:tab/>
      </w:r>
      <w:r w:rsidR="00ED1896">
        <w:rPr>
          <w:rFonts w:eastAsia="@Batang"/>
        </w:rPr>
        <w:t>Point of Care Testing Devices for Nursing Homes</w:t>
      </w:r>
    </w:p>
    <w:p w14:paraId="56E9C13B" w14:textId="77777777" w:rsidR="00ED02E7" w:rsidRPr="00115975" w:rsidRDefault="00ED02E7" w:rsidP="0061011F">
      <w:pPr>
        <w:autoSpaceDE w:val="0"/>
        <w:autoSpaceDN w:val="0"/>
        <w:adjustRightInd w:val="0"/>
        <w:rPr>
          <w:rFonts w:eastAsia="@Batang"/>
          <w:b/>
        </w:rPr>
      </w:pPr>
    </w:p>
    <w:p w14:paraId="60A6D756" w14:textId="02E0B839"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  <w:r w:rsidRPr="00115975">
        <w:rPr>
          <w:rFonts w:eastAsia="@Batang"/>
          <w:b/>
        </w:rPr>
        <w:t>DATE:</w:t>
      </w:r>
      <w:r w:rsidRPr="00115975">
        <w:rPr>
          <w:rFonts w:eastAsia="@Batang"/>
          <w:b/>
        </w:rPr>
        <w:tab/>
      </w:r>
      <w:r w:rsidR="008568D4">
        <w:rPr>
          <w:rFonts w:eastAsia="@Batang"/>
        </w:rPr>
        <w:t>October 5</w:t>
      </w:r>
      <w:r w:rsidR="00ED1896">
        <w:rPr>
          <w:rFonts w:eastAsia="@Batang"/>
        </w:rPr>
        <w:t>, 2020</w:t>
      </w:r>
    </w:p>
    <w:p w14:paraId="7B9FF573" w14:textId="77777777"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</w:p>
    <w:p w14:paraId="45618149" w14:textId="5B82BD37" w:rsidR="00C207DC" w:rsidRDefault="008A088A" w:rsidP="00666321">
      <w:pPr>
        <w:autoSpaceDE w:val="0"/>
        <w:autoSpaceDN w:val="0"/>
        <w:adjustRightInd w:val="0"/>
        <w:rPr>
          <w:rFonts w:eastAsia="@Batang"/>
          <w:szCs w:val="24"/>
        </w:rPr>
      </w:pPr>
      <w:r w:rsidRPr="00D465EA">
        <w:rPr>
          <w:rFonts w:eastAsia="@Batang"/>
          <w:szCs w:val="24"/>
        </w:rPr>
        <w:t xml:space="preserve">The Centers for Medicare and Medicaid Services (CMS) </w:t>
      </w:r>
      <w:r w:rsidR="000D61B6" w:rsidRPr="00D465EA">
        <w:rPr>
          <w:rFonts w:eastAsia="@Batang"/>
          <w:szCs w:val="24"/>
        </w:rPr>
        <w:t xml:space="preserve">recently announced a new program to send </w:t>
      </w:r>
      <w:r w:rsidR="00D465EA" w:rsidRPr="00D465EA">
        <w:rPr>
          <w:color w:val="000000"/>
          <w:szCs w:val="24"/>
          <w:shd w:val="clear" w:color="auto" w:fill="FFFFFF"/>
        </w:rPr>
        <w:t xml:space="preserve">U.S. Food and Drug Administration (FDA) authorized rapid point-of-care </w:t>
      </w:r>
      <w:r w:rsidR="00B43DFD">
        <w:rPr>
          <w:color w:val="000000"/>
          <w:szCs w:val="24"/>
          <w:shd w:val="clear" w:color="auto" w:fill="FFFFFF"/>
        </w:rPr>
        <w:t xml:space="preserve">(POC) </w:t>
      </w:r>
      <w:r w:rsidR="00D465EA" w:rsidRPr="00D465EA">
        <w:rPr>
          <w:color w:val="000000"/>
          <w:szCs w:val="24"/>
          <w:shd w:val="clear" w:color="auto" w:fill="FFFFFF"/>
        </w:rPr>
        <w:t xml:space="preserve">diagnostic test </w:t>
      </w:r>
      <w:r w:rsidR="00D465EA">
        <w:rPr>
          <w:color w:val="000000"/>
          <w:szCs w:val="24"/>
          <w:shd w:val="clear" w:color="auto" w:fill="FFFFFF"/>
        </w:rPr>
        <w:t>equipment</w:t>
      </w:r>
      <w:r w:rsidR="00EA100B">
        <w:rPr>
          <w:color w:val="000000"/>
          <w:szCs w:val="24"/>
          <w:shd w:val="clear" w:color="auto" w:fill="FFFFFF"/>
        </w:rPr>
        <w:t xml:space="preserve"> </w:t>
      </w:r>
      <w:r w:rsidR="000D61B6" w:rsidRPr="00D465EA">
        <w:rPr>
          <w:rFonts w:eastAsia="@Batang"/>
          <w:szCs w:val="24"/>
        </w:rPr>
        <w:t xml:space="preserve">to nursing homes across the country. </w:t>
      </w:r>
      <w:r w:rsidR="00D465EA">
        <w:rPr>
          <w:rFonts w:eastAsia="@Batang"/>
          <w:szCs w:val="24"/>
        </w:rPr>
        <w:t xml:space="preserve">Nursing homes receiving the rapid point-of-care diagnostic test instruments will receive one diagnostic test instrument and </w:t>
      </w:r>
      <w:r w:rsidR="00A6314E">
        <w:rPr>
          <w:rFonts w:eastAsia="@Batang"/>
          <w:szCs w:val="24"/>
        </w:rPr>
        <w:t>an initial supply of testing kits</w:t>
      </w:r>
      <w:r w:rsidR="00D465EA">
        <w:rPr>
          <w:rFonts w:eastAsia="@Batang"/>
          <w:szCs w:val="24"/>
        </w:rPr>
        <w:t xml:space="preserve">. </w:t>
      </w:r>
    </w:p>
    <w:p w14:paraId="0C1E41D9" w14:textId="7FD0E6EA" w:rsidR="00776C65" w:rsidRDefault="00776C65" w:rsidP="00666321">
      <w:pPr>
        <w:autoSpaceDE w:val="0"/>
        <w:autoSpaceDN w:val="0"/>
        <w:adjustRightInd w:val="0"/>
        <w:rPr>
          <w:rFonts w:eastAsia="@Batang"/>
          <w:szCs w:val="24"/>
        </w:rPr>
      </w:pPr>
    </w:p>
    <w:p w14:paraId="63CC6ACA" w14:textId="6D7A29D1" w:rsidR="001962B6" w:rsidDel="005F51C2" w:rsidRDefault="001962B6" w:rsidP="001962B6">
      <w:pPr>
        <w:autoSpaceDE w:val="0"/>
        <w:autoSpaceDN w:val="0"/>
        <w:adjustRightInd w:val="0"/>
        <w:rPr>
          <w:rFonts w:eastAsia="@Batang"/>
          <w:b/>
          <w:u w:val="single"/>
        </w:rPr>
      </w:pPr>
      <w:r w:rsidDel="005F51C2">
        <w:rPr>
          <w:rFonts w:eastAsia="@Batang"/>
          <w:b/>
          <w:u w:val="single"/>
        </w:rPr>
        <w:t xml:space="preserve">Indications for Use: </w:t>
      </w:r>
    </w:p>
    <w:p w14:paraId="41817B2C" w14:textId="02A32A78" w:rsidR="001962B6" w:rsidRDefault="001962B6" w:rsidP="001962B6">
      <w:pPr>
        <w:autoSpaceDE w:val="0"/>
        <w:autoSpaceDN w:val="0"/>
        <w:adjustRightInd w:val="0"/>
        <w:rPr>
          <w:rFonts w:eastAsia="@Batang"/>
          <w:b/>
          <w:u w:val="single"/>
        </w:rPr>
      </w:pPr>
    </w:p>
    <w:p w14:paraId="627D0F37" w14:textId="2423E6E1" w:rsidR="005D5280" w:rsidRPr="005F51C2" w:rsidRDefault="005D5280" w:rsidP="00666321">
      <w:pPr>
        <w:autoSpaceDE w:val="0"/>
        <w:autoSpaceDN w:val="0"/>
        <w:adjustRightInd w:val="0"/>
        <w:rPr>
          <w:rFonts w:eastAsia="@Batang"/>
          <w:b/>
        </w:rPr>
      </w:pPr>
      <w:r>
        <w:rPr>
          <w:rFonts w:eastAsia="@Batang"/>
        </w:rPr>
        <w:t>Th</w:t>
      </w:r>
      <w:r w:rsidRPr="008D71E2">
        <w:rPr>
          <w:rFonts w:eastAsia="@Batang"/>
          <w:szCs w:val="24"/>
        </w:rPr>
        <w:t xml:space="preserve">e Centers for Disease Control and Prevention (CDC) has published </w:t>
      </w:r>
      <w:r w:rsidRPr="008D71E2">
        <w:rPr>
          <w:rFonts w:eastAsia="@Batang"/>
          <w:i/>
          <w:iCs/>
          <w:szCs w:val="24"/>
        </w:rPr>
        <w:t>Interim Guidance for Rapid Antigen Testing for SARS-CoV-2</w:t>
      </w:r>
      <w:r w:rsidRPr="008D71E2">
        <w:rPr>
          <w:rFonts w:eastAsia="@Batang"/>
          <w:szCs w:val="24"/>
        </w:rPr>
        <w:t xml:space="preserve"> which can be found </w:t>
      </w:r>
      <w:hyperlink r:id="rId9" w:history="1">
        <w:r w:rsidRPr="008D71E2">
          <w:rPr>
            <w:rStyle w:val="Hyperlink"/>
            <w:rFonts w:eastAsia="@Batang"/>
            <w:szCs w:val="24"/>
          </w:rPr>
          <w:t>here</w:t>
        </w:r>
      </w:hyperlink>
      <w:r w:rsidRPr="008D71E2">
        <w:rPr>
          <w:rFonts w:eastAsia="@Batang"/>
          <w:szCs w:val="24"/>
        </w:rPr>
        <w:t xml:space="preserve">. As noted in the CDC guidance, </w:t>
      </w:r>
      <w:r w:rsidRPr="008D71E2">
        <w:rPr>
          <w:color w:val="000000"/>
          <w:szCs w:val="24"/>
          <w:shd w:val="clear" w:color="auto" w:fill="FFFFFF"/>
        </w:rPr>
        <w:t>antigen tests for COVID-19 are generally less sensitive than viral tests that detect nucleic acid using reverse transcription polymerase chain reaction (PCR)</w:t>
      </w:r>
      <w:r w:rsidR="008D71E2" w:rsidRPr="008D71E2">
        <w:rPr>
          <w:color w:val="000000"/>
          <w:szCs w:val="24"/>
          <w:shd w:val="clear" w:color="auto" w:fill="FFFFFF"/>
        </w:rPr>
        <w:t>.</w:t>
      </w:r>
      <w:r w:rsidR="008D71E2">
        <w:rPr>
          <w:rFonts w:eastAsia="@Batang"/>
        </w:rPr>
        <w:t xml:space="preserve"> </w:t>
      </w:r>
      <w:r w:rsidR="008D71E2" w:rsidRPr="008D71E2">
        <w:rPr>
          <w:color w:val="000000"/>
          <w:szCs w:val="24"/>
          <w:shd w:val="clear" w:color="auto" w:fill="FFFFFF"/>
        </w:rPr>
        <w:t>There are limited data to guide the use of rapid antigen tests as screening tests on asymptomatic persons to detect or exclude COVID-19, or to determine whether a previously confirmed case is still infectious.</w:t>
      </w:r>
      <w:r w:rsidR="008D71E2">
        <w:rPr>
          <w:color w:val="000000"/>
          <w:szCs w:val="24"/>
          <w:shd w:val="clear" w:color="auto" w:fill="FFFFFF"/>
        </w:rPr>
        <w:t xml:space="preserve"> </w:t>
      </w:r>
      <w:r w:rsidR="00534C42">
        <w:rPr>
          <w:b/>
          <w:color w:val="000000"/>
          <w:szCs w:val="24"/>
          <w:shd w:val="clear" w:color="auto" w:fill="FFFFFF"/>
        </w:rPr>
        <w:t xml:space="preserve">Accordingly, </w:t>
      </w:r>
      <w:r w:rsidR="0031722B">
        <w:rPr>
          <w:b/>
          <w:color w:val="000000"/>
          <w:szCs w:val="24"/>
          <w:shd w:val="clear" w:color="auto" w:fill="FFFFFF"/>
        </w:rPr>
        <w:t>at this time</w:t>
      </w:r>
      <w:r w:rsidR="008D71E2" w:rsidRPr="005F51C2">
        <w:rPr>
          <w:b/>
          <w:color w:val="000000"/>
          <w:szCs w:val="24"/>
          <w:shd w:val="clear" w:color="auto" w:fill="FFFFFF"/>
        </w:rPr>
        <w:t xml:space="preserve">, </w:t>
      </w:r>
      <w:r w:rsidR="00740852">
        <w:rPr>
          <w:b/>
          <w:color w:val="000000"/>
          <w:szCs w:val="24"/>
          <w:shd w:val="clear" w:color="auto" w:fill="FFFFFF"/>
        </w:rPr>
        <w:t>a</w:t>
      </w:r>
      <w:r w:rsidR="008D71E2" w:rsidRPr="005F51C2">
        <w:rPr>
          <w:b/>
          <w:iCs/>
        </w:rPr>
        <w:t xml:space="preserve">ntigen test results do not satisfy the testing requirements </w:t>
      </w:r>
      <w:r w:rsidR="00AF5D27">
        <w:rPr>
          <w:b/>
          <w:iCs/>
        </w:rPr>
        <w:t xml:space="preserve">under the Department of Public Health’s (DPH) Long-term Care Surveillance Testing </w:t>
      </w:r>
      <w:hyperlink r:id="rId10" w:history="1">
        <w:r w:rsidR="00AF5D27" w:rsidRPr="00AF5D27">
          <w:rPr>
            <w:rStyle w:val="Hyperlink"/>
            <w:b/>
            <w:iCs/>
          </w:rPr>
          <w:t>guidance</w:t>
        </w:r>
      </w:hyperlink>
      <w:r w:rsidR="00AF5D27">
        <w:rPr>
          <w:b/>
          <w:iCs/>
        </w:rPr>
        <w:t xml:space="preserve"> or the corresponding requ</w:t>
      </w:r>
      <w:r w:rsidR="007861D7">
        <w:rPr>
          <w:b/>
          <w:iCs/>
        </w:rPr>
        <w:t>i</w:t>
      </w:r>
      <w:r w:rsidR="00AF5D27">
        <w:rPr>
          <w:b/>
          <w:iCs/>
        </w:rPr>
        <w:t xml:space="preserve">rements set forth in MassHealth’s </w:t>
      </w:r>
      <w:hyperlink r:id="rId11" w:history="1">
        <w:r w:rsidR="00AF5D27" w:rsidRPr="00AF5D27">
          <w:rPr>
            <w:rStyle w:val="Hyperlink"/>
            <w:b/>
            <w:iCs/>
          </w:rPr>
          <w:t>Provider Bulletin 148</w:t>
        </w:r>
      </w:hyperlink>
      <w:r w:rsidR="00AF5D27">
        <w:rPr>
          <w:b/>
          <w:iCs/>
        </w:rPr>
        <w:t xml:space="preserve">: </w:t>
      </w:r>
      <w:r w:rsidR="00AF5D27">
        <w:t>COVID-19 Baseline and Surveillance Testing Requirements for Nursing Facilities</w:t>
      </w:r>
      <w:r w:rsidR="00AF5D27">
        <w:rPr>
          <w:b/>
          <w:iCs/>
        </w:rPr>
        <w:t xml:space="preserve">. </w:t>
      </w:r>
    </w:p>
    <w:p w14:paraId="615ACE53" w14:textId="77777777" w:rsidR="005D5280" w:rsidRDefault="005D5280" w:rsidP="00666321">
      <w:pPr>
        <w:autoSpaceDE w:val="0"/>
        <w:autoSpaceDN w:val="0"/>
        <w:adjustRightInd w:val="0"/>
        <w:rPr>
          <w:rFonts w:eastAsia="@Batang"/>
        </w:rPr>
      </w:pPr>
    </w:p>
    <w:p w14:paraId="4C8BCA5E" w14:textId="20AD831B" w:rsidR="008A088A" w:rsidRDefault="005D5280" w:rsidP="0066632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</w:rPr>
        <w:t xml:space="preserve">Additionally, </w:t>
      </w:r>
      <w:r w:rsidR="008A088A">
        <w:rPr>
          <w:rFonts w:eastAsia="@Batang"/>
        </w:rPr>
        <w:t xml:space="preserve">CMS </w:t>
      </w:r>
      <w:r w:rsidR="009E0097">
        <w:rPr>
          <w:rFonts w:eastAsia="@Batang"/>
        </w:rPr>
        <w:t xml:space="preserve">has </w:t>
      </w:r>
      <w:r w:rsidR="008A088A">
        <w:rPr>
          <w:rFonts w:eastAsia="@Batang"/>
        </w:rPr>
        <w:t>developed a frequently asked question web</w:t>
      </w:r>
      <w:r w:rsidR="00D465EA">
        <w:rPr>
          <w:rFonts w:eastAsia="@Batang"/>
        </w:rPr>
        <w:t>page</w:t>
      </w:r>
      <w:r w:rsidR="008A088A">
        <w:rPr>
          <w:rFonts w:eastAsia="@Batang"/>
        </w:rPr>
        <w:t xml:space="preserve"> for </w:t>
      </w:r>
      <w:r w:rsidR="00381720">
        <w:rPr>
          <w:rFonts w:eastAsia="@Batang"/>
        </w:rPr>
        <w:t xml:space="preserve">use of the rapid </w:t>
      </w:r>
      <w:r w:rsidR="00B43DFD">
        <w:rPr>
          <w:rFonts w:eastAsia="@Batang"/>
        </w:rPr>
        <w:t>POC</w:t>
      </w:r>
      <w:r w:rsidR="00381720">
        <w:rPr>
          <w:rFonts w:eastAsia="@Batang"/>
        </w:rPr>
        <w:t xml:space="preserve"> diagnostic test equipment </w:t>
      </w:r>
      <w:r w:rsidR="005F51C2">
        <w:rPr>
          <w:rFonts w:eastAsia="@Batang"/>
        </w:rPr>
        <w:t>distributed to</w:t>
      </w:r>
      <w:r w:rsidR="008A088A">
        <w:rPr>
          <w:rFonts w:eastAsia="@Batang"/>
        </w:rPr>
        <w:t xml:space="preserve"> nursing homes, which can be found </w:t>
      </w:r>
      <w:hyperlink r:id="rId12" w:history="1">
        <w:r w:rsidR="008A088A" w:rsidRPr="00AB25C0">
          <w:rPr>
            <w:rStyle w:val="Hyperlink"/>
            <w:rFonts w:eastAsia="@Batang"/>
          </w:rPr>
          <w:t>here</w:t>
        </w:r>
      </w:hyperlink>
      <w:r w:rsidR="008A088A">
        <w:rPr>
          <w:rFonts w:eastAsia="@Batang"/>
        </w:rPr>
        <w:t>.</w:t>
      </w:r>
      <w:r w:rsidR="00B727DD">
        <w:rPr>
          <w:rFonts w:eastAsia="@Batang"/>
        </w:rPr>
        <w:t xml:space="preserve"> Important points from the frequently asked questions include:</w:t>
      </w:r>
      <w:r w:rsidR="008A088A">
        <w:rPr>
          <w:rFonts w:eastAsia="@Batang"/>
        </w:rPr>
        <w:t xml:space="preserve"> </w:t>
      </w:r>
    </w:p>
    <w:p w14:paraId="1BBDEC5D" w14:textId="334C7487" w:rsidR="005F51C2" w:rsidRDefault="005F51C2" w:rsidP="00666321">
      <w:pPr>
        <w:autoSpaceDE w:val="0"/>
        <w:autoSpaceDN w:val="0"/>
        <w:adjustRightInd w:val="0"/>
        <w:rPr>
          <w:rFonts w:eastAsia="@Batang"/>
        </w:rPr>
      </w:pPr>
    </w:p>
    <w:p w14:paraId="0475944D" w14:textId="77777777" w:rsidR="00F82746" w:rsidRPr="00F82746" w:rsidRDefault="00F82746" w:rsidP="00F8274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4"/>
          <w:szCs w:val="24"/>
        </w:rPr>
      </w:pPr>
      <w:r w:rsidRPr="00F82746">
        <w:rPr>
          <w:rFonts w:ascii="Times New Roman" w:eastAsia="@Batang" w:hAnsi="Times New Roman" w:cs="Times New Roman"/>
          <w:sz w:val="24"/>
          <w:szCs w:val="24"/>
        </w:rPr>
        <w:lastRenderedPageBreak/>
        <w:t>Use the instrument in a location associated with a current CLIA certificate.</w:t>
      </w:r>
    </w:p>
    <w:p w14:paraId="479677E2" w14:textId="7AED80DD" w:rsidR="00F82746" w:rsidRPr="00F82746" w:rsidRDefault="00F82746" w:rsidP="00F8274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4"/>
          <w:szCs w:val="24"/>
        </w:rPr>
      </w:pPr>
      <w:r w:rsidRPr="00F82746">
        <w:rPr>
          <w:rFonts w:ascii="Times New Roman" w:eastAsia="@Batang" w:hAnsi="Times New Roman" w:cs="Times New Roman"/>
          <w:sz w:val="24"/>
          <w:szCs w:val="24"/>
        </w:rPr>
        <w:t>Perform a site-specific and activity-specific risk assessment to identify and mitigate</w:t>
      </w:r>
    </w:p>
    <w:p w14:paraId="64E6C6D2" w14:textId="77777777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>safety risks.</w:t>
      </w:r>
    </w:p>
    <w:p w14:paraId="7D29C68A" w14:textId="5B18E3C4" w:rsidR="00F82746" w:rsidRPr="00F82746" w:rsidRDefault="00F82746" w:rsidP="00F8274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4"/>
          <w:szCs w:val="24"/>
        </w:rPr>
      </w:pPr>
      <w:r w:rsidRPr="00F82746">
        <w:rPr>
          <w:rFonts w:ascii="Times New Roman" w:eastAsia="@Batang" w:hAnsi="Times New Roman" w:cs="Times New Roman"/>
          <w:sz w:val="24"/>
          <w:szCs w:val="24"/>
        </w:rPr>
        <w:t>Train staff on the proper use of the instrument and ways to minimize the risk of</w:t>
      </w:r>
    </w:p>
    <w:p w14:paraId="46B29E6F" w14:textId="67AF6266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>exposures</w:t>
      </w:r>
      <w:r w:rsidR="00421AD6">
        <w:rPr>
          <w:rFonts w:eastAsia="@Batang"/>
          <w:szCs w:val="24"/>
        </w:rPr>
        <w:t xml:space="preserve"> to specimens during testing</w:t>
      </w:r>
      <w:r w:rsidRPr="00F82746">
        <w:rPr>
          <w:rFonts w:eastAsia="@Batang"/>
          <w:szCs w:val="24"/>
        </w:rPr>
        <w:t>. Follow manufacturer recommended procedures for decontamination after</w:t>
      </w:r>
    </w:p>
    <w:p w14:paraId="7ECCA5E1" w14:textId="77777777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>use.</w:t>
      </w:r>
    </w:p>
    <w:p w14:paraId="175D3F36" w14:textId="3C4D5BEF" w:rsidR="00F82746" w:rsidRPr="00F82746" w:rsidRDefault="00F82746" w:rsidP="00F8274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4"/>
          <w:szCs w:val="24"/>
        </w:rPr>
      </w:pPr>
      <w:r w:rsidRPr="00F82746">
        <w:rPr>
          <w:rFonts w:ascii="Times New Roman" w:eastAsia="@Batang" w:hAnsi="Times New Roman" w:cs="Times New Roman"/>
          <w:sz w:val="24"/>
          <w:szCs w:val="24"/>
        </w:rPr>
        <w:t>Follow Standard Precautions when handling clinical specimens, including hand</w:t>
      </w:r>
    </w:p>
    <w:p w14:paraId="6F4EA8D8" w14:textId="1A735C26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>hygiene and the use of PPE, such as laboratory coats or gowns, gloves, facemask and eye</w:t>
      </w:r>
    </w:p>
    <w:p w14:paraId="1477B348" w14:textId="77777777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 xml:space="preserve">protection. </w:t>
      </w:r>
    </w:p>
    <w:p w14:paraId="31A373E0" w14:textId="63176B2E" w:rsidR="00F82746" w:rsidRPr="00F82746" w:rsidRDefault="00F82746" w:rsidP="00F8274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4"/>
          <w:szCs w:val="24"/>
        </w:rPr>
      </w:pPr>
      <w:r w:rsidRPr="00F82746">
        <w:rPr>
          <w:rFonts w:ascii="Times New Roman" w:eastAsia="@Batang" w:hAnsi="Times New Roman" w:cs="Times New Roman"/>
          <w:sz w:val="24"/>
          <w:szCs w:val="24"/>
        </w:rPr>
        <w:t>When using patient swabs, minimize contamination of the swab stick and wrapper by</w:t>
      </w:r>
    </w:p>
    <w:p w14:paraId="2CFBC844" w14:textId="77777777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>widely opening the wrapper prior to placing the swab back into the wrapper.</w:t>
      </w:r>
    </w:p>
    <w:p w14:paraId="45801D1A" w14:textId="77777777" w:rsidR="00F82746" w:rsidRPr="00F82746" w:rsidRDefault="00F82746" w:rsidP="00F8274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4"/>
          <w:szCs w:val="24"/>
        </w:rPr>
      </w:pPr>
      <w:r w:rsidRPr="00F82746">
        <w:rPr>
          <w:rFonts w:ascii="Times New Roman" w:eastAsia="@Batang" w:hAnsi="Times New Roman" w:cs="Times New Roman"/>
          <w:sz w:val="24"/>
          <w:szCs w:val="24"/>
        </w:rPr>
        <w:t>Change gloves after adding patient specimens to the instrument.</w:t>
      </w:r>
    </w:p>
    <w:p w14:paraId="62C0FDC7" w14:textId="2291914E" w:rsidR="00F82746" w:rsidRPr="00F82746" w:rsidRDefault="00F82746" w:rsidP="00F8274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4"/>
          <w:szCs w:val="24"/>
        </w:rPr>
      </w:pPr>
      <w:r w:rsidRPr="00F82746">
        <w:rPr>
          <w:rFonts w:ascii="Times New Roman" w:eastAsia="@Batang" w:hAnsi="Times New Roman" w:cs="Times New Roman"/>
          <w:sz w:val="24"/>
          <w:szCs w:val="24"/>
        </w:rPr>
        <w:t>Decontaminate the instrument after each run by using an EPA-approved disinfectant</w:t>
      </w:r>
    </w:p>
    <w:p w14:paraId="20D494C2" w14:textId="77777777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>for SARS-CoV-2. Following the manufacturer’s recommendations for use, such as</w:t>
      </w:r>
    </w:p>
    <w:p w14:paraId="171F3F1B" w14:textId="165BABAC" w:rsidR="00F82746" w:rsidRPr="00F82746" w:rsidRDefault="00F82746" w:rsidP="00F82746">
      <w:pPr>
        <w:autoSpaceDE w:val="0"/>
        <w:autoSpaceDN w:val="0"/>
        <w:adjustRightInd w:val="0"/>
        <w:rPr>
          <w:rFonts w:eastAsia="@Batang"/>
          <w:szCs w:val="24"/>
        </w:rPr>
      </w:pPr>
      <w:r w:rsidRPr="00F82746">
        <w:rPr>
          <w:rFonts w:eastAsia="@Batang"/>
          <w:szCs w:val="24"/>
        </w:rPr>
        <w:t>dilution, contact time, and safe handling.</w:t>
      </w:r>
    </w:p>
    <w:p w14:paraId="75C5D77D" w14:textId="77777777" w:rsidR="005F51C2" w:rsidRDefault="005F51C2" w:rsidP="005F51C2">
      <w:pPr>
        <w:autoSpaceDE w:val="0"/>
        <w:autoSpaceDN w:val="0"/>
        <w:adjustRightInd w:val="0"/>
        <w:rPr>
          <w:rFonts w:eastAsia="@Batang"/>
          <w:b/>
          <w:u w:val="single"/>
        </w:rPr>
      </w:pPr>
    </w:p>
    <w:p w14:paraId="7AEEA368" w14:textId="48D55D44" w:rsidR="005F51C2" w:rsidRPr="00B1616C" w:rsidRDefault="00B1616C" w:rsidP="00666321">
      <w:pPr>
        <w:autoSpaceDE w:val="0"/>
        <w:autoSpaceDN w:val="0"/>
        <w:adjustRightInd w:val="0"/>
        <w:rPr>
          <w:rFonts w:eastAsia="@Batang"/>
          <w:b/>
          <w:u w:val="single"/>
        </w:rPr>
      </w:pPr>
      <w:r>
        <w:rPr>
          <w:rFonts w:eastAsia="@Batang"/>
          <w:b/>
          <w:u w:val="single"/>
        </w:rPr>
        <w:t>Considerations for use in Massachusetts’ Nursing Homes:</w:t>
      </w:r>
    </w:p>
    <w:p w14:paraId="3B34DE53" w14:textId="77777777" w:rsidR="00B1616C" w:rsidRDefault="00B1616C" w:rsidP="00666321">
      <w:pPr>
        <w:autoSpaceDE w:val="0"/>
        <w:autoSpaceDN w:val="0"/>
        <w:adjustRightInd w:val="0"/>
        <w:rPr>
          <w:rFonts w:eastAsia="@Batang"/>
          <w:b/>
        </w:rPr>
      </w:pPr>
    </w:p>
    <w:p w14:paraId="3DB32F59" w14:textId="7DA6D8F5" w:rsidR="00B727DD" w:rsidRDefault="00B76FDD" w:rsidP="00666321">
      <w:pPr>
        <w:autoSpaceDE w:val="0"/>
        <w:autoSpaceDN w:val="0"/>
        <w:adjustRightInd w:val="0"/>
        <w:rPr>
          <w:rFonts w:eastAsia="@Batang"/>
        </w:rPr>
      </w:pPr>
      <w:r w:rsidRPr="00B76FDD">
        <w:rPr>
          <w:rFonts w:eastAsia="@Batang"/>
        </w:rPr>
        <w:t>Rapid antigen tests perform best when the person is tested in the early stages of infection with SARS-CoV-2 when viral load is generally highest.</w:t>
      </w:r>
      <w:r>
        <w:rPr>
          <w:rFonts w:eastAsia="@Batang"/>
        </w:rPr>
        <w:t xml:space="preserve"> </w:t>
      </w:r>
      <w:r w:rsidR="00B727DD" w:rsidRPr="00B727DD">
        <w:rPr>
          <w:rFonts w:eastAsia="@Batang"/>
        </w:rPr>
        <w:t>There are limited data to guide the use of rapid antigen tests as screening tests on asymptomatic persons to detect or exclude COVID-19, or to determine whether a previously confirmed case is still infectious.</w:t>
      </w:r>
      <w:r w:rsidR="00B727DD" w:rsidRPr="00B727DD">
        <w:t xml:space="preserve"> </w:t>
      </w:r>
    </w:p>
    <w:p w14:paraId="2B1F90D1" w14:textId="77777777" w:rsidR="00B727DD" w:rsidRDefault="00B727DD" w:rsidP="00666321">
      <w:pPr>
        <w:autoSpaceDE w:val="0"/>
        <w:autoSpaceDN w:val="0"/>
        <w:adjustRightInd w:val="0"/>
        <w:rPr>
          <w:rFonts w:eastAsia="@Batang"/>
        </w:rPr>
      </w:pPr>
    </w:p>
    <w:p w14:paraId="477357DD" w14:textId="5EF049AE" w:rsidR="005C2989" w:rsidRPr="00A57212" w:rsidRDefault="005C2989" w:rsidP="00421AD6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</w:rPr>
        <w:t>Individuals who test positive with an antigen test should be treated as a presumptive positive COVID-19 case and managed accordingly</w:t>
      </w:r>
      <w:r w:rsidR="00421AD6">
        <w:rPr>
          <w:rFonts w:eastAsia="@Batang"/>
        </w:rPr>
        <w:t xml:space="preserve">. </w:t>
      </w:r>
      <w:r>
        <w:rPr>
          <w:rFonts w:eastAsia="@Batang"/>
        </w:rPr>
        <w:t>H</w:t>
      </w:r>
      <w:r w:rsidR="00B76FDD">
        <w:rPr>
          <w:rFonts w:eastAsia="@Batang"/>
        </w:rPr>
        <w:t>owever</w:t>
      </w:r>
      <w:r>
        <w:rPr>
          <w:rFonts w:eastAsia="@Batang"/>
        </w:rPr>
        <w:t xml:space="preserve">, until the positive result is confirmed with a PCR test, a resident with a positive antigen test result should NOT be </w:t>
      </w:r>
      <w:proofErr w:type="spellStart"/>
      <w:r>
        <w:rPr>
          <w:rFonts w:eastAsia="@Batang"/>
        </w:rPr>
        <w:t>cohorted</w:t>
      </w:r>
      <w:proofErr w:type="spellEnd"/>
      <w:r>
        <w:rPr>
          <w:rFonts w:eastAsia="@Batang"/>
        </w:rPr>
        <w:t xml:space="preserve"> with </w:t>
      </w:r>
      <w:r w:rsidR="00B1616C">
        <w:rPr>
          <w:rFonts w:eastAsia="@Batang"/>
        </w:rPr>
        <w:t>another COVID</w:t>
      </w:r>
      <w:r w:rsidR="0017785A">
        <w:rPr>
          <w:rFonts w:eastAsia="@Batang"/>
        </w:rPr>
        <w:t>-</w:t>
      </w:r>
      <w:r w:rsidR="00B1616C">
        <w:rPr>
          <w:rFonts w:eastAsia="@Batang"/>
        </w:rPr>
        <w:t xml:space="preserve">positive resident or physically moved to a dedicated COVID unit. These individuals should </w:t>
      </w:r>
      <w:r w:rsidR="00B1616C" w:rsidRPr="00A57212">
        <w:rPr>
          <w:rFonts w:eastAsia="@Batang"/>
        </w:rPr>
        <w:t>remain in a private room on transmission-based precautions pending the results of the PCR test.</w:t>
      </w:r>
      <w:r w:rsidR="0017785A" w:rsidRPr="00A57212">
        <w:rPr>
          <w:rFonts w:eastAsia="@Batang"/>
        </w:rPr>
        <w:t xml:space="preserve"> This includes asymptomatic residents with a positive antigen test result in in the setting of an outbreak</w:t>
      </w:r>
      <w:r w:rsidR="00A57212" w:rsidRPr="00A57212">
        <w:rPr>
          <w:rStyle w:val="FootnoteReference"/>
          <w:rFonts w:eastAsia="@Batang"/>
        </w:rPr>
        <w:footnoteReference w:id="1"/>
      </w:r>
      <w:r w:rsidR="0017785A" w:rsidRPr="00A57212">
        <w:rPr>
          <w:rFonts w:eastAsia="@Batang"/>
        </w:rPr>
        <w:t>.</w:t>
      </w:r>
      <w:r w:rsidR="00534C42">
        <w:t xml:space="preserve"> </w:t>
      </w:r>
      <w:r w:rsidR="00421AD6">
        <w:t>Staff</w:t>
      </w:r>
      <w:r w:rsidR="00421AD6" w:rsidRPr="00421AD6">
        <w:rPr>
          <w:rFonts w:eastAsia="@Batang"/>
        </w:rPr>
        <w:t xml:space="preserve"> should be excluded from</w:t>
      </w:r>
      <w:r w:rsidR="00421AD6">
        <w:rPr>
          <w:rFonts w:eastAsia="@Batang"/>
        </w:rPr>
        <w:t xml:space="preserve"> </w:t>
      </w:r>
      <w:r w:rsidR="00421AD6" w:rsidRPr="00421AD6">
        <w:rPr>
          <w:rFonts w:eastAsia="@Batang"/>
        </w:rPr>
        <w:t xml:space="preserve">work until confirmatory </w:t>
      </w:r>
      <w:r w:rsidR="00421AD6">
        <w:rPr>
          <w:rFonts w:eastAsia="@Batang"/>
        </w:rPr>
        <w:t xml:space="preserve">PCR </w:t>
      </w:r>
      <w:r w:rsidR="00421AD6" w:rsidRPr="00421AD6">
        <w:rPr>
          <w:rFonts w:eastAsia="@Batang"/>
        </w:rPr>
        <w:t>test</w:t>
      </w:r>
      <w:r w:rsidR="00421AD6">
        <w:rPr>
          <w:rFonts w:eastAsia="@Batang"/>
        </w:rPr>
        <w:t xml:space="preserve"> </w:t>
      </w:r>
      <w:r w:rsidR="00421AD6" w:rsidRPr="00421AD6">
        <w:rPr>
          <w:rFonts w:eastAsia="@Batang"/>
        </w:rPr>
        <w:t>results are completed.</w:t>
      </w:r>
    </w:p>
    <w:p w14:paraId="1AEA9F65" w14:textId="77777777" w:rsidR="0017785A" w:rsidRPr="007D073D" w:rsidRDefault="0017785A" w:rsidP="00666321">
      <w:pPr>
        <w:autoSpaceDE w:val="0"/>
        <w:autoSpaceDN w:val="0"/>
        <w:adjustRightInd w:val="0"/>
        <w:rPr>
          <w:rFonts w:eastAsia="@Batang"/>
        </w:rPr>
      </w:pPr>
    </w:p>
    <w:p w14:paraId="316B2D18" w14:textId="219FF978" w:rsidR="006D2758" w:rsidRPr="006D2758" w:rsidRDefault="006D2758" w:rsidP="00666321">
      <w:pPr>
        <w:autoSpaceDE w:val="0"/>
        <w:autoSpaceDN w:val="0"/>
        <w:adjustRightInd w:val="0"/>
        <w:rPr>
          <w:rFonts w:eastAsia="@Batang"/>
          <w:b/>
          <w:u w:val="single"/>
        </w:rPr>
      </w:pPr>
      <w:r w:rsidRPr="006D2758">
        <w:rPr>
          <w:rFonts w:eastAsia="@Batang"/>
          <w:b/>
          <w:u w:val="single"/>
        </w:rPr>
        <w:t xml:space="preserve">Ordering Requirements: </w:t>
      </w:r>
    </w:p>
    <w:p w14:paraId="619E2E4B" w14:textId="0C62E43E" w:rsidR="006D2758" w:rsidRDefault="006D2758" w:rsidP="00666321">
      <w:pPr>
        <w:autoSpaceDE w:val="0"/>
        <w:autoSpaceDN w:val="0"/>
        <w:adjustRightInd w:val="0"/>
        <w:rPr>
          <w:rFonts w:eastAsia="@Batang"/>
        </w:rPr>
      </w:pPr>
    </w:p>
    <w:p w14:paraId="48DACEB4" w14:textId="1AFC3E43" w:rsidR="006D2758" w:rsidRDefault="006D2758" w:rsidP="00BC280F">
      <w:pPr>
        <w:autoSpaceDE w:val="0"/>
        <w:autoSpaceDN w:val="0"/>
        <w:adjustRightInd w:val="0"/>
        <w:rPr>
          <w:rFonts w:eastAsia="@Batang"/>
          <w:b/>
          <w:u w:val="single"/>
        </w:rPr>
      </w:pPr>
      <w:r>
        <w:t>Rapid POC Testing devices are prescription use tests under the Emergency Use Authorization and must be ordered by a healthcare professional licensed under the applicable state law or a pharmacist under HHS guidance. Accordingly, the facility must have an order from a healthcare professional or pharmacist, as previously described, to perform a rapid POC COVID-19 test on an individual.</w:t>
      </w:r>
      <w:r w:rsidR="00534C42">
        <w:t xml:space="preserve"> </w:t>
      </w:r>
      <w:r w:rsidR="00BC280F">
        <w:t>This may be accomplished through the use of physician</w:t>
      </w:r>
      <w:r w:rsidR="005B34FC">
        <w:t xml:space="preserve"> </w:t>
      </w:r>
      <w:r w:rsidR="00BC280F">
        <w:t>approved policies (e.g., standing orders)</w:t>
      </w:r>
      <w:r w:rsidR="005B34FC">
        <w:t>.</w:t>
      </w:r>
    </w:p>
    <w:p w14:paraId="3734DE34" w14:textId="77777777" w:rsidR="006D2758" w:rsidRDefault="006D2758" w:rsidP="00666321">
      <w:pPr>
        <w:autoSpaceDE w:val="0"/>
        <w:autoSpaceDN w:val="0"/>
        <w:adjustRightInd w:val="0"/>
        <w:rPr>
          <w:rFonts w:eastAsia="@Batang"/>
          <w:b/>
          <w:u w:val="single"/>
        </w:rPr>
      </w:pPr>
    </w:p>
    <w:p w14:paraId="131F31EE" w14:textId="237AC06D" w:rsidR="00A6314E" w:rsidRPr="00A6314E" w:rsidRDefault="00A6314E" w:rsidP="00666321">
      <w:pPr>
        <w:autoSpaceDE w:val="0"/>
        <w:autoSpaceDN w:val="0"/>
        <w:adjustRightInd w:val="0"/>
        <w:rPr>
          <w:rFonts w:eastAsia="@Batang"/>
          <w:b/>
          <w:u w:val="single"/>
        </w:rPr>
      </w:pPr>
      <w:r w:rsidRPr="00A6314E">
        <w:rPr>
          <w:rFonts w:eastAsia="@Batang"/>
          <w:b/>
          <w:u w:val="single"/>
        </w:rPr>
        <w:t>Reporting</w:t>
      </w:r>
      <w:r>
        <w:rPr>
          <w:rFonts w:eastAsia="@Batang"/>
          <w:b/>
          <w:u w:val="single"/>
        </w:rPr>
        <w:t xml:space="preserve"> Requirements</w:t>
      </w:r>
      <w:r w:rsidRPr="00A6314E">
        <w:rPr>
          <w:rFonts w:eastAsia="@Batang"/>
          <w:b/>
          <w:u w:val="single"/>
        </w:rPr>
        <w:t xml:space="preserve">: </w:t>
      </w:r>
    </w:p>
    <w:p w14:paraId="3A6C77EF" w14:textId="68C2D4A3" w:rsidR="008D71E2" w:rsidRDefault="008D71E2" w:rsidP="00E272C4">
      <w:pPr>
        <w:pStyle w:val="CommentText"/>
        <w:rPr>
          <w:rFonts w:eastAsia="@Batang"/>
        </w:rPr>
      </w:pPr>
      <w:r w:rsidRPr="00E272C4">
        <w:rPr>
          <w:rFonts w:eastAsia="@Batang"/>
          <w:sz w:val="24"/>
          <w:szCs w:val="24"/>
        </w:rPr>
        <w:lastRenderedPageBreak/>
        <w:t xml:space="preserve">Massachusetts nursing homes that receive rapid </w:t>
      </w:r>
      <w:r w:rsidR="00B43DFD" w:rsidRPr="00E272C4">
        <w:rPr>
          <w:rFonts w:eastAsia="@Batang"/>
          <w:sz w:val="24"/>
          <w:szCs w:val="24"/>
        </w:rPr>
        <w:t>POC</w:t>
      </w:r>
      <w:r w:rsidRPr="00E272C4">
        <w:rPr>
          <w:rFonts w:eastAsia="@Batang"/>
          <w:sz w:val="24"/>
          <w:szCs w:val="24"/>
        </w:rPr>
        <w:t xml:space="preserve"> diagnostic test equipment must submit both positive and negative test results to the Department of Public Health’s Bureau of Infectious Diseases and Laboratory Sciences</w:t>
      </w:r>
      <w:r w:rsidR="00E272C4">
        <w:rPr>
          <w:rFonts w:eastAsia="@Batang"/>
          <w:sz w:val="24"/>
          <w:szCs w:val="24"/>
        </w:rPr>
        <w:t xml:space="preserve"> (BIDLS)</w:t>
      </w:r>
      <w:r w:rsidRPr="00E272C4">
        <w:rPr>
          <w:rFonts w:eastAsia="@Batang"/>
          <w:sz w:val="24"/>
          <w:szCs w:val="24"/>
        </w:rPr>
        <w:t xml:space="preserve">. The spreadsheet attached to this guidance (Addendum A) </w:t>
      </w:r>
      <w:r w:rsidR="00666DA3" w:rsidRPr="00E272C4">
        <w:rPr>
          <w:rFonts w:eastAsia="@Batang"/>
          <w:sz w:val="24"/>
          <w:szCs w:val="24"/>
        </w:rPr>
        <w:t xml:space="preserve">includes the required data variables. </w:t>
      </w:r>
      <w:r w:rsidR="00E272C4" w:rsidRPr="00E272C4">
        <w:rPr>
          <w:sz w:val="24"/>
          <w:szCs w:val="24"/>
        </w:rPr>
        <w:t xml:space="preserve">Please send a sample completed spreadsheet to </w:t>
      </w:r>
      <w:hyperlink r:id="rId13" w:history="1">
        <w:r w:rsidR="00E272C4" w:rsidRPr="00E272C4">
          <w:rPr>
            <w:rStyle w:val="Hyperlink"/>
            <w:sz w:val="24"/>
            <w:szCs w:val="24"/>
          </w:rPr>
          <w:t>ISIS-ImmediateDiseaseReporting@mass.gov</w:t>
        </w:r>
      </w:hyperlink>
      <w:r w:rsidR="00E272C4" w:rsidRPr="00E272C4">
        <w:rPr>
          <w:rStyle w:val="Hyperlink"/>
          <w:sz w:val="24"/>
          <w:szCs w:val="24"/>
        </w:rPr>
        <w:t xml:space="preserve"> </w:t>
      </w:r>
      <w:r w:rsidR="00E272C4" w:rsidRPr="00E272C4">
        <w:rPr>
          <w:sz w:val="24"/>
          <w:szCs w:val="24"/>
        </w:rPr>
        <w:t>along with primary contact details.</w:t>
      </w:r>
      <w:r w:rsidR="00E272C4">
        <w:rPr>
          <w:sz w:val="24"/>
          <w:szCs w:val="24"/>
        </w:rPr>
        <w:t xml:space="preserve"> </w:t>
      </w:r>
      <w:r w:rsidR="00E272C4" w:rsidRPr="00E272C4">
        <w:rPr>
          <w:sz w:val="24"/>
          <w:szCs w:val="24"/>
        </w:rPr>
        <w:t xml:space="preserve">The BIDLS team will review it, and work with </w:t>
      </w:r>
      <w:r w:rsidR="00E272C4">
        <w:rPr>
          <w:sz w:val="24"/>
          <w:szCs w:val="24"/>
        </w:rPr>
        <w:t>your nursing home</w:t>
      </w:r>
      <w:r w:rsidR="00E272C4" w:rsidRPr="00E272C4">
        <w:rPr>
          <w:sz w:val="24"/>
          <w:szCs w:val="24"/>
        </w:rPr>
        <w:t xml:space="preserve"> to onboard to a web-based interface which will accept manual uploads of completed spreadsheets.</w:t>
      </w:r>
    </w:p>
    <w:p w14:paraId="59AC56E1" w14:textId="0F91BF5D" w:rsidR="008D71E2" w:rsidRDefault="008D71E2" w:rsidP="00666321">
      <w:pPr>
        <w:autoSpaceDE w:val="0"/>
        <w:autoSpaceDN w:val="0"/>
        <w:adjustRightInd w:val="0"/>
        <w:rPr>
          <w:rFonts w:eastAsia="@Batang"/>
        </w:rPr>
      </w:pPr>
    </w:p>
    <w:p w14:paraId="48A9AF3A" w14:textId="35457E9A" w:rsidR="00666321" w:rsidRPr="00115975" w:rsidRDefault="00666321" w:rsidP="00666321">
      <w:pPr>
        <w:autoSpaceDE w:val="0"/>
        <w:autoSpaceDN w:val="0"/>
        <w:adjustRightInd w:val="0"/>
      </w:pPr>
      <w:r w:rsidRPr="00115975">
        <w:rPr>
          <w:rFonts w:eastAsia="@Batang"/>
        </w:rPr>
        <w:t xml:space="preserve">DPH strongly encourages all </w:t>
      </w:r>
      <w:r w:rsidR="00776C65">
        <w:rPr>
          <w:rFonts w:eastAsia="@Batang"/>
        </w:rPr>
        <w:t xml:space="preserve">nursing homes </w:t>
      </w:r>
      <w:r w:rsidRPr="00115975">
        <w:rPr>
          <w:rFonts w:eastAsia="@Batang"/>
        </w:rPr>
        <w:t xml:space="preserve">in Massachusetts to monitor the </w:t>
      </w:r>
      <w:r w:rsidR="00904485" w:rsidRPr="00115975">
        <w:rPr>
          <w:rFonts w:eastAsia="@Batang"/>
        </w:rPr>
        <w:t xml:space="preserve">CMS and CDC </w:t>
      </w:r>
      <w:r w:rsidRPr="00115975">
        <w:t>website for up-to-date information and resources:</w:t>
      </w:r>
    </w:p>
    <w:p w14:paraId="30B41884" w14:textId="77777777" w:rsidR="00666321" w:rsidRPr="00115975" w:rsidRDefault="00666321" w:rsidP="00666321">
      <w:pPr>
        <w:numPr>
          <w:ilvl w:val="0"/>
          <w:numId w:val="6"/>
        </w:numPr>
        <w:autoSpaceDE w:val="0"/>
        <w:autoSpaceDN w:val="0"/>
        <w:adjustRightInd w:val="0"/>
      </w:pPr>
      <w:r w:rsidRPr="00115975">
        <w:t xml:space="preserve">CMS website: </w:t>
      </w:r>
      <w:hyperlink r:id="rId14" w:history="1">
        <w:r w:rsidRPr="00115975">
          <w:rPr>
            <w:rStyle w:val="Hyperlink"/>
          </w:rPr>
          <w:t>https://www.cms.gov/About-CMS/Agency-Information/Emergency/EPRO/Current-Emergencies/Current-Emergencies-page</w:t>
        </w:r>
      </w:hyperlink>
    </w:p>
    <w:p w14:paraId="081D4EA2" w14:textId="77777777" w:rsidR="00666321" w:rsidRPr="00115975" w:rsidRDefault="00666321" w:rsidP="00666321">
      <w:pPr>
        <w:numPr>
          <w:ilvl w:val="0"/>
          <w:numId w:val="6"/>
        </w:numPr>
        <w:autoSpaceDE w:val="0"/>
        <w:autoSpaceDN w:val="0"/>
        <w:adjustRightInd w:val="0"/>
      </w:pPr>
      <w:r w:rsidRPr="00115975">
        <w:t xml:space="preserve">CDC website: </w:t>
      </w:r>
      <w:hyperlink r:id="rId15" w:history="1">
        <w:r w:rsidRPr="00115975">
          <w:rPr>
            <w:rStyle w:val="Hyperlink"/>
          </w:rPr>
          <w:t>https://www.cdc.gov/coronavirus/2019-ncov/healthcare-facilities/index.html</w:t>
        </w:r>
      </w:hyperlink>
    </w:p>
    <w:p w14:paraId="675E45AF" w14:textId="77777777" w:rsidR="00666321" w:rsidRPr="00115975" w:rsidRDefault="00666321" w:rsidP="00666321">
      <w:pPr>
        <w:pStyle w:val="NormalWeb"/>
        <w:spacing w:before="0" w:beforeAutospacing="0" w:after="0" w:afterAutospacing="0"/>
        <w:rPr>
          <w:rFonts w:ascii="Times New Roman" w:cs="Times New Roman"/>
        </w:rPr>
      </w:pPr>
    </w:p>
    <w:p w14:paraId="07CCE65B" w14:textId="77777777" w:rsidR="00666321" w:rsidRPr="002D5F06" w:rsidRDefault="00666321" w:rsidP="0061011F"/>
    <w:p w14:paraId="5AADF072" w14:textId="7BCCD404" w:rsidR="00033154" w:rsidRPr="009908FF" w:rsidRDefault="00033154" w:rsidP="0017785A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BD846" w14:textId="77777777" w:rsidR="00BB6B15" w:rsidRDefault="00BB6B15" w:rsidP="00A6103C">
      <w:r>
        <w:separator/>
      </w:r>
    </w:p>
  </w:endnote>
  <w:endnote w:type="continuationSeparator" w:id="0">
    <w:p w14:paraId="7F97FC70" w14:textId="77777777" w:rsidR="00BB6B15" w:rsidRDefault="00BB6B15" w:rsidP="00A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A1C59" w14:textId="77777777" w:rsidR="00BB6B15" w:rsidRDefault="00BB6B15" w:rsidP="00A6103C">
      <w:r>
        <w:separator/>
      </w:r>
    </w:p>
  </w:footnote>
  <w:footnote w:type="continuationSeparator" w:id="0">
    <w:p w14:paraId="24030B92" w14:textId="77777777" w:rsidR="00BB6B15" w:rsidRDefault="00BB6B15" w:rsidP="00A6103C">
      <w:r>
        <w:continuationSeparator/>
      </w:r>
    </w:p>
  </w:footnote>
  <w:footnote w:id="1">
    <w:p w14:paraId="4DD408D8" w14:textId="4AAFA029" w:rsidR="00A57212" w:rsidRDefault="00A57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7212">
        <w:t>An outbreak is defined as any new case(s) of COVID-19 in a resident or staff member in a nursing home that has had no cases in the previous four weeks, excluding residents who test positive for SARS-CoV-2 within 14 days of their admission to the nursing home.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B7D"/>
    <w:multiLevelType w:val="hybridMultilevel"/>
    <w:tmpl w:val="F30A6F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D40B27"/>
    <w:multiLevelType w:val="hybridMultilevel"/>
    <w:tmpl w:val="F3D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8DD"/>
    <w:multiLevelType w:val="hybridMultilevel"/>
    <w:tmpl w:val="A47A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1AA"/>
    <w:multiLevelType w:val="hybridMultilevel"/>
    <w:tmpl w:val="7C5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33BB"/>
    <w:multiLevelType w:val="multilevel"/>
    <w:tmpl w:val="B0D46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1A1744"/>
    <w:multiLevelType w:val="hybridMultilevel"/>
    <w:tmpl w:val="9B94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02DA7"/>
    <w:multiLevelType w:val="hybridMultilevel"/>
    <w:tmpl w:val="390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2641"/>
    <w:multiLevelType w:val="hybridMultilevel"/>
    <w:tmpl w:val="731428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727076"/>
    <w:multiLevelType w:val="hybridMultilevel"/>
    <w:tmpl w:val="595A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E0649"/>
    <w:multiLevelType w:val="hybridMultilevel"/>
    <w:tmpl w:val="630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5015F"/>
    <w:multiLevelType w:val="hybridMultilevel"/>
    <w:tmpl w:val="73FCE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166D84"/>
    <w:multiLevelType w:val="multilevel"/>
    <w:tmpl w:val="79D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84373"/>
    <w:multiLevelType w:val="hybridMultilevel"/>
    <w:tmpl w:val="ABF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7251C"/>
    <w:multiLevelType w:val="hybridMultilevel"/>
    <w:tmpl w:val="AFBC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53770"/>
    <w:multiLevelType w:val="hybridMultilevel"/>
    <w:tmpl w:val="1D9AEDA8"/>
    <w:lvl w:ilvl="0" w:tplc="0DFE3D40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7"/>
  </w:num>
  <w:num w:numId="6">
    <w:abstractNumId w:val="6"/>
  </w:num>
  <w:num w:numId="7">
    <w:abstractNumId w:val="13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2734"/>
    <w:rsid w:val="000225C6"/>
    <w:rsid w:val="00031A33"/>
    <w:rsid w:val="00033154"/>
    <w:rsid w:val="000340C5"/>
    <w:rsid w:val="000349B1"/>
    <w:rsid w:val="00035C17"/>
    <w:rsid w:val="00035FC1"/>
    <w:rsid w:val="00042048"/>
    <w:rsid w:val="000537DA"/>
    <w:rsid w:val="00053E9F"/>
    <w:rsid w:val="0006358C"/>
    <w:rsid w:val="00065562"/>
    <w:rsid w:val="00081F07"/>
    <w:rsid w:val="00082147"/>
    <w:rsid w:val="000849E7"/>
    <w:rsid w:val="00091A6E"/>
    <w:rsid w:val="000A5136"/>
    <w:rsid w:val="000B1AE4"/>
    <w:rsid w:val="000D61B6"/>
    <w:rsid w:val="000D62A2"/>
    <w:rsid w:val="000E0C57"/>
    <w:rsid w:val="000F1D00"/>
    <w:rsid w:val="000F315B"/>
    <w:rsid w:val="0010527E"/>
    <w:rsid w:val="00115975"/>
    <w:rsid w:val="00125A77"/>
    <w:rsid w:val="001308D8"/>
    <w:rsid w:val="0013644A"/>
    <w:rsid w:val="00136909"/>
    <w:rsid w:val="00137F43"/>
    <w:rsid w:val="00140C41"/>
    <w:rsid w:val="0015153D"/>
    <w:rsid w:val="0015268B"/>
    <w:rsid w:val="00156B59"/>
    <w:rsid w:val="0017020C"/>
    <w:rsid w:val="00170288"/>
    <w:rsid w:val="0017785A"/>
    <w:rsid w:val="00177C77"/>
    <w:rsid w:val="00181E3D"/>
    <w:rsid w:val="001934BE"/>
    <w:rsid w:val="001962B6"/>
    <w:rsid w:val="001B1561"/>
    <w:rsid w:val="001B48B6"/>
    <w:rsid w:val="001D4D84"/>
    <w:rsid w:val="001D5105"/>
    <w:rsid w:val="001E3658"/>
    <w:rsid w:val="001F549B"/>
    <w:rsid w:val="001F6501"/>
    <w:rsid w:val="00202780"/>
    <w:rsid w:val="00225965"/>
    <w:rsid w:val="00225BE0"/>
    <w:rsid w:val="0023416B"/>
    <w:rsid w:val="00263822"/>
    <w:rsid w:val="002677C5"/>
    <w:rsid w:val="00267EF4"/>
    <w:rsid w:val="00270C37"/>
    <w:rsid w:val="00276051"/>
    <w:rsid w:val="00276957"/>
    <w:rsid w:val="00276DCC"/>
    <w:rsid w:val="00296821"/>
    <w:rsid w:val="002A1111"/>
    <w:rsid w:val="002A6E8B"/>
    <w:rsid w:val="002C2CCA"/>
    <w:rsid w:val="002C5B16"/>
    <w:rsid w:val="00311D27"/>
    <w:rsid w:val="0031722B"/>
    <w:rsid w:val="003247FF"/>
    <w:rsid w:val="003377B8"/>
    <w:rsid w:val="003558C1"/>
    <w:rsid w:val="00362C29"/>
    <w:rsid w:val="00371803"/>
    <w:rsid w:val="00381720"/>
    <w:rsid w:val="00385812"/>
    <w:rsid w:val="0039243B"/>
    <w:rsid w:val="00392D0B"/>
    <w:rsid w:val="00396E09"/>
    <w:rsid w:val="003A7AFC"/>
    <w:rsid w:val="003C3333"/>
    <w:rsid w:val="003C60EF"/>
    <w:rsid w:val="003E7217"/>
    <w:rsid w:val="003F0A9D"/>
    <w:rsid w:val="00403191"/>
    <w:rsid w:val="00405306"/>
    <w:rsid w:val="00412A6A"/>
    <w:rsid w:val="0041631D"/>
    <w:rsid w:val="004212B7"/>
    <w:rsid w:val="00421AD6"/>
    <w:rsid w:val="00430744"/>
    <w:rsid w:val="004343BD"/>
    <w:rsid w:val="004368EA"/>
    <w:rsid w:val="00441C02"/>
    <w:rsid w:val="00473EC3"/>
    <w:rsid w:val="00477ED6"/>
    <w:rsid w:val="004813AC"/>
    <w:rsid w:val="0048242F"/>
    <w:rsid w:val="00487134"/>
    <w:rsid w:val="00492C6A"/>
    <w:rsid w:val="004978EE"/>
    <w:rsid w:val="004A1151"/>
    <w:rsid w:val="004A71C3"/>
    <w:rsid w:val="004B37A0"/>
    <w:rsid w:val="004C1D68"/>
    <w:rsid w:val="004C1E4B"/>
    <w:rsid w:val="004C30E3"/>
    <w:rsid w:val="004C5EB3"/>
    <w:rsid w:val="004D6B39"/>
    <w:rsid w:val="004F6B33"/>
    <w:rsid w:val="00502B5E"/>
    <w:rsid w:val="005238C5"/>
    <w:rsid w:val="00526D5A"/>
    <w:rsid w:val="0053011D"/>
    <w:rsid w:val="00534C42"/>
    <w:rsid w:val="0054285F"/>
    <w:rsid w:val="005448AA"/>
    <w:rsid w:val="0055134F"/>
    <w:rsid w:val="0055260A"/>
    <w:rsid w:val="00554D38"/>
    <w:rsid w:val="00556F9A"/>
    <w:rsid w:val="005606B1"/>
    <w:rsid w:val="00583172"/>
    <w:rsid w:val="005A6C22"/>
    <w:rsid w:val="005B34FC"/>
    <w:rsid w:val="005B3758"/>
    <w:rsid w:val="005C2989"/>
    <w:rsid w:val="005C42C5"/>
    <w:rsid w:val="005D196D"/>
    <w:rsid w:val="005D1B50"/>
    <w:rsid w:val="005D5280"/>
    <w:rsid w:val="005E0767"/>
    <w:rsid w:val="005F2446"/>
    <w:rsid w:val="005F2643"/>
    <w:rsid w:val="005F51C2"/>
    <w:rsid w:val="0061011F"/>
    <w:rsid w:val="006127BE"/>
    <w:rsid w:val="00657A57"/>
    <w:rsid w:val="00657E18"/>
    <w:rsid w:val="00666321"/>
    <w:rsid w:val="00666DA3"/>
    <w:rsid w:val="00672D32"/>
    <w:rsid w:val="006753C9"/>
    <w:rsid w:val="0068796E"/>
    <w:rsid w:val="00693275"/>
    <w:rsid w:val="006B5BBE"/>
    <w:rsid w:val="006B7088"/>
    <w:rsid w:val="006C08FB"/>
    <w:rsid w:val="006D06D9"/>
    <w:rsid w:val="006D2758"/>
    <w:rsid w:val="006D77A6"/>
    <w:rsid w:val="006E435D"/>
    <w:rsid w:val="00702109"/>
    <w:rsid w:val="00706D03"/>
    <w:rsid w:val="00707D21"/>
    <w:rsid w:val="00717D3E"/>
    <w:rsid w:val="00721276"/>
    <w:rsid w:val="0072610D"/>
    <w:rsid w:val="0073603A"/>
    <w:rsid w:val="00740852"/>
    <w:rsid w:val="007408DC"/>
    <w:rsid w:val="0074345D"/>
    <w:rsid w:val="00753900"/>
    <w:rsid w:val="0076537C"/>
    <w:rsid w:val="00776C65"/>
    <w:rsid w:val="0078061C"/>
    <w:rsid w:val="00781C96"/>
    <w:rsid w:val="007834AB"/>
    <w:rsid w:val="007851E6"/>
    <w:rsid w:val="007861D7"/>
    <w:rsid w:val="007870A1"/>
    <w:rsid w:val="00790512"/>
    <w:rsid w:val="007B3F4B"/>
    <w:rsid w:val="007B7347"/>
    <w:rsid w:val="007D073D"/>
    <w:rsid w:val="007D10F3"/>
    <w:rsid w:val="007D1F9F"/>
    <w:rsid w:val="007D32F3"/>
    <w:rsid w:val="007E577C"/>
    <w:rsid w:val="008239EC"/>
    <w:rsid w:val="008519DF"/>
    <w:rsid w:val="008568D4"/>
    <w:rsid w:val="008577AD"/>
    <w:rsid w:val="00873B64"/>
    <w:rsid w:val="00874A58"/>
    <w:rsid w:val="00891FA9"/>
    <w:rsid w:val="00894761"/>
    <w:rsid w:val="008A088A"/>
    <w:rsid w:val="008C3AB0"/>
    <w:rsid w:val="008C516E"/>
    <w:rsid w:val="008C5781"/>
    <w:rsid w:val="008C6492"/>
    <w:rsid w:val="008D085B"/>
    <w:rsid w:val="008D71E2"/>
    <w:rsid w:val="008E38AA"/>
    <w:rsid w:val="008F77F0"/>
    <w:rsid w:val="0090352C"/>
    <w:rsid w:val="00904485"/>
    <w:rsid w:val="009133FB"/>
    <w:rsid w:val="009166EF"/>
    <w:rsid w:val="00921E83"/>
    <w:rsid w:val="00943C43"/>
    <w:rsid w:val="009600DA"/>
    <w:rsid w:val="00962E93"/>
    <w:rsid w:val="009707EE"/>
    <w:rsid w:val="00981562"/>
    <w:rsid w:val="009826C1"/>
    <w:rsid w:val="00985F96"/>
    <w:rsid w:val="009908FF"/>
    <w:rsid w:val="00992B6E"/>
    <w:rsid w:val="00995505"/>
    <w:rsid w:val="009B49F0"/>
    <w:rsid w:val="009C6880"/>
    <w:rsid w:val="009D5310"/>
    <w:rsid w:val="009E0097"/>
    <w:rsid w:val="009E36ED"/>
    <w:rsid w:val="009E78E8"/>
    <w:rsid w:val="00A031F3"/>
    <w:rsid w:val="00A16B5D"/>
    <w:rsid w:val="00A17AAF"/>
    <w:rsid w:val="00A21CDF"/>
    <w:rsid w:val="00A3374F"/>
    <w:rsid w:val="00A476E3"/>
    <w:rsid w:val="00A536A4"/>
    <w:rsid w:val="00A57212"/>
    <w:rsid w:val="00A6058D"/>
    <w:rsid w:val="00A6103C"/>
    <w:rsid w:val="00A6314E"/>
    <w:rsid w:val="00A64852"/>
    <w:rsid w:val="00A65101"/>
    <w:rsid w:val="00A866F0"/>
    <w:rsid w:val="00A86A5A"/>
    <w:rsid w:val="00AA0381"/>
    <w:rsid w:val="00AB25C0"/>
    <w:rsid w:val="00AB4389"/>
    <w:rsid w:val="00AC0A6E"/>
    <w:rsid w:val="00AC12FB"/>
    <w:rsid w:val="00AC2494"/>
    <w:rsid w:val="00AC4B9F"/>
    <w:rsid w:val="00AD57A5"/>
    <w:rsid w:val="00AE330B"/>
    <w:rsid w:val="00AF5234"/>
    <w:rsid w:val="00AF5D27"/>
    <w:rsid w:val="00AF7F8C"/>
    <w:rsid w:val="00B125E0"/>
    <w:rsid w:val="00B13A8C"/>
    <w:rsid w:val="00B146A7"/>
    <w:rsid w:val="00B15910"/>
    <w:rsid w:val="00B1616C"/>
    <w:rsid w:val="00B163C1"/>
    <w:rsid w:val="00B24B9A"/>
    <w:rsid w:val="00B2627A"/>
    <w:rsid w:val="00B312A1"/>
    <w:rsid w:val="00B35CB6"/>
    <w:rsid w:val="00B403BF"/>
    <w:rsid w:val="00B41554"/>
    <w:rsid w:val="00B43DFD"/>
    <w:rsid w:val="00B506D7"/>
    <w:rsid w:val="00B608D9"/>
    <w:rsid w:val="00B6259F"/>
    <w:rsid w:val="00B727DD"/>
    <w:rsid w:val="00B76FDD"/>
    <w:rsid w:val="00B8587E"/>
    <w:rsid w:val="00B97990"/>
    <w:rsid w:val="00BA4055"/>
    <w:rsid w:val="00BA4A37"/>
    <w:rsid w:val="00BA7FB6"/>
    <w:rsid w:val="00BB608B"/>
    <w:rsid w:val="00BB6B15"/>
    <w:rsid w:val="00BB7CD6"/>
    <w:rsid w:val="00BC120B"/>
    <w:rsid w:val="00BC280F"/>
    <w:rsid w:val="00BC2BEC"/>
    <w:rsid w:val="00BD0806"/>
    <w:rsid w:val="00BF4F39"/>
    <w:rsid w:val="00C155D2"/>
    <w:rsid w:val="00C207DC"/>
    <w:rsid w:val="00C20BFE"/>
    <w:rsid w:val="00C23EA4"/>
    <w:rsid w:val="00C24E15"/>
    <w:rsid w:val="00C27F73"/>
    <w:rsid w:val="00C42530"/>
    <w:rsid w:val="00C50687"/>
    <w:rsid w:val="00C50864"/>
    <w:rsid w:val="00C536AA"/>
    <w:rsid w:val="00CA1D63"/>
    <w:rsid w:val="00CB2B3D"/>
    <w:rsid w:val="00CB5186"/>
    <w:rsid w:val="00CB65A1"/>
    <w:rsid w:val="00CC1778"/>
    <w:rsid w:val="00CC7D3A"/>
    <w:rsid w:val="00CE263F"/>
    <w:rsid w:val="00CE575B"/>
    <w:rsid w:val="00CF1ED1"/>
    <w:rsid w:val="00CF3DE8"/>
    <w:rsid w:val="00D0493F"/>
    <w:rsid w:val="00D1386A"/>
    <w:rsid w:val="00D16426"/>
    <w:rsid w:val="00D217F6"/>
    <w:rsid w:val="00D250B4"/>
    <w:rsid w:val="00D27D62"/>
    <w:rsid w:val="00D35EF5"/>
    <w:rsid w:val="00D41F55"/>
    <w:rsid w:val="00D465EA"/>
    <w:rsid w:val="00D52655"/>
    <w:rsid w:val="00D56F91"/>
    <w:rsid w:val="00D61B55"/>
    <w:rsid w:val="00D71612"/>
    <w:rsid w:val="00D8241D"/>
    <w:rsid w:val="00D8671C"/>
    <w:rsid w:val="00D97A71"/>
    <w:rsid w:val="00DA1311"/>
    <w:rsid w:val="00DA43B5"/>
    <w:rsid w:val="00DA57C3"/>
    <w:rsid w:val="00DC3855"/>
    <w:rsid w:val="00DD5897"/>
    <w:rsid w:val="00DE3736"/>
    <w:rsid w:val="00DF63A6"/>
    <w:rsid w:val="00DF6BBF"/>
    <w:rsid w:val="00E11575"/>
    <w:rsid w:val="00E242A8"/>
    <w:rsid w:val="00E272C4"/>
    <w:rsid w:val="00E274B8"/>
    <w:rsid w:val="00E717AA"/>
    <w:rsid w:val="00E72707"/>
    <w:rsid w:val="00E95A9B"/>
    <w:rsid w:val="00EA02C3"/>
    <w:rsid w:val="00EA100B"/>
    <w:rsid w:val="00EA75EF"/>
    <w:rsid w:val="00EC0834"/>
    <w:rsid w:val="00ED02E7"/>
    <w:rsid w:val="00ED1896"/>
    <w:rsid w:val="00ED6AA2"/>
    <w:rsid w:val="00EE1559"/>
    <w:rsid w:val="00EE2791"/>
    <w:rsid w:val="00EE3DF5"/>
    <w:rsid w:val="00EF4584"/>
    <w:rsid w:val="00F0586E"/>
    <w:rsid w:val="00F063E2"/>
    <w:rsid w:val="00F1102B"/>
    <w:rsid w:val="00F21FDE"/>
    <w:rsid w:val="00F27834"/>
    <w:rsid w:val="00F34F78"/>
    <w:rsid w:val="00F43932"/>
    <w:rsid w:val="00F60E1D"/>
    <w:rsid w:val="00F74944"/>
    <w:rsid w:val="00F82746"/>
    <w:rsid w:val="00F93CAD"/>
    <w:rsid w:val="00FA3A6F"/>
    <w:rsid w:val="00FA540B"/>
    <w:rsid w:val="00FB4F08"/>
    <w:rsid w:val="00FC5A70"/>
    <w:rsid w:val="00FC6B42"/>
    <w:rsid w:val="00FC73F3"/>
    <w:rsid w:val="00FD4F55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1023C"/>
  <w15:docId w15:val="{A0E1A24D-58F6-473E-801E-B15123BD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4285F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1011F"/>
    <w:pPr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rsid w:val="0061011F"/>
    <w:rPr>
      <w:color w:val="800080"/>
      <w:u w:val="single"/>
    </w:rPr>
  </w:style>
  <w:style w:type="character" w:styleId="CommentReference">
    <w:name w:val="annotation reference"/>
    <w:rsid w:val="00CB2B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B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2B3D"/>
  </w:style>
  <w:style w:type="paragraph" w:styleId="CommentSubject">
    <w:name w:val="annotation subject"/>
    <w:basedOn w:val="CommentText"/>
    <w:next w:val="CommentText"/>
    <w:link w:val="CommentSubjectChar"/>
    <w:rsid w:val="00CB2B3D"/>
    <w:rPr>
      <w:b/>
      <w:bCs/>
    </w:rPr>
  </w:style>
  <w:style w:type="character" w:customStyle="1" w:styleId="CommentSubjectChar">
    <w:name w:val="Comment Subject Char"/>
    <w:link w:val="CommentSubject"/>
    <w:rsid w:val="00CB2B3D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EF458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27F73"/>
    <w:rPr>
      <w:sz w:val="24"/>
    </w:rPr>
  </w:style>
  <w:style w:type="paragraph" w:styleId="FootnoteText">
    <w:name w:val="footnote text"/>
    <w:basedOn w:val="Normal"/>
    <w:link w:val="FootnoteTextChar"/>
    <w:rsid w:val="00A610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103C"/>
  </w:style>
  <w:style w:type="character" w:styleId="FootnoteReference">
    <w:name w:val="footnote reference"/>
    <w:rsid w:val="00A6103C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08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D71E2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40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SIS-ImmediateDiseaseReporting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s.gov/files/document/covid-faqs-snf-testing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nursing-facility-bulletin-148-covid-19-baseline-and-surveillance-testing-requirements-for-0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coronavirus/2019-ncov/healthcare-facilities/index.html" TargetMode="External"/><Relationship Id="rId10" Type="http://schemas.openxmlformats.org/officeDocument/2006/relationships/hyperlink" Target="https://www.mass.gov/doc/updates-to-long-term-care-surveillance-testing-827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lab/resources/antigen-tests-guidelines.html" TargetMode="External"/><Relationship Id="rId14" Type="http://schemas.openxmlformats.org/officeDocument/2006/relationships/hyperlink" Target="https://www.cms.gov/About-CMS/Agency-Information/Emergency/EPRO/Current-Emergencies/Current-Emergencies-pa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5A15-78C4-44DD-8676-B7217C25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6190</CharactersWithSpaces>
  <SharedDoc>false</SharedDoc>
  <HLinks>
    <vt:vector size="30" baseType="variant">
      <vt:variant>
        <vt:i4>4194372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https://www.mass.gov/2019coronavirus</vt:lpwstr>
      </vt:variant>
      <vt:variant>
        <vt:lpwstr/>
      </vt:variant>
      <vt:variant>
        <vt:i4>3670056</vt:i4>
      </vt:variant>
      <vt:variant>
        <vt:i4>9</vt:i4>
      </vt:variant>
      <vt:variant>
        <vt:i4>0</vt:i4>
      </vt:variant>
      <vt:variant>
        <vt:i4>5</vt:i4>
      </vt:variant>
      <vt:variant>
        <vt:lpwstr>https://www.cdc.gov/coronavirus/2019-ncov/healthcare-facilities/index.html</vt:lpwstr>
      </vt:variant>
      <vt:variant>
        <vt:lpwstr/>
      </vt:variant>
      <vt:variant>
        <vt:i4>1441799</vt:i4>
      </vt:variant>
      <vt:variant>
        <vt:i4>6</vt:i4>
      </vt:variant>
      <vt:variant>
        <vt:i4>0</vt:i4>
      </vt:variant>
      <vt:variant>
        <vt:i4>5</vt:i4>
      </vt:variant>
      <vt:variant>
        <vt:lpwstr>https://www.cms.gov/About-CMS/Agency-Information/Emergency/EPRO/Current-Emergencies/Current-Emergencies-page</vt:lpwstr>
      </vt:variant>
      <vt:variant>
        <vt:lpwstr/>
      </vt:variant>
      <vt:variant>
        <vt:i4>196701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Callahan, Marita (DPH)</cp:lastModifiedBy>
  <cp:revision>3</cp:revision>
  <cp:lastPrinted>2015-01-29T14:50:00Z</cp:lastPrinted>
  <dcterms:created xsi:type="dcterms:W3CDTF">2020-10-05T16:02:00Z</dcterms:created>
  <dcterms:modified xsi:type="dcterms:W3CDTF">2020-10-05T16:02:00Z</dcterms:modified>
</cp:coreProperties>
</file>