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637CD" w14:textId="77777777" w:rsidR="0008269A" w:rsidRDefault="0008269A" w:rsidP="0008269A">
      <w:pPr>
        <w:pStyle w:val="Default"/>
        <w:jc w:val="center"/>
        <w:rPr>
          <w:sz w:val="23"/>
          <w:szCs w:val="23"/>
        </w:rPr>
      </w:pPr>
      <w:r>
        <w:rPr>
          <w:sz w:val="23"/>
          <w:szCs w:val="23"/>
        </w:rPr>
        <w:t>COMMONWEALTH OF MASSACHUSETTS</w:t>
      </w:r>
    </w:p>
    <w:p w14:paraId="7FE79A0C" w14:textId="77777777" w:rsidR="0008269A" w:rsidRDefault="0008269A" w:rsidP="0008269A">
      <w:pPr>
        <w:pStyle w:val="Default"/>
        <w:jc w:val="center"/>
        <w:rPr>
          <w:sz w:val="23"/>
          <w:szCs w:val="23"/>
        </w:rPr>
      </w:pPr>
    </w:p>
    <w:p w14:paraId="730DB1BF" w14:textId="77777777" w:rsidR="0008269A" w:rsidRDefault="0008269A" w:rsidP="0008269A">
      <w:pPr>
        <w:pStyle w:val="Default"/>
        <w:jc w:val="center"/>
        <w:rPr>
          <w:sz w:val="23"/>
          <w:szCs w:val="23"/>
        </w:rPr>
      </w:pPr>
      <w:r>
        <w:rPr>
          <w:sz w:val="23"/>
          <w:szCs w:val="23"/>
        </w:rPr>
        <w:t>BOARD OF REGISTRATION IN MEDICINE</w:t>
      </w:r>
    </w:p>
    <w:p w14:paraId="6F68E219" w14:textId="77777777" w:rsidR="0008269A" w:rsidRDefault="0008269A" w:rsidP="0008269A">
      <w:pPr>
        <w:pStyle w:val="Default"/>
        <w:jc w:val="center"/>
        <w:rPr>
          <w:sz w:val="23"/>
          <w:szCs w:val="23"/>
        </w:rPr>
      </w:pPr>
    </w:p>
    <w:p w14:paraId="25B6C0B6" w14:textId="77777777" w:rsidR="0008269A" w:rsidRDefault="0008269A" w:rsidP="0008269A">
      <w:pPr>
        <w:pStyle w:val="Default"/>
        <w:jc w:val="center"/>
        <w:rPr>
          <w:b/>
          <w:sz w:val="23"/>
          <w:szCs w:val="23"/>
        </w:rPr>
      </w:pPr>
      <w:r>
        <w:rPr>
          <w:b/>
          <w:sz w:val="23"/>
          <w:szCs w:val="23"/>
        </w:rPr>
        <w:t xml:space="preserve">A CME PILOT PROGRAM </w:t>
      </w:r>
    </w:p>
    <w:p w14:paraId="6F0BC1AF" w14:textId="77777777" w:rsidR="0008269A" w:rsidRDefault="0008269A" w:rsidP="0008269A">
      <w:pPr>
        <w:pStyle w:val="Default"/>
        <w:jc w:val="center"/>
        <w:rPr>
          <w:sz w:val="23"/>
          <w:szCs w:val="23"/>
        </w:rPr>
      </w:pPr>
    </w:p>
    <w:p w14:paraId="31123FED" w14:textId="77777777" w:rsidR="0008269A" w:rsidRDefault="0008269A" w:rsidP="0008269A">
      <w:pPr>
        <w:pStyle w:val="Default"/>
        <w:jc w:val="center"/>
        <w:rPr>
          <w:sz w:val="23"/>
          <w:szCs w:val="23"/>
        </w:rPr>
      </w:pPr>
      <w:r>
        <w:rPr>
          <w:sz w:val="23"/>
          <w:szCs w:val="23"/>
        </w:rPr>
        <w:t>POLICY 2017- 05</w:t>
      </w:r>
    </w:p>
    <w:p w14:paraId="242B2990" w14:textId="77777777" w:rsidR="0008269A" w:rsidRDefault="0008269A" w:rsidP="0008269A">
      <w:pPr>
        <w:jc w:val="center"/>
        <w:rPr>
          <w:sz w:val="23"/>
          <w:szCs w:val="23"/>
        </w:rPr>
      </w:pPr>
    </w:p>
    <w:p w14:paraId="26E63136" w14:textId="77777777" w:rsidR="0008269A" w:rsidRDefault="0008269A" w:rsidP="0008269A">
      <w:pPr>
        <w:jc w:val="center"/>
        <w:rPr>
          <w:sz w:val="23"/>
          <w:szCs w:val="23"/>
        </w:rPr>
      </w:pPr>
      <w:r>
        <w:rPr>
          <w:sz w:val="23"/>
          <w:szCs w:val="23"/>
        </w:rPr>
        <w:t xml:space="preserve">Adopted </w:t>
      </w:r>
      <w:r w:rsidR="0029095D">
        <w:rPr>
          <w:sz w:val="23"/>
          <w:szCs w:val="23"/>
        </w:rPr>
        <w:t>October 26</w:t>
      </w:r>
      <w:r>
        <w:rPr>
          <w:sz w:val="23"/>
          <w:szCs w:val="23"/>
        </w:rPr>
        <w:t>, 2017</w:t>
      </w:r>
    </w:p>
    <w:p w14:paraId="67FAAB6C" w14:textId="77777777" w:rsidR="0029095D" w:rsidRDefault="0029095D" w:rsidP="0008269A">
      <w:pPr>
        <w:jc w:val="center"/>
        <w:rPr>
          <w:sz w:val="23"/>
          <w:szCs w:val="23"/>
        </w:rPr>
      </w:pPr>
      <w:r>
        <w:rPr>
          <w:sz w:val="23"/>
          <w:szCs w:val="23"/>
        </w:rPr>
        <w:t xml:space="preserve">Amended November </w:t>
      </w:r>
      <w:r w:rsidR="00FB77AD">
        <w:rPr>
          <w:sz w:val="23"/>
          <w:szCs w:val="23"/>
        </w:rPr>
        <w:t>22</w:t>
      </w:r>
      <w:r>
        <w:rPr>
          <w:sz w:val="23"/>
          <w:szCs w:val="23"/>
        </w:rPr>
        <w:t>, 2017</w:t>
      </w:r>
    </w:p>
    <w:p w14:paraId="168F4107" w14:textId="77777777" w:rsidR="00EA4717" w:rsidRDefault="00EA4717" w:rsidP="0008269A">
      <w:pPr>
        <w:jc w:val="center"/>
        <w:rPr>
          <w:sz w:val="23"/>
          <w:szCs w:val="23"/>
        </w:rPr>
      </w:pPr>
      <w:r>
        <w:rPr>
          <w:sz w:val="23"/>
          <w:szCs w:val="23"/>
        </w:rPr>
        <w:t>Amended December 19, 2019</w:t>
      </w:r>
    </w:p>
    <w:p w14:paraId="0BE92198" w14:textId="73B4FE5F" w:rsidR="006D175F" w:rsidRDefault="006D175F" w:rsidP="0008269A">
      <w:pPr>
        <w:jc w:val="center"/>
        <w:rPr>
          <w:sz w:val="23"/>
          <w:szCs w:val="23"/>
        </w:rPr>
      </w:pPr>
      <w:r>
        <w:rPr>
          <w:sz w:val="23"/>
          <w:szCs w:val="23"/>
        </w:rPr>
        <w:t xml:space="preserve">Amended </w:t>
      </w:r>
      <w:r w:rsidR="007164E0">
        <w:rPr>
          <w:sz w:val="23"/>
          <w:szCs w:val="23"/>
        </w:rPr>
        <w:t>April 11, 2024</w:t>
      </w:r>
    </w:p>
    <w:p w14:paraId="10BE6783" w14:textId="77777777" w:rsidR="0008269A" w:rsidRDefault="0008269A" w:rsidP="0008269A">
      <w:pPr>
        <w:rPr>
          <w:sz w:val="23"/>
          <w:szCs w:val="23"/>
        </w:rPr>
      </w:pPr>
    </w:p>
    <w:p w14:paraId="6C47FA8A" w14:textId="77777777" w:rsidR="003B1AE0" w:rsidRDefault="003B1AE0" w:rsidP="0008269A">
      <w:pPr>
        <w:rPr>
          <w:sz w:val="23"/>
          <w:szCs w:val="23"/>
        </w:rPr>
      </w:pPr>
    </w:p>
    <w:p w14:paraId="5E03122C" w14:textId="1036BEF5" w:rsidR="006D175F" w:rsidRPr="008C5E3F" w:rsidRDefault="006D175F" w:rsidP="0008269A">
      <w:pPr>
        <w:rPr>
          <w:b/>
          <w:bCs/>
          <w:sz w:val="23"/>
          <w:szCs w:val="23"/>
        </w:rPr>
      </w:pPr>
      <w:r w:rsidRPr="008C5E3F">
        <w:rPr>
          <w:b/>
          <w:bCs/>
          <w:sz w:val="23"/>
          <w:szCs w:val="23"/>
        </w:rPr>
        <w:t>The Need for Targeted, Practical</w:t>
      </w:r>
      <w:r w:rsidR="009C1BEA">
        <w:rPr>
          <w:b/>
          <w:bCs/>
          <w:sz w:val="23"/>
          <w:szCs w:val="23"/>
        </w:rPr>
        <w:t>, Non-burdensome</w:t>
      </w:r>
      <w:r w:rsidRPr="008C5E3F">
        <w:rPr>
          <w:b/>
          <w:bCs/>
          <w:sz w:val="23"/>
          <w:szCs w:val="23"/>
        </w:rPr>
        <w:t xml:space="preserve"> CME</w:t>
      </w:r>
    </w:p>
    <w:p w14:paraId="069C0B48" w14:textId="77777777" w:rsidR="006D175F" w:rsidRDefault="006D175F" w:rsidP="0008269A">
      <w:pPr>
        <w:rPr>
          <w:sz w:val="23"/>
          <w:szCs w:val="23"/>
        </w:rPr>
      </w:pPr>
    </w:p>
    <w:p w14:paraId="7395C861" w14:textId="7E3BFCD3" w:rsidR="0008269A" w:rsidRDefault="00D87767" w:rsidP="0008269A">
      <w:pPr>
        <w:rPr>
          <w:sz w:val="23"/>
          <w:szCs w:val="23"/>
        </w:rPr>
      </w:pPr>
      <w:r>
        <w:rPr>
          <w:sz w:val="23"/>
          <w:szCs w:val="23"/>
        </w:rPr>
        <w:t>In 2017, the Board examined its CME requirements and learned that Massachusetts had among the highest number of CME requirements in the country.</w:t>
      </w:r>
      <w:r>
        <w:rPr>
          <w:rStyle w:val="FootnoteReference"/>
          <w:sz w:val="23"/>
          <w:szCs w:val="23"/>
        </w:rPr>
        <w:footnoteReference w:id="1"/>
      </w:r>
      <w:r>
        <w:rPr>
          <w:sz w:val="23"/>
          <w:szCs w:val="23"/>
        </w:rPr>
        <w:t xml:space="preserve"> </w:t>
      </w:r>
      <w:r w:rsidR="0008269A" w:rsidRPr="00903C64">
        <w:rPr>
          <w:sz w:val="23"/>
          <w:szCs w:val="23"/>
        </w:rPr>
        <w:t xml:space="preserve">Many physicians told the Board </w:t>
      </w:r>
      <w:r w:rsidR="0008269A">
        <w:rPr>
          <w:sz w:val="23"/>
          <w:szCs w:val="23"/>
        </w:rPr>
        <w:t xml:space="preserve">of </w:t>
      </w:r>
      <w:r w:rsidR="00817ABD">
        <w:rPr>
          <w:sz w:val="23"/>
          <w:szCs w:val="23"/>
        </w:rPr>
        <w:t xml:space="preserve">Registration </w:t>
      </w:r>
      <w:r w:rsidR="0008269A">
        <w:rPr>
          <w:sz w:val="23"/>
          <w:szCs w:val="23"/>
        </w:rPr>
        <w:t xml:space="preserve">in Medicine (Board) </w:t>
      </w:r>
      <w:r w:rsidR="0008269A" w:rsidRPr="00903C64">
        <w:rPr>
          <w:sz w:val="23"/>
          <w:szCs w:val="23"/>
        </w:rPr>
        <w:t xml:space="preserve">that </w:t>
      </w:r>
      <w:r w:rsidR="0008269A">
        <w:rPr>
          <w:sz w:val="23"/>
          <w:szCs w:val="23"/>
        </w:rPr>
        <w:t xml:space="preserve">Continuing Medical Education (CME) courses </w:t>
      </w:r>
      <w:r w:rsidR="0008269A" w:rsidRPr="00903C64">
        <w:rPr>
          <w:sz w:val="23"/>
          <w:szCs w:val="23"/>
        </w:rPr>
        <w:t>d</w:t>
      </w:r>
      <w:r>
        <w:rPr>
          <w:sz w:val="23"/>
          <w:szCs w:val="23"/>
        </w:rPr>
        <w:t>id</w:t>
      </w:r>
      <w:r w:rsidR="0008269A" w:rsidRPr="00903C64">
        <w:rPr>
          <w:sz w:val="23"/>
          <w:szCs w:val="23"/>
        </w:rPr>
        <w:t xml:space="preserve"> not address issues related to the</w:t>
      </w:r>
      <w:r w:rsidR="006D175F">
        <w:rPr>
          <w:sz w:val="23"/>
          <w:szCs w:val="23"/>
        </w:rPr>
        <w:t>ir</w:t>
      </w:r>
      <w:r w:rsidR="0008269A" w:rsidRPr="00903C64">
        <w:rPr>
          <w:sz w:val="23"/>
          <w:szCs w:val="23"/>
        </w:rPr>
        <w:t xml:space="preserve"> day</w:t>
      </w:r>
      <w:r w:rsidR="0008269A" w:rsidRPr="00501793">
        <w:rPr>
          <w:sz w:val="23"/>
          <w:szCs w:val="23"/>
        </w:rPr>
        <w:t>-</w:t>
      </w:r>
      <w:r w:rsidR="0008269A" w:rsidRPr="00903C64">
        <w:rPr>
          <w:sz w:val="23"/>
          <w:szCs w:val="23"/>
        </w:rPr>
        <w:t>to</w:t>
      </w:r>
      <w:r w:rsidR="0008269A" w:rsidRPr="00501793">
        <w:rPr>
          <w:sz w:val="23"/>
          <w:szCs w:val="23"/>
        </w:rPr>
        <w:t>-</w:t>
      </w:r>
      <w:r w:rsidR="0008269A" w:rsidRPr="00903C64">
        <w:rPr>
          <w:sz w:val="23"/>
          <w:szCs w:val="23"/>
        </w:rPr>
        <w:t xml:space="preserve">day practice.  </w:t>
      </w:r>
      <w:r w:rsidR="006D175F">
        <w:rPr>
          <w:sz w:val="23"/>
          <w:szCs w:val="23"/>
        </w:rPr>
        <w:t xml:space="preserve">Clinicians stressed that they needed </w:t>
      </w:r>
      <w:r w:rsidR="0008269A" w:rsidRPr="00903C64">
        <w:rPr>
          <w:sz w:val="23"/>
          <w:szCs w:val="23"/>
        </w:rPr>
        <w:t>p</w:t>
      </w:r>
      <w:r w:rsidR="003A04C6">
        <w:rPr>
          <w:sz w:val="23"/>
          <w:szCs w:val="23"/>
        </w:rPr>
        <w:t>hysician</w:t>
      </w:r>
      <w:r w:rsidR="0008269A" w:rsidRPr="00903C64">
        <w:rPr>
          <w:sz w:val="23"/>
          <w:szCs w:val="23"/>
        </w:rPr>
        <w:t xml:space="preserve"> learning </w:t>
      </w:r>
      <w:r w:rsidR="006D175F">
        <w:rPr>
          <w:sz w:val="23"/>
          <w:szCs w:val="23"/>
        </w:rPr>
        <w:t xml:space="preserve">that </w:t>
      </w:r>
      <w:r w:rsidR="0008269A" w:rsidRPr="00903C64">
        <w:rPr>
          <w:sz w:val="23"/>
          <w:szCs w:val="23"/>
        </w:rPr>
        <w:t xml:space="preserve">is targeted to the specific types of patients the physician sees, and this  </w:t>
      </w:r>
      <w:r w:rsidR="006D175F">
        <w:rPr>
          <w:sz w:val="23"/>
          <w:szCs w:val="23"/>
        </w:rPr>
        <w:t xml:space="preserve">should include </w:t>
      </w:r>
      <w:r w:rsidR="0008269A" w:rsidRPr="00903C64">
        <w:rPr>
          <w:sz w:val="23"/>
          <w:szCs w:val="23"/>
        </w:rPr>
        <w:t>point</w:t>
      </w:r>
      <w:r w:rsidR="006D175F">
        <w:rPr>
          <w:sz w:val="23"/>
          <w:szCs w:val="23"/>
        </w:rPr>
        <w:t>-</w:t>
      </w:r>
      <w:r w:rsidR="0008269A" w:rsidRPr="00903C64">
        <w:rPr>
          <w:sz w:val="23"/>
          <w:szCs w:val="23"/>
        </w:rPr>
        <w:t>of</w:t>
      </w:r>
      <w:r w:rsidR="006D175F">
        <w:rPr>
          <w:sz w:val="23"/>
          <w:szCs w:val="23"/>
        </w:rPr>
        <w:t>-</w:t>
      </w:r>
      <w:r w:rsidR="0008269A" w:rsidRPr="00903C64">
        <w:rPr>
          <w:sz w:val="23"/>
          <w:szCs w:val="23"/>
        </w:rPr>
        <w:t>care learning.</w:t>
      </w:r>
      <w:r w:rsidR="0008269A" w:rsidRPr="00065B2F">
        <w:rPr>
          <w:sz w:val="23"/>
          <w:szCs w:val="23"/>
        </w:rPr>
        <w:t xml:space="preserve"> </w:t>
      </w:r>
      <w:r w:rsidR="0008269A" w:rsidRPr="00903C64">
        <w:rPr>
          <w:sz w:val="23"/>
          <w:szCs w:val="23"/>
        </w:rPr>
        <w:t>In an effort to improve our physicians</w:t>
      </w:r>
      <w:r w:rsidR="0008269A" w:rsidRPr="00501793">
        <w:rPr>
          <w:sz w:val="23"/>
          <w:szCs w:val="23"/>
        </w:rPr>
        <w:t>’</w:t>
      </w:r>
      <w:r w:rsidR="0008269A" w:rsidRPr="00903C64">
        <w:rPr>
          <w:sz w:val="23"/>
          <w:szCs w:val="23"/>
        </w:rPr>
        <w:t xml:space="preserve"> educational experience, and there</w:t>
      </w:r>
      <w:r w:rsidR="0008269A" w:rsidRPr="00501793">
        <w:rPr>
          <w:sz w:val="23"/>
          <w:szCs w:val="23"/>
        </w:rPr>
        <w:t>by improve</w:t>
      </w:r>
      <w:r w:rsidR="0008269A" w:rsidRPr="00903C64">
        <w:rPr>
          <w:sz w:val="23"/>
          <w:szCs w:val="23"/>
        </w:rPr>
        <w:t xml:space="preserve"> patient safety, the Board implement</w:t>
      </w:r>
      <w:r w:rsidR="006D175F">
        <w:rPr>
          <w:sz w:val="23"/>
          <w:szCs w:val="23"/>
        </w:rPr>
        <w:t>ed</w:t>
      </w:r>
      <w:r w:rsidR="0008269A" w:rsidRPr="00903C64">
        <w:rPr>
          <w:sz w:val="23"/>
          <w:szCs w:val="23"/>
        </w:rPr>
        <w:t xml:space="preserve"> a CME </w:t>
      </w:r>
      <w:r w:rsidR="0008269A" w:rsidRPr="00501793">
        <w:rPr>
          <w:sz w:val="23"/>
          <w:szCs w:val="23"/>
        </w:rPr>
        <w:t>P</w:t>
      </w:r>
      <w:r w:rsidR="0008269A" w:rsidRPr="00903C64">
        <w:rPr>
          <w:sz w:val="23"/>
          <w:szCs w:val="23"/>
        </w:rPr>
        <w:t xml:space="preserve">ilot </w:t>
      </w:r>
      <w:r w:rsidR="0008269A" w:rsidRPr="00501793">
        <w:rPr>
          <w:sz w:val="23"/>
          <w:szCs w:val="23"/>
        </w:rPr>
        <w:t>P</w:t>
      </w:r>
      <w:r w:rsidR="0008269A" w:rsidRPr="00903C64">
        <w:rPr>
          <w:sz w:val="23"/>
          <w:szCs w:val="23"/>
        </w:rPr>
        <w:t>rogram that enables physician</w:t>
      </w:r>
      <w:r w:rsidR="0008269A" w:rsidRPr="00501793">
        <w:rPr>
          <w:sz w:val="23"/>
          <w:szCs w:val="23"/>
        </w:rPr>
        <w:t>s</w:t>
      </w:r>
      <w:r w:rsidR="0008269A" w:rsidRPr="00903C64">
        <w:rPr>
          <w:sz w:val="23"/>
          <w:szCs w:val="23"/>
        </w:rPr>
        <w:t xml:space="preserve"> to target their learning around the patients they see.</w:t>
      </w:r>
      <w:r w:rsidR="0008269A">
        <w:rPr>
          <w:sz w:val="23"/>
          <w:szCs w:val="23"/>
        </w:rPr>
        <w:t xml:space="preserve">   </w:t>
      </w:r>
    </w:p>
    <w:p w14:paraId="54352F7E" w14:textId="77777777" w:rsidR="0008269A" w:rsidRDefault="0008269A" w:rsidP="0008269A">
      <w:pPr>
        <w:rPr>
          <w:sz w:val="23"/>
          <w:szCs w:val="23"/>
        </w:rPr>
      </w:pPr>
    </w:p>
    <w:p w14:paraId="176BD12A" w14:textId="649085E0" w:rsidR="0008269A" w:rsidRDefault="0008269A" w:rsidP="0008269A">
      <w:pPr>
        <w:rPr>
          <w:sz w:val="23"/>
          <w:szCs w:val="23"/>
        </w:rPr>
      </w:pPr>
      <w:r>
        <w:rPr>
          <w:sz w:val="23"/>
          <w:szCs w:val="23"/>
        </w:rPr>
        <w:t xml:space="preserve">The Board’s CME Pilot Program </w:t>
      </w:r>
      <w:r w:rsidR="00EA4717">
        <w:rPr>
          <w:sz w:val="23"/>
          <w:szCs w:val="23"/>
        </w:rPr>
        <w:t xml:space="preserve">that began </w:t>
      </w:r>
      <w:r>
        <w:rPr>
          <w:sz w:val="23"/>
          <w:szCs w:val="23"/>
        </w:rPr>
        <w:t>on January 1, 2018</w:t>
      </w:r>
      <w:r w:rsidR="00EA4717">
        <w:rPr>
          <w:sz w:val="23"/>
          <w:szCs w:val="23"/>
        </w:rPr>
        <w:t xml:space="preserve"> </w:t>
      </w:r>
      <w:r w:rsidR="00DA2E22">
        <w:rPr>
          <w:sz w:val="23"/>
          <w:szCs w:val="23"/>
        </w:rPr>
        <w:t>will be in effect</w:t>
      </w:r>
      <w:r w:rsidR="00EA4717">
        <w:rPr>
          <w:sz w:val="23"/>
          <w:szCs w:val="23"/>
        </w:rPr>
        <w:t xml:space="preserve"> until </w:t>
      </w:r>
      <w:r w:rsidR="00DA2E22">
        <w:t>the Board promulgates a new regulation incorporating the subject matter of this Policy into 243 CMR 2.00</w:t>
      </w:r>
      <w:r>
        <w:rPr>
          <w:sz w:val="23"/>
          <w:szCs w:val="23"/>
        </w:rPr>
        <w:t>. Each licensee shall obtain no fewer than 50 continuing medical education credits</w:t>
      </w:r>
      <w:r w:rsidR="00134C7A">
        <w:rPr>
          <w:sz w:val="23"/>
          <w:szCs w:val="23"/>
        </w:rPr>
        <w:t>, which may be Category 1 or Category 2. In the case of Category 1, credits can</w:t>
      </w:r>
      <w:r w:rsidR="00107A75">
        <w:rPr>
          <w:rStyle w:val="FootnoteReference"/>
          <w:sz w:val="23"/>
          <w:szCs w:val="23"/>
        </w:rPr>
        <w:footnoteReference w:id="2"/>
      </w:r>
      <w:r w:rsidR="00134C7A">
        <w:rPr>
          <w:sz w:val="23"/>
          <w:szCs w:val="23"/>
        </w:rPr>
        <w:t xml:space="preserve"> </w:t>
      </w:r>
      <w:r>
        <w:rPr>
          <w:sz w:val="23"/>
          <w:szCs w:val="23"/>
        </w:rPr>
        <w:t>be earned from an organization accredited by the Accreditation Council for Continuing Medical Education (ACCME), the American Osteopathic Association (AOA), the American Academy of Family Physicians (AAFP)</w:t>
      </w:r>
      <w:r w:rsidR="009C1BEA">
        <w:rPr>
          <w:sz w:val="23"/>
          <w:szCs w:val="23"/>
        </w:rPr>
        <w:t>, the American Medical Association (AMA)</w:t>
      </w:r>
      <w:r>
        <w:rPr>
          <w:sz w:val="23"/>
          <w:szCs w:val="23"/>
        </w:rPr>
        <w:t xml:space="preserve"> or a state medical society recognized by the ACCME</w:t>
      </w:r>
      <w:r w:rsidR="000A013D">
        <w:rPr>
          <w:sz w:val="23"/>
          <w:szCs w:val="23"/>
        </w:rPr>
        <w:t>, such as the Mass. Medical Society</w:t>
      </w:r>
      <w:r>
        <w:rPr>
          <w:sz w:val="23"/>
          <w:szCs w:val="23"/>
        </w:rPr>
        <w:t xml:space="preserve"> or from material used for point</w:t>
      </w:r>
      <w:r w:rsidR="009C1BEA">
        <w:rPr>
          <w:sz w:val="23"/>
          <w:szCs w:val="23"/>
        </w:rPr>
        <w:t>-</w:t>
      </w:r>
      <w:r>
        <w:rPr>
          <w:sz w:val="23"/>
          <w:szCs w:val="23"/>
        </w:rPr>
        <w:t>of</w:t>
      </w:r>
      <w:r w:rsidR="009C1BEA">
        <w:rPr>
          <w:sz w:val="23"/>
          <w:szCs w:val="23"/>
        </w:rPr>
        <w:t>-</w:t>
      </w:r>
      <w:r>
        <w:rPr>
          <w:sz w:val="23"/>
          <w:szCs w:val="23"/>
        </w:rPr>
        <w:t xml:space="preserve">care. </w:t>
      </w:r>
    </w:p>
    <w:p w14:paraId="1E43EA50" w14:textId="77777777" w:rsidR="0008269A" w:rsidRDefault="0008269A" w:rsidP="0008269A">
      <w:pPr>
        <w:rPr>
          <w:sz w:val="23"/>
          <w:szCs w:val="23"/>
        </w:rPr>
      </w:pPr>
    </w:p>
    <w:p w14:paraId="715293FF" w14:textId="3FED8876" w:rsidR="009C1BEA" w:rsidRPr="008C5E3F" w:rsidRDefault="009C1BEA" w:rsidP="0008269A">
      <w:pPr>
        <w:rPr>
          <w:b/>
          <w:bCs/>
          <w:sz w:val="23"/>
          <w:szCs w:val="23"/>
        </w:rPr>
      </w:pPr>
      <w:r w:rsidRPr="008C5E3F">
        <w:rPr>
          <w:b/>
          <w:bCs/>
          <w:sz w:val="23"/>
          <w:szCs w:val="23"/>
        </w:rPr>
        <w:t>Specialized CME and Educational Trainings Requirements – “One and Done”</w:t>
      </w:r>
    </w:p>
    <w:p w14:paraId="034F7DEA" w14:textId="77777777" w:rsidR="009C1BEA" w:rsidRDefault="009C1BEA" w:rsidP="0008269A">
      <w:pPr>
        <w:rPr>
          <w:sz w:val="23"/>
          <w:szCs w:val="23"/>
        </w:rPr>
      </w:pPr>
    </w:p>
    <w:p w14:paraId="2E80BF6D" w14:textId="2B68678B" w:rsidR="0008269A" w:rsidRDefault="0008269A" w:rsidP="0008269A">
      <w:pPr>
        <w:rPr>
          <w:sz w:val="23"/>
          <w:szCs w:val="23"/>
        </w:rPr>
      </w:pPr>
      <w:r>
        <w:rPr>
          <w:sz w:val="23"/>
          <w:szCs w:val="23"/>
        </w:rPr>
        <w:t>Under the CME Pilot Program, licensees are still required to take the existing specialized CME requirements:</w:t>
      </w:r>
    </w:p>
    <w:p w14:paraId="1C3C9390" w14:textId="77777777" w:rsidR="0008269A" w:rsidRDefault="0008269A" w:rsidP="0008269A">
      <w:pPr>
        <w:rPr>
          <w:sz w:val="23"/>
          <w:szCs w:val="23"/>
        </w:rPr>
      </w:pPr>
    </w:p>
    <w:p w14:paraId="5AF5C26B" w14:textId="77777777" w:rsidR="0008269A" w:rsidRDefault="00C07439" w:rsidP="0008269A">
      <w:pPr>
        <w:numPr>
          <w:ilvl w:val="1"/>
          <w:numId w:val="1"/>
        </w:numPr>
        <w:rPr>
          <w:sz w:val="23"/>
          <w:szCs w:val="23"/>
        </w:rPr>
      </w:pPr>
      <w:r w:rsidRPr="007B02EE">
        <w:rPr>
          <w:sz w:val="23"/>
          <w:szCs w:val="23"/>
        </w:rPr>
        <w:t>2</w:t>
      </w:r>
      <w:r w:rsidR="0029095D">
        <w:rPr>
          <w:sz w:val="23"/>
          <w:szCs w:val="23"/>
        </w:rPr>
        <w:t xml:space="preserve"> </w:t>
      </w:r>
      <w:r w:rsidR="0008269A">
        <w:rPr>
          <w:sz w:val="23"/>
          <w:szCs w:val="23"/>
        </w:rPr>
        <w:t>CME credit in End-of-Life Care issues, as a one-time requirement;</w:t>
      </w:r>
    </w:p>
    <w:p w14:paraId="3317B24A" w14:textId="77777777" w:rsidR="0008269A" w:rsidRDefault="0008269A" w:rsidP="0008269A">
      <w:pPr>
        <w:numPr>
          <w:ilvl w:val="1"/>
          <w:numId w:val="1"/>
        </w:numPr>
        <w:rPr>
          <w:sz w:val="23"/>
          <w:szCs w:val="23"/>
        </w:rPr>
      </w:pPr>
      <w:r>
        <w:rPr>
          <w:sz w:val="23"/>
          <w:szCs w:val="23"/>
        </w:rPr>
        <w:t>3 CME credits in electronic health records as required under M.G.L. c. 112, § 2, a one-time requirement;</w:t>
      </w:r>
    </w:p>
    <w:p w14:paraId="2F1F9794" w14:textId="77777777" w:rsidR="0008269A" w:rsidRDefault="0008269A" w:rsidP="0008269A">
      <w:pPr>
        <w:numPr>
          <w:ilvl w:val="1"/>
          <w:numId w:val="1"/>
        </w:numPr>
        <w:rPr>
          <w:sz w:val="23"/>
          <w:szCs w:val="23"/>
        </w:rPr>
      </w:pPr>
      <w:r>
        <w:rPr>
          <w:sz w:val="23"/>
          <w:szCs w:val="23"/>
        </w:rPr>
        <w:t>The child abuse and neglect training required under M.G.L. c. 51A(k), a one-time requirement;</w:t>
      </w:r>
    </w:p>
    <w:p w14:paraId="6A06C24F" w14:textId="7F36171D" w:rsidR="0008269A" w:rsidRDefault="0008269A" w:rsidP="0008269A">
      <w:pPr>
        <w:numPr>
          <w:ilvl w:val="1"/>
          <w:numId w:val="1"/>
        </w:numPr>
        <w:rPr>
          <w:sz w:val="23"/>
          <w:szCs w:val="23"/>
        </w:rPr>
      </w:pPr>
      <w:r>
        <w:rPr>
          <w:sz w:val="23"/>
          <w:szCs w:val="23"/>
        </w:rPr>
        <w:lastRenderedPageBreak/>
        <w:t xml:space="preserve">The domestic violence and sexual violence training </w:t>
      </w:r>
      <w:r w:rsidR="00DE02FE">
        <w:rPr>
          <w:sz w:val="23"/>
          <w:szCs w:val="23"/>
        </w:rPr>
        <w:t xml:space="preserve">(also called Chapter 260 training) </w:t>
      </w:r>
      <w:r>
        <w:rPr>
          <w:sz w:val="23"/>
          <w:szCs w:val="23"/>
        </w:rPr>
        <w:t>required under M.G.L. c. 112, § 264, a one-time requirement</w:t>
      </w:r>
      <w:r w:rsidR="006B4F87">
        <w:rPr>
          <w:sz w:val="23"/>
          <w:szCs w:val="23"/>
        </w:rPr>
        <w:t>;</w:t>
      </w:r>
    </w:p>
    <w:p w14:paraId="20593DB9" w14:textId="261D7975" w:rsidR="008A2ED3" w:rsidRDefault="00DE02FE" w:rsidP="0008269A">
      <w:pPr>
        <w:numPr>
          <w:ilvl w:val="1"/>
          <w:numId w:val="1"/>
        </w:numPr>
        <w:rPr>
          <w:sz w:val="23"/>
          <w:szCs w:val="23"/>
        </w:rPr>
      </w:pPr>
      <w:r>
        <w:rPr>
          <w:sz w:val="23"/>
          <w:szCs w:val="23"/>
        </w:rPr>
        <w:t xml:space="preserve">1 credit for </w:t>
      </w:r>
      <w:r w:rsidR="008A2ED3">
        <w:rPr>
          <w:sz w:val="23"/>
          <w:szCs w:val="23"/>
        </w:rPr>
        <w:t xml:space="preserve">he Alzheimer’s and Related Dementias training required under </w:t>
      </w:r>
      <w:r w:rsidR="006B4F87">
        <w:rPr>
          <w:sz w:val="23"/>
          <w:szCs w:val="23"/>
        </w:rPr>
        <w:t>M.G.L. c. 112, § 2, a one-time requirement.</w:t>
      </w:r>
    </w:p>
    <w:p w14:paraId="76C685B5" w14:textId="53BA4E40" w:rsidR="00242DCF" w:rsidRPr="008C5E3F" w:rsidRDefault="00242DCF" w:rsidP="008C5E3F">
      <w:pPr>
        <w:pStyle w:val="ListParagraph"/>
        <w:numPr>
          <w:ilvl w:val="1"/>
          <w:numId w:val="1"/>
        </w:numPr>
        <w:rPr>
          <w:sz w:val="23"/>
          <w:szCs w:val="23"/>
        </w:rPr>
      </w:pPr>
      <w:r w:rsidRPr="008C5E3F">
        <w:rPr>
          <w:sz w:val="23"/>
          <w:szCs w:val="23"/>
        </w:rPr>
        <w:t xml:space="preserve">The Implicit Bias </w:t>
      </w:r>
      <w:r w:rsidR="000A013D" w:rsidRPr="008C5E3F">
        <w:rPr>
          <w:sz w:val="23"/>
          <w:szCs w:val="23"/>
        </w:rPr>
        <w:t xml:space="preserve">in Healthcare </w:t>
      </w:r>
      <w:r w:rsidRPr="008C5E3F">
        <w:rPr>
          <w:sz w:val="23"/>
          <w:szCs w:val="23"/>
        </w:rPr>
        <w:t>training, required under Board Policy 21-04 (11/18/2021), a one-time requirement.</w:t>
      </w:r>
    </w:p>
    <w:p w14:paraId="4C4C5B19" w14:textId="77777777" w:rsidR="00F82250" w:rsidRPr="008C5E3F" w:rsidRDefault="00F82250" w:rsidP="008C5E3F">
      <w:pPr>
        <w:ind w:left="1080"/>
        <w:rPr>
          <w:sz w:val="23"/>
          <w:szCs w:val="23"/>
        </w:rPr>
      </w:pPr>
    </w:p>
    <w:p w14:paraId="5CEF1CE5" w14:textId="6E22E8DD" w:rsidR="00242DCF" w:rsidRPr="008C5E3F" w:rsidRDefault="00242DCF" w:rsidP="008C5E3F">
      <w:pPr>
        <w:tabs>
          <w:tab w:val="left" w:pos="0"/>
        </w:tabs>
        <w:rPr>
          <w:b/>
          <w:bCs/>
          <w:sz w:val="23"/>
          <w:szCs w:val="23"/>
        </w:rPr>
      </w:pPr>
      <w:r w:rsidRPr="008C5E3F">
        <w:rPr>
          <w:b/>
          <w:bCs/>
          <w:sz w:val="23"/>
          <w:szCs w:val="23"/>
        </w:rPr>
        <w:t>Biennial Requirements – Every Licensing Cycle</w:t>
      </w:r>
    </w:p>
    <w:p w14:paraId="1AA1A0B3" w14:textId="77777777" w:rsidR="0008269A" w:rsidRDefault="0008269A" w:rsidP="0008269A">
      <w:pPr>
        <w:rPr>
          <w:sz w:val="23"/>
          <w:szCs w:val="23"/>
        </w:rPr>
      </w:pPr>
    </w:p>
    <w:p w14:paraId="5ED36120" w14:textId="77777777" w:rsidR="009C1BEA" w:rsidRDefault="009C1BEA" w:rsidP="009C1BEA">
      <w:pPr>
        <w:numPr>
          <w:ilvl w:val="1"/>
          <w:numId w:val="1"/>
        </w:numPr>
        <w:rPr>
          <w:sz w:val="23"/>
          <w:szCs w:val="23"/>
        </w:rPr>
      </w:pPr>
      <w:r>
        <w:rPr>
          <w:sz w:val="23"/>
          <w:szCs w:val="23"/>
        </w:rPr>
        <w:t xml:space="preserve">3 CME credits in opioid education and pain management if the physician prescribes controlled substances; </w:t>
      </w:r>
    </w:p>
    <w:p w14:paraId="267F8D1D" w14:textId="77777777" w:rsidR="009C1BEA" w:rsidRDefault="009C1BEA" w:rsidP="009C1BEA">
      <w:pPr>
        <w:numPr>
          <w:ilvl w:val="1"/>
          <w:numId w:val="1"/>
        </w:numPr>
        <w:rPr>
          <w:sz w:val="23"/>
          <w:szCs w:val="23"/>
        </w:rPr>
      </w:pPr>
      <w:r>
        <w:rPr>
          <w:sz w:val="23"/>
          <w:szCs w:val="23"/>
        </w:rPr>
        <w:t>10 CME credits in Risk Management</w:t>
      </w:r>
      <w:r>
        <w:rPr>
          <w:rStyle w:val="FootnoteReference"/>
          <w:sz w:val="23"/>
          <w:szCs w:val="23"/>
        </w:rPr>
        <w:footnoteReference w:id="3"/>
      </w:r>
      <w:r>
        <w:rPr>
          <w:sz w:val="23"/>
          <w:szCs w:val="23"/>
        </w:rPr>
        <w:t>, which may be Category 1 or 2;</w:t>
      </w:r>
    </w:p>
    <w:p w14:paraId="06555AAB" w14:textId="77777777" w:rsidR="009C1BEA" w:rsidRDefault="009C1BEA" w:rsidP="009C1BEA">
      <w:pPr>
        <w:numPr>
          <w:ilvl w:val="1"/>
          <w:numId w:val="1"/>
        </w:numPr>
        <w:rPr>
          <w:sz w:val="23"/>
          <w:szCs w:val="23"/>
        </w:rPr>
      </w:pPr>
      <w:r>
        <w:rPr>
          <w:sz w:val="23"/>
          <w:szCs w:val="23"/>
        </w:rPr>
        <w:t xml:space="preserve">2 CME credits for studying </w:t>
      </w:r>
      <w:r w:rsidRPr="00F3159A">
        <w:rPr>
          <w:i/>
          <w:sz w:val="23"/>
          <w:szCs w:val="23"/>
        </w:rPr>
        <w:t>each</w:t>
      </w:r>
      <w:r w:rsidRPr="001E0CDE">
        <w:rPr>
          <w:b/>
          <w:i/>
          <w:sz w:val="23"/>
          <w:szCs w:val="23"/>
        </w:rPr>
        <w:t xml:space="preserve"> </w:t>
      </w:r>
      <w:r>
        <w:rPr>
          <w:sz w:val="23"/>
          <w:szCs w:val="23"/>
        </w:rPr>
        <w:t>chapter of the Board’s regulations, 243 CMR 1.00 – 3.00 and these credits may be applied to the Risk Management requirement;</w:t>
      </w:r>
    </w:p>
    <w:p w14:paraId="21FE84F6" w14:textId="77777777" w:rsidR="009C1BEA" w:rsidRDefault="009C1BEA" w:rsidP="0008269A">
      <w:pPr>
        <w:rPr>
          <w:sz w:val="23"/>
          <w:szCs w:val="23"/>
        </w:rPr>
      </w:pPr>
    </w:p>
    <w:p w14:paraId="20B993CD" w14:textId="28F50C18" w:rsidR="009C1BEA" w:rsidRPr="008C5E3F" w:rsidRDefault="003B1AE0" w:rsidP="0008269A">
      <w:pPr>
        <w:rPr>
          <w:b/>
          <w:bCs/>
          <w:sz w:val="23"/>
          <w:szCs w:val="23"/>
        </w:rPr>
      </w:pPr>
      <w:r w:rsidRPr="008C5E3F">
        <w:rPr>
          <w:b/>
          <w:bCs/>
          <w:sz w:val="23"/>
          <w:szCs w:val="23"/>
        </w:rPr>
        <w:t>Learning Formats, Reading Journals and Voluntary CME</w:t>
      </w:r>
    </w:p>
    <w:p w14:paraId="6CAA5610" w14:textId="77777777" w:rsidR="003B1AE0" w:rsidRDefault="003B1AE0" w:rsidP="0008269A">
      <w:pPr>
        <w:rPr>
          <w:sz w:val="23"/>
          <w:szCs w:val="23"/>
        </w:rPr>
      </w:pPr>
    </w:p>
    <w:p w14:paraId="459EB93C" w14:textId="3679E5BD" w:rsidR="0008269A" w:rsidRDefault="0008269A" w:rsidP="0008269A">
      <w:pPr>
        <w:rPr>
          <w:sz w:val="23"/>
          <w:szCs w:val="23"/>
        </w:rPr>
      </w:pPr>
      <w:r>
        <w:rPr>
          <w:sz w:val="23"/>
          <w:szCs w:val="23"/>
        </w:rPr>
        <w:t xml:space="preserve">During the Pilot Program, biennial CME credits required may be in alternative learning formats such as quality assurance, self or practice audits, </w:t>
      </w:r>
      <w:r w:rsidR="00F82250">
        <w:rPr>
          <w:sz w:val="23"/>
          <w:szCs w:val="23"/>
        </w:rPr>
        <w:t>Healthcare Effectiveness Data and Information Set (</w:t>
      </w:r>
      <w:r>
        <w:rPr>
          <w:sz w:val="23"/>
          <w:szCs w:val="23"/>
        </w:rPr>
        <w:t>HEDIS®</w:t>
      </w:r>
      <w:r w:rsidR="00F82250">
        <w:rPr>
          <w:sz w:val="23"/>
          <w:szCs w:val="23"/>
        </w:rPr>
        <w:t>)</w:t>
      </w:r>
      <w:r>
        <w:rPr>
          <w:sz w:val="23"/>
          <w:szCs w:val="23"/>
        </w:rPr>
        <w:t xml:space="preserve"> reports, meeting </w:t>
      </w:r>
      <w:r w:rsidR="00F82250">
        <w:rPr>
          <w:sz w:val="23"/>
          <w:szCs w:val="23"/>
        </w:rPr>
        <w:t>Medicare Access and Chip Reauthorization Act (</w:t>
      </w:r>
      <w:r>
        <w:rPr>
          <w:sz w:val="23"/>
          <w:szCs w:val="23"/>
        </w:rPr>
        <w:t>MACRA</w:t>
      </w:r>
      <w:r w:rsidR="00F82250">
        <w:rPr>
          <w:sz w:val="23"/>
          <w:szCs w:val="23"/>
        </w:rPr>
        <w:t>)</w:t>
      </w:r>
      <w:r>
        <w:rPr>
          <w:sz w:val="23"/>
          <w:szCs w:val="23"/>
        </w:rPr>
        <w:t xml:space="preserve"> measures, etc. In addition, licensees may claim </w:t>
      </w:r>
      <w:r w:rsidR="003A04C6">
        <w:rPr>
          <w:sz w:val="23"/>
          <w:szCs w:val="23"/>
        </w:rPr>
        <w:t>1</w:t>
      </w:r>
      <w:r>
        <w:rPr>
          <w:sz w:val="23"/>
          <w:szCs w:val="23"/>
        </w:rPr>
        <w:t>.</w:t>
      </w:r>
      <w:r w:rsidR="003A04C6">
        <w:rPr>
          <w:sz w:val="23"/>
          <w:szCs w:val="23"/>
        </w:rPr>
        <w:t>00</w:t>
      </w:r>
      <w:r>
        <w:rPr>
          <w:sz w:val="23"/>
          <w:szCs w:val="23"/>
        </w:rPr>
        <w:t xml:space="preserve"> credit for every </w:t>
      </w:r>
      <w:r w:rsidR="008C3D57">
        <w:rPr>
          <w:sz w:val="23"/>
          <w:szCs w:val="23"/>
        </w:rPr>
        <w:t xml:space="preserve">hour of reading a </w:t>
      </w:r>
      <w:r>
        <w:rPr>
          <w:sz w:val="23"/>
          <w:szCs w:val="23"/>
        </w:rPr>
        <w:t xml:space="preserve">journal or </w:t>
      </w:r>
      <w:r w:rsidR="008C3D57">
        <w:rPr>
          <w:sz w:val="23"/>
          <w:szCs w:val="23"/>
        </w:rPr>
        <w:t xml:space="preserve">a </w:t>
      </w:r>
      <w:r>
        <w:rPr>
          <w:sz w:val="23"/>
          <w:szCs w:val="23"/>
        </w:rPr>
        <w:t>point</w:t>
      </w:r>
      <w:r w:rsidR="00DE02FE">
        <w:rPr>
          <w:sz w:val="23"/>
          <w:szCs w:val="23"/>
        </w:rPr>
        <w:t>-</w:t>
      </w:r>
      <w:r>
        <w:rPr>
          <w:sz w:val="23"/>
          <w:szCs w:val="23"/>
        </w:rPr>
        <w:t>of</w:t>
      </w:r>
      <w:r w:rsidR="00DE02FE">
        <w:rPr>
          <w:sz w:val="23"/>
          <w:szCs w:val="23"/>
        </w:rPr>
        <w:t>-</w:t>
      </w:r>
      <w:r>
        <w:rPr>
          <w:sz w:val="23"/>
          <w:szCs w:val="23"/>
        </w:rPr>
        <w:t xml:space="preserve">care (POC) resource accessed in the process of delivering patient care or updating clinical knowledge.  </w:t>
      </w:r>
    </w:p>
    <w:p w14:paraId="75351433" w14:textId="77777777" w:rsidR="0008269A" w:rsidRDefault="0008269A" w:rsidP="0008269A">
      <w:pPr>
        <w:rPr>
          <w:sz w:val="23"/>
          <w:szCs w:val="23"/>
        </w:rPr>
      </w:pPr>
    </w:p>
    <w:p w14:paraId="1054EDD4" w14:textId="77777777" w:rsidR="0008269A" w:rsidRDefault="0008269A" w:rsidP="0008269A">
      <w:pPr>
        <w:rPr>
          <w:sz w:val="23"/>
          <w:szCs w:val="23"/>
        </w:rPr>
      </w:pPr>
      <w:r>
        <w:rPr>
          <w:sz w:val="23"/>
          <w:szCs w:val="23"/>
        </w:rPr>
        <w:t xml:space="preserve">Licensees will attest, under the pains and penalties of perjury, that they have completed each activity during their biennial licensing period.  </w:t>
      </w:r>
    </w:p>
    <w:p w14:paraId="253496E3" w14:textId="77777777" w:rsidR="0008269A" w:rsidRDefault="0008269A" w:rsidP="0008269A">
      <w:pPr>
        <w:rPr>
          <w:sz w:val="23"/>
          <w:szCs w:val="23"/>
        </w:rPr>
      </w:pPr>
    </w:p>
    <w:p w14:paraId="6D8D5722" w14:textId="77777777" w:rsidR="0008269A" w:rsidRDefault="0008269A" w:rsidP="0008269A">
      <w:pPr>
        <w:rPr>
          <w:sz w:val="23"/>
          <w:szCs w:val="23"/>
        </w:rPr>
      </w:pPr>
      <w:r>
        <w:rPr>
          <w:sz w:val="23"/>
          <w:szCs w:val="23"/>
        </w:rPr>
        <w:t xml:space="preserve">This Policy sets the minimum mandatory CME requirement as 50 credits for a biennial licensing period.  Many physicians will do more, and the Board encourages and supports that. There is no restriction on the amount of continuing medical education credits that licensees may voluntarily obtain during the Pilot Program. The goal of this program is to allow physicians to target CME studies that will expand their knowledge and improve their weaknesses, while enhancing patient safety efforts. </w:t>
      </w:r>
    </w:p>
    <w:p w14:paraId="625496EE" w14:textId="77777777" w:rsidR="0008269A" w:rsidRDefault="0008269A" w:rsidP="0008269A">
      <w:pPr>
        <w:rPr>
          <w:sz w:val="23"/>
          <w:szCs w:val="23"/>
        </w:rPr>
      </w:pPr>
    </w:p>
    <w:p w14:paraId="168C69CF" w14:textId="118DB089" w:rsidR="0008269A" w:rsidRDefault="0008269A" w:rsidP="00DE02FE">
      <w:pPr>
        <w:rPr>
          <w:sz w:val="23"/>
          <w:szCs w:val="23"/>
        </w:rPr>
      </w:pPr>
    </w:p>
    <w:p w14:paraId="23C3F8E0" w14:textId="77777777" w:rsidR="0008269A" w:rsidRDefault="0008269A" w:rsidP="0008269A">
      <w:pPr>
        <w:rPr>
          <w:sz w:val="23"/>
          <w:szCs w:val="23"/>
        </w:rPr>
      </w:pPr>
    </w:p>
    <w:p w14:paraId="302F7893" w14:textId="77777777" w:rsidR="0008269A" w:rsidRDefault="0008269A" w:rsidP="0008269A">
      <w:pPr>
        <w:rPr>
          <w:sz w:val="23"/>
          <w:szCs w:val="23"/>
        </w:rPr>
      </w:pPr>
    </w:p>
    <w:p w14:paraId="28317905" w14:textId="77777777" w:rsidR="0008269A" w:rsidRDefault="0008269A" w:rsidP="0008269A">
      <w:pPr>
        <w:rPr>
          <w:sz w:val="23"/>
          <w:szCs w:val="23"/>
        </w:rPr>
      </w:pPr>
    </w:p>
    <w:p w14:paraId="0CFC7196" w14:textId="77777777" w:rsidR="0008269A" w:rsidRDefault="0008269A" w:rsidP="0008269A">
      <w:pPr>
        <w:rPr>
          <w:sz w:val="23"/>
          <w:szCs w:val="23"/>
        </w:rPr>
      </w:pPr>
    </w:p>
    <w:p w14:paraId="4B9E46E2" w14:textId="77777777" w:rsidR="0008269A" w:rsidRDefault="0008269A" w:rsidP="0008269A">
      <w:pPr>
        <w:rPr>
          <w:sz w:val="23"/>
          <w:szCs w:val="23"/>
        </w:rPr>
      </w:pPr>
    </w:p>
    <w:p w14:paraId="12121935" w14:textId="77777777" w:rsidR="0008269A" w:rsidRDefault="0008269A" w:rsidP="0008269A">
      <w:pPr>
        <w:rPr>
          <w:sz w:val="23"/>
          <w:szCs w:val="23"/>
        </w:rPr>
      </w:pPr>
    </w:p>
    <w:p w14:paraId="5B5DB635" w14:textId="77777777" w:rsidR="0008269A" w:rsidRDefault="0008269A" w:rsidP="0008269A">
      <w:pPr>
        <w:rPr>
          <w:sz w:val="23"/>
          <w:szCs w:val="23"/>
        </w:rPr>
      </w:pPr>
    </w:p>
    <w:p w14:paraId="3523F2AF" w14:textId="77777777" w:rsidR="0008269A" w:rsidRPr="00501793" w:rsidRDefault="0008269A" w:rsidP="0008269A">
      <w:pPr>
        <w:rPr>
          <w:sz w:val="23"/>
          <w:szCs w:val="23"/>
        </w:rPr>
      </w:pPr>
    </w:p>
    <w:p w14:paraId="3F21FED6" w14:textId="77777777" w:rsidR="0008269A" w:rsidRDefault="0008269A" w:rsidP="0008269A"/>
    <w:p w14:paraId="163A3ABA" w14:textId="77777777" w:rsidR="008F2EB4" w:rsidRDefault="008F2EB4"/>
    <w:sectPr w:rsidR="008F2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A4617" w14:textId="77777777" w:rsidR="006E27A7" w:rsidRDefault="006E27A7" w:rsidP="0008269A">
      <w:r>
        <w:separator/>
      </w:r>
    </w:p>
  </w:endnote>
  <w:endnote w:type="continuationSeparator" w:id="0">
    <w:p w14:paraId="627ACB04" w14:textId="77777777" w:rsidR="006E27A7" w:rsidRDefault="006E27A7" w:rsidP="0008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CD959" w14:textId="77777777" w:rsidR="006E27A7" w:rsidRDefault="006E27A7" w:rsidP="0008269A">
      <w:r>
        <w:separator/>
      </w:r>
    </w:p>
  </w:footnote>
  <w:footnote w:type="continuationSeparator" w:id="0">
    <w:p w14:paraId="07A3A9CC" w14:textId="77777777" w:rsidR="006E27A7" w:rsidRDefault="006E27A7" w:rsidP="0008269A">
      <w:r>
        <w:continuationSeparator/>
      </w:r>
    </w:p>
  </w:footnote>
  <w:footnote w:id="1">
    <w:p w14:paraId="161CFEA5" w14:textId="77777777" w:rsidR="00D87767" w:rsidRDefault="00D87767" w:rsidP="00D87767">
      <w:pPr>
        <w:pStyle w:val="FootnoteText"/>
      </w:pPr>
      <w:r>
        <w:rPr>
          <w:rStyle w:val="FootnoteReference"/>
        </w:rPr>
        <w:footnoteRef/>
      </w:r>
      <w:r>
        <w:t xml:space="preserve"> Federation of State Medical Boards, U.S. Medical Regulatory Trends and Actions, Continuing Medical Education Requirements, (2016). In 2017, the Board of Medicine required 100 CME credits biennially. </w:t>
      </w:r>
    </w:p>
  </w:footnote>
  <w:footnote w:id="2">
    <w:p w14:paraId="07332314" w14:textId="2791B583" w:rsidR="00107A75" w:rsidRDefault="00107A75">
      <w:pPr>
        <w:pStyle w:val="FootnoteText"/>
      </w:pPr>
      <w:r>
        <w:rPr>
          <w:rStyle w:val="FootnoteReference"/>
        </w:rPr>
        <w:footnoteRef/>
      </w:r>
      <w:r>
        <w:t xml:space="preserve"> The phrase “which may be Category 1 or Category 2. In the case of Category 1, credits can” is added on 5/23/2024 for clarification and to correct a scrivener’s error.  At the same time, the words “Credits shall” was deleted. </w:t>
      </w:r>
    </w:p>
  </w:footnote>
  <w:footnote w:id="3">
    <w:p w14:paraId="13841064" w14:textId="72296357" w:rsidR="009C1BEA" w:rsidRDefault="009C1BEA" w:rsidP="009C1BEA">
      <w:pPr>
        <w:pStyle w:val="FootnoteText"/>
      </w:pPr>
      <w:r>
        <w:rPr>
          <w:rStyle w:val="FootnoteReference"/>
        </w:rPr>
        <w:footnoteRef/>
      </w:r>
      <w:r>
        <w:t xml:space="preserve"> </w:t>
      </w:r>
      <w:r w:rsidRPr="00C83A82">
        <w:rPr>
          <w:i/>
          <w:u w:val="single"/>
        </w:rPr>
        <w:t>See</w:t>
      </w:r>
      <w:r>
        <w:t xml:space="preserve"> Board Policy 19-0</w:t>
      </w:r>
      <w:r w:rsidR="000A013D">
        <w:t>6</w:t>
      </w:r>
      <w:r>
        <w:t xml:space="preserve"> (Oct. 24, 2019), Risk Management CME Credits and Physician Burnout.  This policy allows a licensee to count up to 7 CME credits in physician wellness or physician burnout toward his/her 10 CME credits requirement.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82712"/>
    <w:multiLevelType w:val="hybridMultilevel"/>
    <w:tmpl w:val="34AE7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8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9A"/>
    <w:rsid w:val="00034514"/>
    <w:rsid w:val="00067EA5"/>
    <w:rsid w:val="0008269A"/>
    <w:rsid w:val="000A013D"/>
    <w:rsid w:val="000C575A"/>
    <w:rsid w:val="000D3319"/>
    <w:rsid w:val="000E218A"/>
    <w:rsid w:val="00107A75"/>
    <w:rsid w:val="00112028"/>
    <w:rsid w:val="00134C7A"/>
    <w:rsid w:val="00242DCF"/>
    <w:rsid w:val="0029095D"/>
    <w:rsid w:val="002A58CF"/>
    <w:rsid w:val="002C114B"/>
    <w:rsid w:val="003658F2"/>
    <w:rsid w:val="003A04C6"/>
    <w:rsid w:val="003B1AE0"/>
    <w:rsid w:val="003D7D4F"/>
    <w:rsid w:val="00496EDA"/>
    <w:rsid w:val="00600B03"/>
    <w:rsid w:val="0067324A"/>
    <w:rsid w:val="006B4F87"/>
    <w:rsid w:val="006D175F"/>
    <w:rsid w:val="006E27A7"/>
    <w:rsid w:val="007164E0"/>
    <w:rsid w:val="007B02EE"/>
    <w:rsid w:val="007E7010"/>
    <w:rsid w:val="00817ABD"/>
    <w:rsid w:val="008A2ED3"/>
    <w:rsid w:val="008C3D57"/>
    <w:rsid w:val="008C5E3F"/>
    <w:rsid w:val="008D239F"/>
    <w:rsid w:val="008F2EB4"/>
    <w:rsid w:val="0092679C"/>
    <w:rsid w:val="009C1BEA"/>
    <w:rsid w:val="00A47CBB"/>
    <w:rsid w:val="00AB56BC"/>
    <w:rsid w:val="00B31AC5"/>
    <w:rsid w:val="00B52DDC"/>
    <w:rsid w:val="00C07439"/>
    <w:rsid w:val="00C506BA"/>
    <w:rsid w:val="00C57A78"/>
    <w:rsid w:val="00C83A82"/>
    <w:rsid w:val="00C8511D"/>
    <w:rsid w:val="00C90DA1"/>
    <w:rsid w:val="00D87767"/>
    <w:rsid w:val="00DA2E22"/>
    <w:rsid w:val="00DE02FE"/>
    <w:rsid w:val="00E0111D"/>
    <w:rsid w:val="00E240A0"/>
    <w:rsid w:val="00E55251"/>
    <w:rsid w:val="00E65ED9"/>
    <w:rsid w:val="00EA4717"/>
    <w:rsid w:val="00EC4993"/>
    <w:rsid w:val="00F82250"/>
    <w:rsid w:val="00FB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3B06E"/>
  <w15:docId w15:val="{02461D01-2C61-43A2-9F4E-920D6421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9A"/>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269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8269A"/>
    <w:rPr>
      <w:sz w:val="20"/>
      <w:szCs w:val="20"/>
    </w:rPr>
  </w:style>
  <w:style w:type="character" w:customStyle="1" w:styleId="FootnoteTextChar">
    <w:name w:val="Footnote Text Char"/>
    <w:basedOn w:val="DefaultParagraphFont"/>
    <w:link w:val="FootnoteText"/>
    <w:uiPriority w:val="99"/>
    <w:semiHidden/>
    <w:rsid w:val="0008269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8269A"/>
    <w:rPr>
      <w:vertAlign w:val="superscript"/>
    </w:rPr>
  </w:style>
  <w:style w:type="paragraph" w:styleId="BalloonText">
    <w:name w:val="Balloon Text"/>
    <w:basedOn w:val="Normal"/>
    <w:link w:val="BalloonTextChar"/>
    <w:uiPriority w:val="99"/>
    <w:semiHidden/>
    <w:unhideWhenUsed/>
    <w:rsid w:val="0067324A"/>
    <w:rPr>
      <w:rFonts w:ascii="Tahoma" w:hAnsi="Tahoma" w:cs="Tahoma"/>
      <w:sz w:val="16"/>
      <w:szCs w:val="16"/>
    </w:rPr>
  </w:style>
  <w:style w:type="character" w:customStyle="1" w:styleId="BalloonTextChar">
    <w:name w:val="Balloon Text Char"/>
    <w:basedOn w:val="DefaultParagraphFont"/>
    <w:link w:val="BalloonText"/>
    <w:uiPriority w:val="99"/>
    <w:semiHidden/>
    <w:rsid w:val="0067324A"/>
    <w:rPr>
      <w:rFonts w:ascii="Tahoma" w:hAnsi="Tahoma" w:cs="Tahoma"/>
      <w:sz w:val="16"/>
      <w:szCs w:val="16"/>
    </w:rPr>
  </w:style>
  <w:style w:type="paragraph" w:styleId="Revision">
    <w:name w:val="Revision"/>
    <w:hidden/>
    <w:uiPriority w:val="99"/>
    <w:semiHidden/>
    <w:rsid w:val="006D175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B1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55D7-32F0-403C-931B-17B95215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Prelim Recommendations</dc:creator>
  <cp:lastModifiedBy>Prebensen, Eileen (DPH)</cp:lastModifiedBy>
  <cp:revision>5</cp:revision>
  <cp:lastPrinted>2017-11-24T17:32:00Z</cp:lastPrinted>
  <dcterms:created xsi:type="dcterms:W3CDTF">2024-05-21T18:52:00Z</dcterms:created>
  <dcterms:modified xsi:type="dcterms:W3CDTF">2024-05-24T19:32:00Z</dcterms:modified>
</cp:coreProperties>
</file>