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EC48" w14:textId="77777777" w:rsidR="00FE31D5" w:rsidRPr="00741F5A" w:rsidRDefault="00FE31D5" w:rsidP="00FE31D5">
      <w:pPr>
        <w:jc w:val="center"/>
      </w:pPr>
      <w:r w:rsidRPr="00741F5A">
        <w:t>COMMONWEALTH OF MASSACHUSETTS</w:t>
      </w:r>
    </w:p>
    <w:p w14:paraId="583581C7" w14:textId="77777777" w:rsidR="00FE31D5" w:rsidRPr="00741F5A" w:rsidRDefault="00FE31D5" w:rsidP="00FE31D5">
      <w:pPr>
        <w:jc w:val="center"/>
      </w:pPr>
      <w:r w:rsidRPr="00741F5A">
        <w:t>BOARD OF REGISTRATION IN MEDICINE</w:t>
      </w:r>
    </w:p>
    <w:p w14:paraId="17C0A6F5" w14:textId="77777777" w:rsidR="00FE31D5" w:rsidRPr="00741F5A" w:rsidRDefault="00FE31D5" w:rsidP="00FE31D5">
      <w:pPr>
        <w:jc w:val="center"/>
      </w:pPr>
    </w:p>
    <w:p w14:paraId="54D1BB8D" w14:textId="77777777" w:rsidR="00FE31D5" w:rsidRPr="00741F5A" w:rsidRDefault="00FE31D5" w:rsidP="00FE31D5">
      <w:pPr>
        <w:jc w:val="center"/>
      </w:pPr>
    </w:p>
    <w:p w14:paraId="0D14F30E" w14:textId="77777777" w:rsidR="00FE31D5" w:rsidRPr="00741F5A" w:rsidRDefault="00FE31D5" w:rsidP="00FE31D5">
      <w:pPr>
        <w:jc w:val="center"/>
      </w:pPr>
      <w:r w:rsidRPr="00741F5A">
        <w:t>POLICY 2019-04</w:t>
      </w:r>
    </w:p>
    <w:p w14:paraId="77BD29F6" w14:textId="77777777" w:rsidR="00FE31D5" w:rsidRPr="00741F5A" w:rsidRDefault="00FE31D5" w:rsidP="00FE31D5">
      <w:pPr>
        <w:jc w:val="center"/>
      </w:pPr>
    </w:p>
    <w:p w14:paraId="2EFFC651" w14:textId="77777777" w:rsidR="00FE31D5" w:rsidRPr="00741F5A" w:rsidRDefault="00FE31D5" w:rsidP="00FE31D5">
      <w:pPr>
        <w:jc w:val="center"/>
      </w:pPr>
      <w:r w:rsidRPr="00741F5A">
        <w:t>Adopted July 17, 2019</w:t>
      </w:r>
    </w:p>
    <w:p w14:paraId="2567E652" w14:textId="7D129776" w:rsidR="00FE31D5" w:rsidRPr="00741F5A" w:rsidRDefault="00F102F0" w:rsidP="00FE31D5">
      <w:pPr>
        <w:jc w:val="center"/>
      </w:pPr>
      <w:r w:rsidRPr="00741F5A">
        <w:t>Revised</w:t>
      </w:r>
      <w:r w:rsidR="00A643ED" w:rsidRPr="00741F5A">
        <w:t xml:space="preserve"> </w:t>
      </w:r>
      <w:r w:rsidR="007F2A0A">
        <w:t>June 12</w:t>
      </w:r>
      <w:r w:rsidR="00065B80" w:rsidRPr="00741F5A">
        <w:t>, 2025</w:t>
      </w:r>
    </w:p>
    <w:p w14:paraId="1DFBA9EA" w14:textId="77777777" w:rsidR="00FE31D5" w:rsidRPr="00741F5A" w:rsidRDefault="00FE31D5" w:rsidP="00FE31D5">
      <w:pPr>
        <w:jc w:val="center"/>
      </w:pPr>
    </w:p>
    <w:p w14:paraId="5AB22C7B" w14:textId="77777777" w:rsidR="00FE31D5" w:rsidRPr="00741F5A" w:rsidRDefault="00FE31D5" w:rsidP="00FE31D5">
      <w:pPr>
        <w:jc w:val="center"/>
      </w:pPr>
      <w:r w:rsidRPr="00741F5A">
        <w:t>POLICY RELATING TO MALPRACTICE</w:t>
      </w:r>
    </w:p>
    <w:p w14:paraId="0061468D" w14:textId="77777777" w:rsidR="00FE31D5" w:rsidRPr="00741F5A" w:rsidRDefault="00FE31D5" w:rsidP="00FE31D5">
      <w:pPr>
        <w:jc w:val="center"/>
      </w:pPr>
    </w:p>
    <w:p w14:paraId="550FE41F" w14:textId="77777777" w:rsidR="00347015" w:rsidRPr="00741F5A" w:rsidRDefault="00347015" w:rsidP="00FE31D5">
      <w:pPr>
        <w:jc w:val="center"/>
      </w:pPr>
    </w:p>
    <w:p w14:paraId="1E620650" w14:textId="3E8C956B" w:rsidR="001252E8" w:rsidRPr="00741F5A" w:rsidRDefault="00347015" w:rsidP="001252E8">
      <w:r w:rsidRPr="00741F5A">
        <w:t xml:space="preserve">The Board of Registration in Medicine (“Board”) receives information on malpractice claims and settlements pursuant to M.G.L. c. 112, §§ 5C and 5E, and M.G.L. c. 231, § 60B, as well as through self-reports by physicians on applications for licensure and license renewal.  </w:t>
      </w:r>
    </w:p>
    <w:p w14:paraId="6787FB78" w14:textId="77777777" w:rsidR="001252E8" w:rsidRPr="00741F5A" w:rsidRDefault="001252E8" w:rsidP="001252E8"/>
    <w:p w14:paraId="00D43F93" w14:textId="18E667B1" w:rsidR="00347015" w:rsidRPr="00741F5A" w:rsidRDefault="00347015" w:rsidP="001252E8">
      <w:r w:rsidRPr="00741F5A">
        <w:t>The Board directs that the Complaint Committee and Licensing Committee review malpractice claims</w:t>
      </w:r>
      <w:r w:rsidR="001252E8" w:rsidRPr="00741F5A">
        <w:t xml:space="preserve"> in that meet the criteria set forth below.  The Board further directs that </w:t>
      </w:r>
      <w:r w:rsidRPr="00741F5A">
        <w:t xml:space="preserve">such review </w:t>
      </w:r>
      <w:proofErr w:type="gramStart"/>
      <w:r w:rsidRPr="00741F5A">
        <w:t>include</w:t>
      </w:r>
      <w:proofErr w:type="gramEnd"/>
      <w:r w:rsidRPr="00741F5A">
        <w:t xml:space="preserve"> an analysis of the report prepared by the Division of Law and Policy (DLP), inclusive of additional information gathered by DLP in preparation of the analysis.</w:t>
      </w:r>
    </w:p>
    <w:p w14:paraId="305EAED3" w14:textId="77777777" w:rsidR="001252E8" w:rsidRPr="00741F5A" w:rsidRDefault="001252E8" w:rsidP="001252E8"/>
    <w:p w14:paraId="6B00F304" w14:textId="77938215" w:rsidR="00BC3364" w:rsidRPr="00741F5A" w:rsidRDefault="001252E8" w:rsidP="0034701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>The claim results in a payment</w:t>
      </w:r>
      <w:r w:rsidR="00741F5A" w:rsidRPr="00741F5A">
        <w:rPr>
          <w:rFonts w:ascii="Times New Roman" w:hAnsi="Times New Roman" w:cs="Times New Roman"/>
          <w:strike/>
        </w:rPr>
        <w:t xml:space="preserve"> </w:t>
      </w:r>
      <w:r w:rsidR="0034198B" w:rsidRPr="00741F5A">
        <w:rPr>
          <w:rFonts w:ascii="Times New Roman" w:hAnsi="Times New Roman" w:cs="Times New Roman"/>
        </w:rPr>
        <w:t>that is</w:t>
      </w:r>
    </w:p>
    <w:p w14:paraId="7BE98669" w14:textId="626D5ED0" w:rsidR="003550CD" w:rsidRPr="00741F5A" w:rsidRDefault="001C25F2" w:rsidP="00BC336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>t</w:t>
      </w:r>
      <w:r w:rsidR="0034198B" w:rsidRPr="00741F5A">
        <w:rPr>
          <w:rFonts w:ascii="Times New Roman" w:hAnsi="Times New Roman" w:cs="Times New Roman"/>
        </w:rPr>
        <w:t xml:space="preserve">he </w:t>
      </w:r>
      <w:r w:rsidR="001252E8" w:rsidRPr="00741F5A">
        <w:rPr>
          <w:rFonts w:ascii="Times New Roman" w:hAnsi="Times New Roman" w:cs="Times New Roman"/>
        </w:rPr>
        <w:t>result of a settlement or a judgment</w:t>
      </w:r>
      <w:r w:rsidR="003550CD" w:rsidRPr="00741F5A">
        <w:rPr>
          <w:rFonts w:ascii="Times New Roman" w:hAnsi="Times New Roman" w:cs="Times New Roman"/>
        </w:rPr>
        <w:t xml:space="preserve"> of the claim, except </w:t>
      </w:r>
      <w:r w:rsidR="00CB584F" w:rsidRPr="00741F5A">
        <w:rPr>
          <w:rFonts w:ascii="Times New Roman" w:hAnsi="Times New Roman" w:cs="Times New Roman"/>
        </w:rPr>
        <w:t>for</w:t>
      </w:r>
      <w:r w:rsidR="003550CD" w:rsidRPr="00741F5A">
        <w:rPr>
          <w:rFonts w:ascii="Times New Roman" w:hAnsi="Times New Roman" w:cs="Times New Roman"/>
        </w:rPr>
        <w:t xml:space="preserve"> a payment pursuant to a “high-low”</w:t>
      </w:r>
      <w:r w:rsidR="00CB584F" w:rsidRPr="00741F5A">
        <w:rPr>
          <w:rFonts w:ascii="Times New Roman" w:hAnsi="Times New Roman" w:cs="Times New Roman"/>
        </w:rPr>
        <w:t xml:space="preserve"> </w:t>
      </w:r>
      <w:r w:rsidR="00633D9A" w:rsidRPr="00741F5A">
        <w:rPr>
          <w:rFonts w:ascii="Times New Roman" w:hAnsi="Times New Roman" w:cs="Times New Roman"/>
        </w:rPr>
        <w:t>agreement</w:t>
      </w:r>
      <w:r w:rsidR="0009625A" w:rsidRPr="00741F5A">
        <w:rPr>
          <w:rStyle w:val="FootnoteReference"/>
          <w:rFonts w:ascii="Times New Roman" w:hAnsi="Times New Roman" w:cs="Times New Roman"/>
        </w:rPr>
        <w:footnoteReference w:id="1"/>
      </w:r>
      <w:r w:rsidR="00CB584F" w:rsidRPr="00741F5A">
        <w:rPr>
          <w:rFonts w:ascii="Times New Roman" w:hAnsi="Times New Roman" w:cs="Times New Roman"/>
        </w:rPr>
        <w:t xml:space="preserve"> following a judgment </w:t>
      </w:r>
      <w:r w:rsidR="00A55715" w:rsidRPr="00741F5A">
        <w:rPr>
          <w:rFonts w:ascii="Times New Roman" w:hAnsi="Times New Roman" w:cs="Times New Roman"/>
        </w:rPr>
        <w:t xml:space="preserve">in the civil proceeding </w:t>
      </w:r>
      <w:r w:rsidR="006348A2" w:rsidRPr="00741F5A">
        <w:rPr>
          <w:rFonts w:ascii="Times New Roman" w:hAnsi="Times New Roman" w:cs="Times New Roman"/>
        </w:rPr>
        <w:t xml:space="preserve">in which the jury did </w:t>
      </w:r>
      <w:r w:rsidR="007615B5" w:rsidRPr="00741F5A">
        <w:rPr>
          <w:rFonts w:ascii="Times New Roman" w:hAnsi="Times New Roman" w:cs="Times New Roman"/>
        </w:rPr>
        <w:t>not find physician malpractice</w:t>
      </w:r>
      <w:r w:rsidRPr="00741F5A">
        <w:rPr>
          <w:rFonts w:ascii="Times New Roman" w:hAnsi="Times New Roman" w:cs="Times New Roman"/>
        </w:rPr>
        <w:t>; and</w:t>
      </w:r>
    </w:p>
    <w:p w14:paraId="699794BC" w14:textId="08D559FA" w:rsidR="00347015" w:rsidRPr="00741F5A" w:rsidRDefault="001252E8" w:rsidP="00BC336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 xml:space="preserve"> </w:t>
      </w:r>
      <w:r w:rsidRPr="00741F5A">
        <w:rPr>
          <w:rFonts w:ascii="Times New Roman" w:hAnsi="Times New Roman" w:cs="Times New Roman"/>
          <w:strike/>
        </w:rPr>
        <w:t xml:space="preserve">that is </w:t>
      </w:r>
      <w:r w:rsidRPr="00741F5A">
        <w:rPr>
          <w:rFonts w:ascii="Times New Roman" w:hAnsi="Times New Roman" w:cs="Times New Roman"/>
        </w:rPr>
        <w:t>made by the physician, on behalf of the physician, or by the United States, or any state, municipality or public employer based on care provided or supervised by the physician; and</w:t>
      </w:r>
    </w:p>
    <w:p w14:paraId="3DE7D3A4" w14:textId="77777777" w:rsidR="001252E8" w:rsidRPr="00741F5A" w:rsidRDefault="001252E8" w:rsidP="00F102F0">
      <w:pPr>
        <w:pStyle w:val="ListParagraph"/>
        <w:jc w:val="both"/>
        <w:rPr>
          <w:rFonts w:ascii="Times New Roman" w:hAnsi="Times New Roman" w:cs="Times New Roman"/>
        </w:rPr>
      </w:pPr>
    </w:p>
    <w:p w14:paraId="4948BCFB" w14:textId="4DAC165F" w:rsidR="001252E8" w:rsidRPr="00741F5A" w:rsidRDefault="00146F87" w:rsidP="0034701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>At least one</w:t>
      </w:r>
      <w:r w:rsidR="001252E8" w:rsidRPr="00741F5A">
        <w:rPr>
          <w:rFonts w:ascii="Times New Roman" w:hAnsi="Times New Roman" w:cs="Times New Roman"/>
        </w:rPr>
        <w:t xml:space="preserve"> of the following:</w:t>
      </w:r>
    </w:p>
    <w:p w14:paraId="61359921" w14:textId="78EA1DB8" w:rsidR="001252E8" w:rsidRPr="00741F5A" w:rsidRDefault="001252E8" w:rsidP="001252E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 xml:space="preserve">The physician has an open, docketed complaint at the time that the Board receives the report of the malpractice claim </w:t>
      </w:r>
      <w:proofErr w:type="gramStart"/>
      <w:r w:rsidRPr="00741F5A">
        <w:rPr>
          <w:rFonts w:ascii="Times New Roman" w:hAnsi="Times New Roman" w:cs="Times New Roman"/>
        </w:rPr>
        <w:t>payment;</w:t>
      </w:r>
      <w:proofErr w:type="gramEnd"/>
    </w:p>
    <w:p w14:paraId="005291C7" w14:textId="157DB32C" w:rsidR="001252E8" w:rsidRPr="00741F5A" w:rsidRDefault="001252E8" w:rsidP="001252E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 xml:space="preserve">The </w:t>
      </w:r>
      <w:r w:rsidR="00F102F0" w:rsidRPr="00741F5A">
        <w:rPr>
          <w:rFonts w:ascii="Times New Roman" w:hAnsi="Times New Roman" w:cs="Times New Roman"/>
        </w:rPr>
        <w:t xml:space="preserve">amount of the payment attributable to the physician is $1,000,000, or </w:t>
      </w:r>
      <w:proofErr w:type="gramStart"/>
      <w:r w:rsidR="00F102F0" w:rsidRPr="00741F5A">
        <w:rPr>
          <w:rFonts w:ascii="Times New Roman" w:hAnsi="Times New Roman" w:cs="Times New Roman"/>
        </w:rPr>
        <w:t>more;</w:t>
      </w:r>
      <w:proofErr w:type="gramEnd"/>
    </w:p>
    <w:p w14:paraId="414A4332" w14:textId="6EFF01DF" w:rsidR="00F102F0" w:rsidRPr="00741F5A" w:rsidRDefault="00F102F0" w:rsidP="00F102F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1F5A">
        <w:rPr>
          <w:rFonts w:ascii="Times New Roman" w:hAnsi="Times New Roman" w:cs="Times New Roman"/>
        </w:rPr>
        <w:t>There are three or more paid claims attributable to the physician.</w:t>
      </w:r>
    </w:p>
    <w:p w14:paraId="1237B4CB" w14:textId="71D3A9B6" w:rsidR="00F102F0" w:rsidRPr="00741F5A" w:rsidRDefault="00F102F0" w:rsidP="00347015">
      <w:pPr>
        <w:pStyle w:val="BodyText2"/>
        <w:jc w:val="both"/>
      </w:pPr>
      <w:r w:rsidRPr="00741F5A">
        <w:t xml:space="preserve">The Division of Enforcement (DOE) may bring information concerning malpractice claims and payments that do not meet </w:t>
      </w:r>
      <w:proofErr w:type="gramStart"/>
      <w:r w:rsidRPr="00741F5A">
        <w:t>this criteria</w:t>
      </w:r>
      <w:proofErr w:type="gramEnd"/>
      <w:r w:rsidRPr="00741F5A">
        <w:t xml:space="preserve"> to the Complaint Committee for review as may be relevant to pending complaints and investigations.</w:t>
      </w:r>
    </w:p>
    <w:p w14:paraId="5AC66AF5" w14:textId="77777777" w:rsidR="00C877C8" w:rsidRPr="00741F5A" w:rsidRDefault="00C877C8" w:rsidP="00347015">
      <w:pPr>
        <w:pStyle w:val="BodyText2"/>
        <w:jc w:val="both"/>
      </w:pPr>
    </w:p>
    <w:sectPr w:rsidR="00C877C8" w:rsidRPr="00741F5A" w:rsidSect="00FE3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864C" w14:textId="77777777" w:rsidR="0005566F" w:rsidRDefault="0005566F" w:rsidP="001252E8">
      <w:r>
        <w:separator/>
      </w:r>
    </w:p>
  </w:endnote>
  <w:endnote w:type="continuationSeparator" w:id="0">
    <w:p w14:paraId="69A71FB7" w14:textId="77777777" w:rsidR="0005566F" w:rsidRDefault="0005566F" w:rsidP="0012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48FE" w14:textId="77777777" w:rsidR="0005566F" w:rsidRDefault="0005566F" w:rsidP="001252E8">
      <w:r>
        <w:separator/>
      </w:r>
    </w:p>
  </w:footnote>
  <w:footnote w:type="continuationSeparator" w:id="0">
    <w:p w14:paraId="5867C4D1" w14:textId="77777777" w:rsidR="0005566F" w:rsidRDefault="0005566F" w:rsidP="001252E8">
      <w:r>
        <w:continuationSeparator/>
      </w:r>
    </w:p>
  </w:footnote>
  <w:footnote w:id="1">
    <w:p w14:paraId="023D7284" w14:textId="40CCB457" w:rsidR="0009625A" w:rsidRPr="00741F5A" w:rsidRDefault="0009625A" w:rsidP="0045262C">
      <w:pPr>
        <w:pStyle w:val="FootnoteText"/>
      </w:pPr>
      <w:r w:rsidRPr="00741F5A">
        <w:rPr>
          <w:rStyle w:val="FootnoteReference"/>
        </w:rPr>
        <w:footnoteRef/>
      </w:r>
      <w:r w:rsidRPr="00741F5A">
        <w:t xml:space="preserve"> </w:t>
      </w:r>
      <w:r w:rsidR="0045262C" w:rsidRPr="00741F5A">
        <w:t xml:space="preserve">A high-low agreement caps a defendant's liability while ensuring that the plaintiff receives a minimum payment amount, regardless of the outcome. </w:t>
      </w:r>
      <w:proofErr w:type="spellStart"/>
      <w:r w:rsidR="0045262C" w:rsidRPr="00741F5A">
        <w:rPr>
          <w:i/>
          <w:iCs/>
        </w:rPr>
        <w:t>Luppold</w:t>
      </w:r>
      <w:proofErr w:type="spellEnd"/>
      <w:r w:rsidR="0045262C" w:rsidRPr="00741F5A">
        <w:rPr>
          <w:i/>
          <w:iCs/>
        </w:rPr>
        <w:t xml:space="preserve"> v. Hanlon</w:t>
      </w:r>
      <w:r w:rsidR="0045262C" w:rsidRPr="00741F5A">
        <w:t>, 495 Mass. 148, 152, 248 N.E.3d 124, 130 (2025).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115"/>
    <w:multiLevelType w:val="hybridMultilevel"/>
    <w:tmpl w:val="F5ECEA7A"/>
    <w:lvl w:ilvl="0" w:tplc="E3CCB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E02FA"/>
    <w:multiLevelType w:val="hybridMultilevel"/>
    <w:tmpl w:val="D8AA9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DDD"/>
    <w:multiLevelType w:val="multilevel"/>
    <w:tmpl w:val="96C4763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47560">
    <w:abstractNumId w:val="0"/>
  </w:num>
  <w:num w:numId="2" w16cid:durableId="295141146">
    <w:abstractNumId w:val="2"/>
  </w:num>
  <w:num w:numId="3" w16cid:durableId="170552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D5"/>
    <w:rsid w:val="00000D7B"/>
    <w:rsid w:val="0005566F"/>
    <w:rsid w:val="0006150E"/>
    <w:rsid w:val="00065B80"/>
    <w:rsid w:val="00081A51"/>
    <w:rsid w:val="0009625A"/>
    <w:rsid w:val="000D4F6A"/>
    <w:rsid w:val="000F4ACD"/>
    <w:rsid w:val="001252E8"/>
    <w:rsid w:val="00146F87"/>
    <w:rsid w:val="001C25F2"/>
    <w:rsid w:val="001D24A1"/>
    <w:rsid w:val="001F630E"/>
    <w:rsid w:val="00240E05"/>
    <w:rsid w:val="0034198B"/>
    <w:rsid w:val="00347015"/>
    <w:rsid w:val="003550CD"/>
    <w:rsid w:val="0045262C"/>
    <w:rsid w:val="00471106"/>
    <w:rsid w:val="00477115"/>
    <w:rsid w:val="00486104"/>
    <w:rsid w:val="004A04E9"/>
    <w:rsid w:val="005A193D"/>
    <w:rsid w:val="00633D9A"/>
    <w:rsid w:val="006348A2"/>
    <w:rsid w:val="00741F5A"/>
    <w:rsid w:val="007615B5"/>
    <w:rsid w:val="00790E6F"/>
    <w:rsid w:val="007B0303"/>
    <w:rsid w:val="007F2A0A"/>
    <w:rsid w:val="00891101"/>
    <w:rsid w:val="008B409E"/>
    <w:rsid w:val="009321B8"/>
    <w:rsid w:val="009B5159"/>
    <w:rsid w:val="00A34195"/>
    <w:rsid w:val="00A554E5"/>
    <w:rsid w:val="00A55715"/>
    <w:rsid w:val="00A643ED"/>
    <w:rsid w:val="00A90CCA"/>
    <w:rsid w:val="00B4668C"/>
    <w:rsid w:val="00BC3364"/>
    <w:rsid w:val="00C13162"/>
    <w:rsid w:val="00C877C8"/>
    <w:rsid w:val="00CB584F"/>
    <w:rsid w:val="00D40A20"/>
    <w:rsid w:val="00F102F0"/>
    <w:rsid w:val="00FA7BA0"/>
    <w:rsid w:val="00FA7FD2"/>
    <w:rsid w:val="00FC7573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A16E"/>
  <w15:chartTrackingRefBased/>
  <w15:docId w15:val="{A8A8E1AA-B5CD-4DE5-A1DC-77E0AE1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D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D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1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1D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1D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1D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1D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1D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1D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1D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1D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1D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1D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3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1D5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3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1D5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FE31D5"/>
    <w:pPr>
      <w:jc w:val="left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FE31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FE31D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347015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52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2E8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25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28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58695914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79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23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35149306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9C2F-A581-46E3-9294-531A47840B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1479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Steven (DPH)</dc:creator>
  <cp:keywords/>
  <dc:description/>
  <cp:lastModifiedBy>Berg, Vita (DPH)</cp:lastModifiedBy>
  <cp:revision>3</cp:revision>
  <dcterms:created xsi:type="dcterms:W3CDTF">2025-06-12T20:00:00Z</dcterms:created>
  <dcterms:modified xsi:type="dcterms:W3CDTF">2025-06-12T20:02:00Z</dcterms:modified>
</cp:coreProperties>
</file>