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431F" w14:textId="77777777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</w:p>
    <w:p w14:paraId="69F0C337" w14:textId="3042972E" w:rsidR="0089798E" w:rsidRDefault="0089798E" w:rsidP="0089798E">
      <w:pPr>
        <w:pStyle w:val="BodyText"/>
        <w:ind w:right="-180"/>
        <w:jc w:val="center"/>
        <w:rPr>
          <w:spacing w:val="-8"/>
          <w:sz w:val="24"/>
          <w:szCs w:val="24"/>
        </w:rPr>
      </w:pPr>
      <w:r w:rsidRPr="001C2E9D">
        <w:rPr>
          <w:spacing w:val="-8"/>
          <w:sz w:val="24"/>
          <w:szCs w:val="24"/>
        </w:rPr>
        <w:t>COMMONWEALTH</w:t>
      </w:r>
      <w:r w:rsidRPr="001C2E9D">
        <w:rPr>
          <w:spacing w:val="-22"/>
          <w:sz w:val="24"/>
          <w:szCs w:val="24"/>
        </w:rPr>
        <w:t xml:space="preserve"> </w:t>
      </w:r>
      <w:r w:rsidRPr="001C2E9D">
        <w:rPr>
          <w:spacing w:val="-8"/>
          <w:sz w:val="24"/>
          <w:szCs w:val="24"/>
        </w:rPr>
        <w:t>OF</w:t>
      </w:r>
      <w:r w:rsidRPr="001C2E9D">
        <w:rPr>
          <w:spacing w:val="-19"/>
          <w:sz w:val="24"/>
          <w:szCs w:val="24"/>
        </w:rPr>
        <w:t xml:space="preserve"> </w:t>
      </w:r>
      <w:r w:rsidRPr="001C2E9D">
        <w:rPr>
          <w:spacing w:val="-8"/>
          <w:sz w:val="24"/>
          <w:szCs w:val="24"/>
        </w:rPr>
        <w:t xml:space="preserve">MASSACHUSETTS </w:t>
      </w:r>
    </w:p>
    <w:p w14:paraId="547E15B5" w14:textId="77777777" w:rsidR="0089798E" w:rsidRDefault="0089798E" w:rsidP="0089798E">
      <w:pPr>
        <w:pStyle w:val="BodyText"/>
        <w:ind w:right="-180"/>
        <w:jc w:val="center"/>
        <w:rPr>
          <w:spacing w:val="-6"/>
          <w:sz w:val="24"/>
          <w:szCs w:val="24"/>
        </w:rPr>
      </w:pPr>
      <w:r w:rsidRPr="001C2E9D">
        <w:rPr>
          <w:spacing w:val="-6"/>
          <w:sz w:val="24"/>
          <w:szCs w:val="24"/>
        </w:rPr>
        <w:t>BOARD</w:t>
      </w:r>
      <w:r w:rsidRPr="001C2E9D">
        <w:rPr>
          <w:spacing w:val="-23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OF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REGISTRATION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IN</w:t>
      </w:r>
      <w:r w:rsidRPr="001C2E9D">
        <w:rPr>
          <w:spacing w:val="-20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MEDICINE</w:t>
      </w:r>
    </w:p>
    <w:p w14:paraId="7F74C702" w14:textId="77777777" w:rsidR="0089798E" w:rsidRDefault="0089798E" w:rsidP="0089798E">
      <w:pPr>
        <w:pStyle w:val="BodyText"/>
        <w:ind w:right="-180"/>
        <w:jc w:val="center"/>
        <w:rPr>
          <w:sz w:val="24"/>
          <w:szCs w:val="24"/>
        </w:rPr>
      </w:pPr>
    </w:p>
    <w:p w14:paraId="702309A9" w14:textId="77777777" w:rsidR="0089798E" w:rsidRPr="001C2E9D" w:rsidRDefault="0089798E" w:rsidP="0089798E">
      <w:pPr>
        <w:pStyle w:val="BodyText"/>
        <w:ind w:right="-180"/>
        <w:jc w:val="center"/>
        <w:rPr>
          <w:sz w:val="24"/>
          <w:szCs w:val="24"/>
        </w:rPr>
      </w:pPr>
    </w:p>
    <w:p w14:paraId="3E038EF0" w14:textId="05AE99B4" w:rsidR="0089798E" w:rsidRPr="001C2E9D" w:rsidRDefault="0089798E" w:rsidP="0089798E">
      <w:pPr>
        <w:ind w:right="-180"/>
        <w:jc w:val="center"/>
        <w:rPr>
          <w:sz w:val="24"/>
          <w:szCs w:val="24"/>
        </w:rPr>
      </w:pPr>
      <w:r w:rsidRPr="001C2E9D">
        <w:rPr>
          <w:spacing w:val="-8"/>
          <w:sz w:val="24"/>
          <w:szCs w:val="24"/>
        </w:rPr>
        <w:t>POLICY</w:t>
      </w:r>
      <w:r w:rsidRPr="001C2E9D">
        <w:rPr>
          <w:spacing w:val="-20"/>
          <w:sz w:val="24"/>
          <w:szCs w:val="24"/>
        </w:rPr>
        <w:t xml:space="preserve"> </w:t>
      </w:r>
      <w:r w:rsidRPr="001C2E9D">
        <w:rPr>
          <w:spacing w:val="-8"/>
          <w:sz w:val="24"/>
          <w:szCs w:val="24"/>
        </w:rPr>
        <w:t>202</w:t>
      </w:r>
      <w:r w:rsidR="004213E5" w:rsidRPr="004213E5">
        <w:rPr>
          <w:spacing w:val="-8"/>
          <w:sz w:val="24"/>
          <w:szCs w:val="24"/>
        </w:rPr>
        <w:t xml:space="preserve">4-01 </w:t>
      </w:r>
    </w:p>
    <w:p w14:paraId="274B62BB" w14:textId="77777777" w:rsidR="0089798E" w:rsidRPr="001C2E9D" w:rsidRDefault="0089798E" w:rsidP="0089798E">
      <w:pPr>
        <w:pStyle w:val="BodyText"/>
        <w:ind w:right="-180"/>
        <w:jc w:val="center"/>
        <w:rPr>
          <w:sz w:val="24"/>
          <w:szCs w:val="24"/>
        </w:rPr>
      </w:pPr>
    </w:p>
    <w:p w14:paraId="5073F3DB" w14:textId="77777777" w:rsidR="00195C86" w:rsidRDefault="004213E5" w:rsidP="004213E5">
      <w:pPr>
        <w:pStyle w:val="BodyText"/>
        <w:ind w:right="-180"/>
        <w:jc w:val="center"/>
        <w:rPr>
          <w:caps/>
          <w:spacing w:val="-8"/>
          <w:sz w:val="24"/>
          <w:szCs w:val="24"/>
        </w:rPr>
      </w:pPr>
      <w:r w:rsidRPr="004213E5">
        <w:rPr>
          <w:caps/>
          <w:spacing w:val="-8"/>
          <w:sz w:val="24"/>
          <w:szCs w:val="24"/>
        </w:rPr>
        <w:t xml:space="preserve">Modification of Requirements for Temporary Appointments </w:t>
      </w:r>
      <w:r w:rsidR="00195C86">
        <w:rPr>
          <w:caps/>
          <w:spacing w:val="-8"/>
          <w:sz w:val="24"/>
          <w:szCs w:val="24"/>
        </w:rPr>
        <w:t>OR PRIVILEGES</w:t>
      </w:r>
    </w:p>
    <w:p w14:paraId="1E9BF4CF" w14:textId="695A4A28" w:rsidR="0089798E" w:rsidRPr="001C2E9D" w:rsidRDefault="004213E5" w:rsidP="004213E5">
      <w:pPr>
        <w:pStyle w:val="BodyText"/>
        <w:ind w:right="-180"/>
        <w:jc w:val="center"/>
        <w:rPr>
          <w:sz w:val="24"/>
          <w:szCs w:val="24"/>
        </w:rPr>
      </w:pPr>
      <w:r w:rsidRPr="004213E5">
        <w:rPr>
          <w:caps/>
          <w:spacing w:val="-8"/>
          <w:sz w:val="24"/>
          <w:szCs w:val="24"/>
        </w:rPr>
        <w:t xml:space="preserve">in </w:t>
      </w:r>
      <w:r w:rsidR="003D22C0">
        <w:rPr>
          <w:caps/>
          <w:spacing w:val="-8"/>
          <w:sz w:val="24"/>
          <w:szCs w:val="24"/>
        </w:rPr>
        <w:t>EXIGENT</w:t>
      </w:r>
      <w:r w:rsidRPr="004213E5">
        <w:rPr>
          <w:caps/>
          <w:spacing w:val="-8"/>
          <w:sz w:val="24"/>
          <w:szCs w:val="24"/>
        </w:rPr>
        <w:t xml:space="preserve"> Circumstances</w:t>
      </w:r>
      <w:r>
        <w:rPr>
          <w:spacing w:val="-8"/>
          <w:sz w:val="24"/>
          <w:szCs w:val="24"/>
          <w:u w:val="single"/>
        </w:rPr>
        <w:t xml:space="preserve"> </w:t>
      </w:r>
    </w:p>
    <w:p w14:paraId="32BABECF" w14:textId="77777777" w:rsidR="0089798E" w:rsidRPr="001C2E9D" w:rsidRDefault="0089798E" w:rsidP="0089798E">
      <w:pPr>
        <w:pStyle w:val="BodyText"/>
        <w:ind w:right="-180"/>
        <w:jc w:val="center"/>
        <w:rPr>
          <w:sz w:val="24"/>
          <w:szCs w:val="24"/>
        </w:rPr>
      </w:pPr>
    </w:p>
    <w:p w14:paraId="4136D8C0" w14:textId="292272EC" w:rsidR="0089798E" w:rsidRPr="00DB6645" w:rsidRDefault="00195C86" w:rsidP="0089798E">
      <w:pPr>
        <w:pStyle w:val="BodyText"/>
        <w:ind w:right="-180"/>
        <w:jc w:val="center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January 25</w:t>
      </w:r>
      <w:r w:rsidR="0089798E" w:rsidRPr="00733C04">
        <w:rPr>
          <w:sz w:val="24"/>
          <w:szCs w:val="24"/>
        </w:rPr>
        <w:t>, 202</w:t>
      </w:r>
      <w:r>
        <w:rPr>
          <w:sz w:val="24"/>
          <w:szCs w:val="24"/>
        </w:rPr>
        <w:t>4</w:t>
      </w:r>
      <w:r w:rsidR="00A62329">
        <w:rPr>
          <w:sz w:val="24"/>
          <w:szCs w:val="24"/>
        </w:rPr>
        <w:t xml:space="preserve"> (amended </w:t>
      </w:r>
      <w:r w:rsidR="0068342D">
        <w:rPr>
          <w:color w:val="000000" w:themeColor="text1"/>
          <w:sz w:val="24"/>
          <w:szCs w:val="24"/>
        </w:rPr>
        <w:t>May 29</w:t>
      </w:r>
      <w:r w:rsidR="006D7489" w:rsidRPr="00DB6645">
        <w:rPr>
          <w:color w:val="000000" w:themeColor="text1"/>
          <w:sz w:val="24"/>
          <w:szCs w:val="24"/>
        </w:rPr>
        <w:t>, 2025</w:t>
      </w:r>
      <w:r w:rsidR="00A62329" w:rsidRPr="00DB6645">
        <w:rPr>
          <w:color w:val="000000" w:themeColor="text1"/>
          <w:sz w:val="24"/>
          <w:szCs w:val="24"/>
        </w:rPr>
        <w:t>)</w:t>
      </w:r>
    </w:p>
    <w:p w14:paraId="01226109" w14:textId="77777777" w:rsidR="007F2DA2" w:rsidRPr="00DB6645" w:rsidRDefault="007F2DA2" w:rsidP="0089798E">
      <w:pPr>
        <w:pStyle w:val="BodyText"/>
        <w:ind w:right="-180"/>
        <w:jc w:val="center"/>
        <w:rPr>
          <w:color w:val="000000" w:themeColor="text1"/>
          <w:sz w:val="24"/>
          <w:szCs w:val="24"/>
        </w:rPr>
      </w:pPr>
    </w:p>
    <w:p w14:paraId="5FD93EE8" w14:textId="5E8BFDD3" w:rsidR="00D33BFB" w:rsidRDefault="00195C86" w:rsidP="0089798E">
      <w:pPr>
        <w:pStyle w:val="BodyText"/>
        <w:ind w:right="-180"/>
        <w:rPr>
          <w:sz w:val="24"/>
          <w:szCs w:val="24"/>
        </w:rPr>
      </w:pPr>
      <w:r w:rsidRPr="00DB6645">
        <w:rPr>
          <w:color w:val="000000" w:themeColor="text1"/>
          <w:sz w:val="24"/>
          <w:szCs w:val="24"/>
        </w:rPr>
        <w:tab/>
      </w:r>
      <w:r w:rsidR="007F2DA2" w:rsidRPr="00DB6645">
        <w:rPr>
          <w:color w:val="000000" w:themeColor="text1"/>
          <w:sz w:val="24"/>
          <w:szCs w:val="24"/>
        </w:rPr>
        <w:t xml:space="preserve">The Board of Registration in Medicine </w:t>
      </w:r>
      <w:r w:rsidR="000B1919" w:rsidRPr="00DB6645">
        <w:rPr>
          <w:color w:val="000000" w:themeColor="text1"/>
          <w:sz w:val="24"/>
          <w:szCs w:val="24"/>
        </w:rPr>
        <w:t>requires</w:t>
      </w:r>
      <w:r w:rsidR="00D945DA" w:rsidRPr="00DB6645">
        <w:rPr>
          <w:color w:val="000000" w:themeColor="text1"/>
          <w:sz w:val="24"/>
          <w:szCs w:val="24"/>
        </w:rPr>
        <w:t xml:space="preserve"> </w:t>
      </w:r>
      <w:r w:rsidR="00EF42B0" w:rsidRPr="00DB6645">
        <w:rPr>
          <w:color w:val="000000" w:themeColor="text1"/>
          <w:sz w:val="24"/>
          <w:szCs w:val="24"/>
        </w:rPr>
        <w:t>that</w:t>
      </w:r>
      <w:r w:rsidR="00EF42B0">
        <w:rPr>
          <w:sz w:val="24"/>
          <w:szCs w:val="24"/>
        </w:rPr>
        <w:t xml:space="preserve">, as part of their </w:t>
      </w:r>
      <w:r w:rsidR="005D6C2C">
        <w:rPr>
          <w:sz w:val="24"/>
          <w:szCs w:val="24"/>
        </w:rPr>
        <w:t xml:space="preserve">Qualified Patient Care Assessment Program, </w:t>
      </w:r>
      <w:r w:rsidR="000B1919">
        <w:rPr>
          <w:sz w:val="24"/>
          <w:szCs w:val="24"/>
        </w:rPr>
        <w:t xml:space="preserve">health care facilities </w:t>
      </w:r>
      <w:r w:rsidR="000449EA">
        <w:rPr>
          <w:sz w:val="24"/>
          <w:szCs w:val="24"/>
        </w:rPr>
        <w:t xml:space="preserve">complete credentialing requirements set forth at </w:t>
      </w:r>
      <w:r w:rsidR="00A04AFB">
        <w:rPr>
          <w:sz w:val="24"/>
          <w:szCs w:val="24"/>
        </w:rPr>
        <w:t>243 CMR 3.05 prior to hiring, appointing</w:t>
      </w:r>
      <w:r w:rsidR="00394311">
        <w:rPr>
          <w:sz w:val="24"/>
          <w:szCs w:val="24"/>
        </w:rPr>
        <w:t>, granting privileges to,</w:t>
      </w:r>
      <w:r w:rsidR="00A04AFB">
        <w:rPr>
          <w:sz w:val="24"/>
          <w:szCs w:val="24"/>
        </w:rPr>
        <w:t xml:space="preserve"> or associating with </w:t>
      </w:r>
      <w:r w:rsidR="003E3443">
        <w:rPr>
          <w:sz w:val="24"/>
          <w:szCs w:val="24"/>
        </w:rPr>
        <w:t>a licensed physician</w:t>
      </w:r>
      <w:r w:rsidR="00770C0A">
        <w:rPr>
          <w:sz w:val="24"/>
          <w:szCs w:val="24"/>
        </w:rPr>
        <w:t xml:space="preserve">.  The Board’s regulations at 243 CMR </w:t>
      </w:r>
      <w:r w:rsidR="0012386A">
        <w:rPr>
          <w:sz w:val="24"/>
          <w:szCs w:val="24"/>
        </w:rPr>
        <w:t>3.05(1)</w:t>
      </w:r>
      <w:r w:rsidR="002E092F">
        <w:rPr>
          <w:sz w:val="24"/>
          <w:szCs w:val="24"/>
        </w:rPr>
        <w:t>(a) and (b)</w:t>
      </w:r>
      <w:r w:rsidR="0012386A">
        <w:rPr>
          <w:sz w:val="24"/>
          <w:szCs w:val="24"/>
        </w:rPr>
        <w:t xml:space="preserve"> </w:t>
      </w:r>
      <w:r w:rsidR="00B04D15">
        <w:rPr>
          <w:sz w:val="24"/>
          <w:szCs w:val="24"/>
        </w:rPr>
        <w:t>build in flexibility</w:t>
      </w:r>
      <w:r w:rsidR="00BD4E4C">
        <w:rPr>
          <w:sz w:val="24"/>
          <w:szCs w:val="24"/>
        </w:rPr>
        <w:t xml:space="preserve"> in the credentialing requirements for </w:t>
      </w:r>
      <w:r w:rsidR="00B04D15">
        <w:rPr>
          <w:sz w:val="24"/>
          <w:szCs w:val="24"/>
        </w:rPr>
        <w:t xml:space="preserve">temporary appointments or privileges </w:t>
      </w:r>
      <w:r w:rsidR="003E6470">
        <w:rPr>
          <w:sz w:val="24"/>
          <w:szCs w:val="24"/>
        </w:rPr>
        <w:t xml:space="preserve">that are applicable under general circumstances.  </w:t>
      </w:r>
      <w:r w:rsidR="00B91BCE">
        <w:rPr>
          <w:sz w:val="24"/>
          <w:szCs w:val="24"/>
        </w:rPr>
        <w:t>The purpose of this policy is to create greater flexibility for temporary appointments</w:t>
      </w:r>
      <w:r w:rsidR="003D22C0">
        <w:rPr>
          <w:sz w:val="24"/>
          <w:szCs w:val="24"/>
        </w:rPr>
        <w:t xml:space="preserve"> in exigent circumstances </w:t>
      </w:r>
      <w:r w:rsidR="00C81074">
        <w:rPr>
          <w:sz w:val="24"/>
          <w:szCs w:val="24"/>
        </w:rPr>
        <w:t xml:space="preserve">that have the capacity to cause significant </w:t>
      </w:r>
      <w:r w:rsidR="00EE19EB">
        <w:rPr>
          <w:sz w:val="24"/>
          <w:szCs w:val="24"/>
        </w:rPr>
        <w:t xml:space="preserve">disruptions </w:t>
      </w:r>
      <w:r w:rsidR="008D46D3">
        <w:rPr>
          <w:sz w:val="24"/>
          <w:szCs w:val="24"/>
        </w:rPr>
        <w:t>in the delivery of health care in Massachusetts</w:t>
      </w:r>
      <w:r w:rsidR="008342B1">
        <w:rPr>
          <w:sz w:val="24"/>
          <w:szCs w:val="24"/>
        </w:rPr>
        <w:t xml:space="preserve">. </w:t>
      </w:r>
      <w:r w:rsidR="006117F4">
        <w:rPr>
          <w:sz w:val="24"/>
          <w:szCs w:val="24"/>
        </w:rPr>
        <w:t>Towards this end</w:t>
      </w:r>
      <w:r w:rsidR="00D33BFB">
        <w:rPr>
          <w:sz w:val="24"/>
          <w:szCs w:val="24"/>
        </w:rPr>
        <w:t xml:space="preserve">, the Board authorizes the Executive Director to extend time limits </w:t>
      </w:r>
      <w:r w:rsidR="00D57EA9">
        <w:rPr>
          <w:sz w:val="24"/>
          <w:szCs w:val="24"/>
        </w:rPr>
        <w:t>and waive components of the requirements at 243 CMR 3.05(1)(a) and (b)</w:t>
      </w:r>
      <w:r w:rsidR="00036602">
        <w:rPr>
          <w:sz w:val="24"/>
          <w:szCs w:val="24"/>
        </w:rPr>
        <w:t xml:space="preserve">, </w:t>
      </w:r>
      <w:r w:rsidR="00826823">
        <w:rPr>
          <w:sz w:val="24"/>
          <w:szCs w:val="24"/>
        </w:rPr>
        <w:t>upon the recommendation of the Commissioner of the Department of Public Health</w:t>
      </w:r>
      <w:r w:rsidR="006117F4">
        <w:rPr>
          <w:sz w:val="24"/>
          <w:szCs w:val="24"/>
        </w:rPr>
        <w:t xml:space="preserve"> that such extensions and waivers are </w:t>
      </w:r>
      <w:r w:rsidR="008342B1">
        <w:rPr>
          <w:sz w:val="24"/>
          <w:szCs w:val="24"/>
        </w:rPr>
        <w:t>necessary to maintain patient continuity of care and minimize disruptions in the delivery of healthcare</w:t>
      </w:r>
      <w:r w:rsidR="006117F4">
        <w:rPr>
          <w:sz w:val="24"/>
          <w:szCs w:val="24"/>
        </w:rPr>
        <w:t>.</w:t>
      </w:r>
      <w:r w:rsidR="00826823">
        <w:rPr>
          <w:sz w:val="24"/>
          <w:szCs w:val="24"/>
        </w:rPr>
        <w:t xml:space="preserve"> </w:t>
      </w:r>
    </w:p>
    <w:p w14:paraId="3819733B" w14:textId="77777777" w:rsidR="00C0709A" w:rsidRDefault="00C0709A" w:rsidP="0089798E">
      <w:pPr>
        <w:pStyle w:val="BodyText"/>
        <w:ind w:right="-180"/>
        <w:rPr>
          <w:sz w:val="24"/>
          <w:szCs w:val="24"/>
        </w:rPr>
      </w:pPr>
    </w:p>
    <w:p w14:paraId="42333C51" w14:textId="3815C597" w:rsidR="00074B33" w:rsidRPr="00707020" w:rsidRDefault="00074B33" w:rsidP="00872029">
      <w:pPr>
        <w:pStyle w:val="BodyText"/>
        <w:numPr>
          <w:ilvl w:val="0"/>
          <w:numId w:val="2"/>
        </w:numPr>
        <w:ind w:right="-180"/>
        <w:rPr>
          <w:color w:val="000000" w:themeColor="text1"/>
          <w:sz w:val="24"/>
          <w:szCs w:val="24"/>
        </w:rPr>
      </w:pPr>
      <w:r w:rsidRPr="00074B33">
        <w:rPr>
          <w:sz w:val="24"/>
          <w:szCs w:val="24"/>
        </w:rPr>
        <w:t>U</w:t>
      </w:r>
      <w:r w:rsidR="006C0357" w:rsidRPr="00074B33">
        <w:rPr>
          <w:sz w:val="24"/>
          <w:szCs w:val="24"/>
        </w:rPr>
        <w:t>pon receipt of a</w:t>
      </w:r>
      <w:r w:rsidR="003F48E7">
        <w:rPr>
          <w:sz w:val="24"/>
          <w:szCs w:val="24"/>
        </w:rPr>
        <w:t xml:space="preserve"> written</w:t>
      </w:r>
      <w:r w:rsidR="006C0357" w:rsidRPr="00074B33">
        <w:rPr>
          <w:sz w:val="24"/>
          <w:szCs w:val="24"/>
        </w:rPr>
        <w:t xml:space="preserve"> recommendation from the Commissioner</w:t>
      </w:r>
      <w:r w:rsidR="00C548BC" w:rsidRPr="00074B33">
        <w:rPr>
          <w:sz w:val="24"/>
          <w:szCs w:val="24"/>
        </w:rPr>
        <w:t>, the Executive Director</w:t>
      </w:r>
      <w:r w:rsidRPr="00074B33">
        <w:rPr>
          <w:sz w:val="24"/>
          <w:szCs w:val="24"/>
        </w:rPr>
        <w:t>,</w:t>
      </w:r>
      <w:r w:rsidR="00C548BC" w:rsidRPr="00074B33">
        <w:rPr>
          <w:sz w:val="24"/>
          <w:szCs w:val="24"/>
        </w:rPr>
        <w:t xml:space="preserve"> </w:t>
      </w:r>
      <w:r w:rsidRPr="00074B33">
        <w:rPr>
          <w:sz w:val="24"/>
          <w:szCs w:val="24"/>
        </w:rPr>
        <w:t xml:space="preserve">in consultation with the Board Chair, </w:t>
      </w:r>
      <w:r w:rsidR="00C548BC" w:rsidRPr="00074B33">
        <w:rPr>
          <w:sz w:val="24"/>
          <w:szCs w:val="24"/>
        </w:rPr>
        <w:t xml:space="preserve">may </w:t>
      </w:r>
      <w:r w:rsidR="002A30CC" w:rsidRPr="00074B33">
        <w:rPr>
          <w:sz w:val="24"/>
          <w:szCs w:val="24"/>
        </w:rPr>
        <w:t>make</w:t>
      </w:r>
      <w:r w:rsidR="00490EE1" w:rsidRPr="00074B33">
        <w:rPr>
          <w:sz w:val="24"/>
          <w:szCs w:val="24"/>
        </w:rPr>
        <w:t xml:space="preserve"> modifications</w:t>
      </w:r>
      <w:r w:rsidR="003F48E7">
        <w:rPr>
          <w:sz w:val="24"/>
          <w:szCs w:val="24"/>
        </w:rPr>
        <w:t xml:space="preserve"> </w:t>
      </w:r>
      <w:r w:rsidR="00490EE1" w:rsidRPr="00074B33">
        <w:rPr>
          <w:sz w:val="24"/>
          <w:szCs w:val="24"/>
        </w:rPr>
        <w:t>to the regulatory requirements</w:t>
      </w:r>
      <w:r w:rsidR="003F48E7">
        <w:rPr>
          <w:sz w:val="24"/>
          <w:szCs w:val="24"/>
        </w:rPr>
        <w:t>, as</w:t>
      </w:r>
      <w:r w:rsidR="00490EE1" w:rsidRPr="00074B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set forth </w:t>
      </w:r>
      <w:r w:rsidR="003F48E7">
        <w:rPr>
          <w:sz w:val="24"/>
          <w:szCs w:val="24"/>
        </w:rPr>
        <w:t>in paragraphs (2)</w:t>
      </w:r>
      <w:r w:rsidR="002309D8" w:rsidRPr="00707020">
        <w:rPr>
          <w:color w:val="000000" w:themeColor="text1"/>
          <w:sz w:val="24"/>
          <w:szCs w:val="24"/>
        </w:rPr>
        <w:t>,</w:t>
      </w:r>
      <w:r w:rsidR="003E0320" w:rsidRPr="00707020">
        <w:rPr>
          <w:color w:val="000000" w:themeColor="text1"/>
          <w:sz w:val="24"/>
          <w:szCs w:val="24"/>
        </w:rPr>
        <w:t xml:space="preserve"> </w:t>
      </w:r>
      <w:r w:rsidR="003F48E7" w:rsidRPr="00707020">
        <w:rPr>
          <w:color w:val="000000" w:themeColor="text1"/>
          <w:sz w:val="24"/>
          <w:szCs w:val="24"/>
        </w:rPr>
        <w:t xml:space="preserve">(3) </w:t>
      </w:r>
      <w:r w:rsidR="002309D8" w:rsidRPr="00707020">
        <w:rPr>
          <w:color w:val="000000" w:themeColor="text1"/>
          <w:sz w:val="24"/>
          <w:szCs w:val="24"/>
        </w:rPr>
        <w:t xml:space="preserve">and (4) </w:t>
      </w:r>
      <w:r w:rsidR="003F48E7" w:rsidRPr="00707020">
        <w:rPr>
          <w:color w:val="000000" w:themeColor="text1"/>
          <w:sz w:val="24"/>
          <w:szCs w:val="24"/>
        </w:rPr>
        <w:t xml:space="preserve">of this policy, </w:t>
      </w:r>
      <w:r w:rsidRPr="00707020">
        <w:rPr>
          <w:color w:val="000000" w:themeColor="text1"/>
          <w:sz w:val="24"/>
          <w:szCs w:val="24"/>
        </w:rPr>
        <w:t>that will apply</w:t>
      </w:r>
      <w:r w:rsidR="002A30CC" w:rsidRPr="00707020">
        <w:rPr>
          <w:color w:val="000000" w:themeColor="text1"/>
          <w:sz w:val="24"/>
          <w:szCs w:val="24"/>
        </w:rPr>
        <w:t xml:space="preserve"> to</w:t>
      </w:r>
      <w:r w:rsidR="00872029" w:rsidRPr="00707020">
        <w:rPr>
          <w:color w:val="000000" w:themeColor="text1"/>
          <w:sz w:val="24"/>
          <w:szCs w:val="24"/>
        </w:rPr>
        <w:t>:</w:t>
      </w:r>
    </w:p>
    <w:p w14:paraId="665260E3" w14:textId="2C199007" w:rsidR="00074B33" w:rsidRDefault="002A30CC" w:rsidP="00074B33">
      <w:pPr>
        <w:pStyle w:val="BodyText"/>
        <w:numPr>
          <w:ilvl w:val="1"/>
          <w:numId w:val="2"/>
        </w:numPr>
        <w:ind w:right="-180"/>
        <w:rPr>
          <w:sz w:val="24"/>
          <w:szCs w:val="24"/>
        </w:rPr>
      </w:pPr>
      <w:r w:rsidRPr="00707020">
        <w:rPr>
          <w:color w:val="000000" w:themeColor="text1"/>
          <w:sz w:val="24"/>
          <w:szCs w:val="24"/>
        </w:rPr>
        <w:t>a health care facility</w:t>
      </w:r>
      <w:r w:rsidR="00465AF6" w:rsidRPr="00707020">
        <w:rPr>
          <w:color w:val="000000" w:themeColor="text1"/>
          <w:sz w:val="24"/>
          <w:szCs w:val="24"/>
        </w:rPr>
        <w:t xml:space="preserve"> specified in the recommendation </w:t>
      </w:r>
      <w:r w:rsidR="00074B33" w:rsidRPr="00707020">
        <w:rPr>
          <w:color w:val="000000" w:themeColor="text1"/>
          <w:sz w:val="24"/>
          <w:szCs w:val="24"/>
        </w:rPr>
        <w:t>that will grant</w:t>
      </w:r>
      <w:r w:rsidR="00872029" w:rsidRPr="00707020">
        <w:rPr>
          <w:color w:val="000000" w:themeColor="text1"/>
          <w:sz w:val="24"/>
          <w:szCs w:val="24"/>
        </w:rPr>
        <w:t xml:space="preserve"> temporary appointments </w:t>
      </w:r>
      <w:r w:rsidR="00444946" w:rsidRPr="00707020">
        <w:rPr>
          <w:color w:val="000000" w:themeColor="text1"/>
          <w:sz w:val="24"/>
          <w:szCs w:val="24"/>
        </w:rPr>
        <w:t xml:space="preserve">or privileges to </w:t>
      </w:r>
      <w:r w:rsidR="00AD1065" w:rsidRPr="00707020">
        <w:rPr>
          <w:color w:val="000000" w:themeColor="text1"/>
          <w:sz w:val="24"/>
          <w:szCs w:val="24"/>
        </w:rPr>
        <w:t>physici</w:t>
      </w:r>
      <w:r w:rsidR="00AD1065" w:rsidRPr="00707020">
        <w:rPr>
          <w:sz w:val="24"/>
          <w:szCs w:val="24"/>
        </w:rPr>
        <w:t>ans</w:t>
      </w:r>
      <w:r w:rsidR="00074B33" w:rsidRPr="00707020">
        <w:rPr>
          <w:sz w:val="24"/>
          <w:szCs w:val="24"/>
        </w:rPr>
        <w:t>, o</w:t>
      </w:r>
      <w:r w:rsidR="00074B33">
        <w:rPr>
          <w:sz w:val="24"/>
          <w:szCs w:val="24"/>
        </w:rPr>
        <w:t>r</w:t>
      </w:r>
    </w:p>
    <w:p w14:paraId="1D46B686" w14:textId="2B414FAA" w:rsidR="008E1AF3" w:rsidRDefault="0056313D" w:rsidP="00074B33">
      <w:pPr>
        <w:pStyle w:val="BodyText"/>
        <w:numPr>
          <w:ilvl w:val="1"/>
          <w:numId w:val="2"/>
        </w:numPr>
        <w:ind w:right="-180"/>
        <w:rPr>
          <w:sz w:val="24"/>
          <w:szCs w:val="24"/>
        </w:rPr>
      </w:pPr>
      <w:r w:rsidRPr="00074B33">
        <w:rPr>
          <w:sz w:val="24"/>
          <w:szCs w:val="24"/>
        </w:rPr>
        <w:t>a</w:t>
      </w:r>
      <w:r w:rsidR="00074B33">
        <w:rPr>
          <w:sz w:val="24"/>
          <w:szCs w:val="24"/>
        </w:rPr>
        <w:t>ny other</w:t>
      </w:r>
      <w:r w:rsidRPr="00074B33">
        <w:rPr>
          <w:sz w:val="24"/>
          <w:szCs w:val="24"/>
        </w:rPr>
        <w:t xml:space="preserve"> health care facility </w:t>
      </w:r>
      <w:r w:rsidR="00074B33">
        <w:rPr>
          <w:sz w:val="24"/>
          <w:szCs w:val="24"/>
        </w:rPr>
        <w:t>in connection solely with a grant of</w:t>
      </w:r>
      <w:r w:rsidRPr="00074B33">
        <w:rPr>
          <w:sz w:val="24"/>
          <w:szCs w:val="24"/>
        </w:rPr>
        <w:t xml:space="preserve"> temporary appointment or privileges to physicians </w:t>
      </w:r>
      <w:r w:rsidR="008E1AF3" w:rsidRPr="00074B33">
        <w:rPr>
          <w:sz w:val="24"/>
          <w:szCs w:val="24"/>
        </w:rPr>
        <w:t>who hold an appointment</w:t>
      </w:r>
      <w:r w:rsidR="00074B33">
        <w:rPr>
          <w:sz w:val="24"/>
          <w:szCs w:val="24"/>
        </w:rPr>
        <w:t>,</w:t>
      </w:r>
      <w:r w:rsidR="008E1AF3" w:rsidRPr="00074B33">
        <w:rPr>
          <w:sz w:val="24"/>
          <w:szCs w:val="24"/>
        </w:rPr>
        <w:t xml:space="preserve"> privileges or association with </w:t>
      </w:r>
      <w:r w:rsidR="00074B33">
        <w:rPr>
          <w:sz w:val="24"/>
          <w:szCs w:val="24"/>
        </w:rPr>
        <w:t>a</w:t>
      </w:r>
      <w:r w:rsidR="008E1AF3" w:rsidRPr="00074B33">
        <w:rPr>
          <w:sz w:val="24"/>
          <w:szCs w:val="24"/>
        </w:rPr>
        <w:t xml:space="preserve"> health care facility </w:t>
      </w:r>
      <w:r w:rsidR="00465AF6" w:rsidRPr="00074B33">
        <w:rPr>
          <w:sz w:val="24"/>
          <w:szCs w:val="24"/>
        </w:rPr>
        <w:t>specified in the recommendation</w:t>
      </w:r>
      <w:r w:rsidR="00074B33" w:rsidRPr="00074B33">
        <w:rPr>
          <w:sz w:val="24"/>
          <w:szCs w:val="24"/>
        </w:rPr>
        <w:t>,</w:t>
      </w:r>
      <w:r w:rsidR="00465AF6" w:rsidRPr="00074B33">
        <w:rPr>
          <w:sz w:val="24"/>
          <w:szCs w:val="24"/>
        </w:rPr>
        <w:t xml:space="preserve"> </w:t>
      </w:r>
      <w:r w:rsidR="008E1AF3" w:rsidRPr="00074B33">
        <w:rPr>
          <w:sz w:val="24"/>
          <w:szCs w:val="24"/>
        </w:rPr>
        <w:t xml:space="preserve">in order to </w:t>
      </w:r>
      <w:r w:rsidR="00EE230E" w:rsidRPr="00074B33">
        <w:rPr>
          <w:sz w:val="24"/>
          <w:szCs w:val="24"/>
        </w:rPr>
        <w:t xml:space="preserve">provide care to patients that can no longer be provided at the </w:t>
      </w:r>
      <w:r w:rsidR="00074B33">
        <w:rPr>
          <w:sz w:val="24"/>
          <w:szCs w:val="24"/>
        </w:rPr>
        <w:t xml:space="preserve">specified </w:t>
      </w:r>
      <w:r w:rsidR="00EE230E" w:rsidRPr="00074B33">
        <w:rPr>
          <w:sz w:val="24"/>
          <w:szCs w:val="24"/>
        </w:rPr>
        <w:t>health care facility</w:t>
      </w:r>
      <w:r w:rsidR="00074B33">
        <w:rPr>
          <w:sz w:val="24"/>
          <w:szCs w:val="24"/>
        </w:rPr>
        <w:t>.</w:t>
      </w:r>
    </w:p>
    <w:p w14:paraId="24389555" w14:textId="77777777" w:rsidR="003F48E7" w:rsidRDefault="003F48E7" w:rsidP="003F48E7">
      <w:pPr>
        <w:pStyle w:val="BodyText"/>
        <w:ind w:left="1440" w:right="-180"/>
        <w:rPr>
          <w:sz w:val="24"/>
          <w:szCs w:val="24"/>
        </w:rPr>
      </w:pPr>
    </w:p>
    <w:p w14:paraId="0521A005" w14:textId="1E480F83" w:rsidR="00C64DDF" w:rsidRPr="00C64DDF" w:rsidRDefault="00C64DDF" w:rsidP="00C64DDF">
      <w:pPr>
        <w:pStyle w:val="BodyText"/>
        <w:numPr>
          <w:ilvl w:val="0"/>
          <w:numId w:val="2"/>
        </w:numPr>
        <w:ind w:right="-180"/>
        <w:rPr>
          <w:sz w:val="24"/>
          <w:szCs w:val="24"/>
        </w:rPr>
      </w:pPr>
      <w:r>
        <w:rPr>
          <w:sz w:val="24"/>
          <w:szCs w:val="24"/>
        </w:rPr>
        <w:t>A</w:t>
      </w:r>
      <w:r w:rsidRPr="00C64DDF">
        <w:rPr>
          <w:sz w:val="24"/>
          <w:szCs w:val="24"/>
        </w:rPr>
        <w:t xml:space="preserve"> </w:t>
      </w:r>
      <w:r w:rsidR="00074B33" w:rsidRPr="00C64DDF">
        <w:rPr>
          <w:sz w:val="24"/>
          <w:szCs w:val="24"/>
        </w:rPr>
        <w:t xml:space="preserve">health care facility may grant temporary appointment or privileges to a </w:t>
      </w:r>
      <w:r w:rsidR="00074B33" w:rsidRPr="003F48E7">
        <w:rPr>
          <w:sz w:val="24"/>
          <w:szCs w:val="24"/>
          <w:u w:val="single"/>
        </w:rPr>
        <w:t>physician seeking initial staff membership</w:t>
      </w:r>
      <w:r w:rsidR="00074B33" w:rsidRPr="00C64DDF">
        <w:rPr>
          <w:sz w:val="24"/>
          <w:szCs w:val="24"/>
        </w:rPr>
        <w:t xml:space="preserve"> while normal credentialing requirements are performed for up to 1</w:t>
      </w:r>
      <w:r w:rsidR="00A62329">
        <w:rPr>
          <w:sz w:val="24"/>
          <w:szCs w:val="24"/>
        </w:rPr>
        <w:t>8</w:t>
      </w:r>
      <w:r w:rsidR="00074B33" w:rsidRPr="00C64DDF">
        <w:rPr>
          <w:sz w:val="24"/>
          <w:szCs w:val="24"/>
        </w:rPr>
        <w:t xml:space="preserve">0 days </w:t>
      </w:r>
      <w:r w:rsidR="003F48E7">
        <w:rPr>
          <w:sz w:val="24"/>
          <w:szCs w:val="24"/>
        </w:rPr>
        <w:t xml:space="preserve">in any one year period </w:t>
      </w:r>
      <w:r w:rsidR="00074B33" w:rsidRPr="00C64DDF">
        <w:rPr>
          <w:sz w:val="24"/>
          <w:szCs w:val="24"/>
        </w:rPr>
        <w:t>provided that the health care facility</w:t>
      </w:r>
      <w:r w:rsidRPr="00C64DDF">
        <w:rPr>
          <w:sz w:val="24"/>
          <w:szCs w:val="24"/>
        </w:rPr>
        <w:t>:</w:t>
      </w:r>
    </w:p>
    <w:p w14:paraId="3E49C2B2" w14:textId="77777777" w:rsidR="00C64DDF" w:rsidRDefault="00C64DDF" w:rsidP="003F48E7">
      <w:pPr>
        <w:pStyle w:val="BodyText"/>
        <w:numPr>
          <w:ilvl w:val="1"/>
          <w:numId w:val="2"/>
        </w:numPr>
        <w:ind w:right="-180"/>
        <w:rPr>
          <w:sz w:val="24"/>
          <w:szCs w:val="24"/>
        </w:rPr>
      </w:pPr>
      <w:r>
        <w:rPr>
          <w:sz w:val="24"/>
          <w:szCs w:val="24"/>
        </w:rPr>
        <w:t>maintains on file evidence of:</w:t>
      </w:r>
    </w:p>
    <w:p w14:paraId="5F89C090" w14:textId="42AD4BE6" w:rsidR="00C64DDF" w:rsidRDefault="00C64DDF" w:rsidP="003F48E7">
      <w:pPr>
        <w:pStyle w:val="BodyText"/>
        <w:numPr>
          <w:ilvl w:val="2"/>
          <w:numId w:val="2"/>
        </w:num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a valid Massachusetts license, and </w:t>
      </w:r>
    </w:p>
    <w:p w14:paraId="291B4DB3" w14:textId="2335BC69" w:rsidR="00074B33" w:rsidRDefault="00C64DDF" w:rsidP="003F48E7">
      <w:pPr>
        <w:pStyle w:val="BodyText"/>
        <w:numPr>
          <w:ilvl w:val="2"/>
          <w:numId w:val="2"/>
        </w:numPr>
        <w:ind w:right="-180"/>
        <w:rPr>
          <w:sz w:val="24"/>
          <w:szCs w:val="24"/>
        </w:rPr>
      </w:pPr>
      <w:r>
        <w:rPr>
          <w:sz w:val="24"/>
          <w:szCs w:val="24"/>
        </w:rPr>
        <w:t>a current DEA certificate of registration if the physician will be prescribing controlled substances</w:t>
      </w:r>
    </w:p>
    <w:p w14:paraId="6DB62539" w14:textId="0D458C80" w:rsidR="00C64DDF" w:rsidRDefault="00C64DDF" w:rsidP="003F48E7">
      <w:pPr>
        <w:pStyle w:val="BodyText"/>
        <w:numPr>
          <w:ilvl w:val="1"/>
          <w:numId w:val="2"/>
        </w:numPr>
        <w:ind w:right="-180"/>
        <w:rPr>
          <w:sz w:val="24"/>
          <w:szCs w:val="24"/>
        </w:rPr>
      </w:pPr>
      <w:r>
        <w:rPr>
          <w:sz w:val="24"/>
          <w:szCs w:val="24"/>
        </w:rPr>
        <w:t>obtains within 30 days of granting the temporary appointment or privileges the following items which must also be maintained on file:</w:t>
      </w:r>
    </w:p>
    <w:p w14:paraId="6D64AB13" w14:textId="77777777" w:rsidR="00C64DDF" w:rsidRDefault="00C64DDF" w:rsidP="003F48E7">
      <w:pPr>
        <w:pStyle w:val="BodyText"/>
        <w:numPr>
          <w:ilvl w:val="2"/>
          <w:numId w:val="2"/>
        </w:numPr>
        <w:ind w:right="-180"/>
        <w:rPr>
          <w:sz w:val="24"/>
          <w:szCs w:val="24"/>
        </w:rPr>
      </w:pPr>
      <w:r>
        <w:rPr>
          <w:sz w:val="24"/>
          <w:szCs w:val="24"/>
        </w:rPr>
        <w:t>a completed application for staff membership</w:t>
      </w:r>
    </w:p>
    <w:p w14:paraId="6B1AFADC" w14:textId="02115132" w:rsidR="00C64DDF" w:rsidRDefault="00C64DDF" w:rsidP="003F48E7">
      <w:pPr>
        <w:pStyle w:val="BodyText"/>
        <w:numPr>
          <w:ilvl w:val="2"/>
          <w:numId w:val="2"/>
        </w:numPr>
        <w:ind w:right="-180"/>
        <w:rPr>
          <w:sz w:val="24"/>
          <w:szCs w:val="24"/>
        </w:rPr>
      </w:pPr>
      <w:r>
        <w:rPr>
          <w:sz w:val="24"/>
          <w:szCs w:val="24"/>
        </w:rPr>
        <w:lastRenderedPageBreak/>
        <w:t>evidence of malpractice insurance</w:t>
      </w:r>
    </w:p>
    <w:p w14:paraId="14F8F092" w14:textId="672FD9EE" w:rsidR="00C64DDF" w:rsidRDefault="00C64DDF" w:rsidP="003F48E7">
      <w:pPr>
        <w:pStyle w:val="BodyText"/>
        <w:numPr>
          <w:ilvl w:val="2"/>
          <w:numId w:val="2"/>
        </w:numPr>
        <w:ind w:right="-180"/>
        <w:rPr>
          <w:sz w:val="24"/>
          <w:szCs w:val="24"/>
        </w:rPr>
      </w:pPr>
      <w:r>
        <w:rPr>
          <w:sz w:val="24"/>
          <w:szCs w:val="24"/>
        </w:rPr>
        <w:t>appropriate references</w:t>
      </w:r>
    </w:p>
    <w:p w14:paraId="6F7E007A" w14:textId="1D4D1B0D" w:rsidR="00C64DDF" w:rsidRDefault="00C64DDF" w:rsidP="003F48E7">
      <w:pPr>
        <w:pStyle w:val="BodyText"/>
        <w:numPr>
          <w:ilvl w:val="1"/>
          <w:numId w:val="2"/>
        </w:numPr>
        <w:ind w:right="-180"/>
        <w:rPr>
          <w:sz w:val="24"/>
          <w:szCs w:val="24"/>
        </w:rPr>
      </w:pPr>
      <w:r>
        <w:rPr>
          <w:sz w:val="24"/>
          <w:szCs w:val="24"/>
        </w:rPr>
        <w:t>pursues in good faith the full credentialing requirements within 1</w:t>
      </w:r>
      <w:r w:rsidR="00A62329">
        <w:rPr>
          <w:sz w:val="24"/>
          <w:szCs w:val="24"/>
        </w:rPr>
        <w:t>8</w:t>
      </w:r>
      <w:r>
        <w:rPr>
          <w:sz w:val="24"/>
          <w:szCs w:val="24"/>
        </w:rPr>
        <w:t xml:space="preserve">0 days </w:t>
      </w:r>
    </w:p>
    <w:p w14:paraId="47740D44" w14:textId="6FADE7D7" w:rsidR="003F48E7" w:rsidRPr="00C64DDF" w:rsidRDefault="003F48E7" w:rsidP="003F48E7">
      <w:pPr>
        <w:pStyle w:val="BodyText"/>
        <w:numPr>
          <w:ilvl w:val="0"/>
          <w:numId w:val="2"/>
        </w:num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A health care facility may grant temporary appointment or privileges to a </w:t>
      </w:r>
      <w:r w:rsidRPr="003F48E7">
        <w:rPr>
          <w:sz w:val="24"/>
          <w:szCs w:val="24"/>
          <w:u w:val="single"/>
        </w:rPr>
        <w:t>physician who is not seeking staff membership</w:t>
      </w:r>
      <w:r>
        <w:rPr>
          <w:sz w:val="24"/>
          <w:szCs w:val="24"/>
        </w:rPr>
        <w:t xml:space="preserve"> for up to 1</w:t>
      </w:r>
      <w:r w:rsidR="00A62329">
        <w:rPr>
          <w:sz w:val="24"/>
          <w:szCs w:val="24"/>
        </w:rPr>
        <w:t>8</w:t>
      </w:r>
      <w:r>
        <w:rPr>
          <w:sz w:val="24"/>
          <w:szCs w:val="24"/>
        </w:rPr>
        <w:t xml:space="preserve">0 days in any one year period </w:t>
      </w:r>
      <w:r w:rsidRPr="00C64DDF">
        <w:rPr>
          <w:sz w:val="24"/>
          <w:szCs w:val="24"/>
        </w:rPr>
        <w:t>provided that the health care facility:</w:t>
      </w:r>
    </w:p>
    <w:p w14:paraId="4A2DC989" w14:textId="77777777" w:rsidR="003F48E7" w:rsidRDefault="003F48E7" w:rsidP="003F48E7">
      <w:pPr>
        <w:pStyle w:val="BodyText"/>
        <w:numPr>
          <w:ilvl w:val="1"/>
          <w:numId w:val="2"/>
        </w:numPr>
        <w:ind w:right="-180"/>
        <w:rPr>
          <w:sz w:val="24"/>
          <w:szCs w:val="24"/>
        </w:rPr>
      </w:pPr>
      <w:r>
        <w:rPr>
          <w:sz w:val="24"/>
          <w:szCs w:val="24"/>
        </w:rPr>
        <w:t>maintains on file evidence of:</w:t>
      </w:r>
    </w:p>
    <w:p w14:paraId="599972D2" w14:textId="77777777" w:rsidR="003F48E7" w:rsidRDefault="003F48E7" w:rsidP="003F48E7">
      <w:pPr>
        <w:pStyle w:val="BodyText"/>
        <w:numPr>
          <w:ilvl w:val="2"/>
          <w:numId w:val="2"/>
        </w:num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a valid Massachusetts license, and </w:t>
      </w:r>
    </w:p>
    <w:p w14:paraId="6ED6CB43" w14:textId="77777777" w:rsidR="003F48E7" w:rsidRDefault="003F48E7" w:rsidP="003F48E7">
      <w:pPr>
        <w:pStyle w:val="BodyText"/>
        <w:numPr>
          <w:ilvl w:val="2"/>
          <w:numId w:val="2"/>
        </w:numPr>
        <w:ind w:right="-180"/>
        <w:rPr>
          <w:sz w:val="24"/>
          <w:szCs w:val="24"/>
        </w:rPr>
      </w:pPr>
      <w:r>
        <w:rPr>
          <w:sz w:val="24"/>
          <w:szCs w:val="24"/>
        </w:rPr>
        <w:t>a current DEA certificate of registration if the physician will be prescribing controlled substances</w:t>
      </w:r>
    </w:p>
    <w:p w14:paraId="5D3AAD66" w14:textId="77777777" w:rsidR="003F48E7" w:rsidRDefault="003F48E7" w:rsidP="003F48E7">
      <w:pPr>
        <w:pStyle w:val="BodyText"/>
        <w:numPr>
          <w:ilvl w:val="1"/>
          <w:numId w:val="2"/>
        </w:numPr>
        <w:ind w:right="-180"/>
        <w:rPr>
          <w:sz w:val="24"/>
          <w:szCs w:val="24"/>
        </w:rPr>
      </w:pPr>
      <w:r>
        <w:rPr>
          <w:sz w:val="24"/>
          <w:szCs w:val="24"/>
        </w:rPr>
        <w:t>obtains within 30 days of granting the temporary appointment or privileges the following items which must also be maintained on file:</w:t>
      </w:r>
    </w:p>
    <w:p w14:paraId="3C6BCD44" w14:textId="77777777" w:rsidR="003F48E7" w:rsidRDefault="003F48E7" w:rsidP="003F48E7">
      <w:pPr>
        <w:pStyle w:val="BodyText"/>
        <w:numPr>
          <w:ilvl w:val="2"/>
          <w:numId w:val="2"/>
        </w:numPr>
        <w:ind w:right="-180"/>
        <w:rPr>
          <w:sz w:val="24"/>
          <w:szCs w:val="24"/>
        </w:rPr>
      </w:pPr>
      <w:r>
        <w:rPr>
          <w:sz w:val="24"/>
          <w:szCs w:val="24"/>
        </w:rPr>
        <w:t>evidence of malpractice insurance</w:t>
      </w:r>
    </w:p>
    <w:p w14:paraId="5A7BFCBA" w14:textId="4BCAD31C" w:rsidR="003F48E7" w:rsidRDefault="003F48E7" w:rsidP="003F48E7">
      <w:pPr>
        <w:pStyle w:val="BodyText"/>
        <w:numPr>
          <w:ilvl w:val="2"/>
          <w:numId w:val="2"/>
        </w:numPr>
        <w:ind w:right="-180"/>
        <w:rPr>
          <w:sz w:val="24"/>
          <w:szCs w:val="24"/>
        </w:rPr>
      </w:pPr>
      <w:r>
        <w:rPr>
          <w:sz w:val="24"/>
          <w:szCs w:val="24"/>
        </w:rPr>
        <w:t>letters of recommendation or references</w:t>
      </w:r>
    </w:p>
    <w:p w14:paraId="59B56E28" w14:textId="299F9390" w:rsidR="00074B33" w:rsidRPr="0068342D" w:rsidRDefault="00A31516" w:rsidP="007B068C">
      <w:pPr>
        <w:pStyle w:val="BodyText"/>
        <w:numPr>
          <w:ilvl w:val="0"/>
          <w:numId w:val="2"/>
        </w:numPr>
        <w:ind w:right="-180"/>
        <w:rPr>
          <w:sz w:val="24"/>
          <w:szCs w:val="24"/>
        </w:rPr>
      </w:pPr>
      <w:r w:rsidRPr="00DE7C27">
        <w:rPr>
          <w:color w:val="000000" w:themeColor="text1"/>
          <w:sz w:val="24"/>
          <w:szCs w:val="24"/>
        </w:rPr>
        <w:t>Upon receipt of a written request by a health care facility that meets the requirements in paragraph (1) of this policy, t</w:t>
      </w:r>
      <w:r w:rsidR="007F088E" w:rsidRPr="00DE7C27">
        <w:rPr>
          <w:color w:val="000000" w:themeColor="text1"/>
          <w:sz w:val="24"/>
          <w:szCs w:val="24"/>
        </w:rPr>
        <w:t xml:space="preserve">he Executive Director </w:t>
      </w:r>
      <w:r w:rsidR="00FB2801" w:rsidRPr="0068342D">
        <w:rPr>
          <w:sz w:val="24"/>
          <w:szCs w:val="24"/>
        </w:rPr>
        <w:t xml:space="preserve">in consultation with the Board Chair or the Commissioner of Public Health </w:t>
      </w:r>
      <w:r w:rsidR="007F088E" w:rsidRPr="0068342D">
        <w:rPr>
          <w:sz w:val="24"/>
          <w:szCs w:val="24"/>
        </w:rPr>
        <w:t xml:space="preserve">may extend the 180 day </w:t>
      </w:r>
      <w:r w:rsidR="00051BFB" w:rsidRPr="0068342D">
        <w:rPr>
          <w:sz w:val="24"/>
          <w:szCs w:val="24"/>
        </w:rPr>
        <w:t>period for temporary appointments a</w:t>
      </w:r>
      <w:r w:rsidR="00A31CC2" w:rsidRPr="0068342D">
        <w:rPr>
          <w:sz w:val="24"/>
          <w:szCs w:val="24"/>
        </w:rPr>
        <w:t xml:space="preserve">s set in paragraphs (2) and (3) for an additional </w:t>
      </w:r>
      <w:r w:rsidR="007B068C" w:rsidRPr="0068342D">
        <w:rPr>
          <w:sz w:val="24"/>
          <w:szCs w:val="24"/>
        </w:rPr>
        <w:t>period as may be necessary to maintain patient continuity of care and minimize disruptions in the delivery of healthcare</w:t>
      </w:r>
      <w:r w:rsidR="007956EF" w:rsidRPr="0068342D">
        <w:rPr>
          <w:sz w:val="24"/>
          <w:szCs w:val="24"/>
        </w:rPr>
        <w:t>.</w:t>
      </w:r>
      <w:r w:rsidR="00134FD1" w:rsidRPr="0068342D">
        <w:rPr>
          <w:rFonts w:ascii="Aptos" w:eastAsiaTheme="minorHAnsi" w:hAnsi="Aptos" w:cs="Aptos"/>
          <w14:ligatures w14:val="standardContextual"/>
        </w:rPr>
        <w:t xml:space="preserve"> </w:t>
      </w:r>
    </w:p>
    <w:sectPr w:rsidR="00074B33" w:rsidRPr="0068342D" w:rsidSect="00897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FBD6" w14:textId="77777777" w:rsidR="00484921" w:rsidRDefault="00484921" w:rsidP="0089798E">
      <w:r>
        <w:separator/>
      </w:r>
    </w:p>
  </w:endnote>
  <w:endnote w:type="continuationSeparator" w:id="0">
    <w:p w14:paraId="6AB0F325" w14:textId="77777777" w:rsidR="00484921" w:rsidRDefault="00484921" w:rsidP="0089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13CE" w14:textId="77777777" w:rsidR="009F6455" w:rsidRDefault="009F64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72B2" w14:textId="77777777" w:rsidR="0089798E" w:rsidRDefault="00897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83A4" w14:textId="77777777" w:rsidR="009F6455" w:rsidRDefault="009F6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C093" w14:textId="77777777" w:rsidR="00484921" w:rsidRDefault="00484921" w:rsidP="0089798E">
      <w:r>
        <w:separator/>
      </w:r>
    </w:p>
  </w:footnote>
  <w:footnote w:type="continuationSeparator" w:id="0">
    <w:p w14:paraId="0434D009" w14:textId="77777777" w:rsidR="00484921" w:rsidRDefault="00484921" w:rsidP="00897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E44B" w14:textId="77777777" w:rsidR="009F6455" w:rsidRDefault="009F64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F1CD" w14:textId="77777777" w:rsidR="009F6455" w:rsidRDefault="009F64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54EA" w14:textId="77777777" w:rsidR="009F6455" w:rsidRDefault="009F64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1286F"/>
    <w:multiLevelType w:val="hybridMultilevel"/>
    <w:tmpl w:val="C1487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26EB4"/>
    <w:multiLevelType w:val="hybridMultilevel"/>
    <w:tmpl w:val="85325FB8"/>
    <w:lvl w:ilvl="0" w:tplc="7F50C04C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A12246F2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1AB287C4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CB2E2E44">
      <w:numFmt w:val="bullet"/>
      <w:lvlText w:val="•"/>
      <w:lvlJc w:val="left"/>
      <w:pPr>
        <w:ind w:left="3898" w:hanging="361"/>
      </w:pPr>
      <w:rPr>
        <w:rFonts w:hint="default"/>
        <w:lang w:val="en-US" w:eastAsia="en-US" w:bidi="ar-SA"/>
      </w:rPr>
    </w:lvl>
    <w:lvl w:ilvl="4" w:tplc="5C2687F4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ar-SA"/>
      </w:rPr>
    </w:lvl>
    <w:lvl w:ilvl="5" w:tplc="2D9280BC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1D22ECBC">
      <w:numFmt w:val="bullet"/>
      <w:lvlText w:val="•"/>
      <w:lvlJc w:val="left"/>
      <w:pPr>
        <w:ind w:left="6976" w:hanging="361"/>
      </w:pPr>
      <w:rPr>
        <w:rFonts w:hint="default"/>
        <w:lang w:val="en-US" w:eastAsia="en-US" w:bidi="ar-SA"/>
      </w:rPr>
    </w:lvl>
    <w:lvl w:ilvl="7" w:tplc="A2D41062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8" w:tplc="CD54A034">
      <w:numFmt w:val="bullet"/>
      <w:lvlText w:val="•"/>
      <w:lvlJc w:val="left"/>
      <w:pPr>
        <w:ind w:left="902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CD269A8"/>
    <w:multiLevelType w:val="hybridMultilevel"/>
    <w:tmpl w:val="92D220C8"/>
    <w:lvl w:ilvl="0" w:tplc="2594E5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173889">
    <w:abstractNumId w:val="1"/>
  </w:num>
  <w:num w:numId="2" w16cid:durableId="1861581879">
    <w:abstractNumId w:val="2"/>
  </w:num>
  <w:num w:numId="3" w16cid:durableId="161358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8E"/>
    <w:rsid w:val="0002638B"/>
    <w:rsid w:val="00036602"/>
    <w:rsid w:val="000449EA"/>
    <w:rsid w:val="00051BFB"/>
    <w:rsid w:val="00062F3D"/>
    <w:rsid w:val="00074B33"/>
    <w:rsid w:val="000B1919"/>
    <w:rsid w:val="000B4448"/>
    <w:rsid w:val="0012386A"/>
    <w:rsid w:val="001260E7"/>
    <w:rsid w:val="00132FD5"/>
    <w:rsid w:val="00134FD1"/>
    <w:rsid w:val="00195C86"/>
    <w:rsid w:val="001A66CA"/>
    <w:rsid w:val="002309D8"/>
    <w:rsid w:val="002829BA"/>
    <w:rsid w:val="002A15AC"/>
    <w:rsid w:val="002A30CC"/>
    <w:rsid w:val="002B5A12"/>
    <w:rsid w:val="002E092F"/>
    <w:rsid w:val="002F4ACE"/>
    <w:rsid w:val="00341A7C"/>
    <w:rsid w:val="00394311"/>
    <w:rsid w:val="003A6953"/>
    <w:rsid w:val="003B0D50"/>
    <w:rsid w:val="003D22C0"/>
    <w:rsid w:val="003E0320"/>
    <w:rsid w:val="003E3443"/>
    <w:rsid w:val="003E6470"/>
    <w:rsid w:val="003F48E7"/>
    <w:rsid w:val="004213E5"/>
    <w:rsid w:val="00444946"/>
    <w:rsid w:val="00465AF6"/>
    <w:rsid w:val="00477115"/>
    <w:rsid w:val="00484921"/>
    <w:rsid w:val="00490EE1"/>
    <w:rsid w:val="00496B94"/>
    <w:rsid w:val="00501683"/>
    <w:rsid w:val="0056313D"/>
    <w:rsid w:val="005D6C2C"/>
    <w:rsid w:val="005E133A"/>
    <w:rsid w:val="00607A1B"/>
    <w:rsid w:val="006117F4"/>
    <w:rsid w:val="00627779"/>
    <w:rsid w:val="0068342D"/>
    <w:rsid w:val="006C0357"/>
    <w:rsid w:val="006D7489"/>
    <w:rsid w:val="006E2F47"/>
    <w:rsid w:val="006F0A29"/>
    <w:rsid w:val="00707020"/>
    <w:rsid w:val="00770C0A"/>
    <w:rsid w:val="00790242"/>
    <w:rsid w:val="007956EF"/>
    <w:rsid w:val="007B068C"/>
    <w:rsid w:val="007F088E"/>
    <w:rsid w:val="007F2DA2"/>
    <w:rsid w:val="008012FE"/>
    <w:rsid w:val="00826823"/>
    <w:rsid w:val="008342B1"/>
    <w:rsid w:val="00872029"/>
    <w:rsid w:val="0089798E"/>
    <w:rsid w:val="008D46D3"/>
    <w:rsid w:val="008E1AF3"/>
    <w:rsid w:val="008E1EBC"/>
    <w:rsid w:val="00926CF7"/>
    <w:rsid w:val="009B6EC8"/>
    <w:rsid w:val="009B7376"/>
    <w:rsid w:val="009F6455"/>
    <w:rsid w:val="00A00264"/>
    <w:rsid w:val="00A04AFB"/>
    <w:rsid w:val="00A31516"/>
    <w:rsid w:val="00A31CC2"/>
    <w:rsid w:val="00A62329"/>
    <w:rsid w:val="00AD1065"/>
    <w:rsid w:val="00B04D15"/>
    <w:rsid w:val="00B8716D"/>
    <w:rsid w:val="00B91BCE"/>
    <w:rsid w:val="00BA11DD"/>
    <w:rsid w:val="00BC4992"/>
    <w:rsid w:val="00BD0C18"/>
    <w:rsid w:val="00BD4E4C"/>
    <w:rsid w:val="00C0709A"/>
    <w:rsid w:val="00C231D5"/>
    <w:rsid w:val="00C548BC"/>
    <w:rsid w:val="00C56AAD"/>
    <w:rsid w:val="00C64DDF"/>
    <w:rsid w:val="00C81074"/>
    <w:rsid w:val="00D33BFB"/>
    <w:rsid w:val="00D57EA9"/>
    <w:rsid w:val="00D945DA"/>
    <w:rsid w:val="00DB6645"/>
    <w:rsid w:val="00DE7C27"/>
    <w:rsid w:val="00EA76DD"/>
    <w:rsid w:val="00EE19EB"/>
    <w:rsid w:val="00EE230E"/>
    <w:rsid w:val="00EF42B0"/>
    <w:rsid w:val="00FB2801"/>
    <w:rsid w:val="00FE5E2C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A0E7"/>
  <w15:chartTrackingRefBased/>
  <w15:docId w15:val="{508B4F0C-B45F-4E4A-8C58-8EA62AA5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9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9798E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89798E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styleId="ListParagraph">
    <w:name w:val="List Paragraph"/>
    <w:basedOn w:val="Normal"/>
    <w:uiPriority w:val="1"/>
    <w:qFormat/>
    <w:rsid w:val="0089798E"/>
    <w:pPr>
      <w:ind w:left="82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979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798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9798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97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98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7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98E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64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D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DD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DD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0B444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D6649-950F-4244-88C6-211F34BE9C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Vita (DPH)</dc:creator>
  <cp:keywords/>
  <dc:description/>
  <cp:lastModifiedBy>Hanson, Dennis (DPH)</cp:lastModifiedBy>
  <cp:revision>4</cp:revision>
  <dcterms:created xsi:type="dcterms:W3CDTF">2025-05-29T17:42:00Z</dcterms:created>
  <dcterms:modified xsi:type="dcterms:W3CDTF">2025-05-29T17:55:00Z</dcterms:modified>
</cp:coreProperties>
</file>