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91CF" w14:textId="4ADC5207" w:rsidR="00AC03D1" w:rsidRPr="00AC03D1" w:rsidRDefault="00000000" w:rsidP="00AC03D1">
      <w:pPr>
        <w:widowControl w:val="0"/>
        <w:autoSpaceDE w:val="0"/>
        <w:autoSpaceDN w:val="0"/>
        <w:spacing w:after="0" w:line="240" w:lineRule="auto"/>
        <w:jc w:val="center"/>
        <w:rPr>
          <w:rFonts w:eastAsia="Times New Roman"/>
          <w:color w:val="auto"/>
          <w:w w:val="95"/>
          <w:kern w:val="0"/>
          <w14:ligatures w14:val="none"/>
        </w:rPr>
      </w:pPr>
      <w:r>
        <w:rPr>
          <w:noProof/>
        </w:rPr>
        <w:pict w14:anchorId="45F014D9">
          <v:line id="Line 8"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658.55pt" to="38.9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" strokeweight=".1273mm">
            <w10:wrap anchorx="page" anchory="page"/>
          </v:line>
        </w:pict>
      </w:r>
      <w:r>
        <w:rPr>
          <w:noProof/>
        </w:rPr>
        <w:pict w14:anchorId="4A2BB629">
          <v:line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574.9pt" to="38.6pt,5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" strokeweight=".1273mm">
            <w10:wrap anchorx="page" anchory="page"/>
          </v:line>
        </w:pict>
      </w:r>
      <w:r w:rsidR="00AC03D1" w:rsidRPr="00AC03D1">
        <w:rPr>
          <w:rFonts w:eastAsia="Times New Roman"/>
          <w:color w:val="auto"/>
          <w:w w:val="95"/>
          <w:kern w:val="0"/>
          <w14:ligatures w14:val="none"/>
        </w:rPr>
        <w:t xml:space="preserve">COMMONWEALTH OF MASSACHUSETTS </w:t>
      </w:r>
    </w:p>
    <w:p w14:paraId="073581DA" w14:textId="77777777" w:rsidR="00AC03D1" w:rsidRPr="00AC03D1" w:rsidRDefault="00AC03D1" w:rsidP="00AC03D1">
      <w:pPr>
        <w:widowControl w:val="0"/>
        <w:autoSpaceDE w:val="0"/>
        <w:autoSpaceDN w:val="0"/>
        <w:spacing w:after="0" w:line="240" w:lineRule="auto"/>
        <w:jc w:val="center"/>
        <w:rPr>
          <w:rFonts w:eastAsia="Times New Roman"/>
          <w:color w:val="auto"/>
          <w:kern w:val="0"/>
          <w14:ligatures w14:val="none"/>
        </w:rPr>
      </w:pPr>
      <w:r w:rsidRPr="00AC03D1">
        <w:rPr>
          <w:rFonts w:eastAsia="Times New Roman"/>
          <w:color w:val="auto"/>
          <w:kern w:val="0"/>
          <w14:ligatures w14:val="none"/>
        </w:rPr>
        <w:t>BOARD</w:t>
      </w:r>
      <w:r w:rsidRPr="00AC03D1">
        <w:rPr>
          <w:rFonts w:eastAsia="Times New Roman"/>
          <w:color w:val="auto"/>
          <w:spacing w:val="-18"/>
          <w:kern w:val="0"/>
          <w14:ligatures w14:val="none"/>
        </w:rPr>
        <w:t xml:space="preserve"> </w:t>
      </w:r>
      <w:r w:rsidRPr="00AC03D1">
        <w:rPr>
          <w:rFonts w:eastAsia="Times New Roman"/>
          <w:color w:val="auto"/>
          <w:kern w:val="0"/>
          <w14:ligatures w14:val="none"/>
        </w:rPr>
        <w:t>OF</w:t>
      </w:r>
      <w:r w:rsidRPr="00AC03D1">
        <w:rPr>
          <w:rFonts w:eastAsia="Times New Roman"/>
          <w:color w:val="auto"/>
          <w:spacing w:val="-29"/>
          <w:kern w:val="0"/>
          <w14:ligatures w14:val="none"/>
        </w:rPr>
        <w:t xml:space="preserve"> </w:t>
      </w:r>
      <w:r w:rsidRPr="00AC03D1">
        <w:rPr>
          <w:rFonts w:eastAsia="Times New Roman"/>
          <w:color w:val="auto"/>
          <w:kern w:val="0"/>
          <w14:ligatures w14:val="none"/>
        </w:rPr>
        <w:t>REGISTRATION</w:t>
      </w:r>
      <w:r w:rsidRPr="00AC03D1">
        <w:rPr>
          <w:rFonts w:eastAsia="Times New Roman"/>
          <w:color w:val="auto"/>
          <w:spacing w:val="-10"/>
          <w:kern w:val="0"/>
          <w14:ligatures w14:val="none"/>
        </w:rPr>
        <w:t xml:space="preserve"> </w:t>
      </w:r>
      <w:r w:rsidRPr="00AC03D1">
        <w:rPr>
          <w:rFonts w:eastAsia="Times New Roman"/>
          <w:color w:val="auto"/>
          <w:kern w:val="0"/>
          <w14:ligatures w14:val="none"/>
        </w:rPr>
        <w:t>IN</w:t>
      </w:r>
      <w:r w:rsidRPr="00AC03D1">
        <w:rPr>
          <w:rFonts w:eastAsia="Times New Roman"/>
          <w:color w:val="auto"/>
          <w:spacing w:val="-26"/>
          <w:kern w:val="0"/>
          <w14:ligatures w14:val="none"/>
        </w:rPr>
        <w:t xml:space="preserve"> </w:t>
      </w:r>
      <w:r w:rsidRPr="00AC03D1">
        <w:rPr>
          <w:rFonts w:eastAsia="Times New Roman"/>
          <w:color w:val="auto"/>
          <w:kern w:val="0"/>
          <w14:ligatures w14:val="none"/>
        </w:rPr>
        <w:t>MEDICINE</w:t>
      </w:r>
    </w:p>
    <w:p w14:paraId="1F50A199" w14:textId="77777777" w:rsidR="00AC03D1" w:rsidRPr="00AC03D1" w:rsidRDefault="00AC03D1" w:rsidP="00AC03D1">
      <w:pPr>
        <w:widowControl w:val="0"/>
        <w:autoSpaceDE w:val="0"/>
        <w:autoSpaceDN w:val="0"/>
        <w:spacing w:after="0" w:line="240" w:lineRule="auto"/>
        <w:jc w:val="center"/>
        <w:rPr>
          <w:rFonts w:eastAsia="Times New Roman"/>
          <w:color w:val="auto"/>
          <w:kern w:val="0"/>
          <w14:ligatures w14:val="none"/>
        </w:rPr>
      </w:pPr>
    </w:p>
    <w:p w14:paraId="73542C37" w14:textId="455F4AC2" w:rsidR="00AC03D1" w:rsidRPr="00AC03D1" w:rsidRDefault="00AC03D1" w:rsidP="00AC03D1">
      <w:pPr>
        <w:widowControl w:val="0"/>
        <w:autoSpaceDE w:val="0"/>
        <w:autoSpaceDN w:val="0"/>
        <w:spacing w:after="0" w:line="240" w:lineRule="auto"/>
        <w:jc w:val="center"/>
        <w:rPr>
          <w:rFonts w:eastAsia="Times New Roman"/>
          <w:color w:val="auto"/>
          <w:kern w:val="0"/>
          <w14:ligatures w14:val="none"/>
        </w:rPr>
      </w:pPr>
      <w:r w:rsidRPr="00AC03D1">
        <w:rPr>
          <w:rFonts w:eastAsia="Times New Roman"/>
          <w:color w:val="auto"/>
          <w:kern w:val="0"/>
          <w14:ligatures w14:val="none"/>
        </w:rPr>
        <w:t>POLICY 2</w:t>
      </w:r>
      <w:r>
        <w:rPr>
          <w:rFonts w:eastAsia="Times New Roman"/>
          <w:color w:val="auto"/>
          <w:kern w:val="0"/>
          <w14:ligatures w14:val="none"/>
        </w:rPr>
        <w:t>4</w:t>
      </w:r>
      <w:r w:rsidRPr="00AC03D1">
        <w:rPr>
          <w:rFonts w:eastAsia="Times New Roman"/>
          <w:color w:val="auto"/>
          <w:kern w:val="0"/>
          <w14:ligatures w14:val="none"/>
        </w:rPr>
        <w:t>-</w:t>
      </w:r>
      <w:r w:rsidR="0045620C">
        <w:rPr>
          <w:rFonts w:eastAsia="Times New Roman"/>
          <w:color w:val="auto"/>
          <w:kern w:val="0"/>
          <w14:ligatures w14:val="none"/>
        </w:rPr>
        <w:t>02</w:t>
      </w:r>
    </w:p>
    <w:p w14:paraId="7F313EAD" w14:textId="77777777" w:rsidR="00AC03D1" w:rsidRPr="00AC03D1" w:rsidRDefault="00AC03D1" w:rsidP="00AC03D1">
      <w:pPr>
        <w:widowControl w:val="0"/>
        <w:autoSpaceDE w:val="0"/>
        <w:autoSpaceDN w:val="0"/>
        <w:spacing w:after="0" w:line="240" w:lineRule="auto"/>
        <w:jc w:val="center"/>
        <w:rPr>
          <w:rFonts w:eastAsia="Times New Roman"/>
          <w:color w:val="auto"/>
          <w:kern w:val="0"/>
          <w14:ligatures w14:val="none"/>
        </w:rPr>
      </w:pPr>
    </w:p>
    <w:p w14:paraId="12D76D6E" w14:textId="22AF63E2" w:rsidR="00AC03D1" w:rsidRPr="00AC03D1" w:rsidRDefault="00AC03D1" w:rsidP="00AC03D1">
      <w:pPr>
        <w:jc w:val="center"/>
        <w:rPr>
          <w:u w:val="single"/>
        </w:rPr>
      </w:pPr>
      <w:r w:rsidRPr="00EE1B00">
        <w:rPr>
          <w:b/>
          <w:bCs/>
          <w:u w:val="single"/>
        </w:rPr>
        <w:t>PHYSICIAN REENTRY PLAN</w:t>
      </w:r>
      <w:r w:rsidR="005C130A">
        <w:rPr>
          <w:rStyle w:val="FootnoteReference"/>
          <w:u w:val="single"/>
        </w:rPr>
        <w:footnoteReference w:id="1"/>
      </w:r>
    </w:p>
    <w:p w14:paraId="24812C73" w14:textId="77777777" w:rsidR="00AC03D1" w:rsidRPr="00AC03D1" w:rsidRDefault="00AC03D1" w:rsidP="00AC03D1">
      <w:pPr>
        <w:widowControl w:val="0"/>
        <w:autoSpaceDE w:val="0"/>
        <w:autoSpaceDN w:val="0"/>
        <w:spacing w:after="0" w:line="240" w:lineRule="auto"/>
        <w:jc w:val="center"/>
        <w:rPr>
          <w:rFonts w:eastAsia="Times New Roman"/>
          <w:color w:val="auto"/>
          <w:kern w:val="0"/>
          <w14:ligatures w14:val="none"/>
        </w:rPr>
      </w:pPr>
    </w:p>
    <w:p w14:paraId="0A92EC4E" w14:textId="6BF4924C" w:rsidR="00AC03D1" w:rsidRDefault="00567956" w:rsidP="00AC03D1">
      <w:pPr>
        <w:widowControl w:val="0"/>
        <w:autoSpaceDE w:val="0"/>
        <w:autoSpaceDN w:val="0"/>
        <w:spacing w:after="0" w:line="240" w:lineRule="auto"/>
        <w:jc w:val="center"/>
        <w:rPr>
          <w:rFonts w:eastAsia="Times New Roman"/>
          <w:color w:val="auto"/>
          <w:kern w:val="0"/>
          <w14:ligatures w14:val="none"/>
        </w:rPr>
      </w:pPr>
      <w:r>
        <w:rPr>
          <w:rFonts w:eastAsia="Times New Roman"/>
          <w:color w:val="auto"/>
          <w:kern w:val="0"/>
          <w14:ligatures w14:val="none"/>
        </w:rPr>
        <w:t>March 14</w:t>
      </w:r>
      <w:r w:rsidR="00AC03D1" w:rsidRPr="00AC03D1">
        <w:rPr>
          <w:rFonts w:eastAsia="Times New Roman"/>
          <w:color w:val="auto"/>
          <w:kern w:val="0"/>
          <w14:ligatures w14:val="none"/>
        </w:rPr>
        <w:t>, 202</w:t>
      </w:r>
      <w:r w:rsidR="00AC03D1">
        <w:rPr>
          <w:rFonts w:eastAsia="Times New Roman"/>
          <w:color w:val="auto"/>
          <w:kern w:val="0"/>
          <w14:ligatures w14:val="none"/>
        </w:rPr>
        <w:t>4</w:t>
      </w:r>
    </w:p>
    <w:p w14:paraId="556C32BD" w14:textId="77777777" w:rsidR="0019425D" w:rsidRPr="00AC03D1" w:rsidRDefault="0019425D" w:rsidP="00AC03D1">
      <w:pPr>
        <w:widowControl w:val="0"/>
        <w:autoSpaceDE w:val="0"/>
        <w:autoSpaceDN w:val="0"/>
        <w:spacing w:after="0" w:line="240" w:lineRule="auto"/>
        <w:jc w:val="center"/>
        <w:rPr>
          <w:rFonts w:eastAsia="Times New Roman"/>
          <w:color w:val="auto"/>
          <w:kern w:val="0"/>
          <w14:ligatures w14:val="none"/>
        </w:rPr>
      </w:pPr>
    </w:p>
    <w:p w14:paraId="10D79F23" w14:textId="361D1565" w:rsidR="0018540B" w:rsidRPr="0019425D" w:rsidRDefault="0018540B" w:rsidP="006D4055">
      <w:pPr>
        <w:ind w:left="1440" w:right="1440"/>
        <w:jc w:val="both"/>
        <w:rPr>
          <w:i/>
          <w:iCs/>
        </w:rPr>
      </w:pPr>
      <w:r w:rsidRPr="00AD0E9B">
        <w:rPr>
          <w:b/>
          <w:bCs/>
          <w:i/>
          <w:iCs/>
          <w:u w:val="single"/>
        </w:rPr>
        <w:t>Physician Reentry</w:t>
      </w:r>
      <w:r w:rsidR="00843618" w:rsidRPr="00843618">
        <w:t xml:space="preserve">: </w:t>
      </w:r>
      <w:r w:rsidR="00843618">
        <w:t>“</w:t>
      </w:r>
      <w:r w:rsidR="00843618" w:rsidRPr="00843618">
        <w:t>a return to clinical practice in the discipline in which one has been trained or certified following an extended period of clinical inactivity not resulting from discipline or impairment.</w:t>
      </w:r>
      <w:r w:rsidR="00843618">
        <w:t>”</w:t>
      </w:r>
      <w:r w:rsidR="00843618" w:rsidRPr="00843618">
        <w:t xml:space="preserve">  </w:t>
      </w:r>
      <w:r w:rsidR="0019425D">
        <w:t xml:space="preserve">                     </w:t>
      </w:r>
      <w:r w:rsidR="006D4055">
        <w:tab/>
      </w:r>
      <w:r w:rsidR="006D4055">
        <w:tab/>
      </w:r>
      <w:r w:rsidR="006D4055">
        <w:tab/>
      </w:r>
      <w:r w:rsidR="00843618" w:rsidRPr="0019425D">
        <w:rPr>
          <w:i/>
          <w:iCs/>
        </w:rPr>
        <w:t>243 CMR 2.01(4).</w:t>
      </w:r>
    </w:p>
    <w:p w14:paraId="39021EFF" w14:textId="77777777" w:rsidR="006D4055" w:rsidRDefault="006D4055" w:rsidP="001E1973">
      <w:pPr>
        <w:jc w:val="both"/>
      </w:pPr>
    </w:p>
    <w:p w14:paraId="75BE59B2" w14:textId="30BFC56C" w:rsidR="003E0A84" w:rsidRDefault="0036163D" w:rsidP="001E1973">
      <w:pPr>
        <w:jc w:val="both"/>
      </w:pPr>
      <w:r>
        <w:t>When a</w:t>
      </w:r>
      <w:r w:rsidR="0019425D">
        <w:t>n applicant for an initial full license</w:t>
      </w:r>
      <w:r w:rsidR="00567956">
        <w:t>,</w:t>
      </w:r>
      <w:r w:rsidR="00143D62">
        <w:rPr>
          <w:rStyle w:val="FootnoteReference"/>
        </w:rPr>
        <w:footnoteReference w:id="2"/>
      </w:r>
      <w:r w:rsidR="00567956">
        <w:t xml:space="preserve"> a voluntary license</w:t>
      </w:r>
      <w:r w:rsidR="00EE1B00">
        <w:t>, a change of status</w:t>
      </w:r>
      <w:r w:rsidR="00567956">
        <w:t xml:space="preserve"> or a lapsed license</w:t>
      </w:r>
      <w:r w:rsidR="0019425D">
        <w:t xml:space="preserve"> </w:t>
      </w:r>
      <w:r w:rsidR="003E0A84">
        <w:t xml:space="preserve">has ceased the practice of medicine for a period of 24 or more consecutive months immediately preceding the </w:t>
      </w:r>
      <w:r w:rsidR="001E1973">
        <w:t xml:space="preserve">date of the </w:t>
      </w:r>
      <w:r w:rsidR="003E0A84">
        <w:t xml:space="preserve">application, the applicant </w:t>
      </w:r>
      <w:r>
        <w:t>shall be</w:t>
      </w:r>
      <w:r w:rsidR="003E0A84">
        <w:t xml:space="preserve"> required to demonstrate </w:t>
      </w:r>
      <w:r w:rsidR="00805E3A">
        <w:t xml:space="preserve">current </w:t>
      </w:r>
      <w:r w:rsidR="003E0A84">
        <w:t xml:space="preserve">clinical competency. </w:t>
      </w:r>
      <w:r w:rsidR="00AD0E9B">
        <w:t xml:space="preserve">If </w:t>
      </w:r>
      <w:r w:rsidR="001E1973">
        <w:t>the applica</w:t>
      </w:r>
      <w:r w:rsidR="00AD0E9B">
        <w:t>nt can</w:t>
      </w:r>
      <w:r w:rsidR="001E1973">
        <w:t xml:space="preserve">not establish current clinical competency, the applicant may be required to complete a </w:t>
      </w:r>
      <w:r w:rsidR="00AD0E9B">
        <w:t xml:space="preserve">physician </w:t>
      </w:r>
      <w:r w:rsidR="001E1973">
        <w:t xml:space="preserve">reentry plan to the satisfaction of the </w:t>
      </w:r>
      <w:r w:rsidR="00AD0E9B">
        <w:t xml:space="preserve">Licensing Committee </w:t>
      </w:r>
      <w:r>
        <w:t xml:space="preserve">(LC) </w:t>
      </w:r>
      <w:r w:rsidR="00AD0E9B">
        <w:t xml:space="preserve">or the </w:t>
      </w:r>
      <w:r w:rsidR="001E1973">
        <w:t xml:space="preserve">Board. </w:t>
      </w:r>
    </w:p>
    <w:p w14:paraId="3AA6BD88" w14:textId="05D7664C" w:rsidR="001E1973" w:rsidRPr="008139DE" w:rsidRDefault="001E1973" w:rsidP="001E1973">
      <w:pPr>
        <w:jc w:val="both"/>
        <w:rPr>
          <w:b/>
          <w:bCs/>
          <w:u w:val="single"/>
        </w:rPr>
      </w:pPr>
      <w:r w:rsidRPr="008139DE">
        <w:rPr>
          <w:b/>
          <w:bCs/>
          <w:u w:val="single"/>
        </w:rPr>
        <w:t xml:space="preserve">Establishing </w:t>
      </w:r>
      <w:r w:rsidR="005C130A">
        <w:rPr>
          <w:b/>
          <w:bCs/>
          <w:u w:val="single"/>
        </w:rPr>
        <w:t>C</w:t>
      </w:r>
      <w:r w:rsidRPr="008139DE">
        <w:rPr>
          <w:b/>
          <w:bCs/>
          <w:u w:val="single"/>
        </w:rPr>
        <w:t xml:space="preserve">urrent </w:t>
      </w:r>
      <w:r w:rsidR="005C130A">
        <w:rPr>
          <w:b/>
          <w:bCs/>
          <w:u w:val="single"/>
        </w:rPr>
        <w:t>C</w:t>
      </w:r>
      <w:r w:rsidRPr="008139DE">
        <w:rPr>
          <w:b/>
          <w:bCs/>
          <w:u w:val="single"/>
        </w:rPr>
        <w:t xml:space="preserve">linical </w:t>
      </w:r>
      <w:r w:rsidR="005C130A">
        <w:rPr>
          <w:b/>
          <w:bCs/>
          <w:u w:val="single"/>
        </w:rPr>
        <w:t>C</w:t>
      </w:r>
      <w:r w:rsidRPr="008139DE">
        <w:rPr>
          <w:b/>
          <w:bCs/>
          <w:u w:val="single"/>
        </w:rPr>
        <w:t xml:space="preserve">ompetency </w:t>
      </w:r>
    </w:p>
    <w:p w14:paraId="56A5E11D" w14:textId="357E987E" w:rsidR="00EF4C2E" w:rsidRDefault="00EF4C2E" w:rsidP="001E1973">
      <w:pPr>
        <w:jc w:val="both"/>
      </w:pPr>
      <w:r>
        <w:t xml:space="preserve">The applicant may demonstrate </w:t>
      </w:r>
      <w:r w:rsidR="00126BFF">
        <w:t xml:space="preserve">current </w:t>
      </w:r>
      <w:r>
        <w:t>clinical competency in the following ways</w:t>
      </w:r>
      <w:r w:rsidR="00126BFF">
        <w:t xml:space="preserve"> </w:t>
      </w:r>
      <w:r w:rsidR="00567956">
        <w:t xml:space="preserve">within the 24 months immediately </w:t>
      </w:r>
      <w:r w:rsidR="00CF6CB0">
        <w:t>preceding</w:t>
      </w:r>
      <w:r w:rsidR="00567956">
        <w:t xml:space="preserve"> the date of the application</w:t>
      </w:r>
      <w:r w:rsidR="003F0745">
        <w:t>,</w:t>
      </w:r>
      <w:r w:rsidR="00567956">
        <w:t xml:space="preserve"> by engaging in one or more of the following</w:t>
      </w:r>
      <w:r>
        <w:t xml:space="preserve">: </w:t>
      </w:r>
    </w:p>
    <w:p w14:paraId="75C94C01" w14:textId="08937F1D" w:rsidR="00EF4C2E" w:rsidRDefault="002B612F" w:rsidP="00126BFF">
      <w:pPr>
        <w:pStyle w:val="ListParagraph"/>
        <w:numPr>
          <w:ilvl w:val="0"/>
          <w:numId w:val="2"/>
        </w:numPr>
        <w:jc w:val="both"/>
      </w:pPr>
      <w:r>
        <w:t xml:space="preserve">Taking </w:t>
      </w:r>
      <w:r w:rsidR="00567956">
        <w:t xml:space="preserve">100 hours of </w:t>
      </w:r>
      <w:r w:rsidR="008139DE">
        <w:t>p</w:t>
      </w:r>
      <w:r w:rsidR="00EF4C2E">
        <w:t xml:space="preserve">ractice-relevant Continuing Medical Education </w:t>
      </w:r>
      <w:r w:rsidR="008139DE">
        <w:t>courses or trainings</w:t>
      </w:r>
      <w:r>
        <w:t xml:space="preserve"> beyond those required for licensure</w:t>
      </w:r>
      <w:r w:rsidR="00EF4C2E">
        <w:t xml:space="preserve">; </w:t>
      </w:r>
    </w:p>
    <w:p w14:paraId="6C20492F" w14:textId="3A6C88C4" w:rsidR="00EF4C2E" w:rsidRDefault="00EF4C2E" w:rsidP="00126BFF">
      <w:pPr>
        <w:pStyle w:val="ListParagraph"/>
        <w:numPr>
          <w:ilvl w:val="0"/>
          <w:numId w:val="2"/>
        </w:numPr>
        <w:jc w:val="both"/>
      </w:pPr>
      <w:r>
        <w:t>Passing the Special Purpose Examination (SPEX) or the Comprehensive Osteopathic Medical Variable-Purpose Examination (COMVEX)</w:t>
      </w:r>
      <w:r w:rsidR="008139DE">
        <w:t>;</w:t>
      </w:r>
      <w:r>
        <w:t xml:space="preserve"> </w:t>
      </w:r>
    </w:p>
    <w:p w14:paraId="64290E75" w14:textId="1D4839C9" w:rsidR="00EF4C2E" w:rsidRDefault="008139DE" w:rsidP="00126BFF">
      <w:pPr>
        <w:pStyle w:val="ListParagraph"/>
        <w:numPr>
          <w:ilvl w:val="0"/>
          <w:numId w:val="2"/>
        </w:numPr>
        <w:jc w:val="both"/>
      </w:pPr>
      <w:r>
        <w:t xml:space="preserve">Being certified or recertified by a specialty board recognized by the American Board of Medical Specialties or the American Osteopathic Association; </w:t>
      </w:r>
    </w:p>
    <w:p w14:paraId="18126E9F" w14:textId="40FD87FC" w:rsidR="008139DE" w:rsidRDefault="008139DE" w:rsidP="00126BFF">
      <w:pPr>
        <w:pStyle w:val="ListParagraph"/>
        <w:numPr>
          <w:ilvl w:val="0"/>
          <w:numId w:val="2"/>
        </w:numPr>
        <w:jc w:val="both"/>
      </w:pPr>
      <w:r>
        <w:t>Complet</w:t>
      </w:r>
      <w:r w:rsidR="00126BFF">
        <w:t>ing</w:t>
      </w:r>
      <w:r>
        <w:t xml:space="preserve"> the American Medical Association’s Maintenance of Licensure program; </w:t>
      </w:r>
    </w:p>
    <w:p w14:paraId="696BAFFA" w14:textId="62866C62" w:rsidR="005C130A" w:rsidRDefault="001E4482" w:rsidP="00126BFF">
      <w:pPr>
        <w:pStyle w:val="ListParagraph"/>
        <w:numPr>
          <w:ilvl w:val="0"/>
          <w:numId w:val="2"/>
        </w:numPr>
        <w:jc w:val="both"/>
      </w:pPr>
      <w:r>
        <w:t>Completing a fellowship</w:t>
      </w:r>
      <w:r w:rsidR="00E976C9">
        <w:t>,</w:t>
      </w:r>
      <w:r>
        <w:t xml:space="preserve"> </w:t>
      </w:r>
      <w:r w:rsidR="00E976C9">
        <w:t xml:space="preserve"> a</w:t>
      </w:r>
      <w:r>
        <w:t xml:space="preserve"> mini-residency</w:t>
      </w:r>
      <w:r w:rsidR="00E976C9">
        <w:t xml:space="preserve"> or similar extensive training course</w:t>
      </w:r>
      <w:r>
        <w:t>;</w:t>
      </w:r>
    </w:p>
    <w:p w14:paraId="66997285" w14:textId="29A7CDB6" w:rsidR="001E4482" w:rsidRDefault="005C130A" w:rsidP="00126BFF">
      <w:pPr>
        <w:pStyle w:val="ListParagraph"/>
        <w:numPr>
          <w:ilvl w:val="0"/>
          <w:numId w:val="2"/>
        </w:numPr>
        <w:jc w:val="both"/>
      </w:pPr>
      <w:r>
        <w:t>Recent, successful completion of an Ongoing Physician Performance Evaluation (OPPE) or a Focused Physician Performance Evaluation (FPPE);</w:t>
      </w:r>
      <w:r w:rsidR="001E4482">
        <w:t xml:space="preserve"> </w:t>
      </w:r>
    </w:p>
    <w:p w14:paraId="63D07097" w14:textId="716EC39B" w:rsidR="008139DE" w:rsidRDefault="008139DE" w:rsidP="00126BFF">
      <w:pPr>
        <w:pStyle w:val="ListParagraph"/>
        <w:numPr>
          <w:ilvl w:val="0"/>
          <w:numId w:val="2"/>
        </w:numPr>
        <w:jc w:val="both"/>
      </w:pPr>
      <w:r>
        <w:lastRenderedPageBreak/>
        <w:t>Participa</w:t>
      </w:r>
      <w:r w:rsidR="00126BFF">
        <w:t>ting</w:t>
      </w:r>
      <w:r>
        <w:t xml:space="preserve"> in </w:t>
      </w:r>
      <w:r w:rsidR="00126BFF">
        <w:t>activities during the period of inactive clinical practice that, to the satisfaction of the Licensing Committee or the Board, develop or enhance clinical competency.</w:t>
      </w:r>
    </w:p>
    <w:p w14:paraId="4DC287CB" w14:textId="52E4CA65" w:rsidR="00481FBD" w:rsidRPr="002D0C3E" w:rsidRDefault="00481FBD" w:rsidP="00CF6CB0">
      <w:pPr>
        <w:jc w:val="both"/>
      </w:pPr>
      <w:r>
        <w:t xml:space="preserve">The </w:t>
      </w:r>
      <w:r w:rsidR="0036163D">
        <w:t xml:space="preserve">initial full </w:t>
      </w:r>
      <w:r>
        <w:t xml:space="preserve">applicant may be required to appear before the LC or the Board for a personal interview to discuss his/her current clinical competency and/or a reentry plan. </w:t>
      </w:r>
    </w:p>
    <w:p w14:paraId="290A94D4" w14:textId="20AB8C77" w:rsidR="00126BFF" w:rsidRDefault="0036163D" w:rsidP="00126BFF">
      <w:pPr>
        <w:jc w:val="both"/>
      </w:pPr>
      <w:r>
        <w:t xml:space="preserve">A </w:t>
      </w:r>
      <w:r w:rsidR="00126BFF">
        <w:t xml:space="preserve">determination of current clinical competency shall be made by the Licensing Committee and/or the Board.  </w:t>
      </w:r>
      <w:r w:rsidR="00F30F2F">
        <w:t xml:space="preserve">When current clinical competency is established, </w:t>
      </w:r>
      <w:r w:rsidR="000C3E29">
        <w:t xml:space="preserve">and the applicant has met all </w:t>
      </w:r>
      <w:r w:rsidR="00D11B7B">
        <w:t xml:space="preserve">other </w:t>
      </w:r>
      <w:r w:rsidR="000C3E29">
        <w:t xml:space="preserve">statutory and regulatory licensure requirements, </w:t>
      </w:r>
      <w:r w:rsidR="00F30F2F">
        <w:t xml:space="preserve">the Board </w:t>
      </w:r>
      <w:r w:rsidR="008433C6">
        <w:t xml:space="preserve">may </w:t>
      </w:r>
      <w:r w:rsidR="00F30F2F">
        <w:t xml:space="preserve">issue the applicant a full license in Massachusetts. </w:t>
      </w:r>
    </w:p>
    <w:p w14:paraId="7E40B031" w14:textId="74DBB247" w:rsidR="001E4482" w:rsidRDefault="001E4482" w:rsidP="00126BFF">
      <w:pPr>
        <w:jc w:val="both"/>
        <w:rPr>
          <w:b/>
          <w:bCs/>
          <w:u w:val="single"/>
        </w:rPr>
      </w:pPr>
      <w:r w:rsidRPr="001E4482">
        <w:rPr>
          <w:b/>
          <w:bCs/>
          <w:u w:val="single"/>
        </w:rPr>
        <w:t xml:space="preserve">The </w:t>
      </w:r>
      <w:r w:rsidR="00EA5F74">
        <w:rPr>
          <w:b/>
          <w:bCs/>
          <w:u w:val="single"/>
        </w:rPr>
        <w:t xml:space="preserve">Physician </w:t>
      </w:r>
      <w:r w:rsidRPr="001E4482">
        <w:rPr>
          <w:b/>
          <w:bCs/>
          <w:u w:val="single"/>
        </w:rPr>
        <w:t>Reentry Plan</w:t>
      </w:r>
    </w:p>
    <w:p w14:paraId="16AE4AC0" w14:textId="21AC87A9" w:rsidR="00E4327B" w:rsidRDefault="00C94DC5" w:rsidP="00126BFF">
      <w:pPr>
        <w:jc w:val="both"/>
      </w:pPr>
      <w:r>
        <w:t xml:space="preserve">If the Licensing Committee or the Board determines that the </w:t>
      </w:r>
      <w:r w:rsidR="00EA5F74">
        <w:t xml:space="preserve">initial full </w:t>
      </w:r>
      <w:r>
        <w:t xml:space="preserve">applicant has not demonstrated sufficient current clinical competency, the applicant will be required to participate in a </w:t>
      </w:r>
      <w:r w:rsidR="00EA5F74">
        <w:t xml:space="preserve">physician </w:t>
      </w:r>
      <w:r>
        <w:t xml:space="preserve">reentry plan. </w:t>
      </w:r>
      <w:r w:rsidR="00EA5F74">
        <w:t xml:space="preserve"> </w:t>
      </w:r>
      <w:r w:rsidR="00EA1ACF">
        <w:t xml:space="preserve">A reentry plan </w:t>
      </w:r>
      <w:r w:rsidR="00E976C9">
        <w:t xml:space="preserve">may </w:t>
      </w:r>
      <w:r w:rsidR="00EA1ACF">
        <w:t>last from 1 month to 12 months.</w:t>
      </w:r>
    </w:p>
    <w:p w14:paraId="6BEFB8D9" w14:textId="48059C79" w:rsidR="00C94DC5" w:rsidRDefault="00E4327B" w:rsidP="00126BFF">
      <w:pPr>
        <w:jc w:val="both"/>
      </w:pPr>
      <w:r>
        <w:t xml:space="preserve">The goal of the physician reentry plan is to protect patient safety by ensuring that all licensees possess an up-to-date educational background and have a depth of experience in clinical practice.  </w:t>
      </w:r>
      <w:r w:rsidR="00EA1ACF">
        <w:t xml:space="preserve"> </w:t>
      </w:r>
    </w:p>
    <w:p w14:paraId="2BCDD0A4" w14:textId="77777777" w:rsidR="00EA5F74" w:rsidRDefault="00EA5F74" w:rsidP="00EA5F74">
      <w:pPr>
        <w:jc w:val="both"/>
      </w:pPr>
      <w:r>
        <w:t xml:space="preserve">In evaluating the length and scope of the reentry plan, the Licensing Committee and/or the Board shall consider the following factors: </w:t>
      </w:r>
    </w:p>
    <w:p w14:paraId="11C9EB23" w14:textId="77777777" w:rsidR="00EA5F74" w:rsidRDefault="00EA5F74" w:rsidP="00EA5F74">
      <w:pPr>
        <w:pStyle w:val="ListParagraph"/>
        <w:numPr>
          <w:ilvl w:val="0"/>
          <w:numId w:val="4"/>
        </w:numPr>
        <w:jc w:val="both"/>
      </w:pPr>
      <w:r>
        <w:t xml:space="preserve">How long has the applicant been out of practice? </w:t>
      </w:r>
    </w:p>
    <w:p w14:paraId="0A4E631A" w14:textId="77777777" w:rsidR="00EA5F74" w:rsidRDefault="00EA5F74" w:rsidP="00EA5F74">
      <w:pPr>
        <w:pStyle w:val="ListParagraph"/>
        <w:numPr>
          <w:ilvl w:val="0"/>
          <w:numId w:val="4"/>
        </w:numPr>
        <w:jc w:val="both"/>
      </w:pPr>
      <w:r>
        <w:t xml:space="preserve">What was the reason for the interruption in practice? </w:t>
      </w:r>
    </w:p>
    <w:p w14:paraId="45CFF882" w14:textId="1A5A40EB" w:rsidR="006D4055" w:rsidRDefault="006D4055" w:rsidP="00EA5F74">
      <w:pPr>
        <w:pStyle w:val="ListParagraph"/>
        <w:numPr>
          <w:ilvl w:val="0"/>
          <w:numId w:val="4"/>
        </w:numPr>
        <w:jc w:val="both"/>
      </w:pPr>
      <w:r>
        <w:t>What is the applicant’s plan for practicing in Massachusetts?</w:t>
      </w:r>
    </w:p>
    <w:p w14:paraId="7C3C978F" w14:textId="77777777" w:rsidR="00EA5F74" w:rsidRDefault="00EA5F74" w:rsidP="00EA5F74">
      <w:pPr>
        <w:pStyle w:val="ListParagraph"/>
        <w:numPr>
          <w:ilvl w:val="0"/>
          <w:numId w:val="4"/>
        </w:numPr>
        <w:jc w:val="both"/>
      </w:pPr>
      <w:r>
        <w:t>What skills are required in the intended area of practice?</w:t>
      </w:r>
    </w:p>
    <w:p w14:paraId="3B8F5537" w14:textId="77777777" w:rsidR="00EA5F74" w:rsidRDefault="00EA5F74" w:rsidP="00EA5F74">
      <w:pPr>
        <w:pStyle w:val="ListParagraph"/>
        <w:numPr>
          <w:ilvl w:val="0"/>
          <w:numId w:val="4"/>
        </w:numPr>
        <w:jc w:val="both"/>
      </w:pPr>
      <w:r>
        <w:t>How much change has occurred in the area of practice during the period of inactivity?</w:t>
      </w:r>
    </w:p>
    <w:p w14:paraId="04C4FA06" w14:textId="77777777" w:rsidR="00EA5F74" w:rsidRDefault="00EA5F74" w:rsidP="00EA5F74">
      <w:pPr>
        <w:pStyle w:val="ListParagraph"/>
        <w:numPr>
          <w:ilvl w:val="0"/>
          <w:numId w:val="4"/>
        </w:numPr>
        <w:jc w:val="both"/>
      </w:pPr>
      <w:r>
        <w:t>How many years of graduate medical education does the applicant have and when did it occur?</w:t>
      </w:r>
    </w:p>
    <w:p w14:paraId="13B85FE5" w14:textId="6590B5FF" w:rsidR="00EA5F74" w:rsidRDefault="00EA5F74" w:rsidP="00EA5F74">
      <w:pPr>
        <w:pStyle w:val="ListParagraph"/>
        <w:numPr>
          <w:ilvl w:val="0"/>
          <w:numId w:val="4"/>
        </w:numPr>
        <w:jc w:val="both"/>
      </w:pPr>
      <w:r>
        <w:t>Other factors that the Board or the LC may consider significant.</w:t>
      </w:r>
    </w:p>
    <w:p w14:paraId="576C4F09" w14:textId="6EEF6A7E" w:rsidR="00693D20" w:rsidRDefault="00693D20" w:rsidP="00693D20">
      <w:pPr>
        <w:jc w:val="both"/>
      </w:pPr>
      <w:r>
        <w:t>The applicant shall meet with the Licensing Committee (LC) or the Board at such dates, times and places as directed by the LC or Board. The applicant may be represented by legal counsel.</w:t>
      </w:r>
    </w:p>
    <w:p w14:paraId="1446CBDA" w14:textId="6BFB3CC6" w:rsidR="00FC2381" w:rsidRPr="00FC2381" w:rsidRDefault="00FC2381" w:rsidP="00693D20">
      <w:pPr>
        <w:jc w:val="both"/>
        <w:rPr>
          <w:u w:val="single"/>
        </w:rPr>
      </w:pPr>
      <w:r w:rsidRPr="00FC2381">
        <w:rPr>
          <w:u w:val="single"/>
        </w:rPr>
        <w:t>Reentry Plan as Part of an Onboarding Program</w:t>
      </w:r>
    </w:p>
    <w:p w14:paraId="49E4163E" w14:textId="60146B4D" w:rsidR="00EA1ACF" w:rsidRDefault="00EA5F74" w:rsidP="00693D20">
      <w:pPr>
        <w:jc w:val="both"/>
      </w:pPr>
      <w:r>
        <w:t xml:space="preserve">The applicant </w:t>
      </w:r>
      <w:r w:rsidR="004B1F25">
        <w:t xml:space="preserve">who chooses to participate in an employer-based reentry plan </w:t>
      </w:r>
      <w:r>
        <w:t xml:space="preserve">shall identify a physician who is willing to mentor them.  </w:t>
      </w:r>
      <w:r w:rsidR="00EA1ACF">
        <w:t xml:space="preserve">The </w:t>
      </w:r>
      <w:r w:rsidR="00E976C9">
        <w:t>Physician/M</w:t>
      </w:r>
      <w:r w:rsidR="001831BB">
        <w:t>entor</w:t>
      </w:r>
      <w:r w:rsidR="00EA1ACF">
        <w:t xml:space="preserve"> shall be approved by the LC or the </w:t>
      </w:r>
      <w:r w:rsidR="00693D20">
        <w:t>Board</w:t>
      </w:r>
      <w:r w:rsidR="00E976C9">
        <w:t>, shall sign the Reentry Agreement</w:t>
      </w:r>
      <w:r w:rsidR="00693D20">
        <w:t xml:space="preserve"> and</w:t>
      </w:r>
      <w:r w:rsidR="00EA1ACF">
        <w:t xml:space="preserve"> shall make a monthly progress report to the LC or the Board. </w:t>
      </w:r>
      <w:r w:rsidR="001831BB">
        <w:t xml:space="preserve"> </w:t>
      </w:r>
      <w:r w:rsidR="00EA1ACF">
        <w:t xml:space="preserve">The </w:t>
      </w:r>
      <w:r w:rsidR="00E976C9">
        <w:t>Physician/M</w:t>
      </w:r>
      <w:r w:rsidR="00EA1ACF">
        <w:t xml:space="preserve">entor shall immediately notify the LC or the Board if the applicant is not performing satisfactorily and in accordance with the physician reentry plan. </w:t>
      </w:r>
    </w:p>
    <w:p w14:paraId="14AA6533" w14:textId="77777777" w:rsidR="00E4327B" w:rsidRDefault="00E4327B" w:rsidP="00693D20">
      <w:pPr>
        <w:jc w:val="both"/>
      </w:pPr>
    </w:p>
    <w:p w14:paraId="096F66B2" w14:textId="77777777" w:rsidR="00CF6CB0" w:rsidRDefault="00CF6CB0" w:rsidP="00693D20">
      <w:pPr>
        <w:jc w:val="both"/>
        <w:rPr>
          <w:u w:val="single"/>
        </w:rPr>
      </w:pPr>
    </w:p>
    <w:p w14:paraId="53AEC472" w14:textId="54ACEF91" w:rsidR="00FC2381" w:rsidRPr="00FC2381" w:rsidRDefault="00FC2381" w:rsidP="00693D20">
      <w:pPr>
        <w:jc w:val="both"/>
        <w:rPr>
          <w:u w:val="single"/>
        </w:rPr>
      </w:pPr>
      <w:r w:rsidRPr="00FC2381">
        <w:rPr>
          <w:u w:val="single"/>
        </w:rPr>
        <w:lastRenderedPageBreak/>
        <w:t>Reentry Plan as a Formal Reentry Program</w:t>
      </w:r>
    </w:p>
    <w:p w14:paraId="735539F9" w14:textId="449D6065" w:rsidR="004B1F25" w:rsidRDefault="004B1F25" w:rsidP="00693D20">
      <w:pPr>
        <w:jc w:val="both"/>
      </w:pPr>
      <w:r>
        <w:t xml:space="preserve">Alternatively, the applicant may choose to participate in a formal physician reentry program.  Here is a list of </w:t>
      </w:r>
      <w:r w:rsidR="00FC2381">
        <w:t xml:space="preserve">links to </w:t>
      </w:r>
      <w:r w:rsidR="00D11B7B">
        <w:t xml:space="preserve">some of the available </w:t>
      </w:r>
      <w:r w:rsidR="00FC2381">
        <w:t>programs</w:t>
      </w:r>
      <w:r>
        <w:t xml:space="preserve">. This list is provided for information purposes and is not an endorsement by the Board. </w:t>
      </w:r>
    </w:p>
    <w:p w14:paraId="1408DE64" w14:textId="77777777" w:rsidR="004B1F25" w:rsidRDefault="00000000" w:rsidP="004B1F25">
      <w:pPr>
        <w:numPr>
          <w:ilvl w:val="0"/>
          <w:numId w:val="5"/>
        </w:numPr>
        <w:spacing w:beforeAutospacing="1" w:after="0" w:afterAutospacing="1" w:line="240" w:lineRule="auto"/>
        <w:textAlignment w:val="baseline"/>
        <w:rPr>
          <w:rFonts w:ascii="Helvetica" w:eastAsia="Times New Roman" w:hAnsi="Helvetica" w:cs="Helvetica"/>
          <w:color w:val="1B1F27"/>
          <w:kern w:val="0"/>
          <w14:ligatures w14:val="none"/>
        </w:rPr>
      </w:pPr>
      <w:hyperlink r:id="rId8" w:tgtFrame="_blank" w:history="1">
        <w:r w:rsidR="004B1F25" w:rsidRPr="004B1F25">
          <w:rPr>
            <w:rFonts w:ascii="inherit" w:eastAsia="Times New Roman" w:hAnsi="inherit" w:cs="Helvetica"/>
            <w:b/>
            <w:bCs/>
            <w:color w:val="304FFE"/>
            <w:kern w:val="0"/>
            <w:u w:val="single"/>
            <w:bdr w:val="none" w:sz="0" w:space="0" w:color="auto" w:frame="1"/>
            <w14:ligatures w14:val="none"/>
          </w:rPr>
          <w:t>Drexel University Physician Refresher Reentry Program</w:t>
        </w:r>
      </w:hyperlink>
      <w:r w:rsidR="004B1F25" w:rsidRPr="004B1F25">
        <w:rPr>
          <w:rFonts w:ascii="Helvetica" w:eastAsia="Times New Roman" w:hAnsi="Helvetica" w:cs="Helvetica"/>
          <w:color w:val="1B1F27"/>
          <w:kern w:val="0"/>
          <w14:ligatures w14:val="none"/>
        </w:rPr>
        <w:t> </w:t>
      </w:r>
    </w:p>
    <w:p w14:paraId="334864B7" w14:textId="37C8E651" w:rsidR="004B1F25" w:rsidRPr="004B1F25" w:rsidRDefault="00000000" w:rsidP="004B1F25">
      <w:pPr>
        <w:numPr>
          <w:ilvl w:val="0"/>
          <w:numId w:val="5"/>
        </w:numPr>
        <w:spacing w:beforeAutospacing="1" w:after="0" w:afterAutospacing="1" w:line="240" w:lineRule="auto"/>
        <w:textAlignment w:val="baseline"/>
        <w:rPr>
          <w:rFonts w:ascii="Helvetica" w:eastAsia="Times New Roman" w:hAnsi="Helvetica" w:cs="Helvetica"/>
          <w:color w:val="1B1F27"/>
          <w:kern w:val="0"/>
          <w14:ligatures w14:val="none"/>
        </w:rPr>
      </w:pPr>
      <w:hyperlink r:id="rId9" w:tgtFrame="_blank" w:history="1">
        <w:r w:rsidR="004B1F25" w:rsidRPr="004B1F25">
          <w:rPr>
            <w:rFonts w:ascii="inherit" w:eastAsia="Times New Roman" w:hAnsi="inherit" w:cs="Helvetica"/>
            <w:b/>
            <w:bCs/>
            <w:color w:val="304FFE"/>
            <w:kern w:val="0"/>
            <w:u w:val="single"/>
            <w:bdr w:val="none" w:sz="0" w:space="0" w:color="auto" w:frame="1"/>
            <w14:ligatures w14:val="none"/>
          </w:rPr>
          <w:t>UC San Diego School of Medicine Faculty, Physician Retraining &amp; Reentry</w:t>
        </w:r>
      </w:hyperlink>
      <w:r w:rsidR="004B1F25" w:rsidRPr="004B1F25">
        <w:rPr>
          <w:rFonts w:ascii="Helvetica" w:eastAsia="Times New Roman" w:hAnsi="Helvetica" w:cs="Helvetica"/>
          <w:color w:val="1B1F27"/>
          <w:kern w:val="0"/>
          <w14:ligatures w14:val="none"/>
        </w:rPr>
        <w:t> </w:t>
      </w:r>
    </w:p>
    <w:p w14:paraId="3AE5AABF" w14:textId="77777777" w:rsidR="004B1F25" w:rsidRDefault="00000000" w:rsidP="004B1F25">
      <w:pPr>
        <w:numPr>
          <w:ilvl w:val="0"/>
          <w:numId w:val="5"/>
        </w:numPr>
        <w:spacing w:beforeAutospacing="1" w:after="0" w:afterAutospacing="1" w:line="240" w:lineRule="auto"/>
        <w:textAlignment w:val="baseline"/>
        <w:rPr>
          <w:rFonts w:ascii="Helvetica" w:eastAsia="Times New Roman" w:hAnsi="Helvetica" w:cs="Helvetica"/>
          <w:color w:val="1B1F27"/>
          <w:kern w:val="0"/>
          <w14:ligatures w14:val="none"/>
        </w:rPr>
      </w:pPr>
      <w:hyperlink r:id="rId10" w:tgtFrame="_blank" w:history="1">
        <w:r w:rsidR="004B1F25" w:rsidRPr="004B1F25">
          <w:rPr>
            <w:rFonts w:ascii="inherit" w:eastAsia="Times New Roman" w:hAnsi="inherit" w:cs="Helvetica"/>
            <w:b/>
            <w:bCs/>
            <w:color w:val="304FFE"/>
            <w:kern w:val="0"/>
            <w:u w:val="single"/>
            <w:bdr w:val="none" w:sz="0" w:space="0" w:color="auto" w:frame="1"/>
            <w14:ligatures w14:val="none"/>
          </w:rPr>
          <w:t>The Center for Personalized Education for Physicians (CPEP) Reentry to Clinical Practice Program</w:t>
        </w:r>
      </w:hyperlink>
    </w:p>
    <w:p w14:paraId="446751DC" w14:textId="1F2A7732" w:rsidR="004B1F25" w:rsidRPr="004B1F25" w:rsidRDefault="00000000" w:rsidP="004B1F25">
      <w:pPr>
        <w:numPr>
          <w:ilvl w:val="0"/>
          <w:numId w:val="5"/>
        </w:numPr>
        <w:spacing w:beforeAutospacing="1" w:after="0" w:afterAutospacing="1" w:line="240" w:lineRule="auto"/>
        <w:textAlignment w:val="baseline"/>
        <w:rPr>
          <w:rFonts w:ascii="Helvetica" w:eastAsia="Times New Roman" w:hAnsi="Helvetica" w:cs="Helvetica"/>
          <w:color w:val="1B1F27"/>
          <w:kern w:val="0"/>
          <w14:ligatures w14:val="none"/>
        </w:rPr>
      </w:pPr>
      <w:hyperlink r:id="rId11" w:tgtFrame="_blank" w:history="1">
        <w:r w:rsidR="004B1F25" w:rsidRPr="004B1F25">
          <w:rPr>
            <w:rFonts w:ascii="inherit" w:eastAsia="Times New Roman" w:hAnsi="inherit" w:cs="Helvetica"/>
            <w:b/>
            <w:bCs/>
            <w:color w:val="304FFE"/>
            <w:kern w:val="0"/>
            <w:u w:val="single"/>
            <w:bdr w:val="none" w:sz="0" w:space="0" w:color="auto" w:frame="1"/>
            <w14:ligatures w14:val="none"/>
          </w:rPr>
          <w:t>KSTAR/UTMB Health Mini-Residency Program</w:t>
        </w:r>
      </w:hyperlink>
      <w:r w:rsidR="004B1F25" w:rsidRPr="004B1F25">
        <w:rPr>
          <w:rFonts w:ascii="Helvetica" w:eastAsia="Times New Roman" w:hAnsi="Helvetica" w:cs="Helvetica"/>
          <w:color w:val="1B1F27"/>
          <w:kern w:val="0"/>
          <w14:ligatures w14:val="none"/>
        </w:rPr>
        <w:t> </w:t>
      </w:r>
    </w:p>
    <w:p w14:paraId="4ABC30F9" w14:textId="17D42EA4" w:rsidR="004B1F25" w:rsidRPr="004B1F25" w:rsidRDefault="00000000" w:rsidP="004B1F25">
      <w:pPr>
        <w:numPr>
          <w:ilvl w:val="0"/>
          <w:numId w:val="5"/>
        </w:numPr>
        <w:spacing w:beforeAutospacing="1" w:after="0" w:afterAutospacing="1" w:line="240" w:lineRule="auto"/>
        <w:textAlignment w:val="baseline"/>
        <w:rPr>
          <w:rFonts w:ascii="Helvetica" w:eastAsia="Times New Roman" w:hAnsi="Helvetica" w:cs="Helvetica"/>
          <w:color w:val="1B1F27"/>
          <w:kern w:val="0"/>
          <w14:ligatures w14:val="none"/>
        </w:rPr>
      </w:pPr>
      <w:hyperlink r:id="rId12" w:anchor=":~:text=The%20LifeGuard%20Re-entry%20%2FRe-instatement%20program%20provides%20a%20pathway,clinical%20skills%20and%20readiness%20to%20re-enter%20the%20workforce" w:tgtFrame="_blank" w:history="1">
        <w:r w:rsidR="004B1F25" w:rsidRPr="004B1F25">
          <w:rPr>
            <w:rFonts w:ascii="inherit" w:eastAsia="Times New Roman" w:hAnsi="inherit" w:cs="Helvetica"/>
            <w:b/>
            <w:bCs/>
            <w:color w:val="304FFE"/>
            <w:kern w:val="0"/>
            <w:u w:val="single"/>
            <w:bdr w:val="none" w:sz="0" w:space="0" w:color="auto" w:frame="1"/>
            <w14:ligatures w14:val="none"/>
          </w:rPr>
          <w:t>Lifeguard Re-Entry/Re-Instatement</w:t>
        </w:r>
      </w:hyperlink>
      <w:r w:rsidR="004B1F25" w:rsidRPr="004B1F25">
        <w:rPr>
          <w:rFonts w:ascii="Helvetica" w:eastAsia="Times New Roman" w:hAnsi="Helvetica" w:cs="Helvetica"/>
          <w:color w:val="1B1F27"/>
          <w:kern w:val="0"/>
          <w14:ligatures w14:val="none"/>
        </w:rPr>
        <w:t> </w:t>
      </w:r>
    </w:p>
    <w:p w14:paraId="4A059EC3" w14:textId="4E36267C" w:rsidR="00084490" w:rsidRPr="00EA1ACF" w:rsidRDefault="001831BB" w:rsidP="00693D20">
      <w:pPr>
        <w:jc w:val="both"/>
        <w:rPr>
          <w:b/>
          <w:bCs/>
          <w:u w:val="single"/>
        </w:rPr>
      </w:pPr>
      <w:r w:rsidRPr="00EA1ACF">
        <w:rPr>
          <w:b/>
          <w:bCs/>
          <w:u w:val="single"/>
        </w:rPr>
        <w:t>T</w:t>
      </w:r>
      <w:r w:rsidR="00084490" w:rsidRPr="00EA1ACF">
        <w:rPr>
          <w:b/>
          <w:bCs/>
          <w:u w:val="single"/>
        </w:rPr>
        <w:t xml:space="preserve">he Reentry </w:t>
      </w:r>
      <w:r w:rsidRPr="00EA1ACF">
        <w:rPr>
          <w:b/>
          <w:bCs/>
          <w:u w:val="single"/>
        </w:rPr>
        <w:t>Agreement</w:t>
      </w:r>
    </w:p>
    <w:p w14:paraId="52B14F87" w14:textId="0A65559F" w:rsidR="00084490" w:rsidRDefault="00693D20" w:rsidP="00693D20">
      <w:pPr>
        <w:jc w:val="both"/>
      </w:pPr>
      <w:r>
        <w:t xml:space="preserve">The Physician Reentry Agreement, </w:t>
      </w:r>
      <w:r w:rsidR="00D11B7B">
        <w:t xml:space="preserve">which </w:t>
      </w:r>
      <w:r>
        <w:t>includ</w:t>
      </w:r>
      <w:r w:rsidR="00D11B7B">
        <w:t>es</w:t>
      </w:r>
      <w:r>
        <w:t xml:space="preserve"> the Physician Reentry Plan, is drafted by the applicant. It shall be signed by the applicant, the physician mentor and a representative from the LC or the Board.  The reentry agreement is binding on all the parties.  </w:t>
      </w:r>
    </w:p>
    <w:p w14:paraId="12F738AE" w14:textId="6BBDEEF2" w:rsidR="00F30F2F" w:rsidRDefault="00F30F2F" w:rsidP="00693D20">
      <w:pPr>
        <w:jc w:val="both"/>
      </w:pPr>
      <w:r>
        <w:t xml:space="preserve">When the Physician Reentry Agreement has been signed by all the parties, </w:t>
      </w:r>
      <w:r w:rsidR="000C3E29">
        <w:t xml:space="preserve">and the applicant has met all </w:t>
      </w:r>
      <w:r w:rsidR="00F3651D">
        <w:t xml:space="preserve">other </w:t>
      </w:r>
      <w:r w:rsidR="000C3E29">
        <w:t xml:space="preserve">statutory and regulatory licensure requirements, </w:t>
      </w:r>
      <w:r>
        <w:t xml:space="preserve">the Board shall issue the applicant a </w:t>
      </w:r>
      <w:r w:rsidR="00CF6CB0">
        <w:t>license</w:t>
      </w:r>
      <w:r>
        <w:t xml:space="preserve"> and shall require that the applicant successfully complete the</w:t>
      </w:r>
      <w:r w:rsidR="006D4055">
        <w:t xml:space="preserve"> terms of the</w:t>
      </w:r>
      <w:r>
        <w:t xml:space="preserve"> Reentry Agreement. </w:t>
      </w:r>
    </w:p>
    <w:p w14:paraId="20E4A998" w14:textId="23B10017" w:rsidR="006D4055" w:rsidRDefault="006D4055" w:rsidP="00693D20">
      <w:pPr>
        <w:jc w:val="both"/>
      </w:pPr>
      <w:r>
        <w:t xml:space="preserve">The Physician Reentry Agreement is an educational plan and is not </w:t>
      </w:r>
      <w:r w:rsidR="000C3E29">
        <w:t xml:space="preserve">punitive or </w:t>
      </w:r>
      <w:r>
        <w:t xml:space="preserve">disciplinary in nature. </w:t>
      </w:r>
      <w:r w:rsidR="00E976C9">
        <w:t>The Board does not report th</w:t>
      </w:r>
      <w:r w:rsidR="00071A79">
        <w:t>e</w:t>
      </w:r>
      <w:r w:rsidR="00E976C9">
        <w:t xml:space="preserve"> </w:t>
      </w:r>
      <w:r w:rsidR="00071A79">
        <w:t xml:space="preserve">reentry </w:t>
      </w:r>
      <w:r w:rsidR="00A15160">
        <w:t>agreement</w:t>
      </w:r>
      <w:r w:rsidR="00E976C9">
        <w:t xml:space="preserve"> to the National Practitioner Data</w:t>
      </w:r>
      <w:r w:rsidR="009107CF">
        <w:t xml:space="preserve"> </w:t>
      </w:r>
      <w:r w:rsidR="00E976C9">
        <w:t xml:space="preserve">Bank. </w:t>
      </w:r>
    </w:p>
    <w:p w14:paraId="52E2024A" w14:textId="1C94B421" w:rsidR="00693D20" w:rsidRDefault="00693D20" w:rsidP="00693D20">
      <w:pPr>
        <w:jc w:val="both"/>
      </w:pPr>
      <w:r>
        <w:t xml:space="preserve">When the </w:t>
      </w:r>
      <w:r w:rsidR="00F30F2F">
        <w:t>applicant</w:t>
      </w:r>
      <w:r>
        <w:t xml:space="preserve"> has successfully completed his/her reentry plan, the </w:t>
      </w:r>
      <w:r w:rsidR="00B25325">
        <w:t xml:space="preserve">Applicant </w:t>
      </w:r>
      <w:r>
        <w:t xml:space="preserve">shall </w:t>
      </w:r>
      <w:r w:rsidR="00B25325">
        <w:t xml:space="preserve">petition </w:t>
      </w:r>
      <w:r>
        <w:t>the LC or the Board</w:t>
      </w:r>
      <w:r w:rsidR="00071A79">
        <w:t xml:space="preserve"> to terminate the plan</w:t>
      </w:r>
      <w:r>
        <w:t xml:space="preserve">, </w:t>
      </w:r>
      <w:r w:rsidR="00B25325">
        <w:t xml:space="preserve">including in the petition the Physician Mentor’s monthly reports and recommendations, if any. </w:t>
      </w:r>
    </w:p>
    <w:p w14:paraId="6E3B67E2" w14:textId="216CAE7A" w:rsidR="00A202A4" w:rsidRDefault="00A202A4" w:rsidP="00693D20">
      <w:pPr>
        <w:jc w:val="both"/>
      </w:pPr>
      <w:r>
        <w:t xml:space="preserve">If the </w:t>
      </w:r>
      <w:r w:rsidR="00693D20">
        <w:t>applicant</w:t>
      </w:r>
      <w:r>
        <w:t xml:space="preserve"> does not satisfactorily complete the reentry plan, or if the applicant practices outside the scope of the reentry plan, as determined by the Board, this conduct </w:t>
      </w:r>
      <w:r w:rsidR="00F30F2F">
        <w:t xml:space="preserve">could </w:t>
      </w:r>
      <w:r>
        <w:t xml:space="preserve">constitute misconduct </w:t>
      </w:r>
      <w:r w:rsidR="00290D89">
        <w:t xml:space="preserve">in the practice of medicine </w:t>
      </w:r>
      <w:r>
        <w:t xml:space="preserve">and </w:t>
      </w:r>
      <w:r w:rsidR="008F2E38">
        <w:t xml:space="preserve">could warrant referral to the Enforcement Division or </w:t>
      </w:r>
      <w:r w:rsidR="00F3651D">
        <w:t xml:space="preserve">it </w:t>
      </w:r>
      <w:r w:rsidR="008F2E38">
        <w:t xml:space="preserve">could </w:t>
      </w:r>
      <w:r w:rsidR="00693D20">
        <w:t>provide</w:t>
      </w:r>
      <w:r>
        <w:t xml:space="preserve"> grounds for the Board to institute a </w:t>
      </w:r>
      <w:r w:rsidR="00290D89">
        <w:t>s</w:t>
      </w:r>
      <w:r>
        <w:t xml:space="preserve">ummary </w:t>
      </w:r>
      <w:r w:rsidR="00290D89">
        <w:t>s</w:t>
      </w:r>
      <w:r>
        <w:t>uspension of the license</w:t>
      </w:r>
      <w:r w:rsidR="00290D89">
        <w:t xml:space="preserve"> pursuant to 243 CMR 1.03(11). </w:t>
      </w:r>
    </w:p>
    <w:p w14:paraId="79E415B0" w14:textId="77777777" w:rsidR="00A202A4" w:rsidRPr="008365F1" w:rsidRDefault="00A202A4" w:rsidP="00693D20">
      <w:pPr>
        <w:jc w:val="both"/>
      </w:pPr>
    </w:p>
    <w:p w14:paraId="4075EE1D" w14:textId="77777777" w:rsidR="0018540B" w:rsidRDefault="0018540B" w:rsidP="00693D20">
      <w:pPr>
        <w:jc w:val="both"/>
      </w:pPr>
    </w:p>
    <w:p w14:paraId="3BEF5EE9" w14:textId="563D4F18" w:rsidR="000C4935" w:rsidRDefault="0018540B" w:rsidP="00693D20">
      <w:pPr>
        <w:jc w:val="both"/>
      </w:pPr>
      <w:r>
        <w:t xml:space="preserve"> </w:t>
      </w:r>
    </w:p>
    <w:sectPr w:rsidR="000C4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1102" w14:textId="77777777" w:rsidR="00460BF2" w:rsidRDefault="00460BF2" w:rsidP="005C130A">
      <w:pPr>
        <w:spacing w:after="0" w:line="240" w:lineRule="auto"/>
      </w:pPr>
      <w:r>
        <w:separator/>
      </w:r>
    </w:p>
  </w:endnote>
  <w:endnote w:type="continuationSeparator" w:id="0">
    <w:p w14:paraId="3B800532" w14:textId="77777777" w:rsidR="00460BF2" w:rsidRDefault="00460BF2" w:rsidP="005C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7C6A" w14:textId="77777777" w:rsidR="00460BF2" w:rsidRDefault="00460BF2" w:rsidP="005C130A">
      <w:pPr>
        <w:spacing w:after="0" w:line="240" w:lineRule="auto"/>
      </w:pPr>
      <w:r>
        <w:separator/>
      </w:r>
    </w:p>
  </w:footnote>
  <w:footnote w:type="continuationSeparator" w:id="0">
    <w:p w14:paraId="4AE2A375" w14:textId="77777777" w:rsidR="00460BF2" w:rsidRDefault="00460BF2" w:rsidP="005C130A">
      <w:pPr>
        <w:spacing w:after="0" w:line="240" w:lineRule="auto"/>
      </w:pPr>
      <w:r>
        <w:continuationSeparator/>
      </w:r>
    </w:p>
  </w:footnote>
  <w:footnote w:id="1">
    <w:p w14:paraId="78896C1D" w14:textId="1967F554" w:rsidR="005C130A" w:rsidRDefault="005C130A" w:rsidP="00D11B7B">
      <w:pPr>
        <w:pStyle w:val="FootnoteText"/>
        <w:jc w:val="both"/>
      </w:pPr>
      <w:r>
        <w:rPr>
          <w:rStyle w:val="FootnoteReference"/>
        </w:rPr>
        <w:footnoteRef/>
      </w:r>
      <w:r>
        <w:t xml:space="preserve"> This policy is intended to complement Policy </w:t>
      </w:r>
      <w:r w:rsidR="00D44547">
        <w:t>03-03, Policy on Lapsed License Applications</w:t>
      </w:r>
      <w:r>
        <w:t xml:space="preserve">, </w:t>
      </w:r>
      <w:r w:rsidR="00D44547">
        <w:t xml:space="preserve">and Board regulation 243 CMR 2.06(6)(c), </w:t>
      </w:r>
      <w:r>
        <w:t xml:space="preserve">which applies to </w:t>
      </w:r>
      <w:r w:rsidR="00D11B7B">
        <w:t>“</w:t>
      </w:r>
      <w:r>
        <w:t>renewing, reviving, reinstating or change of status</w:t>
      </w:r>
      <w:r w:rsidR="00D11B7B">
        <w:t>”</w:t>
      </w:r>
      <w:r>
        <w:t xml:space="preserve"> applicants. </w:t>
      </w:r>
    </w:p>
  </w:footnote>
  <w:footnote w:id="2">
    <w:p w14:paraId="6D12B80C" w14:textId="1B1FE2A2" w:rsidR="00143D62" w:rsidRDefault="00143D62" w:rsidP="00D11B7B">
      <w:pPr>
        <w:pStyle w:val="FootnoteText"/>
        <w:jc w:val="both"/>
      </w:pPr>
      <w:r>
        <w:rPr>
          <w:rStyle w:val="FootnoteReference"/>
        </w:rPr>
        <w:footnoteRef/>
      </w:r>
      <w:r>
        <w:t xml:space="preserve"> This policy applies to Volunteer License applicants but not to Administrative License applicants, who do not practice clinical medicine. </w:t>
      </w:r>
      <w:r w:rsidR="00EB5EBC" w:rsidRPr="00EB5EBC">
        <w:rPr>
          <w:i/>
          <w:iCs/>
          <w:u w:val="single"/>
        </w:rPr>
        <w:t>See</w:t>
      </w:r>
      <w:r w:rsidR="00EB5EBC">
        <w:t xml:space="preserve"> 243 CMR 2.02(11 and 12). In addition, this policy applies to an applicant for a Change of License Status from either a Volunteer or an Administrative License to a Full License, who has not practiced clinical medicine for 24 consecutive months or more.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1ACE"/>
    <w:multiLevelType w:val="multilevel"/>
    <w:tmpl w:val="E95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46D30"/>
    <w:multiLevelType w:val="hybridMultilevel"/>
    <w:tmpl w:val="1FFC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530FF"/>
    <w:multiLevelType w:val="hybridMultilevel"/>
    <w:tmpl w:val="D28E2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C1363C"/>
    <w:multiLevelType w:val="hybridMultilevel"/>
    <w:tmpl w:val="BB8A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B583C"/>
    <w:multiLevelType w:val="hybridMultilevel"/>
    <w:tmpl w:val="756C1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5777013">
    <w:abstractNumId w:val="1"/>
  </w:num>
  <w:num w:numId="2" w16cid:durableId="176505252">
    <w:abstractNumId w:val="4"/>
  </w:num>
  <w:num w:numId="3" w16cid:durableId="1586611">
    <w:abstractNumId w:val="3"/>
  </w:num>
  <w:num w:numId="4" w16cid:durableId="381174960">
    <w:abstractNumId w:val="2"/>
  </w:num>
  <w:num w:numId="5" w16cid:durableId="121997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87B60"/>
    <w:rsid w:val="000039AD"/>
    <w:rsid w:val="00071A79"/>
    <w:rsid w:val="00080142"/>
    <w:rsid w:val="00084490"/>
    <w:rsid w:val="000C3E29"/>
    <w:rsid w:val="000C4935"/>
    <w:rsid w:val="000C575C"/>
    <w:rsid w:val="00126BFF"/>
    <w:rsid w:val="00143D62"/>
    <w:rsid w:val="00173D19"/>
    <w:rsid w:val="001831BB"/>
    <w:rsid w:val="0018540B"/>
    <w:rsid w:val="00187B60"/>
    <w:rsid w:val="0019425D"/>
    <w:rsid w:val="00195F3A"/>
    <w:rsid w:val="001E1973"/>
    <w:rsid w:val="001E4482"/>
    <w:rsid w:val="00290D89"/>
    <w:rsid w:val="002B612F"/>
    <w:rsid w:val="002D0C3E"/>
    <w:rsid w:val="0036163D"/>
    <w:rsid w:val="003C4DFB"/>
    <w:rsid w:val="003E0A84"/>
    <w:rsid w:val="003F0745"/>
    <w:rsid w:val="0045620C"/>
    <w:rsid w:val="00460BF2"/>
    <w:rsid w:val="00481FBD"/>
    <w:rsid w:val="004B1F25"/>
    <w:rsid w:val="004F7712"/>
    <w:rsid w:val="00567956"/>
    <w:rsid w:val="00570B87"/>
    <w:rsid w:val="005C130A"/>
    <w:rsid w:val="00612519"/>
    <w:rsid w:val="00693D20"/>
    <w:rsid w:val="006D4055"/>
    <w:rsid w:val="006E5F87"/>
    <w:rsid w:val="00714274"/>
    <w:rsid w:val="007C07B8"/>
    <w:rsid w:val="00805E3A"/>
    <w:rsid w:val="008139DE"/>
    <w:rsid w:val="008365F1"/>
    <w:rsid w:val="008433C6"/>
    <w:rsid w:val="00843618"/>
    <w:rsid w:val="008F2E38"/>
    <w:rsid w:val="009107CF"/>
    <w:rsid w:val="009B0B82"/>
    <w:rsid w:val="009D5A8C"/>
    <w:rsid w:val="00A15160"/>
    <w:rsid w:val="00A202A4"/>
    <w:rsid w:val="00A7277F"/>
    <w:rsid w:val="00AA414A"/>
    <w:rsid w:val="00AC03D1"/>
    <w:rsid w:val="00AD0E9B"/>
    <w:rsid w:val="00AD3D9E"/>
    <w:rsid w:val="00B25325"/>
    <w:rsid w:val="00BC6EA1"/>
    <w:rsid w:val="00BE211A"/>
    <w:rsid w:val="00C94DC5"/>
    <w:rsid w:val="00CF6CB0"/>
    <w:rsid w:val="00D11B7B"/>
    <w:rsid w:val="00D44547"/>
    <w:rsid w:val="00E4327B"/>
    <w:rsid w:val="00E976C9"/>
    <w:rsid w:val="00EA1ACF"/>
    <w:rsid w:val="00EA5F74"/>
    <w:rsid w:val="00EB5EBC"/>
    <w:rsid w:val="00ED10FD"/>
    <w:rsid w:val="00ED43C6"/>
    <w:rsid w:val="00EE1B00"/>
    <w:rsid w:val="00EF4C2E"/>
    <w:rsid w:val="00F30F2F"/>
    <w:rsid w:val="00F3651D"/>
    <w:rsid w:val="00FC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E292C7"/>
  <w15:docId w15:val="{06F400E4-3DC7-435E-B97A-3A9E9C04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FF"/>
    <w:pPr>
      <w:ind w:left="720"/>
      <w:contextualSpacing/>
    </w:pPr>
  </w:style>
  <w:style w:type="paragraph" w:styleId="FootnoteText">
    <w:name w:val="footnote text"/>
    <w:basedOn w:val="Normal"/>
    <w:link w:val="FootnoteTextChar"/>
    <w:uiPriority w:val="99"/>
    <w:semiHidden/>
    <w:unhideWhenUsed/>
    <w:rsid w:val="005C1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A"/>
    <w:rPr>
      <w:sz w:val="20"/>
      <w:szCs w:val="20"/>
    </w:rPr>
  </w:style>
  <w:style w:type="character" w:styleId="FootnoteReference">
    <w:name w:val="footnote reference"/>
    <w:basedOn w:val="DefaultParagraphFont"/>
    <w:uiPriority w:val="99"/>
    <w:semiHidden/>
    <w:unhideWhenUsed/>
    <w:rsid w:val="005C130A"/>
    <w:rPr>
      <w:vertAlign w:val="superscript"/>
    </w:rPr>
  </w:style>
  <w:style w:type="paragraph" w:styleId="Revision">
    <w:name w:val="Revision"/>
    <w:hidden/>
    <w:uiPriority w:val="99"/>
    <w:semiHidden/>
    <w:rsid w:val="00567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xel.edu/medicine/academics/continuing-education/physician-refresher-re-entry-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undationpamedsoc.org/docs/librariesprovider3/foundation-documents/re-entry_re-instatement_2019.pdf?sfvrsn=db10f77d_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xas.org/programs/kstar-physician/utmb-mini-residency.html" TargetMode="External"/><Relationship Id="rId5" Type="http://schemas.openxmlformats.org/officeDocument/2006/relationships/webSettings" Target="webSettings.xml"/><Relationship Id="rId10" Type="http://schemas.openxmlformats.org/officeDocument/2006/relationships/hyperlink" Target="http://www.cpepdoc.org/assessment-reentry-and-education-plans-2/reentry-to-clinical-practice/" TargetMode="External"/><Relationship Id="rId4" Type="http://schemas.openxmlformats.org/officeDocument/2006/relationships/settings" Target="settings.xml"/><Relationship Id="rId9" Type="http://schemas.openxmlformats.org/officeDocument/2006/relationships/hyperlink" Target="https://prrprogr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632B-A405-4C18-9428-EE3E53CD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Prebensen, Eileen (DPH)</dc:creator>
  <cp:keywords/>
  <dc:description/>
  <cp:lastModifiedBy>Prebensen, Eileen (DPH)</cp:lastModifiedBy>
  <cp:revision>17</cp:revision>
  <cp:lastPrinted>2024-02-28T18:30:00Z</cp:lastPrinted>
  <dcterms:created xsi:type="dcterms:W3CDTF">2024-01-17T18:47:00Z</dcterms:created>
  <dcterms:modified xsi:type="dcterms:W3CDTF">2024-03-15T14:47:00Z</dcterms:modified>
</cp:coreProperties>
</file>