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6DBF9" w14:textId="77777777" w:rsidR="00284DE5" w:rsidRPr="004314BB" w:rsidRDefault="00284DE5" w:rsidP="00284DE5">
      <w:pPr>
        <w:jc w:val="center"/>
        <w:rPr>
          <w:rFonts w:ascii="Times New Roman" w:hAnsi="Times New Roman"/>
        </w:rPr>
      </w:pPr>
      <w:r w:rsidRPr="004314BB">
        <w:rPr>
          <w:rFonts w:ascii="Times New Roman" w:hAnsi="Times New Roman"/>
        </w:rPr>
        <w:t>COMMONWEALTH OF MASSACHUSETTS</w:t>
      </w:r>
    </w:p>
    <w:p w14:paraId="37C1CC2E" w14:textId="77777777" w:rsidR="00284DE5" w:rsidRPr="004314BB" w:rsidRDefault="00284DE5" w:rsidP="00284DE5">
      <w:pPr>
        <w:jc w:val="center"/>
        <w:rPr>
          <w:rFonts w:ascii="Times New Roman" w:hAnsi="Times New Roman"/>
        </w:rPr>
      </w:pPr>
      <w:r w:rsidRPr="004314BB">
        <w:rPr>
          <w:rFonts w:ascii="Times New Roman" w:hAnsi="Times New Roman"/>
        </w:rPr>
        <w:t>BOARD OF REGISTRATION IN MEDICINE</w:t>
      </w:r>
    </w:p>
    <w:p w14:paraId="20C2C9C5" w14:textId="77777777" w:rsidR="00284DE5" w:rsidRPr="004314BB" w:rsidRDefault="00284DE5" w:rsidP="00284DE5">
      <w:pPr>
        <w:jc w:val="center"/>
        <w:rPr>
          <w:rFonts w:ascii="Times New Roman" w:hAnsi="Times New Roman"/>
        </w:rPr>
      </w:pPr>
    </w:p>
    <w:p w14:paraId="6BC341DC" w14:textId="77777777" w:rsidR="00284DE5" w:rsidRPr="004314BB" w:rsidRDefault="00284DE5" w:rsidP="00284DE5">
      <w:pPr>
        <w:tabs>
          <w:tab w:val="left" w:pos="3570"/>
        </w:tabs>
        <w:rPr>
          <w:rFonts w:ascii="Times New Roman" w:hAnsi="Times New Roman"/>
          <w:b/>
        </w:rPr>
      </w:pPr>
      <w:r w:rsidRPr="004314BB">
        <w:rPr>
          <w:rFonts w:ascii="Times New Roman" w:hAnsi="Times New Roman"/>
        </w:rPr>
        <w:tab/>
      </w:r>
    </w:p>
    <w:p w14:paraId="3CC29713" w14:textId="77777777" w:rsidR="00284DE5" w:rsidRPr="004314BB" w:rsidRDefault="00284DE5" w:rsidP="00284DE5">
      <w:pPr>
        <w:jc w:val="center"/>
        <w:rPr>
          <w:rFonts w:ascii="Times New Roman" w:hAnsi="Times New Roman"/>
        </w:rPr>
      </w:pPr>
      <w:r w:rsidRPr="004314BB">
        <w:rPr>
          <w:rFonts w:ascii="Times New Roman" w:hAnsi="Times New Roman"/>
        </w:rPr>
        <w:t>POLICY 2024-03</w:t>
      </w:r>
    </w:p>
    <w:p w14:paraId="102A7B03" w14:textId="77777777" w:rsidR="00284DE5" w:rsidRPr="004314BB" w:rsidRDefault="00284DE5" w:rsidP="00284DE5">
      <w:pPr>
        <w:jc w:val="both"/>
        <w:rPr>
          <w:rFonts w:ascii="Times New Roman" w:hAnsi="Times New Roman"/>
        </w:rPr>
      </w:pPr>
    </w:p>
    <w:p w14:paraId="2E5919A8" w14:textId="77777777" w:rsidR="00FA0BA8" w:rsidRDefault="00284DE5" w:rsidP="00284DE5">
      <w:pPr>
        <w:jc w:val="center"/>
        <w:rPr>
          <w:rFonts w:ascii="Times New Roman" w:hAnsi="Times New Roman"/>
        </w:rPr>
      </w:pPr>
      <w:r>
        <w:rPr>
          <w:rFonts w:ascii="Times New Roman" w:hAnsi="Times New Roman"/>
        </w:rPr>
        <w:t xml:space="preserve">EXPEDITED PROCESSING OF CHANGE OF PROGRAM REQUESTS </w:t>
      </w:r>
    </w:p>
    <w:p w14:paraId="16A0BF62" w14:textId="77777777" w:rsidR="00FA0BA8" w:rsidRDefault="00284DE5" w:rsidP="00284DE5">
      <w:pPr>
        <w:jc w:val="center"/>
        <w:rPr>
          <w:rFonts w:ascii="Times New Roman" w:hAnsi="Times New Roman"/>
        </w:rPr>
      </w:pPr>
      <w:r>
        <w:rPr>
          <w:rFonts w:ascii="Times New Roman" w:hAnsi="Times New Roman"/>
        </w:rPr>
        <w:t xml:space="preserve">ARISING FROM THE CLOSURE OR DISCONTINUANCE OF A </w:t>
      </w:r>
    </w:p>
    <w:p w14:paraId="37E1B463" w14:textId="6DB6BDEB" w:rsidR="00284DE5" w:rsidRPr="004314BB" w:rsidRDefault="00284DE5" w:rsidP="00284DE5">
      <w:pPr>
        <w:jc w:val="center"/>
        <w:rPr>
          <w:rFonts w:ascii="Times New Roman" w:hAnsi="Times New Roman"/>
        </w:rPr>
      </w:pPr>
      <w:r>
        <w:rPr>
          <w:rFonts w:ascii="Times New Roman" w:hAnsi="Times New Roman"/>
        </w:rPr>
        <w:t xml:space="preserve">GRADUATE MEDICAL EDUCATION PROGRAM </w:t>
      </w:r>
    </w:p>
    <w:p w14:paraId="68D21D9E" w14:textId="77777777" w:rsidR="00284DE5" w:rsidRPr="004314BB" w:rsidRDefault="00284DE5" w:rsidP="00284DE5">
      <w:pPr>
        <w:jc w:val="center"/>
        <w:rPr>
          <w:rFonts w:ascii="Times New Roman" w:hAnsi="Times New Roman"/>
        </w:rPr>
      </w:pPr>
    </w:p>
    <w:p w14:paraId="5FC72691" w14:textId="77777777" w:rsidR="00284DE5" w:rsidRPr="004314BB" w:rsidRDefault="00284DE5" w:rsidP="00284DE5">
      <w:pPr>
        <w:jc w:val="center"/>
        <w:rPr>
          <w:rFonts w:ascii="Times New Roman" w:hAnsi="Times New Roman"/>
        </w:rPr>
      </w:pPr>
      <w:r w:rsidRPr="004314BB">
        <w:rPr>
          <w:rFonts w:ascii="Times New Roman" w:hAnsi="Times New Roman"/>
        </w:rPr>
        <w:t>Issued June 13, 2024</w:t>
      </w:r>
    </w:p>
    <w:p w14:paraId="55A51B04" w14:textId="7A7F7C9B" w:rsidR="00284DE5" w:rsidRDefault="00284DE5" w:rsidP="00284DE5">
      <w:pPr>
        <w:jc w:val="both"/>
        <w:rPr>
          <w:rFonts w:ascii="Times New Roman" w:hAnsi="Times New Roman"/>
        </w:rPr>
      </w:pPr>
    </w:p>
    <w:p w14:paraId="5A05E7BE" w14:textId="7032C89C" w:rsidR="00284DE5" w:rsidRDefault="00284DE5" w:rsidP="00284DE5">
      <w:pPr>
        <w:jc w:val="both"/>
        <w:rPr>
          <w:rFonts w:ascii="Times New Roman" w:hAnsi="Times New Roman"/>
        </w:rPr>
      </w:pPr>
    </w:p>
    <w:p w14:paraId="2D08FCDB" w14:textId="67482F39" w:rsidR="00AB4CC6" w:rsidRDefault="00284DE5" w:rsidP="00284DE5">
      <w:pPr>
        <w:ind w:firstLine="720"/>
        <w:jc w:val="both"/>
        <w:rPr>
          <w:rFonts w:ascii="Times New Roman" w:hAnsi="Times New Roman"/>
        </w:rPr>
      </w:pPr>
      <w:r>
        <w:rPr>
          <w:rFonts w:ascii="Times New Roman" w:hAnsi="Times New Roman"/>
        </w:rPr>
        <w:t xml:space="preserve">Pursuant to M.G.L. c. 112, </w:t>
      </w:r>
      <w:r>
        <w:rPr>
          <w:rFonts w:ascii="Calibri" w:hAnsi="Calibri" w:cs="Calibri"/>
        </w:rPr>
        <w:t>§</w:t>
      </w:r>
      <w:r>
        <w:rPr>
          <w:rFonts w:ascii="Times New Roman" w:hAnsi="Times New Roman"/>
        </w:rPr>
        <w:t xml:space="preserve"> 9, the Board of Registration in Medicine (“Board”) issues limited licenses to </w:t>
      </w:r>
      <w:r w:rsidR="00AB4CC6">
        <w:rPr>
          <w:rFonts w:ascii="Times New Roman" w:hAnsi="Times New Roman"/>
        </w:rPr>
        <w:t xml:space="preserve">interns, </w:t>
      </w:r>
      <w:r>
        <w:rPr>
          <w:rFonts w:ascii="Times New Roman" w:hAnsi="Times New Roman"/>
        </w:rPr>
        <w:t>residents and fellows who have been appointed to a Board approved graduate medical program</w:t>
      </w:r>
      <w:r w:rsidR="00AB4CC6">
        <w:rPr>
          <w:rFonts w:ascii="Times New Roman" w:hAnsi="Times New Roman"/>
        </w:rPr>
        <w:t xml:space="preserve"> at a specific facility.  With limited exceptions, the physicians who hold such licenses may only practice at the facility designated or the license or at the facility’s approved affiliates for the specific program.  243 CMR 2.02(8)(a).  The Board will not issue more than one limited license to a physician at one time.  243 CMR 2.02(8)(a).</w:t>
      </w:r>
    </w:p>
    <w:p w14:paraId="14FEE66D" w14:textId="77777777" w:rsidR="00AB4CC6" w:rsidRDefault="00AB4CC6" w:rsidP="00284DE5">
      <w:pPr>
        <w:ind w:firstLine="720"/>
        <w:jc w:val="both"/>
        <w:rPr>
          <w:rFonts w:ascii="Times New Roman" w:hAnsi="Times New Roman"/>
        </w:rPr>
      </w:pPr>
    </w:p>
    <w:p w14:paraId="24AEA8B7" w14:textId="591B08D1" w:rsidR="00DB7D4F" w:rsidRDefault="00AB4CC6" w:rsidP="00284DE5">
      <w:pPr>
        <w:ind w:firstLine="720"/>
        <w:jc w:val="both"/>
        <w:rPr>
          <w:rFonts w:ascii="Times New Roman" w:hAnsi="Times New Roman"/>
        </w:rPr>
      </w:pPr>
      <w:r>
        <w:rPr>
          <w:rFonts w:ascii="Times New Roman" w:hAnsi="Times New Roman"/>
        </w:rPr>
        <w:t xml:space="preserve">The Board recognizes </w:t>
      </w:r>
      <w:r w:rsidR="00B26F3C">
        <w:rPr>
          <w:rFonts w:ascii="Times New Roman" w:hAnsi="Times New Roman"/>
        </w:rPr>
        <w:t xml:space="preserve">a facility may </w:t>
      </w:r>
      <w:r>
        <w:rPr>
          <w:rFonts w:ascii="Times New Roman" w:hAnsi="Times New Roman"/>
        </w:rPr>
        <w:t>discontinue or close a graduate medical program</w:t>
      </w:r>
      <w:r w:rsidR="00B26F3C">
        <w:rPr>
          <w:rFonts w:ascii="Times New Roman" w:hAnsi="Times New Roman"/>
        </w:rPr>
        <w:t xml:space="preserve"> </w:t>
      </w:r>
      <w:r>
        <w:rPr>
          <w:rFonts w:ascii="Times New Roman" w:hAnsi="Times New Roman"/>
        </w:rPr>
        <w:t>due to closure of the facility itself or a reduction in services and programs offered at the facility</w:t>
      </w:r>
      <w:r w:rsidR="00B26F3C">
        <w:rPr>
          <w:rFonts w:ascii="Times New Roman" w:hAnsi="Times New Roman"/>
        </w:rPr>
        <w:t>.  The Board recognizes that such closure or discontinuance</w:t>
      </w:r>
      <w:r>
        <w:rPr>
          <w:rFonts w:ascii="Times New Roman" w:hAnsi="Times New Roman"/>
        </w:rPr>
        <w:t xml:space="preserve"> result</w:t>
      </w:r>
      <w:r w:rsidR="00B26F3C">
        <w:rPr>
          <w:rFonts w:ascii="Times New Roman" w:hAnsi="Times New Roman"/>
        </w:rPr>
        <w:t>s</w:t>
      </w:r>
      <w:r>
        <w:rPr>
          <w:rFonts w:ascii="Times New Roman" w:hAnsi="Times New Roman"/>
        </w:rPr>
        <w:t xml:space="preserve"> in the displacement of limited licensees</w:t>
      </w:r>
      <w:r w:rsidR="00DB7D4F">
        <w:rPr>
          <w:rFonts w:ascii="Times New Roman" w:hAnsi="Times New Roman"/>
        </w:rPr>
        <w:t>, who no longer meet the requirement of appointment at a Board approved program</w:t>
      </w:r>
      <w:r w:rsidR="00B26F3C">
        <w:rPr>
          <w:rFonts w:ascii="Times New Roman" w:hAnsi="Times New Roman"/>
        </w:rPr>
        <w:t>,</w:t>
      </w:r>
      <w:r w:rsidR="00ED48E7">
        <w:rPr>
          <w:rFonts w:ascii="Times New Roman" w:hAnsi="Times New Roman"/>
        </w:rPr>
        <w:t xml:space="preserve"> but</w:t>
      </w:r>
      <w:r>
        <w:rPr>
          <w:rFonts w:ascii="Times New Roman" w:hAnsi="Times New Roman"/>
        </w:rPr>
        <w:t xml:space="preserve"> through no fault or action on their part.</w:t>
      </w:r>
      <w:r w:rsidR="00DB7D4F">
        <w:rPr>
          <w:rFonts w:ascii="Times New Roman" w:hAnsi="Times New Roman"/>
        </w:rPr>
        <w:t xml:space="preserve">  The Board further recognizes these licensees may receive appointments at a graduate medical program at another facility (“Receiving Program”) willing to take the limited licensees that have been displaced by the closed or discontinued program (“Closing Program”).</w:t>
      </w:r>
    </w:p>
    <w:p w14:paraId="08F540BA" w14:textId="77777777" w:rsidR="00DB7D4F" w:rsidRDefault="00DB7D4F" w:rsidP="00284DE5">
      <w:pPr>
        <w:ind w:firstLine="720"/>
        <w:jc w:val="both"/>
        <w:rPr>
          <w:rFonts w:ascii="Times New Roman" w:hAnsi="Times New Roman"/>
        </w:rPr>
      </w:pPr>
    </w:p>
    <w:p w14:paraId="26D99CFD" w14:textId="1AF322B4" w:rsidR="00284DE5" w:rsidRDefault="00DB7D4F" w:rsidP="00284DE5">
      <w:pPr>
        <w:ind w:firstLine="720"/>
        <w:jc w:val="both"/>
        <w:rPr>
          <w:rFonts w:ascii="Times New Roman" w:hAnsi="Times New Roman"/>
        </w:rPr>
      </w:pPr>
      <w:r>
        <w:rPr>
          <w:rFonts w:ascii="Times New Roman" w:hAnsi="Times New Roman"/>
        </w:rPr>
        <w:t xml:space="preserve">Therefore, in order to minimize the impact on such limited licensees and reduce the time that such discontinuance or closure may have on the limited </w:t>
      </w:r>
      <w:proofErr w:type="gramStart"/>
      <w:r>
        <w:rPr>
          <w:rFonts w:ascii="Times New Roman" w:hAnsi="Times New Roman"/>
        </w:rPr>
        <w:t>licensees</w:t>
      </w:r>
      <w:proofErr w:type="gramEnd"/>
      <w:r>
        <w:rPr>
          <w:rFonts w:ascii="Times New Roman" w:hAnsi="Times New Roman"/>
        </w:rPr>
        <w:t xml:space="preserve"> ability to practice and pursue training, the Board authorizes its staff to expedite processing of change of program requests submitted </w:t>
      </w:r>
      <w:r w:rsidR="00BA4555">
        <w:rPr>
          <w:rFonts w:ascii="Times New Roman" w:hAnsi="Times New Roman"/>
        </w:rPr>
        <w:t xml:space="preserve">by a Receiving Program that </w:t>
      </w:r>
      <w:r>
        <w:rPr>
          <w:rFonts w:ascii="Times New Roman" w:hAnsi="Times New Roman"/>
        </w:rPr>
        <w:t>meet the following criteria:</w:t>
      </w:r>
    </w:p>
    <w:p w14:paraId="2612FE6C" w14:textId="77777777" w:rsidR="00DB7D4F" w:rsidRDefault="00DB7D4F" w:rsidP="00DB7D4F">
      <w:pPr>
        <w:jc w:val="both"/>
        <w:rPr>
          <w:rFonts w:ascii="Times New Roman" w:hAnsi="Times New Roman"/>
        </w:rPr>
      </w:pPr>
    </w:p>
    <w:p w14:paraId="096B8097" w14:textId="097AFA78" w:rsidR="00BA4555" w:rsidRDefault="00BA4555" w:rsidP="00DB7D4F">
      <w:pPr>
        <w:pStyle w:val="ListParagraph"/>
        <w:numPr>
          <w:ilvl w:val="0"/>
          <w:numId w:val="1"/>
        </w:numPr>
        <w:jc w:val="both"/>
        <w:rPr>
          <w:rFonts w:ascii="Times New Roman" w:hAnsi="Times New Roman"/>
        </w:rPr>
      </w:pPr>
      <w:r>
        <w:rPr>
          <w:rFonts w:ascii="Times New Roman" w:hAnsi="Times New Roman"/>
        </w:rPr>
        <w:t xml:space="preserve">The request is in writing and includes </w:t>
      </w:r>
      <w:r w:rsidR="005772AC">
        <w:rPr>
          <w:rFonts w:ascii="Times New Roman" w:hAnsi="Times New Roman"/>
        </w:rPr>
        <w:t>the following information:</w:t>
      </w:r>
    </w:p>
    <w:p w14:paraId="435E1796" w14:textId="1CAF90FD" w:rsidR="005772AC" w:rsidRDefault="005772AC" w:rsidP="005772AC">
      <w:pPr>
        <w:pStyle w:val="ListParagraph"/>
        <w:numPr>
          <w:ilvl w:val="1"/>
          <w:numId w:val="1"/>
        </w:numPr>
        <w:jc w:val="both"/>
        <w:rPr>
          <w:rFonts w:ascii="Times New Roman" w:hAnsi="Times New Roman"/>
        </w:rPr>
      </w:pPr>
      <w:r>
        <w:rPr>
          <w:rFonts w:ascii="Times New Roman" w:hAnsi="Times New Roman"/>
        </w:rPr>
        <w:t xml:space="preserve">The </w:t>
      </w:r>
      <w:r w:rsidRPr="004314BB">
        <w:rPr>
          <w:rFonts w:ascii="Times New Roman" w:hAnsi="Times New Roman"/>
        </w:rPr>
        <w:t>Receiving Program</w:t>
      </w:r>
      <w:r>
        <w:rPr>
          <w:rFonts w:ascii="Times New Roman" w:hAnsi="Times New Roman"/>
        </w:rPr>
        <w:t xml:space="preserve">’s </w:t>
      </w:r>
      <w:r w:rsidRPr="004314BB">
        <w:rPr>
          <w:rFonts w:ascii="Times New Roman" w:hAnsi="Times New Roman"/>
        </w:rPr>
        <w:t xml:space="preserve">ACGME Program Name, </w:t>
      </w:r>
      <w:r w:rsidRPr="004314BB">
        <w:rPr>
          <w:rFonts w:ascii="Times New Roman" w:hAnsi="Times New Roman"/>
          <w:shd w:val="clear" w:color="auto" w:fill="FFFFFF"/>
        </w:rPr>
        <w:t xml:space="preserve">Program accreditation status and number, or, in cases of a subspecialty program, the </w:t>
      </w:r>
      <w:r w:rsidRPr="004314BB">
        <w:rPr>
          <w:rFonts w:ascii="Times New Roman" w:hAnsi="Times New Roman"/>
        </w:rPr>
        <w:t>ACGME, AOA or accredited Canadian post graduate tra</w:t>
      </w:r>
      <w:r>
        <w:rPr>
          <w:rFonts w:ascii="Times New Roman" w:hAnsi="Times New Roman"/>
        </w:rPr>
        <w:t>i</w:t>
      </w:r>
      <w:r w:rsidRPr="004314BB">
        <w:rPr>
          <w:rFonts w:ascii="Times New Roman" w:hAnsi="Times New Roman"/>
        </w:rPr>
        <w:t xml:space="preserve">ning program parent </w:t>
      </w:r>
      <w:proofErr w:type="gramStart"/>
      <w:r w:rsidRPr="004314BB">
        <w:rPr>
          <w:rFonts w:ascii="Times New Roman" w:hAnsi="Times New Roman"/>
        </w:rPr>
        <w:t>specialty</w:t>
      </w:r>
      <w:r>
        <w:rPr>
          <w:rFonts w:ascii="Times New Roman" w:hAnsi="Times New Roman"/>
        </w:rPr>
        <w:t>;</w:t>
      </w:r>
      <w:proofErr w:type="gramEnd"/>
    </w:p>
    <w:p w14:paraId="1C672B0E" w14:textId="0306FE7C" w:rsidR="005772AC" w:rsidRDefault="005772AC" w:rsidP="005772AC">
      <w:pPr>
        <w:pStyle w:val="ListParagraph"/>
        <w:numPr>
          <w:ilvl w:val="1"/>
          <w:numId w:val="1"/>
        </w:numPr>
        <w:jc w:val="both"/>
        <w:rPr>
          <w:rFonts w:ascii="Times New Roman" w:hAnsi="Times New Roman"/>
        </w:rPr>
      </w:pPr>
      <w:r>
        <w:rPr>
          <w:rFonts w:ascii="Times New Roman" w:hAnsi="Times New Roman"/>
        </w:rPr>
        <w:t xml:space="preserve">Confirmation by the Receiving Program of sponsorship of a physician who had previously held a limited license and appointment at a Closing Program (displaced licensee) along with the Start and End Dates at the Receiving </w:t>
      </w:r>
      <w:proofErr w:type="gramStart"/>
      <w:r>
        <w:rPr>
          <w:rFonts w:ascii="Times New Roman" w:hAnsi="Times New Roman"/>
        </w:rPr>
        <w:t>Program;</w:t>
      </w:r>
      <w:proofErr w:type="gramEnd"/>
    </w:p>
    <w:p w14:paraId="12EF9D6C" w14:textId="77777777" w:rsidR="005772AC" w:rsidRDefault="005772AC" w:rsidP="005772AC">
      <w:pPr>
        <w:pStyle w:val="ListParagraph"/>
        <w:numPr>
          <w:ilvl w:val="1"/>
          <w:numId w:val="1"/>
        </w:numPr>
        <w:jc w:val="both"/>
        <w:rPr>
          <w:rFonts w:ascii="Times New Roman" w:hAnsi="Times New Roman"/>
        </w:rPr>
      </w:pPr>
      <w:r>
        <w:rPr>
          <w:rFonts w:ascii="Times New Roman" w:hAnsi="Times New Roman"/>
        </w:rPr>
        <w:t xml:space="preserve">The full name (first, last and middle initial) of the displaced </w:t>
      </w:r>
      <w:proofErr w:type="gramStart"/>
      <w:r>
        <w:rPr>
          <w:rFonts w:ascii="Times New Roman" w:hAnsi="Times New Roman"/>
        </w:rPr>
        <w:t>licensee;</w:t>
      </w:r>
      <w:proofErr w:type="gramEnd"/>
    </w:p>
    <w:p w14:paraId="15648493" w14:textId="3BB11877" w:rsidR="005772AC" w:rsidRDefault="005772AC" w:rsidP="005772AC">
      <w:pPr>
        <w:pStyle w:val="ListParagraph"/>
        <w:numPr>
          <w:ilvl w:val="1"/>
          <w:numId w:val="1"/>
        </w:numPr>
        <w:jc w:val="both"/>
        <w:rPr>
          <w:rFonts w:ascii="Times New Roman" w:hAnsi="Times New Roman"/>
        </w:rPr>
      </w:pPr>
      <w:r>
        <w:rPr>
          <w:rFonts w:ascii="Times New Roman" w:hAnsi="Times New Roman"/>
        </w:rPr>
        <w:t>The license number corresponding to the limited license previously issued by the Board to the displaced licensee to practice at the Closing Program;</w:t>
      </w:r>
      <w:r w:rsidR="00380B10">
        <w:rPr>
          <w:rFonts w:ascii="Times New Roman" w:hAnsi="Times New Roman"/>
        </w:rPr>
        <w:t xml:space="preserve"> and</w:t>
      </w:r>
    </w:p>
    <w:p w14:paraId="11D8EC4E" w14:textId="2408AA9E" w:rsidR="005772AC" w:rsidRDefault="005772AC" w:rsidP="005772AC">
      <w:pPr>
        <w:pStyle w:val="ListParagraph"/>
        <w:numPr>
          <w:ilvl w:val="1"/>
          <w:numId w:val="1"/>
        </w:numPr>
        <w:jc w:val="both"/>
        <w:rPr>
          <w:rFonts w:ascii="Times New Roman" w:hAnsi="Times New Roman"/>
        </w:rPr>
      </w:pPr>
      <w:r>
        <w:rPr>
          <w:rFonts w:ascii="Times New Roman" w:hAnsi="Times New Roman"/>
        </w:rPr>
        <w:t xml:space="preserve">The Closing Program’s </w:t>
      </w:r>
      <w:r w:rsidRPr="004314BB">
        <w:rPr>
          <w:rFonts w:ascii="Times New Roman" w:hAnsi="Times New Roman"/>
        </w:rPr>
        <w:t>ACGME Program Name</w:t>
      </w:r>
      <w:r w:rsidR="00380B10">
        <w:rPr>
          <w:rFonts w:ascii="Times New Roman" w:hAnsi="Times New Roman"/>
        </w:rPr>
        <w:t>.</w:t>
      </w:r>
    </w:p>
    <w:p w14:paraId="193D61AA" w14:textId="77777777" w:rsidR="00380B10" w:rsidRDefault="00380B10" w:rsidP="00380B10">
      <w:pPr>
        <w:pStyle w:val="ListParagraph"/>
        <w:ind w:left="1440"/>
        <w:jc w:val="both"/>
        <w:rPr>
          <w:rFonts w:ascii="Times New Roman" w:hAnsi="Times New Roman"/>
        </w:rPr>
      </w:pPr>
    </w:p>
    <w:p w14:paraId="061174A1" w14:textId="77777777" w:rsidR="005772AC" w:rsidRDefault="00BA4555" w:rsidP="00DB7D4F">
      <w:pPr>
        <w:pStyle w:val="ListParagraph"/>
        <w:numPr>
          <w:ilvl w:val="0"/>
          <w:numId w:val="1"/>
        </w:numPr>
        <w:jc w:val="both"/>
        <w:rPr>
          <w:rFonts w:ascii="Times New Roman" w:hAnsi="Times New Roman"/>
        </w:rPr>
      </w:pPr>
      <w:r>
        <w:rPr>
          <w:rFonts w:ascii="Times New Roman" w:hAnsi="Times New Roman"/>
        </w:rPr>
        <w:t xml:space="preserve">Board staff are able to verify </w:t>
      </w:r>
      <w:proofErr w:type="gramStart"/>
      <w:r w:rsidR="005772AC">
        <w:rPr>
          <w:rFonts w:ascii="Times New Roman" w:hAnsi="Times New Roman"/>
        </w:rPr>
        <w:t>that</w:t>
      </w:r>
      <w:proofErr w:type="gramEnd"/>
      <w:r w:rsidR="005772AC">
        <w:rPr>
          <w:rFonts w:ascii="Times New Roman" w:hAnsi="Times New Roman"/>
        </w:rPr>
        <w:t xml:space="preserve"> </w:t>
      </w:r>
    </w:p>
    <w:p w14:paraId="2E9B3202" w14:textId="3F596C14" w:rsidR="00DB7D4F" w:rsidRDefault="005772AC" w:rsidP="005772AC">
      <w:pPr>
        <w:pStyle w:val="ListParagraph"/>
        <w:numPr>
          <w:ilvl w:val="1"/>
          <w:numId w:val="1"/>
        </w:numPr>
        <w:jc w:val="both"/>
        <w:rPr>
          <w:rFonts w:ascii="Times New Roman" w:hAnsi="Times New Roman"/>
        </w:rPr>
      </w:pPr>
      <w:r>
        <w:rPr>
          <w:rFonts w:ascii="Times New Roman" w:hAnsi="Times New Roman"/>
        </w:rPr>
        <w:t>The displaced licensee holds, or held up until such time of the Closing Program’s closure or discontinuation, a limited license issued by the Board to practice at the Closing Program;</w:t>
      </w:r>
      <w:r w:rsidR="00380B10">
        <w:rPr>
          <w:rFonts w:ascii="Times New Roman" w:hAnsi="Times New Roman"/>
        </w:rPr>
        <w:t xml:space="preserve"> and</w:t>
      </w:r>
    </w:p>
    <w:p w14:paraId="4336D0B9" w14:textId="2CD51767" w:rsidR="005772AC" w:rsidRDefault="00380B10" w:rsidP="005772AC">
      <w:pPr>
        <w:pStyle w:val="ListParagraph"/>
        <w:numPr>
          <w:ilvl w:val="1"/>
          <w:numId w:val="1"/>
        </w:numPr>
        <w:jc w:val="both"/>
        <w:rPr>
          <w:rFonts w:ascii="Times New Roman" w:hAnsi="Times New Roman"/>
        </w:rPr>
      </w:pPr>
      <w:r>
        <w:rPr>
          <w:rFonts w:ascii="Times New Roman" w:hAnsi="Times New Roman"/>
        </w:rPr>
        <w:t>T</w:t>
      </w:r>
      <w:r w:rsidR="005772AC">
        <w:rPr>
          <w:rFonts w:ascii="Times New Roman" w:hAnsi="Times New Roman"/>
        </w:rPr>
        <w:t>he Closing Program has closed or been discontinued, or will close or be discontinued, effective on a date prior to the expiration of the displaced licensee’s limited license at the Closing Program.</w:t>
      </w:r>
    </w:p>
    <w:p w14:paraId="55214DC9" w14:textId="77777777" w:rsidR="00380B10" w:rsidRDefault="00380B10" w:rsidP="00380B10">
      <w:pPr>
        <w:jc w:val="both"/>
        <w:rPr>
          <w:rFonts w:ascii="Times New Roman" w:hAnsi="Times New Roman"/>
        </w:rPr>
      </w:pPr>
    </w:p>
    <w:p w14:paraId="54853531" w14:textId="1CE9C652" w:rsidR="00380B10" w:rsidRPr="00380B10" w:rsidRDefault="00380B10" w:rsidP="00380B10">
      <w:pPr>
        <w:jc w:val="both"/>
        <w:rPr>
          <w:rFonts w:ascii="Times New Roman" w:hAnsi="Times New Roman"/>
        </w:rPr>
      </w:pPr>
      <w:r>
        <w:rPr>
          <w:rFonts w:ascii="Times New Roman" w:hAnsi="Times New Roman"/>
        </w:rPr>
        <w:t>For change of program requests that meet the above criteria, the Board specifically authorizes its staff to amend the existing displaced licensee’s limited license to designate practice at the Receiving Program and to extend the expiration date of such license for up to 3 months as necessary to accommodate the Receiving Program end date.</w:t>
      </w:r>
    </w:p>
    <w:p w14:paraId="334FC79D" w14:textId="77777777" w:rsidR="00284DE5" w:rsidRDefault="00284DE5"/>
    <w:sectPr w:rsidR="00284D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1E680" w14:textId="77777777" w:rsidR="00820B4D" w:rsidRDefault="00820B4D" w:rsidP="00DE6643">
      <w:r>
        <w:separator/>
      </w:r>
    </w:p>
  </w:endnote>
  <w:endnote w:type="continuationSeparator" w:id="0">
    <w:p w14:paraId="58D1E13E" w14:textId="77777777" w:rsidR="00820B4D" w:rsidRDefault="00820B4D" w:rsidP="00DE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10FC" w14:textId="77777777" w:rsidR="00DE6643" w:rsidRDefault="00DE6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0696" w14:textId="77777777" w:rsidR="00DE6643" w:rsidRDefault="00DE6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EE7F6" w14:textId="77777777" w:rsidR="00DE6643" w:rsidRDefault="00DE6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5543B" w14:textId="77777777" w:rsidR="00820B4D" w:rsidRDefault="00820B4D" w:rsidP="00DE6643">
      <w:r>
        <w:separator/>
      </w:r>
    </w:p>
  </w:footnote>
  <w:footnote w:type="continuationSeparator" w:id="0">
    <w:p w14:paraId="72CDD894" w14:textId="77777777" w:rsidR="00820B4D" w:rsidRDefault="00820B4D" w:rsidP="00DE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9AF83" w14:textId="77777777" w:rsidR="00DE6643" w:rsidRDefault="00DE6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7C93" w14:textId="56889432" w:rsidR="00DE6643" w:rsidRDefault="00DE6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4D35" w14:textId="77777777" w:rsidR="00DE6643" w:rsidRDefault="00DE6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91033"/>
    <w:multiLevelType w:val="hybridMultilevel"/>
    <w:tmpl w:val="7F78A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20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E5"/>
    <w:rsid w:val="00284DE5"/>
    <w:rsid w:val="00380B10"/>
    <w:rsid w:val="005772AC"/>
    <w:rsid w:val="006E47CA"/>
    <w:rsid w:val="00820B4D"/>
    <w:rsid w:val="00AB4CC6"/>
    <w:rsid w:val="00B26F3C"/>
    <w:rsid w:val="00B920FE"/>
    <w:rsid w:val="00BA4555"/>
    <w:rsid w:val="00DB7D4F"/>
    <w:rsid w:val="00DE6643"/>
    <w:rsid w:val="00ED48E7"/>
    <w:rsid w:val="00FA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18D9"/>
  <w15:chartTrackingRefBased/>
  <w15:docId w15:val="{C3BFDF85-FB11-49FA-A61F-2F6730A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E5"/>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284D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4D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4D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4DE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4DE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4DE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4DE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4DE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4DE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DE5"/>
    <w:rPr>
      <w:rFonts w:eastAsiaTheme="majorEastAsia" w:cstheme="majorBidi"/>
      <w:color w:val="272727" w:themeColor="text1" w:themeTint="D8"/>
    </w:rPr>
  </w:style>
  <w:style w:type="paragraph" w:styleId="Title">
    <w:name w:val="Title"/>
    <w:basedOn w:val="Normal"/>
    <w:next w:val="Normal"/>
    <w:link w:val="TitleChar"/>
    <w:uiPriority w:val="10"/>
    <w:qFormat/>
    <w:rsid w:val="00284D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4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D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4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DE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84DE5"/>
    <w:rPr>
      <w:i/>
      <w:iCs/>
      <w:color w:val="404040" w:themeColor="text1" w:themeTint="BF"/>
    </w:rPr>
  </w:style>
  <w:style w:type="paragraph" w:styleId="ListParagraph">
    <w:name w:val="List Paragraph"/>
    <w:basedOn w:val="Normal"/>
    <w:uiPriority w:val="34"/>
    <w:qFormat/>
    <w:rsid w:val="00284DE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84DE5"/>
    <w:rPr>
      <w:i/>
      <w:iCs/>
      <w:color w:val="0F4761" w:themeColor="accent1" w:themeShade="BF"/>
    </w:rPr>
  </w:style>
  <w:style w:type="paragraph" w:styleId="IntenseQuote">
    <w:name w:val="Intense Quote"/>
    <w:basedOn w:val="Normal"/>
    <w:next w:val="Normal"/>
    <w:link w:val="IntenseQuoteChar"/>
    <w:uiPriority w:val="30"/>
    <w:qFormat/>
    <w:rsid w:val="00284D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84DE5"/>
    <w:rPr>
      <w:i/>
      <w:iCs/>
      <w:color w:val="0F4761" w:themeColor="accent1" w:themeShade="BF"/>
    </w:rPr>
  </w:style>
  <w:style w:type="character" w:styleId="IntenseReference">
    <w:name w:val="Intense Reference"/>
    <w:basedOn w:val="DefaultParagraphFont"/>
    <w:uiPriority w:val="32"/>
    <w:qFormat/>
    <w:rsid w:val="00284DE5"/>
    <w:rPr>
      <w:b/>
      <w:bCs/>
      <w:smallCaps/>
      <w:color w:val="0F4761" w:themeColor="accent1" w:themeShade="BF"/>
      <w:spacing w:val="5"/>
    </w:rPr>
  </w:style>
  <w:style w:type="paragraph" w:styleId="Header">
    <w:name w:val="header"/>
    <w:basedOn w:val="Normal"/>
    <w:link w:val="HeaderChar"/>
    <w:uiPriority w:val="99"/>
    <w:unhideWhenUsed/>
    <w:rsid w:val="00DE6643"/>
    <w:pPr>
      <w:tabs>
        <w:tab w:val="center" w:pos="4680"/>
        <w:tab w:val="right" w:pos="9360"/>
      </w:tabs>
    </w:pPr>
  </w:style>
  <w:style w:type="character" w:customStyle="1" w:styleId="HeaderChar">
    <w:name w:val="Header Char"/>
    <w:basedOn w:val="DefaultParagraphFont"/>
    <w:link w:val="Header"/>
    <w:uiPriority w:val="99"/>
    <w:rsid w:val="00DE6643"/>
    <w:rPr>
      <w:rFonts w:ascii="Cambria" w:eastAsia="MS Mincho" w:hAnsi="Cambria" w:cs="Times New Roman"/>
      <w:kern w:val="0"/>
      <w14:ligatures w14:val="none"/>
    </w:rPr>
  </w:style>
  <w:style w:type="paragraph" w:styleId="Footer">
    <w:name w:val="footer"/>
    <w:basedOn w:val="Normal"/>
    <w:link w:val="FooterChar"/>
    <w:uiPriority w:val="99"/>
    <w:unhideWhenUsed/>
    <w:rsid w:val="00DE6643"/>
    <w:pPr>
      <w:tabs>
        <w:tab w:val="center" w:pos="4680"/>
        <w:tab w:val="right" w:pos="9360"/>
      </w:tabs>
    </w:pPr>
  </w:style>
  <w:style w:type="character" w:customStyle="1" w:styleId="FooterChar">
    <w:name w:val="Footer Char"/>
    <w:basedOn w:val="DefaultParagraphFont"/>
    <w:link w:val="Footer"/>
    <w:uiPriority w:val="99"/>
    <w:rsid w:val="00DE6643"/>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Berg, Vita (DPH)</cp:lastModifiedBy>
  <cp:revision>3</cp:revision>
  <dcterms:created xsi:type="dcterms:W3CDTF">2024-06-11T19:35:00Z</dcterms:created>
  <dcterms:modified xsi:type="dcterms:W3CDTF">2024-06-13T20:12:00Z</dcterms:modified>
</cp:coreProperties>
</file>