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6FA49" w14:textId="7C9F2F36" w:rsidR="00BD4194" w:rsidRPr="00CE3F66" w:rsidRDefault="00BD4194" w:rsidP="00BD4194">
      <w:pPr>
        <w:tabs>
          <w:tab w:val="left" w:pos="3570"/>
        </w:tabs>
        <w:rPr>
          <w:rFonts w:ascii="Times New Roman" w:hAnsi="Times New Roman"/>
          <w:b/>
        </w:rPr>
      </w:pPr>
    </w:p>
    <w:p w14:paraId="57EC7C37" w14:textId="5966223D" w:rsidR="00BD4194" w:rsidRPr="00CE3F66" w:rsidRDefault="00BD4194" w:rsidP="00BD4194">
      <w:pPr>
        <w:jc w:val="center"/>
        <w:rPr>
          <w:rFonts w:ascii="Times New Roman" w:hAnsi="Times New Roman"/>
        </w:rPr>
      </w:pPr>
      <w:r w:rsidRPr="00CE3F66">
        <w:rPr>
          <w:rFonts w:ascii="Times New Roman" w:hAnsi="Times New Roman"/>
        </w:rPr>
        <w:t xml:space="preserve">POLICY </w:t>
      </w:r>
      <w:r w:rsidR="00045E6F">
        <w:rPr>
          <w:rFonts w:ascii="Times New Roman" w:hAnsi="Times New Roman"/>
        </w:rPr>
        <w:t>20</w:t>
      </w:r>
      <w:r w:rsidRPr="00CE3F66">
        <w:rPr>
          <w:rFonts w:ascii="Times New Roman" w:hAnsi="Times New Roman"/>
        </w:rPr>
        <w:t>2</w:t>
      </w:r>
      <w:r w:rsidR="00A35875" w:rsidRPr="00CE3F66">
        <w:rPr>
          <w:rFonts w:ascii="Times New Roman" w:hAnsi="Times New Roman"/>
        </w:rPr>
        <w:t>4</w:t>
      </w:r>
      <w:r w:rsidRPr="00CE3F66">
        <w:rPr>
          <w:rFonts w:ascii="Times New Roman" w:hAnsi="Times New Roman"/>
        </w:rPr>
        <w:t>-</w:t>
      </w:r>
      <w:r w:rsidR="00235735">
        <w:rPr>
          <w:rFonts w:ascii="Times New Roman" w:hAnsi="Times New Roman"/>
        </w:rPr>
        <w:t>05</w:t>
      </w:r>
    </w:p>
    <w:p w14:paraId="26661E94" w14:textId="1CA4ABBF" w:rsidR="00BD4194" w:rsidRPr="00CE3F66" w:rsidRDefault="001E03FB" w:rsidP="001E03FB">
      <w:pPr>
        <w:tabs>
          <w:tab w:val="left" w:pos="7710"/>
        </w:tabs>
        <w:jc w:val="both"/>
        <w:rPr>
          <w:rFonts w:ascii="Times New Roman" w:hAnsi="Times New Roman"/>
        </w:rPr>
      </w:pPr>
      <w:r>
        <w:rPr>
          <w:rFonts w:ascii="Times New Roman" w:hAnsi="Times New Roman"/>
        </w:rPr>
        <w:tab/>
      </w:r>
    </w:p>
    <w:p w14:paraId="14583AB6" w14:textId="1703AFE6" w:rsidR="00BD4194" w:rsidRPr="00CE3F66" w:rsidRDefault="00235735" w:rsidP="007C714A">
      <w:pPr>
        <w:jc w:val="center"/>
        <w:rPr>
          <w:rFonts w:ascii="Times New Roman" w:hAnsi="Times New Roman"/>
        </w:rPr>
      </w:pPr>
      <w:r>
        <w:rPr>
          <w:rFonts w:ascii="Times New Roman" w:hAnsi="Times New Roman"/>
        </w:rPr>
        <w:t xml:space="preserve">PHYSICIAN RE-CREDENTIALING </w:t>
      </w:r>
    </w:p>
    <w:p w14:paraId="17D10CF2" w14:textId="77777777" w:rsidR="00BD4194" w:rsidRPr="00CE3F66" w:rsidRDefault="00BD4194" w:rsidP="00BD4194">
      <w:pPr>
        <w:jc w:val="center"/>
        <w:rPr>
          <w:rFonts w:ascii="Times New Roman" w:hAnsi="Times New Roman"/>
        </w:rPr>
      </w:pPr>
    </w:p>
    <w:p w14:paraId="49EA5590" w14:textId="2F63A459" w:rsidR="00BD4194" w:rsidRPr="00CE3F66" w:rsidRDefault="002A0712" w:rsidP="00BD4194">
      <w:pPr>
        <w:jc w:val="center"/>
        <w:rPr>
          <w:rFonts w:ascii="Times New Roman" w:hAnsi="Times New Roman"/>
        </w:rPr>
      </w:pPr>
      <w:r w:rsidRPr="00CE3F66">
        <w:rPr>
          <w:rFonts w:ascii="Times New Roman" w:hAnsi="Times New Roman"/>
        </w:rPr>
        <w:t xml:space="preserve">Issued </w:t>
      </w:r>
      <w:r w:rsidR="001E03FB">
        <w:rPr>
          <w:rFonts w:ascii="Times New Roman" w:hAnsi="Times New Roman"/>
        </w:rPr>
        <w:t>November 21</w:t>
      </w:r>
      <w:r w:rsidR="00A35875" w:rsidRPr="00CE3F66">
        <w:rPr>
          <w:rFonts w:ascii="Times New Roman" w:hAnsi="Times New Roman"/>
        </w:rPr>
        <w:t>, 2024</w:t>
      </w:r>
    </w:p>
    <w:p w14:paraId="3DE15140" w14:textId="77777777" w:rsidR="00BD4194" w:rsidRPr="00CE3F66" w:rsidRDefault="00BD4194" w:rsidP="00BD4194">
      <w:pPr>
        <w:jc w:val="both"/>
        <w:rPr>
          <w:rFonts w:ascii="Times New Roman" w:hAnsi="Times New Roman"/>
          <w:b/>
          <w:bCs/>
        </w:rPr>
      </w:pPr>
    </w:p>
    <w:p w14:paraId="07F6D939" w14:textId="2A10A194" w:rsidR="00BD4194" w:rsidRDefault="00583CA6" w:rsidP="00BF75DE">
      <w:pPr>
        <w:jc w:val="both"/>
        <w:rPr>
          <w:rFonts w:ascii="Times New Roman" w:hAnsi="Times New Roman"/>
        </w:rPr>
      </w:pPr>
      <w:r w:rsidRPr="00CE3F66">
        <w:rPr>
          <w:rFonts w:ascii="Times New Roman" w:hAnsi="Times New Roman"/>
        </w:rPr>
        <w:t>H</w:t>
      </w:r>
      <w:r w:rsidR="0040243C" w:rsidRPr="00CE3F66">
        <w:rPr>
          <w:rFonts w:ascii="Times New Roman" w:hAnsi="Times New Roman"/>
        </w:rPr>
        <w:t>ealthcare facilities</w:t>
      </w:r>
      <w:r w:rsidR="001F771B" w:rsidRPr="001F771B">
        <w:rPr>
          <w:rFonts w:ascii="Times New Roman" w:hAnsi="Times New Roman"/>
          <w:sz w:val="20"/>
          <w:szCs w:val="20"/>
          <w:vertAlign w:val="superscript"/>
        </w:rPr>
        <w:t>1</w:t>
      </w:r>
      <w:r w:rsidR="0040243C" w:rsidRPr="00CE3F66">
        <w:rPr>
          <w:rFonts w:ascii="Times New Roman" w:hAnsi="Times New Roman"/>
        </w:rPr>
        <w:t xml:space="preserve"> </w:t>
      </w:r>
      <w:r w:rsidR="00607F11" w:rsidRPr="00CE3F66">
        <w:rPr>
          <w:rFonts w:ascii="Times New Roman" w:hAnsi="Times New Roman"/>
        </w:rPr>
        <w:t xml:space="preserve">in the Commonwealth </w:t>
      </w:r>
      <w:r w:rsidRPr="00CE3F66">
        <w:rPr>
          <w:rFonts w:ascii="Times New Roman" w:hAnsi="Times New Roman"/>
        </w:rPr>
        <w:t xml:space="preserve">of Massachusetts are required to </w:t>
      </w:r>
      <w:r w:rsidR="00607F11" w:rsidRPr="00CE3F66">
        <w:rPr>
          <w:rFonts w:ascii="Times New Roman" w:hAnsi="Times New Roman"/>
        </w:rPr>
        <w:t>comply with Patient Care Assessment (PCA) regulations (243 CMR 3.00-3.14).  The</w:t>
      </w:r>
      <w:r w:rsidR="00CC1E11" w:rsidRPr="00CE3F66">
        <w:rPr>
          <w:rFonts w:ascii="Times New Roman" w:hAnsi="Times New Roman"/>
        </w:rPr>
        <w:t xml:space="preserve"> regulations</w:t>
      </w:r>
      <w:r w:rsidR="00607F11" w:rsidRPr="00CE3F66">
        <w:rPr>
          <w:rFonts w:ascii="Times New Roman" w:hAnsi="Times New Roman"/>
        </w:rPr>
        <w:t xml:space="preserve"> </w:t>
      </w:r>
      <w:r w:rsidR="00D562DE">
        <w:rPr>
          <w:rFonts w:ascii="Times New Roman" w:hAnsi="Times New Roman"/>
        </w:rPr>
        <w:t xml:space="preserve">include the requirement that healthcare facilities meet credentialing requirements prior to appointing, hiring, or granting privileges to licensees, and at least every two years thereafter.  The credentialing requirements include obtaining for each licensee – with authorization from the licensee – information from the licensee’s medical malpractice liability insurance carrier </w:t>
      </w:r>
      <w:r w:rsidR="00A35875" w:rsidRPr="00CE3F66">
        <w:rPr>
          <w:rFonts w:ascii="Times New Roman" w:hAnsi="Times New Roman"/>
        </w:rPr>
        <w:t xml:space="preserve">a listing and description of all malpractice claims and lawsuits pending </w:t>
      </w:r>
      <w:r w:rsidR="00A35875" w:rsidRPr="00CE3F66">
        <w:rPr>
          <w:rFonts w:ascii="Times New Roman" w:hAnsi="Times New Roman"/>
          <w:i/>
          <w:iCs/>
          <w:u w:val="single"/>
        </w:rPr>
        <w:t>or closed</w:t>
      </w:r>
      <w:r w:rsidR="00A35875" w:rsidRPr="00CE3F66">
        <w:rPr>
          <w:rFonts w:ascii="Times New Roman" w:hAnsi="Times New Roman"/>
        </w:rPr>
        <w:t xml:space="preserve"> during the previous ten years, including the </w:t>
      </w:r>
      <w:r w:rsidR="00D562DE">
        <w:rPr>
          <w:rFonts w:ascii="Times New Roman" w:hAnsi="Times New Roman"/>
        </w:rPr>
        <w:t xml:space="preserve">specific </w:t>
      </w:r>
      <w:r w:rsidR="00A35875" w:rsidRPr="00CE3F66">
        <w:rPr>
          <w:rFonts w:ascii="Times New Roman" w:hAnsi="Times New Roman"/>
        </w:rPr>
        <w:t xml:space="preserve">information listed in 243 CMR 3.05(3)(e) and any further relevant information requested by the health care facility. 243 CMR 3.05 applies, </w:t>
      </w:r>
      <w:proofErr w:type="gramStart"/>
      <w:r w:rsidR="00A35875" w:rsidRPr="00CE3F66">
        <w:rPr>
          <w:rFonts w:ascii="Times New Roman" w:hAnsi="Times New Roman"/>
        </w:rPr>
        <w:t>whether or not</w:t>
      </w:r>
      <w:proofErr w:type="gramEnd"/>
      <w:r w:rsidR="00A35875" w:rsidRPr="00CE3F66">
        <w:rPr>
          <w:rFonts w:ascii="Times New Roman" w:hAnsi="Times New Roman"/>
        </w:rPr>
        <w:t xml:space="preserve"> the transaction giving rise to the malpractice claim arose at the health care facility where the licensee is seeking or renewing appointment, employment, practice, association for the purpose of providing patient care, or privileges. 243 CMR 3.05 also applies, </w:t>
      </w:r>
      <w:proofErr w:type="gramStart"/>
      <w:r w:rsidR="00A35875" w:rsidRPr="00CE3F66">
        <w:rPr>
          <w:rFonts w:ascii="Times New Roman" w:hAnsi="Times New Roman"/>
        </w:rPr>
        <w:t>whether or not</w:t>
      </w:r>
      <w:proofErr w:type="gramEnd"/>
      <w:r w:rsidR="00A35875" w:rsidRPr="00CE3F66">
        <w:rPr>
          <w:rFonts w:ascii="Times New Roman" w:hAnsi="Times New Roman"/>
        </w:rPr>
        <w:t xml:space="preserve"> the malpractice claim is filed with an insurance carrier, a court, or another entity to which the malpractice claim is presented.</w:t>
      </w:r>
    </w:p>
    <w:p w14:paraId="69D26BBB" w14:textId="77777777" w:rsidR="00235735" w:rsidRDefault="00235735" w:rsidP="00BF75DE">
      <w:pPr>
        <w:jc w:val="both"/>
        <w:rPr>
          <w:rFonts w:ascii="Times New Roman" w:hAnsi="Times New Roman"/>
        </w:rPr>
      </w:pPr>
    </w:p>
    <w:p w14:paraId="4ED3DDC8" w14:textId="23EE95F3" w:rsidR="00235735" w:rsidRPr="00CE3F66" w:rsidRDefault="00235735" w:rsidP="001F771B">
      <w:pPr>
        <w:jc w:val="both"/>
        <w:rPr>
          <w:rFonts w:ascii="Times New Roman" w:hAnsi="Times New Roman"/>
        </w:rPr>
      </w:pPr>
      <w:proofErr w:type="gramStart"/>
      <w:r>
        <w:rPr>
          <w:rFonts w:ascii="Times New Roman" w:hAnsi="Times New Roman"/>
        </w:rPr>
        <w:t>In an effort to</w:t>
      </w:r>
      <w:proofErr w:type="gramEnd"/>
      <w:r>
        <w:rPr>
          <w:rFonts w:ascii="Times New Roman" w:hAnsi="Times New Roman"/>
        </w:rPr>
        <w:t xml:space="preserve"> reduce redundancy and create a more efficient process, </w:t>
      </w:r>
      <w:r w:rsidR="00FF3834">
        <w:rPr>
          <w:rFonts w:ascii="Times New Roman" w:hAnsi="Times New Roman"/>
        </w:rPr>
        <w:t xml:space="preserve">the </w:t>
      </w:r>
      <w:r w:rsidR="00D562DE">
        <w:rPr>
          <w:rFonts w:ascii="Times New Roman" w:hAnsi="Times New Roman"/>
        </w:rPr>
        <w:t xml:space="preserve">Board issues this policy to clarify what steps will be deemed to have satisfied the malpractice claim credentialing requirement with respect to </w:t>
      </w:r>
      <w:r w:rsidR="00D562DE" w:rsidRPr="00C24220">
        <w:rPr>
          <w:rFonts w:ascii="Times New Roman" w:hAnsi="Times New Roman"/>
          <w:i/>
          <w:iCs/>
        </w:rPr>
        <w:t>closed</w:t>
      </w:r>
      <w:r w:rsidR="00D562DE">
        <w:rPr>
          <w:rFonts w:ascii="Times New Roman" w:hAnsi="Times New Roman"/>
        </w:rPr>
        <w:t xml:space="preserve"> malpractice claims</w:t>
      </w:r>
      <w:r w:rsidR="00432E22">
        <w:rPr>
          <w:rFonts w:ascii="Times New Roman" w:hAnsi="Times New Roman"/>
        </w:rPr>
        <w:t xml:space="preserve"> and lawsuits</w:t>
      </w:r>
      <w:r w:rsidR="00FF3834">
        <w:rPr>
          <w:rFonts w:ascii="Times New Roman" w:hAnsi="Times New Roman"/>
        </w:rPr>
        <w:t>.</w:t>
      </w:r>
    </w:p>
    <w:p w14:paraId="68BFC543" w14:textId="1FFF9A7F" w:rsidR="007259BA" w:rsidRPr="00CE3F66" w:rsidRDefault="007259BA" w:rsidP="00BD4194">
      <w:pPr>
        <w:jc w:val="both"/>
        <w:rPr>
          <w:rFonts w:ascii="Times New Roman" w:hAnsi="Times New Roman"/>
        </w:rPr>
      </w:pPr>
    </w:p>
    <w:p w14:paraId="23F8126F" w14:textId="2CAF061E" w:rsidR="00BD4194" w:rsidRPr="00CE3F66" w:rsidRDefault="007259BA" w:rsidP="00BD4194">
      <w:pPr>
        <w:jc w:val="both"/>
        <w:rPr>
          <w:rFonts w:ascii="Times New Roman" w:hAnsi="Times New Roman"/>
          <w:b/>
          <w:bCs/>
        </w:rPr>
      </w:pPr>
      <w:r w:rsidRPr="00CE3F66">
        <w:rPr>
          <w:rFonts w:ascii="Times New Roman" w:hAnsi="Times New Roman"/>
          <w:b/>
          <w:bCs/>
        </w:rPr>
        <w:t>P</w:t>
      </w:r>
      <w:r w:rsidR="00806803" w:rsidRPr="00CE3F66">
        <w:rPr>
          <w:rFonts w:ascii="Times New Roman" w:hAnsi="Times New Roman"/>
          <w:b/>
          <w:bCs/>
        </w:rPr>
        <w:t>olicy</w:t>
      </w:r>
      <w:r w:rsidRPr="00CE3F66">
        <w:rPr>
          <w:rFonts w:ascii="Times New Roman" w:hAnsi="Times New Roman"/>
          <w:b/>
          <w:bCs/>
        </w:rPr>
        <w:t>:</w:t>
      </w:r>
    </w:p>
    <w:p w14:paraId="4ADFCCA1" w14:textId="77777777" w:rsidR="00CE3F66" w:rsidRPr="00CE3F66" w:rsidRDefault="00CE3F66" w:rsidP="00BD4194">
      <w:pPr>
        <w:jc w:val="both"/>
        <w:rPr>
          <w:rFonts w:ascii="Times New Roman" w:hAnsi="Times New Roman"/>
          <w:b/>
          <w:bCs/>
        </w:rPr>
      </w:pPr>
    </w:p>
    <w:p w14:paraId="51E939CA" w14:textId="47D2FD55" w:rsidR="00A35875" w:rsidRPr="00CE3F66" w:rsidRDefault="002B1B54" w:rsidP="001F771B">
      <w:pPr>
        <w:jc w:val="both"/>
        <w:rPr>
          <w:rFonts w:ascii="Times New Roman" w:hAnsi="Times New Roman"/>
        </w:rPr>
      </w:pPr>
      <w:r>
        <w:rPr>
          <w:rFonts w:ascii="Times New Roman" w:hAnsi="Times New Roman"/>
        </w:rPr>
        <w:t>T</w:t>
      </w:r>
      <w:r w:rsidR="00FF3834">
        <w:rPr>
          <w:rFonts w:ascii="Times New Roman" w:hAnsi="Times New Roman"/>
        </w:rPr>
        <w:t xml:space="preserve">he healthcare facility </w:t>
      </w:r>
      <w:r w:rsidR="00D562DE">
        <w:rPr>
          <w:rFonts w:ascii="Times New Roman" w:hAnsi="Times New Roman"/>
        </w:rPr>
        <w:t xml:space="preserve">that </w:t>
      </w:r>
      <w:r w:rsidR="00FF3834">
        <w:rPr>
          <w:rFonts w:ascii="Times New Roman" w:hAnsi="Times New Roman"/>
        </w:rPr>
        <w:t xml:space="preserve">has </w:t>
      </w:r>
      <w:r w:rsidR="00D562DE">
        <w:rPr>
          <w:rFonts w:ascii="Times New Roman" w:hAnsi="Times New Roman"/>
        </w:rPr>
        <w:t xml:space="preserve">as part of the initial credentialing for a licensee, or as part of a prior two year re-credentialing, </w:t>
      </w:r>
      <w:r w:rsidR="00FF3834">
        <w:rPr>
          <w:rFonts w:ascii="Times New Roman" w:hAnsi="Times New Roman"/>
        </w:rPr>
        <w:t xml:space="preserve"> obtained information regarding</w:t>
      </w:r>
      <w:r w:rsidR="00211ED1">
        <w:rPr>
          <w:rFonts w:ascii="Times New Roman" w:hAnsi="Times New Roman"/>
        </w:rPr>
        <w:t xml:space="preserve"> </w:t>
      </w:r>
      <w:r w:rsidR="00D562DE">
        <w:rPr>
          <w:rFonts w:ascii="Times New Roman" w:hAnsi="Times New Roman"/>
        </w:rPr>
        <w:t xml:space="preserve">a </w:t>
      </w:r>
      <w:r w:rsidR="00CE3F66" w:rsidRPr="00747404">
        <w:rPr>
          <w:rFonts w:ascii="Times New Roman" w:hAnsi="Times New Roman"/>
          <w:i/>
          <w:iCs/>
        </w:rPr>
        <w:t xml:space="preserve">closed </w:t>
      </w:r>
      <w:r w:rsidR="00CE3F66" w:rsidRPr="00CE3F66">
        <w:rPr>
          <w:rFonts w:ascii="Times New Roman" w:hAnsi="Times New Roman"/>
        </w:rPr>
        <w:t>malpractice claim and lawsuit</w:t>
      </w:r>
      <w:r w:rsidR="00D562DE">
        <w:rPr>
          <w:rFonts w:ascii="Times New Roman" w:hAnsi="Times New Roman"/>
        </w:rPr>
        <w:t xml:space="preserve">, including documentation that establishes all information </w:t>
      </w:r>
      <w:r w:rsidR="00D562DE" w:rsidRPr="00CE3F66">
        <w:rPr>
          <w:rFonts w:ascii="Times New Roman" w:hAnsi="Times New Roman"/>
        </w:rPr>
        <w:t xml:space="preserve">the </w:t>
      </w:r>
      <w:r w:rsidR="00D562DE">
        <w:rPr>
          <w:rFonts w:ascii="Times New Roman" w:hAnsi="Times New Roman"/>
        </w:rPr>
        <w:t xml:space="preserve">specific </w:t>
      </w:r>
      <w:r w:rsidR="00D562DE" w:rsidRPr="00CE3F66">
        <w:rPr>
          <w:rFonts w:ascii="Times New Roman" w:hAnsi="Times New Roman"/>
        </w:rPr>
        <w:t>information listed in 243 CMR 3.05(3)(e)</w:t>
      </w:r>
      <w:r w:rsidR="00D562DE">
        <w:rPr>
          <w:rFonts w:ascii="Times New Roman" w:hAnsi="Times New Roman"/>
        </w:rPr>
        <w:t xml:space="preserve">, will be deemed to have met this credentialing requirement as to </w:t>
      </w:r>
      <w:r w:rsidR="00432E22">
        <w:rPr>
          <w:rFonts w:ascii="Times New Roman" w:hAnsi="Times New Roman"/>
        </w:rPr>
        <w:t xml:space="preserve">that </w:t>
      </w:r>
      <w:r w:rsidR="00D562DE">
        <w:rPr>
          <w:rFonts w:ascii="Times New Roman" w:hAnsi="Times New Roman"/>
        </w:rPr>
        <w:t xml:space="preserve">particular </w:t>
      </w:r>
      <w:r w:rsidR="00D562DE" w:rsidRPr="00C24220">
        <w:rPr>
          <w:rFonts w:ascii="Times New Roman" w:hAnsi="Times New Roman"/>
          <w:i/>
          <w:iCs/>
        </w:rPr>
        <w:t>closed</w:t>
      </w:r>
      <w:r w:rsidR="00D562DE">
        <w:rPr>
          <w:rFonts w:ascii="Times New Roman" w:hAnsi="Times New Roman"/>
        </w:rPr>
        <w:t xml:space="preserve"> malpractice claim or document </w:t>
      </w:r>
      <w:r w:rsidR="00432E22">
        <w:rPr>
          <w:rFonts w:ascii="Times New Roman" w:hAnsi="Times New Roman"/>
        </w:rPr>
        <w:t xml:space="preserve">in subsequent re-credentialing cycles during the previous ten years </w:t>
      </w:r>
      <w:r w:rsidR="00D562DE">
        <w:rPr>
          <w:rFonts w:ascii="Times New Roman" w:hAnsi="Times New Roman"/>
        </w:rPr>
        <w:t>and does not need to obtain from the malpractice carrier</w:t>
      </w:r>
      <w:r w:rsidR="00432E22">
        <w:rPr>
          <w:rFonts w:ascii="Times New Roman" w:hAnsi="Times New Roman"/>
        </w:rPr>
        <w:t xml:space="preserve"> a re-submittal of the previously obtained information.  </w:t>
      </w:r>
      <w:r w:rsidR="00D562DE">
        <w:rPr>
          <w:rFonts w:ascii="Times New Roman" w:hAnsi="Times New Roman"/>
        </w:rPr>
        <w:t xml:space="preserve"> </w:t>
      </w:r>
      <w:r w:rsidR="00CE3F66" w:rsidRPr="00CE3F66">
        <w:rPr>
          <w:rFonts w:ascii="Times New Roman" w:hAnsi="Times New Roman"/>
        </w:rPr>
        <w:t xml:space="preserve"> </w:t>
      </w:r>
    </w:p>
    <w:p w14:paraId="4AE46760" w14:textId="77777777" w:rsidR="00DC6DE1" w:rsidRPr="00CE3F66" w:rsidRDefault="00DC6DE1" w:rsidP="00BD4194">
      <w:pPr>
        <w:jc w:val="both"/>
        <w:rPr>
          <w:rFonts w:ascii="Times New Roman" w:eastAsia="Times New Roman" w:hAnsi="Times New Roman"/>
          <w:b/>
          <w:bCs/>
        </w:rPr>
      </w:pPr>
    </w:p>
    <w:p w14:paraId="4B3BB987" w14:textId="74562A36" w:rsidR="00D47F0D" w:rsidRPr="00CE3F66" w:rsidRDefault="00D47F0D" w:rsidP="00683C62">
      <w:pPr>
        <w:pStyle w:val="ListParagraph"/>
        <w:autoSpaceDE w:val="0"/>
        <w:autoSpaceDN w:val="0"/>
        <w:adjustRightInd w:val="0"/>
        <w:ind w:left="1440"/>
        <w:jc w:val="both"/>
        <w:rPr>
          <w:rFonts w:ascii="Times New Roman" w:eastAsia="Times New Roman" w:hAnsi="Times New Roman" w:cs="Times New Roman"/>
          <w:sz w:val="24"/>
          <w:szCs w:val="24"/>
        </w:rPr>
      </w:pPr>
    </w:p>
    <w:sectPr w:rsidR="00D47F0D" w:rsidRPr="00CE3F66" w:rsidSect="0029532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7FEA4" w14:textId="77777777" w:rsidR="008F6617" w:rsidRDefault="008F6617" w:rsidP="007C714A">
      <w:r>
        <w:separator/>
      </w:r>
    </w:p>
  </w:endnote>
  <w:endnote w:type="continuationSeparator" w:id="0">
    <w:p w14:paraId="586404E3" w14:textId="77777777" w:rsidR="008F6617" w:rsidRDefault="008F6617" w:rsidP="007C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46CD1" w14:textId="77777777" w:rsidR="00045E6F" w:rsidRDefault="00045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1A3DF" w14:textId="1432CDD7" w:rsidR="001D73CE" w:rsidRPr="001F771B" w:rsidRDefault="001F771B">
    <w:pPr>
      <w:pStyle w:val="Footer"/>
      <w:rPr>
        <w:sz w:val="18"/>
        <w:szCs w:val="18"/>
      </w:rPr>
    </w:pPr>
    <w:r w:rsidRPr="001F771B">
      <w:rPr>
        <w:vertAlign w:val="superscript"/>
      </w:rPr>
      <w:t>1</w:t>
    </w:r>
    <w:r w:rsidRPr="001F771B">
      <w:rPr>
        <w:sz w:val="18"/>
        <w:szCs w:val="18"/>
      </w:rPr>
      <w:t>Health Care Facility: any entity licensed pursuant to M.G.L. c. 111, § 51; any nursing home, within the meaning of M.G.L. c. 111, § 203(d); any state, county or municipal hospital; any entity maintaining more than one primary or episodic walk-in center; and any health maintenance organization within the meaning of M.G.L. c. 176G, § 1. The application of 243 CMR 3.00 to nursing homes and health maintenance organizations is limited as per 243 CMR 3.13 and 3.14.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26605" w14:textId="77777777" w:rsidR="00045E6F" w:rsidRDefault="00045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E2AD7" w14:textId="77777777" w:rsidR="008F6617" w:rsidRDefault="008F6617" w:rsidP="007C714A">
      <w:r>
        <w:separator/>
      </w:r>
    </w:p>
  </w:footnote>
  <w:footnote w:type="continuationSeparator" w:id="0">
    <w:p w14:paraId="3F3245D7" w14:textId="77777777" w:rsidR="008F6617" w:rsidRDefault="008F6617" w:rsidP="007C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C904E" w14:textId="26138419" w:rsidR="001D73CE" w:rsidRDefault="001D7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572C4" w14:textId="2DFA02AB" w:rsidR="00441499" w:rsidRPr="00A054BA" w:rsidRDefault="00441499" w:rsidP="00441499">
    <w:pPr>
      <w:jc w:val="center"/>
      <w:rPr>
        <w:rFonts w:ascii="Times New Roman" w:hAnsi="Times New Roman"/>
        <w:sz w:val="22"/>
        <w:szCs w:val="22"/>
      </w:rPr>
    </w:pPr>
    <w:r w:rsidRPr="00441499">
      <w:rPr>
        <w:rFonts w:ascii="Times New Roman" w:hAnsi="Times New Roman"/>
        <w:sz w:val="22"/>
        <w:szCs w:val="22"/>
      </w:rPr>
      <w:t xml:space="preserve"> </w:t>
    </w:r>
    <w:r w:rsidRPr="00A054BA">
      <w:rPr>
        <w:rFonts w:ascii="Times New Roman" w:hAnsi="Times New Roman"/>
        <w:sz w:val="22"/>
        <w:szCs w:val="22"/>
      </w:rPr>
      <w:t>COMMONWEALTH OF MASSACHUSETTS</w:t>
    </w:r>
  </w:p>
  <w:p w14:paraId="3830BB9F" w14:textId="77777777" w:rsidR="00441499" w:rsidRPr="00A054BA" w:rsidRDefault="00441499" w:rsidP="00441499">
    <w:pPr>
      <w:jc w:val="center"/>
      <w:rPr>
        <w:rFonts w:ascii="Times New Roman" w:hAnsi="Times New Roman"/>
        <w:sz w:val="22"/>
        <w:szCs w:val="22"/>
      </w:rPr>
    </w:pPr>
    <w:r w:rsidRPr="00A054BA">
      <w:rPr>
        <w:rFonts w:ascii="Times New Roman" w:hAnsi="Times New Roman"/>
        <w:sz w:val="22"/>
        <w:szCs w:val="22"/>
      </w:rPr>
      <w:t>BOARD OF REGISTRATION IN MEDICINE</w:t>
    </w:r>
  </w:p>
  <w:p w14:paraId="2FC89D06" w14:textId="409A8453" w:rsidR="007C714A" w:rsidRDefault="007C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71623" w14:textId="7D1191CE" w:rsidR="001D73CE" w:rsidRDefault="001D7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55649"/>
    <w:multiLevelType w:val="hybridMultilevel"/>
    <w:tmpl w:val="EFC880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599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94"/>
    <w:rsid w:val="00001994"/>
    <w:rsid w:val="00027B9B"/>
    <w:rsid w:val="00045E6F"/>
    <w:rsid w:val="000B5DF5"/>
    <w:rsid w:val="000B6B97"/>
    <w:rsid w:val="000D2D29"/>
    <w:rsid w:val="000E7ECE"/>
    <w:rsid w:val="001114F6"/>
    <w:rsid w:val="0013676E"/>
    <w:rsid w:val="001839B3"/>
    <w:rsid w:val="001950F6"/>
    <w:rsid w:val="001C373C"/>
    <w:rsid w:val="001D392E"/>
    <w:rsid w:val="001D73CE"/>
    <w:rsid w:val="001E03FB"/>
    <w:rsid w:val="001F771B"/>
    <w:rsid w:val="00206113"/>
    <w:rsid w:val="00211ED1"/>
    <w:rsid w:val="00217D19"/>
    <w:rsid w:val="002230D1"/>
    <w:rsid w:val="00235735"/>
    <w:rsid w:val="00237370"/>
    <w:rsid w:val="0024158C"/>
    <w:rsid w:val="002567B1"/>
    <w:rsid w:val="002625EA"/>
    <w:rsid w:val="00266CFB"/>
    <w:rsid w:val="00276EF6"/>
    <w:rsid w:val="002A0712"/>
    <w:rsid w:val="002A632B"/>
    <w:rsid w:val="002A6394"/>
    <w:rsid w:val="002B1B54"/>
    <w:rsid w:val="002C50DA"/>
    <w:rsid w:val="002D70A8"/>
    <w:rsid w:val="002F43FC"/>
    <w:rsid w:val="002F79AA"/>
    <w:rsid w:val="00321C64"/>
    <w:rsid w:val="00335911"/>
    <w:rsid w:val="00387E3C"/>
    <w:rsid w:val="00391FE7"/>
    <w:rsid w:val="00392CE6"/>
    <w:rsid w:val="003C52C7"/>
    <w:rsid w:val="0040243C"/>
    <w:rsid w:val="004059A6"/>
    <w:rsid w:val="004119D1"/>
    <w:rsid w:val="004308FC"/>
    <w:rsid w:val="00432E22"/>
    <w:rsid w:val="00441499"/>
    <w:rsid w:val="004521D4"/>
    <w:rsid w:val="004C093D"/>
    <w:rsid w:val="004C2123"/>
    <w:rsid w:val="00550949"/>
    <w:rsid w:val="00582684"/>
    <w:rsid w:val="00583CA6"/>
    <w:rsid w:val="005D710B"/>
    <w:rsid w:val="005F0811"/>
    <w:rsid w:val="00607F11"/>
    <w:rsid w:val="006117C9"/>
    <w:rsid w:val="00614183"/>
    <w:rsid w:val="0066569B"/>
    <w:rsid w:val="00683C62"/>
    <w:rsid w:val="00693BC5"/>
    <w:rsid w:val="006C1888"/>
    <w:rsid w:val="006C1D7E"/>
    <w:rsid w:val="006E2F94"/>
    <w:rsid w:val="007049B8"/>
    <w:rsid w:val="0071159A"/>
    <w:rsid w:val="007259BA"/>
    <w:rsid w:val="00740CFB"/>
    <w:rsid w:val="00743FD1"/>
    <w:rsid w:val="00747404"/>
    <w:rsid w:val="00751310"/>
    <w:rsid w:val="00774891"/>
    <w:rsid w:val="00792EBA"/>
    <w:rsid w:val="007B6FD9"/>
    <w:rsid w:val="007C5C43"/>
    <w:rsid w:val="007C714A"/>
    <w:rsid w:val="007D740D"/>
    <w:rsid w:val="007E4794"/>
    <w:rsid w:val="00806803"/>
    <w:rsid w:val="00812D28"/>
    <w:rsid w:val="00832781"/>
    <w:rsid w:val="00836645"/>
    <w:rsid w:val="00883162"/>
    <w:rsid w:val="008F6617"/>
    <w:rsid w:val="009456D9"/>
    <w:rsid w:val="00956CEC"/>
    <w:rsid w:val="00986763"/>
    <w:rsid w:val="00996BA8"/>
    <w:rsid w:val="009A245E"/>
    <w:rsid w:val="009B07FE"/>
    <w:rsid w:val="009C28A4"/>
    <w:rsid w:val="00A03A28"/>
    <w:rsid w:val="00A35875"/>
    <w:rsid w:val="00A82D8A"/>
    <w:rsid w:val="00AB1906"/>
    <w:rsid w:val="00AB7AC4"/>
    <w:rsid w:val="00AD3312"/>
    <w:rsid w:val="00AF7BB4"/>
    <w:rsid w:val="00B0771A"/>
    <w:rsid w:val="00B1455E"/>
    <w:rsid w:val="00B9644C"/>
    <w:rsid w:val="00BA5231"/>
    <w:rsid w:val="00BA7AFD"/>
    <w:rsid w:val="00BC651F"/>
    <w:rsid w:val="00BD4194"/>
    <w:rsid w:val="00BF365E"/>
    <w:rsid w:val="00BF75DE"/>
    <w:rsid w:val="00C24220"/>
    <w:rsid w:val="00C26BB2"/>
    <w:rsid w:val="00C95AE7"/>
    <w:rsid w:val="00CA1942"/>
    <w:rsid w:val="00CB7505"/>
    <w:rsid w:val="00CC1E11"/>
    <w:rsid w:val="00CE3F66"/>
    <w:rsid w:val="00D043A9"/>
    <w:rsid w:val="00D13AD3"/>
    <w:rsid w:val="00D47F0D"/>
    <w:rsid w:val="00D562DE"/>
    <w:rsid w:val="00D94985"/>
    <w:rsid w:val="00DB5098"/>
    <w:rsid w:val="00DC6DE1"/>
    <w:rsid w:val="00DC7CE7"/>
    <w:rsid w:val="00DE2C3E"/>
    <w:rsid w:val="00E47B6D"/>
    <w:rsid w:val="00F073A9"/>
    <w:rsid w:val="00F21580"/>
    <w:rsid w:val="00F26A2C"/>
    <w:rsid w:val="00F56D0D"/>
    <w:rsid w:val="00F66304"/>
    <w:rsid w:val="00F91B4B"/>
    <w:rsid w:val="00F92331"/>
    <w:rsid w:val="00FB6DEE"/>
    <w:rsid w:val="00FC37B3"/>
    <w:rsid w:val="00F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E913"/>
  <w15:chartTrackingRefBased/>
  <w15:docId w15:val="{6E3D9915-AA3B-4D41-82C4-1709CD2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9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9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0712"/>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rsid w:val="007C714A"/>
    <w:pPr>
      <w:tabs>
        <w:tab w:val="center" w:pos="4680"/>
        <w:tab w:val="right" w:pos="9360"/>
      </w:tabs>
    </w:pPr>
  </w:style>
  <w:style w:type="character" w:customStyle="1" w:styleId="HeaderChar">
    <w:name w:val="Header Char"/>
    <w:basedOn w:val="DefaultParagraphFont"/>
    <w:link w:val="Header"/>
    <w:uiPriority w:val="99"/>
    <w:rsid w:val="007C714A"/>
    <w:rPr>
      <w:rFonts w:ascii="Cambria" w:eastAsia="MS Mincho" w:hAnsi="Cambria" w:cs="Times New Roman"/>
      <w:sz w:val="24"/>
      <w:szCs w:val="24"/>
    </w:rPr>
  </w:style>
  <w:style w:type="paragraph" w:styleId="Footer">
    <w:name w:val="footer"/>
    <w:basedOn w:val="Normal"/>
    <w:link w:val="FooterChar"/>
    <w:uiPriority w:val="99"/>
    <w:unhideWhenUsed/>
    <w:rsid w:val="007C714A"/>
    <w:pPr>
      <w:tabs>
        <w:tab w:val="center" w:pos="4680"/>
        <w:tab w:val="right" w:pos="9360"/>
      </w:tabs>
    </w:pPr>
  </w:style>
  <w:style w:type="character" w:customStyle="1" w:styleId="FooterChar">
    <w:name w:val="Footer Char"/>
    <w:basedOn w:val="DefaultParagraphFont"/>
    <w:link w:val="Footer"/>
    <w:uiPriority w:val="99"/>
    <w:rsid w:val="007C714A"/>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4C0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93D"/>
    <w:rPr>
      <w:rFonts w:ascii="Segoe UI" w:eastAsia="MS Mincho" w:hAnsi="Segoe UI" w:cs="Segoe UI"/>
      <w:sz w:val="18"/>
      <w:szCs w:val="18"/>
    </w:rPr>
  </w:style>
  <w:style w:type="table" w:styleId="TableGrid">
    <w:name w:val="Table Grid"/>
    <w:basedOn w:val="TableNormal"/>
    <w:uiPriority w:val="39"/>
    <w:rsid w:val="00AF7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6113"/>
    <w:rPr>
      <w:sz w:val="16"/>
      <w:szCs w:val="16"/>
    </w:rPr>
  </w:style>
  <w:style w:type="paragraph" w:styleId="CommentText">
    <w:name w:val="annotation text"/>
    <w:basedOn w:val="Normal"/>
    <w:link w:val="CommentTextChar"/>
    <w:uiPriority w:val="99"/>
    <w:unhideWhenUsed/>
    <w:rsid w:val="00206113"/>
    <w:rPr>
      <w:sz w:val="20"/>
      <w:szCs w:val="20"/>
    </w:rPr>
  </w:style>
  <w:style w:type="character" w:customStyle="1" w:styleId="CommentTextChar">
    <w:name w:val="Comment Text Char"/>
    <w:basedOn w:val="DefaultParagraphFont"/>
    <w:link w:val="CommentText"/>
    <w:uiPriority w:val="99"/>
    <w:rsid w:val="00206113"/>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206113"/>
    <w:rPr>
      <w:b/>
      <w:bCs/>
    </w:rPr>
  </w:style>
  <w:style w:type="character" w:customStyle="1" w:styleId="CommentSubjectChar">
    <w:name w:val="Comment Subject Char"/>
    <w:basedOn w:val="CommentTextChar"/>
    <w:link w:val="CommentSubject"/>
    <w:uiPriority w:val="99"/>
    <w:semiHidden/>
    <w:rsid w:val="00206113"/>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0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2332-F1BC-43BD-A6BC-4E02CA9E810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Berg, Vita (DPH)</cp:lastModifiedBy>
  <cp:revision>2</cp:revision>
  <cp:lastPrinted>2022-11-21T17:35:00Z</cp:lastPrinted>
  <dcterms:created xsi:type="dcterms:W3CDTF">2024-12-05T18:58:00Z</dcterms:created>
  <dcterms:modified xsi:type="dcterms:W3CDTF">2024-12-05T18:58:00Z</dcterms:modified>
</cp:coreProperties>
</file>