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46D9" w14:textId="77777777" w:rsidR="00C75B23" w:rsidRDefault="00000000">
      <w:pPr>
        <w:pStyle w:val="BodyText"/>
        <w:rPr>
          <w:rFonts w:ascii="Times New Roman"/>
          <w:sz w:val="28"/>
        </w:rPr>
      </w:pPr>
      <w:r>
        <w:rPr>
          <w:rFonts w:ascii="Times New Roman"/>
          <w:noProof/>
          <w:sz w:val="28"/>
        </w:rPr>
        <w:drawing>
          <wp:anchor distT="0" distB="0" distL="0" distR="0" simplePos="0" relativeHeight="15729152" behindDoc="0" locked="0" layoutInCell="1" allowOverlap="1" wp14:anchorId="00A8CB40" wp14:editId="78F60F19">
            <wp:simplePos x="0" y="0"/>
            <wp:positionH relativeFrom="page">
              <wp:posOffset>914400</wp:posOffset>
            </wp:positionH>
            <wp:positionV relativeFrom="page">
              <wp:posOffset>914400</wp:posOffset>
            </wp:positionV>
            <wp:extent cx="5937884" cy="641349"/>
            <wp:effectExtent l="0" t="0" r="0" b="0"/>
            <wp:wrapNone/>
            <wp:docPr id="5" name="Image 5" descr="Executive Office for Administration and Finance - Bright A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Executive Office for Administration and Finance - Bright Act"/>
                    <pic:cNvPicPr/>
                  </pic:nvPicPr>
                  <pic:blipFill>
                    <a:blip r:embed="rId7" cstate="print"/>
                    <a:stretch>
                      <a:fillRect/>
                    </a:stretch>
                  </pic:blipFill>
                  <pic:spPr>
                    <a:xfrm>
                      <a:off x="0" y="0"/>
                      <a:ext cx="5937884" cy="641349"/>
                    </a:xfrm>
                    <a:prstGeom prst="rect">
                      <a:avLst/>
                    </a:prstGeom>
                  </pic:spPr>
                </pic:pic>
              </a:graphicData>
            </a:graphic>
          </wp:anchor>
        </w:drawing>
      </w:r>
    </w:p>
    <w:p w14:paraId="381C9F91" w14:textId="77777777" w:rsidR="00C75B23" w:rsidRDefault="00C75B23">
      <w:pPr>
        <w:pStyle w:val="BodyText"/>
        <w:rPr>
          <w:rFonts w:ascii="Times New Roman"/>
          <w:sz w:val="28"/>
        </w:rPr>
      </w:pPr>
    </w:p>
    <w:p w14:paraId="3D224203" w14:textId="77777777" w:rsidR="00C75B23" w:rsidRDefault="00C75B23">
      <w:pPr>
        <w:pStyle w:val="BodyText"/>
        <w:rPr>
          <w:rFonts w:ascii="Times New Roman"/>
          <w:sz w:val="28"/>
        </w:rPr>
      </w:pPr>
    </w:p>
    <w:p w14:paraId="664B39BD" w14:textId="77777777" w:rsidR="00C75B23" w:rsidRDefault="00C75B23">
      <w:pPr>
        <w:pStyle w:val="BodyText"/>
        <w:spacing w:before="7"/>
        <w:rPr>
          <w:rFonts w:ascii="Times New Roman"/>
          <w:sz w:val="28"/>
        </w:rPr>
      </w:pPr>
    </w:p>
    <w:p w14:paraId="6EF300E4" w14:textId="77777777" w:rsidR="00C75B23" w:rsidRDefault="00000000">
      <w:pPr>
        <w:pStyle w:val="Heading1"/>
        <w:spacing w:before="0"/>
      </w:pPr>
      <w:r>
        <w:rPr>
          <w:color w:val="001F5F"/>
          <w:spacing w:val="-2"/>
        </w:rPr>
        <w:t>Introduction</w:t>
      </w:r>
    </w:p>
    <w:p w14:paraId="7B7626FB" w14:textId="77777777" w:rsidR="00C75B23" w:rsidRDefault="00000000">
      <w:pPr>
        <w:pStyle w:val="BodyText"/>
        <w:spacing w:before="111" w:line="278" w:lineRule="auto"/>
      </w:pPr>
      <w:r>
        <w:t>Massachusetts is known for its excellent public higher education system, which drives innovation and strengthens our economy. Yet our campuses’ capital infrastructure requires significant new resources to both address mounting deferred maintenance needs</w:t>
      </w:r>
      <w:r>
        <w:rPr>
          <w:spacing w:val="-3"/>
        </w:rPr>
        <w:t xml:space="preserve"> </w:t>
      </w:r>
      <w:r>
        <w:t>and</w:t>
      </w:r>
      <w:r>
        <w:rPr>
          <w:spacing w:val="-2"/>
        </w:rPr>
        <w:t xml:space="preserve"> </w:t>
      </w:r>
      <w:r>
        <w:t>to</w:t>
      </w:r>
      <w:r>
        <w:rPr>
          <w:spacing w:val="-2"/>
        </w:rPr>
        <w:t xml:space="preserve"> </w:t>
      </w:r>
      <w:r>
        <w:t>ensure</w:t>
      </w:r>
      <w:r>
        <w:rPr>
          <w:spacing w:val="-2"/>
        </w:rPr>
        <w:t xml:space="preserve"> </w:t>
      </w:r>
      <w:r>
        <w:t>safe,</w:t>
      </w:r>
      <w:r>
        <w:rPr>
          <w:spacing w:val="-2"/>
        </w:rPr>
        <w:t xml:space="preserve"> </w:t>
      </w:r>
      <w:r>
        <w:t>modern,</w:t>
      </w:r>
      <w:r>
        <w:rPr>
          <w:spacing w:val="-2"/>
        </w:rPr>
        <w:t xml:space="preserve"> </w:t>
      </w:r>
      <w:r>
        <w:t>decarbonized</w:t>
      </w:r>
      <w:r>
        <w:rPr>
          <w:spacing w:val="-2"/>
        </w:rPr>
        <w:t xml:space="preserve"> </w:t>
      </w:r>
      <w:r>
        <w:t>campuses</w:t>
      </w:r>
      <w:r>
        <w:rPr>
          <w:spacing w:val="-3"/>
        </w:rPr>
        <w:t xml:space="preserve"> </w:t>
      </w:r>
      <w:r>
        <w:t>that</w:t>
      </w:r>
      <w:r>
        <w:rPr>
          <w:spacing w:val="-5"/>
        </w:rPr>
        <w:t xml:space="preserve"> </w:t>
      </w:r>
      <w:r>
        <w:t>meet</w:t>
      </w:r>
      <w:r>
        <w:rPr>
          <w:spacing w:val="-2"/>
        </w:rPr>
        <w:t xml:space="preserve"> </w:t>
      </w:r>
      <w:r>
        <w:t>the</w:t>
      </w:r>
      <w:r>
        <w:rPr>
          <w:spacing w:val="-4"/>
        </w:rPr>
        <w:t xml:space="preserve"> </w:t>
      </w:r>
      <w:r>
        <w:t>demands</w:t>
      </w:r>
      <w:r>
        <w:rPr>
          <w:spacing w:val="-5"/>
        </w:rPr>
        <w:t xml:space="preserve"> </w:t>
      </w:r>
      <w:r>
        <w:t>of current and future students. To address these challenges, the Healey-Driscoll Administration filed</w:t>
      </w:r>
      <w:r>
        <w:rPr>
          <w:spacing w:val="-4"/>
        </w:rPr>
        <w:t xml:space="preserve"> </w:t>
      </w:r>
      <w:r>
        <w:t>An</w:t>
      </w:r>
      <w:r>
        <w:rPr>
          <w:spacing w:val="-3"/>
        </w:rPr>
        <w:t xml:space="preserve"> </w:t>
      </w:r>
      <w:r>
        <w:t xml:space="preserve">Act to Build Resilient Infrastructure to Generate Higher-Ed Transformation (the </w:t>
      </w:r>
      <w:r>
        <w:rPr>
          <w:i/>
        </w:rPr>
        <w:t>BRIGHT</w:t>
      </w:r>
      <w:r>
        <w:rPr>
          <w:i/>
          <w:spacing w:val="-1"/>
        </w:rPr>
        <w:t xml:space="preserve"> </w:t>
      </w:r>
      <w:r>
        <w:rPr>
          <w:i/>
        </w:rPr>
        <w:t xml:space="preserve">Act), </w:t>
      </w:r>
      <w:r>
        <w:t>which leverages $125 million in annual Fair Share surtax revenues to unlock significant new capital funding for Massachusetts’ public higher education institutions.</w:t>
      </w:r>
    </w:p>
    <w:p w14:paraId="7EC26AA2" w14:textId="77777777" w:rsidR="00C75B23" w:rsidRDefault="00000000">
      <w:pPr>
        <w:spacing w:before="55" w:line="302" w:lineRule="auto"/>
        <w:rPr>
          <w:sz w:val="24"/>
        </w:rPr>
      </w:pPr>
      <w:r>
        <w:rPr>
          <w:b/>
          <w:color w:val="001F5F"/>
          <w:sz w:val="28"/>
        </w:rPr>
        <w:t xml:space="preserve">Meeting the Critical Needs of Our Public Higher Education System </w:t>
      </w:r>
      <w:r>
        <w:rPr>
          <w:sz w:val="24"/>
        </w:rPr>
        <w:t>Massachusetts’ public colleges, universities, and community colleges are vital to ensuring</w:t>
      </w:r>
      <w:r>
        <w:rPr>
          <w:spacing w:val="-5"/>
          <w:sz w:val="24"/>
        </w:rPr>
        <w:t xml:space="preserve"> </w:t>
      </w:r>
      <w:r>
        <w:rPr>
          <w:sz w:val="24"/>
        </w:rPr>
        <w:t>equitable</w:t>
      </w:r>
      <w:r>
        <w:rPr>
          <w:spacing w:val="-3"/>
          <w:sz w:val="24"/>
        </w:rPr>
        <w:t xml:space="preserve"> </w:t>
      </w:r>
      <w:r>
        <w:rPr>
          <w:sz w:val="24"/>
        </w:rPr>
        <w:t>access</w:t>
      </w:r>
      <w:r>
        <w:rPr>
          <w:spacing w:val="-4"/>
          <w:sz w:val="24"/>
        </w:rPr>
        <w:t xml:space="preserve"> </w:t>
      </w:r>
      <w:r>
        <w:rPr>
          <w:sz w:val="24"/>
        </w:rPr>
        <w:t>to</w:t>
      </w:r>
      <w:r>
        <w:rPr>
          <w:spacing w:val="-5"/>
          <w:sz w:val="24"/>
        </w:rPr>
        <w:t xml:space="preserve"> </w:t>
      </w:r>
      <w:r>
        <w:rPr>
          <w:sz w:val="24"/>
        </w:rPr>
        <w:t>education</w:t>
      </w:r>
      <w:r>
        <w:rPr>
          <w:spacing w:val="-3"/>
          <w:sz w:val="24"/>
        </w:rPr>
        <w:t xml:space="preserve"> </w:t>
      </w:r>
      <w:r>
        <w:rPr>
          <w:sz w:val="24"/>
        </w:rPr>
        <w:t>and</w:t>
      </w:r>
      <w:r>
        <w:rPr>
          <w:spacing w:val="-3"/>
          <w:sz w:val="24"/>
        </w:rPr>
        <w:t xml:space="preserve"> </w:t>
      </w:r>
      <w:r>
        <w:rPr>
          <w:sz w:val="24"/>
        </w:rPr>
        <w:t>for</w:t>
      </w:r>
      <w:r>
        <w:rPr>
          <w:spacing w:val="-5"/>
          <w:sz w:val="24"/>
        </w:rPr>
        <w:t xml:space="preserve"> </w:t>
      </w:r>
      <w:r>
        <w:rPr>
          <w:sz w:val="24"/>
        </w:rPr>
        <w:t>preparing</w:t>
      </w:r>
      <w:r>
        <w:rPr>
          <w:spacing w:val="-3"/>
          <w:sz w:val="24"/>
        </w:rPr>
        <w:t xml:space="preserve"> </w:t>
      </w:r>
      <w:r>
        <w:rPr>
          <w:sz w:val="24"/>
        </w:rPr>
        <w:t>students</w:t>
      </w:r>
      <w:r>
        <w:rPr>
          <w:spacing w:val="-4"/>
          <w:sz w:val="24"/>
        </w:rPr>
        <w:t xml:space="preserve"> </w:t>
      </w:r>
      <w:r>
        <w:rPr>
          <w:sz w:val="24"/>
        </w:rPr>
        <w:t>to</w:t>
      </w:r>
      <w:r>
        <w:rPr>
          <w:spacing w:val="-3"/>
          <w:sz w:val="24"/>
        </w:rPr>
        <w:t xml:space="preserve"> </w:t>
      </w:r>
      <w:r>
        <w:rPr>
          <w:sz w:val="24"/>
        </w:rPr>
        <w:t>succeed</w:t>
      </w:r>
      <w:r>
        <w:rPr>
          <w:spacing w:val="-3"/>
          <w:sz w:val="24"/>
        </w:rPr>
        <w:t xml:space="preserve"> </w:t>
      </w:r>
      <w:r>
        <w:rPr>
          <w:sz w:val="24"/>
        </w:rPr>
        <w:t>in</w:t>
      </w:r>
      <w:r>
        <w:rPr>
          <w:spacing w:val="-5"/>
          <w:sz w:val="24"/>
        </w:rPr>
        <w:t xml:space="preserve"> </w:t>
      </w:r>
      <w:r>
        <w:rPr>
          <w:sz w:val="24"/>
        </w:rPr>
        <w:t>today’s</w:t>
      </w:r>
    </w:p>
    <w:p w14:paraId="0381C802" w14:textId="77777777" w:rsidR="00C75B23" w:rsidRDefault="00000000">
      <w:pPr>
        <w:pStyle w:val="BodyText"/>
        <w:spacing w:line="249" w:lineRule="exact"/>
      </w:pPr>
      <w:r>
        <w:t>high</w:t>
      </w:r>
      <w:r>
        <w:rPr>
          <w:spacing w:val="-6"/>
        </w:rPr>
        <w:t xml:space="preserve"> </w:t>
      </w:r>
      <w:r>
        <w:t>demand</w:t>
      </w:r>
      <w:r>
        <w:rPr>
          <w:spacing w:val="-3"/>
        </w:rPr>
        <w:t xml:space="preserve"> </w:t>
      </w:r>
      <w:r>
        <w:t>industries.</w:t>
      </w:r>
      <w:r>
        <w:rPr>
          <w:spacing w:val="-4"/>
        </w:rPr>
        <w:t xml:space="preserve"> </w:t>
      </w:r>
      <w:r>
        <w:t>However,</w:t>
      </w:r>
      <w:r>
        <w:rPr>
          <w:spacing w:val="-3"/>
        </w:rPr>
        <w:t xml:space="preserve"> </w:t>
      </w:r>
      <w:r>
        <w:t>much</w:t>
      </w:r>
      <w:r>
        <w:rPr>
          <w:spacing w:val="-6"/>
        </w:rPr>
        <w:t xml:space="preserve"> </w:t>
      </w:r>
      <w:r>
        <w:t>of</w:t>
      </w:r>
      <w:r>
        <w:rPr>
          <w:spacing w:val="-3"/>
        </w:rPr>
        <w:t xml:space="preserve"> </w:t>
      </w:r>
      <w:r>
        <w:t>the</w:t>
      </w:r>
      <w:r>
        <w:rPr>
          <w:spacing w:val="-4"/>
        </w:rPr>
        <w:t xml:space="preserve"> </w:t>
      </w:r>
      <w:r>
        <w:t>infrastructure</w:t>
      </w:r>
      <w:r>
        <w:rPr>
          <w:spacing w:val="-5"/>
        </w:rPr>
        <w:t xml:space="preserve"> </w:t>
      </w:r>
      <w:r>
        <w:t>on</w:t>
      </w:r>
      <w:r>
        <w:rPr>
          <w:spacing w:val="-4"/>
        </w:rPr>
        <w:t xml:space="preserve"> </w:t>
      </w:r>
      <w:r>
        <w:t>these</w:t>
      </w:r>
      <w:r>
        <w:rPr>
          <w:spacing w:val="-3"/>
        </w:rPr>
        <w:t xml:space="preserve"> </w:t>
      </w:r>
      <w:r>
        <w:t>campuses,</w:t>
      </w:r>
      <w:r>
        <w:rPr>
          <w:spacing w:val="-6"/>
        </w:rPr>
        <w:t xml:space="preserve"> </w:t>
      </w:r>
      <w:r>
        <w:rPr>
          <w:spacing w:val="-2"/>
        </w:rPr>
        <w:t>built</w:t>
      </w:r>
    </w:p>
    <w:p w14:paraId="24E2B1A5" w14:textId="77777777" w:rsidR="00C75B23" w:rsidRDefault="00000000">
      <w:pPr>
        <w:pStyle w:val="BodyText"/>
        <w:spacing w:before="43" w:line="278" w:lineRule="auto"/>
        <w:ind w:right="59"/>
      </w:pPr>
      <w:r>
        <w:t>in</w:t>
      </w:r>
      <w:r>
        <w:rPr>
          <w:spacing w:val="-2"/>
        </w:rPr>
        <w:t xml:space="preserve"> </w:t>
      </w:r>
      <w:r>
        <w:t>the</w:t>
      </w:r>
      <w:r>
        <w:rPr>
          <w:spacing w:val="-4"/>
        </w:rPr>
        <w:t xml:space="preserve"> </w:t>
      </w:r>
      <w:r>
        <w:t>1970s,</w:t>
      </w:r>
      <w:r>
        <w:rPr>
          <w:spacing w:val="-5"/>
        </w:rPr>
        <w:t xml:space="preserve"> </w:t>
      </w:r>
      <w:r>
        <w:t>is</w:t>
      </w:r>
      <w:r>
        <w:rPr>
          <w:spacing w:val="-3"/>
        </w:rPr>
        <w:t xml:space="preserve"> </w:t>
      </w:r>
      <w:r>
        <w:t>aging</w:t>
      </w:r>
      <w:r>
        <w:rPr>
          <w:spacing w:val="-4"/>
        </w:rPr>
        <w:t xml:space="preserve"> </w:t>
      </w:r>
      <w:r>
        <w:t>and</w:t>
      </w:r>
      <w:r>
        <w:rPr>
          <w:spacing w:val="-2"/>
        </w:rPr>
        <w:t xml:space="preserve"> </w:t>
      </w:r>
      <w:r>
        <w:t>increasingly</w:t>
      </w:r>
      <w:r>
        <w:rPr>
          <w:spacing w:val="-3"/>
        </w:rPr>
        <w:t xml:space="preserve"> </w:t>
      </w:r>
      <w:r>
        <w:t>unable</w:t>
      </w:r>
      <w:r>
        <w:rPr>
          <w:spacing w:val="-2"/>
        </w:rPr>
        <w:t xml:space="preserve"> </w:t>
      </w:r>
      <w:r>
        <w:t>to</w:t>
      </w:r>
      <w:r>
        <w:rPr>
          <w:spacing w:val="-2"/>
        </w:rPr>
        <w:t xml:space="preserve"> </w:t>
      </w:r>
      <w:r>
        <w:t>meet</w:t>
      </w:r>
      <w:r>
        <w:rPr>
          <w:spacing w:val="-2"/>
        </w:rPr>
        <w:t xml:space="preserve"> </w:t>
      </w:r>
      <w:r>
        <w:t>modern</w:t>
      </w:r>
      <w:r>
        <w:rPr>
          <w:spacing w:val="-4"/>
        </w:rPr>
        <w:t xml:space="preserve"> </w:t>
      </w:r>
      <w:r>
        <w:t>demands.</w:t>
      </w:r>
      <w:r>
        <w:rPr>
          <w:spacing w:val="-8"/>
        </w:rPr>
        <w:t xml:space="preserve"> </w:t>
      </w:r>
      <w:r>
        <w:t>The</w:t>
      </w:r>
      <w:r>
        <w:rPr>
          <w:spacing w:val="-2"/>
        </w:rPr>
        <w:t xml:space="preserve"> </w:t>
      </w:r>
      <w:r>
        <w:t>result</w:t>
      </w:r>
      <w:r>
        <w:rPr>
          <w:spacing w:val="-2"/>
        </w:rPr>
        <w:t xml:space="preserve"> </w:t>
      </w:r>
      <w:r>
        <w:t>is an inventory of outdated academic buildings and infrastructure in need of significant upgrades and deferred maintenance repairs.</w:t>
      </w:r>
    </w:p>
    <w:p w14:paraId="3FA40FE6" w14:textId="77777777" w:rsidR="00927C3D" w:rsidRDefault="00927C3D">
      <w:pPr>
        <w:pStyle w:val="BodyText"/>
        <w:spacing w:before="43" w:line="278" w:lineRule="auto"/>
        <w:ind w:right="59"/>
      </w:pPr>
    </w:p>
    <w:p w14:paraId="684FBD6E" w14:textId="24C74CF3" w:rsidR="00927C3D" w:rsidRDefault="00927C3D">
      <w:pPr>
        <w:pStyle w:val="BodyText"/>
        <w:spacing w:before="43" w:line="278" w:lineRule="auto"/>
        <w:ind w:right="59"/>
      </w:pPr>
      <w:r>
        <w:t>The following h</w:t>
      </w:r>
      <w:r w:rsidRPr="00927C3D">
        <w:t xml:space="preserve">orizontal stacked bar chart titled ‘Projected Capital Funding Needs by Sector’ compares three higher-education sectors: Community Colleges, State Universities, and the University of Massachusetts System. Each bar is divided into four funding categories: Deferred Maintenance, Decarbonization, Programmatic Modernization, and Formula-adjusted Programmatic Modernization. Community Colleges show the smallest overall need, at just under $6 billion. State Universities have a moderate total, at roughly $6–7 billion. The University of Massachusetts System has the largest projected need, exceeding $14 billion, with especially large portions for Decarbonization and Programmatic Modernization. Across all </w:t>
      </w:r>
      <w:proofErr w:type="gramStart"/>
      <w:r w:rsidRPr="00927C3D">
        <w:t>sectors</w:t>
      </w:r>
      <w:proofErr w:type="gramEnd"/>
      <w:r w:rsidRPr="00927C3D">
        <w:t xml:space="preserve">, Deferred Maintenance is the smallest component, while modernization and decarbonization drive </w:t>
      </w:r>
      <w:proofErr w:type="gramStart"/>
      <w:r w:rsidRPr="00927C3D">
        <w:t>the majority of</w:t>
      </w:r>
      <w:proofErr w:type="gramEnd"/>
      <w:r w:rsidRPr="00927C3D">
        <w:t xml:space="preserve"> projected costs.</w:t>
      </w:r>
    </w:p>
    <w:p w14:paraId="27C5D445" w14:textId="0CDFBCD4" w:rsidR="00C75B23" w:rsidRDefault="00C75B23">
      <w:pPr>
        <w:pStyle w:val="BodyText"/>
        <w:spacing w:before="6"/>
        <w:rPr>
          <w:noProof/>
          <w:sz w:val="15"/>
        </w:rPr>
      </w:pPr>
    </w:p>
    <w:p w14:paraId="22E6D7EE" w14:textId="196600DA" w:rsidR="00927C3D" w:rsidRDefault="00927C3D">
      <w:pPr>
        <w:pStyle w:val="BodyText"/>
        <w:spacing w:before="6"/>
        <w:rPr>
          <w:sz w:val="15"/>
        </w:rPr>
      </w:pPr>
      <w:r>
        <w:rPr>
          <w:noProof/>
          <w:sz w:val="15"/>
        </w:rPr>
        <w:lastRenderedPageBreak/>
        <w:drawing>
          <wp:inline distT="0" distB="0" distL="0" distR="0" wp14:anchorId="793B6A95" wp14:editId="289C2CB0">
            <wp:extent cx="5943600" cy="2860675"/>
            <wp:effectExtent l="0" t="0" r="0" b="0"/>
            <wp:docPr id="754417815" name="Picture 27" descr="horizontal stacked bar chart titled ‘Projected Capital Funding Needs by Sector’ compares three higher-education sectors: Community Colleges, State Universities, and the University of Massachusetts System. Each bar is divided into four funding categories: Deferred Maintenance, Decarbonization, Programmatic Modernization, and Formula-adjusted Programmatic Moderniz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17815" name="Picture 27" descr="horizontal stacked bar chart titled ‘Projected Capital Funding Needs by Sector’ compares three higher-education sectors: Community Colleges, State Universities, and the University of Massachusetts System. Each bar is divided into four funding categories: Deferred Maintenance, Decarbonization, Programmatic Modernization, and Formula-adjusted Programmatic Modernization. "/>
                    <pic:cNvPicPr/>
                  </pic:nvPicPr>
                  <pic:blipFill>
                    <a:blip r:embed="rId8">
                      <a:extLst>
                        <a:ext uri="{28A0092B-C50C-407E-A947-70E740481C1C}">
                          <a14:useLocalDpi xmlns:a14="http://schemas.microsoft.com/office/drawing/2010/main" val="0"/>
                        </a:ext>
                      </a:extLst>
                    </a:blip>
                    <a:stretch>
                      <a:fillRect/>
                    </a:stretch>
                  </pic:blipFill>
                  <pic:spPr>
                    <a:xfrm>
                      <a:off x="0" y="0"/>
                      <a:ext cx="5943600" cy="2860675"/>
                    </a:xfrm>
                    <a:prstGeom prst="rect">
                      <a:avLst/>
                    </a:prstGeom>
                  </pic:spPr>
                </pic:pic>
              </a:graphicData>
            </a:graphic>
          </wp:inline>
        </w:drawing>
      </w:r>
    </w:p>
    <w:p w14:paraId="546E9E2A" w14:textId="77777777" w:rsidR="00C75B23" w:rsidRDefault="00000000">
      <w:pPr>
        <w:pStyle w:val="BodyText"/>
        <w:spacing w:before="80" w:line="278" w:lineRule="auto"/>
        <w:ind w:right="43"/>
      </w:pPr>
      <w:r>
        <w:t>Addressing deferred maintenance, modernizing and decarbonizing facilities, and constructing state-of-the-art academic spaces are essential to helping these schools and their students achieve their full potential.</w:t>
      </w:r>
      <w:r>
        <w:rPr>
          <w:spacing w:val="-2"/>
        </w:rPr>
        <w:t xml:space="preserve"> </w:t>
      </w:r>
      <w:r>
        <w:t>Yet construction costs continue to rise for these</w:t>
      </w:r>
      <w:r>
        <w:rPr>
          <w:spacing w:val="-4"/>
        </w:rPr>
        <w:t xml:space="preserve"> </w:t>
      </w:r>
      <w:r>
        <w:t>projects,</w:t>
      </w:r>
      <w:r>
        <w:rPr>
          <w:spacing w:val="-3"/>
        </w:rPr>
        <w:t xml:space="preserve"> </w:t>
      </w:r>
      <w:r>
        <w:t>further</w:t>
      </w:r>
      <w:r>
        <w:rPr>
          <w:spacing w:val="-6"/>
        </w:rPr>
        <w:t xml:space="preserve"> </w:t>
      </w:r>
      <w:r>
        <w:t>complicated</w:t>
      </w:r>
      <w:r>
        <w:rPr>
          <w:spacing w:val="-4"/>
        </w:rPr>
        <w:t xml:space="preserve"> </w:t>
      </w:r>
      <w:r>
        <w:t>by</w:t>
      </w:r>
      <w:r>
        <w:rPr>
          <w:spacing w:val="-5"/>
        </w:rPr>
        <w:t xml:space="preserve"> </w:t>
      </w:r>
      <w:r>
        <w:t>enrollment</w:t>
      </w:r>
      <w:r>
        <w:rPr>
          <w:spacing w:val="-5"/>
        </w:rPr>
        <w:t xml:space="preserve"> </w:t>
      </w:r>
      <w:r>
        <w:t>pressures,</w:t>
      </w:r>
      <w:r>
        <w:rPr>
          <w:spacing w:val="-5"/>
        </w:rPr>
        <w:t xml:space="preserve"> </w:t>
      </w:r>
      <w:r>
        <w:t>decarbonization</w:t>
      </w:r>
      <w:r>
        <w:rPr>
          <w:spacing w:val="-4"/>
        </w:rPr>
        <w:t xml:space="preserve"> </w:t>
      </w:r>
      <w:r>
        <w:t>mandates, regulatory requirements, labor shortages, and material price increases.</w:t>
      </w:r>
      <w:r>
        <w:rPr>
          <w:spacing w:val="-7"/>
        </w:rPr>
        <w:t xml:space="preserve"> </w:t>
      </w:r>
      <w:r>
        <w:t xml:space="preserve">As a result, the needs </w:t>
      </w:r>
      <w:proofErr w:type="spellStart"/>
      <w:r>
        <w:t>on</w:t>
      </w:r>
      <w:proofErr w:type="spellEnd"/>
      <w:r>
        <w:t xml:space="preserve"> our public higher education campuses are growing well beyond what traditional capital funding sources can accommodate.</w:t>
      </w:r>
    </w:p>
    <w:p w14:paraId="32B68DCC" w14:textId="77777777" w:rsidR="00C75B23" w:rsidRDefault="00000000">
      <w:pPr>
        <w:pStyle w:val="Heading1"/>
        <w:spacing w:before="155"/>
      </w:pPr>
      <w:r>
        <w:rPr>
          <w:color w:val="001F5F"/>
        </w:rPr>
        <w:t>A</w:t>
      </w:r>
      <w:r>
        <w:rPr>
          <w:color w:val="001F5F"/>
          <w:spacing w:val="-16"/>
        </w:rPr>
        <w:t xml:space="preserve"> </w:t>
      </w:r>
      <w:r>
        <w:rPr>
          <w:color w:val="001F5F"/>
        </w:rPr>
        <w:t>Bold</w:t>
      </w:r>
      <w:r>
        <w:rPr>
          <w:color w:val="001F5F"/>
          <w:spacing w:val="-4"/>
        </w:rPr>
        <w:t xml:space="preserve"> </w:t>
      </w:r>
      <w:r>
        <w:rPr>
          <w:color w:val="001F5F"/>
        </w:rPr>
        <w:t>Solution</w:t>
      </w:r>
      <w:r>
        <w:rPr>
          <w:color w:val="001F5F"/>
          <w:spacing w:val="-5"/>
        </w:rPr>
        <w:t xml:space="preserve"> </w:t>
      </w:r>
      <w:r>
        <w:rPr>
          <w:color w:val="001F5F"/>
        </w:rPr>
        <w:t>to</w:t>
      </w:r>
      <w:r>
        <w:rPr>
          <w:color w:val="001F5F"/>
          <w:spacing w:val="-7"/>
        </w:rPr>
        <w:t xml:space="preserve"> </w:t>
      </w:r>
      <w:r>
        <w:rPr>
          <w:color w:val="001F5F"/>
        </w:rPr>
        <w:t>Expand</w:t>
      </w:r>
      <w:r>
        <w:rPr>
          <w:color w:val="001F5F"/>
          <w:spacing w:val="-5"/>
        </w:rPr>
        <w:t xml:space="preserve"> </w:t>
      </w:r>
      <w:r>
        <w:rPr>
          <w:color w:val="001F5F"/>
        </w:rPr>
        <w:t>the</w:t>
      </w:r>
      <w:r>
        <w:rPr>
          <w:color w:val="001F5F"/>
          <w:spacing w:val="-6"/>
        </w:rPr>
        <w:t xml:space="preserve"> </w:t>
      </w:r>
      <w:r>
        <w:rPr>
          <w:color w:val="001F5F"/>
        </w:rPr>
        <w:t>Pie</w:t>
      </w:r>
      <w:r>
        <w:rPr>
          <w:color w:val="001F5F"/>
          <w:spacing w:val="-6"/>
        </w:rPr>
        <w:t xml:space="preserve"> </w:t>
      </w:r>
      <w:r>
        <w:rPr>
          <w:color w:val="001F5F"/>
        </w:rPr>
        <w:t>of</w:t>
      </w:r>
      <w:r>
        <w:rPr>
          <w:color w:val="001F5F"/>
          <w:spacing w:val="-16"/>
        </w:rPr>
        <w:t xml:space="preserve"> </w:t>
      </w:r>
      <w:r>
        <w:rPr>
          <w:color w:val="001F5F"/>
        </w:rPr>
        <w:t>Available</w:t>
      </w:r>
      <w:r>
        <w:rPr>
          <w:color w:val="001F5F"/>
          <w:spacing w:val="-3"/>
        </w:rPr>
        <w:t xml:space="preserve"> </w:t>
      </w:r>
      <w:r>
        <w:rPr>
          <w:color w:val="001F5F"/>
          <w:spacing w:val="-2"/>
        </w:rPr>
        <w:t>Resources</w:t>
      </w:r>
    </w:p>
    <w:p w14:paraId="206A8B1A" w14:textId="77777777" w:rsidR="00C75B23" w:rsidRDefault="00000000">
      <w:pPr>
        <w:pStyle w:val="BodyText"/>
        <w:spacing w:before="213" w:line="278" w:lineRule="auto"/>
        <w:ind w:right="11"/>
      </w:pPr>
      <w:r>
        <w:t>To meet this challenge, the Healey-Driscoll</w:t>
      </w:r>
      <w:r>
        <w:rPr>
          <w:spacing w:val="-7"/>
        </w:rPr>
        <w:t xml:space="preserve"> </w:t>
      </w:r>
      <w:r>
        <w:t>Administration’s House 1 budget proposes to securitize $125 million in Fair Share surtax revenues annually to issue special obligation bonds, unlocking approximately $2.5 billion in new capital resources for our public higher education institutions. This financing method, modeled on the successful Commonwealth</w:t>
      </w:r>
      <w:r>
        <w:rPr>
          <w:spacing w:val="-10"/>
        </w:rPr>
        <w:t xml:space="preserve"> </w:t>
      </w:r>
      <w:r>
        <w:t>Transportation</w:t>
      </w:r>
      <w:r>
        <w:rPr>
          <w:spacing w:val="-6"/>
        </w:rPr>
        <w:t xml:space="preserve"> </w:t>
      </w:r>
      <w:r>
        <w:t>Fund</w:t>
      </w:r>
      <w:r>
        <w:rPr>
          <w:spacing w:val="-6"/>
        </w:rPr>
        <w:t xml:space="preserve"> </w:t>
      </w:r>
      <w:r>
        <w:t>(CTF)</w:t>
      </w:r>
      <w:r>
        <w:rPr>
          <w:spacing w:val="-7"/>
        </w:rPr>
        <w:t xml:space="preserve"> </w:t>
      </w:r>
      <w:r>
        <w:t>strategy,</w:t>
      </w:r>
      <w:r>
        <w:rPr>
          <w:spacing w:val="-6"/>
        </w:rPr>
        <w:t xml:space="preserve"> </w:t>
      </w:r>
      <w:r>
        <w:t>expands</w:t>
      </w:r>
      <w:r>
        <w:rPr>
          <w:spacing w:val="-7"/>
        </w:rPr>
        <w:t xml:space="preserve"> </w:t>
      </w:r>
      <w:r>
        <w:t>the</w:t>
      </w:r>
      <w:r>
        <w:rPr>
          <w:spacing w:val="-7"/>
        </w:rPr>
        <w:t xml:space="preserve"> </w:t>
      </w:r>
      <w:r>
        <w:t>pie</w:t>
      </w:r>
      <w:r>
        <w:rPr>
          <w:spacing w:val="-6"/>
        </w:rPr>
        <w:t xml:space="preserve"> </w:t>
      </w:r>
      <w:r>
        <w:t>of</w:t>
      </w:r>
      <w:r>
        <w:rPr>
          <w:spacing w:val="-8"/>
        </w:rPr>
        <w:t xml:space="preserve"> </w:t>
      </w:r>
      <w:r>
        <w:t>available</w:t>
      </w:r>
      <w:r>
        <w:rPr>
          <w:spacing w:val="-6"/>
        </w:rPr>
        <w:t xml:space="preserve"> </w:t>
      </w:r>
      <w:r>
        <w:t>capital funds without having any impact on existing credits of the Commonwealth’s General Obligation debt capacity.</w:t>
      </w:r>
    </w:p>
    <w:p w14:paraId="3ED45CE7" w14:textId="77777777" w:rsidR="008A3AF8" w:rsidRDefault="008A3AF8">
      <w:pPr>
        <w:pStyle w:val="BodyText"/>
        <w:spacing w:before="213" w:line="278" w:lineRule="auto"/>
        <w:ind w:right="11"/>
      </w:pPr>
    </w:p>
    <w:p w14:paraId="44872002" w14:textId="77777777" w:rsidR="008A3AF8" w:rsidRDefault="008A3AF8">
      <w:pPr>
        <w:pStyle w:val="BodyText"/>
        <w:spacing w:before="213" w:line="278" w:lineRule="auto"/>
        <w:ind w:right="11"/>
      </w:pPr>
    </w:p>
    <w:p w14:paraId="5100D479" w14:textId="77777777" w:rsidR="008A3AF8" w:rsidRDefault="008A3AF8">
      <w:pPr>
        <w:pStyle w:val="BodyText"/>
        <w:spacing w:before="213" w:line="278" w:lineRule="auto"/>
        <w:ind w:right="11"/>
      </w:pPr>
    </w:p>
    <w:p w14:paraId="6F0D1B79" w14:textId="77777777" w:rsidR="008A3AF8" w:rsidRDefault="008A3AF8">
      <w:pPr>
        <w:pStyle w:val="BodyText"/>
        <w:spacing w:before="213" w:line="278" w:lineRule="auto"/>
        <w:ind w:right="11"/>
      </w:pPr>
    </w:p>
    <w:p w14:paraId="12EA7A38" w14:textId="77777777" w:rsidR="008A3AF8" w:rsidRDefault="008A3AF8">
      <w:pPr>
        <w:pStyle w:val="BodyText"/>
        <w:spacing w:before="213" w:line="278" w:lineRule="auto"/>
        <w:ind w:right="11"/>
      </w:pPr>
    </w:p>
    <w:p w14:paraId="124E2DBA" w14:textId="77777777" w:rsidR="008A3AF8" w:rsidRDefault="008A3AF8">
      <w:pPr>
        <w:pStyle w:val="BodyText"/>
        <w:spacing w:before="213" w:line="278" w:lineRule="auto"/>
        <w:ind w:right="11"/>
      </w:pPr>
    </w:p>
    <w:p w14:paraId="32671C91" w14:textId="50B21027" w:rsidR="00C75B23" w:rsidRDefault="00000000">
      <w:pPr>
        <w:spacing w:before="156" w:line="278" w:lineRule="auto"/>
        <w:ind w:left="2385" w:hanging="2177"/>
        <w:rPr>
          <w:i/>
          <w:sz w:val="24"/>
        </w:rPr>
      </w:pPr>
      <w:r>
        <w:rPr>
          <w:i/>
          <w:color w:val="002963"/>
          <w:sz w:val="24"/>
        </w:rPr>
        <w:lastRenderedPageBreak/>
        <w:t>Model</w:t>
      </w:r>
      <w:r>
        <w:rPr>
          <w:i/>
          <w:color w:val="002963"/>
          <w:spacing w:val="-5"/>
          <w:sz w:val="24"/>
        </w:rPr>
        <w:t xml:space="preserve"> </w:t>
      </w:r>
      <w:r>
        <w:rPr>
          <w:i/>
          <w:color w:val="002963"/>
          <w:sz w:val="24"/>
        </w:rPr>
        <w:t>of</w:t>
      </w:r>
      <w:r>
        <w:rPr>
          <w:i/>
          <w:color w:val="002963"/>
          <w:spacing w:val="-7"/>
          <w:sz w:val="24"/>
        </w:rPr>
        <w:t xml:space="preserve"> </w:t>
      </w:r>
      <w:r>
        <w:rPr>
          <w:i/>
          <w:color w:val="002963"/>
          <w:sz w:val="24"/>
        </w:rPr>
        <w:t>Total</w:t>
      </w:r>
      <w:r>
        <w:rPr>
          <w:i/>
          <w:color w:val="002963"/>
          <w:spacing w:val="-5"/>
          <w:sz w:val="24"/>
        </w:rPr>
        <w:t xml:space="preserve"> </w:t>
      </w:r>
      <w:r>
        <w:rPr>
          <w:i/>
          <w:color w:val="002963"/>
          <w:sz w:val="24"/>
        </w:rPr>
        <w:t>Funding</w:t>
      </w:r>
      <w:r>
        <w:rPr>
          <w:i/>
          <w:color w:val="002963"/>
          <w:spacing w:val="-6"/>
          <w:sz w:val="24"/>
        </w:rPr>
        <w:t xml:space="preserve"> </w:t>
      </w:r>
      <w:r>
        <w:rPr>
          <w:i/>
          <w:color w:val="002963"/>
          <w:sz w:val="24"/>
        </w:rPr>
        <w:t>Unlocked</w:t>
      </w:r>
      <w:r>
        <w:rPr>
          <w:i/>
          <w:color w:val="002963"/>
          <w:spacing w:val="-7"/>
          <w:sz w:val="24"/>
        </w:rPr>
        <w:t xml:space="preserve"> </w:t>
      </w:r>
      <w:r>
        <w:rPr>
          <w:i/>
          <w:color w:val="002963"/>
          <w:sz w:val="24"/>
        </w:rPr>
        <w:t>Over</w:t>
      </w:r>
      <w:r>
        <w:rPr>
          <w:i/>
          <w:color w:val="002963"/>
          <w:spacing w:val="-6"/>
          <w:sz w:val="24"/>
        </w:rPr>
        <w:t xml:space="preserve"> </w:t>
      </w:r>
      <w:r>
        <w:rPr>
          <w:i/>
          <w:color w:val="002963"/>
          <w:sz w:val="24"/>
        </w:rPr>
        <w:t>10</w:t>
      </w:r>
      <w:r>
        <w:rPr>
          <w:i/>
          <w:color w:val="002963"/>
          <w:spacing w:val="-4"/>
          <w:sz w:val="24"/>
        </w:rPr>
        <w:t xml:space="preserve"> </w:t>
      </w:r>
      <w:r>
        <w:rPr>
          <w:i/>
          <w:color w:val="002963"/>
          <w:sz w:val="24"/>
        </w:rPr>
        <w:t>Fiscal</w:t>
      </w:r>
      <w:r>
        <w:rPr>
          <w:i/>
          <w:color w:val="002963"/>
          <w:spacing w:val="-10"/>
          <w:sz w:val="24"/>
        </w:rPr>
        <w:t xml:space="preserve"> </w:t>
      </w:r>
      <w:r>
        <w:rPr>
          <w:i/>
          <w:color w:val="002963"/>
          <w:sz w:val="24"/>
        </w:rPr>
        <w:t>Years,</w:t>
      </w:r>
      <w:r>
        <w:rPr>
          <w:i/>
          <w:color w:val="002963"/>
          <w:spacing w:val="-4"/>
          <w:sz w:val="24"/>
        </w:rPr>
        <w:t xml:space="preserve"> </w:t>
      </w:r>
      <w:r>
        <w:rPr>
          <w:i/>
          <w:color w:val="002963"/>
          <w:sz w:val="24"/>
        </w:rPr>
        <w:t>Based</w:t>
      </w:r>
      <w:r>
        <w:rPr>
          <w:i/>
          <w:color w:val="002963"/>
          <w:spacing w:val="-6"/>
          <w:sz w:val="24"/>
        </w:rPr>
        <w:t xml:space="preserve"> </w:t>
      </w:r>
      <w:r>
        <w:rPr>
          <w:i/>
          <w:color w:val="002963"/>
          <w:sz w:val="24"/>
        </w:rPr>
        <w:t>on</w:t>
      </w:r>
      <w:r>
        <w:rPr>
          <w:i/>
          <w:color w:val="002963"/>
          <w:spacing w:val="-4"/>
          <w:sz w:val="24"/>
        </w:rPr>
        <w:t xml:space="preserve"> </w:t>
      </w:r>
      <w:r>
        <w:rPr>
          <w:i/>
          <w:color w:val="002963"/>
          <w:sz w:val="24"/>
        </w:rPr>
        <w:t>Fair</w:t>
      </w:r>
      <w:r>
        <w:rPr>
          <w:i/>
          <w:color w:val="002963"/>
          <w:spacing w:val="-6"/>
          <w:sz w:val="24"/>
        </w:rPr>
        <w:t xml:space="preserve"> </w:t>
      </w:r>
      <w:r>
        <w:rPr>
          <w:i/>
          <w:color w:val="002963"/>
          <w:sz w:val="24"/>
        </w:rPr>
        <w:t>Share</w:t>
      </w:r>
      <w:r>
        <w:rPr>
          <w:i/>
          <w:color w:val="002963"/>
          <w:spacing w:val="-6"/>
          <w:sz w:val="24"/>
        </w:rPr>
        <w:t xml:space="preserve"> </w:t>
      </w:r>
      <w:r>
        <w:rPr>
          <w:i/>
          <w:color w:val="002963"/>
          <w:sz w:val="24"/>
        </w:rPr>
        <w:t>Pledge Assumption and Current Market Conditions</w:t>
      </w:r>
    </w:p>
    <w:p w14:paraId="38BFC264" w14:textId="77777777" w:rsidR="00C75B23" w:rsidRDefault="00C75B23">
      <w:pPr>
        <w:pStyle w:val="BodyText"/>
        <w:rPr>
          <w:i/>
        </w:rPr>
      </w:pPr>
    </w:p>
    <w:p w14:paraId="0D77CBE9" w14:textId="098FADAA" w:rsidR="00C75B23" w:rsidRDefault="008A3AF8" w:rsidP="008A3AF8">
      <w:pPr>
        <w:pStyle w:val="BodyText"/>
        <w:rPr>
          <w:i/>
        </w:rPr>
      </w:pPr>
      <w:r>
        <w:rPr>
          <w:i/>
          <w:noProof/>
        </w:rPr>
        <w:drawing>
          <wp:inline distT="0" distB="0" distL="0" distR="0" wp14:anchorId="0475628C" wp14:editId="324742A4">
            <wp:extent cx="5943600" cy="2945765"/>
            <wp:effectExtent l="0" t="0" r="0" b="6985"/>
            <wp:docPr id="127170959" name="Picture 28" descr="Area chart showing growth over a ten-year period. Values rise steadily from about 600 in Year 1 to roughly 700 in Year 2, then jump sharply to about 1,250 in Year 3. Growth continues to around 1,350 in Year 4 and nearly 1,900 in Year 5. The increase slows slightly in Year 6 at just under 2,000, then rises again to approximately 2,450 in Year 7. From Years 8 through 10, growth tapers, leveling off between about 2,500 and 2,600. Overall, the chart shows rapid early growth followed by a plateau in late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0959" name="Picture 28" descr="Area chart showing growth over a ten-year period. Values rise steadily from about 600 in Year 1 to roughly 700 in Year 2, then jump sharply to about 1,250 in Year 3. Growth continues to around 1,350 in Year 4 and nearly 1,900 in Year 5. The increase slows slightly in Year 6 at just under 2,000, then rises again to approximately 2,450 in Year 7. From Years 8 through 10, growth tapers, leveling off between about 2,500 and 2,600. Overall, the chart shows rapid early growth followed by a plateau in later years."/>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945765"/>
                    </a:xfrm>
                    <a:prstGeom prst="rect">
                      <a:avLst/>
                    </a:prstGeom>
                  </pic:spPr>
                </pic:pic>
              </a:graphicData>
            </a:graphic>
          </wp:inline>
        </w:drawing>
      </w:r>
    </w:p>
    <w:p w14:paraId="4A18BE3F" w14:textId="77777777" w:rsidR="008A3AF8" w:rsidRDefault="008A3AF8">
      <w:pPr>
        <w:pStyle w:val="BodyText"/>
        <w:spacing w:line="278" w:lineRule="auto"/>
      </w:pPr>
    </w:p>
    <w:p w14:paraId="47D65BC5" w14:textId="680605C8" w:rsidR="00C75B23" w:rsidRDefault="00000000">
      <w:pPr>
        <w:pStyle w:val="BodyText"/>
        <w:spacing w:line="278" w:lineRule="auto"/>
      </w:pPr>
      <w:r>
        <w:t>The proposed Fair Share pledge will cover debt service on these bonds and, in years when the full $125 million isn’t needed for that purpose, allow for debt defeasance that will</w:t>
      </w:r>
      <w:r>
        <w:rPr>
          <w:spacing w:val="-3"/>
        </w:rPr>
        <w:t xml:space="preserve"> </w:t>
      </w:r>
      <w:r>
        <w:t>reduce</w:t>
      </w:r>
      <w:r>
        <w:rPr>
          <w:spacing w:val="-2"/>
        </w:rPr>
        <w:t xml:space="preserve"> </w:t>
      </w:r>
      <w:r>
        <w:t>pressure</w:t>
      </w:r>
      <w:r>
        <w:rPr>
          <w:spacing w:val="-2"/>
        </w:rPr>
        <w:t xml:space="preserve"> </w:t>
      </w:r>
      <w:r>
        <w:t>on</w:t>
      </w:r>
      <w:r>
        <w:rPr>
          <w:spacing w:val="-2"/>
        </w:rPr>
        <w:t xml:space="preserve"> </w:t>
      </w:r>
      <w:r>
        <w:t>our</w:t>
      </w:r>
      <w:r>
        <w:rPr>
          <w:spacing w:val="-6"/>
        </w:rPr>
        <w:t xml:space="preserve"> </w:t>
      </w:r>
      <w:r>
        <w:t>higher</w:t>
      </w:r>
      <w:r>
        <w:rPr>
          <w:spacing w:val="-4"/>
        </w:rPr>
        <w:t xml:space="preserve"> </w:t>
      </w:r>
      <w:r>
        <w:t>education</w:t>
      </w:r>
      <w:r>
        <w:rPr>
          <w:spacing w:val="-4"/>
        </w:rPr>
        <w:t xml:space="preserve"> </w:t>
      </w:r>
      <w:r>
        <w:t>operating</w:t>
      </w:r>
      <w:r>
        <w:rPr>
          <w:spacing w:val="-4"/>
        </w:rPr>
        <w:t xml:space="preserve"> </w:t>
      </w:r>
      <w:r>
        <w:t>budgets</w:t>
      </w:r>
      <w:r>
        <w:rPr>
          <w:spacing w:val="-5"/>
        </w:rPr>
        <w:t xml:space="preserve"> </w:t>
      </w:r>
      <w:r>
        <w:t>and</w:t>
      </w:r>
      <w:r>
        <w:rPr>
          <w:spacing w:val="-4"/>
        </w:rPr>
        <w:t xml:space="preserve"> </w:t>
      </w:r>
      <w:r>
        <w:t>relieve</w:t>
      </w:r>
      <w:r>
        <w:rPr>
          <w:spacing w:val="-2"/>
        </w:rPr>
        <w:t xml:space="preserve"> </w:t>
      </w:r>
      <w:r>
        <w:t>some</w:t>
      </w:r>
      <w:r>
        <w:rPr>
          <w:spacing w:val="-4"/>
        </w:rPr>
        <w:t xml:space="preserve"> </w:t>
      </w:r>
      <w:r>
        <w:t>of</w:t>
      </w:r>
      <w:r>
        <w:rPr>
          <w:spacing w:val="-2"/>
        </w:rPr>
        <w:t xml:space="preserve"> </w:t>
      </w:r>
      <w:r>
        <w:t>the upward pressure on student fees and costs.</w:t>
      </w:r>
    </w:p>
    <w:p w14:paraId="54111B2E" w14:textId="77777777" w:rsidR="00C75B23" w:rsidRDefault="00000000">
      <w:pPr>
        <w:pStyle w:val="Heading1"/>
      </w:pPr>
      <w:r>
        <w:rPr>
          <w:color w:val="001F5F"/>
        </w:rPr>
        <w:t>Putting</w:t>
      </w:r>
      <w:r>
        <w:rPr>
          <w:color w:val="001F5F"/>
          <w:spacing w:val="-5"/>
        </w:rPr>
        <w:t xml:space="preserve"> </w:t>
      </w:r>
      <w:r>
        <w:rPr>
          <w:color w:val="001F5F"/>
        </w:rPr>
        <w:t>New</w:t>
      </w:r>
      <w:r>
        <w:rPr>
          <w:color w:val="001F5F"/>
          <w:spacing w:val="-5"/>
        </w:rPr>
        <w:t xml:space="preserve"> </w:t>
      </w:r>
      <w:r>
        <w:rPr>
          <w:color w:val="001F5F"/>
        </w:rPr>
        <w:t>Resources</w:t>
      </w:r>
      <w:r>
        <w:rPr>
          <w:color w:val="001F5F"/>
          <w:spacing w:val="-3"/>
        </w:rPr>
        <w:t xml:space="preserve"> </w:t>
      </w:r>
      <w:r>
        <w:rPr>
          <w:color w:val="001F5F"/>
        </w:rPr>
        <w:t>to</w:t>
      </w:r>
      <w:r>
        <w:rPr>
          <w:color w:val="001F5F"/>
          <w:spacing w:val="-6"/>
        </w:rPr>
        <w:t xml:space="preserve"> </w:t>
      </w:r>
      <w:r>
        <w:rPr>
          <w:color w:val="001F5F"/>
          <w:spacing w:val="-5"/>
        </w:rPr>
        <w:t>Use</w:t>
      </w:r>
    </w:p>
    <w:p w14:paraId="2F4CA18F" w14:textId="77777777" w:rsidR="00C75B23" w:rsidRDefault="00000000">
      <w:pPr>
        <w:pStyle w:val="BodyText"/>
        <w:spacing w:before="212" w:line="278" w:lineRule="auto"/>
      </w:pPr>
      <w:r>
        <w:t xml:space="preserve">The </w:t>
      </w:r>
      <w:r>
        <w:rPr>
          <w:i/>
        </w:rPr>
        <w:t>BRIGHT</w:t>
      </w:r>
      <w:r>
        <w:rPr>
          <w:i/>
          <w:spacing w:val="-3"/>
        </w:rPr>
        <w:t xml:space="preserve"> </w:t>
      </w:r>
      <w:r>
        <w:rPr>
          <w:i/>
        </w:rPr>
        <w:t xml:space="preserve">Act </w:t>
      </w:r>
      <w:r>
        <w:t>works in tandem with this proposal, authorizing up to $3 billion in investments</w:t>
      </w:r>
      <w:r>
        <w:rPr>
          <w:spacing w:val="-5"/>
        </w:rPr>
        <w:t xml:space="preserve"> </w:t>
      </w:r>
      <w:r>
        <w:t>for</w:t>
      </w:r>
      <w:r>
        <w:rPr>
          <w:spacing w:val="-6"/>
        </w:rPr>
        <w:t xml:space="preserve"> </w:t>
      </w:r>
      <w:r>
        <w:t>public</w:t>
      </w:r>
      <w:r>
        <w:rPr>
          <w:spacing w:val="-5"/>
        </w:rPr>
        <w:t xml:space="preserve"> </w:t>
      </w:r>
      <w:r>
        <w:t>higher</w:t>
      </w:r>
      <w:r>
        <w:rPr>
          <w:spacing w:val="-6"/>
        </w:rPr>
        <w:t xml:space="preserve"> </w:t>
      </w:r>
      <w:r>
        <w:t>education,</w:t>
      </w:r>
      <w:r>
        <w:rPr>
          <w:spacing w:val="-2"/>
        </w:rPr>
        <w:t xml:space="preserve"> </w:t>
      </w:r>
      <w:r>
        <w:t>ensuring</w:t>
      </w:r>
      <w:r>
        <w:rPr>
          <w:spacing w:val="-2"/>
        </w:rPr>
        <w:t xml:space="preserve"> </w:t>
      </w:r>
      <w:r>
        <w:t>the</w:t>
      </w:r>
      <w:r>
        <w:rPr>
          <w:spacing w:val="-4"/>
        </w:rPr>
        <w:t xml:space="preserve"> </w:t>
      </w:r>
      <w:r>
        <w:t>state</w:t>
      </w:r>
      <w:r>
        <w:rPr>
          <w:spacing w:val="-2"/>
        </w:rPr>
        <w:t xml:space="preserve"> </w:t>
      </w:r>
      <w:r>
        <w:t>has</w:t>
      </w:r>
      <w:r>
        <w:rPr>
          <w:spacing w:val="-3"/>
        </w:rPr>
        <w:t xml:space="preserve"> </w:t>
      </w:r>
      <w:r>
        <w:t>the</w:t>
      </w:r>
      <w:r>
        <w:rPr>
          <w:spacing w:val="-4"/>
        </w:rPr>
        <w:t xml:space="preserve"> </w:t>
      </w:r>
      <w:r>
        <w:t>authorization</w:t>
      </w:r>
      <w:r>
        <w:rPr>
          <w:spacing w:val="-4"/>
        </w:rPr>
        <w:t xml:space="preserve"> </w:t>
      </w:r>
      <w:r>
        <w:t>and flexibility it needs to support critical repairs and transformations on our campuses.</w:t>
      </w:r>
    </w:p>
    <w:p w14:paraId="29DEA95E" w14:textId="77777777" w:rsidR="00C75B23" w:rsidRDefault="00000000">
      <w:pPr>
        <w:pStyle w:val="BodyText"/>
        <w:spacing w:before="158" w:line="278" w:lineRule="auto"/>
        <w:ind w:right="59"/>
      </w:pPr>
      <w:r>
        <w:t>Specifically, the proposed bond bill includes up to $2.5 billion for the University of Massachusetts</w:t>
      </w:r>
      <w:r>
        <w:rPr>
          <w:spacing w:val="-4"/>
        </w:rPr>
        <w:t xml:space="preserve"> </w:t>
      </w:r>
      <w:r>
        <w:t>system,</w:t>
      </w:r>
      <w:r>
        <w:rPr>
          <w:spacing w:val="-3"/>
        </w:rPr>
        <w:t xml:space="preserve"> </w:t>
      </w:r>
      <w:r>
        <w:t>state</w:t>
      </w:r>
      <w:r>
        <w:rPr>
          <w:spacing w:val="-3"/>
        </w:rPr>
        <w:t xml:space="preserve"> </w:t>
      </w:r>
      <w:r>
        <w:t>universities,</w:t>
      </w:r>
      <w:r>
        <w:rPr>
          <w:spacing w:val="-3"/>
        </w:rPr>
        <w:t xml:space="preserve"> </w:t>
      </w:r>
      <w:r>
        <w:t>and</w:t>
      </w:r>
      <w:r>
        <w:rPr>
          <w:spacing w:val="-5"/>
        </w:rPr>
        <w:t xml:space="preserve"> </w:t>
      </w:r>
      <w:r>
        <w:t>community</w:t>
      </w:r>
      <w:r>
        <w:rPr>
          <w:spacing w:val="-4"/>
        </w:rPr>
        <w:t xml:space="preserve"> </w:t>
      </w:r>
      <w:r>
        <w:t>colleges</w:t>
      </w:r>
      <w:r>
        <w:rPr>
          <w:spacing w:val="-4"/>
        </w:rPr>
        <w:t xml:space="preserve"> </w:t>
      </w:r>
      <w:r>
        <w:t>to</w:t>
      </w:r>
      <w:r>
        <w:rPr>
          <w:spacing w:val="-5"/>
        </w:rPr>
        <w:t xml:space="preserve"> </w:t>
      </w:r>
      <w:r>
        <w:t>address</w:t>
      </w:r>
      <w:r>
        <w:rPr>
          <w:spacing w:val="-6"/>
        </w:rPr>
        <w:t xml:space="preserve"> </w:t>
      </w:r>
      <w:r>
        <w:t>deferred maintenance, modernize and decarbonize facilities, and construct major capital projects–breathing new life into proven capital improvement programs.</w:t>
      </w:r>
    </w:p>
    <w:p w14:paraId="5E143A63" w14:textId="77777777" w:rsidR="00C75B23" w:rsidRDefault="00000000">
      <w:pPr>
        <w:pStyle w:val="BodyText"/>
        <w:spacing w:before="159"/>
      </w:pPr>
      <w:r>
        <w:t>The</w:t>
      </w:r>
      <w:r>
        <w:rPr>
          <w:spacing w:val="-3"/>
        </w:rPr>
        <w:t xml:space="preserve"> </w:t>
      </w:r>
      <w:r>
        <w:t>bill</w:t>
      </w:r>
      <w:r>
        <w:rPr>
          <w:spacing w:val="-2"/>
        </w:rPr>
        <w:t xml:space="preserve"> </w:t>
      </w:r>
      <w:r>
        <w:t>also</w:t>
      </w:r>
      <w:r>
        <w:rPr>
          <w:spacing w:val="-3"/>
        </w:rPr>
        <w:t xml:space="preserve"> </w:t>
      </w:r>
      <w:r>
        <w:t>supports</w:t>
      </w:r>
      <w:r>
        <w:rPr>
          <w:spacing w:val="-4"/>
        </w:rPr>
        <w:t xml:space="preserve"> </w:t>
      </w:r>
      <w:r>
        <w:t>other</w:t>
      </w:r>
      <w:r>
        <w:rPr>
          <w:spacing w:val="-3"/>
        </w:rPr>
        <w:t xml:space="preserve"> </w:t>
      </w:r>
      <w:r>
        <w:t>critical</w:t>
      </w:r>
      <w:r>
        <w:rPr>
          <w:spacing w:val="-2"/>
        </w:rPr>
        <w:t xml:space="preserve"> </w:t>
      </w:r>
      <w:r>
        <w:t>capital</w:t>
      </w:r>
      <w:r>
        <w:rPr>
          <w:spacing w:val="-2"/>
        </w:rPr>
        <w:t xml:space="preserve"> </w:t>
      </w:r>
      <w:r>
        <w:t>investments,</w:t>
      </w:r>
      <w:r>
        <w:rPr>
          <w:spacing w:val="-3"/>
        </w:rPr>
        <w:t xml:space="preserve"> </w:t>
      </w:r>
      <w:r>
        <w:rPr>
          <w:spacing w:val="-2"/>
        </w:rPr>
        <w:t>including:</w:t>
      </w:r>
    </w:p>
    <w:p w14:paraId="4910CD7E" w14:textId="77777777" w:rsidR="00C75B23" w:rsidRDefault="00000000">
      <w:pPr>
        <w:pStyle w:val="ListParagraph"/>
        <w:numPr>
          <w:ilvl w:val="0"/>
          <w:numId w:val="1"/>
        </w:numPr>
        <w:tabs>
          <w:tab w:val="left" w:pos="1080"/>
        </w:tabs>
        <w:spacing w:before="205" w:line="276" w:lineRule="auto"/>
        <w:ind w:right="482"/>
        <w:rPr>
          <w:sz w:val="24"/>
        </w:rPr>
      </w:pPr>
      <w:r>
        <w:rPr>
          <w:sz w:val="24"/>
        </w:rPr>
        <w:t>Planning</w:t>
      </w:r>
      <w:r>
        <w:rPr>
          <w:spacing w:val="-3"/>
          <w:sz w:val="24"/>
        </w:rPr>
        <w:t xml:space="preserve"> </w:t>
      </w:r>
      <w:r>
        <w:rPr>
          <w:sz w:val="24"/>
        </w:rPr>
        <w:t>costs</w:t>
      </w:r>
      <w:r>
        <w:rPr>
          <w:spacing w:val="-4"/>
          <w:sz w:val="24"/>
        </w:rPr>
        <w:t xml:space="preserve"> </w:t>
      </w:r>
      <w:r>
        <w:rPr>
          <w:sz w:val="24"/>
        </w:rPr>
        <w:t>associated</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disposition</w:t>
      </w:r>
      <w:r>
        <w:rPr>
          <w:spacing w:val="-5"/>
          <w:sz w:val="24"/>
        </w:rPr>
        <w:t xml:space="preserve"> </w:t>
      </w:r>
      <w:r>
        <w:rPr>
          <w:sz w:val="24"/>
        </w:rPr>
        <w:t>and</w:t>
      </w:r>
      <w:r>
        <w:rPr>
          <w:spacing w:val="-5"/>
          <w:sz w:val="24"/>
        </w:rPr>
        <w:t xml:space="preserve"> </w:t>
      </w:r>
      <w:r>
        <w:rPr>
          <w:sz w:val="24"/>
        </w:rPr>
        <w:t>acquisition</w:t>
      </w:r>
      <w:r>
        <w:rPr>
          <w:spacing w:val="-5"/>
          <w:sz w:val="24"/>
        </w:rPr>
        <w:t xml:space="preserve"> </w:t>
      </w:r>
      <w:r>
        <w:rPr>
          <w:sz w:val="24"/>
        </w:rPr>
        <w:t>of</w:t>
      </w:r>
      <w:r>
        <w:rPr>
          <w:spacing w:val="-3"/>
          <w:sz w:val="24"/>
        </w:rPr>
        <w:t xml:space="preserve"> </w:t>
      </w:r>
      <w:r>
        <w:rPr>
          <w:sz w:val="24"/>
        </w:rPr>
        <w:t>land</w:t>
      </w:r>
      <w:r>
        <w:rPr>
          <w:spacing w:val="-5"/>
          <w:sz w:val="24"/>
        </w:rPr>
        <w:t xml:space="preserve"> </w:t>
      </w:r>
      <w:r>
        <w:rPr>
          <w:sz w:val="24"/>
        </w:rPr>
        <w:t>and buildings for the purposes of housing development to help address the Commonwealth’s urgent housing needs.</w:t>
      </w:r>
    </w:p>
    <w:p w14:paraId="2A68E0D0" w14:textId="77777777" w:rsidR="008A3AF8" w:rsidRDefault="008A3AF8" w:rsidP="008A3AF8">
      <w:pPr>
        <w:tabs>
          <w:tab w:val="left" w:pos="1080"/>
        </w:tabs>
        <w:spacing w:before="205" w:line="276" w:lineRule="auto"/>
        <w:ind w:right="482"/>
        <w:rPr>
          <w:sz w:val="24"/>
        </w:rPr>
      </w:pPr>
    </w:p>
    <w:p w14:paraId="73F8F435" w14:textId="77777777" w:rsidR="008A3AF8" w:rsidRPr="008A3AF8" w:rsidRDefault="008A3AF8" w:rsidP="008A3AF8">
      <w:pPr>
        <w:tabs>
          <w:tab w:val="left" w:pos="1080"/>
        </w:tabs>
        <w:spacing w:before="205" w:line="276" w:lineRule="auto"/>
        <w:ind w:right="482"/>
        <w:rPr>
          <w:sz w:val="24"/>
        </w:rPr>
      </w:pPr>
    </w:p>
    <w:p w14:paraId="24A83956" w14:textId="77777777" w:rsidR="00C75B23" w:rsidRDefault="00000000">
      <w:pPr>
        <w:pStyle w:val="ListParagraph"/>
        <w:numPr>
          <w:ilvl w:val="0"/>
          <w:numId w:val="1"/>
        </w:numPr>
        <w:tabs>
          <w:tab w:val="left" w:pos="1080"/>
        </w:tabs>
        <w:spacing w:before="2" w:line="273" w:lineRule="auto"/>
        <w:ind w:right="432"/>
        <w:rPr>
          <w:sz w:val="24"/>
        </w:rPr>
      </w:pPr>
      <w:r>
        <w:rPr>
          <w:sz w:val="24"/>
        </w:rPr>
        <w:lastRenderedPageBreak/>
        <w:t>Modernization</w:t>
      </w:r>
      <w:r>
        <w:rPr>
          <w:spacing w:val="-4"/>
          <w:sz w:val="24"/>
        </w:rPr>
        <w:t xml:space="preserve"> </w:t>
      </w:r>
      <w:r>
        <w:rPr>
          <w:sz w:val="24"/>
        </w:rPr>
        <w:t>projects,</w:t>
      </w:r>
      <w:r>
        <w:rPr>
          <w:spacing w:val="-4"/>
          <w:sz w:val="24"/>
        </w:rPr>
        <w:t xml:space="preserve"> </w:t>
      </w:r>
      <w:r>
        <w:rPr>
          <w:sz w:val="24"/>
        </w:rPr>
        <w:t>such</w:t>
      </w:r>
      <w:r>
        <w:rPr>
          <w:spacing w:val="-6"/>
          <w:sz w:val="24"/>
        </w:rPr>
        <w:t xml:space="preserve"> </w:t>
      </w:r>
      <w:r>
        <w:rPr>
          <w:sz w:val="24"/>
        </w:rPr>
        <w:t>as</w:t>
      </w:r>
      <w:r>
        <w:rPr>
          <w:spacing w:val="-5"/>
          <w:sz w:val="24"/>
        </w:rPr>
        <w:t xml:space="preserve"> </w:t>
      </w:r>
      <w:r>
        <w:rPr>
          <w:sz w:val="24"/>
        </w:rPr>
        <w:t>the</w:t>
      </w:r>
      <w:r>
        <w:rPr>
          <w:spacing w:val="-4"/>
          <w:sz w:val="24"/>
        </w:rPr>
        <w:t xml:space="preserve"> </w:t>
      </w:r>
      <w:r>
        <w:rPr>
          <w:sz w:val="24"/>
        </w:rPr>
        <w:t>renovation</w:t>
      </w:r>
      <w:r>
        <w:rPr>
          <w:spacing w:val="-4"/>
          <w:sz w:val="24"/>
        </w:rPr>
        <w:t xml:space="preserve"> </w:t>
      </w:r>
      <w:r>
        <w:rPr>
          <w:sz w:val="24"/>
        </w:rPr>
        <w:t>and</w:t>
      </w:r>
      <w:r>
        <w:rPr>
          <w:spacing w:val="-4"/>
          <w:sz w:val="24"/>
        </w:rPr>
        <w:t xml:space="preserve"> </w:t>
      </w:r>
      <w:r>
        <w:rPr>
          <w:sz w:val="24"/>
        </w:rPr>
        <w:t>modernization</w:t>
      </w:r>
      <w:r>
        <w:rPr>
          <w:spacing w:val="-4"/>
          <w:sz w:val="24"/>
        </w:rPr>
        <w:t xml:space="preserve"> </w:t>
      </w:r>
      <w:r>
        <w:rPr>
          <w:sz w:val="24"/>
        </w:rPr>
        <w:t>of</w:t>
      </w:r>
      <w:r>
        <w:rPr>
          <w:spacing w:val="-7"/>
          <w:sz w:val="24"/>
        </w:rPr>
        <w:t xml:space="preserve"> </w:t>
      </w:r>
      <w:r>
        <w:rPr>
          <w:sz w:val="24"/>
        </w:rPr>
        <w:t>labs, including furnishing, equipping, and improving safety standards.</w:t>
      </w:r>
    </w:p>
    <w:p w14:paraId="64AC548F" w14:textId="77777777" w:rsidR="00C75B23" w:rsidRDefault="00000000">
      <w:pPr>
        <w:pStyle w:val="ListParagraph"/>
        <w:numPr>
          <w:ilvl w:val="0"/>
          <w:numId w:val="1"/>
        </w:numPr>
        <w:tabs>
          <w:tab w:val="left" w:pos="1080"/>
        </w:tabs>
        <w:spacing w:line="273" w:lineRule="auto"/>
        <w:ind w:right="1175"/>
        <w:rPr>
          <w:sz w:val="24"/>
        </w:rPr>
      </w:pPr>
      <w:r>
        <w:rPr>
          <w:sz w:val="24"/>
        </w:rPr>
        <w:t>Support</w:t>
      </w:r>
      <w:r>
        <w:rPr>
          <w:spacing w:val="-4"/>
          <w:sz w:val="24"/>
        </w:rPr>
        <w:t xml:space="preserve"> </w:t>
      </w:r>
      <w:r>
        <w:rPr>
          <w:sz w:val="24"/>
        </w:rPr>
        <w:t>regional</w:t>
      </w:r>
      <w:r>
        <w:rPr>
          <w:spacing w:val="-5"/>
          <w:sz w:val="24"/>
        </w:rPr>
        <w:t xml:space="preserve"> </w:t>
      </w:r>
      <w:r>
        <w:rPr>
          <w:sz w:val="24"/>
        </w:rPr>
        <w:t>secondary</w:t>
      </w:r>
      <w:r>
        <w:rPr>
          <w:spacing w:val="-5"/>
          <w:sz w:val="24"/>
        </w:rPr>
        <w:t xml:space="preserve"> </w:t>
      </w:r>
      <w:r>
        <w:rPr>
          <w:sz w:val="24"/>
        </w:rPr>
        <w:t>and</w:t>
      </w:r>
      <w:r>
        <w:rPr>
          <w:spacing w:val="-6"/>
          <w:sz w:val="24"/>
        </w:rPr>
        <w:t xml:space="preserve"> </w:t>
      </w:r>
      <w:r>
        <w:rPr>
          <w:sz w:val="24"/>
        </w:rPr>
        <w:t>higher</w:t>
      </w:r>
      <w:r>
        <w:rPr>
          <w:spacing w:val="-6"/>
          <w:sz w:val="24"/>
        </w:rPr>
        <w:t xml:space="preserve"> </w:t>
      </w:r>
      <w:r>
        <w:rPr>
          <w:sz w:val="24"/>
        </w:rPr>
        <w:t>education</w:t>
      </w:r>
      <w:r>
        <w:rPr>
          <w:spacing w:val="-6"/>
          <w:sz w:val="24"/>
        </w:rPr>
        <w:t xml:space="preserve"> </w:t>
      </w:r>
      <w:r>
        <w:rPr>
          <w:sz w:val="24"/>
        </w:rPr>
        <w:t>partnerships</w:t>
      </w:r>
      <w:r>
        <w:rPr>
          <w:spacing w:val="-5"/>
          <w:sz w:val="24"/>
        </w:rPr>
        <w:t xml:space="preserve"> </w:t>
      </w:r>
      <w:r>
        <w:rPr>
          <w:sz w:val="24"/>
        </w:rPr>
        <w:t>that strengthen our workforce.</w:t>
      </w:r>
    </w:p>
    <w:p w14:paraId="4234D441" w14:textId="77777777" w:rsidR="00C75B23" w:rsidRDefault="00000000">
      <w:pPr>
        <w:pStyle w:val="ListParagraph"/>
        <w:numPr>
          <w:ilvl w:val="0"/>
          <w:numId w:val="1"/>
        </w:numPr>
        <w:tabs>
          <w:tab w:val="left" w:pos="1080"/>
        </w:tabs>
        <w:spacing w:line="273" w:lineRule="auto"/>
        <w:ind w:right="242"/>
        <w:rPr>
          <w:sz w:val="24"/>
        </w:rPr>
      </w:pPr>
      <w:r>
        <w:rPr>
          <w:sz w:val="24"/>
        </w:rPr>
        <w:t>Modernization</w:t>
      </w:r>
      <w:r>
        <w:rPr>
          <w:spacing w:val="-3"/>
          <w:sz w:val="24"/>
        </w:rPr>
        <w:t xml:space="preserve"> </w:t>
      </w:r>
      <w:r>
        <w:rPr>
          <w:sz w:val="24"/>
        </w:rPr>
        <w:t>of</w:t>
      </w:r>
      <w:r>
        <w:rPr>
          <w:spacing w:val="-3"/>
          <w:sz w:val="24"/>
        </w:rPr>
        <w:t xml:space="preserve"> </w:t>
      </w:r>
      <w:r>
        <w:rPr>
          <w:sz w:val="24"/>
        </w:rPr>
        <w:t>facilities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student</w:t>
      </w:r>
      <w:r>
        <w:rPr>
          <w:spacing w:val="-3"/>
          <w:sz w:val="24"/>
        </w:rPr>
        <w:t xml:space="preserve"> </w:t>
      </w:r>
      <w:r>
        <w:rPr>
          <w:sz w:val="24"/>
        </w:rPr>
        <w:t>health,</w:t>
      </w:r>
      <w:r>
        <w:rPr>
          <w:spacing w:val="-6"/>
          <w:sz w:val="24"/>
        </w:rPr>
        <w:t xml:space="preserve"> </w:t>
      </w:r>
      <w:r>
        <w:rPr>
          <w:sz w:val="24"/>
        </w:rPr>
        <w:t>mental</w:t>
      </w:r>
      <w:r>
        <w:rPr>
          <w:spacing w:val="-4"/>
          <w:sz w:val="24"/>
        </w:rPr>
        <w:t xml:space="preserve"> </w:t>
      </w:r>
      <w:r>
        <w:rPr>
          <w:sz w:val="24"/>
        </w:rPr>
        <w:t>health,</w:t>
      </w:r>
      <w:r>
        <w:rPr>
          <w:spacing w:val="-6"/>
          <w:sz w:val="24"/>
        </w:rPr>
        <w:t xml:space="preserve"> </w:t>
      </w:r>
      <w:r>
        <w:rPr>
          <w:sz w:val="24"/>
        </w:rPr>
        <w:t>wellness, and safety.</w:t>
      </w:r>
    </w:p>
    <w:p w14:paraId="7FBFA770" w14:textId="77777777" w:rsidR="00C75B23" w:rsidRDefault="00000000">
      <w:pPr>
        <w:pStyle w:val="ListParagraph"/>
        <w:numPr>
          <w:ilvl w:val="0"/>
          <w:numId w:val="1"/>
        </w:numPr>
        <w:tabs>
          <w:tab w:val="left" w:pos="1080"/>
        </w:tabs>
        <w:spacing w:before="6" w:line="273" w:lineRule="auto"/>
        <w:ind w:right="487"/>
        <w:rPr>
          <w:sz w:val="24"/>
        </w:rPr>
      </w:pPr>
      <w:r>
        <w:rPr>
          <w:sz w:val="24"/>
        </w:rPr>
        <w:t>Development</w:t>
      </w:r>
      <w:r>
        <w:rPr>
          <w:spacing w:val="-4"/>
          <w:sz w:val="24"/>
        </w:rPr>
        <w:t xml:space="preserve"> </w:t>
      </w:r>
      <w:r>
        <w:rPr>
          <w:sz w:val="24"/>
        </w:rPr>
        <w:t>of</w:t>
      </w:r>
      <w:r>
        <w:rPr>
          <w:spacing w:val="-4"/>
          <w:sz w:val="24"/>
        </w:rPr>
        <w:t xml:space="preserve"> </w:t>
      </w:r>
      <w:r>
        <w:rPr>
          <w:sz w:val="24"/>
        </w:rPr>
        <w:t>master</w:t>
      </w:r>
      <w:r>
        <w:rPr>
          <w:spacing w:val="-6"/>
          <w:sz w:val="24"/>
        </w:rPr>
        <w:t xml:space="preserve"> </w:t>
      </w:r>
      <w:r>
        <w:rPr>
          <w:sz w:val="24"/>
        </w:rPr>
        <w:t>plans</w:t>
      </w:r>
      <w:r>
        <w:rPr>
          <w:spacing w:val="-5"/>
          <w:sz w:val="24"/>
        </w:rPr>
        <w:t xml:space="preserve"> </w:t>
      </w:r>
      <w:r>
        <w:rPr>
          <w:sz w:val="24"/>
        </w:rPr>
        <w:t>to</w:t>
      </w:r>
      <w:r>
        <w:rPr>
          <w:spacing w:val="-4"/>
          <w:sz w:val="24"/>
        </w:rPr>
        <w:t xml:space="preserve"> </w:t>
      </w:r>
      <w:r>
        <w:rPr>
          <w:sz w:val="24"/>
        </w:rPr>
        <w:t>align</w:t>
      </w:r>
      <w:r>
        <w:rPr>
          <w:spacing w:val="-4"/>
          <w:sz w:val="24"/>
        </w:rPr>
        <w:t xml:space="preserve"> </w:t>
      </w:r>
      <w:r>
        <w:rPr>
          <w:sz w:val="24"/>
        </w:rPr>
        <w:t>campus</w:t>
      </w:r>
      <w:r>
        <w:rPr>
          <w:spacing w:val="-5"/>
          <w:sz w:val="24"/>
        </w:rPr>
        <w:t xml:space="preserve"> </w:t>
      </w:r>
      <w:r>
        <w:rPr>
          <w:sz w:val="24"/>
        </w:rPr>
        <w:t>investments</w:t>
      </w:r>
      <w:r>
        <w:rPr>
          <w:spacing w:val="-5"/>
          <w:sz w:val="24"/>
        </w:rPr>
        <w:t xml:space="preserve"> </w:t>
      </w:r>
      <w:r>
        <w:rPr>
          <w:sz w:val="24"/>
        </w:rPr>
        <w:t>with</w:t>
      </w:r>
      <w:r>
        <w:rPr>
          <w:spacing w:val="-4"/>
          <w:sz w:val="24"/>
        </w:rPr>
        <w:t xml:space="preserve"> </w:t>
      </w:r>
      <w:r>
        <w:rPr>
          <w:sz w:val="24"/>
        </w:rPr>
        <w:t>long-term goals</w:t>
      </w:r>
      <w:r>
        <w:rPr>
          <w:spacing w:val="-1"/>
          <w:sz w:val="24"/>
        </w:rPr>
        <w:t xml:space="preserve"> </w:t>
      </w:r>
      <w:r>
        <w:rPr>
          <w:sz w:val="24"/>
        </w:rPr>
        <w:t>to ensure</w:t>
      </w:r>
      <w:r>
        <w:rPr>
          <w:spacing w:val="-2"/>
          <w:sz w:val="24"/>
        </w:rPr>
        <w:t xml:space="preserve"> </w:t>
      </w:r>
      <w:r>
        <w:rPr>
          <w:sz w:val="24"/>
        </w:rPr>
        <w:t>these</w:t>
      </w:r>
      <w:r>
        <w:rPr>
          <w:spacing w:val="-2"/>
          <w:sz w:val="24"/>
        </w:rPr>
        <w:t xml:space="preserve"> </w:t>
      </w:r>
      <w:r>
        <w:rPr>
          <w:sz w:val="24"/>
        </w:rPr>
        <w:t>new</w:t>
      </w:r>
      <w:r>
        <w:rPr>
          <w:spacing w:val="-1"/>
          <w:sz w:val="24"/>
        </w:rPr>
        <w:t xml:space="preserve"> </w:t>
      </w:r>
      <w:r>
        <w:rPr>
          <w:sz w:val="24"/>
        </w:rPr>
        <w:t>resources</w:t>
      </w:r>
      <w:r>
        <w:rPr>
          <w:spacing w:val="-1"/>
          <w:sz w:val="24"/>
        </w:rPr>
        <w:t xml:space="preserve"> </w:t>
      </w:r>
      <w:r>
        <w:rPr>
          <w:sz w:val="24"/>
        </w:rPr>
        <w:t>are</w:t>
      </w:r>
      <w:r>
        <w:rPr>
          <w:spacing w:val="-2"/>
          <w:sz w:val="24"/>
        </w:rPr>
        <w:t xml:space="preserve"> </w:t>
      </w:r>
      <w:r>
        <w:rPr>
          <w:sz w:val="24"/>
        </w:rPr>
        <w:t>used optimally</w:t>
      </w:r>
      <w:r>
        <w:rPr>
          <w:spacing w:val="-1"/>
          <w:sz w:val="24"/>
        </w:rPr>
        <w:t xml:space="preserve"> </w:t>
      </w:r>
      <w:r>
        <w:rPr>
          <w:sz w:val="24"/>
        </w:rPr>
        <w:t>and</w:t>
      </w:r>
      <w:r>
        <w:rPr>
          <w:spacing w:val="-2"/>
          <w:sz w:val="24"/>
        </w:rPr>
        <w:t xml:space="preserve"> </w:t>
      </w:r>
      <w:r>
        <w:rPr>
          <w:sz w:val="24"/>
        </w:rPr>
        <w:t>thoughtfully.</w:t>
      </w:r>
    </w:p>
    <w:p w14:paraId="76876E1E" w14:textId="77777777" w:rsidR="00C75B23" w:rsidRDefault="00000000">
      <w:pPr>
        <w:pStyle w:val="ListParagraph"/>
        <w:numPr>
          <w:ilvl w:val="0"/>
          <w:numId w:val="1"/>
        </w:numPr>
        <w:tabs>
          <w:tab w:val="left" w:pos="1080"/>
        </w:tabs>
        <w:spacing w:line="276" w:lineRule="auto"/>
        <w:rPr>
          <w:sz w:val="24"/>
        </w:rPr>
      </w:pPr>
      <w:r>
        <w:rPr>
          <w:sz w:val="24"/>
        </w:rPr>
        <w:t xml:space="preserve">Incentives and </w:t>
      </w:r>
      <w:proofErr w:type="gramStart"/>
      <w:r>
        <w:rPr>
          <w:sz w:val="24"/>
        </w:rPr>
        <w:t>supports</w:t>
      </w:r>
      <w:proofErr w:type="gramEnd"/>
      <w:r>
        <w:rPr>
          <w:sz w:val="24"/>
        </w:rPr>
        <w:t xml:space="preserve"> for campus investments in technology capital projects,</w:t>
      </w:r>
      <w:r>
        <w:rPr>
          <w:spacing w:val="-3"/>
          <w:sz w:val="24"/>
        </w:rPr>
        <w:t xml:space="preserve"> </w:t>
      </w:r>
      <w:r>
        <w:rPr>
          <w:sz w:val="24"/>
        </w:rPr>
        <w:t>including</w:t>
      </w:r>
      <w:r>
        <w:rPr>
          <w:spacing w:val="-4"/>
          <w:sz w:val="24"/>
        </w:rPr>
        <w:t xml:space="preserve"> </w:t>
      </w:r>
      <w:r>
        <w:rPr>
          <w:sz w:val="24"/>
        </w:rPr>
        <w:t>improvements</w:t>
      </w:r>
      <w:r>
        <w:rPr>
          <w:spacing w:val="-5"/>
          <w:sz w:val="24"/>
        </w:rPr>
        <w:t xml:space="preserve"> </w:t>
      </w:r>
      <w:r>
        <w:rPr>
          <w:sz w:val="24"/>
        </w:rPr>
        <w:t>in</w:t>
      </w:r>
      <w:r>
        <w:rPr>
          <w:spacing w:val="-3"/>
          <w:sz w:val="24"/>
        </w:rPr>
        <w:t xml:space="preserve"> </w:t>
      </w:r>
      <w:r>
        <w:rPr>
          <w:sz w:val="24"/>
        </w:rPr>
        <w:t>buildings</w:t>
      </w:r>
      <w:r>
        <w:rPr>
          <w:spacing w:val="-5"/>
          <w:sz w:val="24"/>
        </w:rPr>
        <w:t xml:space="preserve"> </w:t>
      </w:r>
      <w:r>
        <w:rPr>
          <w:sz w:val="24"/>
        </w:rPr>
        <w:t>and</w:t>
      </w:r>
      <w:r>
        <w:rPr>
          <w:spacing w:val="-4"/>
          <w:sz w:val="24"/>
        </w:rPr>
        <w:t xml:space="preserve"> </w:t>
      </w:r>
      <w:r>
        <w:rPr>
          <w:sz w:val="24"/>
        </w:rPr>
        <w:t>online</w:t>
      </w:r>
      <w:r>
        <w:rPr>
          <w:spacing w:val="-4"/>
          <w:sz w:val="24"/>
        </w:rPr>
        <w:t xml:space="preserve"> </w:t>
      </w:r>
      <w:r>
        <w:rPr>
          <w:sz w:val="24"/>
        </w:rPr>
        <w:t>or</w:t>
      </w:r>
      <w:r>
        <w:rPr>
          <w:spacing w:val="-4"/>
          <w:sz w:val="24"/>
        </w:rPr>
        <w:t xml:space="preserve"> </w:t>
      </w:r>
      <w:r>
        <w:rPr>
          <w:sz w:val="24"/>
        </w:rPr>
        <w:t>hybrid</w:t>
      </w:r>
      <w:r>
        <w:rPr>
          <w:spacing w:val="-3"/>
          <w:sz w:val="24"/>
        </w:rPr>
        <w:t xml:space="preserve"> </w:t>
      </w:r>
      <w:r>
        <w:rPr>
          <w:sz w:val="24"/>
        </w:rPr>
        <w:t>workspaces and shared enterprise systems.</w:t>
      </w:r>
    </w:p>
    <w:p w14:paraId="44986D9C" w14:textId="77777777" w:rsidR="00C75B23" w:rsidRDefault="00000000">
      <w:pPr>
        <w:pStyle w:val="ListParagraph"/>
        <w:numPr>
          <w:ilvl w:val="0"/>
          <w:numId w:val="1"/>
        </w:numPr>
        <w:tabs>
          <w:tab w:val="left" w:pos="1080"/>
        </w:tabs>
        <w:spacing w:before="4" w:line="273" w:lineRule="auto"/>
        <w:ind w:right="449"/>
        <w:rPr>
          <w:sz w:val="24"/>
        </w:rPr>
      </w:pPr>
      <w:r>
        <w:rPr>
          <w:sz w:val="24"/>
        </w:rPr>
        <w:t>Workforce</w:t>
      </w:r>
      <w:r>
        <w:rPr>
          <w:spacing w:val="-5"/>
          <w:sz w:val="24"/>
        </w:rPr>
        <w:t xml:space="preserve"> </w:t>
      </w:r>
      <w:r>
        <w:rPr>
          <w:sz w:val="24"/>
        </w:rPr>
        <w:t>Skills</w:t>
      </w:r>
      <w:r>
        <w:rPr>
          <w:spacing w:val="-4"/>
          <w:sz w:val="24"/>
        </w:rPr>
        <w:t xml:space="preserve"> </w:t>
      </w:r>
      <w:r>
        <w:rPr>
          <w:sz w:val="24"/>
        </w:rPr>
        <w:t>Capital</w:t>
      </w:r>
      <w:r>
        <w:rPr>
          <w:spacing w:val="-4"/>
          <w:sz w:val="24"/>
        </w:rPr>
        <w:t xml:space="preserve"> </w:t>
      </w:r>
      <w:r>
        <w:rPr>
          <w:sz w:val="24"/>
        </w:rPr>
        <w:t>Grants,</w:t>
      </w:r>
      <w:r>
        <w:rPr>
          <w:spacing w:val="-6"/>
          <w:sz w:val="24"/>
        </w:rPr>
        <w:t xml:space="preserve"> </w:t>
      </w:r>
      <w:r>
        <w:rPr>
          <w:sz w:val="24"/>
        </w:rPr>
        <w:t>an</w:t>
      </w:r>
      <w:r>
        <w:rPr>
          <w:spacing w:val="-5"/>
          <w:sz w:val="24"/>
        </w:rPr>
        <w:t xml:space="preserve"> </w:t>
      </w:r>
      <w:r>
        <w:rPr>
          <w:sz w:val="24"/>
        </w:rPr>
        <w:t>existing</w:t>
      </w:r>
      <w:r>
        <w:rPr>
          <w:spacing w:val="-3"/>
          <w:sz w:val="24"/>
        </w:rPr>
        <w:t xml:space="preserve"> </w:t>
      </w:r>
      <w:r>
        <w:rPr>
          <w:sz w:val="24"/>
        </w:rPr>
        <w:t>and</w:t>
      </w:r>
      <w:r>
        <w:rPr>
          <w:spacing w:val="-3"/>
          <w:sz w:val="24"/>
        </w:rPr>
        <w:t xml:space="preserve"> </w:t>
      </w:r>
      <w:r>
        <w:rPr>
          <w:sz w:val="24"/>
        </w:rPr>
        <w:t>successful</w:t>
      </w:r>
      <w:r>
        <w:rPr>
          <w:spacing w:val="-7"/>
          <w:sz w:val="24"/>
        </w:rPr>
        <w:t xml:space="preserve"> </w:t>
      </w:r>
      <w:r>
        <w:rPr>
          <w:sz w:val="24"/>
        </w:rPr>
        <w:t>grant</w:t>
      </w:r>
      <w:r>
        <w:rPr>
          <w:spacing w:val="-6"/>
          <w:sz w:val="24"/>
        </w:rPr>
        <w:t xml:space="preserve"> </w:t>
      </w:r>
      <w:r>
        <w:rPr>
          <w:sz w:val="24"/>
        </w:rPr>
        <w:t>program that helps align our higher education and workforce efforts.</w:t>
      </w:r>
    </w:p>
    <w:p w14:paraId="26B1C520" w14:textId="77777777" w:rsidR="00C75B23" w:rsidRDefault="00000000">
      <w:pPr>
        <w:pStyle w:val="BodyText"/>
        <w:spacing w:before="166" w:line="278" w:lineRule="auto"/>
      </w:pPr>
      <w:r>
        <w:t>The investments in this bill will also have secondary effects that benefit the people of Massachusetts; this bill will create approximately 15,000 construction-related jobs. In addition</w:t>
      </w:r>
      <w:r>
        <w:rPr>
          <w:spacing w:val="-2"/>
        </w:rPr>
        <w:t xml:space="preserve"> </w:t>
      </w:r>
      <w:r>
        <w:t>to</w:t>
      </w:r>
      <w:r>
        <w:rPr>
          <w:spacing w:val="-4"/>
        </w:rPr>
        <w:t xml:space="preserve"> </w:t>
      </w:r>
      <w:r>
        <w:t>funding</w:t>
      </w:r>
      <w:r>
        <w:rPr>
          <w:spacing w:val="-2"/>
        </w:rPr>
        <w:t xml:space="preserve"> </w:t>
      </w:r>
      <w:r>
        <w:t>authorizations,</w:t>
      </w:r>
      <w:r>
        <w:rPr>
          <w:spacing w:val="-2"/>
        </w:rPr>
        <w:t xml:space="preserve"> </w:t>
      </w:r>
      <w:r>
        <w:t>the</w:t>
      </w:r>
      <w:r>
        <w:rPr>
          <w:spacing w:val="-2"/>
        </w:rPr>
        <w:t xml:space="preserve"> </w:t>
      </w:r>
      <w:r>
        <w:t>bill</w:t>
      </w:r>
      <w:r>
        <w:rPr>
          <w:spacing w:val="-3"/>
        </w:rPr>
        <w:t xml:space="preserve"> </w:t>
      </w:r>
      <w:r>
        <w:t>includes</w:t>
      </w:r>
      <w:r>
        <w:rPr>
          <w:spacing w:val="-3"/>
        </w:rPr>
        <w:t xml:space="preserve"> </w:t>
      </w:r>
      <w:r>
        <w:t>several</w:t>
      </w:r>
      <w:r>
        <w:rPr>
          <w:spacing w:val="-6"/>
        </w:rPr>
        <w:t xml:space="preserve"> </w:t>
      </w:r>
      <w:r>
        <w:t>policy</w:t>
      </w:r>
      <w:r>
        <w:rPr>
          <w:spacing w:val="-3"/>
        </w:rPr>
        <w:t xml:space="preserve"> </w:t>
      </w:r>
      <w:r>
        <w:t>proposals</w:t>
      </w:r>
      <w:r>
        <w:rPr>
          <w:spacing w:val="-3"/>
        </w:rPr>
        <w:t xml:space="preserve"> </w:t>
      </w:r>
      <w:r>
        <w:t>related</w:t>
      </w:r>
      <w:r>
        <w:rPr>
          <w:spacing w:val="-4"/>
        </w:rPr>
        <w:t xml:space="preserve"> </w:t>
      </w:r>
      <w:r>
        <w:t>to</w:t>
      </w:r>
      <w:r>
        <w:rPr>
          <w:spacing w:val="-4"/>
        </w:rPr>
        <w:t xml:space="preserve"> </w:t>
      </w:r>
      <w:r>
        <w:t>an expansion of the authority and abilities of the Massachusetts State College Building Authority (MSCBA) to strengthen that authority’s ability to borrow for a wider range of project types and contribute additional resources to complement the state’s transformational investments. It also includes measures allowing DCAMM to dispose of surplus property from higher education institutions at the request of a higher education chancellor</w:t>
      </w:r>
      <w:r>
        <w:rPr>
          <w:spacing w:val="-1"/>
        </w:rPr>
        <w:t xml:space="preserve"> </w:t>
      </w:r>
      <w:r>
        <w:t>or</w:t>
      </w:r>
      <w:r>
        <w:rPr>
          <w:spacing w:val="-1"/>
        </w:rPr>
        <w:t xml:space="preserve"> </w:t>
      </w:r>
      <w:r>
        <w:t>president, with proceeds</w:t>
      </w:r>
      <w:r>
        <w:rPr>
          <w:spacing w:val="-2"/>
        </w:rPr>
        <w:t xml:space="preserve"> </w:t>
      </w:r>
      <w:r>
        <w:t>directed to</w:t>
      </w:r>
      <w:r>
        <w:rPr>
          <w:spacing w:val="-1"/>
        </w:rPr>
        <w:t xml:space="preserve"> </w:t>
      </w:r>
      <w:r>
        <w:t>a dedicated</w:t>
      </w:r>
      <w:r>
        <w:rPr>
          <w:spacing w:val="-1"/>
        </w:rPr>
        <w:t xml:space="preserve"> </w:t>
      </w:r>
      <w:r>
        <w:t>fund for</w:t>
      </w:r>
      <w:r>
        <w:rPr>
          <w:spacing w:val="-1"/>
        </w:rPr>
        <w:t xml:space="preserve"> </w:t>
      </w:r>
      <w:r>
        <w:t>transaction costs or capital projects.</w:t>
      </w:r>
      <w:r>
        <w:rPr>
          <w:spacing w:val="-6"/>
        </w:rPr>
        <w:t xml:space="preserve"> </w:t>
      </w:r>
      <w:r>
        <w:t xml:space="preserve">Additionally, the bill exempts building projects under $500,000 from the statutory certified study requirement, reducing administrative hurdles for smaller </w:t>
      </w:r>
      <w:r>
        <w:rPr>
          <w:spacing w:val="-2"/>
        </w:rPr>
        <w:t>projects.</w:t>
      </w:r>
    </w:p>
    <w:p w14:paraId="2988EAB9" w14:textId="77777777" w:rsidR="00C75B23" w:rsidRDefault="00000000">
      <w:pPr>
        <w:pStyle w:val="Heading1"/>
      </w:pPr>
      <w:r>
        <w:rPr>
          <w:color w:val="001F5F"/>
        </w:rPr>
        <w:t>An</w:t>
      </w:r>
      <w:r>
        <w:rPr>
          <w:color w:val="001F5F"/>
          <w:spacing w:val="-4"/>
        </w:rPr>
        <w:t xml:space="preserve"> </w:t>
      </w:r>
      <w:r>
        <w:rPr>
          <w:color w:val="001F5F"/>
        </w:rPr>
        <w:t>Informed</w:t>
      </w:r>
      <w:r>
        <w:rPr>
          <w:color w:val="001F5F"/>
          <w:spacing w:val="-14"/>
        </w:rPr>
        <w:t xml:space="preserve"> </w:t>
      </w:r>
      <w:r>
        <w:rPr>
          <w:color w:val="001F5F"/>
          <w:spacing w:val="-2"/>
        </w:rPr>
        <w:t>Approach</w:t>
      </w:r>
    </w:p>
    <w:p w14:paraId="04A18E3B" w14:textId="77777777" w:rsidR="00C75B23" w:rsidRDefault="00000000">
      <w:pPr>
        <w:pStyle w:val="BodyText"/>
        <w:spacing w:before="212" w:line="278" w:lineRule="auto"/>
      </w:pPr>
      <w:r>
        <w:t>This legislation is informed by the work of the Higher Education Capital Working Group, which was established in the FY25 General</w:t>
      </w:r>
      <w:r>
        <w:rPr>
          <w:spacing w:val="-6"/>
        </w:rPr>
        <w:t xml:space="preserve"> </w:t>
      </w:r>
      <w:r>
        <w:t>Appropriations</w:t>
      </w:r>
      <w:r>
        <w:rPr>
          <w:spacing w:val="-5"/>
        </w:rPr>
        <w:t xml:space="preserve"> </w:t>
      </w:r>
      <w:r>
        <w:t>Act. The Working Group included</w:t>
      </w:r>
      <w:r>
        <w:rPr>
          <w:spacing w:val="-4"/>
        </w:rPr>
        <w:t xml:space="preserve"> </w:t>
      </w:r>
      <w:r>
        <w:t>members</w:t>
      </w:r>
      <w:r>
        <w:rPr>
          <w:spacing w:val="-3"/>
        </w:rPr>
        <w:t xml:space="preserve"> </w:t>
      </w:r>
      <w:r>
        <w:t>from</w:t>
      </w:r>
      <w:r>
        <w:rPr>
          <w:spacing w:val="-4"/>
        </w:rPr>
        <w:t xml:space="preserve"> </w:t>
      </w:r>
      <w:r>
        <w:t>relevant</w:t>
      </w:r>
      <w:r>
        <w:rPr>
          <w:spacing w:val="-2"/>
        </w:rPr>
        <w:t xml:space="preserve"> </w:t>
      </w:r>
      <w:r>
        <w:t>state</w:t>
      </w:r>
      <w:r>
        <w:rPr>
          <w:spacing w:val="-2"/>
        </w:rPr>
        <w:t xml:space="preserve"> </w:t>
      </w:r>
      <w:r>
        <w:t>agencies,</w:t>
      </w:r>
      <w:r>
        <w:rPr>
          <w:spacing w:val="-2"/>
        </w:rPr>
        <w:t xml:space="preserve"> </w:t>
      </w:r>
      <w:r>
        <w:t>legislators</w:t>
      </w:r>
      <w:r>
        <w:rPr>
          <w:spacing w:val="-3"/>
        </w:rPr>
        <w:t xml:space="preserve"> </w:t>
      </w:r>
      <w:r>
        <w:t>from</w:t>
      </w:r>
      <w:r>
        <w:rPr>
          <w:spacing w:val="-4"/>
        </w:rPr>
        <w:t xml:space="preserve"> </w:t>
      </w:r>
      <w:r>
        <w:t>the</w:t>
      </w:r>
      <w:r>
        <w:rPr>
          <w:spacing w:val="-2"/>
        </w:rPr>
        <w:t xml:space="preserve"> </w:t>
      </w:r>
      <w:r>
        <w:t>joint</w:t>
      </w:r>
      <w:r>
        <w:rPr>
          <w:spacing w:val="-2"/>
        </w:rPr>
        <w:t xml:space="preserve"> </w:t>
      </w:r>
      <w:r>
        <w:t>committees</w:t>
      </w:r>
      <w:r>
        <w:rPr>
          <w:spacing w:val="-5"/>
        </w:rPr>
        <w:t xml:space="preserve"> </w:t>
      </w:r>
      <w:r>
        <w:t xml:space="preserve">for higher education and bonding, designees of the public higher education sectors in Massachusetts, and other stakeholders. That group's report confirms the necessity and viability of the proposed financing structure and the investments contained in the </w:t>
      </w:r>
      <w:r>
        <w:rPr>
          <w:i/>
        </w:rPr>
        <w:t>BRIGHT</w:t>
      </w:r>
      <w:r>
        <w:rPr>
          <w:i/>
          <w:spacing w:val="-12"/>
        </w:rPr>
        <w:t xml:space="preserve"> </w:t>
      </w:r>
      <w:r>
        <w:rPr>
          <w:i/>
        </w:rPr>
        <w:t>Act</w:t>
      </w:r>
      <w:r>
        <w:t>.</w:t>
      </w:r>
      <w:r>
        <w:rPr>
          <w:spacing w:val="-6"/>
        </w:rPr>
        <w:t xml:space="preserve"> </w:t>
      </w:r>
      <w:r>
        <w:t>The</w:t>
      </w:r>
      <w:r>
        <w:rPr>
          <w:spacing w:val="-1"/>
        </w:rPr>
        <w:t xml:space="preserve"> </w:t>
      </w:r>
      <w:r>
        <w:t>report</w:t>
      </w:r>
      <w:r>
        <w:rPr>
          <w:spacing w:val="-1"/>
        </w:rPr>
        <w:t xml:space="preserve"> </w:t>
      </w:r>
      <w:r>
        <w:t>also</w:t>
      </w:r>
      <w:r>
        <w:rPr>
          <w:spacing w:val="-1"/>
        </w:rPr>
        <w:t xml:space="preserve"> </w:t>
      </w:r>
      <w:r>
        <w:t>documents</w:t>
      </w:r>
      <w:r>
        <w:rPr>
          <w:spacing w:val="-2"/>
        </w:rPr>
        <w:t xml:space="preserve"> </w:t>
      </w:r>
      <w:r>
        <w:t>the</w:t>
      </w:r>
      <w:r>
        <w:rPr>
          <w:spacing w:val="-3"/>
        </w:rPr>
        <w:t xml:space="preserve"> </w:t>
      </w:r>
      <w:r>
        <w:t>mounting</w:t>
      </w:r>
      <w:r>
        <w:rPr>
          <w:spacing w:val="-1"/>
        </w:rPr>
        <w:t xml:space="preserve"> </w:t>
      </w:r>
      <w:r>
        <w:t>capital</w:t>
      </w:r>
      <w:r>
        <w:rPr>
          <w:spacing w:val="-2"/>
        </w:rPr>
        <w:t xml:space="preserve"> </w:t>
      </w:r>
      <w:r>
        <w:t>needs</w:t>
      </w:r>
      <w:r>
        <w:rPr>
          <w:spacing w:val="-2"/>
        </w:rPr>
        <w:t xml:space="preserve"> </w:t>
      </w:r>
      <w:r>
        <w:t>at</w:t>
      </w:r>
      <w:r>
        <w:rPr>
          <w:spacing w:val="-1"/>
        </w:rPr>
        <w:t xml:space="preserve"> </w:t>
      </w:r>
      <w:r>
        <w:t>our</w:t>
      </w:r>
      <w:r>
        <w:rPr>
          <w:spacing w:val="-3"/>
        </w:rPr>
        <w:t xml:space="preserve"> </w:t>
      </w:r>
      <w:r>
        <w:t>public</w:t>
      </w:r>
      <w:r>
        <w:rPr>
          <w:spacing w:val="-2"/>
        </w:rPr>
        <w:t xml:space="preserve"> </w:t>
      </w:r>
      <w:r>
        <w:t>higher education campuses and the limitations of traditional General Obligation bonds to address these challenges.</w:t>
      </w:r>
    </w:p>
    <w:p w14:paraId="44DA2ACD" w14:textId="77777777" w:rsidR="00C75B23" w:rsidRDefault="00000000">
      <w:pPr>
        <w:pStyle w:val="BodyText"/>
        <w:spacing w:before="157" w:line="278" w:lineRule="auto"/>
      </w:pPr>
      <w:r>
        <w:t xml:space="preserve">The </w:t>
      </w:r>
      <w:r>
        <w:rPr>
          <w:i/>
        </w:rPr>
        <w:t>BRIGHT</w:t>
      </w:r>
      <w:r>
        <w:rPr>
          <w:i/>
          <w:spacing w:val="-2"/>
        </w:rPr>
        <w:t xml:space="preserve"> </w:t>
      </w:r>
      <w:r>
        <w:rPr>
          <w:i/>
        </w:rPr>
        <w:t xml:space="preserve">Act </w:t>
      </w:r>
      <w:r>
        <w:t>will provide the type of transformational investment our public higher education</w:t>
      </w:r>
      <w:r>
        <w:rPr>
          <w:spacing w:val="-1"/>
        </w:rPr>
        <w:t xml:space="preserve"> </w:t>
      </w:r>
      <w:r>
        <w:t>campuses</w:t>
      </w:r>
      <w:r>
        <w:rPr>
          <w:spacing w:val="-2"/>
        </w:rPr>
        <w:t xml:space="preserve"> </w:t>
      </w:r>
      <w:r>
        <w:t>need</w:t>
      </w:r>
      <w:r>
        <w:rPr>
          <w:spacing w:val="-3"/>
        </w:rPr>
        <w:t xml:space="preserve"> </w:t>
      </w:r>
      <w:r>
        <w:t>to</w:t>
      </w:r>
      <w:r>
        <w:rPr>
          <w:spacing w:val="-3"/>
        </w:rPr>
        <w:t xml:space="preserve"> </w:t>
      </w:r>
      <w:r>
        <w:t>best</w:t>
      </w:r>
      <w:r>
        <w:rPr>
          <w:spacing w:val="-1"/>
        </w:rPr>
        <w:t xml:space="preserve"> </w:t>
      </w:r>
      <w:r>
        <w:t>serve</w:t>
      </w:r>
      <w:r>
        <w:rPr>
          <w:spacing w:val="-1"/>
        </w:rPr>
        <w:t xml:space="preserve"> </w:t>
      </w:r>
      <w:r>
        <w:t>their</w:t>
      </w:r>
      <w:r>
        <w:rPr>
          <w:spacing w:val="-5"/>
        </w:rPr>
        <w:t xml:space="preserve"> </w:t>
      </w:r>
      <w:r>
        <w:t>students,</w:t>
      </w:r>
      <w:r>
        <w:rPr>
          <w:spacing w:val="-4"/>
        </w:rPr>
        <w:t xml:space="preserve"> </w:t>
      </w:r>
      <w:r>
        <w:t>our</w:t>
      </w:r>
      <w:r>
        <w:rPr>
          <w:spacing w:val="-3"/>
        </w:rPr>
        <w:t xml:space="preserve"> </w:t>
      </w:r>
      <w:r>
        <w:t>workforce,</w:t>
      </w:r>
      <w:r>
        <w:rPr>
          <w:spacing w:val="-1"/>
        </w:rPr>
        <w:t xml:space="preserve"> </w:t>
      </w:r>
      <w:r>
        <w:t>and</w:t>
      </w:r>
      <w:r>
        <w:rPr>
          <w:spacing w:val="-1"/>
        </w:rPr>
        <w:t xml:space="preserve"> </w:t>
      </w:r>
      <w:r>
        <w:t>the</w:t>
      </w:r>
      <w:r>
        <w:rPr>
          <w:spacing w:val="-1"/>
        </w:rPr>
        <w:t xml:space="preserve"> </w:t>
      </w:r>
      <w:r>
        <w:t>state.</w:t>
      </w:r>
      <w:r>
        <w:rPr>
          <w:spacing w:val="-1"/>
        </w:rPr>
        <w:t xml:space="preserve"> </w:t>
      </w:r>
      <w:r>
        <w:t xml:space="preserve">By leveraging Fair Share surtax revenues, the Commonwealth can expand the pie of </w:t>
      </w:r>
      <w:r>
        <w:lastRenderedPageBreak/>
        <w:t>available</w:t>
      </w:r>
      <w:r>
        <w:rPr>
          <w:spacing w:val="-2"/>
        </w:rPr>
        <w:t xml:space="preserve"> </w:t>
      </w:r>
      <w:r>
        <w:t>resources</w:t>
      </w:r>
      <w:r>
        <w:rPr>
          <w:spacing w:val="-5"/>
        </w:rPr>
        <w:t xml:space="preserve"> </w:t>
      </w:r>
      <w:r>
        <w:t>to</w:t>
      </w:r>
      <w:r>
        <w:rPr>
          <w:spacing w:val="-4"/>
        </w:rPr>
        <w:t xml:space="preserve"> </w:t>
      </w:r>
      <w:r>
        <w:t>help</w:t>
      </w:r>
      <w:r>
        <w:rPr>
          <w:spacing w:val="-2"/>
        </w:rPr>
        <w:t xml:space="preserve"> </w:t>
      </w:r>
      <w:r>
        <w:t>repair</w:t>
      </w:r>
      <w:r>
        <w:rPr>
          <w:spacing w:val="-4"/>
        </w:rPr>
        <w:t xml:space="preserve"> </w:t>
      </w:r>
      <w:r>
        <w:t>and</w:t>
      </w:r>
      <w:r>
        <w:rPr>
          <w:spacing w:val="-2"/>
        </w:rPr>
        <w:t xml:space="preserve"> </w:t>
      </w:r>
      <w:r>
        <w:t>modernize</w:t>
      </w:r>
      <w:r>
        <w:rPr>
          <w:spacing w:val="-2"/>
        </w:rPr>
        <w:t xml:space="preserve"> </w:t>
      </w:r>
      <w:r>
        <w:t>its</w:t>
      </w:r>
      <w:r>
        <w:rPr>
          <w:spacing w:val="-3"/>
        </w:rPr>
        <w:t xml:space="preserve"> </w:t>
      </w:r>
      <w:r>
        <w:t>campuses,</w:t>
      </w:r>
      <w:r>
        <w:rPr>
          <w:spacing w:val="-5"/>
        </w:rPr>
        <w:t xml:space="preserve"> </w:t>
      </w:r>
      <w:r>
        <w:t>ensuring</w:t>
      </w:r>
      <w:r>
        <w:rPr>
          <w:spacing w:val="-2"/>
        </w:rPr>
        <w:t xml:space="preserve"> </w:t>
      </w:r>
      <w:r>
        <w:t>that</w:t>
      </w:r>
      <w:r>
        <w:rPr>
          <w:spacing w:val="-5"/>
        </w:rPr>
        <w:t xml:space="preserve"> </w:t>
      </w:r>
      <w:r>
        <w:t>our</w:t>
      </w:r>
      <w:r>
        <w:rPr>
          <w:spacing w:val="-4"/>
        </w:rPr>
        <w:t xml:space="preserve"> </w:t>
      </w:r>
      <w:r>
        <w:t>public higher education institutions can provide Massachusetts’ students, educators, and workforce with the tools they need to succeed in the decades to come.</w:t>
      </w:r>
    </w:p>
    <w:sectPr w:rsidR="00C75B23">
      <w:footerReference w:type="default" r:id="rId10"/>
      <w:pgSz w:w="12240" w:h="15840"/>
      <w:pgMar w:top="1360" w:right="1440" w:bottom="1420" w:left="1440" w:header="0" w:footer="1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7359" w14:textId="77777777" w:rsidR="0007134E" w:rsidRDefault="0007134E">
      <w:r>
        <w:separator/>
      </w:r>
    </w:p>
  </w:endnote>
  <w:endnote w:type="continuationSeparator" w:id="0">
    <w:p w14:paraId="4EEDDD74" w14:textId="77777777" w:rsidR="0007134E" w:rsidRDefault="0007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6AAF" w14:textId="77777777" w:rsidR="00C75B23" w:rsidRDefault="00000000">
    <w:pPr>
      <w:pStyle w:val="BodyText"/>
      <w:spacing w:line="14" w:lineRule="auto"/>
      <w:rPr>
        <w:sz w:val="20"/>
      </w:rPr>
    </w:pPr>
    <w:r>
      <w:rPr>
        <w:noProof/>
        <w:sz w:val="20"/>
      </w:rPr>
      <mc:AlternateContent>
        <mc:Choice Requires="wpg">
          <w:drawing>
            <wp:anchor distT="0" distB="0" distL="0" distR="0" simplePos="0" relativeHeight="251657216" behindDoc="1" locked="0" layoutInCell="1" allowOverlap="1" wp14:anchorId="50032CF9" wp14:editId="24E13822">
              <wp:simplePos x="0" y="0"/>
              <wp:positionH relativeFrom="page">
                <wp:posOffset>914400</wp:posOffset>
              </wp:positionH>
              <wp:positionV relativeFrom="page">
                <wp:posOffset>9098280</wp:posOffset>
              </wp:positionV>
              <wp:extent cx="5943600" cy="317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17500"/>
                        <a:chOff x="0" y="0"/>
                        <a:chExt cx="5943600" cy="317500"/>
                      </a:xfrm>
                    </wpg:grpSpPr>
                    <wps:wsp>
                      <wps:cNvPr id="2" name="Graphic 2"/>
                      <wps:cNvSpPr/>
                      <wps:spPr>
                        <a:xfrm>
                          <a:off x="0" y="6095"/>
                          <a:ext cx="5943600" cy="311150"/>
                        </a:xfrm>
                        <a:custGeom>
                          <a:avLst/>
                          <a:gdLst/>
                          <a:ahLst/>
                          <a:cxnLst/>
                          <a:rect l="l" t="t" r="r" b="b"/>
                          <a:pathLst>
                            <a:path w="5943600" h="311150">
                              <a:moveTo>
                                <a:pt x="5943600" y="0"/>
                              </a:moveTo>
                              <a:lnTo>
                                <a:pt x="0" y="0"/>
                              </a:lnTo>
                              <a:lnTo>
                                <a:pt x="0" y="310896"/>
                              </a:lnTo>
                              <a:lnTo>
                                <a:pt x="5943600" y="310896"/>
                              </a:lnTo>
                              <a:lnTo>
                                <a:pt x="5943600" y="0"/>
                              </a:lnTo>
                              <a:close/>
                            </a:path>
                          </a:pathLst>
                        </a:custGeom>
                        <a:solidFill>
                          <a:srgbClr val="78B1B8"/>
                        </a:solidFill>
                      </wps:spPr>
                      <wps:bodyPr wrap="square" lIns="0" tIns="0" rIns="0" bIns="0" rtlCol="0">
                        <a:prstTxWarp prst="textNoShape">
                          <a:avLst/>
                        </a:prstTxWarp>
                        <a:noAutofit/>
                      </wps:bodyPr>
                    </wps:wsp>
                    <wps:wsp>
                      <wps:cNvPr id="3" name="Graphic 3"/>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2963"/>
                        </a:solidFill>
                      </wps:spPr>
                      <wps:bodyPr wrap="square" lIns="0" tIns="0" rIns="0" bIns="0" rtlCol="0">
                        <a:prstTxWarp prst="textNoShape">
                          <a:avLst/>
                        </a:prstTxWarp>
                        <a:noAutofit/>
                      </wps:bodyPr>
                    </wps:wsp>
                  </wpg:wgp>
                </a:graphicData>
              </a:graphic>
            </wp:anchor>
          </w:drawing>
        </mc:Choice>
        <mc:Fallback>
          <w:pict>
            <v:group w14:anchorId="22D64314" id="Group 1" o:spid="_x0000_s1026" style="position:absolute;margin-left:1in;margin-top:716.4pt;width:468pt;height:25pt;z-index:-251659264;mso-wrap-distance-left:0;mso-wrap-distance-right:0;mso-position-horizontal-relative:page;mso-position-vertical-relative:page" coordsize="594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el50wIAADYJAAAOAAAAZHJzL2Uyb0RvYy54bWzUVl1v0zAUfUfiP1h+Z0laWtpo6cQ2ViFN&#10;Y9KGeHYd50M4trHdpvv3XDtxGnUDsQESvCTX9fH9OPdcp6dn+4ajHdOmliLDyUmMERNU5rUoM/z5&#10;/urNAiNjicgJl4Jl+IEZfLZ6/eq0VSmbyErynGkEToRJW5XhylqVRpGhFWuIOZGKCdgspG6IhaUu&#10;o1yTFrw3PJrE8Txqpc6VlpQZA79edpt45f0XBaP2U1EYZhHPMORm/VP758Y9o9UpSUtNVFXTPg3y&#10;giwaUgsIOri6JJagra4fuWpqqqWRhT2hsolkUdSU+RqgmiQ+qmat5Vb5Wsq0LdVAE1B7xNOL3dKb&#10;3VqrO3Wru+zBvJb0qwFeolaV6XjfrcsDeF/oxh2CItDeM/owMMr2FlH4cbZ8O53HQDyFvWnybga2&#10;p5xW0JdHx2j14ecHI5J2YX1yQzKtAvWYA0Hm9wi6q4hinnfjCLjVqM4zPMFIkAY0vO7lMnGluNCA&#10;cQz2K9OT+SQ/83g56xj4AUVJMvMUDZWSlG6NXTPpySa7a2M9g2UeLFIFi+5FMDVI34mee9FbjED0&#10;GiMQ/aaLr4h151wHnYnaUbcq1yyfidtu5I7dSw+0rmVDU0O/IdcDhosxFlo/QoW98FbeX4eZJvFi&#10;OXe5gbsACO8OOA78THjgNDikXBrWxXLV+6ADI5DAmHMjeZ1f1Zw7CowuNxdcox0Bct8tzpPzRZ/z&#10;CAbqNGmnA2dtZP4AImpBNxk237ZEM4z4RwEydXdSMHQwNsHQll9If3N59rWx9/svRCukwMywBQ3d&#10;yKBWkgZxQP4O0GHdSSHfb60saqccn1uXUb+Ayel0/NdHaHo8QlPH3TNHqL9Bnpyf+fTfmB6fh2P+&#10;MBePJRw0ecAEdY7nIqDCXniPMXCr/PrkPAt8HP3PzE0cT5Zz33uQ6v89N/5DBB9nf4P0fyTc13+8&#10;9nN2+Luz+g4AAP//AwBQSwMEFAAGAAgAAAAhAKzHzOLfAAAADgEAAA8AAABkcnMvZG93bnJldi54&#10;bWxMT01rwkAQvRf6H5YRequbqC0hZiMibU9SqBZKb2N2TILZ3ZBdk/jvOznV27wP3ryXbUbTiJ46&#10;XzurIJ5HIMgWTte2VPB9fH9OQPiAVmPjLCm4kYdN/viQYardYL+oP4RScIj1KSqoQmhTKX1RkUE/&#10;dy1Z1s6uMxgYdqXUHQ4cbhq5iKJXabC2/KHClnYVFZfD1Sj4GHDYLuO3fn85726/x5fPn31MSj3N&#10;xu0aRKAx/Jthqs/VIedOJ3e12ouG8WrFW8J0LBc8YrJEScTcaeIS5mSeyfsZ+R8AAAD//wMAUEsB&#10;Ai0AFAAGAAgAAAAhALaDOJL+AAAA4QEAABMAAAAAAAAAAAAAAAAAAAAAAFtDb250ZW50X1R5cGVz&#10;XS54bWxQSwECLQAUAAYACAAAACEAOP0h/9YAAACUAQAACwAAAAAAAAAAAAAAAAAvAQAAX3JlbHMv&#10;LnJlbHNQSwECLQAUAAYACAAAACEAPbHpedMCAAA2CQAADgAAAAAAAAAAAAAAAAAuAgAAZHJzL2Uy&#10;b0RvYy54bWxQSwECLQAUAAYACAAAACEArMfM4t8AAAAOAQAADwAAAAAAAAAAAAAAAAAtBQAAZHJz&#10;L2Rvd25yZXYueG1sUEsFBgAAAAAEAAQA8wAAADkGAAAAAA==&#10;">
              <v:shape id="Graphic 2" o:spid="_x0000_s1027" style="position:absolute;top:60;width:59436;height:3112;visibility:visible;mso-wrap-style:square;v-text-anchor:top" coordsize="594360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5mwwAAANoAAAAPAAAAZHJzL2Rvd25yZXYueG1sRI9Ba8JA&#10;FITvQv/D8gredKNgDdFVbIsgXopaBG/P7DMbzL5Ns6sm/75bEHocZuYbZr5sbSXu1PjSsYLRMAFB&#10;nDtdcqHg+7AepCB8QNZYOSYFHXlYLl56c8y0e/CO7vtQiAhhn6ECE0KdSelzQxb90NXE0bu4xmKI&#10;simkbvAR4baS4yR5kxZLjgsGa/owlF/3Nxsp5/fTZruir44+D+nkZ7o+Xs4jpfqv7WoGIlAb/sPP&#10;9kYrGMPflXgD5OIXAAD//wMAUEsBAi0AFAAGAAgAAAAhANvh9svuAAAAhQEAABMAAAAAAAAAAAAA&#10;AAAAAAAAAFtDb250ZW50X1R5cGVzXS54bWxQSwECLQAUAAYACAAAACEAWvQsW78AAAAVAQAACwAA&#10;AAAAAAAAAAAAAAAfAQAAX3JlbHMvLnJlbHNQSwECLQAUAAYACAAAACEAVBReZsMAAADaAAAADwAA&#10;AAAAAAAAAAAAAAAHAgAAZHJzL2Rvd25yZXYueG1sUEsFBgAAAAADAAMAtwAAAPcCAAAAAA==&#10;" path="m5943600,l,,,310896r5943600,l5943600,xe" fillcolor="#78b1b8" stroked="f">
                <v:path arrowok="t"/>
              </v:shape>
              <v:shape id="Graphic 3" o:spid="_x0000_s1028" style="position:absolute;width:59436;height:63;visibility:visible;mso-wrap-style:square;v-text-anchor:top" coordsize="5943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I5xAAAANoAAAAPAAAAZHJzL2Rvd25yZXYueG1sRI9Ba8JA&#10;FITvBf/D8oReSt1oi0p0FSlII8WDsXh+ZJ9JNPs23d1q7K/vFgoeh5n5hpkvO9OICzlfW1YwHCQg&#10;iAuray4VfO7Xz1MQPiBrbCyTght5WC56D3NMtb3yji55KEWEsE9RQRVCm0rpi4oM+oFtiaN3tM5g&#10;iNKVUju8Rrhp5ChJxtJgzXGhwpbeKirO+bdRwKcv93rMst2PXW3fJ+ap/tgccqUe+91qBiJQF+7h&#10;/3amFbzA35V4A+TiFwAA//8DAFBLAQItABQABgAIAAAAIQDb4fbL7gAAAIUBAAATAAAAAAAAAAAA&#10;AAAAAAAAAABbQ29udGVudF9UeXBlc10ueG1sUEsBAi0AFAAGAAgAAAAhAFr0LFu/AAAAFQEAAAsA&#10;AAAAAAAAAAAAAAAAHwEAAF9yZWxzLy5yZWxzUEsBAi0AFAAGAAgAAAAhAACSEjnEAAAA2gAAAA8A&#10;AAAAAAAAAAAAAAAABwIAAGRycy9kb3ducmV2LnhtbFBLBQYAAAAAAwADALcAAAD4AgAAAAA=&#10;" path="m5943600,l,,,6096r5943600,l5943600,xe" fillcolor="#002963" stroked="f">
                <v:path arrowok="t"/>
              </v:shape>
              <w10:wrap anchorx="page" anchory="page"/>
            </v:group>
          </w:pict>
        </mc:Fallback>
      </mc:AlternateContent>
    </w:r>
    <w:r>
      <w:rPr>
        <w:noProof/>
        <w:sz w:val="20"/>
      </w:rPr>
      <mc:AlternateContent>
        <mc:Choice Requires="wps">
          <w:drawing>
            <wp:anchor distT="0" distB="0" distL="0" distR="0" simplePos="0" relativeHeight="251660288" behindDoc="1" locked="0" layoutInCell="1" allowOverlap="1" wp14:anchorId="6F332480" wp14:editId="180C2C87">
              <wp:simplePos x="0" y="0"/>
              <wp:positionH relativeFrom="page">
                <wp:posOffset>2581148</wp:posOffset>
              </wp:positionH>
              <wp:positionV relativeFrom="page">
                <wp:posOffset>9093300</wp:posOffset>
              </wp:positionV>
              <wp:extent cx="2606675" cy="3352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675" cy="335280"/>
                      </a:xfrm>
                      <a:prstGeom prst="rect">
                        <a:avLst/>
                      </a:prstGeom>
                    </wps:spPr>
                    <wps:txbx>
                      <w:txbxContent>
                        <w:p w14:paraId="2EFE70E0" w14:textId="77777777" w:rsidR="00C75B23" w:rsidRDefault="00000000">
                          <w:pPr>
                            <w:spacing w:before="16"/>
                            <w:ind w:left="1131" w:right="18" w:hanging="1112"/>
                            <w:rPr>
                              <w:rFonts w:ascii="Calibri"/>
                              <w:sz w:val="20"/>
                            </w:rPr>
                          </w:pPr>
                          <w:r>
                            <w:rPr>
                              <w:rFonts w:ascii="Calibri"/>
                              <w:w w:val="105"/>
                              <w:sz w:val="20"/>
                            </w:rPr>
                            <w:t>Executive</w:t>
                          </w:r>
                          <w:r>
                            <w:rPr>
                              <w:rFonts w:ascii="Calibri"/>
                              <w:spacing w:val="-7"/>
                              <w:w w:val="105"/>
                              <w:sz w:val="20"/>
                            </w:rPr>
                            <w:t xml:space="preserve"> </w:t>
                          </w:r>
                          <w:r>
                            <w:rPr>
                              <w:rFonts w:ascii="Calibri"/>
                              <w:w w:val="105"/>
                              <w:sz w:val="20"/>
                            </w:rPr>
                            <w:t>Office</w:t>
                          </w:r>
                          <w:r>
                            <w:rPr>
                              <w:rFonts w:ascii="Calibri"/>
                              <w:spacing w:val="-7"/>
                              <w:w w:val="105"/>
                              <w:sz w:val="20"/>
                            </w:rPr>
                            <w:t xml:space="preserve"> </w:t>
                          </w:r>
                          <w:r>
                            <w:rPr>
                              <w:rFonts w:ascii="Calibri"/>
                              <w:w w:val="105"/>
                              <w:sz w:val="20"/>
                            </w:rPr>
                            <w:t>for</w:t>
                          </w:r>
                          <w:r>
                            <w:rPr>
                              <w:rFonts w:ascii="Calibri"/>
                              <w:spacing w:val="-7"/>
                              <w:w w:val="105"/>
                              <w:sz w:val="20"/>
                            </w:rPr>
                            <w:t xml:space="preserve"> </w:t>
                          </w:r>
                          <w:r>
                            <w:rPr>
                              <w:rFonts w:ascii="Calibri"/>
                              <w:w w:val="105"/>
                              <w:sz w:val="20"/>
                            </w:rPr>
                            <w:t>Administration</w:t>
                          </w:r>
                          <w:r>
                            <w:rPr>
                              <w:rFonts w:ascii="Calibri"/>
                              <w:spacing w:val="-7"/>
                              <w:w w:val="105"/>
                              <w:sz w:val="20"/>
                            </w:rPr>
                            <w:t xml:space="preserve"> </w:t>
                          </w:r>
                          <w:r>
                            <w:rPr>
                              <w:rFonts w:ascii="Calibri"/>
                              <w:w w:val="105"/>
                              <w:sz w:val="20"/>
                            </w:rPr>
                            <w:t>and</w:t>
                          </w:r>
                          <w:r>
                            <w:rPr>
                              <w:rFonts w:ascii="Calibri"/>
                              <w:spacing w:val="-7"/>
                              <w:w w:val="105"/>
                              <w:sz w:val="20"/>
                            </w:rPr>
                            <w:t xml:space="preserve"> </w:t>
                          </w:r>
                          <w:r>
                            <w:rPr>
                              <w:rFonts w:ascii="Calibri"/>
                              <w:w w:val="105"/>
                              <w:sz w:val="20"/>
                            </w:rPr>
                            <w:t xml:space="preserve">Finance </w:t>
                          </w:r>
                          <w:proofErr w:type="gramStart"/>
                          <w:r>
                            <w:rPr>
                              <w:rFonts w:ascii="Calibri"/>
                              <w:w w:val="105"/>
                              <w:sz w:val="20"/>
                            </w:rPr>
                            <w:t>The</w:t>
                          </w:r>
                          <w:proofErr w:type="gramEnd"/>
                          <w:r>
                            <w:rPr>
                              <w:rFonts w:ascii="Calibri"/>
                              <w:w w:val="105"/>
                              <w:sz w:val="20"/>
                            </w:rPr>
                            <w:t xml:space="preserve"> Bright Act: Page </w:t>
                          </w:r>
                          <w:r>
                            <w:rPr>
                              <w:rFonts w:ascii="Calibri"/>
                              <w:w w:val="105"/>
                              <w:sz w:val="20"/>
                            </w:rPr>
                            <w:fldChar w:fldCharType="begin"/>
                          </w:r>
                          <w:r>
                            <w:rPr>
                              <w:rFonts w:ascii="Calibri"/>
                              <w:w w:val="105"/>
                              <w:sz w:val="20"/>
                            </w:rPr>
                            <w:instrText xml:space="preserve"> PAGE </w:instrText>
                          </w:r>
                          <w:r>
                            <w:rPr>
                              <w:rFonts w:ascii="Calibri"/>
                              <w:w w:val="105"/>
                              <w:sz w:val="20"/>
                            </w:rPr>
                            <w:fldChar w:fldCharType="separate"/>
                          </w:r>
                          <w:r>
                            <w:rPr>
                              <w:rFonts w:ascii="Calibri"/>
                              <w:w w:val="105"/>
                              <w:sz w:val="20"/>
                            </w:rPr>
                            <w:t>1</w:t>
                          </w:r>
                          <w:r>
                            <w:rPr>
                              <w:rFonts w:ascii="Calibri"/>
                              <w:w w:val="105"/>
                              <w:sz w:val="20"/>
                            </w:rPr>
                            <w:fldChar w:fldCharType="end"/>
                          </w:r>
                        </w:p>
                      </w:txbxContent>
                    </wps:txbx>
                    <wps:bodyPr wrap="square" lIns="0" tIns="0" rIns="0" bIns="0" rtlCol="0">
                      <a:noAutofit/>
                    </wps:bodyPr>
                  </wps:wsp>
                </a:graphicData>
              </a:graphic>
            </wp:anchor>
          </w:drawing>
        </mc:Choice>
        <mc:Fallback>
          <w:pict>
            <v:shapetype w14:anchorId="6F332480" id="_x0000_t202" coordsize="21600,21600" o:spt="202" path="m,l,21600r21600,l21600,xe">
              <v:stroke joinstyle="miter"/>
              <v:path gradientshapeok="t" o:connecttype="rect"/>
            </v:shapetype>
            <v:shape id="Textbox 4" o:spid="_x0000_s1026" type="#_x0000_t202" style="position:absolute;margin-left:203.25pt;margin-top:716pt;width:205.25pt;height:26.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BFlQEAABsDAAAOAAAAZHJzL2Uyb0RvYy54bWysUsFuEzEQvSPxD5bvxNtUDdUqmwqoQEgV&#10;ILV8gOO1syvWHjPjZDd/z9jdJAhuVS/jsT1+894br+8mP4iDReohNPJqUUlhg4G2D7tG/nz6/O5W&#10;Cko6tHqAYBt5tCTvNm/frMdY2yV0MLQWBYMEqsfYyC6lWCtFprNe0wKiDXzpAL1OvMWdalGPjO4H&#10;tayqlRoB24hgLBGf3j9fyk3Bd86a9N05skkMjWRuqUQscZuj2qx1vUMdu97MNPQLWHjdB256hrrX&#10;SYs99v9B+d4gELi0MOAVONcbWzSwmqvqHzWPnY62aGFzKJ5toteDNd8Oj/EHijR9hIkHWERQfADz&#10;i9gbNUaq55rsKdXE1Vno5NDnlSUIfsjeHs9+2ikJw4fLVbVavb+RwvDd9fXN8rYYri6vI1L6YsGL&#10;nDQSeV6FgT48UMr9dX0qmck8989M0rSduCSnW2iPLGLkOTaSfu81WimGr4GNykM/JXhKtqcE0/AJ&#10;ytfIWgJ82Cdwfel8wZ078wQKofm35BH/vS9Vlz+9+QMAAP//AwBQSwMEFAAGAAgAAAAhABfUM6Hh&#10;AAAADQEAAA8AAABkcnMvZG93bnJldi54bWxMj8FOwzAQRO9I/IO1SNyo3RJCCHGqCsEJCTUNB45O&#10;7CZW43WI3Tb8PdsT3HZ3RrNvivXsBnYyU7AeJSwXApjB1muLnYTP+u0uAxaiQq0Gj0bCjwmwLq+v&#10;CpVrf8bKnHaxYxSCIVcS+hjHnPPQ9sapsPCjQdL2fnIq0jp1XE/qTOFu4CshUu6URfrQq9G89KY9&#10;7I5OwuYLq1f7/dFsq31l6/pJ4Ht6kPL2Zt48A4tmjn9muOATOpTE1Pgj6sAGCYlIH8hKQnK/olZk&#10;yZaPNDSXU5ZkwMuC/29R/gIAAP//AwBQSwECLQAUAAYACAAAACEAtoM4kv4AAADhAQAAEwAAAAAA&#10;AAAAAAAAAAAAAAAAW0NvbnRlbnRfVHlwZXNdLnhtbFBLAQItABQABgAIAAAAIQA4/SH/1gAAAJQB&#10;AAALAAAAAAAAAAAAAAAAAC8BAABfcmVscy8ucmVsc1BLAQItABQABgAIAAAAIQBMqpBFlQEAABsD&#10;AAAOAAAAAAAAAAAAAAAAAC4CAABkcnMvZTJvRG9jLnhtbFBLAQItABQABgAIAAAAIQAX1DOh4QAA&#10;AA0BAAAPAAAAAAAAAAAAAAAAAO8DAABkcnMvZG93bnJldi54bWxQSwUGAAAAAAQABADzAAAA/QQA&#10;AAAA&#10;" filled="f" stroked="f">
              <v:textbox inset="0,0,0,0">
                <w:txbxContent>
                  <w:p w14:paraId="2EFE70E0" w14:textId="77777777" w:rsidR="00C75B23" w:rsidRDefault="00000000">
                    <w:pPr>
                      <w:spacing w:before="16"/>
                      <w:ind w:left="1131" w:right="18" w:hanging="1112"/>
                      <w:rPr>
                        <w:rFonts w:ascii="Calibri"/>
                        <w:sz w:val="20"/>
                      </w:rPr>
                    </w:pPr>
                    <w:r>
                      <w:rPr>
                        <w:rFonts w:ascii="Calibri"/>
                        <w:w w:val="105"/>
                        <w:sz w:val="20"/>
                      </w:rPr>
                      <w:t>Executive</w:t>
                    </w:r>
                    <w:r>
                      <w:rPr>
                        <w:rFonts w:ascii="Calibri"/>
                        <w:spacing w:val="-7"/>
                        <w:w w:val="105"/>
                        <w:sz w:val="20"/>
                      </w:rPr>
                      <w:t xml:space="preserve"> </w:t>
                    </w:r>
                    <w:r>
                      <w:rPr>
                        <w:rFonts w:ascii="Calibri"/>
                        <w:w w:val="105"/>
                        <w:sz w:val="20"/>
                      </w:rPr>
                      <w:t>Office</w:t>
                    </w:r>
                    <w:r>
                      <w:rPr>
                        <w:rFonts w:ascii="Calibri"/>
                        <w:spacing w:val="-7"/>
                        <w:w w:val="105"/>
                        <w:sz w:val="20"/>
                      </w:rPr>
                      <w:t xml:space="preserve"> </w:t>
                    </w:r>
                    <w:r>
                      <w:rPr>
                        <w:rFonts w:ascii="Calibri"/>
                        <w:w w:val="105"/>
                        <w:sz w:val="20"/>
                      </w:rPr>
                      <w:t>for</w:t>
                    </w:r>
                    <w:r>
                      <w:rPr>
                        <w:rFonts w:ascii="Calibri"/>
                        <w:spacing w:val="-7"/>
                        <w:w w:val="105"/>
                        <w:sz w:val="20"/>
                      </w:rPr>
                      <w:t xml:space="preserve"> </w:t>
                    </w:r>
                    <w:r>
                      <w:rPr>
                        <w:rFonts w:ascii="Calibri"/>
                        <w:w w:val="105"/>
                        <w:sz w:val="20"/>
                      </w:rPr>
                      <w:t>Administration</w:t>
                    </w:r>
                    <w:r>
                      <w:rPr>
                        <w:rFonts w:ascii="Calibri"/>
                        <w:spacing w:val="-7"/>
                        <w:w w:val="105"/>
                        <w:sz w:val="20"/>
                      </w:rPr>
                      <w:t xml:space="preserve"> </w:t>
                    </w:r>
                    <w:r>
                      <w:rPr>
                        <w:rFonts w:ascii="Calibri"/>
                        <w:w w:val="105"/>
                        <w:sz w:val="20"/>
                      </w:rPr>
                      <w:t>and</w:t>
                    </w:r>
                    <w:r>
                      <w:rPr>
                        <w:rFonts w:ascii="Calibri"/>
                        <w:spacing w:val="-7"/>
                        <w:w w:val="105"/>
                        <w:sz w:val="20"/>
                      </w:rPr>
                      <w:t xml:space="preserve"> </w:t>
                    </w:r>
                    <w:r>
                      <w:rPr>
                        <w:rFonts w:ascii="Calibri"/>
                        <w:w w:val="105"/>
                        <w:sz w:val="20"/>
                      </w:rPr>
                      <w:t xml:space="preserve">Finance </w:t>
                    </w:r>
                    <w:proofErr w:type="gramStart"/>
                    <w:r>
                      <w:rPr>
                        <w:rFonts w:ascii="Calibri"/>
                        <w:w w:val="105"/>
                        <w:sz w:val="20"/>
                      </w:rPr>
                      <w:t>The</w:t>
                    </w:r>
                    <w:proofErr w:type="gramEnd"/>
                    <w:r>
                      <w:rPr>
                        <w:rFonts w:ascii="Calibri"/>
                        <w:w w:val="105"/>
                        <w:sz w:val="20"/>
                      </w:rPr>
                      <w:t xml:space="preserve"> Bright Act: Page </w:t>
                    </w:r>
                    <w:r>
                      <w:rPr>
                        <w:rFonts w:ascii="Calibri"/>
                        <w:w w:val="105"/>
                        <w:sz w:val="20"/>
                      </w:rPr>
                      <w:fldChar w:fldCharType="begin"/>
                    </w:r>
                    <w:r>
                      <w:rPr>
                        <w:rFonts w:ascii="Calibri"/>
                        <w:w w:val="105"/>
                        <w:sz w:val="20"/>
                      </w:rPr>
                      <w:instrText xml:space="preserve"> PAGE </w:instrText>
                    </w:r>
                    <w:r>
                      <w:rPr>
                        <w:rFonts w:ascii="Calibri"/>
                        <w:w w:val="105"/>
                        <w:sz w:val="20"/>
                      </w:rPr>
                      <w:fldChar w:fldCharType="separate"/>
                    </w:r>
                    <w:r>
                      <w:rPr>
                        <w:rFonts w:ascii="Calibri"/>
                        <w:w w:val="105"/>
                        <w:sz w:val="20"/>
                      </w:rPr>
                      <w:t>1</w:t>
                    </w:r>
                    <w:r>
                      <w:rPr>
                        <w:rFonts w:ascii="Calibri"/>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5DA63" w14:textId="77777777" w:rsidR="0007134E" w:rsidRDefault="0007134E">
      <w:r>
        <w:separator/>
      </w:r>
    </w:p>
  </w:footnote>
  <w:footnote w:type="continuationSeparator" w:id="0">
    <w:p w14:paraId="2033ECF0" w14:textId="77777777" w:rsidR="0007134E" w:rsidRDefault="00071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216AB"/>
    <w:multiLevelType w:val="hybridMultilevel"/>
    <w:tmpl w:val="85E650FA"/>
    <w:lvl w:ilvl="0" w:tplc="FDB80F5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2DF6BD60">
      <w:numFmt w:val="bullet"/>
      <w:lvlText w:val="•"/>
      <w:lvlJc w:val="left"/>
      <w:pPr>
        <w:ind w:left="1908" w:hanging="360"/>
      </w:pPr>
      <w:rPr>
        <w:rFonts w:hint="default"/>
        <w:lang w:val="en-US" w:eastAsia="en-US" w:bidi="ar-SA"/>
      </w:rPr>
    </w:lvl>
    <w:lvl w:ilvl="2" w:tplc="BED6C290">
      <w:numFmt w:val="bullet"/>
      <w:lvlText w:val="•"/>
      <w:lvlJc w:val="left"/>
      <w:pPr>
        <w:ind w:left="2736" w:hanging="360"/>
      </w:pPr>
      <w:rPr>
        <w:rFonts w:hint="default"/>
        <w:lang w:val="en-US" w:eastAsia="en-US" w:bidi="ar-SA"/>
      </w:rPr>
    </w:lvl>
    <w:lvl w:ilvl="3" w:tplc="AE486EBC">
      <w:numFmt w:val="bullet"/>
      <w:lvlText w:val="•"/>
      <w:lvlJc w:val="left"/>
      <w:pPr>
        <w:ind w:left="3564" w:hanging="360"/>
      </w:pPr>
      <w:rPr>
        <w:rFonts w:hint="default"/>
        <w:lang w:val="en-US" w:eastAsia="en-US" w:bidi="ar-SA"/>
      </w:rPr>
    </w:lvl>
    <w:lvl w:ilvl="4" w:tplc="C23E782E">
      <w:numFmt w:val="bullet"/>
      <w:lvlText w:val="•"/>
      <w:lvlJc w:val="left"/>
      <w:pPr>
        <w:ind w:left="4392" w:hanging="360"/>
      </w:pPr>
      <w:rPr>
        <w:rFonts w:hint="default"/>
        <w:lang w:val="en-US" w:eastAsia="en-US" w:bidi="ar-SA"/>
      </w:rPr>
    </w:lvl>
    <w:lvl w:ilvl="5" w:tplc="ECA4E2FA">
      <w:numFmt w:val="bullet"/>
      <w:lvlText w:val="•"/>
      <w:lvlJc w:val="left"/>
      <w:pPr>
        <w:ind w:left="5220" w:hanging="360"/>
      </w:pPr>
      <w:rPr>
        <w:rFonts w:hint="default"/>
        <w:lang w:val="en-US" w:eastAsia="en-US" w:bidi="ar-SA"/>
      </w:rPr>
    </w:lvl>
    <w:lvl w:ilvl="6" w:tplc="22BAAFE4">
      <w:numFmt w:val="bullet"/>
      <w:lvlText w:val="•"/>
      <w:lvlJc w:val="left"/>
      <w:pPr>
        <w:ind w:left="6048" w:hanging="360"/>
      </w:pPr>
      <w:rPr>
        <w:rFonts w:hint="default"/>
        <w:lang w:val="en-US" w:eastAsia="en-US" w:bidi="ar-SA"/>
      </w:rPr>
    </w:lvl>
    <w:lvl w:ilvl="7" w:tplc="40740EB4">
      <w:numFmt w:val="bullet"/>
      <w:lvlText w:val="•"/>
      <w:lvlJc w:val="left"/>
      <w:pPr>
        <w:ind w:left="6876" w:hanging="360"/>
      </w:pPr>
      <w:rPr>
        <w:rFonts w:hint="default"/>
        <w:lang w:val="en-US" w:eastAsia="en-US" w:bidi="ar-SA"/>
      </w:rPr>
    </w:lvl>
    <w:lvl w:ilvl="8" w:tplc="634CF2D2">
      <w:numFmt w:val="bullet"/>
      <w:lvlText w:val="•"/>
      <w:lvlJc w:val="left"/>
      <w:pPr>
        <w:ind w:left="7704" w:hanging="360"/>
      </w:pPr>
      <w:rPr>
        <w:rFonts w:hint="default"/>
        <w:lang w:val="en-US" w:eastAsia="en-US" w:bidi="ar-SA"/>
      </w:rPr>
    </w:lvl>
  </w:abstractNum>
  <w:num w:numId="1" w16cid:durableId="188189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5B23"/>
    <w:rsid w:val="0007134E"/>
    <w:rsid w:val="003E18F0"/>
    <w:rsid w:val="008A3AF8"/>
    <w:rsid w:val="00927C3D"/>
    <w:rsid w:val="00C75B23"/>
    <w:rsid w:val="00DC4EF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F57A"/>
  <w15:docId w15:val="{5B31A074-EBB6-49DD-8FEE-78139745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
      <w:ind w:left="1080" w:right="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4EF0"/>
    <w:pPr>
      <w:tabs>
        <w:tab w:val="center" w:pos="4680"/>
        <w:tab w:val="right" w:pos="9360"/>
      </w:tabs>
    </w:pPr>
  </w:style>
  <w:style w:type="character" w:customStyle="1" w:styleId="HeaderChar">
    <w:name w:val="Header Char"/>
    <w:basedOn w:val="DefaultParagraphFont"/>
    <w:link w:val="Header"/>
    <w:uiPriority w:val="99"/>
    <w:rsid w:val="00DC4EF0"/>
    <w:rPr>
      <w:rFonts w:ascii="Arial" w:eastAsia="Arial" w:hAnsi="Arial" w:cs="Arial"/>
    </w:rPr>
  </w:style>
  <w:style w:type="paragraph" w:styleId="Footer">
    <w:name w:val="footer"/>
    <w:basedOn w:val="Normal"/>
    <w:link w:val="FooterChar"/>
    <w:uiPriority w:val="99"/>
    <w:unhideWhenUsed/>
    <w:rsid w:val="00DC4EF0"/>
    <w:pPr>
      <w:tabs>
        <w:tab w:val="center" w:pos="4680"/>
        <w:tab w:val="right" w:pos="9360"/>
      </w:tabs>
    </w:pPr>
  </w:style>
  <w:style w:type="character" w:customStyle="1" w:styleId="FooterChar">
    <w:name w:val="Footer Char"/>
    <w:basedOn w:val="DefaultParagraphFont"/>
    <w:link w:val="Footer"/>
    <w:uiPriority w:val="99"/>
    <w:rsid w:val="00DC4EF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Elmendorf, Caroline D. (A&amp;F)</dc:creator>
  <dc:description/>
  <cp:lastModifiedBy>Kelly, Lynne (A&amp;F)</cp:lastModifiedBy>
  <cp:revision>2</cp:revision>
  <dcterms:created xsi:type="dcterms:W3CDTF">2026-01-13T02:37:00Z</dcterms:created>
  <dcterms:modified xsi:type="dcterms:W3CDTF">2026-01-13T03:08:00Z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0x010100C8E05D1E1173DB48A203DFC887C8ED5F</vt:lpwstr>
  </property>
  <property fmtid="{D5CDD505-2E9C-101B-9397-08002B2CF9AE}" pid="3" name="Created">
    <vt:filetime>2025-01-20T00:00:00Z</vt:filetime>
  </property>
  <property fmtid="{D5CDD505-2E9C-101B-9397-08002B2CF9AE}" pid="4" name="Creator">
    <vt:lpwstr>Acrobat PDFMaker 24 for Word</vt:lpwstr>
  </property>
  <property fmtid="{D5CDD505-2E9C-101B-9397-08002B2CF9AE}" pid="5" name="LastSaved">
    <vt:filetime>2026-01-13T00:00:00Z</vt:filetime>
  </property>
  <property fmtid="{D5CDD505-2E9C-101B-9397-08002B2CF9AE}" pid="6" name="MediaServiceImageTags">
    <vt:lpwstr/>
  </property>
  <property fmtid="{D5CDD505-2E9C-101B-9397-08002B2CF9AE}" pid="7" name="Producer">
    <vt:lpwstr>Adobe PDF Library 24.5.96</vt:lpwstr>
  </property>
  <property fmtid="{D5CDD505-2E9C-101B-9397-08002B2CF9AE}" pid="8" name="SourceModified">
    <vt:lpwstr/>
  </property>
</Properties>
</file>