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64"/>
        <w:rPr>
          <w:sz w:val="20"/>
        </w:rPr>
      </w:pPr>
      <w:r>
        <w:rPr>
          <w:sz w:val="20"/>
        </w:rPr>
        <w:drawing>
          <wp:inline distT="0" distB="0" distL="0" distR="0">
            <wp:extent cx="901127" cy="106441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127" cy="106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26"/>
        </w:rPr>
      </w:pPr>
    </w:p>
    <w:p>
      <w:pPr>
        <w:spacing w:line="185" w:lineRule="exact" w:before="0"/>
        <w:ind w:left="93" w:right="406" w:firstLine="0"/>
        <w:jc w:val="center"/>
        <w:rPr>
          <w:rFonts w:ascii="Arial Rounded MT Bold"/>
          <w:sz w:val="16"/>
        </w:rPr>
      </w:pPr>
      <w:bookmarkStart w:name="_bookmark0" w:id="1"/>
      <w:bookmarkEnd w:id="1"/>
      <w:r>
        <w:rPr/>
      </w:r>
      <w:r>
        <w:rPr>
          <w:rFonts w:ascii="Arial Rounded MT Bold"/>
          <w:sz w:val="16"/>
        </w:rPr>
        <w:t>CHARLES</w:t>
      </w:r>
      <w:r>
        <w:rPr>
          <w:rFonts w:ascii="Arial Rounded MT Bold"/>
          <w:spacing w:val="-4"/>
          <w:sz w:val="16"/>
        </w:rPr>
        <w:t> </w:t>
      </w:r>
      <w:r>
        <w:rPr>
          <w:rFonts w:ascii="Arial Rounded MT Bold"/>
          <w:sz w:val="16"/>
        </w:rPr>
        <w:t>D.</w:t>
      </w:r>
      <w:r>
        <w:rPr>
          <w:rFonts w:ascii="Arial Rounded MT Bold"/>
          <w:spacing w:val="-2"/>
          <w:sz w:val="16"/>
        </w:rPr>
        <w:t> </w:t>
      </w:r>
      <w:r>
        <w:rPr>
          <w:rFonts w:ascii="Arial Rounded MT Bold"/>
          <w:sz w:val="16"/>
        </w:rPr>
        <w:t>BAKER</w:t>
      </w:r>
    </w:p>
    <w:p>
      <w:pPr>
        <w:spacing w:line="162" w:lineRule="exact" w:before="0"/>
        <w:ind w:left="86" w:right="406" w:firstLine="0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Governor</w:t>
      </w:r>
    </w:p>
    <w:p>
      <w:pPr>
        <w:spacing w:line="184" w:lineRule="exact" w:before="122"/>
        <w:ind w:left="90" w:right="406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KARYN</w:t>
      </w:r>
      <w:r>
        <w:rPr>
          <w:rFonts w:ascii="Arial Rounded MT Bold"/>
          <w:spacing w:val="-3"/>
          <w:sz w:val="16"/>
        </w:rPr>
        <w:t> </w:t>
      </w:r>
      <w:r>
        <w:rPr>
          <w:rFonts w:ascii="Arial Rounded MT Bold"/>
          <w:sz w:val="16"/>
        </w:rPr>
        <w:t>E.</w:t>
      </w:r>
      <w:r>
        <w:rPr>
          <w:rFonts w:ascii="Arial Rounded MT Bold"/>
          <w:spacing w:val="-2"/>
          <w:sz w:val="16"/>
        </w:rPr>
        <w:t> </w:t>
      </w:r>
      <w:r>
        <w:rPr>
          <w:rFonts w:ascii="Arial Rounded MT Bold"/>
          <w:sz w:val="16"/>
        </w:rPr>
        <w:t>POLITO</w:t>
      </w:r>
    </w:p>
    <w:p>
      <w:pPr>
        <w:spacing w:line="160" w:lineRule="exact" w:before="0"/>
        <w:ind w:left="88" w:right="406" w:firstLine="0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Lieutenant</w:t>
      </w:r>
      <w:r>
        <w:rPr>
          <w:rFonts w:ascii="Arial Rounded MT Bold"/>
          <w:spacing w:val="-8"/>
          <w:sz w:val="14"/>
        </w:rPr>
        <w:t> </w:t>
      </w:r>
      <w:r>
        <w:rPr>
          <w:rFonts w:ascii="Arial Rounded MT Bold"/>
          <w:sz w:val="14"/>
        </w:rPr>
        <w:t>Governor</w:t>
      </w:r>
    </w:p>
    <w:p>
      <w:pPr>
        <w:pStyle w:val="BodyText"/>
        <w:rPr>
          <w:rFonts w:ascii="Arial Rounded MT Bold"/>
          <w:sz w:val="16"/>
        </w:rPr>
      </w:pPr>
    </w:p>
    <w:p>
      <w:pPr>
        <w:pStyle w:val="BodyText"/>
        <w:rPr>
          <w:rFonts w:ascii="Arial Rounded MT Bold"/>
          <w:sz w:val="17"/>
        </w:rPr>
      </w:pPr>
    </w:p>
    <w:p>
      <w:pPr>
        <w:pStyle w:val="BodyText"/>
        <w:ind w:left="740"/>
      </w:pPr>
      <w:r>
        <w:rPr/>
        <w:t>August 2, 2018</w:t>
      </w:r>
    </w:p>
    <w:p>
      <w:pPr>
        <w:pStyle w:val="Title"/>
      </w:pPr>
      <w:r>
        <w:rPr/>
        <w:br w:type="column"/>
      </w:r>
      <w:r>
        <w:rPr/>
        <w:t>The</w:t>
      </w:r>
      <w:r>
        <w:rPr>
          <w:spacing w:val="-9"/>
        </w:rPr>
        <w:t> </w:t>
      </w:r>
      <w:r>
        <w:rPr/>
        <w:t>Commonwealth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Massachusetts</w:t>
      </w:r>
    </w:p>
    <w:p>
      <w:pPr>
        <w:spacing w:before="0"/>
        <w:ind w:left="112" w:right="0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Executive</w:t>
      </w:r>
      <w:r>
        <w:rPr>
          <w:rFonts w:ascii="Arial"/>
          <w:spacing w:val="-1"/>
          <w:sz w:val="28"/>
        </w:rPr>
        <w:t> </w:t>
      </w:r>
      <w:r>
        <w:rPr>
          <w:rFonts w:ascii="Arial"/>
          <w:sz w:val="28"/>
        </w:rPr>
        <w:t>Office</w:t>
      </w:r>
      <w:r>
        <w:rPr>
          <w:rFonts w:ascii="Arial"/>
          <w:spacing w:val="-3"/>
          <w:sz w:val="28"/>
        </w:rPr>
        <w:t> </w:t>
      </w:r>
      <w:r>
        <w:rPr>
          <w:rFonts w:ascii="Arial"/>
          <w:sz w:val="28"/>
        </w:rPr>
        <w:t>of</w:t>
      </w:r>
      <w:r>
        <w:rPr>
          <w:rFonts w:ascii="Arial"/>
          <w:spacing w:val="-5"/>
          <w:sz w:val="28"/>
        </w:rPr>
        <w:t> </w:t>
      </w:r>
      <w:r>
        <w:rPr>
          <w:rFonts w:ascii="Arial"/>
          <w:sz w:val="28"/>
        </w:rPr>
        <w:t>Health and</w:t>
      </w:r>
      <w:r>
        <w:rPr>
          <w:rFonts w:ascii="Arial"/>
          <w:spacing w:val="-2"/>
          <w:sz w:val="28"/>
        </w:rPr>
        <w:t> </w:t>
      </w:r>
      <w:r>
        <w:rPr>
          <w:rFonts w:ascii="Arial"/>
          <w:sz w:val="28"/>
        </w:rPr>
        <w:t>Human</w:t>
      </w:r>
      <w:r>
        <w:rPr>
          <w:rFonts w:ascii="Arial"/>
          <w:spacing w:val="-5"/>
          <w:sz w:val="28"/>
        </w:rPr>
        <w:t> </w:t>
      </w:r>
      <w:r>
        <w:rPr>
          <w:rFonts w:ascii="Arial"/>
          <w:sz w:val="28"/>
        </w:rPr>
        <w:t>Services</w:t>
      </w:r>
      <w:r>
        <w:rPr>
          <w:rFonts w:ascii="Arial"/>
          <w:spacing w:val="-75"/>
          <w:sz w:val="28"/>
        </w:rPr>
        <w:t> </w:t>
      </w:r>
      <w:r>
        <w:rPr>
          <w:rFonts w:ascii="Arial"/>
          <w:sz w:val="28"/>
        </w:rPr>
        <w:t>Department</w:t>
      </w:r>
      <w:r>
        <w:rPr>
          <w:rFonts w:ascii="Arial"/>
          <w:spacing w:val="-2"/>
          <w:sz w:val="28"/>
        </w:rPr>
        <w:t> </w:t>
      </w:r>
      <w:r>
        <w:rPr>
          <w:rFonts w:ascii="Arial"/>
          <w:sz w:val="28"/>
        </w:rPr>
        <w:t>of</w:t>
      </w:r>
      <w:r>
        <w:rPr>
          <w:rFonts w:ascii="Arial"/>
          <w:spacing w:val="1"/>
          <w:sz w:val="28"/>
        </w:rPr>
        <w:t> </w:t>
      </w:r>
      <w:r>
        <w:rPr>
          <w:rFonts w:ascii="Arial"/>
          <w:sz w:val="28"/>
        </w:rPr>
        <w:t>Public</w:t>
      </w:r>
      <w:r>
        <w:rPr>
          <w:rFonts w:ascii="Arial"/>
          <w:spacing w:val="1"/>
          <w:sz w:val="28"/>
        </w:rPr>
        <w:t> </w:t>
      </w:r>
      <w:r>
        <w:rPr>
          <w:rFonts w:ascii="Arial"/>
          <w:sz w:val="28"/>
        </w:rPr>
        <w:t>Health</w:t>
      </w:r>
    </w:p>
    <w:p>
      <w:pPr>
        <w:spacing w:before="2"/>
        <w:ind w:left="116" w:right="0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250</w:t>
      </w:r>
      <w:r>
        <w:rPr>
          <w:rFonts w:ascii="Arial"/>
          <w:spacing w:val="-3"/>
          <w:sz w:val="28"/>
        </w:rPr>
        <w:t> </w:t>
      </w:r>
      <w:r>
        <w:rPr>
          <w:rFonts w:ascii="Arial"/>
          <w:sz w:val="28"/>
        </w:rPr>
        <w:t>Washington</w:t>
      </w:r>
      <w:r>
        <w:rPr>
          <w:rFonts w:ascii="Arial"/>
          <w:spacing w:val="-3"/>
          <w:sz w:val="28"/>
        </w:rPr>
        <w:t> </w:t>
      </w:r>
      <w:r>
        <w:rPr>
          <w:rFonts w:ascii="Arial"/>
          <w:sz w:val="28"/>
        </w:rPr>
        <w:t>Street, Boston,</w:t>
      </w:r>
      <w:r>
        <w:rPr>
          <w:rFonts w:ascii="Arial"/>
          <w:spacing w:val="-2"/>
          <w:sz w:val="28"/>
        </w:rPr>
        <w:t> </w:t>
      </w:r>
      <w:r>
        <w:rPr>
          <w:rFonts w:ascii="Arial"/>
          <w:sz w:val="28"/>
        </w:rPr>
        <w:t>MA</w:t>
      </w:r>
      <w:r>
        <w:rPr>
          <w:rFonts w:ascii="Arial"/>
          <w:spacing w:val="-3"/>
          <w:sz w:val="28"/>
        </w:rPr>
        <w:t> </w:t>
      </w:r>
      <w:r>
        <w:rPr>
          <w:rFonts w:ascii="Arial"/>
          <w:sz w:val="28"/>
        </w:rPr>
        <w:t>02108-4619</w:t>
      </w:r>
    </w:p>
    <w:p>
      <w:pPr>
        <w:spacing w:line="240" w:lineRule="auto" w:before="0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spacing w:line="185" w:lineRule="exact" w:before="123"/>
        <w:ind w:left="80" w:right="91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MARYLOU</w:t>
      </w:r>
      <w:r>
        <w:rPr>
          <w:rFonts w:ascii="Arial Rounded MT Bold"/>
          <w:spacing w:val="-3"/>
          <w:sz w:val="16"/>
        </w:rPr>
        <w:t> </w:t>
      </w:r>
      <w:r>
        <w:rPr>
          <w:rFonts w:ascii="Arial Rounded MT Bold"/>
          <w:sz w:val="16"/>
        </w:rPr>
        <w:t>SUDDERS</w:t>
      </w:r>
    </w:p>
    <w:p>
      <w:pPr>
        <w:spacing w:line="162" w:lineRule="exact" w:before="0"/>
        <w:ind w:left="506" w:right="523" w:firstLine="0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Secretary</w:t>
      </w:r>
    </w:p>
    <w:p>
      <w:pPr>
        <w:spacing w:line="185" w:lineRule="exact" w:before="122"/>
        <w:ind w:left="80" w:right="91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MONICA</w:t>
      </w:r>
      <w:r>
        <w:rPr>
          <w:rFonts w:ascii="Arial Rounded MT Bold"/>
          <w:spacing w:val="-1"/>
          <w:sz w:val="16"/>
        </w:rPr>
        <w:t> </w:t>
      </w:r>
      <w:r>
        <w:rPr>
          <w:rFonts w:ascii="Arial Rounded MT Bold"/>
          <w:sz w:val="16"/>
        </w:rPr>
        <w:t>BHAREL,</w:t>
      </w:r>
      <w:r>
        <w:rPr>
          <w:rFonts w:ascii="Arial Rounded MT Bold"/>
          <w:spacing w:val="-2"/>
          <w:sz w:val="16"/>
        </w:rPr>
        <w:t> </w:t>
      </w:r>
      <w:r>
        <w:rPr>
          <w:rFonts w:ascii="Arial Rounded MT Bold"/>
          <w:sz w:val="16"/>
        </w:rPr>
        <w:t>MD,</w:t>
      </w:r>
      <w:r>
        <w:rPr>
          <w:rFonts w:ascii="Arial Rounded MT Bold"/>
          <w:spacing w:val="-1"/>
          <w:sz w:val="16"/>
        </w:rPr>
        <w:t> </w:t>
      </w:r>
      <w:r>
        <w:rPr>
          <w:rFonts w:ascii="Arial Rounded MT Bold"/>
          <w:sz w:val="16"/>
        </w:rPr>
        <w:t>MPH</w:t>
      </w:r>
    </w:p>
    <w:p>
      <w:pPr>
        <w:spacing w:line="162" w:lineRule="exact" w:before="0"/>
        <w:ind w:left="506" w:right="523" w:firstLine="0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Commissioner</w:t>
      </w:r>
    </w:p>
    <w:p>
      <w:pPr>
        <w:pStyle w:val="BodyText"/>
        <w:spacing w:before="8"/>
        <w:rPr>
          <w:rFonts w:ascii="Arial Rounded MT Bold"/>
          <w:sz w:val="13"/>
        </w:rPr>
      </w:pPr>
    </w:p>
    <w:p>
      <w:pPr>
        <w:spacing w:before="0"/>
        <w:ind w:left="506" w:right="523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Tel: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z w:val="14"/>
        </w:rPr>
        <w:t>617-624-6000</w:t>
      </w:r>
    </w:p>
    <w:p>
      <w:pPr>
        <w:spacing w:before="0"/>
        <w:ind w:left="506" w:right="523" w:firstLine="0"/>
        <w:jc w:val="center"/>
        <w:rPr>
          <w:rFonts w:ascii="Arial"/>
          <w:b/>
          <w:sz w:val="14"/>
        </w:rPr>
      </w:pPr>
      <w:hyperlink r:id="rId6">
        <w:r>
          <w:rPr>
            <w:rFonts w:ascii="Arial"/>
            <w:b/>
            <w:sz w:val="14"/>
          </w:rPr>
          <w:t>www.mass.gov/dph</w:t>
        </w:r>
      </w:hyperlink>
    </w:p>
    <w:p>
      <w:pPr>
        <w:spacing w:after="0"/>
        <w:jc w:val="center"/>
        <w:rPr>
          <w:rFonts w:ascii="Arial"/>
          <w:sz w:val="14"/>
        </w:rPr>
        <w:sectPr>
          <w:type w:val="continuous"/>
          <w:pgSz w:w="12240" w:h="15840"/>
          <w:pgMar w:top="560" w:bottom="280" w:left="700" w:right="420"/>
          <w:cols w:num="3" w:equalWidth="0">
            <w:col w:w="2134" w:space="340"/>
            <w:col w:w="6230" w:space="40"/>
            <w:col w:w="2376"/>
          </w:cols>
        </w:sectPr>
      </w:pP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pStyle w:val="BodyText"/>
        <w:spacing w:before="91"/>
        <w:ind w:left="740"/>
        <w:jc w:val="both"/>
      </w:pPr>
      <w:r>
        <w:rPr/>
        <w:t>Dear</w:t>
      </w:r>
      <w:r>
        <w:rPr>
          <w:spacing w:val="-2"/>
        </w:rPr>
        <w:t> </w:t>
      </w:r>
      <w:r>
        <w:rPr/>
        <w:t>Bureau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Substance</w:t>
      </w:r>
      <w:r>
        <w:rPr>
          <w:spacing w:val="-4"/>
        </w:rPr>
        <w:t> </w:t>
      </w:r>
      <w:r>
        <w:rPr/>
        <w:t>Addiction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(BSAS)</w:t>
      </w:r>
      <w:r>
        <w:rPr>
          <w:spacing w:val="-4"/>
        </w:rPr>
        <w:t> </w:t>
      </w:r>
      <w:r>
        <w:rPr/>
        <w:t>Licensed</w:t>
      </w:r>
      <w:r>
        <w:rPr>
          <w:spacing w:val="-5"/>
        </w:rPr>
        <w:t> </w:t>
      </w:r>
      <w:r>
        <w:rPr/>
        <w:t>and/or</w:t>
      </w:r>
      <w:r>
        <w:rPr>
          <w:spacing w:val="-2"/>
        </w:rPr>
        <w:t> </w:t>
      </w:r>
      <w:r>
        <w:rPr/>
        <w:t>Contracted</w:t>
      </w:r>
      <w:r>
        <w:rPr>
          <w:spacing w:val="-1"/>
        </w:rPr>
        <w:t> </w:t>
      </w:r>
      <w:r>
        <w:rPr/>
        <w:t>Providers: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740" w:right="1016"/>
        <w:jc w:val="both"/>
      </w:pPr>
      <w:r>
        <w:rPr/>
        <w:t>In 2016, the Federal Government amended the Child Abuse Prevention and Treatment Act (CAPTA) to</w:t>
      </w:r>
      <w:r>
        <w:rPr>
          <w:spacing w:val="1"/>
        </w:rPr>
        <w:t> </w:t>
      </w:r>
      <w:r>
        <w:rPr/>
        <w:t>include a requirement for the creation of “</w:t>
      </w:r>
      <w:r>
        <w:rPr>
          <w:rFonts w:ascii="Arial-BoldItalicMT" w:hAnsi="Arial-BoldItalicMT"/>
          <w:b/>
          <w:i/>
        </w:rPr>
        <w:t>plans of safe care </w:t>
      </w:r>
      <w:r>
        <w:rPr>
          <w:i/>
        </w:rPr>
        <w:t>for infants born and identified as being</w:t>
      </w:r>
      <w:r>
        <w:rPr>
          <w:i/>
          <w:spacing w:val="1"/>
        </w:rPr>
        <w:t> </w:t>
      </w:r>
      <w:r>
        <w:rPr>
          <w:i/>
        </w:rPr>
        <w:t>affected by substance abuse or withdrawal symptoms or Fetal Alcohol Spectrum Disorder.</w:t>
      </w:r>
      <w:r>
        <w:rPr/>
        <w:t>”</w:t>
      </w:r>
      <w:r>
        <w:rPr>
          <w:vertAlign w:val="superscript"/>
        </w:rPr>
        <w:t>1</w:t>
      </w:r>
      <w:r>
        <w:rPr>
          <w:vertAlign w:val="baseline"/>
        </w:rPr>
        <w:t> These Plans</w:t>
      </w:r>
      <w:r>
        <w:rPr>
          <w:spacing w:val="1"/>
          <w:vertAlign w:val="baseline"/>
        </w:rPr>
        <w:t> </w:t>
      </w:r>
      <w:r>
        <w:rPr>
          <w:vertAlign w:val="baseline"/>
        </w:rPr>
        <w:t>of Safe Care (POSC) are intended to help “ensure the safety and well-being of infants following the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 from the care of health care providers by (1) addressing the health and substance use disorder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 needs of the infant and affected family or caregiver; and (2) monitoring these plans to determine</w:t>
      </w:r>
      <w:r>
        <w:rPr>
          <w:spacing w:val="-52"/>
          <w:vertAlign w:val="baseline"/>
        </w:rPr>
        <w:t> </w:t>
      </w:r>
      <w:r>
        <w:rPr>
          <w:vertAlign w:val="baseline"/>
        </w:rPr>
        <w:t>whether and how local entities are making referrals and delivering appropriate services to the infant and</w:t>
      </w:r>
      <w:r>
        <w:rPr>
          <w:spacing w:val="1"/>
          <w:vertAlign w:val="baseline"/>
        </w:rPr>
        <w:t> </w:t>
      </w:r>
      <w:r>
        <w:rPr>
          <w:vertAlign w:val="baseline"/>
        </w:rPr>
        <w:t>affected family or caregiver (in accordance with state requirements).”</w:t>
      </w:r>
      <w:r>
        <w:rPr>
          <w:vertAlign w:val="superscript"/>
        </w:rPr>
        <w:t>1</w:t>
      </w:r>
      <w:r>
        <w:rPr>
          <w:vertAlign w:val="baseline"/>
        </w:rPr>
        <w:t> The Department of Public Health</w:t>
      </w:r>
      <w:r>
        <w:rPr>
          <w:spacing w:val="1"/>
          <w:vertAlign w:val="baseline"/>
        </w:rPr>
        <w:t> </w:t>
      </w:r>
      <w:r>
        <w:rPr>
          <w:vertAlign w:val="baseline"/>
        </w:rPr>
        <w:t>(DPH) is partnering with the Department of Children and Families (DCF) to implement this federal</w:t>
      </w:r>
      <w:r>
        <w:rPr>
          <w:spacing w:val="1"/>
          <w:vertAlign w:val="baseline"/>
        </w:rPr>
        <w:t> </w:t>
      </w:r>
      <w:r>
        <w:rPr>
          <w:vertAlign w:val="baseline"/>
        </w:rPr>
        <w:t>requirement</w:t>
      </w:r>
      <w:r>
        <w:rPr>
          <w:spacing w:val="-3"/>
          <w:vertAlign w:val="baseline"/>
        </w:rPr>
        <w:t> </w:t>
      </w:r>
      <w:r>
        <w:rPr>
          <w:vertAlign w:val="baseline"/>
        </w:rPr>
        <w:t>in Massachusetts.</w:t>
      </w:r>
    </w:p>
    <w:p>
      <w:pPr>
        <w:pStyle w:val="BodyText"/>
        <w:spacing w:before="119"/>
        <w:ind w:left="740" w:right="1017"/>
        <w:jc w:val="both"/>
      </w:pPr>
      <w:r>
        <w:rPr/>
        <w:t>A POSC is an informational and resource document that can help pregnant/parenting clients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access</w:t>
      </w:r>
      <w:r>
        <w:rPr>
          <w:spacing w:val="1"/>
          <w:vertAlign w:val="baseline"/>
        </w:rPr>
        <w:t> </w:t>
      </w:r>
      <w:r>
        <w:rPr>
          <w:vertAlign w:val="baseline"/>
        </w:rPr>
        <w:t>needed services and supports for themselves and their babies. It can also help demonstrate to DCF that</w:t>
      </w:r>
      <w:r>
        <w:rPr>
          <w:spacing w:val="1"/>
          <w:vertAlign w:val="baseline"/>
        </w:rPr>
        <w:t> </w:t>
      </w:r>
      <w:r>
        <w:rPr>
          <w:vertAlign w:val="baseline"/>
        </w:rPr>
        <w:t>they have prepared to parent. The Institute for Health and Recovery is creating a POSC webpage to</w:t>
      </w:r>
      <w:r>
        <w:rPr>
          <w:spacing w:val="1"/>
          <w:vertAlign w:val="baseline"/>
        </w:rPr>
        <w:t> </w:t>
      </w:r>
      <w:r>
        <w:rPr>
          <w:vertAlign w:val="baseline"/>
        </w:rPr>
        <w:t>support implementation that will include a searchable resource list for perinatal services statewide. This</w:t>
      </w:r>
      <w:r>
        <w:rPr>
          <w:spacing w:val="1"/>
          <w:vertAlign w:val="baseline"/>
        </w:rPr>
        <w:t> </w:t>
      </w:r>
      <w:r>
        <w:rPr>
          <w:vertAlign w:val="baseline"/>
        </w:rPr>
        <w:t>will be available after August 15, 2018. A follow-up email will include more information about this</w:t>
      </w:r>
      <w:r>
        <w:rPr>
          <w:spacing w:val="1"/>
          <w:vertAlign w:val="baseline"/>
        </w:rPr>
        <w:t> </w:t>
      </w:r>
      <w:r>
        <w:rPr>
          <w:vertAlign w:val="baseline"/>
        </w:rPr>
        <w:t>resource</w:t>
      </w:r>
      <w:r>
        <w:rPr>
          <w:spacing w:val="-1"/>
          <w:vertAlign w:val="baseline"/>
        </w:rPr>
        <w:t> </w:t>
      </w:r>
      <w:r>
        <w:rPr>
          <w:vertAlign w:val="baseline"/>
        </w:rPr>
        <w:t>page.</w:t>
      </w:r>
    </w:p>
    <w:p>
      <w:pPr>
        <w:pStyle w:val="BodyText"/>
        <w:spacing w:before="122"/>
        <w:ind w:left="740" w:right="1016"/>
        <w:jc w:val="both"/>
      </w:pPr>
      <w:r>
        <w:rPr/>
        <w:t>All BSAS-contracted and/or -licensed treatment providers who serve women and/or parenting clients</w:t>
      </w:r>
      <w:r>
        <w:rPr>
          <w:vertAlign w:val="superscript"/>
        </w:rPr>
        <w:t>2</w:t>
      </w:r>
      <w:r>
        <w:rPr>
          <w:vertAlign w:val="baseline"/>
        </w:rPr>
        <w:t> for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period of</w:t>
      </w:r>
      <w:r>
        <w:rPr>
          <w:spacing w:val="-3"/>
          <w:vertAlign w:val="baseline"/>
        </w:rPr>
        <w:t> </w:t>
      </w:r>
      <w:r>
        <w:rPr>
          <w:vertAlign w:val="baseline"/>
        </w:rPr>
        <w:t>longer</w:t>
      </w:r>
      <w:r>
        <w:rPr>
          <w:spacing w:val="1"/>
          <w:vertAlign w:val="baseline"/>
        </w:rPr>
        <w:t> </w:t>
      </w:r>
      <w:r>
        <w:rPr>
          <w:vertAlign w:val="baseline"/>
        </w:rPr>
        <w:t>than 30</w:t>
      </w:r>
      <w:r>
        <w:rPr>
          <w:spacing w:val="-3"/>
          <w:vertAlign w:val="baseline"/>
        </w:rPr>
        <w:t> </w:t>
      </w:r>
      <w:r>
        <w:rPr>
          <w:vertAlign w:val="baseline"/>
        </w:rPr>
        <w:t>days are</w:t>
      </w:r>
      <w:r>
        <w:rPr>
          <w:spacing w:val="-2"/>
          <w:vertAlign w:val="baseline"/>
        </w:rPr>
        <w:t> </w:t>
      </w:r>
      <w:r>
        <w:rPr>
          <w:vertAlign w:val="baseline"/>
        </w:rPr>
        <w:t>required</w:t>
      </w:r>
      <w:r>
        <w:rPr>
          <w:spacing w:val="-1"/>
          <w:vertAlign w:val="baseline"/>
        </w:rPr>
        <w:t> </w:t>
      </w:r>
      <w:r>
        <w:rPr>
          <w:vertAlign w:val="baseline"/>
        </w:rPr>
        <w:t>to initiate and</w:t>
      </w:r>
      <w:r>
        <w:rPr>
          <w:spacing w:val="-1"/>
          <w:vertAlign w:val="baseline"/>
        </w:rPr>
        <w:t> </w:t>
      </w:r>
      <w:r>
        <w:rPr>
          <w:vertAlign w:val="baseline"/>
        </w:rPr>
        <w:t>coordinate POSC.</w:t>
      </w:r>
    </w:p>
    <w:p>
      <w:pPr>
        <w:pStyle w:val="BodyText"/>
        <w:spacing w:before="120"/>
        <w:ind w:left="740" w:right="1018"/>
        <w:jc w:val="both"/>
      </w:pPr>
      <w:r>
        <w:rPr/>
        <w:t>When/if a 51-A is filed at birth, DCF will ask the reporter whether or not a POSC exists for that</w:t>
      </w:r>
      <w:r>
        <w:rPr>
          <w:spacing w:val="1"/>
        </w:rPr>
        <w:t> </w:t>
      </w:r>
      <w:r>
        <w:rPr/>
        <w:t>client/family and whether referrals to services have been made. BSAS providers are responsible, with</w:t>
      </w:r>
      <w:r>
        <w:rPr>
          <w:spacing w:val="1"/>
        </w:rPr>
        <w:t> </w:t>
      </w:r>
      <w:r>
        <w:rPr/>
        <w:t>client consent, to inform the hospital social worker, or whoever will be reporting the substance-exposed</w:t>
      </w:r>
      <w:r>
        <w:rPr>
          <w:spacing w:val="1"/>
        </w:rPr>
        <w:t> </w:t>
      </w:r>
      <w:r>
        <w:rPr/>
        <w:t>birth to DCF, that a POSC exists. If a parenting client becomes the subject of a 51-A filing, the reporter</w:t>
      </w:r>
      <w:r>
        <w:rPr>
          <w:spacing w:val="1"/>
        </w:rPr>
        <w:t> </w:t>
      </w:r>
      <w:r>
        <w:rPr/>
        <w:t>should inform DCF that a POSC exists for that client as well. Pregnant/parenting clients</w:t>
      </w:r>
      <w:r>
        <w:rPr>
          <w:vertAlign w:val="superscript"/>
        </w:rPr>
        <w:t>2</w:t>
      </w:r>
      <w:r>
        <w:rPr>
          <w:vertAlign w:val="baseline"/>
        </w:rPr>
        <w:t> should be</w:t>
      </w:r>
      <w:r>
        <w:rPr>
          <w:spacing w:val="1"/>
          <w:vertAlign w:val="baseline"/>
        </w:rPr>
        <w:t> </w:t>
      </w:r>
      <w:r>
        <w:rPr>
          <w:vertAlign w:val="baseline"/>
        </w:rPr>
        <w:t>educated on the positive impact that sharing their POSC with DCF could have on the Department’s</w:t>
      </w:r>
      <w:r>
        <w:rPr>
          <w:spacing w:val="1"/>
          <w:vertAlign w:val="baseline"/>
        </w:rPr>
        <w:t> </w:t>
      </w:r>
      <w:r>
        <w:rPr>
          <w:vertAlign w:val="baseline"/>
        </w:rPr>
        <w:t>decision-making</w:t>
      </w:r>
      <w:r>
        <w:rPr>
          <w:spacing w:val="-4"/>
          <w:vertAlign w:val="baseline"/>
        </w:rPr>
        <w:t> </w:t>
      </w:r>
      <w:r>
        <w:rPr>
          <w:vertAlign w:val="baseline"/>
        </w:rPr>
        <w:t>process,</w:t>
      </w:r>
      <w:r>
        <w:rPr>
          <w:spacing w:val="-3"/>
          <w:vertAlign w:val="baseline"/>
        </w:rPr>
        <w:t> </w:t>
      </w:r>
      <w:r>
        <w:rPr>
          <w:vertAlign w:val="baseline"/>
        </w:rPr>
        <w:t>and written consents</w:t>
      </w:r>
      <w:r>
        <w:rPr>
          <w:spacing w:val="-2"/>
          <w:vertAlign w:val="baseline"/>
        </w:rPr>
        <w:t> </w:t>
      </w:r>
      <w:r>
        <w:rPr>
          <w:vertAlign w:val="baseline"/>
        </w:rPr>
        <w:t>should</w:t>
      </w:r>
      <w:r>
        <w:rPr>
          <w:spacing w:val="-3"/>
          <w:vertAlign w:val="baseline"/>
        </w:rPr>
        <w:t> </w:t>
      </w:r>
      <w:r>
        <w:rPr>
          <w:vertAlign w:val="baseline"/>
        </w:rPr>
        <w:t>be encouraged.</w:t>
      </w:r>
    </w:p>
    <w:p>
      <w:pPr>
        <w:pStyle w:val="BodyText"/>
        <w:spacing w:before="121"/>
        <w:ind w:left="740" w:right="1016"/>
        <w:jc w:val="both"/>
      </w:pPr>
      <w:r>
        <w:rPr/>
        <w:t>More detailed information is included in the attached memo. A POSC template is also attached. All</w:t>
      </w:r>
      <w:r>
        <w:rPr>
          <w:spacing w:val="1"/>
        </w:rPr>
        <w:t> </w:t>
      </w:r>
      <w:r>
        <w:rPr/>
        <w:t>questions  </w:t>
      </w:r>
      <w:r>
        <w:rPr>
          <w:spacing w:val="1"/>
        </w:rPr>
        <w:t> </w:t>
      </w:r>
      <w:r>
        <w:rPr/>
        <w:t>should  </w:t>
      </w:r>
      <w:r>
        <w:rPr>
          <w:spacing w:val="1"/>
        </w:rPr>
        <w:t> </w:t>
      </w:r>
      <w:r>
        <w:rPr/>
        <w:t>be  </w:t>
      </w:r>
      <w:r>
        <w:rPr>
          <w:spacing w:val="1"/>
        </w:rPr>
        <w:t> </w:t>
      </w:r>
      <w:r>
        <w:rPr/>
        <w:t>directed   </w:t>
      </w:r>
      <w:r>
        <w:rPr>
          <w:spacing w:val="1"/>
        </w:rPr>
        <w:t> </w:t>
      </w:r>
      <w:r>
        <w:rPr/>
        <w:t>to   </w:t>
      </w:r>
      <w:r>
        <w:rPr>
          <w:spacing w:val="1"/>
        </w:rPr>
        <w:t> </w:t>
      </w:r>
      <w:r>
        <w:rPr/>
        <w:t>DPH   </w:t>
      </w:r>
      <w:r>
        <w:rPr>
          <w:spacing w:val="1"/>
        </w:rPr>
        <w:t> </w:t>
      </w:r>
      <w:r>
        <w:rPr/>
        <w:t>BSAS’s   </w:t>
      </w:r>
      <w:r>
        <w:rPr>
          <w:spacing w:val="1"/>
        </w:rPr>
        <w:t> </w:t>
      </w:r>
      <w:r>
        <w:rPr/>
        <w:t>Women   </w:t>
      </w:r>
      <w:r>
        <w:rPr>
          <w:spacing w:val="1"/>
        </w:rPr>
        <w:t> </w:t>
      </w:r>
      <w:r>
        <w:rPr/>
        <w:t>and   </w:t>
      </w:r>
      <w:r>
        <w:rPr>
          <w:spacing w:val="1"/>
        </w:rPr>
        <w:t> </w:t>
      </w:r>
      <w:r>
        <w:rPr/>
        <w:t>Families’   </w:t>
      </w:r>
      <w:r>
        <w:rPr>
          <w:spacing w:val="1"/>
        </w:rPr>
        <w:t> </w:t>
      </w:r>
      <w:r>
        <w:rPr/>
        <w:t>Services</w:t>
      </w:r>
      <w:r>
        <w:rPr>
          <w:spacing w:val="1"/>
        </w:rPr>
        <w:t> </w:t>
      </w:r>
      <w:r>
        <w:rPr/>
        <w:t>Coordinator: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3224"/>
      </w:pPr>
      <w:hyperlink r:id="rId7">
        <w:r>
          <w:rPr/>
          <w:t>Ruth.Jacobson-Hardy@mass.gov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  <w:r>
        <w:rPr/>
        <w:pict>
          <v:rect style="position:absolute;margin-left:72.024002pt;margin-top:15.502927pt;width:144.020pt;height:.6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spacing w:line="229" w:lineRule="exact" w:before="103"/>
        <w:ind w:left="740" w:right="0" w:firstLine="0"/>
        <w:jc w:val="left"/>
        <w:rPr>
          <w:sz w:val="20"/>
        </w:rPr>
      </w:pPr>
      <w:r>
        <w:rPr>
          <w:w w:val="95"/>
          <w:sz w:val="20"/>
          <w:vertAlign w:val="superscript"/>
        </w:rPr>
        <w:t>1</w:t>
      </w:r>
      <w:r>
        <w:rPr>
          <w:spacing w:val="132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https://</w:t>
      </w:r>
      <w:hyperlink r:id="rId8">
        <w:r>
          <w:rPr>
            <w:w w:val="95"/>
            <w:sz w:val="20"/>
            <w:vertAlign w:val="baseline"/>
          </w:rPr>
          <w:t>www.acf.hhs.gov/sites/default/files/cb/pi1702.pdf</w:t>
        </w:r>
      </w:hyperlink>
    </w:p>
    <w:p>
      <w:pPr>
        <w:spacing w:before="0"/>
        <w:ind w:left="740" w:right="1002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 For purposes of this legislation, Parenting Clients refers only to those clients who are actively parenting infants less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than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12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months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age.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Those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without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custody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may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still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benefit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from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the development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POSC.</w:t>
      </w:r>
    </w:p>
    <w:sectPr>
      <w:type w:val="continuous"/>
      <w:pgSz w:w="12240" w:h="15840"/>
      <w:pgMar w:top="560" w:bottom="280" w:left="7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-BoldItalicMT">
    <w:altName w:val="Arial-BoldItalicMT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6" w:line="414" w:lineRule="exact"/>
      <w:ind w:left="108"/>
      <w:jc w:val="center"/>
    </w:pPr>
    <w:rPr>
      <w:rFonts w:ascii="Arial" w:hAnsi="Arial" w:eastAsia="Arial" w:cs="Arial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dph" TargetMode="External"/><Relationship Id="rId7" Type="http://schemas.openxmlformats.org/officeDocument/2006/relationships/hyperlink" Target="mailto:Ruth.Jacobson-Hardy@mass.gov" TargetMode="External"/><Relationship Id="rId8" Type="http://schemas.openxmlformats.org/officeDocument/2006/relationships/hyperlink" Target="http://www.acf.hhs.gov/sites/default/files/cb/pi1702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dcterms:created xsi:type="dcterms:W3CDTF">2021-07-23T17:44:20Z</dcterms:created>
  <dcterms:modified xsi:type="dcterms:W3CDTF">2021-07-23T17:44:20Z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2021-07-23T00:00:00Z</vt:filetime>
  </property>
</Properties>
</file>