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A350" w14:textId="41C1B766" w:rsidR="00422118" w:rsidRDefault="00F67E3E">
      <w:sdt>
        <w:sdtPr>
          <w:id w:val="-77520999"/>
          <w:docPartObj>
            <w:docPartGallery w:val="Cover Pages"/>
            <w:docPartUnique/>
          </w:docPartObj>
        </w:sdtPr>
        <w:sdtEndPr/>
        <w:sdtContent>
          <w:r w:rsidR="00422118">
            <w:rPr>
              <w:noProof/>
            </w:rPr>
            <mc:AlternateContent>
              <mc:Choice Requires="wps">
                <w:drawing>
                  <wp:anchor distT="0" distB="0" distL="114300" distR="114300" simplePos="0" relativeHeight="251658240" behindDoc="0" locked="0" layoutInCell="1" allowOverlap="1" wp14:anchorId="06E943AE" wp14:editId="003398A7">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6030"/>
                                  <w:gridCol w:w="2153"/>
                                </w:tblGrid>
                                <w:tr w:rsidR="00422118" w14:paraId="617224D4" w14:textId="77777777">
                                  <w:trPr>
                                    <w:jc w:val="center"/>
                                  </w:trPr>
                                  <w:tc>
                                    <w:tcPr>
                                      <w:tcW w:w="2568" w:type="pct"/>
                                      <w:vAlign w:val="center"/>
                                    </w:tcPr>
                                    <w:p w14:paraId="4F2A239F" w14:textId="316BDD75" w:rsidR="00422118" w:rsidRPr="00EC6BC7" w:rsidRDefault="00EC6BC7" w:rsidP="00EC6BC7">
                                      <w:pPr>
                                        <w:jc w:val="center"/>
                                        <w:rPr>
                                          <w:color w:val="002060"/>
                                        </w:rPr>
                                      </w:pPr>
                                      <w:r>
                                        <w:rPr>
                                          <w:noProof/>
                                          <w:color w:val="002060"/>
                                        </w:rPr>
                                        <w:drawing>
                                          <wp:inline distT="0" distB="0" distL="0" distR="0" wp14:anchorId="121B9DDC" wp14:editId="1A93C6C5">
                                            <wp:extent cx="3369945" cy="5080840"/>
                                            <wp:effectExtent l="0" t="0" r="1905" b="5715"/>
                                            <wp:docPr id="948658691" name="Picture 2" descr="A picture containing the commonwealth of Massachusetts seal and Bureau of Substance Addition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94828" name="Picture 2" descr="A picture containing the commonwealth of Massachusetts seal and Bureau of Substance Addition Services, "/>
                                                    <pic:cNvPicPr/>
                                                  </pic:nvPicPr>
                                                  <pic:blipFill>
                                                    <a:blip r:embed="rId11">
                                                      <a:extLst>
                                                        <a:ext uri="{28A0092B-C50C-407E-A947-70E740481C1C}">
                                                          <a14:useLocalDpi xmlns:a14="http://schemas.microsoft.com/office/drawing/2010/main" val="0"/>
                                                        </a:ext>
                                                      </a:extLst>
                                                    </a:blip>
                                                    <a:stretch>
                                                      <a:fillRect/>
                                                    </a:stretch>
                                                  </pic:blipFill>
                                                  <pic:spPr>
                                                    <a:xfrm>
                                                      <a:off x="0" y="0"/>
                                                      <a:ext cx="3375548" cy="5089288"/>
                                                    </a:xfrm>
                                                    <a:prstGeom prst="rect">
                                                      <a:avLst/>
                                                    </a:prstGeom>
                                                  </pic:spPr>
                                                </pic:pic>
                                              </a:graphicData>
                                            </a:graphic>
                                          </wp:inline>
                                        </w:drawing>
                                      </w:r>
                                    </w:p>
                                    <w:bookmarkStart w:id="0" w:name="_Toc203728464" w:displacedByCustomXml="next"/>
                                    <w:sdt>
                                      <w:sdtPr>
                                        <w:rPr>
                                          <w:rStyle w:val="Heading1Char"/>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14:paraId="1EA578AF" w14:textId="72BFA8B2" w:rsidR="00422118" w:rsidRPr="00EC6BC7" w:rsidRDefault="00ED41AD" w:rsidP="00EC6BC7">
                                          <w:pPr>
                                            <w:pStyle w:val="NoSpacing"/>
                                            <w:spacing w:line="312" w:lineRule="auto"/>
                                            <w:jc w:val="center"/>
                                            <w:rPr>
                                              <w:caps/>
                                              <w:color w:val="002060"/>
                                              <w:sz w:val="72"/>
                                              <w:szCs w:val="72"/>
                                            </w:rPr>
                                          </w:pPr>
                                          <w:r w:rsidRPr="00ED41AD">
                                            <w:rPr>
                                              <w:rStyle w:val="Heading1Char"/>
                                            </w:rPr>
                                            <w:t>Practice Guidance</w:t>
                                          </w:r>
                                          <w:r>
                                            <w:rPr>
                                              <w:rStyle w:val="Heading1Char"/>
                                            </w:rPr>
                                            <w:t>:</w:t>
                                          </w:r>
                                          <w:r w:rsidRPr="00ED41AD">
                                            <w:rPr>
                                              <w:rStyle w:val="Heading1Char"/>
                                            </w:rPr>
                                            <w:t xml:space="preserve">                   Adopting the Practice of Postvention and Debriefs in the SUD Treatment Programs</w:t>
                                          </w:r>
                                        </w:p>
                                      </w:sdtContent>
                                    </w:sdt>
                                    <w:bookmarkEnd w:id="0" w:displacedByCustomXml="prev"/>
                                    <w:sdt>
                                      <w:sdtPr>
                                        <w:rPr>
                                          <w:color w:val="002060"/>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D1396F5" w14:textId="24EDCEA1" w:rsidR="00422118" w:rsidRPr="00EC6BC7" w:rsidRDefault="00291F1B" w:rsidP="00291F1B">
                                          <w:pPr>
                                            <w:rPr>
                                              <w:color w:val="002060"/>
                                            </w:rPr>
                                          </w:pPr>
                                          <w:r>
                                            <w:rPr>
                                              <w:color w:val="002060"/>
                                            </w:rPr>
                                            <w:t xml:space="preserve">     </w:t>
                                          </w:r>
                                        </w:p>
                                      </w:sdtContent>
                                    </w:sdt>
                                  </w:tc>
                                  <w:tc>
                                    <w:tcPr>
                                      <w:tcW w:w="2432" w:type="pct"/>
                                      <w:vAlign w:val="center"/>
                                    </w:tcPr>
                                    <w:p w14:paraId="0393167D" w14:textId="1CD9AB13" w:rsidR="00422118" w:rsidRPr="00EC6BC7" w:rsidRDefault="00422118">
                                      <w:pPr>
                                        <w:pStyle w:val="NoSpacing"/>
                                        <w:rPr>
                                          <w:caps/>
                                          <w:color w:val="002060"/>
                                          <w:sz w:val="26"/>
                                          <w:szCs w:val="26"/>
                                        </w:rPr>
                                      </w:pPr>
                                    </w:p>
                                    <w:p w14:paraId="78153A7F" w14:textId="4930431C" w:rsidR="00422118" w:rsidRPr="00EC6BC7" w:rsidRDefault="00ED41AD">
                                      <w:pPr>
                                        <w:pStyle w:val="NoSpacing"/>
                                        <w:rPr>
                                          <w:color w:val="002060"/>
                                        </w:rPr>
                                      </w:pPr>
                                      <w:r w:rsidRPr="00ED41AD">
                                        <w:rPr>
                                          <w:rFonts w:eastAsiaTheme="minorHAnsi"/>
                                          <w:kern w:val="2"/>
                                          <w:sz w:val="24"/>
                                          <w:szCs w:val="24"/>
                                          <w14:ligatures w14:val="standardContextual"/>
                                        </w:rPr>
                                        <w:t xml:space="preserve">The purpose of this Practice Guidance is to identify steps which offer support to substance use treatment program teams experiencing direct or indirect trauma from critical incidents within the program. The impact of implementing a postvention and/or a debrief meeting following a critical incident will be reviewed in relation to staff tenure and wellness. This guidance will explore how debriefs and postvention meetings can be used as tools to ensure quality patient care and reduce critical incidences thereafter, and how to evaluate which meeting to use. </w:t>
                                      </w:r>
                                    </w:p>
                                  </w:tc>
                                </w:tr>
                              </w:tbl>
                              <w:p w14:paraId="72FBBB3E" w14:textId="77777777" w:rsidR="00422118" w:rsidRDefault="004221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6E943AE" id="_x0000_t202" coordsize="21600,21600" o:spt="202" path="m,l,21600r21600,l21600,xe">
                    <v:stroke joinstyle="miter"/>
                    <v:path gradientshapeok="t" o:connecttype="rect"/>
                  </v:shapetype>
                  <v:shape id="Text Box 139"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6030"/>
                            <w:gridCol w:w="2153"/>
                          </w:tblGrid>
                          <w:tr w:rsidR="00422118" w14:paraId="617224D4" w14:textId="77777777">
                            <w:trPr>
                              <w:jc w:val="center"/>
                            </w:trPr>
                            <w:tc>
                              <w:tcPr>
                                <w:tcW w:w="2568" w:type="pct"/>
                                <w:vAlign w:val="center"/>
                              </w:tcPr>
                              <w:p w14:paraId="4F2A239F" w14:textId="316BDD75" w:rsidR="00422118" w:rsidRPr="00EC6BC7" w:rsidRDefault="00EC6BC7" w:rsidP="00EC6BC7">
                                <w:pPr>
                                  <w:jc w:val="center"/>
                                  <w:rPr>
                                    <w:color w:val="002060"/>
                                  </w:rPr>
                                </w:pPr>
                                <w:r>
                                  <w:rPr>
                                    <w:noProof/>
                                    <w:color w:val="002060"/>
                                  </w:rPr>
                                  <w:drawing>
                                    <wp:inline distT="0" distB="0" distL="0" distR="0" wp14:anchorId="121B9DDC" wp14:editId="1A93C6C5">
                                      <wp:extent cx="3369945" cy="5080840"/>
                                      <wp:effectExtent l="0" t="0" r="1905" b="5715"/>
                                      <wp:docPr id="948658691" name="Picture 2" descr="A picture containing the commonwealth of Massachusetts seal and Bureau of Substance Addition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94828" name="Picture 2" descr="A picture containing the commonwealth of Massachusetts seal and Bureau of Substance Addition Services, "/>
                                              <pic:cNvPicPr/>
                                            </pic:nvPicPr>
                                            <pic:blipFill>
                                              <a:blip r:embed="rId11">
                                                <a:extLst>
                                                  <a:ext uri="{28A0092B-C50C-407E-A947-70E740481C1C}">
                                                    <a14:useLocalDpi xmlns:a14="http://schemas.microsoft.com/office/drawing/2010/main" val="0"/>
                                                  </a:ext>
                                                </a:extLst>
                                              </a:blip>
                                              <a:stretch>
                                                <a:fillRect/>
                                              </a:stretch>
                                            </pic:blipFill>
                                            <pic:spPr>
                                              <a:xfrm>
                                                <a:off x="0" y="0"/>
                                                <a:ext cx="3375548" cy="5089288"/>
                                              </a:xfrm>
                                              <a:prstGeom prst="rect">
                                                <a:avLst/>
                                              </a:prstGeom>
                                            </pic:spPr>
                                          </pic:pic>
                                        </a:graphicData>
                                      </a:graphic>
                                    </wp:inline>
                                  </w:drawing>
                                </w:r>
                              </w:p>
                              <w:bookmarkStart w:id="1" w:name="_Toc203728464" w:displacedByCustomXml="next"/>
                              <w:sdt>
                                <w:sdtPr>
                                  <w:rPr>
                                    <w:rStyle w:val="Heading1Char"/>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14:paraId="1EA578AF" w14:textId="72BFA8B2" w:rsidR="00422118" w:rsidRPr="00EC6BC7" w:rsidRDefault="00ED41AD" w:rsidP="00EC6BC7">
                                    <w:pPr>
                                      <w:pStyle w:val="NoSpacing"/>
                                      <w:spacing w:line="312" w:lineRule="auto"/>
                                      <w:jc w:val="center"/>
                                      <w:rPr>
                                        <w:caps/>
                                        <w:color w:val="002060"/>
                                        <w:sz w:val="72"/>
                                        <w:szCs w:val="72"/>
                                      </w:rPr>
                                    </w:pPr>
                                    <w:r w:rsidRPr="00ED41AD">
                                      <w:rPr>
                                        <w:rStyle w:val="Heading1Char"/>
                                      </w:rPr>
                                      <w:t>Practice Guidance</w:t>
                                    </w:r>
                                    <w:r>
                                      <w:rPr>
                                        <w:rStyle w:val="Heading1Char"/>
                                      </w:rPr>
                                      <w:t>:</w:t>
                                    </w:r>
                                    <w:r w:rsidRPr="00ED41AD">
                                      <w:rPr>
                                        <w:rStyle w:val="Heading1Char"/>
                                      </w:rPr>
                                      <w:t xml:space="preserve">                   Adopting the Practice of Postvention and Debriefs in the SUD Treatment Programs</w:t>
                                    </w:r>
                                  </w:p>
                                </w:sdtContent>
                              </w:sdt>
                              <w:bookmarkEnd w:id="1" w:displacedByCustomXml="prev"/>
                              <w:sdt>
                                <w:sdtPr>
                                  <w:rPr>
                                    <w:color w:val="002060"/>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D1396F5" w14:textId="24EDCEA1" w:rsidR="00422118" w:rsidRPr="00EC6BC7" w:rsidRDefault="00291F1B" w:rsidP="00291F1B">
                                    <w:pPr>
                                      <w:rPr>
                                        <w:color w:val="002060"/>
                                      </w:rPr>
                                    </w:pPr>
                                    <w:r>
                                      <w:rPr>
                                        <w:color w:val="002060"/>
                                      </w:rPr>
                                      <w:t xml:space="preserve">     </w:t>
                                    </w:r>
                                  </w:p>
                                </w:sdtContent>
                              </w:sdt>
                            </w:tc>
                            <w:tc>
                              <w:tcPr>
                                <w:tcW w:w="2432" w:type="pct"/>
                                <w:vAlign w:val="center"/>
                              </w:tcPr>
                              <w:p w14:paraId="0393167D" w14:textId="1CD9AB13" w:rsidR="00422118" w:rsidRPr="00EC6BC7" w:rsidRDefault="00422118">
                                <w:pPr>
                                  <w:pStyle w:val="NoSpacing"/>
                                  <w:rPr>
                                    <w:caps/>
                                    <w:color w:val="002060"/>
                                    <w:sz w:val="26"/>
                                    <w:szCs w:val="26"/>
                                  </w:rPr>
                                </w:pPr>
                              </w:p>
                              <w:p w14:paraId="78153A7F" w14:textId="4930431C" w:rsidR="00422118" w:rsidRPr="00EC6BC7" w:rsidRDefault="00ED41AD">
                                <w:pPr>
                                  <w:pStyle w:val="NoSpacing"/>
                                  <w:rPr>
                                    <w:color w:val="002060"/>
                                  </w:rPr>
                                </w:pPr>
                                <w:r w:rsidRPr="00ED41AD">
                                  <w:rPr>
                                    <w:rFonts w:eastAsiaTheme="minorHAnsi"/>
                                    <w:kern w:val="2"/>
                                    <w:sz w:val="24"/>
                                    <w:szCs w:val="24"/>
                                    <w14:ligatures w14:val="standardContextual"/>
                                  </w:rPr>
                                  <w:t xml:space="preserve">The purpose of this Practice Guidance is to identify steps which offer support to substance use treatment program teams experiencing direct or indirect trauma from critical incidents within the program. The impact of implementing a postvention and/or a debrief meeting following a critical incident will be reviewed in relation to staff tenure and wellness. This guidance will explore how debriefs and postvention meetings can be used as tools to ensure quality patient care and reduce critical incidences thereafter, and how to evaluate which meeting to use. </w:t>
                                </w:r>
                              </w:p>
                            </w:tc>
                          </w:tr>
                        </w:tbl>
                        <w:p w14:paraId="72FBBB3E" w14:textId="77777777" w:rsidR="00422118" w:rsidRDefault="00422118"/>
                      </w:txbxContent>
                    </v:textbox>
                    <w10:wrap anchorx="page" anchory="page"/>
                  </v:shape>
                </w:pict>
              </mc:Fallback>
            </mc:AlternateContent>
          </w:r>
          <w:r w:rsidR="00422118">
            <w:br w:type="page"/>
          </w:r>
        </w:sdtContent>
      </w:sdt>
    </w:p>
    <w:p w14:paraId="458AFF3F" w14:textId="77777777" w:rsidR="00E76146" w:rsidRDefault="00E76146" w:rsidP="00E76146"/>
    <w:p w14:paraId="3B5AC1F7" w14:textId="77777777" w:rsidR="00E76146" w:rsidRPr="00E76146" w:rsidRDefault="00E76146" w:rsidP="00E76146"/>
    <w:sdt>
      <w:sdtPr>
        <w:rPr>
          <w:rFonts w:asciiTheme="minorHAnsi" w:eastAsiaTheme="minorEastAsia" w:hAnsiTheme="minorHAnsi" w:cstheme="minorBidi"/>
          <w:color w:val="auto"/>
          <w:kern w:val="2"/>
          <w:sz w:val="24"/>
          <w:szCs w:val="24"/>
          <w14:ligatures w14:val="standardContextual"/>
        </w:rPr>
        <w:id w:val="-737473765"/>
        <w:docPartObj>
          <w:docPartGallery w:val="Table of Contents"/>
          <w:docPartUnique/>
        </w:docPartObj>
      </w:sdtPr>
      <w:sdtEndPr>
        <w:rPr>
          <w:b/>
          <w:bCs/>
        </w:rPr>
      </w:sdtEndPr>
      <w:sdtContent>
        <w:p w14:paraId="10227B3D" w14:textId="3C42CED8" w:rsidR="000E1282" w:rsidRDefault="000E1282">
          <w:pPr>
            <w:pStyle w:val="TOCHeading"/>
          </w:pPr>
          <w:r>
            <w:t>Table of Contents</w:t>
          </w:r>
        </w:p>
        <w:p w14:paraId="314BC472" w14:textId="1000D3C8" w:rsidR="00945EC5" w:rsidRDefault="000E128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3728464" w:history="1">
            <w:r w:rsidR="00ED41AD">
              <w:rPr>
                <w:rStyle w:val="Hyperlink"/>
                <w:noProof/>
                <w:kern w:val="0"/>
                <w14:ligatures w14:val="none"/>
              </w:rPr>
              <w:t>BSAS P</w:t>
            </w:r>
            <w:r w:rsidR="00945EC5" w:rsidRPr="00567897">
              <w:rPr>
                <w:rStyle w:val="Hyperlink"/>
                <w:noProof/>
                <w:kern w:val="0"/>
                <w14:ligatures w14:val="none"/>
              </w:rPr>
              <w:t>ractice Guidance</w:t>
            </w:r>
            <w:r w:rsidR="00ED41AD">
              <w:rPr>
                <w:rStyle w:val="Hyperlink"/>
                <w:noProof/>
                <w:kern w:val="0"/>
                <w14:ligatures w14:val="none"/>
              </w:rPr>
              <w:t xml:space="preserve">: </w:t>
            </w:r>
            <w:r w:rsidR="00ED41AD" w:rsidRPr="00ED41AD">
              <w:rPr>
                <w:rStyle w:val="Hyperlink"/>
                <w:noProof/>
                <w:kern w:val="0"/>
                <w14:ligatures w14:val="none"/>
              </w:rPr>
              <w:t>Adopting the Practice of Postvention and Debriefs in the SUD Treatment Programs</w:t>
            </w:r>
            <w:r w:rsidR="00945EC5">
              <w:rPr>
                <w:noProof/>
                <w:webHidden/>
              </w:rPr>
              <w:tab/>
            </w:r>
            <w:r w:rsidR="00945EC5">
              <w:rPr>
                <w:noProof/>
                <w:webHidden/>
              </w:rPr>
              <w:fldChar w:fldCharType="begin"/>
            </w:r>
            <w:r w:rsidR="00945EC5">
              <w:rPr>
                <w:noProof/>
                <w:webHidden/>
              </w:rPr>
              <w:instrText xml:space="preserve"> PAGEREF _Toc203728464 \h </w:instrText>
            </w:r>
            <w:r w:rsidR="00945EC5">
              <w:rPr>
                <w:noProof/>
                <w:webHidden/>
              </w:rPr>
            </w:r>
            <w:r w:rsidR="00945EC5">
              <w:rPr>
                <w:noProof/>
                <w:webHidden/>
              </w:rPr>
              <w:fldChar w:fldCharType="separate"/>
            </w:r>
            <w:r w:rsidR="00655E14">
              <w:rPr>
                <w:noProof/>
                <w:webHidden/>
              </w:rPr>
              <w:t>0</w:t>
            </w:r>
            <w:r w:rsidR="00945EC5">
              <w:rPr>
                <w:noProof/>
                <w:webHidden/>
              </w:rPr>
              <w:fldChar w:fldCharType="end"/>
            </w:r>
          </w:hyperlink>
        </w:p>
        <w:p w14:paraId="42BC23DA" w14:textId="12B1ABE0" w:rsidR="00945EC5" w:rsidRDefault="00945EC5">
          <w:pPr>
            <w:pStyle w:val="TOC2"/>
            <w:tabs>
              <w:tab w:val="right" w:leader="dot" w:pos="9350"/>
            </w:tabs>
            <w:rPr>
              <w:rFonts w:eastAsiaTheme="minorEastAsia"/>
              <w:noProof/>
            </w:rPr>
          </w:pPr>
          <w:hyperlink w:anchor="_Toc203728465" w:history="1">
            <w:r w:rsidRPr="00567897">
              <w:rPr>
                <w:rStyle w:val="Hyperlink"/>
                <w:noProof/>
              </w:rPr>
              <w:t>Purpose &amp; Rationale</w:t>
            </w:r>
            <w:r>
              <w:rPr>
                <w:noProof/>
                <w:webHidden/>
              </w:rPr>
              <w:tab/>
            </w:r>
            <w:r>
              <w:rPr>
                <w:noProof/>
                <w:webHidden/>
              </w:rPr>
              <w:fldChar w:fldCharType="begin"/>
            </w:r>
            <w:r>
              <w:rPr>
                <w:noProof/>
                <w:webHidden/>
              </w:rPr>
              <w:instrText xml:space="preserve"> PAGEREF _Toc203728465 \h </w:instrText>
            </w:r>
            <w:r>
              <w:rPr>
                <w:noProof/>
                <w:webHidden/>
              </w:rPr>
            </w:r>
            <w:r>
              <w:rPr>
                <w:noProof/>
                <w:webHidden/>
              </w:rPr>
              <w:fldChar w:fldCharType="separate"/>
            </w:r>
            <w:r w:rsidR="00655E14">
              <w:rPr>
                <w:noProof/>
                <w:webHidden/>
              </w:rPr>
              <w:t>1</w:t>
            </w:r>
            <w:r>
              <w:rPr>
                <w:noProof/>
                <w:webHidden/>
              </w:rPr>
              <w:fldChar w:fldCharType="end"/>
            </w:r>
          </w:hyperlink>
        </w:p>
        <w:p w14:paraId="46B84540" w14:textId="4726F8B9" w:rsidR="00945EC5" w:rsidRDefault="00ED41AD">
          <w:pPr>
            <w:pStyle w:val="TOC2"/>
            <w:tabs>
              <w:tab w:val="right" w:leader="dot" w:pos="9350"/>
            </w:tabs>
            <w:rPr>
              <w:rFonts w:eastAsiaTheme="minorEastAsia"/>
              <w:noProof/>
            </w:rPr>
          </w:pPr>
          <w:hyperlink w:anchor="_Toc203728466" w:history="1">
            <w:r>
              <w:t>Overview</w:t>
            </w:r>
            <w:r w:rsidR="00945EC5">
              <w:rPr>
                <w:noProof/>
                <w:webHidden/>
              </w:rPr>
              <w:tab/>
            </w:r>
            <w:r>
              <w:rPr>
                <w:noProof/>
                <w:webHidden/>
              </w:rPr>
              <w:t>1</w:t>
            </w:r>
          </w:hyperlink>
        </w:p>
        <w:p w14:paraId="26458709" w14:textId="49115A00" w:rsidR="00945EC5" w:rsidRDefault="00ED41AD">
          <w:pPr>
            <w:pStyle w:val="TOC2"/>
            <w:tabs>
              <w:tab w:val="right" w:leader="dot" w:pos="9350"/>
            </w:tabs>
            <w:rPr>
              <w:rFonts w:eastAsiaTheme="minorEastAsia"/>
              <w:noProof/>
            </w:rPr>
          </w:pPr>
          <w:r>
            <w:t xml:space="preserve">What is </w:t>
          </w:r>
          <w:hyperlink w:anchor="_Toc203728467" w:history="1">
            <w:r>
              <w:t>Postvention?</w:t>
            </w:r>
            <w:r w:rsidR="00945EC5">
              <w:rPr>
                <w:noProof/>
                <w:webHidden/>
              </w:rPr>
              <w:tab/>
            </w:r>
            <w:r w:rsidR="00945EC5">
              <w:rPr>
                <w:noProof/>
                <w:webHidden/>
              </w:rPr>
              <w:fldChar w:fldCharType="begin"/>
            </w:r>
            <w:r w:rsidR="00945EC5">
              <w:rPr>
                <w:noProof/>
                <w:webHidden/>
              </w:rPr>
              <w:instrText xml:space="preserve"> PAGEREF _Toc203728467 \h </w:instrText>
            </w:r>
            <w:r w:rsidR="00945EC5">
              <w:rPr>
                <w:noProof/>
                <w:webHidden/>
              </w:rPr>
            </w:r>
            <w:r w:rsidR="00945EC5">
              <w:rPr>
                <w:noProof/>
                <w:webHidden/>
              </w:rPr>
              <w:fldChar w:fldCharType="separate"/>
            </w:r>
            <w:r w:rsidR="00655E14">
              <w:rPr>
                <w:noProof/>
                <w:webHidden/>
              </w:rPr>
              <w:t>1</w:t>
            </w:r>
            <w:r w:rsidR="00945EC5">
              <w:rPr>
                <w:noProof/>
                <w:webHidden/>
              </w:rPr>
              <w:fldChar w:fldCharType="end"/>
            </w:r>
          </w:hyperlink>
        </w:p>
        <w:p w14:paraId="545A357E" w14:textId="287FC658" w:rsidR="00945EC5" w:rsidRDefault="00ED41AD">
          <w:pPr>
            <w:pStyle w:val="TOC2"/>
            <w:tabs>
              <w:tab w:val="right" w:leader="dot" w:pos="9350"/>
            </w:tabs>
            <w:rPr>
              <w:rFonts w:eastAsiaTheme="minorEastAsia"/>
              <w:noProof/>
            </w:rPr>
          </w:pPr>
          <w:r>
            <w:t xml:space="preserve">What is </w:t>
          </w:r>
          <w:hyperlink w:anchor="_Toc203728468" w:history="1">
            <w:r>
              <w:rPr>
                <w:rStyle w:val="Hyperlink"/>
                <w:noProof/>
              </w:rPr>
              <w:t>Debrief?</w:t>
            </w:r>
            <w:r w:rsidR="00945EC5">
              <w:rPr>
                <w:noProof/>
                <w:webHidden/>
              </w:rPr>
              <w:tab/>
            </w:r>
            <w:r>
              <w:rPr>
                <w:noProof/>
                <w:webHidden/>
              </w:rPr>
              <w:t>3</w:t>
            </w:r>
          </w:hyperlink>
        </w:p>
        <w:p w14:paraId="23C2F8B8" w14:textId="20DAD2A6" w:rsidR="00945EC5" w:rsidRDefault="00ED41AD">
          <w:pPr>
            <w:pStyle w:val="TOC2"/>
            <w:tabs>
              <w:tab w:val="right" w:leader="dot" w:pos="9350"/>
            </w:tabs>
            <w:rPr>
              <w:rFonts w:eastAsiaTheme="minorEastAsia"/>
              <w:noProof/>
            </w:rPr>
          </w:pPr>
          <w:r w:rsidRPr="00ED41AD">
            <w:t>Debrief Meeting Outline</w:t>
          </w:r>
          <w:r>
            <w:t xml:space="preserve"> </w:t>
          </w:r>
          <w:hyperlink w:anchor="_Toc203728469" w:history="1">
            <w:r w:rsidR="00945EC5">
              <w:rPr>
                <w:noProof/>
                <w:webHidden/>
              </w:rPr>
              <w:tab/>
            </w:r>
            <w:r w:rsidR="002856C8">
              <w:rPr>
                <w:noProof/>
                <w:webHidden/>
              </w:rPr>
              <w:t>3</w:t>
            </w:r>
          </w:hyperlink>
        </w:p>
        <w:p w14:paraId="09CC6B70" w14:textId="1686E4C6" w:rsidR="00945EC5" w:rsidRDefault="00ED41AD">
          <w:pPr>
            <w:pStyle w:val="TOC2"/>
            <w:tabs>
              <w:tab w:val="right" w:leader="dot" w:pos="9350"/>
            </w:tabs>
            <w:rPr>
              <w:rFonts w:eastAsiaTheme="minorEastAsia"/>
              <w:noProof/>
            </w:rPr>
          </w:pPr>
          <w:hyperlink w:anchor="_Toc203728470" w:history="1">
            <w:r>
              <w:rPr>
                <w:rStyle w:val="Hyperlink"/>
                <w:noProof/>
              </w:rPr>
              <w:t>Policy Considerations</w:t>
            </w:r>
            <w:r w:rsidR="00945EC5">
              <w:rPr>
                <w:noProof/>
                <w:webHidden/>
              </w:rPr>
              <w:tab/>
            </w:r>
            <w:r w:rsidR="002856C8">
              <w:rPr>
                <w:noProof/>
                <w:webHidden/>
              </w:rPr>
              <w:t>4</w:t>
            </w:r>
          </w:hyperlink>
        </w:p>
        <w:p w14:paraId="02424AD5" w14:textId="27A99981" w:rsidR="00945EC5" w:rsidRDefault="00ED41AD">
          <w:pPr>
            <w:pStyle w:val="TOC2"/>
            <w:tabs>
              <w:tab w:val="right" w:leader="dot" w:pos="9350"/>
            </w:tabs>
            <w:rPr>
              <w:rFonts w:eastAsiaTheme="minorEastAsia"/>
              <w:noProof/>
            </w:rPr>
          </w:pPr>
          <w:hyperlink w:anchor="_Toc203728471" w:history="1">
            <w:r>
              <w:rPr>
                <w:rStyle w:val="Hyperlink"/>
                <w:noProof/>
              </w:rPr>
              <w:t xml:space="preserve">Resources </w:t>
            </w:r>
            <w:r w:rsidR="00945EC5">
              <w:rPr>
                <w:noProof/>
                <w:webHidden/>
              </w:rPr>
              <w:tab/>
            </w:r>
            <w:r w:rsidR="002856C8">
              <w:rPr>
                <w:noProof/>
                <w:webHidden/>
              </w:rPr>
              <w:t>5</w:t>
            </w:r>
          </w:hyperlink>
        </w:p>
        <w:p w14:paraId="030DB62C" w14:textId="1AC609E3" w:rsidR="00766588" w:rsidRDefault="000E1282" w:rsidP="00CB3EE9">
          <w:r>
            <w:rPr>
              <w:b/>
              <w:bCs/>
              <w:noProof/>
            </w:rPr>
            <w:fldChar w:fldCharType="end"/>
          </w:r>
        </w:p>
      </w:sdtContent>
    </w:sdt>
    <w:p w14:paraId="41B31033" w14:textId="208AACA3" w:rsidR="000E1282" w:rsidRPr="001B0989" w:rsidRDefault="000E1282" w:rsidP="001B0989">
      <w:pPr>
        <w:pStyle w:val="Heading2"/>
      </w:pPr>
      <w:bookmarkStart w:id="2" w:name="_Toc203728465"/>
      <w:r w:rsidRPr="001B0989">
        <w:t>Purpose &amp; Rationale</w:t>
      </w:r>
      <w:bookmarkEnd w:id="2"/>
    </w:p>
    <w:p w14:paraId="77AD55FA" w14:textId="77777777" w:rsidR="00ED41AD" w:rsidRPr="00ED41AD" w:rsidRDefault="00ED41AD" w:rsidP="00945EC5">
      <w:pPr>
        <w:pStyle w:val="Heading2"/>
        <w:rPr>
          <w:rFonts w:ascii="Calibri" w:eastAsiaTheme="minorHAnsi" w:hAnsi="Calibri" w:cs="Calibri"/>
          <w:color w:val="auto"/>
          <w:sz w:val="22"/>
          <w:szCs w:val="22"/>
        </w:rPr>
      </w:pPr>
      <w:bookmarkStart w:id="3" w:name="_Toc203728466"/>
      <w:r w:rsidRPr="00ED41AD">
        <w:rPr>
          <w:rFonts w:ascii="Calibri" w:eastAsiaTheme="minorHAnsi" w:hAnsi="Calibri" w:cs="Calibri"/>
          <w:color w:val="auto"/>
          <w:sz w:val="22"/>
          <w:szCs w:val="22"/>
        </w:rPr>
        <w:t xml:space="preserve">The purpose of this Practice Guidance is to identify steps which offer support to substance use treatment program teams experiencing direct or indirect trauma from critical incidents within the program. The impact of implementing a postvention and/or a debrief meeting following a critical incident will be reviewed in relation to staff tenure and wellness. This guidance will explore how debriefs and postvention meetings can be used as tools to ensure quality patient care and reduce critical incidences thereafter, and how to evaluate which meeting to use. </w:t>
      </w:r>
    </w:p>
    <w:bookmarkEnd w:id="3"/>
    <w:p w14:paraId="289751B3" w14:textId="3B9F9864" w:rsidR="00DE4069" w:rsidRPr="00945EC5" w:rsidRDefault="00ED41AD" w:rsidP="00945EC5">
      <w:pPr>
        <w:pStyle w:val="Heading2"/>
      </w:pPr>
      <w:r>
        <w:t>Overview</w:t>
      </w:r>
    </w:p>
    <w:p w14:paraId="7B496DCF" w14:textId="77777777" w:rsidR="00ED41AD" w:rsidRPr="00ED41AD" w:rsidRDefault="00ED41AD" w:rsidP="00ED41AD">
      <w:pPr>
        <w:spacing w:line="259" w:lineRule="auto"/>
        <w:rPr>
          <w:rFonts w:ascii="Calibri" w:eastAsia="Calibri" w:hAnsi="Calibri" w:cs="Arial"/>
          <w:sz w:val="22"/>
          <w:szCs w:val="22"/>
        </w:rPr>
      </w:pPr>
      <w:bookmarkStart w:id="4" w:name="_Toc203728467"/>
      <w:r w:rsidRPr="00ED41AD">
        <w:rPr>
          <w:rFonts w:ascii="Calibri" w:eastAsia="Calibri" w:hAnsi="Calibri" w:cs="Arial"/>
          <w:sz w:val="22"/>
          <w:szCs w:val="22"/>
        </w:rPr>
        <w:t>Staff members within the Massachusetts substance use disorder treatment system of care are responsible for, and expected to, respond to critical incidents, such as overdose deaths. The Bureau of Substance Addiction Services (BSAS) recognizes program staff and treatment team responses to critical incidents in a clinical care setting may result in grief and loss, as well as traumatization. BSAS supports staffing patterns that include people with lived experience, acknowledging the important contributions and commitment that they have made in the field of addiction</w:t>
      </w:r>
      <w:r w:rsidRPr="00ED41AD">
        <w:rPr>
          <w:rFonts w:ascii="Calibri" w:eastAsia="Calibri" w:hAnsi="Calibri" w:cs="Arial"/>
          <w:sz w:val="22"/>
          <w:szCs w:val="22"/>
          <w:vertAlign w:val="superscript"/>
        </w:rPr>
        <w:endnoteReference w:id="2"/>
      </w:r>
      <w:r w:rsidRPr="00ED41AD">
        <w:rPr>
          <w:rFonts w:ascii="Calibri" w:eastAsia="Calibri" w:hAnsi="Calibri" w:cs="Arial"/>
          <w:sz w:val="22"/>
          <w:szCs w:val="22"/>
        </w:rPr>
        <w:t>. Individuals with lived experience are a vital component of our system of care. Agencies can support staff by adopting a culture of trauma-informed care, ensuring staff experiences are validated and explored.</w:t>
      </w:r>
    </w:p>
    <w:p w14:paraId="4B06A8F7"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Opioid overdose and other substance-related deaths can be particularly traumatic for the victim’s counselors, friends, and family because it is sudden and unanticipated. As a result, people may be more prone to traumatization and grief, notably staff with lived experience due to compounding trauma associated with multiple losses. Unresolved, unexplored grief is a contributing factor to staff turnover, compassion fatigue, direct or vicarious traumatization, and burnout. </w:t>
      </w:r>
    </w:p>
    <w:p w14:paraId="598CF4DB" w14:textId="77777777" w:rsidR="00ED41AD" w:rsidRPr="00ED41AD" w:rsidRDefault="00ED41AD" w:rsidP="00ED41AD">
      <w:pPr>
        <w:spacing w:after="0" w:line="259" w:lineRule="auto"/>
        <w:rPr>
          <w:rFonts w:ascii="Calibri" w:eastAsia="Calibri" w:hAnsi="Calibri" w:cs="Calibri"/>
          <w:sz w:val="22"/>
          <w:szCs w:val="22"/>
        </w:rPr>
      </w:pPr>
      <w:r w:rsidRPr="00ED41AD">
        <w:rPr>
          <w:rFonts w:ascii="Calibri" w:eastAsia="Calibri" w:hAnsi="Calibri" w:cs="Arial"/>
          <w:sz w:val="22"/>
          <w:szCs w:val="22"/>
        </w:rPr>
        <w:lastRenderedPageBreak/>
        <w:t>Additional examples of critical incidents are as follows</w:t>
      </w:r>
      <w:r w:rsidRPr="00ED41AD">
        <w:rPr>
          <w:rFonts w:ascii="Calibri" w:eastAsia="Calibri" w:hAnsi="Calibri" w:cs="Arial"/>
          <w:sz w:val="22"/>
          <w:szCs w:val="22"/>
          <w:vertAlign w:val="superscript"/>
        </w:rPr>
        <w:endnoteReference w:id="3"/>
      </w:r>
      <w:r w:rsidRPr="00ED41AD">
        <w:rPr>
          <w:rFonts w:ascii="Calibri" w:eastAsia="Calibri" w:hAnsi="Calibri" w:cs="Arial"/>
          <w:sz w:val="22"/>
          <w:szCs w:val="22"/>
        </w:rPr>
        <w:t>:</w:t>
      </w:r>
    </w:p>
    <w:p w14:paraId="0F9A4955" w14:textId="77777777" w:rsidR="00ED41AD" w:rsidRPr="00ED41AD" w:rsidRDefault="00ED41AD" w:rsidP="00ED41AD">
      <w:pPr>
        <w:numPr>
          <w:ilvl w:val="0"/>
          <w:numId w:val="35"/>
        </w:numPr>
        <w:spacing w:line="240" w:lineRule="auto"/>
        <w:contextualSpacing/>
        <w:rPr>
          <w:rFonts w:ascii="Calibri" w:eastAsia="Calibri" w:hAnsi="Calibri" w:cs="Calibri"/>
          <w:sz w:val="22"/>
          <w:szCs w:val="22"/>
        </w:rPr>
      </w:pPr>
      <w:r w:rsidRPr="00ED41AD">
        <w:rPr>
          <w:rFonts w:ascii="Calibri" w:eastAsia="Calibri" w:hAnsi="Calibri" w:cs="Calibri"/>
          <w:sz w:val="22"/>
          <w:szCs w:val="22"/>
        </w:rPr>
        <w:t>Death of a patient</w:t>
      </w:r>
    </w:p>
    <w:p w14:paraId="2CFBF834" w14:textId="77777777" w:rsidR="00ED41AD" w:rsidRPr="00ED41AD" w:rsidRDefault="00ED41AD" w:rsidP="00ED41AD">
      <w:pPr>
        <w:numPr>
          <w:ilvl w:val="0"/>
          <w:numId w:val="35"/>
        </w:numPr>
        <w:spacing w:line="240" w:lineRule="auto"/>
        <w:contextualSpacing/>
        <w:rPr>
          <w:rFonts w:ascii="Calibri" w:eastAsia="Calibri" w:hAnsi="Calibri" w:cs="Calibri"/>
          <w:sz w:val="22"/>
          <w:szCs w:val="22"/>
        </w:rPr>
      </w:pPr>
      <w:r w:rsidRPr="00ED41AD">
        <w:rPr>
          <w:rFonts w:ascii="Calibri" w:eastAsia="Calibri" w:hAnsi="Calibri" w:cs="Calibri"/>
          <w:sz w:val="22"/>
          <w:szCs w:val="22"/>
        </w:rPr>
        <w:t>Death of a co-worker</w:t>
      </w:r>
    </w:p>
    <w:p w14:paraId="596DB0D1" w14:textId="77777777" w:rsidR="00ED41AD" w:rsidRPr="00ED41AD" w:rsidRDefault="00ED41AD" w:rsidP="00ED41AD">
      <w:pPr>
        <w:numPr>
          <w:ilvl w:val="0"/>
          <w:numId w:val="35"/>
        </w:numPr>
        <w:spacing w:line="240" w:lineRule="auto"/>
        <w:contextualSpacing/>
        <w:rPr>
          <w:rFonts w:ascii="Calibri" w:eastAsia="Calibri" w:hAnsi="Calibri" w:cs="Calibri"/>
          <w:sz w:val="22"/>
          <w:szCs w:val="22"/>
        </w:rPr>
      </w:pPr>
      <w:r w:rsidRPr="00ED41AD">
        <w:rPr>
          <w:rFonts w:ascii="Calibri" w:eastAsia="Calibri" w:hAnsi="Calibri" w:cs="Calibri"/>
          <w:sz w:val="22"/>
          <w:szCs w:val="22"/>
        </w:rPr>
        <w:t xml:space="preserve">Suicide of patient or team member </w:t>
      </w:r>
    </w:p>
    <w:p w14:paraId="6025182B" w14:textId="77777777" w:rsidR="00ED41AD" w:rsidRPr="00ED41AD" w:rsidRDefault="00ED41AD" w:rsidP="00ED41AD">
      <w:pPr>
        <w:numPr>
          <w:ilvl w:val="0"/>
          <w:numId w:val="35"/>
        </w:numPr>
        <w:spacing w:line="240" w:lineRule="auto"/>
        <w:contextualSpacing/>
        <w:rPr>
          <w:rFonts w:ascii="Calibri" w:eastAsia="Calibri" w:hAnsi="Calibri" w:cs="Arial"/>
          <w:sz w:val="22"/>
          <w:szCs w:val="22"/>
        </w:rPr>
      </w:pPr>
      <w:r w:rsidRPr="00ED41AD">
        <w:rPr>
          <w:rFonts w:ascii="Calibri" w:eastAsia="Calibri" w:hAnsi="Calibri" w:cs="Arial"/>
          <w:sz w:val="22"/>
          <w:szCs w:val="22"/>
        </w:rPr>
        <w:t xml:space="preserve">Violence or threats of violence </w:t>
      </w:r>
    </w:p>
    <w:p w14:paraId="0A1D0616" w14:textId="77777777" w:rsidR="00ED41AD" w:rsidRPr="00ED41AD" w:rsidRDefault="00ED41AD" w:rsidP="00ED41AD">
      <w:pPr>
        <w:numPr>
          <w:ilvl w:val="0"/>
          <w:numId w:val="35"/>
        </w:numPr>
        <w:spacing w:line="240" w:lineRule="auto"/>
        <w:contextualSpacing/>
        <w:rPr>
          <w:rFonts w:ascii="Calibri" w:eastAsia="Calibri" w:hAnsi="Calibri" w:cs="Calibri"/>
          <w:sz w:val="22"/>
          <w:szCs w:val="22"/>
        </w:rPr>
      </w:pPr>
      <w:r w:rsidRPr="00ED41AD">
        <w:rPr>
          <w:rFonts w:ascii="Calibri" w:eastAsia="Calibri" w:hAnsi="Calibri" w:cs="Calibri"/>
          <w:sz w:val="22"/>
          <w:szCs w:val="22"/>
        </w:rPr>
        <w:t>Significant events involving children</w:t>
      </w:r>
    </w:p>
    <w:p w14:paraId="167F3304" w14:textId="77777777" w:rsidR="00ED41AD" w:rsidRPr="00ED41AD" w:rsidRDefault="00ED41AD" w:rsidP="00ED41AD">
      <w:pPr>
        <w:numPr>
          <w:ilvl w:val="0"/>
          <w:numId w:val="35"/>
        </w:numPr>
        <w:spacing w:line="240" w:lineRule="auto"/>
        <w:contextualSpacing/>
        <w:rPr>
          <w:rFonts w:ascii="Calibri" w:eastAsia="Calibri" w:hAnsi="Calibri" w:cs="Calibri"/>
          <w:sz w:val="22"/>
          <w:szCs w:val="22"/>
        </w:rPr>
      </w:pPr>
      <w:r w:rsidRPr="00ED41AD">
        <w:rPr>
          <w:rFonts w:ascii="Calibri" w:eastAsia="Calibri" w:hAnsi="Calibri" w:cs="Calibri"/>
          <w:sz w:val="22"/>
          <w:szCs w:val="22"/>
        </w:rPr>
        <w:t xml:space="preserve">Natural disasters or acts of terrorism </w:t>
      </w:r>
    </w:p>
    <w:p w14:paraId="28D4DCB2" w14:textId="77777777" w:rsidR="00ED41AD" w:rsidRPr="00ED41AD" w:rsidRDefault="00ED41AD" w:rsidP="00ED41AD">
      <w:pPr>
        <w:numPr>
          <w:ilvl w:val="0"/>
          <w:numId w:val="35"/>
        </w:numPr>
        <w:spacing w:line="240" w:lineRule="auto"/>
        <w:contextualSpacing/>
        <w:rPr>
          <w:rFonts w:ascii="Calibri" w:eastAsia="Calibri" w:hAnsi="Calibri" w:cs="Arial"/>
          <w:sz w:val="22"/>
          <w:szCs w:val="22"/>
        </w:rPr>
      </w:pPr>
      <w:r w:rsidRPr="00ED41AD">
        <w:rPr>
          <w:rFonts w:ascii="Calibri" w:eastAsia="Calibri" w:hAnsi="Calibri" w:cs="Arial"/>
          <w:sz w:val="22"/>
          <w:szCs w:val="22"/>
        </w:rPr>
        <w:t>Non-fatal or fatal overdose</w:t>
      </w:r>
    </w:p>
    <w:p w14:paraId="09237401"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Programs have many responsibilities in response to critical incidents. There are legal, regulatory, and ethical reviews, both internal and external. The program coordinates reporting to appropriate legal/regulatory agencies, patient family or emergency contact, the milieu, and the treatment team. Along with the many responsibilities for responding to critical incidents, substance use disorder treatment organizations should support program staff managing the impact through a debrief and/or postvention meeting.</w:t>
      </w:r>
    </w:p>
    <w:p w14:paraId="30260DF3" w14:textId="77777777" w:rsidR="00ED41AD" w:rsidRPr="00ED41AD" w:rsidRDefault="00ED41AD" w:rsidP="00ED41AD">
      <w:pPr>
        <w:spacing w:line="257" w:lineRule="auto"/>
        <w:rPr>
          <w:rFonts w:ascii="Calibri" w:eastAsia="Calibri" w:hAnsi="Calibri" w:cs="Arial"/>
          <w:sz w:val="22"/>
          <w:szCs w:val="22"/>
        </w:rPr>
      </w:pPr>
      <w:r w:rsidRPr="00ED41AD">
        <w:rPr>
          <w:rFonts w:ascii="Calibri" w:eastAsia="Calibri" w:hAnsi="Calibri" w:cs="Calibri"/>
          <w:sz w:val="22"/>
          <w:szCs w:val="22"/>
        </w:rPr>
        <w:t>Postvention is part of a three-pronged approach to treatment and recovery. The field of substance use treatment has an established practice of prevention and intervention. Adopting a practice of postvention is a targeted approach to support those who are at high risk following an exposure to death by death by suicide or by overdose.</w:t>
      </w:r>
    </w:p>
    <w:p w14:paraId="3EF1F6F9" w14:textId="77777777" w:rsidR="00ED41AD" w:rsidRPr="00ED41AD" w:rsidRDefault="00ED41AD" w:rsidP="00ED41AD">
      <w:pPr>
        <w:spacing w:line="259" w:lineRule="auto"/>
        <w:rPr>
          <w:rFonts w:ascii="Calibri" w:eastAsia="Calibri" w:hAnsi="Calibri" w:cs="Arial"/>
          <w:sz w:val="22"/>
          <w:szCs w:val="22"/>
          <w:shd w:val="clear" w:color="auto" w:fill="FFFFFF"/>
        </w:rPr>
      </w:pPr>
      <w:r w:rsidRPr="00ED41AD">
        <w:rPr>
          <w:rFonts w:ascii="Calibri" w:eastAsia="Calibri" w:hAnsi="Calibri" w:cs="Arial"/>
          <w:sz w:val="22"/>
          <w:szCs w:val="22"/>
        </w:rPr>
        <w:t xml:space="preserve">Postvention and debrief meetings are sometimes used as descriptors of the same type of meeting, but the two differ and each are equally important. Depending on the individual scenario, one or both may be utilized by the program. </w:t>
      </w:r>
    </w:p>
    <w:bookmarkEnd w:id="4"/>
    <w:p w14:paraId="33647C75" w14:textId="77777777" w:rsidR="00ED41AD" w:rsidRPr="00EC08FE" w:rsidRDefault="00ED41AD" w:rsidP="00ED41AD">
      <w:pPr>
        <w:pStyle w:val="Heading2"/>
      </w:pPr>
      <w:r>
        <w:t>What is Postvention?</w:t>
      </w:r>
    </w:p>
    <w:p w14:paraId="3E1CC1E1"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Postvention is an organized and formal response in the aftermath of a critical incident to promote healing and mitigate the negative effects experienced by staff and peers in the milieu from exposure to a critical incident. Postvention is as crucial as prevention in opioid overdose and critical incidents, reducing risk and promoting healing for direct care providers </w:t>
      </w:r>
      <w:r w:rsidRPr="00ED41AD">
        <w:rPr>
          <w:rFonts w:ascii="Calibri" w:eastAsia="Calibri" w:hAnsi="Calibri" w:cs="Arial"/>
          <w:sz w:val="22"/>
          <w:szCs w:val="22"/>
          <w:vertAlign w:val="superscript"/>
        </w:rPr>
        <w:endnoteReference w:id="4"/>
      </w:r>
      <w:r w:rsidRPr="00ED41AD">
        <w:rPr>
          <w:rFonts w:ascii="Calibri" w:eastAsia="Calibri" w:hAnsi="Calibri" w:cs="Arial"/>
          <w:sz w:val="22"/>
          <w:szCs w:val="22"/>
        </w:rPr>
        <w:t xml:space="preserve">. Though postvention is a practice that is widely utilized in the field of suicide prevention, it has been adopted in substance use disorder treatment to support providers with the impact of a death from overdose and other substance related deaths. </w:t>
      </w:r>
    </w:p>
    <w:p w14:paraId="7046A91B"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In a postvention meeting, the entire organization is encouraged and expected to attend. Postvention is usually facilitated by an outside agency following a critical incident, such as an overdose death, so organization leadership may also participate. </w:t>
      </w:r>
      <w:r w:rsidRPr="00ED41AD">
        <w:rPr>
          <w:rFonts w:ascii="Calibri" w:eastAsia="Calibri" w:hAnsi="Calibri" w:cs="Arial"/>
          <w:sz w:val="22"/>
          <w:szCs w:val="22"/>
          <w:shd w:val="clear" w:color="auto" w:fill="FFFFFF"/>
        </w:rPr>
        <w:t>This may be done through a town-hall forum or some other setting which gives staff across the organization the opportunity to come together.</w:t>
      </w:r>
    </w:p>
    <w:p w14:paraId="61D25EE0"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It is essential that staff be provided with an opportunity to process a critical incident in a non-punitive and learning oriented space. Adopting the practice of postvention encourages tenure of staff and reduces staff psychological impact of critical incidents </w:t>
      </w:r>
      <w:r w:rsidRPr="00ED41AD">
        <w:rPr>
          <w:rFonts w:ascii="Calibri" w:eastAsia="Calibri" w:hAnsi="Calibri" w:cs="Arial"/>
          <w:sz w:val="22"/>
          <w:szCs w:val="22"/>
          <w:vertAlign w:val="superscript"/>
        </w:rPr>
        <w:endnoteReference w:id="5"/>
      </w:r>
      <w:r w:rsidRPr="00ED41AD">
        <w:rPr>
          <w:rFonts w:ascii="Calibri" w:eastAsia="Calibri" w:hAnsi="Calibri" w:cs="Arial"/>
          <w:sz w:val="22"/>
          <w:szCs w:val="22"/>
        </w:rPr>
        <w:t>. Postvention is designed to destigmatize the tragedy of suicide and death by overdose, allowing a space to process complex feelings of loss.</w:t>
      </w:r>
    </w:p>
    <w:p w14:paraId="5E8EB122"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The postvention meeting provides the entire organization space to process a loss but also helps to identify opportunities for learning and policy review. In a non-blaming and systems focused manner, an outside agency will help highlight where there may have been missed warning signs and potential gaps </w:t>
      </w:r>
      <w:r w:rsidRPr="00ED41AD">
        <w:rPr>
          <w:rFonts w:ascii="Calibri" w:eastAsia="Calibri" w:hAnsi="Calibri" w:cs="Arial"/>
          <w:sz w:val="22"/>
          <w:szCs w:val="22"/>
        </w:rPr>
        <w:lastRenderedPageBreak/>
        <w:t>in support. The outcome of the postvention meeting may result in improved emergency response systems, updated safety checks and signs of life protocols, and better staff training.</w:t>
      </w:r>
    </w:p>
    <w:p w14:paraId="232E4590" w14:textId="77777777" w:rsidR="00ED41AD" w:rsidRPr="00ED41AD" w:rsidRDefault="00ED41AD" w:rsidP="00ED41AD">
      <w:pPr>
        <w:spacing w:after="0" w:line="259" w:lineRule="auto"/>
        <w:rPr>
          <w:rFonts w:ascii="Calibri" w:eastAsia="Calibri" w:hAnsi="Calibri" w:cs="Arial"/>
          <w:sz w:val="22"/>
          <w:szCs w:val="22"/>
        </w:rPr>
      </w:pPr>
      <w:r w:rsidRPr="00ED41AD">
        <w:rPr>
          <w:rFonts w:ascii="Calibri" w:eastAsia="Calibri" w:hAnsi="Calibri" w:cs="Arial"/>
          <w:sz w:val="22"/>
          <w:szCs w:val="22"/>
        </w:rPr>
        <w:t xml:space="preserve">Postvention should also include support for peers in milieu such as grief and trauma counseling offered through outside mental health professionals or agencies, and smaller support groups or healing circles focused on the processing the loss safely. </w:t>
      </w:r>
    </w:p>
    <w:p w14:paraId="2DA9870B" w14:textId="6A39952D" w:rsidR="000E1282" w:rsidRPr="00CF01A8" w:rsidRDefault="000E1282" w:rsidP="000E1282"/>
    <w:p w14:paraId="67445750" w14:textId="190A4C6B" w:rsidR="00ED41AD" w:rsidRDefault="00ED41AD" w:rsidP="00ED41AD">
      <w:pPr>
        <w:pStyle w:val="Heading2"/>
      </w:pPr>
      <w:r>
        <w:t>What is Debrief?</w:t>
      </w:r>
    </w:p>
    <w:p w14:paraId="5E5CEEBB" w14:textId="77777777" w:rsidR="00ED41AD" w:rsidRPr="00ED41AD" w:rsidRDefault="00ED41AD" w:rsidP="00ED41AD">
      <w:pPr>
        <w:spacing w:line="259" w:lineRule="auto"/>
        <w:rPr>
          <w:rFonts w:ascii="Calibri" w:eastAsia="Calibri" w:hAnsi="Calibri" w:cs="Arial"/>
          <w:sz w:val="22"/>
          <w:szCs w:val="22"/>
        </w:rPr>
      </w:pPr>
      <w:bookmarkStart w:id="5" w:name="_Toc203728469"/>
      <w:r w:rsidRPr="00ED41AD">
        <w:rPr>
          <w:rFonts w:ascii="Calibri" w:eastAsia="Calibri" w:hAnsi="Calibri" w:cs="Arial"/>
          <w:sz w:val="22"/>
          <w:szCs w:val="22"/>
        </w:rPr>
        <w:t xml:space="preserve">A debrief is an informal huddle or meeting immediately following a critical event or challenging incident. The main goal of the debrief is to ensure staff are supported following a critical incident. This meeting is often impromptu, immediately follows the incident, and is facilitated by program leadership or shift lead. This meeting should include staff directly involved in the incident, reinforce teambuilding, create an environment of support and supervision, and encourage learning. </w:t>
      </w:r>
    </w:p>
    <w:p w14:paraId="2E3F5699"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Staff debriefing after a significant incident can be an efficient way for managers and administrators to communicate information and gauge staff reactions </w:t>
      </w:r>
      <w:r w:rsidRPr="00ED41AD">
        <w:rPr>
          <w:rFonts w:ascii="Calibri" w:eastAsia="Calibri" w:hAnsi="Calibri" w:cs="Arial"/>
          <w:sz w:val="22"/>
          <w:szCs w:val="22"/>
          <w:vertAlign w:val="superscript"/>
        </w:rPr>
        <w:endnoteReference w:id="6"/>
      </w:r>
      <w:r w:rsidRPr="00ED41AD">
        <w:rPr>
          <w:rFonts w:ascii="Calibri" w:eastAsia="Calibri" w:hAnsi="Calibri" w:cs="Arial"/>
          <w:sz w:val="22"/>
          <w:szCs w:val="22"/>
        </w:rPr>
        <w:t xml:space="preserve">. </w:t>
      </w:r>
      <w:r w:rsidRPr="00ED41AD">
        <w:rPr>
          <w:rFonts w:ascii="Calibri" w:eastAsia="Calibri" w:hAnsi="Calibri" w:cs="Arial"/>
          <w:sz w:val="22"/>
          <w:szCs w:val="22"/>
          <w:shd w:val="clear" w:color="auto" w:fill="FFFFFF"/>
        </w:rPr>
        <w:t>Holding a debrief after an emergency or critical incident can help reflect on your performance as a team. Whether the staff response to the critical incident was according to plan or if something went wrong, coming together for a debrief can help the team process what happened. This will identify what went well, what could be improved, and one thing to do differently next time</w:t>
      </w:r>
      <w:r w:rsidRPr="00ED41AD">
        <w:rPr>
          <w:rFonts w:ascii="Calibri" w:eastAsia="Calibri" w:hAnsi="Calibri" w:cs="Arial"/>
          <w:sz w:val="22"/>
          <w:szCs w:val="22"/>
          <w:shd w:val="clear" w:color="auto" w:fill="FFFFFF"/>
          <w:vertAlign w:val="superscript"/>
        </w:rPr>
        <w:endnoteReference w:id="7"/>
      </w:r>
      <w:r w:rsidRPr="00ED41AD">
        <w:rPr>
          <w:rFonts w:ascii="Calibri" w:eastAsia="Calibri" w:hAnsi="Calibri" w:cs="Arial"/>
          <w:sz w:val="22"/>
          <w:szCs w:val="22"/>
          <w:shd w:val="clear" w:color="auto" w:fill="FFFFFF"/>
        </w:rPr>
        <w:t>.</w:t>
      </w:r>
      <w:r w:rsidRPr="00ED41AD">
        <w:rPr>
          <w:rFonts w:ascii="Calibri" w:eastAsia="Calibri" w:hAnsi="Calibri" w:cs="Arial"/>
          <w:sz w:val="22"/>
          <w:szCs w:val="22"/>
        </w:rPr>
        <w:t xml:space="preserve"> </w:t>
      </w:r>
    </w:p>
    <w:p w14:paraId="4EE9FD2E" w14:textId="77777777" w:rsidR="00ED41AD" w:rsidRPr="00ED41AD" w:rsidRDefault="00ED41AD" w:rsidP="00ED41AD">
      <w:pPr>
        <w:spacing w:after="0" w:line="259" w:lineRule="auto"/>
        <w:rPr>
          <w:rFonts w:ascii="Calibri" w:eastAsia="Calibri" w:hAnsi="Calibri" w:cs="Arial"/>
          <w:sz w:val="22"/>
          <w:szCs w:val="22"/>
        </w:rPr>
      </w:pPr>
      <w:r w:rsidRPr="00ED41AD">
        <w:rPr>
          <w:rFonts w:ascii="Calibri" w:eastAsia="Calibri" w:hAnsi="Calibri" w:cs="Arial"/>
          <w:sz w:val="22"/>
          <w:szCs w:val="22"/>
        </w:rPr>
        <w:t>Debriefing can establish:</w:t>
      </w:r>
    </w:p>
    <w:p w14:paraId="01A2A023" w14:textId="77777777" w:rsidR="00ED41AD" w:rsidRPr="00ED41AD" w:rsidRDefault="00ED41AD" w:rsidP="00ED41AD">
      <w:pPr>
        <w:numPr>
          <w:ilvl w:val="0"/>
          <w:numId w:val="36"/>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Staff consistency </w:t>
      </w:r>
    </w:p>
    <w:p w14:paraId="56E60AB2" w14:textId="77777777" w:rsidR="00ED41AD" w:rsidRPr="00ED41AD" w:rsidRDefault="00ED41AD" w:rsidP="00ED41AD">
      <w:pPr>
        <w:numPr>
          <w:ilvl w:val="0"/>
          <w:numId w:val="36"/>
        </w:numPr>
        <w:spacing w:line="259" w:lineRule="auto"/>
        <w:contextualSpacing/>
        <w:rPr>
          <w:rFonts w:ascii="Calibri" w:eastAsia="Calibri" w:hAnsi="Calibri" w:cs="Arial"/>
          <w:sz w:val="22"/>
          <w:szCs w:val="22"/>
        </w:rPr>
      </w:pPr>
      <w:r w:rsidRPr="00ED41AD">
        <w:rPr>
          <w:rFonts w:ascii="Calibri" w:eastAsia="Calibri" w:hAnsi="Calibri" w:cs="Arial"/>
          <w:sz w:val="22"/>
          <w:szCs w:val="22"/>
        </w:rPr>
        <w:t>Treatment teams learning from success and challenges</w:t>
      </w:r>
    </w:p>
    <w:p w14:paraId="52354068" w14:textId="77777777" w:rsidR="00ED41AD" w:rsidRPr="00ED41AD" w:rsidRDefault="00ED41AD" w:rsidP="00ED41AD">
      <w:pPr>
        <w:numPr>
          <w:ilvl w:val="0"/>
          <w:numId w:val="36"/>
        </w:numPr>
        <w:spacing w:line="259" w:lineRule="auto"/>
        <w:contextualSpacing/>
        <w:rPr>
          <w:rFonts w:ascii="Calibri" w:eastAsia="Calibri" w:hAnsi="Calibri" w:cs="Arial"/>
          <w:sz w:val="22"/>
          <w:szCs w:val="22"/>
        </w:rPr>
      </w:pPr>
      <w:r w:rsidRPr="00ED41AD">
        <w:rPr>
          <w:rFonts w:ascii="Calibri" w:eastAsia="Calibri" w:hAnsi="Calibri" w:cs="Arial"/>
          <w:sz w:val="22"/>
          <w:szCs w:val="22"/>
        </w:rPr>
        <w:t>Exploration of plans to make positive change</w:t>
      </w:r>
    </w:p>
    <w:p w14:paraId="5FF4B0BE" w14:textId="77777777" w:rsidR="00ED41AD" w:rsidRPr="00ED41AD" w:rsidRDefault="00ED41AD" w:rsidP="00ED41AD">
      <w:pPr>
        <w:numPr>
          <w:ilvl w:val="0"/>
          <w:numId w:val="36"/>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Ways to navigate incidents more effectively in the future </w:t>
      </w:r>
    </w:p>
    <w:p w14:paraId="492D567E" w14:textId="77777777" w:rsidR="00ED41AD" w:rsidRPr="00ED41AD" w:rsidRDefault="00ED41AD" w:rsidP="00ED41AD">
      <w:pPr>
        <w:numPr>
          <w:ilvl w:val="0"/>
          <w:numId w:val="36"/>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Build trust among staff and promote teamwork </w:t>
      </w:r>
    </w:p>
    <w:p w14:paraId="6B5C0812" w14:textId="77777777" w:rsidR="00ED41AD" w:rsidRPr="00ED41AD" w:rsidRDefault="00ED41AD" w:rsidP="00ED41AD">
      <w:pPr>
        <w:numPr>
          <w:ilvl w:val="0"/>
          <w:numId w:val="36"/>
        </w:numPr>
        <w:spacing w:line="259" w:lineRule="auto"/>
        <w:contextualSpacing/>
        <w:rPr>
          <w:rFonts w:ascii="Calibri" w:eastAsia="Calibri" w:hAnsi="Calibri" w:cs="Arial"/>
          <w:sz w:val="22"/>
          <w:szCs w:val="22"/>
        </w:rPr>
      </w:pPr>
      <w:r w:rsidRPr="00ED41AD">
        <w:rPr>
          <w:rFonts w:ascii="Calibri" w:eastAsia="Calibri" w:hAnsi="Calibri" w:cs="Arial"/>
          <w:sz w:val="22"/>
          <w:szCs w:val="22"/>
        </w:rPr>
        <w:t>Support staff and foster an environment where staff can process feelings such as grief</w:t>
      </w:r>
    </w:p>
    <w:p w14:paraId="44AE94BF" w14:textId="77777777" w:rsidR="00ED41AD" w:rsidRPr="00ED41AD" w:rsidRDefault="00ED41AD" w:rsidP="00ED41AD">
      <w:pPr>
        <w:numPr>
          <w:ilvl w:val="0"/>
          <w:numId w:val="36"/>
        </w:numPr>
        <w:spacing w:line="259" w:lineRule="auto"/>
        <w:contextualSpacing/>
        <w:rPr>
          <w:rFonts w:ascii="Calibri" w:eastAsia="Calibri" w:hAnsi="Calibri" w:cs="Arial"/>
          <w:sz w:val="22"/>
          <w:szCs w:val="22"/>
        </w:rPr>
      </w:pPr>
      <w:r w:rsidRPr="00ED41AD">
        <w:rPr>
          <w:rFonts w:ascii="Calibri" w:eastAsia="Calibri" w:hAnsi="Calibri" w:cs="Arial"/>
          <w:sz w:val="22"/>
          <w:szCs w:val="22"/>
        </w:rPr>
        <w:t>Prevent a next time!</w:t>
      </w:r>
    </w:p>
    <w:p w14:paraId="788D471D"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Immediate processing following a critical incident is vital for staff in the moment. However, support offered from a postvention meeting is strongly encouraged when the incident involves a death. </w:t>
      </w:r>
    </w:p>
    <w:bookmarkEnd w:id="5"/>
    <w:p w14:paraId="2C5F1138" w14:textId="77777777" w:rsidR="00ED41AD" w:rsidRDefault="00ED41AD" w:rsidP="00ED41AD">
      <w:pPr>
        <w:pStyle w:val="Heading2"/>
      </w:pPr>
      <w:r>
        <w:t>Debrief Meeting Outline</w:t>
      </w:r>
    </w:p>
    <w:p w14:paraId="29AA5E70" w14:textId="77777777" w:rsidR="00ED41AD" w:rsidRPr="00ED41AD" w:rsidRDefault="00ED41AD" w:rsidP="00ED41AD">
      <w:pPr>
        <w:spacing w:line="259" w:lineRule="auto"/>
        <w:rPr>
          <w:rFonts w:ascii="Calibri" w:eastAsia="Calibri" w:hAnsi="Calibri" w:cs="Arial"/>
          <w:sz w:val="22"/>
          <w:szCs w:val="22"/>
        </w:rPr>
      </w:pPr>
      <w:bookmarkStart w:id="6" w:name="_Toc203728470"/>
      <w:r w:rsidRPr="00ED41AD">
        <w:rPr>
          <w:rFonts w:ascii="Calibri" w:eastAsia="Calibri" w:hAnsi="Calibri" w:cs="Arial"/>
          <w:sz w:val="22"/>
          <w:szCs w:val="22"/>
        </w:rPr>
        <w:t xml:space="preserve">It is essential that staff be provided with an opportunity to debrief following a critical incident.  This should be informal and occur immediately after a critical incident has been stabilized. A debrief can be used to provide immediate support, even when a formal postvention meeting may be needed later. </w:t>
      </w:r>
    </w:p>
    <w:p w14:paraId="07F5CAC7" w14:textId="77777777" w:rsidR="00ED41AD" w:rsidRPr="00ED41AD" w:rsidRDefault="00ED41AD" w:rsidP="00ED41AD">
      <w:pPr>
        <w:spacing w:after="0" w:line="259" w:lineRule="auto"/>
        <w:rPr>
          <w:rFonts w:ascii="Calibri" w:eastAsia="Calibri" w:hAnsi="Calibri" w:cs="Arial"/>
          <w:sz w:val="22"/>
          <w:szCs w:val="22"/>
        </w:rPr>
      </w:pPr>
      <w:r w:rsidRPr="00ED41AD">
        <w:rPr>
          <w:rFonts w:ascii="Calibri" w:eastAsia="Calibri" w:hAnsi="Calibri" w:cs="Arial"/>
          <w:sz w:val="22"/>
          <w:szCs w:val="22"/>
        </w:rPr>
        <w:t>A typical debrief includes the following:</w:t>
      </w:r>
    </w:p>
    <w:p w14:paraId="7B70F0D5" w14:textId="77777777" w:rsidR="00ED41AD" w:rsidRPr="00ED41AD" w:rsidRDefault="00ED41AD" w:rsidP="00ED41AD">
      <w:pPr>
        <w:numPr>
          <w:ilvl w:val="0"/>
          <w:numId w:val="37"/>
        </w:numPr>
        <w:spacing w:line="259" w:lineRule="auto"/>
        <w:contextualSpacing/>
        <w:rPr>
          <w:rFonts w:ascii="Calibri" w:eastAsia="Calibri" w:hAnsi="Calibri" w:cs="Arial"/>
          <w:sz w:val="22"/>
          <w:szCs w:val="22"/>
        </w:rPr>
      </w:pPr>
      <w:r w:rsidRPr="00ED41AD">
        <w:rPr>
          <w:rFonts w:ascii="Calibri" w:eastAsia="Calibri" w:hAnsi="Calibri" w:cs="Arial"/>
          <w:sz w:val="22"/>
          <w:szCs w:val="22"/>
        </w:rPr>
        <w:t>Keep the conversation factual and the tone non-accusatory: it’s important to not activate staff’s defenses.</w:t>
      </w:r>
    </w:p>
    <w:p w14:paraId="36D41297" w14:textId="77777777" w:rsidR="00ED41AD" w:rsidRPr="00ED41AD" w:rsidRDefault="00ED41AD" w:rsidP="00ED41AD">
      <w:pPr>
        <w:numPr>
          <w:ilvl w:val="0"/>
          <w:numId w:val="37"/>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Ask open-ended questions: this encourages staff members to contribute more to the conversation. </w:t>
      </w:r>
    </w:p>
    <w:p w14:paraId="00DA0466" w14:textId="77777777" w:rsidR="00ED41AD" w:rsidRPr="00ED41AD" w:rsidRDefault="00ED41AD" w:rsidP="00ED41AD">
      <w:pPr>
        <w:numPr>
          <w:ilvl w:val="0"/>
          <w:numId w:val="37"/>
        </w:numPr>
        <w:spacing w:line="259" w:lineRule="auto"/>
        <w:contextualSpacing/>
        <w:rPr>
          <w:rFonts w:ascii="Calibri" w:eastAsia="Calibri" w:hAnsi="Calibri" w:cs="Arial"/>
          <w:sz w:val="22"/>
          <w:szCs w:val="22"/>
        </w:rPr>
      </w:pPr>
      <w:r w:rsidRPr="00ED41AD">
        <w:rPr>
          <w:rFonts w:ascii="Calibri" w:eastAsia="Calibri" w:hAnsi="Calibri" w:cs="Arial"/>
          <w:sz w:val="22"/>
          <w:szCs w:val="22"/>
        </w:rPr>
        <w:t>Keep things simple: debriefings answer the “who, what, when, where, and why” of a critical incident.</w:t>
      </w:r>
    </w:p>
    <w:p w14:paraId="46E772DA" w14:textId="77777777" w:rsidR="00ED41AD" w:rsidRPr="00ED41AD" w:rsidRDefault="00ED41AD" w:rsidP="00ED41AD">
      <w:pPr>
        <w:numPr>
          <w:ilvl w:val="0"/>
          <w:numId w:val="37"/>
        </w:numPr>
        <w:spacing w:line="259" w:lineRule="auto"/>
        <w:contextualSpacing/>
        <w:rPr>
          <w:rFonts w:ascii="Calibri" w:eastAsia="Calibri" w:hAnsi="Calibri" w:cs="Arial"/>
          <w:sz w:val="22"/>
          <w:szCs w:val="22"/>
        </w:rPr>
      </w:pPr>
      <w:r w:rsidRPr="00ED41AD">
        <w:rPr>
          <w:rFonts w:ascii="Calibri" w:eastAsia="Calibri" w:hAnsi="Calibri" w:cs="Arial"/>
          <w:sz w:val="22"/>
          <w:szCs w:val="22"/>
        </w:rPr>
        <w:lastRenderedPageBreak/>
        <w:t>Keep it short: this should be seen as something that is used for problem solving and support, not burdensome following a difficult or critical incident.</w:t>
      </w:r>
    </w:p>
    <w:bookmarkEnd w:id="6"/>
    <w:p w14:paraId="3CFA7508" w14:textId="77777777" w:rsidR="00ED41AD" w:rsidRPr="006E3630" w:rsidRDefault="00ED41AD" w:rsidP="00ED41AD">
      <w:pPr>
        <w:pStyle w:val="Heading2"/>
      </w:pPr>
      <w:r w:rsidRPr="006E3630">
        <w:t xml:space="preserve">Policy </w:t>
      </w:r>
      <w:r>
        <w:t>C</w:t>
      </w:r>
      <w:r w:rsidRPr="006E3630">
        <w:t>onsiderations</w:t>
      </w:r>
    </w:p>
    <w:p w14:paraId="275C6EAA" w14:textId="77777777" w:rsidR="00ED41AD" w:rsidRPr="00ED41AD" w:rsidRDefault="00ED41AD" w:rsidP="00ED41AD">
      <w:pPr>
        <w:spacing w:line="259" w:lineRule="auto"/>
        <w:rPr>
          <w:rFonts w:ascii="Calibri" w:eastAsia="Calibri" w:hAnsi="Calibri" w:cs="Calibri"/>
          <w:sz w:val="22"/>
          <w:szCs w:val="22"/>
        </w:rPr>
      </w:pPr>
      <w:bookmarkStart w:id="7" w:name="_Toc203728471"/>
      <w:r w:rsidRPr="00ED41AD">
        <w:rPr>
          <w:rFonts w:ascii="Calibri" w:eastAsia="Calibri" w:hAnsi="Calibri" w:cs="Calibri"/>
          <w:sz w:val="22"/>
          <w:szCs w:val="22"/>
        </w:rPr>
        <w:t xml:space="preserve">BSAS outlines in regulatory requirements that each program shall maintain a policy and procedure for managing disruptive behaviors (105 CMR 164.078 Behavior Management) and shall prepare staff through periodic training (105 CMR 164.062(J): All Hazards and Emergency Planning Procedures) to respond to emergencies and overdose response in accordance with program policy.  </w:t>
      </w:r>
    </w:p>
    <w:p w14:paraId="200E2D5A"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Best practice includes implementing a debrief for staff following each critical incident/emergency and a postvention meeting, facilitated by an outside agency, following a death. </w:t>
      </w:r>
    </w:p>
    <w:p w14:paraId="5AEE9502" w14:textId="77777777" w:rsidR="00ED41AD" w:rsidRPr="00ED41AD" w:rsidRDefault="00ED41AD" w:rsidP="00ED41AD">
      <w:pPr>
        <w:spacing w:line="259" w:lineRule="auto"/>
        <w:rPr>
          <w:rFonts w:ascii="Calibri" w:eastAsia="Calibri" w:hAnsi="Calibri" w:cs="Arial"/>
          <w:sz w:val="22"/>
          <w:szCs w:val="22"/>
        </w:rPr>
      </w:pPr>
      <w:r w:rsidRPr="00ED41AD">
        <w:rPr>
          <w:rFonts w:ascii="Calibri" w:eastAsia="Calibri" w:hAnsi="Calibri" w:cs="Arial"/>
          <w:sz w:val="22"/>
          <w:szCs w:val="22"/>
        </w:rPr>
        <w:t xml:space="preserve">Policies should outline the general structure of debriefing such as who will lead the debrief, identifying strengths/what went well, then followed by areas of possible improvement. The policy and procedure shall include means and resources to support staff following an emergency or critical incident. Debriefing will look different depending on the organization and circumstances. Resources, including outside agencies able to facilitate a postvention meeting, are available below. </w:t>
      </w:r>
    </w:p>
    <w:p w14:paraId="0DD75A3A" w14:textId="77777777" w:rsidR="00ED41AD" w:rsidRPr="00ED41AD" w:rsidRDefault="00ED41AD" w:rsidP="00ED41AD">
      <w:pPr>
        <w:keepNext/>
        <w:keepLines/>
        <w:spacing w:before="40" w:after="0" w:line="259" w:lineRule="auto"/>
        <w:outlineLvl w:val="2"/>
        <w:rPr>
          <w:rFonts w:ascii="Calibri Light" w:eastAsia="Yu Gothic Light" w:hAnsi="Calibri Light" w:cs="Times New Roman"/>
          <w:color w:val="1F3763"/>
          <w:u w:val="single"/>
        </w:rPr>
      </w:pPr>
      <w:r w:rsidRPr="00ED41AD">
        <w:rPr>
          <w:rFonts w:ascii="Calibri Light" w:eastAsia="Yu Gothic Light" w:hAnsi="Calibri Light" w:cs="Times New Roman"/>
          <w:color w:val="1F3763"/>
          <w:u w:val="single"/>
        </w:rPr>
        <w:t>Outline for Policy and Practice:</w:t>
      </w:r>
    </w:p>
    <w:p w14:paraId="19AD1726"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Make sure each staff member involved in the critical incident is present</w:t>
      </w:r>
    </w:p>
    <w:p w14:paraId="205DC980"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Support staff who cannot attend the debrief meeting with individual supervision surrounding the event</w:t>
      </w:r>
    </w:p>
    <w:p w14:paraId="4907EBEC"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Check in with the team to ensure safety</w:t>
      </w:r>
    </w:p>
    <w:p w14:paraId="4FF28DF5"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Are any team members hurt?</w:t>
      </w:r>
    </w:p>
    <w:p w14:paraId="273CC5F3"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Does anyone need a break/fresh air?</w:t>
      </w:r>
    </w:p>
    <w:p w14:paraId="6182BBDD"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If possible/when necessary, give staff time to take a walk, get a coffee, or do another self-care activity</w:t>
      </w:r>
    </w:p>
    <w:p w14:paraId="6F6DFD27"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Identify the point person(s) to run the meeting</w:t>
      </w:r>
    </w:p>
    <w:p w14:paraId="6995A246"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Supervisor/leadership </w:t>
      </w:r>
    </w:p>
    <w:p w14:paraId="2C7F40DB"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External counselor or support team such as IHR/HiRA</w:t>
      </w:r>
    </w:p>
    <w:p w14:paraId="28E7DAD7" w14:textId="77777777" w:rsidR="00ED41AD" w:rsidRPr="00ED41AD" w:rsidRDefault="00ED41AD" w:rsidP="00ED41AD">
      <w:pPr>
        <w:numPr>
          <w:ilvl w:val="2"/>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Providing support for supervisors and leadership as well as the team</w:t>
      </w:r>
    </w:p>
    <w:p w14:paraId="61C3364E"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Begin by highlighting what went well</w:t>
      </w:r>
    </w:p>
    <w:p w14:paraId="19074420"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This keeps morale high and reinforces a positive outlook</w:t>
      </w:r>
    </w:p>
    <w:p w14:paraId="46CD47C8"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Transition to areas of improvement</w:t>
      </w:r>
    </w:p>
    <w:p w14:paraId="4C479A6C"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Choose one area to improve so the team has something to work on next time</w:t>
      </w:r>
    </w:p>
    <w:p w14:paraId="71FC081C"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Keep the debrief short if it immediately follows the event</w:t>
      </w:r>
    </w:p>
    <w:p w14:paraId="6CD00312"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This should be a quick problem-solving meeting and staff check-in </w:t>
      </w:r>
    </w:p>
    <w:p w14:paraId="0312AEC5"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Additional meetings can further process the event</w:t>
      </w:r>
    </w:p>
    <w:p w14:paraId="7EC77E53"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Recognize and validate when the incident is difficult </w:t>
      </w:r>
    </w:p>
    <w:p w14:paraId="4646304A"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Allow time to meet with individual staff members who require additional support following the debrief</w:t>
      </w:r>
    </w:p>
    <w:p w14:paraId="0DB7544A"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Offer access to Employee Assistance Programs (EAP)</w:t>
      </w:r>
    </w:p>
    <w:p w14:paraId="4D294059"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Organize additional debrief meetings as needed to ensure that all shifts are supported</w:t>
      </w:r>
    </w:p>
    <w:p w14:paraId="42966947"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Establish a method of communication to relay important information learned from the critical event and during the debrief</w:t>
      </w:r>
    </w:p>
    <w:p w14:paraId="1F51A58E"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lastRenderedPageBreak/>
        <w:t>Documenting that a debrief meeting occurred on incident reports and required notifications to BSAS is best practice</w:t>
      </w:r>
    </w:p>
    <w:p w14:paraId="1A490D7B" w14:textId="77777777" w:rsidR="00ED41AD" w:rsidRPr="00ED41AD" w:rsidRDefault="00ED41AD" w:rsidP="00ED41AD">
      <w:pPr>
        <w:numPr>
          <w:ilvl w:val="0"/>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Identify whether a postvention meeting is needed as well</w:t>
      </w:r>
    </w:p>
    <w:p w14:paraId="7F96F9CD" w14:textId="77777777" w:rsidR="00ED41AD" w:rsidRPr="00ED41AD" w:rsidRDefault="00ED41AD" w:rsidP="00ED41AD">
      <w:pPr>
        <w:numPr>
          <w:ilvl w:val="1"/>
          <w:numId w:val="38"/>
        </w:numPr>
        <w:spacing w:line="259" w:lineRule="auto"/>
        <w:contextualSpacing/>
        <w:rPr>
          <w:rFonts w:ascii="Calibri" w:eastAsia="Calibri" w:hAnsi="Calibri" w:cs="Arial"/>
          <w:sz w:val="22"/>
          <w:szCs w:val="22"/>
        </w:rPr>
      </w:pPr>
      <w:r w:rsidRPr="00ED41AD">
        <w:rPr>
          <w:rFonts w:ascii="Calibri" w:eastAsia="Calibri" w:hAnsi="Calibri" w:cs="Arial"/>
          <w:sz w:val="22"/>
          <w:szCs w:val="22"/>
        </w:rPr>
        <w:t xml:space="preserve">If there has been a death, contact an outside agency such as IHR to facilitate a meeting where the entire team, including leadership, can participate </w:t>
      </w:r>
    </w:p>
    <w:p w14:paraId="1814DE66" w14:textId="265EB2C5" w:rsidR="000E1282" w:rsidRPr="008A796A" w:rsidRDefault="000E1282" w:rsidP="00604428">
      <w:pPr>
        <w:pStyle w:val="Heading3"/>
      </w:pPr>
      <w:bookmarkStart w:id="8" w:name="_Toc203728480"/>
      <w:bookmarkEnd w:id="7"/>
      <w:r w:rsidRPr="00604428">
        <w:rPr>
          <w:rStyle w:val="Heading2Char"/>
        </w:rPr>
        <w:t>Resources &amp; References</w:t>
      </w:r>
      <w:bookmarkEnd w:id="8"/>
    </w:p>
    <w:p w14:paraId="6D7CC026" w14:textId="77777777" w:rsidR="00ED41AD" w:rsidRPr="00ED41AD" w:rsidRDefault="00ED41AD" w:rsidP="00ED41AD">
      <w:pPr>
        <w:spacing w:after="0" w:line="259" w:lineRule="auto"/>
        <w:rPr>
          <w:rFonts w:ascii="Calibri" w:eastAsia="Calibri" w:hAnsi="Calibri" w:cs="Calibri"/>
          <w:i/>
          <w:iCs/>
          <w:sz w:val="22"/>
          <w:szCs w:val="22"/>
        </w:rPr>
      </w:pPr>
      <w:bookmarkStart w:id="9" w:name="_Toc203728482"/>
      <w:r w:rsidRPr="00ED41AD">
        <w:rPr>
          <w:rFonts w:ascii="Calibri" w:eastAsia="Calibri" w:hAnsi="Calibri" w:cs="Calibri"/>
          <w:i/>
          <w:iCs/>
          <w:sz w:val="22"/>
          <w:szCs w:val="22"/>
        </w:rPr>
        <w:t xml:space="preserve">The Institute of Health and Recovery (IHR) </w:t>
      </w:r>
    </w:p>
    <w:p w14:paraId="65E46531" w14:textId="77777777" w:rsidR="00ED41AD" w:rsidRPr="00ED41AD" w:rsidRDefault="00ED41AD" w:rsidP="00ED41AD">
      <w:pPr>
        <w:spacing w:after="0" w:line="259" w:lineRule="auto"/>
        <w:rPr>
          <w:rFonts w:ascii="Calibri" w:eastAsia="Calibri" w:hAnsi="Calibri" w:cs="Calibri"/>
          <w:sz w:val="22"/>
          <w:szCs w:val="22"/>
        </w:rPr>
      </w:pPr>
      <w:r w:rsidRPr="00ED41AD">
        <w:rPr>
          <w:rFonts w:ascii="Calibri" w:eastAsia="Calibri" w:hAnsi="Calibri" w:cs="Calibri"/>
          <w:sz w:val="22"/>
          <w:szCs w:val="22"/>
        </w:rPr>
        <w:t>IHR is a resource available to all BSAS funded programs. IHR offers crisis response counseling to programs following a critical incident/emergency. IHR is contracted by BSAS as a resource and source of support for BSAS licensed and approved providers.</w:t>
      </w:r>
    </w:p>
    <w:p w14:paraId="060AFE84" w14:textId="77777777" w:rsidR="00ED41AD" w:rsidRPr="00ED41AD" w:rsidRDefault="00ED41AD" w:rsidP="00ED41AD">
      <w:pPr>
        <w:spacing w:after="0" w:line="259" w:lineRule="auto"/>
        <w:rPr>
          <w:rFonts w:ascii="Calibri" w:eastAsia="Calibri" w:hAnsi="Calibri" w:cs="Calibri"/>
          <w:sz w:val="22"/>
          <w:szCs w:val="22"/>
        </w:rPr>
      </w:pPr>
      <w:hyperlink r:id="rId12">
        <w:r w:rsidRPr="00ED41AD">
          <w:rPr>
            <w:rFonts w:ascii="Calibri" w:eastAsia="Calibri" w:hAnsi="Calibri" w:cs="Arial"/>
            <w:color w:val="0563C1"/>
            <w:sz w:val="22"/>
            <w:szCs w:val="22"/>
            <w:u w:val="single"/>
          </w:rPr>
          <w:t>https://www.healthrecovery.org/page/crisis-response</w:t>
        </w:r>
      </w:hyperlink>
      <w:r w:rsidRPr="00ED41AD">
        <w:rPr>
          <w:rFonts w:ascii="Calibri" w:eastAsia="Calibri" w:hAnsi="Calibri" w:cs="Arial"/>
          <w:sz w:val="22"/>
          <w:szCs w:val="22"/>
        </w:rPr>
        <w:t xml:space="preserve"> </w:t>
      </w:r>
      <w:r w:rsidRPr="00ED41AD">
        <w:rPr>
          <w:rFonts w:ascii="Calibri" w:eastAsia="Calibri" w:hAnsi="Calibri" w:cs="Arial"/>
          <w:sz w:val="22"/>
          <w:szCs w:val="22"/>
          <w:u w:val="single"/>
        </w:rPr>
        <w:t xml:space="preserve"> </w:t>
      </w:r>
      <w:r w:rsidRPr="00ED41AD">
        <w:rPr>
          <w:rFonts w:ascii="Calibri" w:eastAsia="Calibri" w:hAnsi="Calibri" w:cs="Arial"/>
          <w:sz w:val="22"/>
          <w:szCs w:val="22"/>
        </w:rPr>
        <w:t xml:space="preserve"> </w:t>
      </w:r>
    </w:p>
    <w:p w14:paraId="6ED2CF23" w14:textId="77777777" w:rsidR="00ED41AD" w:rsidRPr="00ED41AD" w:rsidRDefault="00ED41AD" w:rsidP="00ED41AD">
      <w:pPr>
        <w:spacing w:after="0" w:line="259" w:lineRule="auto"/>
        <w:rPr>
          <w:rFonts w:ascii="Calibri" w:eastAsia="Calibri" w:hAnsi="Calibri" w:cs="Calibri"/>
          <w:sz w:val="22"/>
          <w:szCs w:val="22"/>
        </w:rPr>
      </w:pPr>
    </w:p>
    <w:p w14:paraId="286172F8" w14:textId="77777777" w:rsidR="00ED41AD" w:rsidRPr="00ED41AD" w:rsidRDefault="00ED41AD" w:rsidP="00ED41AD">
      <w:pPr>
        <w:spacing w:after="0" w:line="259" w:lineRule="auto"/>
        <w:rPr>
          <w:rFonts w:ascii="Calibri" w:eastAsia="Calibri" w:hAnsi="Calibri" w:cs="Calibri"/>
          <w:i/>
          <w:iCs/>
          <w:sz w:val="22"/>
          <w:szCs w:val="22"/>
        </w:rPr>
      </w:pPr>
      <w:r w:rsidRPr="00ED41AD">
        <w:rPr>
          <w:rFonts w:ascii="Calibri" w:eastAsia="Calibri" w:hAnsi="Calibri" w:cs="Calibri"/>
          <w:i/>
          <w:iCs/>
          <w:sz w:val="22"/>
          <w:szCs w:val="22"/>
        </w:rPr>
        <w:t>Support After a Death by Overdose</w:t>
      </w:r>
    </w:p>
    <w:p w14:paraId="3D84544F" w14:textId="77777777" w:rsidR="00ED41AD" w:rsidRPr="00ED41AD" w:rsidRDefault="00ED41AD" w:rsidP="00ED41AD">
      <w:pPr>
        <w:spacing w:after="0" w:line="259" w:lineRule="auto"/>
        <w:rPr>
          <w:rFonts w:ascii="Calibri" w:eastAsia="Calibri" w:hAnsi="Calibri" w:cs="Calibri"/>
          <w:sz w:val="22"/>
          <w:szCs w:val="22"/>
        </w:rPr>
      </w:pPr>
      <w:r w:rsidRPr="00ED41AD">
        <w:rPr>
          <w:rFonts w:ascii="Calibri" w:eastAsia="Calibri" w:hAnsi="Calibri" w:cs="Calibri"/>
          <w:sz w:val="22"/>
          <w:szCs w:val="22"/>
        </w:rPr>
        <w:t>SADOD provides resources, information, and assistance to people throughout Massachusetts who have been affected by the death of someone they care about from a substance-use-related cause. Their focus is on increasing the capacity and effectiveness of peer grief support for bereaved people, direct service providers, and people in recovery or struggling with drug use.</w:t>
      </w:r>
    </w:p>
    <w:p w14:paraId="18A327BA" w14:textId="77777777" w:rsidR="00ED41AD" w:rsidRPr="00ED41AD" w:rsidRDefault="00ED41AD" w:rsidP="00ED41AD">
      <w:pPr>
        <w:spacing w:after="0" w:line="259" w:lineRule="auto"/>
        <w:rPr>
          <w:rFonts w:ascii="Calibri" w:eastAsia="Calibri" w:hAnsi="Calibri" w:cs="Calibri"/>
          <w:i/>
          <w:iCs/>
          <w:sz w:val="22"/>
          <w:szCs w:val="22"/>
        </w:rPr>
      </w:pPr>
      <w:hyperlink r:id="rId13" w:history="1">
        <w:r w:rsidRPr="00ED41AD">
          <w:rPr>
            <w:rFonts w:ascii="Calibri" w:eastAsia="Calibri" w:hAnsi="Calibri" w:cs="Calibri"/>
            <w:i/>
            <w:iCs/>
            <w:color w:val="0563C1"/>
            <w:sz w:val="22"/>
            <w:szCs w:val="22"/>
            <w:u w:val="single"/>
          </w:rPr>
          <w:t>https://sadod.org/</w:t>
        </w:r>
      </w:hyperlink>
      <w:r w:rsidRPr="00ED41AD">
        <w:rPr>
          <w:rFonts w:ascii="Calibri" w:eastAsia="Calibri" w:hAnsi="Calibri" w:cs="Calibri"/>
          <w:i/>
          <w:iCs/>
          <w:sz w:val="22"/>
          <w:szCs w:val="22"/>
        </w:rPr>
        <w:t xml:space="preserve"> </w:t>
      </w:r>
    </w:p>
    <w:p w14:paraId="4637D9EB" w14:textId="77777777" w:rsidR="00ED41AD" w:rsidRPr="00ED41AD" w:rsidRDefault="00ED41AD" w:rsidP="00ED41AD">
      <w:pPr>
        <w:spacing w:after="0" w:line="259" w:lineRule="auto"/>
        <w:rPr>
          <w:rFonts w:ascii="Calibri" w:eastAsia="Calibri" w:hAnsi="Calibri" w:cs="Calibri"/>
          <w:i/>
          <w:iCs/>
          <w:sz w:val="22"/>
          <w:szCs w:val="22"/>
        </w:rPr>
      </w:pPr>
    </w:p>
    <w:p w14:paraId="67AFF3EB" w14:textId="77777777" w:rsidR="00ED41AD" w:rsidRPr="00ED41AD" w:rsidRDefault="00ED41AD" w:rsidP="00ED41AD">
      <w:pPr>
        <w:spacing w:after="0" w:line="259" w:lineRule="auto"/>
        <w:rPr>
          <w:rFonts w:ascii="Calibri" w:eastAsia="Calibri" w:hAnsi="Calibri" w:cs="Calibri"/>
          <w:i/>
          <w:iCs/>
          <w:sz w:val="22"/>
          <w:szCs w:val="22"/>
        </w:rPr>
      </w:pPr>
      <w:r w:rsidRPr="00ED41AD">
        <w:rPr>
          <w:rFonts w:ascii="Calibri" w:eastAsia="Calibri" w:hAnsi="Calibri" w:cs="Calibri"/>
          <w:i/>
          <w:iCs/>
          <w:sz w:val="22"/>
          <w:szCs w:val="22"/>
        </w:rPr>
        <w:t xml:space="preserve">Health Resources in Action (HRIA) </w:t>
      </w:r>
    </w:p>
    <w:p w14:paraId="642D7F9F" w14:textId="77777777" w:rsidR="00ED41AD" w:rsidRPr="00ED41AD" w:rsidRDefault="00ED41AD" w:rsidP="00ED41AD">
      <w:pPr>
        <w:spacing w:after="0" w:line="259" w:lineRule="auto"/>
        <w:rPr>
          <w:rFonts w:ascii="Calibri" w:eastAsia="Calibri" w:hAnsi="Calibri" w:cs="Calibri"/>
          <w:sz w:val="22"/>
          <w:szCs w:val="22"/>
        </w:rPr>
      </w:pPr>
      <w:r w:rsidRPr="00ED41AD">
        <w:rPr>
          <w:rFonts w:ascii="Calibri" w:eastAsia="Calibri" w:hAnsi="Calibri" w:cs="Calibri"/>
          <w:sz w:val="22"/>
          <w:szCs w:val="22"/>
        </w:rPr>
        <w:t>HRIA has a broad range and depth of public health technical expertise that supports and strengthens our community health improvement, capacity building, consulting, and health investment services.</w:t>
      </w:r>
    </w:p>
    <w:p w14:paraId="4085DD44" w14:textId="77777777" w:rsidR="00ED41AD" w:rsidRPr="00ED41AD" w:rsidRDefault="00ED41AD" w:rsidP="00ED41AD">
      <w:pPr>
        <w:spacing w:after="0" w:line="259" w:lineRule="auto"/>
        <w:rPr>
          <w:rFonts w:ascii="Calibri" w:eastAsia="Calibri" w:hAnsi="Calibri" w:cs="Calibri"/>
          <w:i/>
          <w:iCs/>
          <w:sz w:val="22"/>
          <w:szCs w:val="22"/>
        </w:rPr>
      </w:pPr>
      <w:hyperlink r:id="rId14" w:history="1">
        <w:hyperlink r:id="rId15">
          <w:r w:rsidRPr="00ED41AD">
            <w:rPr>
              <w:rFonts w:ascii="Calibri" w:eastAsia="Calibri" w:hAnsi="Calibri" w:cs="Calibri"/>
              <w:color w:val="0563C1"/>
              <w:sz w:val="22"/>
              <w:szCs w:val="22"/>
              <w:u w:val="single"/>
            </w:rPr>
            <w:t>Technical Expertise - Health Resources in Action (hria.org)</w:t>
          </w:r>
        </w:hyperlink>
      </w:hyperlink>
    </w:p>
    <w:p w14:paraId="6A863FC2" w14:textId="77777777" w:rsidR="00ED41AD" w:rsidRPr="00ED41AD" w:rsidRDefault="00ED41AD" w:rsidP="00ED41AD">
      <w:pPr>
        <w:spacing w:after="0" w:line="259" w:lineRule="auto"/>
        <w:rPr>
          <w:rFonts w:ascii="Calibri" w:eastAsia="Calibri" w:hAnsi="Calibri" w:cs="Calibri"/>
          <w:i/>
          <w:iCs/>
          <w:sz w:val="22"/>
          <w:szCs w:val="22"/>
        </w:rPr>
      </w:pPr>
    </w:p>
    <w:p w14:paraId="3B48EF50" w14:textId="77777777" w:rsidR="00ED41AD" w:rsidRPr="00ED41AD" w:rsidRDefault="00ED41AD" w:rsidP="00ED41AD">
      <w:pPr>
        <w:spacing w:after="0" w:line="259" w:lineRule="auto"/>
        <w:rPr>
          <w:rFonts w:ascii="Calibri" w:eastAsia="Calibri" w:hAnsi="Calibri" w:cs="Calibri"/>
          <w:i/>
          <w:iCs/>
          <w:sz w:val="22"/>
          <w:szCs w:val="22"/>
        </w:rPr>
      </w:pPr>
      <w:r w:rsidRPr="00ED41AD">
        <w:rPr>
          <w:rFonts w:ascii="Calibri" w:eastAsia="Calibri" w:hAnsi="Calibri" w:cs="Calibri"/>
          <w:i/>
          <w:iCs/>
          <w:sz w:val="22"/>
          <w:szCs w:val="22"/>
        </w:rPr>
        <w:t>New York State Office of Alcoholism and Substance Addiction Services</w:t>
      </w:r>
    </w:p>
    <w:p w14:paraId="781190DF" w14:textId="77777777" w:rsidR="00ED41AD" w:rsidRPr="00ED41AD" w:rsidRDefault="00ED41AD" w:rsidP="00ED41AD">
      <w:pPr>
        <w:spacing w:after="0" w:line="259" w:lineRule="auto"/>
        <w:rPr>
          <w:rFonts w:ascii="Calibri" w:eastAsia="Calibri" w:hAnsi="Calibri" w:cs="Calibri"/>
          <w:sz w:val="22"/>
          <w:szCs w:val="22"/>
        </w:rPr>
      </w:pPr>
      <w:r w:rsidRPr="00ED41AD">
        <w:rPr>
          <w:rFonts w:ascii="Calibri" w:eastAsia="Calibri" w:hAnsi="Calibri" w:cs="Calibri"/>
          <w:sz w:val="22"/>
          <w:szCs w:val="22"/>
        </w:rPr>
        <w:t>Clinical Response Following Opioid Overdose: A Guide for Managers</w:t>
      </w:r>
    </w:p>
    <w:p w14:paraId="54EFBFC9" w14:textId="77777777" w:rsidR="00ED41AD" w:rsidRPr="00ED41AD" w:rsidRDefault="00ED41AD" w:rsidP="00ED41AD">
      <w:pPr>
        <w:spacing w:after="0" w:line="259" w:lineRule="auto"/>
        <w:rPr>
          <w:rFonts w:ascii="Calibri" w:eastAsia="Calibri" w:hAnsi="Calibri" w:cs="Calibri"/>
          <w:sz w:val="22"/>
          <w:szCs w:val="22"/>
        </w:rPr>
      </w:pPr>
      <w:hyperlink r:id="rId16" w:history="1">
        <w:r w:rsidRPr="00ED41AD">
          <w:rPr>
            <w:rFonts w:ascii="Calibri" w:eastAsia="Calibri" w:hAnsi="Calibri" w:cs="Calibri"/>
            <w:color w:val="0563C1"/>
            <w:sz w:val="22"/>
            <w:szCs w:val="22"/>
            <w:u w:val="single"/>
          </w:rPr>
          <w:t>https://oasas.ny.gov/system/files/documents/2019/11/postventionguidancedocfinalaccessible.pdf</w:t>
        </w:r>
      </w:hyperlink>
    </w:p>
    <w:p w14:paraId="0C9D56C4" w14:textId="77777777" w:rsidR="00ED41AD" w:rsidRPr="00ED41AD" w:rsidRDefault="00ED41AD" w:rsidP="00ED41AD">
      <w:pPr>
        <w:spacing w:after="0" w:line="259" w:lineRule="auto"/>
        <w:rPr>
          <w:rFonts w:ascii="Calibri" w:eastAsia="Calibri" w:hAnsi="Calibri" w:cs="Arial"/>
          <w:sz w:val="22"/>
          <w:szCs w:val="22"/>
        </w:rPr>
      </w:pPr>
    </w:p>
    <w:p w14:paraId="0B166164" w14:textId="77777777" w:rsidR="00ED41AD" w:rsidRPr="00ED41AD" w:rsidRDefault="00ED41AD" w:rsidP="00ED41AD">
      <w:pPr>
        <w:spacing w:after="0" w:line="259" w:lineRule="auto"/>
        <w:rPr>
          <w:rFonts w:ascii="Calibri" w:eastAsia="Calibri" w:hAnsi="Calibri" w:cs="Arial"/>
          <w:i/>
          <w:iCs/>
          <w:sz w:val="22"/>
          <w:szCs w:val="22"/>
        </w:rPr>
      </w:pPr>
      <w:r w:rsidRPr="00ED41AD">
        <w:rPr>
          <w:rFonts w:ascii="Calibri" w:eastAsia="Calibri" w:hAnsi="Calibri" w:cs="Arial"/>
          <w:i/>
          <w:iCs/>
          <w:sz w:val="22"/>
          <w:szCs w:val="22"/>
        </w:rPr>
        <w:t>America Hospital Association Center for Health Innovation</w:t>
      </w:r>
    </w:p>
    <w:p w14:paraId="74A2F80A" w14:textId="77777777" w:rsidR="00ED41AD" w:rsidRPr="00ED41AD" w:rsidRDefault="00ED41AD" w:rsidP="00ED41AD">
      <w:pPr>
        <w:spacing w:after="0" w:line="259" w:lineRule="auto"/>
        <w:rPr>
          <w:rFonts w:ascii="Calibri" w:eastAsia="Calibri" w:hAnsi="Calibri" w:cs="Arial"/>
          <w:sz w:val="22"/>
          <w:szCs w:val="22"/>
        </w:rPr>
      </w:pPr>
      <w:r w:rsidRPr="00ED41AD">
        <w:rPr>
          <w:rFonts w:ascii="Calibri" w:eastAsia="Calibri" w:hAnsi="Calibri" w:cs="Arial"/>
          <w:sz w:val="22"/>
          <w:szCs w:val="22"/>
        </w:rPr>
        <w:t>Debrief: Reflect as a team with a Debrief.</w:t>
      </w:r>
    </w:p>
    <w:p w14:paraId="2B12991C" w14:textId="77777777" w:rsidR="00ED41AD" w:rsidRPr="00ED41AD" w:rsidRDefault="00ED41AD" w:rsidP="00ED41AD">
      <w:pPr>
        <w:spacing w:after="0" w:line="259" w:lineRule="auto"/>
        <w:rPr>
          <w:rFonts w:ascii="Calibri" w:eastAsia="Calibri" w:hAnsi="Calibri" w:cs="Calibri"/>
          <w:sz w:val="22"/>
          <w:szCs w:val="22"/>
        </w:rPr>
      </w:pPr>
      <w:hyperlink r:id="rId17" w:history="1">
        <w:r w:rsidRPr="00ED41AD">
          <w:rPr>
            <w:rFonts w:ascii="Calibri" w:eastAsia="Calibri" w:hAnsi="Calibri" w:cs="Calibri"/>
            <w:color w:val="0563C1"/>
            <w:sz w:val="22"/>
            <w:szCs w:val="22"/>
            <w:u w:val="single"/>
          </w:rPr>
          <w:t>https://www.aha.org/center/project-firstline/teamstepps-video-toolkit/debrief</w:t>
        </w:r>
      </w:hyperlink>
      <w:r w:rsidRPr="00ED41AD">
        <w:rPr>
          <w:rFonts w:ascii="Calibri" w:eastAsia="Calibri" w:hAnsi="Calibri" w:cs="Calibri"/>
          <w:sz w:val="22"/>
          <w:szCs w:val="22"/>
        </w:rPr>
        <w:t xml:space="preserve"> </w:t>
      </w:r>
    </w:p>
    <w:p w14:paraId="03889C38" w14:textId="77777777" w:rsidR="00ED41AD" w:rsidRPr="00ED41AD" w:rsidRDefault="00ED41AD" w:rsidP="00ED41AD">
      <w:pPr>
        <w:spacing w:after="0" w:line="259" w:lineRule="auto"/>
        <w:rPr>
          <w:rFonts w:ascii="Calibri" w:eastAsia="Calibri" w:hAnsi="Calibri" w:cs="Arial"/>
          <w:sz w:val="22"/>
          <w:szCs w:val="22"/>
        </w:rPr>
      </w:pPr>
    </w:p>
    <w:p w14:paraId="2ADDCA0A" w14:textId="77777777" w:rsidR="00ED41AD" w:rsidRPr="00ED41AD" w:rsidRDefault="00ED41AD" w:rsidP="00ED41AD">
      <w:pPr>
        <w:spacing w:after="0" w:line="259" w:lineRule="auto"/>
        <w:rPr>
          <w:rFonts w:ascii="Calibri" w:eastAsia="Calibri" w:hAnsi="Calibri" w:cs="Arial"/>
          <w:i/>
          <w:iCs/>
          <w:sz w:val="22"/>
          <w:szCs w:val="22"/>
        </w:rPr>
      </w:pPr>
      <w:r w:rsidRPr="00ED41AD">
        <w:rPr>
          <w:rFonts w:ascii="Calibri" w:eastAsia="Calibri" w:hAnsi="Calibri" w:cs="Arial"/>
          <w:i/>
          <w:iCs/>
          <w:sz w:val="22"/>
          <w:szCs w:val="22"/>
        </w:rPr>
        <w:t>Substance Abuse and Mental Health Services Administration (SAMHSA) Disaster Technical Assistance Center</w:t>
      </w:r>
    </w:p>
    <w:p w14:paraId="199CB63B" w14:textId="77777777" w:rsidR="00ED41AD" w:rsidRPr="00ED41AD" w:rsidRDefault="00ED41AD" w:rsidP="00ED41AD">
      <w:pPr>
        <w:spacing w:after="0" w:line="259" w:lineRule="auto"/>
        <w:rPr>
          <w:rFonts w:ascii="Calibri" w:eastAsia="Calibri" w:hAnsi="Calibri" w:cs="Arial"/>
          <w:sz w:val="22"/>
          <w:szCs w:val="22"/>
        </w:rPr>
      </w:pPr>
      <w:r w:rsidRPr="00ED41AD">
        <w:rPr>
          <w:rFonts w:ascii="Calibri" w:eastAsia="Calibri" w:hAnsi="Calibri" w:cs="Arial"/>
          <w:sz w:val="22"/>
          <w:szCs w:val="22"/>
        </w:rPr>
        <w:t>Organizational and Individual Stress Management</w:t>
      </w:r>
    </w:p>
    <w:p w14:paraId="2C07ABAF" w14:textId="77777777" w:rsidR="00ED41AD" w:rsidRPr="00ED41AD" w:rsidRDefault="00ED41AD" w:rsidP="00ED41AD">
      <w:pPr>
        <w:spacing w:after="0" w:line="259" w:lineRule="auto"/>
        <w:rPr>
          <w:rFonts w:ascii="Calibri" w:eastAsia="Calibri" w:hAnsi="Calibri" w:cs="Calibri"/>
          <w:sz w:val="22"/>
          <w:szCs w:val="22"/>
        </w:rPr>
      </w:pPr>
      <w:hyperlink r:id="rId18" w:history="1">
        <w:r w:rsidRPr="00ED41AD">
          <w:rPr>
            <w:rFonts w:ascii="Calibri" w:eastAsia="Calibri" w:hAnsi="Calibri" w:cs="Calibri"/>
            <w:color w:val="0563C1"/>
            <w:sz w:val="22"/>
            <w:szCs w:val="22"/>
            <w:u w:val="single"/>
          </w:rPr>
          <w:t>https://www.samhsa.gov/dtac/disaster-response-template-toolkit/organizational-individual-stress-management</w:t>
        </w:r>
      </w:hyperlink>
      <w:r w:rsidRPr="00ED41AD">
        <w:rPr>
          <w:rFonts w:ascii="Calibri" w:eastAsia="Calibri" w:hAnsi="Calibri" w:cs="Calibri"/>
          <w:sz w:val="22"/>
          <w:szCs w:val="22"/>
        </w:rPr>
        <w:t xml:space="preserve">   </w:t>
      </w:r>
    </w:p>
    <w:p w14:paraId="3D521F88" w14:textId="77777777" w:rsidR="00ED41AD" w:rsidRPr="00ED41AD" w:rsidRDefault="00ED41AD" w:rsidP="00ED41AD">
      <w:pPr>
        <w:spacing w:after="0" w:line="259" w:lineRule="auto"/>
        <w:rPr>
          <w:rFonts w:ascii="Calibri" w:eastAsia="Calibri" w:hAnsi="Calibri" w:cs="Arial"/>
          <w:sz w:val="22"/>
          <w:szCs w:val="22"/>
        </w:rPr>
      </w:pPr>
    </w:p>
    <w:p w14:paraId="12907EC6" w14:textId="77777777" w:rsidR="00ED41AD" w:rsidRPr="00ED41AD" w:rsidRDefault="00ED41AD" w:rsidP="00ED41AD">
      <w:pPr>
        <w:spacing w:after="0" w:line="259" w:lineRule="auto"/>
        <w:rPr>
          <w:rFonts w:ascii="Calibri" w:eastAsia="Calibri" w:hAnsi="Calibri" w:cs="Arial"/>
          <w:i/>
          <w:iCs/>
          <w:sz w:val="22"/>
          <w:szCs w:val="22"/>
        </w:rPr>
      </w:pPr>
      <w:r w:rsidRPr="00ED41AD">
        <w:rPr>
          <w:rFonts w:ascii="Calibri" w:eastAsia="Calibri" w:hAnsi="Calibri" w:cs="Arial"/>
          <w:i/>
          <w:iCs/>
          <w:sz w:val="22"/>
          <w:szCs w:val="22"/>
        </w:rPr>
        <w:t>Crisis Prevention Institute</w:t>
      </w:r>
    </w:p>
    <w:p w14:paraId="4C5C27A7" w14:textId="77777777" w:rsidR="00ED41AD" w:rsidRPr="00ED41AD" w:rsidRDefault="00ED41AD" w:rsidP="00ED41AD">
      <w:pPr>
        <w:spacing w:after="0" w:line="259" w:lineRule="auto"/>
        <w:rPr>
          <w:rFonts w:ascii="Calibri" w:eastAsia="Calibri" w:hAnsi="Calibri" w:cs="Arial"/>
          <w:sz w:val="22"/>
          <w:szCs w:val="22"/>
        </w:rPr>
      </w:pPr>
      <w:r w:rsidRPr="00ED41AD">
        <w:rPr>
          <w:rFonts w:ascii="Calibri" w:eastAsia="Calibri" w:hAnsi="Calibri" w:cs="Arial"/>
          <w:sz w:val="22"/>
          <w:szCs w:val="22"/>
        </w:rPr>
        <w:t>Debriefing Techniques: How to Use Them for Prevention</w:t>
      </w:r>
    </w:p>
    <w:p w14:paraId="066A1494" w14:textId="77777777" w:rsidR="00ED41AD" w:rsidRPr="00ED41AD" w:rsidRDefault="00ED41AD" w:rsidP="00ED41AD">
      <w:pPr>
        <w:spacing w:after="0" w:line="259" w:lineRule="auto"/>
        <w:rPr>
          <w:rFonts w:ascii="Calibri" w:eastAsia="Calibri" w:hAnsi="Calibri" w:cs="Arial"/>
          <w:sz w:val="22"/>
          <w:szCs w:val="22"/>
        </w:rPr>
      </w:pPr>
      <w:hyperlink r:id="rId19" w:history="1">
        <w:r w:rsidRPr="00ED41AD">
          <w:rPr>
            <w:rFonts w:ascii="Calibri" w:eastAsia="Calibri" w:hAnsi="Calibri" w:cs="Arial"/>
            <w:color w:val="0563C1"/>
            <w:sz w:val="22"/>
            <w:szCs w:val="22"/>
            <w:u w:val="single"/>
          </w:rPr>
          <w:t>https://www.crisisprevention.com/Blog/debriefing-techniques</w:t>
        </w:r>
      </w:hyperlink>
      <w:r w:rsidRPr="00ED41AD">
        <w:rPr>
          <w:rFonts w:ascii="Calibri" w:eastAsia="Calibri" w:hAnsi="Calibri" w:cs="Arial"/>
          <w:sz w:val="22"/>
          <w:szCs w:val="22"/>
        </w:rPr>
        <w:t xml:space="preserve">  </w:t>
      </w:r>
    </w:p>
    <w:p w14:paraId="2EA41C40" w14:textId="77777777" w:rsidR="00ED41AD" w:rsidRPr="00ED41AD" w:rsidRDefault="00ED41AD" w:rsidP="00ED41AD">
      <w:pPr>
        <w:spacing w:after="0" w:line="259" w:lineRule="auto"/>
        <w:rPr>
          <w:rFonts w:ascii="Calibri" w:eastAsia="Calibri" w:hAnsi="Calibri" w:cs="Calibri"/>
          <w:sz w:val="22"/>
          <w:szCs w:val="22"/>
        </w:rPr>
      </w:pPr>
    </w:p>
    <w:p w14:paraId="68DC9CB6" w14:textId="77777777" w:rsidR="00ED41AD" w:rsidRPr="00ED41AD" w:rsidRDefault="00ED41AD" w:rsidP="00ED41AD">
      <w:pPr>
        <w:spacing w:after="0" w:line="259" w:lineRule="auto"/>
        <w:rPr>
          <w:rFonts w:ascii="Calibri" w:eastAsia="Calibri" w:hAnsi="Calibri" w:cs="Calibri"/>
          <w:i/>
          <w:iCs/>
          <w:sz w:val="22"/>
          <w:szCs w:val="22"/>
        </w:rPr>
      </w:pPr>
      <w:r w:rsidRPr="00ED41AD">
        <w:rPr>
          <w:rFonts w:ascii="Calibri" w:eastAsia="Calibri" w:hAnsi="Calibri" w:cs="Calibri"/>
          <w:i/>
          <w:iCs/>
          <w:sz w:val="22"/>
          <w:szCs w:val="22"/>
        </w:rPr>
        <w:t>Tennessee Department of Mental Health and Substance Abuse Services</w:t>
      </w:r>
    </w:p>
    <w:p w14:paraId="7274EDAC" w14:textId="77777777" w:rsidR="00ED41AD" w:rsidRPr="00ED41AD" w:rsidRDefault="00ED41AD" w:rsidP="00ED41AD">
      <w:pPr>
        <w:spacing w:after="0" w:line="259" w:lineRule="auto"/>
        <w:rPr>
          <w:rFonts w:ascii="Calibri" w:eastAsia="Calibri" w:hAnsi="Calibri" w:cs="Calibri"/>
          <w:sz w:val="22"/>
          <w:szCs w:val="22"/>
        </w:rPr>
      </w:pPr>
      <w:r w:rsidRPr="00ED41AD">
        <w:rPr>
          <w:rFonts w:ascii="Calibri" w:eastAsia="Calibri" w:hAnsi="Calibri" w:cs="Arial"/>
          <w:sz w:val="22"/>
          <w:szCs w:val="22"/>
        </w:rPr>
        <w:lastRenderedPageBreak/>
        <w:t>A Guide to Suicide Postvention in the Workplace</w:t>
      </w:r>
    </w:p>
    <w:p w14:paraId="3AADB409" w14:textId="497CE8A5" w:rsidR="00ED41AD" w:rsidRPr="00ED41AD" w:rsidRDefault="00ED41AD" w:rsidP="00ED41AD">
      <w:pPr>
        <w:spacing w:after="0" w:line="259" w:lineRule="auto"/>
        <w:rPr>
          <w:rFonts w:ascii="Calibri" w:eastAsia="Calibri" w:hAnsi="Calibri" w:cs="Calibri"/>
          <w:sz w:val="22"/>
          <w:szCs w:val="22"/>
        </w:rPr>
      </w:pPr>
      <w:hyperlink r:id="rId20" w:history="1">
        <w:r w:rsidRPr="00ED41AD">
          <w:rPr>
            <w:rFonts w:ascii="Calibri" w:eastAsia="Calibri" w:hAnsi="Calibri" w:cs="Calibri"/>
            <w:color w:val="0563C1"/>
            <w:sz w:val="22"/>
            <w:szCs w:val="22"/>
            <w:u w:val="single"/>
          </w:rPr>
          <w:t>https://www.tn.gov/behavioral-health/need-help/be-the-one/postvention-document.html</w:t>
        </w:r>
      </w:hyperlink>
      <w:r w:rsidRPr="00ED41AD">
        <w:rPr>
          <w:rFonts w:ascii="Calibri" w:eastAsia="Calibri" w:hAnsi="Calibri" w:cs="Calibri"/>
          <w:sz w:val="22"/>
          <w:szCs w:val="22"/>
        </w:rPr>
        <w:t xml:space="preserve">  </w:t>
      </w:r>
    </w:p>
    <w:bookmarkEnd w:id="9"/>
    <w:p w14:paraId="15CEA1BB" w14:textId="77777777" w:rsidR="000E1282" w:rsidRPr="000E1282" w:rsidRDefault="00F67E3E" w:rsidP="5DE2A9CC">
      <w:pPr>
        <w:spacing w:after="120"/>
        <w:rPr>
          <w:rFonts w:eastAsiaTheme="minorEastAsia"/>
          <w:b/>
        </w:rPr>
      </w:pPr>
      <w:r>
        <w:pict w14:anchorId="19B45D4F">
          <v:rect id="_x0000_i1026" style="width:0;height:1.5pt" o:hralign="center" o:hrstd="t" o:hr="t" fillcolor="#a0a0a0" stroked="f"/>
        </w:pict>
      </w:r>
    </w:p>
    <w:p w14:paraId="3ECB5236" w14:textId="462C6050" w:rsidR="000E1282" w:rsidRPr="000A674E" w:rsidRDefault="000E1282" w:rsidP="5DE2A9CC">
      <w:pPr>
        <w:spacing w:after="120"/>
        <w:rPr>
          <w:b/>
        </w:rPr>
      </w:pPr>
      <w:r w:rsidRPr="000A674E">
        <w:rPr>
          <w:b/>
        </w:rPr>
        <w:t>Feedback</w:t>
      </w:r>
    </w:p>
    <w:p w14:paraId="310AAF3B" w14:textId="78EBB11E" w:rsidR="000E1282" w:rsidRPr="000A674E" w:rsidRDefault="000E1282" w:rsidP="3BDCBAEA">
      <w:pPr>
        <w:rPr>
          <w:b/>
          <w:bCs/>
        </w:rPr>
      </w:pPr>
      <w:r>
        <w:t xml:space="preserve">If you have recommendations for improving this guidance, please contact </w:t>
      </w:r>
      <w:hyperlink r:id="rId21" w:history="1">
        <w:r w:rsidR="00ED41AD" w:rsidRPr="00742461">
          <w:rPr>
            <w:rStyle w:val="Hyperlink"/>
            <w:b/>
            <w:bCs/>
          </w:rPr>
          <w:t>bsas.learning@mass.gov</w:t>
        </w:r>
      </w:hyperlink>
      <w:r w:rsidR="00130314" w:rsidRPr="3BDCBAEA">
        <w:rPr>
          <w:b/>
          <w:bCs/>
        </w:rPr>
        <w:t>.</w:t>
      </w:r>
    </w:p>
    <w:sectPr w:rsidR="000E1282" w:rsidRPr="000A674E" w:rsidSect="00422118">
      <w:headerReference w:type="even" r:id="rId22"/>
      <w:headerReference w:type="default" r:id="rId23"/>
      <w:footerReference w:type="default" r:id="rId24"/>
      <w:headerReference w:type="firs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CBE9" w14:textId="77777777" w:rsidR="009F6EA2" w:rsidRDefault="009F6EA2" w:rsidP="000626E0">
      <w:pPr>
        <w:spacing w:after="0" w:line="240" w:lineRule="auto"/>
      </w:pPr>
      <w:r>
        <w:separator/>
      </w:r>
    </w:p>
  </w:endnote>
  <w:endnote w:type="continuationSeparator" w:id="0">
    <w:p w14:paraId="0401167F" w14:textId="77777777" w:rsidR="009F6EA2" w:rsidRDefault="009F6EA2" w:rsidP="000626E0">
      <w:pPr>
        <w:spacing w:after="0" w:line="240" w:lineRule="auto"/>
      </w:pPr>
      <w:r>
        <w:continuationSeparator/>
      </w:r>
    </w:p>
  </w:endnote>
  <w:endnote w:type="continuationNotice" w:id="1">
    <w:p w14:paraId="085D2403" w14:textId="77777777" w:rsidR="009F6EA2" w:rsidRDefault="009F6EA2">
      <w:pPr>
        <w:spacing w:after="0" w:line="240" w:lineRule="auto"/>
      </w:pPr>
    </w:p>
  </w:endnote>
  <w:endnote w:id="2">
    <w:p w14:paraId="639C842C" w14:textId="77777777" w:rsidR="00ED41AD" w:rsidRDefault="00ED41AD" w:rsidP="00ED41AD">
      <w:pPr>
        <w:pStyle w:val="EndnoteText1"/>
      </w:pPr>
      <w:r>
        <w:rPr>
          <w:rStyle w:val="EndnoteReference"/>
        </w:rPr>
        <w:endnoteRef/>
      </w:r>
      <w:r>
        <w:t xml:space="preserve"> </w:t>
      </w:r>
      <w:hyperlink r:id="rId1" w:history="1">
        <w:r w:rsidRPr="00FB2370">
          <w:rPr>
            <w:rStyle w:val="Hyperlink"/>
          </w:rPr>
          <w:t>https://www.mass.gov/doc/dph-bureau-of-substance-abuse-services-standards-of-care</w:t>
        </w:r>
      </w:hyperlink>
      <w:r>
        <w:t xml:space="preserve"> </w:t>
      </w:r>
    </w:p>
  </w:endnote>
  <w:endnote w:id="3">
    <w:p w14:paraId="06878466" w14:textId="77777777" w:rsidR="00ED41AD" w:rsidRDefault="00ED41AD" w:rsidP="00ED41AD">
      <w:pPr>
        <w:pStyle w:val="EndnoteText1"/>
      </w:pPr>
      <w:hyperlink r:id="rId2" w:history="1">
        <w:r w:rsidRPr="00FB2370">
          <w:rPr>
            <w:rStyle w:val="Hyperlink"/>
          </w:rPr>
          <w:t>https://www.healthrecovery.org/page/crisis-response</w:t>
        </w:r>
      </w:hyperlink>
    </w:p>
    <w:p w14:paraId="17EEEC90" w14:textId="77777777" w:rsidR="00ED41AD" w:rsidRDefault="00ED41AD" w:rsidP="00ED41AD">
      <w:pPr>
        <w:pStyle w:val="EndnoteText1"/>
      </w:pPr>
    </w:p>
  </w:endnote>
  <w:endnote w:id="4">
    <w:p w14:paraId="412F617B" w14:textId="77777777" w:rsidR="00ED41AD" w:rsidRDefault="00ED41AD" w:rsidP="00ED41AD">
      <w:pPr>
        <w:pStyle w:val="EndnoteText"/>
      </w:pPr>
      <w:r>
        <w:rPr>
          <w:rStyle w:val="EndnoteReference"/>
        </w:rPr>
        <w:endnoteRef/>
      </w:r>
      <w:r>
        <w:t xml:space="preserve"> </w:t>
      </w:r>
      <w:hyperlink r:id="rId3" w:history="1">
        <w:r w:rsidRPr="00FB2370">
          <w:rPr>
            <w:rStyle w:val="Hyperlink"/>
          </w:rPr>
          <w:t>https://oasas.ny.gov/system/files/documents/2019/11/postventionguidancedocfinalaccessible.pdf</w:t>
        </w:r>
      </w:hyperlink>
      <w:r>
        <w:t xml:space="preserve">  </w:t>
      </w:r>
    </w:p>
  </w:endnote>
  <w:endnote w:id="5">
    <w:p w14:paraId="51BB800D" w14:textId="77777777" w:rsidR="00ED41AD" w:rsidRDefault="00ED41AD" w:rsidP="00ED41AD">
      <w:pPr>
        <w:pStyle w:val="EndnoteText"/>
      </w:pPr>
      <w:r>
        <w:rPr>
          <w:rStyle w:val="EndnoteReference"/>
        </w:rPr>
        <w:endnoteRef/>
      </w:r>
      <w:r>
        <w:t xml:space="preserve"> Price, D. M., &amp; Murphy, P. A. (1984). Staff burnout in the perspective of grief theory. Death Education, 8(1), 47-58. doi:10.1080/07481188408251381 </w:t>
      </w:r>
    </w:p>
  </w:endnote>
  <w:endnote w:id="6">
    <w:p w14:paraId="6F820B21" w14:textId="77777777" w:rsidR="00ED41AD" w:rsidRDefault="00ED41AD" w:rsidP="00ED41AD">
      <w:pPr>
        <w:pStyle w:val="EndnoteText"/>
      </w:pPr>
      <w:r>
        <w:rPr>
          <w:rStyle w:val="EndnoteReference"/>
        </w:rPr>
        <w:endnoteRef/>
      </w:r>
      <w:r>
        <w:t xml:space="preserve"> </w:t>
      </w:r>
      <w:hyperlink r:id="rId4" w:history="1">
        <w:r w:rsidRPr="00FB2370">
          <w:rPr>
            <w:rStyle w:val="Hyperlink"/>
          </w:rPr>
          <w:t>https://www.crisisprevention.com/Blog/debriefing-techniques</w:t>
        </w:r>
      </w:hyperlink>
      <w:r>
        <w:t xml:space="preserve"> </w:t>
      </w:r>
    </w:p>
  </w:endnote>
  <w:endnote w:id="7">
    <w:p w14:paraId="6AF1D83D" w14:textId="77777777" w:rsidR="00ED41AD" w:rsidRDefault="00ED41AD" w:rsidP="00ED41AD">
      <w:pPr>
        <w:pStyle w:val="EndnoteText"/>
      </w:pPr>
      <w:r>
        <w:rPr>
          <w:rStyle w:val="EndnoteReference"/>
        </w:rPr>
        <w:endnoteRef/>
      </w:r>
      <w:r>
        <w:t xml:space="preserve"> </w:t>
      </w:r>
      <w:hyperlink r:id="rId5" w:history="1">
        <w:r w:rsidRPr="00FB2370">
          <w:rPr>
            <w:rStyle w:val="Hyperlink"/>
          </w:rPr>
          <w:t>https://www.aha.org/center/project-firstline/teamstepps-video-toolkit/debrief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5479" w14:textId="06400290" w:rsidR="000626E0" w:rsidRPr="00ED41AD" w:rsidRDefault="00ED41AD">
    <w:pPr>
      <w:pStyle w:val="Footer"/>
      <w:rPr>
        <w:rFonts w:ascii="Calibri" w:hAnsi="Calibri" w:cs="Calibri"/>
        <w:i/>
        <w:iCs/>
        <w:sz w:val="22"/>
        <w:szCs w:val="22"/>
      </w:rPr>
    </w:pPr>
    <w:r w:rsidRPr="00ED41AD">
      <w:rPr>
        <w:rFonts w:ascii="Calibri" w:hAnsi="Calibri" w:cs="Calibri"/>
        <w:i/>
        <w:iCs/>
        <w:sz w:val="22"/>
        <w:szCs w:val="22"/>
      </w:rPr>
      <w:t>Postvention and Debrief BSAS Practice Guidance</w:t>
    </w:r>
    <w:r w:rsidRPr="00ED41AD">
      <w:rPr>
        <w:rFonts w:ascii="Calibri" w:hAnsi="Calibri" w:cs="Calibri"/>
        <w:i/>
        <w:iCs/>
        <w:sz w:val="22"/>
        <w:szCs w:val="22"/>
      </w:rPr>
      <w:tab/>
    </w:r>
    <w:r w:rsidRPr="00ED41AD">
      <w:rPr>
        <w:rFonts w:ascii="Calibri" w:hAnsi="Calibri" w:cs="Calibri"/>
        <w:i/>
        <w:iCs/>
        <w:sz w:val="22"/>
        <w:szCs w:val="22"/>
      </w:rPr>
      <w:tab/>
      <w:t xml:space="preserve">Issued </w:t>
    </w:r>
    <w:r w:rsidR="00E52092">
      <w:rPr>
        <w:rFonts w:ascii="Calibri" w:hAnsi="Calibri" w:cs="Calibri"/>
        <w:i/>
        <w:iCs/>
        <w:sz w:val="22"/>
        <w:szCs w:val="22"/>
      </w:rPr>
      <w:t>October</w:t>
    </w:r>
    <w:r w:rsidRPr="00ED41AD">
      <w:rPr>
        <w:rFonts w:ascii="Calibri" w:hAnsi="Calibri" w:cs="Calibri"/>
        <w:i/>
        <w:iCs/>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7D9B" w14:textId="77777777" w:rsidR="009F6EA2" w:rsidRDefault="009F6EA2" w:rsidP="000626E0">
      <w:pPr>
        <w:spacing w:after="0" w:line="240" w:lineRule="auto"/>
      </w:pPr>
      <w:r>
        <w:separator/>
      </w:r>
    </w:p>
  </w:footnote>
  <w:footnote w:type="continuationSeparator" w:id="0">
    <w:p w14:paraId="22ACEA4C" w14:textId="77777777" w:rsidR="009F6EA2" w:rsidRDefault="009F6EA2" w:rsidP="000626E0">
      <w:pPr>
        <w:spacing w:after="0" w:line="240" w:lineRule="auto"/>
      </w:pPr>
      <w:r>
        <w:continuationSeparator/>
      </w:r>
    </w:p>
  </w:footnote>
  <w:footnote w:type="continuationNotice" w:id="1">
    <w:p w14:paraId="00AE9C6D" w14:textId="77777777" w:rsidR="009F6EA2" w:rsidRDefault="009F6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C21E" w14:textId="2285F5C9" w:rsidR="000626E0" w:rsidRDefault="00062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395808"/>
      <w:docPartObj>
        <w:docPartGallery w:val="Page Numbers (Top of Page)"/>
        <w:docPartUnique/>
      </w:docPartObj>
    </w:sdtPr>
    <w:sdtEndPr>
      <w:rPr>
        <w:noProof/>
      </w:rPr>
    </w:sdtEndPr>
    <w:sdtContent>
      <w:p w14:paraId="2C05B4C7" w14:textId="48DC4163" w:rsidR="00ED41AD" w:rsidRDefault="00ED41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96B9F9" w14:textId="0832EBDA" w:rsidR="000626E0" w:rsidRDefault="00062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68B9" w14:textId="02F23FCB" w:rsidR="000626E0" w:rsidRDefault="00062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06E943AE" id="_x0000_i1026" style="width:0;height:1.5pt" o:hralign="center" o:bullet="t" o:hrstd="t" o:hr="t" fillcolor="#a0a0a0" stroked="f"/>
    </w:pict>
  </w:numPicBullet>
  <w:abstractNum w:abstractNumId="0" w15:restartNumberingAfterBreak="0">
    <w:nsid w:val="0243692A"/>
    <w:multiLevelType w:val="multilevel"/>
    <w:tmpl w:val="970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793E"/>
    <w:multiLevelType w:val="multilevel"/>
    <w:tmpl w:val="FBD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1EFC"/>
    <w:multiLevelType w:val="multilevel"/>
    <w:tmpl w:val="C8A8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A1F2B"/>
    <w:multiLevelType w:val="hybridMultilevel"/>
    <w:tmpl w:val="E362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6691C"/>
    <w:multiLevelType w:val="multilevel"/>
    <w:tmpl w:val="45B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F1883"/>
    <w:multiLevelType w:val="hybridMultilevel"/>
    <w:tmpl w:val="FE50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712C5"/>
    <w:multiLevelType w:val="multilevel"/>
    <w:tmpl w:val="FBD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E88A3"/>
    <w:multiLevelType w:val="hybridMultilevel"/>
    <w:tmpl w:val="4894BB70"/>
    <w:lvl w:ilvl="0" w:tplc="47FA9492">
      <w:start w:val="1"/>
      <w:numFmt w:val="bullet"/>
      <w:lvlText w:val=""/>
      <w:lvlJc w:val="left"/>
      <w:pPr>
        <w:ind w:left="1080" w:hanging="360"/>
      </w:pPr>
      <w:rPr>
        <w:rFonts w:ascii="Symbol" w:hAnsi="Symbol" w:hint="default"/>
      </w:rPr>
    </w:lvl>
    <w:lvl w:ilvl="1" w:tplc="543AA7B4">
      <w:start w:val="1"/>
      <w:numFmt w:val="bullet"/>
      <w:lvlText w:val="o"/>
      <w:lvlJc w:val="left"/>
      <w:pPr>
        <w:ind w:left="1800" w:hanging="360"/>
      </w:pPr>
      <w:rPr>
        <w:rFonts w:ascii="Courier New" w:hAnsi="Courier New" w:hint="default"/>
      </w:rPr>
    </w:lvl>
    <w:lvl w:ilvl="2" w:tplc="3E3298DE">
      <w:start w:val="1"/>
      <w:numFmt w:val="bullet"/>
      <w:lvlText w:val=""/>
      <w:lvlJc w:val="left"/>
      <w:pPr>
        <w:ind w:left="2520" w:hanging="360"/>
      </w:pPr>
      <w:rPr>
        <w:rFonts w:ascii="Wingdings" w:hAnsi="Wingdings" w:hint="default"/>
      </w:rPr>
    </w:lvl>
    <w:lvl w:ilvl="3" w:tplc="18F85A40">
      <w:start w:val="1"/>
      <w:numFmt w:val="bullet"/>
      <w:lvlText w:val=""/>
      <w:lvlJc w:val="left"/>
      <w:pPr>
        <w:ind w:left="3240" w:hanging="360"/>
      </w:pPr>
      <w:rPr>
        <w:rFonts w:ascii="Symbol" w:hAnsi="Symbol" w:hint="default"/>
      </w:rPr>
    </w:lvl>
    <w:lvl w:ilvl="4" w:tplc="C88C2994">
      <w:start w:val="1"/>
      <w:numFmt w:val="bullet"/>
      <w:lvlText w:val="o"/>
      <w:lvlJc w:val="left"/>
      <w:pPr>
        <w:ind w:left="3960" w:hanging="360"/>
      </w:pPr>
      <w:rPr>
        <w:rFonts w:ascii="Courier New" w:hAnsi="Courier New" w:hint="default"/>
      </w:rPr>
    </w:lvl>
    <w:lvl w:ilvl="5" w:tplc="6B52CB98">
      <w:start w:val="1"/>
      <w:numFmt w:val="bullet"/>
      <w:lvlText w:val=""/>
      <w:lvlJc w:val="left"/>
      <w:pPr>
        <w:ind w:left="4680" w:hanging="360"/>
      </w:pPr>
      <w:rPr>
        <w:rFonts w:ascii="Wingdings" w:hAnsi="Wingdings" w:hint="default"/>
      </w:rPr>
    </w:lvl>
    <w:lvl w:ilvl="6" w:tplc="44BA104A">
      <w:start w:val="1"/>
      <w:numFmt w:val="bullet"/>
      <w:lvlText w:val=""/>
      <w:lvlJc w:val="left"/>
      <w:pPr>
        <w:ind w:left="5400" w:hanging="360"/>
      </w:pPr>
      <w:rPr>
        <w:rFonts w:ascii="Symbol" w:hAnsi="Symbol" w:hint="default"/>
      </w:rPr>
    </w:lvl>
    <w:lvl w:ilvl="7" w:tplc="28302652">
      <w:start w:val="1"/>
      <w:numFmt w:val="bullet"/>
      <w:lvlText w:val="o"/>
      <w:lvlJc w:val="left"/>
      <w:pPr>
        <w:ind w:left="6120" w:hanging="360"/>
      </w:pPr>
      <w:rPr>
        <w:rFonts w:ascii="Courier New" w:hAnsi="Courier New" w:hint="default"/>
      </w:rPr>
    </w:lvl>
    <w:lvl w:ilvl="8" w:tplc="9EAE21B6">
      <w:start w:val="1"/>
      <w:numFmt w:val="bullet"/>
      <w:lvlText w:val=""/>
      <w:lvlJc w:val="left"/>
      <w:pPr>
        <w:ind w:left="6840" w:hanging="360"/>
      </w:pPr>
      <w:rPr>
        <w:rFonts w:ascii="Wingdings" w:hAnsi="Wingdings" w:hint="default"/>
      </w:rPr>
    </w:lvl>
  </w:abstractNum>
  <w:abstractNum w:abstractNumId="8" w15:restartNumberingAfterBreak="0">
    <w:nsid w:val="2FFF01B5"/>
    <w:multiLevelType w:val="hybridMultilevel"/>
    <w:tmpl w:val="4C6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55E71"/>
    <w:multiLevelType w:val="hybridMultilevel"/>
    <w:tmpl w:val="DDEC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E352C"/>
    <w:multiLevelType w:val="multilevel"/>
    <w:tmpl w:val="0DE2E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8F62F7"/>
    <w:multiLevelType w:val="multilevel"/>
    <w:tmpl w:val="C9C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17DDA"/>
    <w:multiLevelType w:val="hybridMultilevel"/>
    <w:tmpl w:val="D7E6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709B8"/>
    <w:multiLevelType w:val="multilevel"/>
    <w:tmpl w:val="EE3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3606B"/>
    <w:multiLevelType w:val="multilevel"/>
    <w:tmpl w:val="7C2C4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F69DE"/>
    <w:multiLevelType w:val="multilevel"/>
    <w:tmpl w:val="83D4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241533"/>
    <w:multiLevelType w:val="multilevel"/>
    <w:tmpl w:val="1A14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174C1"/>
    <w:multiLevelType w:val="multilevel"/>
    <w:tmpl w:val="A1E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47C1A"/>
    <w:multiLevelType w:val="hybridMultilevel"/>
    <w:tmpl w:val="1474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C56AA"/>
    <w:multiLevelType w:val="multilevel"/>
    <w:tmpl w:val="11B4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872C0"/>
    <w:multiLevelType w:val="multilevel"/>
    <w:tmpl w:val="EC3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75F10"/>
    <w:multiLevelType w:val="multilevel"/>
    <w:tmpl w:val="42B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37FAA"/>
    <w:multiLevelType w:val="multilevel"/>
    <w:tmpl w:val="064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23480"/>
    <w:multiLevelType w:val="multilevel"/>
    <w:tmpl w:val="B3F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74532"/>
    <w:multiLevelType w:val="multilevel"/>
    <w:tmpl w:val="95126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616C1C"/>
    <w:multiLevelType w:val="hybridMultilevel"/>
    <w:tmpl w:val="94C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E11EA"/>
    <w:multiLevelType w:val="multilevel"/>
    <w:tmpl w:val="00B6B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A195B"/>
    <w:multiLevelType w:val="multilevel"/>
    <w:tmpl w:val="3C78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7E4C46"/>
    <w:multiLevelType w:val="multilevel"/>
    <w:tmpl w:val="E19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045962"/>
    <w:multiLevelType w:val="multilevel"/>
    <w:tmpl w:val="7500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C5F35"/>
    <w:multiLevelType w:val="multilevel"/>
    <w:tmpl w:val="8832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B56C0"/>
    <w:multiLevelType w:val="hybridMultilevel"/>
    <w:tmpl w:val="679090C4"/>
    <w:lvl w:ilvl="0" w:tplc="53508644">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76D06"/>
    <w:multiLevelType w:val="multilevel"/>
    <w:tmpl w:val="B728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F6592"/>
    <w:multiLevelType w:val="multilevel"/>
    <w:tmpl w:val="B050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D66B10"/>
    <w:multiLevelType w:val="multilevel"/>
    <w:tmpl w:val="1E34F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D9241"/>
    <w:multiLevelType w:val="hybridMultilevel"/>
    <w:tmpl w:val="8378175E"/>
    <w:lvl w:ilvl="0" w:tplc="F97A8282">
      <w:start w:val="1"/>
      <w:numFmt w:val="bullet"/>
      <w:lvlText w:val=""/>
      <w:lvlJc w:val="left"/>
      <w:pPr>
        <w:ind w:left="720" w:hanging="360"/>
      </w:pPr>
      <w:rPr>
        <w:rFonts w:ascii="Symbol" w:hAnsi="Symbol" w:hint="default"/>
      </w:rPr>
    </w:lvl>
    <w:lvl w:ilvl="1" w:tplc="4E8CA5D0">
      <w:start w:val="1"/>
      <w:numFmt w:val="bullet"/>
      <w:lvlText w:val="o"/>
      <w:lvlJc w:val="left"/>
      <w:pPr>
        <w:ind w:left="1440" w:hanging="360"/>
      </w:pPr>
      <w:rPr>
        <w:rFonts w:ascii="Courier New" w:hAnsi="Courier New" w:hint="default"/>
      </w:rPr>
    </w:lvl>
    <w:lvl w:ilvl="2" w:tplc="B4B8A5E2">
      <w:start w:val="1"/>
      <w:numFmt w:val="bullet"/>
      <w:lvlText w:val=""/>
      <w:lvlJc w:val="left"/>
      <w:pPr>
        <w:ind w:left="2160" w:hanging="360"/>
      </w:pPr>
      <w:rPr>
        <w:rFonts w:ascii="Wingdings" w:hAnsi="Wingdings" w:hint="default"/>
      </w:rPr>
    </w:lvl>
    <w:lvl w:ilvl="3" w:tplc="5F5839D2">
      <w:start w:val="1"/>
      <w:numFmt w:val="bullet"/>
      <w:lvlText w:val=""/>
      <w:lvlJc w:val="left"/>
      <w:pPr>
        <w:ind w:left="2880" w:hanging="360"/>
      </w:pPr>
      <w:rPr>
        <w:rFonts w:ascii="Symbol" w:hAnsi="Symbol" w:hint="default"/>
      </w:rPr>
    </w:lvl>
    <w:lvl w:ilvl="4" w:tplc="77847DE8">
      <w:start w:val="1"/>
      <w:numFmt w:val="bullet"/>
      <w:lvlText w:val="o"/>
      <w:lvlJc w:val="left"/>
      <w:pPr>
        <w:ind w:left="3600" w:hanging="360"/>
      </w:pPr>
      <w:rPr>
        <w:rFonts w:ascii="Courier New" w:hAnsi="Courier New" w:hint="default"/>
      </w:rPr>
    </w:lvl>
    <w:lvl w:ilvl="5" w:tplc="954021B2">
      <w:start w:val="1"/>
      <w:numFmt w:val="bullet"/>
      <w:lvlText w:val=""/>
      <w:lvlJc w:val="left"/>
      <w:pPr>
        <w:ind w:left="4320" w:hanging="360"/>
      </w:pPr>
      <w:rPr>
        <w:rFonts w:ascii="Wingdings" w:hAnsi="Wingdings" w:hint="default"/>
      </w:rPr>
    </w:lvl>
    <w:lvl w:ilvl="6" w:tplc="2716F188">
      <w:start w:val="1"/>
      <w:numFmt w:val="bullet"/>
      <w:lvlText w:val=""/>
      <w:lvlJc w:val="left"/>
      <w:pPr>
        <w:ind w:left="5040" w:hanging="360"/>
      </w:pPr>
      <w:rPr>
        <w:rFonts w:ascii="Symbol" w:hAnsi="Symbol" w:hint="default"/>
      </w:rPr>
    </w:lvl>
    <w:lvl w:ilvl="7" w:tplc="A7D87E0C">
      <w:start w:val="1"/>
      <w:numFmt w:val="bullet"/>
      <w:lvlText w:val="o"/>
      <w:lvlJc w:val="left"/>
      <w:pPr>
        <w:ind w:left="5760" w:hanging="360"/>
      </w:pPr>
      <w:rPr>
        <w:rFonts w:ascii="Courier New" w:hAnsi="Courier New" w:hint="default"/>
      </w:rPr>
    </w:lvl>
    <w:lvl w:ilvl="8" w:tplc="EED87AF0">
      <w:start w:val="1"/>
      <w:numFmt w:val="bullet"/>
      <w:lvlText w:val=""/>
      <w:lvlJc w:val="left"/>
      <w:pPr>
        <w:ind w:left="6480" w:hanging="360"/>
      </w:pPr>
      <w:rPr>
        <w:rFonts w:ascii="Wingdings" w:hAnsi="Wingdings" w:hint="default"/>
      </w:rPr>
    </w:lvl>
  </w:abstractNum>
  <w:abstractNum w:abstractNumId="36" w15:restartNumberingAfterBreak="0">
    <w:nsid w:val="7DDF2968"/>
    <w:multiLevelType w:val="multilevel"/>
    <w:tmpl w:val="5A4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339B1"/>
    <w:multiLevelType w:val="multilevel"/>
    <w:tmpl w:val="FBDE1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845020">
    <w:abstractNumId w:val="14"/>
  </w:num>
  <w:num w:numId="2" w16cid:durableId="652300368">
    <w:abstractNumId w:val="28"/>
  </w:num>
  <w:num w:numId="3" w16cid:durableId="811677785">
    <w:abstractNumId w:val="15"/>
  </w:num>
  <w:num w:numId="4" w16cid:durableId="1891384504">
    <w:abstractNumId w:val="27"/>
  </w:num>
  <w:num w:numId="5" w16cid:durableId="1412967251">
    <w:abstractNumId w:val="7"/>
  </w:num>
  <w:num w:numId="6" w16cid:durableId="2034111237">
    <w:abstractNumId w:val="35"/>
  </w:num>
  <w:num w:numId="7" w16cid:durableId="1860192083">
    <w:abstractNumId w:val="37"/>
  </w:num>
  <w:num w:numId="8" w16cid:durableId="1321499466">
    <w:abstractNumId w:val="6"/>
  </w:num>
  <w:num w:numId="9" w16cid:durableId="427388363">
    <w:abstractNumId w:val="1"/>
  </w:num>
  <w:num w:numId="10" w16cid:durableId="1280836058">
    <w:abstractNumId w:val="26"/>
  </w:num>
  <w:num w:numId="11" w16cid:durableId="1865048744">
    <w:abstractNumId w:val="21"/>
  </w:num>
  <w:num w:numId="12" w16cid:durableId="1951349128">
    <w:abstractNumId w:val="0"/>
  </w:num>
  <w:num w:numId="13" w16cid:durableId="2066563019">
    <w:abstractNumId w:val="16"/>
  </w:num>
  <w:num w:numId="14" w16cid:durableId="1570732518">
    <w:abstractNumId w:val="36"/>
  </w:num>
  <w:num w:numId="15" w16cid:durableId="1327829716">
    <w:abstractNumId w:val="32"/>
  </w:num>
  <w:num w:numId="16" w16cid:durableId="431319493">
    <w:abstractNumId w:val="17"/>
  </w:num>
  <w:num w:numId="17" w16cid:durableId="62456568">
    <w:abstractNumId w:val="33"/>
  </w:num>
  <w:num w:numId="18" w16cid:durableId="1512646297">
    <w:abstractNumId w:val="22"/>
  </w:num>
  <w:num w:numId="19" w16cid:durableId="1511992171">
    <w:abstractNumId w:val="13"/>
  </w:num>
  <w:num w:numId="20" w16cid:durableId="856232306">
    <w:abstractNumId w:val="19"/>
  </w:num>
  <w:num w:numId="21" w16cid:durableId="789859307">
    <w:abstractNumId w:val="30"/>
  </w:num>
  <w:num w:numId="22" w16cid:durableId="1778334238">
    <w:abstractNumId w:val="11"/>
  </w:num>
  <w:num w:numId="23" w16cid:durableId="1099175597">
    <w:abstractNumId w:val="23"/>
  </w:num>
  <w:num w:numId="24" w16cid:durableId="194854162">
    <w:abstractNumId w:val="34"/>
  </w:num>
  <w:num w:numId="25" w16cid:durableId="1641111547">
    <w:abstractNumId w:val="24"/>
  </w:num>
  <w:num w:numId="26" w16cid:durableId="2084839686">
    <w:abstractNumId w:val="29"/>
  </w:num>
  <w:num w:numId="27" w16cid:durableId="578711824">
    <w:abstractNumId w:val="10"/>
  </w:num>
  <w:num w:numId="28" w16cid:durableId="1698120464">
    <w:abstractNumId w:val="2"/>
  </w:num>
  <w:num w:numId="29" w16cid:durableId="1382438654">
    <w:abstractNumId w:val="20"/>
  </w:num>
  <w:num w:numId="30" w16cid:durableId="300498085">
    <w:abstractNumId w:val="12"/>
  </w:num>
  <w:num w:numId="31" w16cid:durableId="1854032611">
    <w:abstractNumId w:val="4"/>
  </w:num>
  <w:num w:numId="32" w16cid:durableId="609364188">
    <w:abstractNumId w:val="8"/>
  </w:num>
  <w:num w:numId="33" w16cid:durableId="2074351551">
    <w:abstractNumId w:val="9"/>
  </w:num>
  <w:num w:numId="34" w16cid:durableId="940794051">
    <w:abstractNumId w:val="31"/>
  </w:num>
  <w:num w:numId="35" w16cid:durableId="1618104257">
    <w:abstractNumId w:val="18"/>
  </w:num>
  <w:num w:numId="36" w16cid:durableId="340936323">
    <w:abstractNumId w:val="25"/>
  </w:num>
  <w:num w:numId="37" w16cid:durableId="879441753">
    <w:abstractNumId w:val="3"/>
  </w:num>
  <w:num w:numId="38" w16cid:durableId="53971080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82"/>
    <w:rsid w:val="0000010C"/>
    <w:rsid w:val="00003513"/>
    <w:rsid w:val="000047EE"/>
    <w:rsid w:val="00004CAE"/>
    <w:rsid w:val="00005FFB"/>
    <w:rsid w:val="00006D63"/>
    <w:rsid w:val="00007532"/>
    <w:rsid w:val="00011C18"/>
    <w:rsid w:val="00016B1C"/>
    <w:rsid w:val="00016C77"/>
    <w:rsid w:val="00020E0D"/>
    <w:rsid w:val="00023A77"/>
    <w:rsid w:val="00025489"/>
    <w:rsid w:val="00027009"/>
    <w:rsid w:val="000270CC"/>
    <w:rsid w:val="000348A9"/>
    <w:rsid w:val="000354B2"/>
    <w:rsid w:val="0004076E"/>
    <w:rsid w:val="00042D84"/>
    <w:rsid w:val="000448C4"/>
    <w:rsid w:val="00044A95"/>
    <w:rsid w:val="00046064"/>
    <w:rsid w:val="0004681E"/>
    <w:rsid w:val="00046820"/>
    <w:rsid w:val="0004B91C"/>
    <w:rsid w:val="00055781"/>
    <w:rsid w:val="00060B01"/>
    <w:rsid w:val="000626E0"/>
    <w:rsid w:val="0007627B"/>
    <w:rsid w:val="0007742C"/>
    <w:rsid w:val="000813F4"/>
    <w:rsid w:val="00085FA7"/>
    <w:rsid w:val="00086D5B"/>
    <w:rsid w:val="00086E81"/>
    <w:rsid w:val="0009082D"/>
    <w:rsid w:val="000935CE"/>
    <w:rsid w:val="00093A46"/>
    <w:rsid w:val="000A2996"/>
    <w:rsid w:val="000A674E"/>
    <w:rsid w:val="000B021D"/>
    <w:rsid w:val="000B02F6"/>
    <w:rsid w:val="000B0543"/>
    <w:rsid w:val="000B25E4"/>
    <w:rsid w:val="000B426B"/>
    <w:rsid w:val="000B616E"/>
    <w:rsid w:val="000C01DD"/>
    <w:rsid w:val="000C1351"/>
    <w:rsid w:val="000C4CC1"/>
    <w:rsid w:val="000C579F"/>
    <w:rsid w:val="000D1D9A"/>
    <w:rsid w:val="000D3A04"/>
    <w:rsid w:val="000E0EA1"/>
    <w:rsid w:val="000E1282"/>
    <w:rsid w:val="000E49C0"/>
    <w:rsid w:val="000E56B6"/>
    <w:rsid w:val="000E64BB"/>
    <w:rsid w:val="000E7948"/>
    <w:rsid w:val="000F2406"/>
    <w:rsid w:val="000F2C9E"/>
    <w:rsid w:val="00104374"/>
    <w:rsid w:val="0010587E"/>
    <w:rsid w:val="001076F3"/>
    <w:rsid w:val="001077D7"/>
    <w:rsid w:val="00112400"/>
    <w:rsid w:val="00113DB1"/>
    <w:rsid w:val="001150FD"/>
    <w:rsid w:val="001178AB"/>
    <w:rsid w:val="001274D2"/>
    <w:rsid w:val="00130314"/>
    <w:rsid w:val="00135EF4"/>
    <w:rsid w:val="00142453"/>
    <w:rsid w:val="00142E3D"/>
    <w:rsid w:val="00144353"/>
    <w:rsid w:val="001468F7"/>
    <w:rsid w:val="001478AC"/>
    <w:rsid w:val="00147C3A"/>
    <w:rsid w:val="001508FB"/>
    <w:rsid w:val="00150C66"/>
    <w:rsid w:val="00154646"/>
    <w:rsid w:val="00154F0F"/>
    <w:rsid w:val="00155CB9"/>
    <w:rsid w:val="00155CF9"/>
    <w:rsid w:val="001569E4"/>
    <w:rsid w:val="00156E00"/>
    <w:rsid w:val="00157264"/>
    <w:rsid w:val="00161F50"/>
    <w:rsid w:val="00163DF6"/>
    <w:rsid w:val="0016580C"/>
    <w:rsid w:val="001701F4"/>
    <w:rsid w:val="0017071E"/>
    <w:rsid w:val="00170DA3"/>
    <w:rsid w:val="00171E74"/>
    <w:rsid w:val="00174AD2"/>
    <w:rsid w:val="00176A55"/>
    <w:rsid w:val="0018159E"/>
    <w:rsid w:val="001842F2"/>
    <w:rsid w:val="00190748"/>
    <w:rsid w:val="00190D23"/>
    <w:rsid w:val="00192BE8"/>
    <w:rsid w:val="001932FD"/>
    <w:rsid w:val="001967E1"/>
    <w:rsid w:val="0019787C"/>
    <w:rsid w:val="001A05D0"/>
    <w:rsid w:val="001A0784"/>
    <w:rsid w:val="001A4BBC"/>
    <w:rsid w:val="001A5678"/>
    <w:rsid w:val="001A76E8"/>
    <w:rsid w:val="001B0989"/>
    <w:rsid w:val="001B154F"/>
    <w:rsid w:val="001B1D73"/>
    <w:rsid w:val="001B3392"/>
    <w:rsid w:val="001B6A5E"/>
    <w:rsid w:val="001B6B45"/>
    <w:rsid w:val="001C2A4A"/>
    <w:rsid w:val="001C47CA"/>
    <w:rsid w:val="001D6F7C"/>
    <w:rsid w:val="001E0E53"/>
    <w:rsid w:val="001E104C"/>
    <w:rsid w:val="001E14F3"/>
    <w:rsid w:val="001E17FE"/>
    <w:rsid w:val="001E2483"/>
    <w:rsid w:val="001E32FA"/>
    <w:rsid w:val="001E4113"/>
    <w:rsid w:val="001E4A7B"/>
    <w:rsid w:val="001E64A7"/>
    <w:rsid w:val="001E7DC9"/>
    <w:rsid w:val="001F4C05"/>
    <w:rsid w:val="001F7083"/>
    <w:rsid w:val="00200164"/>
    <w:rsid w:val="002013A5"/>
    <w:rsid w:val="00202EDF"/>
    <w:rsid w:val="00204F8B"/>
    <w:rsid w:val="00205C8F"/>
    <w:rsid w:val="00210950"/>
    <w:rsid w:val="0021246C"/>
    <w:rsid w:val="00215E4C"/>
    <w:rsid w:val="002251E5"/>
    <w:rsid w:val="00226DEC"/>
    <w:rsid w:val="00227746"/>
    <w:rsid w:val="00232FAE"/>
    <w:rsid w:val="002332BE"/>
    <w:rsid w:val="00233407"/>
    <w:rsid w:val="00237477"/>
    <w:rsid w:val="00237F35"/>
    <w:rsid w:val="00241FCF"/>
    <w:rsid w:val="00243348"/>
    <w:rsid w:val="00244AFA"/>
    <w:rsid w:val="00245C90"/>
    <w:rsid w:val="00245F59"/>
    <w:rsid w:val="002518E3"/>
    <w:rsid w:val="00252816"/>
    <w:rsid w:val="00255F7C"/>
    <w:rsid w:val="002603CC"/>
    <w:rsid w:val="00262F76"/>
    <w:rsid w:val="00264C3A"/>
    <w:rsid w:val="00270238"/>
    <w:rsid w:val="00271EC4"/>
    <w:rsid w:val="00272351"/>
    <w:rsid w:val="00276F8E"/>
    <w:rsid w:val="00277CB1"/>
    <w:rsid w:val="00280E9B"/>
    <w:rsid w:val="002813A5"/>
    <w:rsid w:val="00281663"/>
    <w:rsid w:val="002818F2"/>
    <w:rsid w:val="00285392"/>
    <w:rsid w:val="002856C8"/>
    <w:rsid w:val="00291F1B"/>
    <w:rsid w:val="002927A0"/>
    <w:rsid w:val="0029316A"/>
    <w:rsid w:val="002931E2"/>
    <w:rsid w:val="00293BC9"/>
    <w:rsid w:val="002940B6"/>
    <w:rsid w:val="00295264"/>
    <w:rsid w:val="00296352"/>
    <w:rsid w:val="002A0E63"/>
    <w:rsid w:val="002A1626"/>
    <w:rsid w:val="002A19CC"/>
    <w:rsid w:val="002A1AC7"/>
    <w:rsid w:val="002A36A2"/>
    <w:rsid w:val="002A6EE4"/>
    <w:rsid w:val="002A7213"/>
    <w:rsid w:val="002B19D2"/>
    <w:rsid w:val="002B37E8"/>
    <w:rsid w:val="002B4517"/>
    <w:rsid w:val="002B56C5"/>
    <w:rsid w:val="002C3B9B"/>
    <w:rsid w:val="002D7E61"/>
    <w:rsid w:val="002E16AA"/>
    <w:rsid w:val="002E2E49"/>
    <w:rsid w:val="002E3EB6"/>
    <w:rsid w:val="002E5BAF"/>
    <w:rsid w:val="002F005B"/>
    <w:rsid w:val="002F05F2"/>
    <w:rsid w:val="002F0A2B"/>
    <w:rsid w:val="002F1445"/>
    <w:rsid w:val="002F494F"/>
    <w:rsid w:val="002F5901"/>
    <w:rsid w:val="0030282D"/>
    <w:rsid w:val="00302BA1"/>
    <w:rsid w:val="00305FF5"/>
    <w:rsid w:val="00311324"/>
    <w:rsid w:val="00311CF5"/>
    <w:rsid w:val="00312B8E"/>
    <w:rsid w:val="00315EF4"/>
    <w:rsid w:val="00316230"/>
    <w:rsid w:val="0032279E"/>
    <w:rsid w:val="00323BE5"/>
    <w:rsid w:val="0032401A"/>
    <w:rsid w:val="00324BC3"/>
    <w:rsid w:val="003305E9"/>
    <w:rsid w:val="00332899"/>
    <w:rsid w:val="00332FFB"/>
    <w:rsid w:val="00333B8E"/>
    <w:rsid w:val="00337502"/>
    <w:rsid w:val="00337911"/>
    <w:rsid w:val="00340C5F"/>
    <w:rsid w:val="003414CD"/>
    <w:rsid w:val="003420FC"/>
    <w:rsid w:val="003451E6"/>
    <w:rsid w:val="00346FB3"/>
    <w:rsid w:val="003472D8"/>
    <w:rsid w:val="00352411"/>
    <w:rsid w:val="00352D36"/>
    <w:rsid w:val="00357718"/>
    <w:rsid w:val="0036023E"/>
    <w:rsid w:val="00362B0E"/>
    <w:rsid w:val="003646B5"/>
    <w:rsid w:val="003666D7"/>
    <w:rsid w:val="003676EA"/>
    <w:rsid w:val="00370D69"/>
    <w:rsid w:val="00380613"/>
    <w:rsid w:val="00382150"/>
    <w:rsid w:val="00382240"/>
    <w:rsid w:val="00386181"/>
    <w:rsid w:val="003876CB"/>
    <w:rsid w:val="003A0240"/>
    <w:rsid w:val="003A1D07"/>
    <w:rsid w:val="003B07C4"/>
    <w:rsid w:val="003B0FD2"/>
    <w:rsid w:val="003B1BB1"/>
    <w:rsid w:val="003B3570"/>
    <w:rsid w:val="003C13A8"/>
    <w:rsid w:val="003C2A68"/>
    <w:rsid w:val="003C394E"/>
    <w:rsid w:val="003C3D6F"/>
    <w:rsid w:val="003C5326"/>
    <w:rsid w:val="003D0E66"/>
    <w:rsid w:val="003D2CDD"/>
    <w:rsid w:val="003D48CB"/>
    <w:rsid w:val="003E0FCD"/>
    <w:rsid w:val="003E1DC2"/>
    <w:rsid w:val="003E287B"/>
    <w:rsid w:val="003E37FF"/>
    <w:rsid w:val="003E5374"/>
    <w:rsid w:val="003E777D"/>
    <w:rsid w:val="003F03A2"/>
    <w:rsid w:val="003F27D9"/>
    <w:rsid w:val="003F3B4B"/>
    <w:rsid w:val="003F4E64"/>
    <w:rsid w:val="003F5BB5"/>
    <w:rsid w:val="003F6895"/>
    <w:rsid w:val="0040029C"/>
    <w:rsid w:val="0040050B"/>
    <w:rsid w:val="00402F09"/>
    <w:rsid w:val="004034DF"/>
    <w:rsid w:val="00404915"/>
    <w:rsid w:val="00407A63"/>
    <w:rsid w:val="00407D10"/>
    <w:rsid w:val="0041183A"/>
    <w:rsid w:val="00411BBB"/>
    <w:rsid w:val="0041407E"/>
    <w:rsid w:val="0041504B"/>
    <w:rsid w:val="00416158"/>
    <w:rsid w:val="00417CEF"/>
    <w:rsid w:val="00417E9C"/>
    <w:rsid w:val="004213B8"/>
    <w:rsid w:val="004219A0"/>
    <w:rsid w:val="00422118"/>
    <w:rsid w:val="0042422C"/>
    <w:rsid w:val="00425ABD"/>
    <w:rsid w:val="0043097B"/>
    <w:rsid w:val="00433059"/>
    <w:rsid w:val="00433D41"/>
    <w:rsid w:val="004359BD"/>
    <w:rsid w:val="0043661E"/>
    <w:rsid w:val="00441D5D"/>
    <w:rsid w:val="00443DD4"/>
    <w:rsid w:val="00444B22"/>
    <w:rsid w:val="0044702F"/>
    <w:rsid w:val="00447353"/>
    <w:rsid w:val="004502BF"/>
    <w:rsid w:val="00450DD1"/>
    <w:rsid w:val="00451A23"/>
    <w:rsid w:val="004542DE"/>
    <w:rsid w:val="004707D7"/>
    <w:rsid w:val="004717C4"/>
    <w:rsid w:val="00471D3A"/>
    <w:rsid w:val="00480F6B"/>
    <w:rsid w:val="00483344"/>
    <w:rsid w:val="00495355"/>
    <w:rsid w:val="004A077D"/>
    <w:rsid w:val="004A312B"/>
    <w:rsid w:val="004B12E1"/>
    <w:rsid w:val="004B6F26"/>
    <w:rsid w:val="004C127A"/>
    <w:rsid w:val="004C2B34"/>
    <w:rsid w:val="004C5B2E"/>
    <w:rsid w:val="004C60D8"/>
    <w:rsid w:val="004C6470"/>
    <w:rsid w:val="004D39AC"/>
    <w:rsid w:val="004D42B1"/>
    <w:rsid w:val="004E3578"/>
    <w:rsid w:val="004E3E8F"/>
    <w:rsid w:val="004E4FA3"/>
    <w:rsid w:val="004E54F5"/>
    <w:rsid w:val="004E753C"/>
    <w:rsid w:val="004F0325"/>
    <w:rsid w:val="004F37A7"/>
    <w:rsid w:val="004F4B7F"/>
    <w:rsid w:val="004F5ACB"/>
    <w:rsid w:val="00500A00"/>
    <w:rsid w:val="00506292"/>
    <w:rsid w:val="0051376B"/>
    <w:rsid w:val="00513CD4"/>
    <w:rsid w:val="0051620A"/>
    <w:rsid w:val="005210C3"/>
    <w:rsid w:val="005212B7"/>
    <w:rsid w:val="005214C6"/>
    <w:rsid w:val="0052211D"/>
    <w:rsid w:val="00523589"/>
    <w:rsid w:val="005245B7"/>
    <w:rsid w:val="00526C10"/>
    <w:rsid w:val="00527F0E"/>
    <w:rsid w:val="00532A66"/>
    <w:rsid w:val="00534708"/>
    <w:rsid w:val="0053553F"/>
    <w:rsid w:val="00537078"/>
    <w:rsid w:val="00537795"/>
    <w:rsid w:val="00537AAE"/>
    <w:rsid w:val="005405A8"/>
    <w:rsid w:val="005406F2"/>
    <w:rsid w:val="00541745"/>
    <w:rsid w:val="005434A2"/>
    <w:rsid w:val="00544C2D"/>
    <w:rsid w:val="00547CFD"/>
    <w:rsid w:val="00550375"/>
    <w:rsid w:val="00553119"/>
    <w:rsid w:val="00556687"/>
    <w:rsid w:val="00562940"/>
    <w:rsid w:val="0056333F"/>
    <w:rsid w:val="005660A3"/>
    <w:rsid w:val="005677BC"/>
    <w:rsid w:val="00567F7B"/>
    <w:rsid w:val="0057361E"/>
    <w:rsid w:val="005829D4"/>
    <w:rsid w:val="005849D1"/>
    <w:rsid w:val="00585FB0"/>
    <w:rsid w:val="0059080D"/>
    <w:rsid w:val="00590FA9"/>
    <w:rsid w:val="00593BC1"/>
    <w:rsid w:val="005941AE"/>
    <w:rsid w:val="005968DA"/>
    <w:rsid w:val="00597F60"/>
    <w:rsid w:val="005A0287"/>
    <w:rsid w:val="005A05FC"/>
    <w:rsid w:val="005A2220"/>
    <w:rsid w:val="005A3866"/>
    <w:rsid w:val="005A40A8"/>
    <w:rsid w:val="005A5AC3"/>
    <w:rsid w:val="005A610F"/>
    <w:rsid w:val="005A6F7F"/>
    <w:rsid w:val="005B3919"/>
    <w:rsid w:val="005B5BB2"/>
    <w:rsid w:val="005C0C78"/>
    <w:rsid w:val="005C5945"/>
    <w:rsid w:val="005C6283"/>
    <w:rsid w:val="005D05A1"/>
    <w:rsid w:val="005D534E"/>
    <w:rsid w:val="005D57CA"/>
    <w:rsid w:val="005E1A3C"/>
    <w:rsid w:val="005E6BA6"/>
    <w:rsid w:val="005F3828"/>
    <w:rsid w:val="005F6804"/>
    <w:rsid w:val="005F68E9"/>
    <w:rsid w:val="005F6FB7"/>
    <w:rsid w:val="005F7294"/>
    <w:rsid w:val="00601508"/>
    <w:rsid w:val="006017AA"/>
    <w:rsid w:val="00602DCE"/>
    <w:rsid w:val="00604428"/>
    <w:rsid w:val="00613F17"/>
    <w:rsid w:val="0061532C"/>
    <w:rsid w:val="0061650B"/>
    <w:rsid w:val="00616802"/>
    <w:rsid w:val="00620A70"/>
    <w:rsid w:val="00622DAC"/>
    <w:rsid w:val="00634F02"/>
    <w:rsid w:val="006373D6"/>
    <w:rsid w:val="00637E62"/>
    <w:rsid w:val="006407D5"/>
    <w:rsid w:val="006426D7"/>
    <w:rsid w:val="00642BA3"/>
    <w:rsid w:val="00643F3F"/>
    <w:rsid w:val="006467CF"/>
    <w:rsid w:val="00646AFD"/>
    <w:rsid w:val="006521D6"/>
    <w:rsid w:val="00653182"/>
    <w:rsid w:val="00653BBB"/>
    <w:rsid w:val="006550FE"/>
    <w:rsid w:val="006555E0"/>
    <w:rsid w:val="00655E14"/>
    <w:rsid w:val="006617AA"/>
    <w:rsid w:val="00662978"/>
    <w:rsid w:val="00663A8E"/>
    <w:rsid w:val="006640E8"/>
    <w:rsid w:val="00664421"/>
    <w:rsid w:val="0066466D"/>
    <w:rsid w:val="006656F8"/>
    <w:rsid w:val="006709DA"/>
    <w:rsid w:val="0067158F"/>
    <w:rsid w:val="00671E64"/>
    <w:rsid w:val="0067233E"/>
    <w:rsid w:val="006736CC"/>
    <w:rsid w:val="00674405"/>
    <w:rsid w:val="006766B3"/>
    <w:rsid w:val="00680036"/>
    <w:rsid w:val="00681635"/>
    <w:rsid w:val="00681864"/>
    <w:rsid w:val="006818C9"/>
    <w:rsid w:val="0068298A"/>
    <w:rsid w:val="00683420"/>
    <w:rsid w:val="00683D5C"/>
    <w:rsid w:val="00684FED"/>
    <w:rsid w:val="00686A53"/>
    <w:rsid w:val="00686FDF"/>
    <w:rsid w:val="00691827"/>
    <w:rsid w:val="00692148"/>
    <w:rsid w:val="00693EAF"/>
    <w:rsid w:val="00694CC2"/>
    <w:rsid w:val="006959CA"/>
    <w:rsid w:val="00696850"/>
    <w:rsid w:val="00697783"/>
    <w:rsid w:val="00697E8B"/>
    <w:rsid w:val="006A0107"/>
    <w:rsid w:val="006A1D4B"/>
    <w:rsid w:val="006A2F28"/>
    <w:rsid w:val="006A5C69"/>
    <w:rsid w:val="006B6485"/>
    <w:rsid w:val="006B6717"/>
    <w:rsid w:val="006B6BAE"/>
    <w:rsid w:val="006C6D22"/>
    <w:rsid w:val="006C7D7F"/>
    <w:rsid w:val="006D23C1"/>
    <w:rsid w:val="006D58F0"/>
    <w:rsid w:val="006D595C"/>
    <w:rsid w:val="006E2E17"/>
    <w:rsid w:val="006E530C"/>
    <w:rsid w:val="006E6FFB"/>
    <w:rsid w:val="006F19FF"/>
    <w:rsid w:val="006F1C1C"/>
    <w:rsid w:val="006F46B5"/>
    <w:rsid w:val="006F5B1C"/>
    <w:rsid w:val="006F5D3E"/>
    <w:rsid w:val="00701877"/>
    <w:rsid w:val="007028EF"/>
    <w:rsid w:val="00707A27"/>
    <w:rsid w:val="00712093"/>
    <w:rsid w:val="007120B9"/>
    <w:rsid w:val="00714BDF"/>
    <w:rsid w:val="00714CFB"/>
    <w:rsid w:val="007154A5"/>
    <w:rsid w:val="00715BB4"/>
    <w:rsid w:val="007162DD"/>
    <w:rsid w:val="007169A1"/>
    <w:rsid w:val="0072618D"/>
    <w:rsid w:val="00726D7D"/>
    <w:rsid w:val="00730923"/>
    <w:rsid w:val="0073386A"/>
    <w:rsid w:val="007340F4"/>
    <w:rsid w:val="0073572F"/>
    <w:rsid w:val="007402CE"/>
    <w:rsid w:val="00741AE8"/>
    <w:rsid w:val="007434C2"/>
    <w:rsid w:val="0074403E"/>
    <w:rsid w:val="007444A8"/>
    <w:rsid w:val="007449F7"/>
    <w:rsid w:val="00747752"/>
    <w:rsid w:val="0075126E"/>
    <w:rsid w:val="00752385"/>
    <w:rsid w:val="00753F81"/>
    <w:rsid w:val="00755635"/>
    <w:rsid w:val="00761266"/>
    <w:rsid w:val="00762C91"/>
    <w:rsid w:val="00763101"/>
    <w:rsid w:val="00763D5D"/>
    <w:rsid w:val="00763F34"/>
    <w:rsid w:val="00766588"/>
    <w:rsid w:val="00773762"/>
    <w:rsid w:val="00780D30"/>
    <w:rsid w:val="007909B8"/>
    <w:rsid w:val="0079134B"/>
    <w:rsid w:val="00797154"/>
    <w:rsid w:val="007A2AF2"/>
    <w:rsid w:val="007A2FC6"/>
    <w:rsid w:val="007A30DD"/>
    <w:rsid w:val="007A4761"/>
    <w:rsid w:val="007A5BB0"/>
    <w:rsid w:val="007ACFD5"/>
    <w:rsid w:val="007B3C63"/>
    <w:rsid w:val="007C12BA"/>
    <w:rsid w:val="007C401D"/>
    <w:rsid w:val="007C65F3"/>
    <w:rsid w:val="007D14C4"/>
    <w:rsid w:val="007D2BEB"/>
    <w:rsid w:val="007D4928"/>
    <w:rsid w:val="007D4942"/>
    <w:rsid w:val="007E1C57"/>
    <w:rsid w:val="007E41E6"/>
    <w:rsid w:val="007E4B5A"/>
    <w:rsid w:val="007E54B2"/>
    <w:rsid w:val="007E71A3"/>
    <w:rsid w:val="007F04E2"/>
    <w:rsid w:val="007F4531"/>
    <w:rsid w:val="007F6CD6"/>
    <w:rsid w:val="00801163"/>
    <w:rsid w:val="00804C86"/>
    <w:rsid w:val="00804C92"/>
    <w:rsid w:val="00804ECF"/>
    <w:rsid w:val="00805237"/>
    <w:rsid w:val="00805727"/>
    <w:rsid w:val="0081412C"/>
    <w:rsid w:val="00814519"/>
    <w:rsid w:val="0082765B"/>
    <w:rsid w:val="008301C5"/>
    <w:rsid w:val="00836B20"/>
    <w:rsid w:val="0084165D"/>
    <w:rsid w:val="00841F45"/>
    <w:rsid w:val="008433AA"/>
    <w:rsid w:val="008477BF"/>
    <w:rsid w:val="00851963"/>
    <w:rsid w:val="008519D5"/>
    <w:rsid w:val="00852E48"/>
    <w:rsid w:val="00854FED"/>
    <w:rsid w:val="008565F8"/>
    <w:rsid w:val="00857416"/>
    <w:rsid w:val="00860DB0"/>
    <w:rsid w:val="008614B8"/>
    <w:rsid w:val="00866435"/>
    <w:rsid w:val="00867FC4"/>
    <w:rsid w:val="008748BA"/>
    <w:rsid w:val="008752F1"/>
    <w:rsid w:val="00877531"/>
    <w:rsid w:val="0087762E"/>
    <w:rsid w:val="00877C6B"/>
    <w:rsid w:val="00877DCE"/>
    <w:rsid w:val="00884E23"/>
    <w:rsid w:val="00887E19"/>
    <w:rsid w:val="00892718"/>
    <w:rsid w:val="00893DED"/>
    <w:rsid w:val="00894704"/>
    <w:rsid w:val="008974F5"/>
    <w:rsid w:val="008A070F"/>
    <w:rsid w:val="008A796A"/>
    <w:rsid w:val="008B0844"/>
    <w:rsid w:val="008B25FB"/>
    <w:rsid w:val="008B2B59"/>
    <w:rsid w:val="008B3715"/>
    <w:rsid w:val="008B5FF8"/>
    <w:rsid w:val="008B79EE"/>
    <w:rsid w:val="008B7C4D"/>
    <w:rsid w:val="008C7B32"/>
    <w:rsid w:val="008D0191"/>
    <w:rsid w:val="008D11CA"/>
    <w:rsid w:val="008D1D7D"/>
    <w:rsid w:val="008D2BD8"/>
    <w:rsid w:val="008D3020"/>
    <w:rsid w:val="008E1B16"/>
    <w:rsid w:val="008E3AE6"/>
    <w:rsid w:val="008E457D"/>
    <w:rsid w:val="008E5B1A"/>
    <w:rsid w:val="008E6DBB"/>
    <w:rsid w:val="008E7309"/>
    <w:rsid w:val="008F3D30"/>
    <w:rsid w:val="008F51DF"/>
    <w:rsid w:val="008F6F80"/>
    <w:rsid w:val="009000BC"/>
    <w:rsid w:val="009006EE"/>
    <w:rsid w:val="0090621C"/>
    <w:rsid w:val="00910890"/>
    <w:rsid w:val="00910B0A"/>
    <w:rsid w:val="009142B7"/>
    <w:rsid w:val="00914B76"/>
    <w:rsid w:val="00926417"/>
    <w:rsid w:val="0092714E"/>
    <w:rsid w:val="00933CE7"/>
    <w:rsid w:val="009357BE"/>
    <w:rsid w:val="00936AF3"/>
    <w:rsid w:val="00940D89"/>
    <w:rsid w:val="009444F1"/>
    <w:rsid w:val="00945EC5"/>
    <w:rsid w:val="00953713"/>
    <w:rsid w:val="00954FAD"/>
    <w:rsid w:val="00956FDC"/>
    <w:rsid w:val="0096105C"/>
    <w:rsid w:val="0096170D"/>
    <w:rsid w:val="00961D37"/>
    <w:rsid w:val="00962765"/>
    <w:rsid w:val="00963B42"/>
    <w:rsid w:val="009656EF"/>
    <w:rsid w:val="009660D4"/>
    <w:rsid w:val="009663ED"/>
    <w:rsid w:val="00967C0F"/>
    <w:rsid w:val="00970044"/>
    <w:rsid w:val="009709F6"/>
    <w:rsid w:val="00972C0F"/>
    <w:rsid w:val="009739C9"/>
    <w:rsid w:val="00973CA8"/>
    <w:rsid w:val="009753ED"/>
    <w:rsid w:val="009815CA"/>
    <w:rsid w:val="009830BA"/>
    <w:rsid w:val="00990567"/>
    <w:rsid w:val="00991C96"/>
    <w:rsid w:val="00992E64"/>
    <w:rsid w:val="009954CE"/>
    <w:rsid w:val="00995E0D"/>
    <w:rsid w:val="00996473"/>
    <w:rsid w:val="00996849"/>
    <w:rsid w:val="00997BEB"/>
    <w:rsid w:val="009A133A"/>
    <w:rsid w:val="009A340B"/>
    <w:rsid w:val="009A5454"/>
    <w:rsid w:val="009A7575"/>
    <w:rsid w:val="009A7AD3"/>
    <w:rsid w:val="009B026B"/>
    <w:rsid w:val="009B0369"/>
    <w:rsid w:val="009B087D"/>
    <w:rsid w:val="009C0ED7"/>
    <w:rsid w:val="009C24D6"/>
    <w:rsid w:val="009C31CF"/>
    <w:rsid w:val="009C3F05"/>
    <w:rsid w:val="009C6F43"/>
    <w:rsid w:val="009C7EF4"/>
    <w:rsid w:val="009D072D"/>
    <w:rsid w:val="009D104D"/>
    <w:rsid w:val="009D127B"/>
    <w:rsid w:val="009D3CA8"/>
    <w:rsid w:val="009D5F28"/>
    <w:rsid w:val="009E0EB6"/>
    <w:rsid w:val="009E2D92"/>
    <w:rsid w:val="009E3A5F"/>
    <w:rsid w:val="009E3D0B"/>
    <w:rsid w:val="009E45CC"/>
    <w:rsid w:val="009E45F2"/>
    <w:rsid w:val="009E5A55"/>
    <w:rsid w:val="009F0F9D"/>
    <w:rsid w:val="009F1971"/>
    <w:rsid w:val="009F4F20"/>
    <w:rsid w:val="009F550D"/>
    <w:rsid w:val="009F6EA2"/>
    <w:rsid w:val="009F7BB1"/>
    <w:rsid w:val="00A0419D"/>
    <w:rsid w:val="00A133DF"/>
    <w:rsid w:val="00A146B0"/>
    <w:rsid w:val="00A20182"/>
    <w:rsid w:val="00A202A9"/>
    <w:rsid w:val="00A249DC"/>
    <w:rsid w:val="00A24DA7"/>
    <w:rsid w:val="00A26F85"/>
    <w:rsid w:val="00A270D9"/>
    <w:rsid w:val="00A326AF"/>
    <w:rsid w:val="00A3365B"/>
    <w:rsid w:val="00A33EC3"/>
    <w:rsid w:val="00A346EB"/>
    <w:rsid w:val="00A3474E"/>
    <w:rsid w:val="00A357F4"/>
    <w:rsid w:val="00A35ABE"/>
    <w:rsid w:val="00A35D6D"/>
    <w:rsid w:val="00A419AE"/>
    <w:rsid w:val="00A42B81"/>
    <w:rsid w:val="00A45D58"/>
    <w:rsid w:val="00A46FAA"/>
    <w:rsid w:val="00A500AA"/>
    <w:rsid w:val="00A50671"/>
    <w:rsid w:val="00A515A3"/>
    <w:rsid w:val="00A533E0"/>
    <w:rsid w:val="00A5406E"/>
    <w:rsid w:val="00A55178"/>
    <w:rsid w:val="00A56D11"/>
    <w:rsid w:val="00A57D41"/>
    <w:rsid w:val="00A6009D"/>
    <w:rsid w:val="00A63BF9"/>
    <w:rsid w:val="00A67199"/>
    <w:rsid w:val="00A6757C"/>
    <w:rsid w:val="00A742E3"/>
    <w:rsid w:val="00A75469"/>
    <w:rsid w:val="00A7634F"/>
    <w:rsid w:val="00A858D4"/>
    <w:rsid w:val="00A8648C"/>
    <w:rsid w:val="00A9054A"/>
    <w:rsid w:val="00A90B8F"/>
    <w:rsid w:val="00A951E1"/>
    <w:rsid w:val="00AA08AA"/>
    <w:rsid w:val="00AA116E"/>
    <w:rsid w:val="00AA79E2"/>
    <w:rsid w:val="00AB4D9F"/>
    <w:rsid w:val="00AB5F1E"/>
    <w:rsid w:val="00AB6E63"/>
    <w:rsid w:val="00AD0301"/>
    <w:rsid w:val="00AD0958"/>
    <w:rsid w:val="00AD15BC"/>
    <w:rsid w:val="00AD2E38"/>
    <w:rsid w:val="00AD3BE4"/>
    <w:rsid w:val="00AE4395"/>
    <w:rsid w:val="00AE5D77"/>
    <w:rsid w:val="00AE668E"/>
    <w:rsid w:val="00AE69B9"/>
    <w:rsid w:val="00AE6A81"/>
    <w:rsid w:val="00AE7359"/>
    <w:rsid w:val="00AF17B8"/>
    <w:rsid w:val="00AF620D"/>
    <w:rsid w:val="00AF62AC"/>
    <w:rsid w:val="00B00E95"/>
    <w:rsid w:val="00B05E60"/>
    <w:rsid w:val="00B102AF"/>
    <w:rsid w:val="00B10FE6"/>
    <w:rsid w:val="00B12164"/>
    <w:rsid w:val="00B12357"/>
    <w:rsid w:val="00B127B7"/>
    <w:rsid w:val="00B13080"/>
    <w:rsid w:val="00B132A5"/>
    <w:rsid w:val="00B152E2"/>
    <w:rsid w:val="00B15AF1"/>
    <w:rsid w:val="00B2227E"/>
    <w:rsid w:val="00B30B80"/>
    <w:rsid w:val="00B35D6D"/>
    <w:rsid w:val="00B41AA7"/>
    <w:rsid w:val="00B42F26"/>
    <w:rsid w:val="00B42F56"/>
    <w:rsid w:val="00B45D14"/>
    <w:rsid w:val="00B502CF"/>
    <w:rsid w:val="00B502DA"/>
    <w:rsid w:val="00B511D7"/>
    <w:rsid w:val="00B54279"/>
    <w:rsid w:val="00B60E8C"/>
    <w:rsid w:val="00B636EE"/>
    <w:rsid w:val="00B6414E"/>
    <w:rsid w:val="00B65918"/>
    <w:rsid w:val="00B70BAB"/>
    <w:rsid w:val="00B72AC5"/>
    <w:rsid w:val="00B72F76"/>
    <w:rsid w:val="00B76102"/>
    <w:rsid w:val="00B773D2"/>
    <w:rsid w:val="00B8076B"/>
    <w:rsid w:val="00B8203E"/>
    <w:rsid w:val="00B8460C"/>
    <w:rsid w:val="00B85480"/>
    <w:rsid w:val="00B9149F"/>
    <w:rsid w:val="00B94530"/>
    <w:rsid w:val="00B94DFD"/>
    <w:rsid w:val="00B94F97"/>
    <w:rsid w:val="00B977C6"/>
    <w:rsid w:val="00BA0FF8"/>
    <w:rsid w:val="00BA2521"/>
    <w:rsid w:val="00BA41AC"/>
    <w:rsid w:val="00BA4CC8"/>
    <w:rsid w:val="00BA6CB5"/>
    <w:rsid w:val="00BB04AA"/>
    <w:rsid w:val="00BB1153"/>
    <w:rsid w:val="00BB5C3E"/>
    <w:rsid w:val="00BC1431"/>
    <w:rsid w:val="00BC1D86"/>
    <w:rsid w:val="00BC339E"/>
    <w:rsid w:val="00BC4F28"/>
    <w:rsid w:val="00BC63F5"/>
    <w:rsid w:val="00BD45A4"/>
    <w:rsid w:val="00BD4A74"/>
    <w:rsid w:val="00BD7B04"/>
    <w:rsid w:val="00BE43DB"/>
    <w:rsid w:val="00BE72E5"/>
    <w:rsid w:val="00BF08EA"/>
    <w:rsid w:val="00BF2534"/>
    <w:rsid w:val="00BF404C"/>
    <w:rsid w:val="00BF40B0"/>
    <w:rsid w:val="00BF4503"/>
    <w:rsid w:val="00C01707"/>
    <w:rsid w:val="00C03110"/>
    <w:rsid w:val="00C04F90"/>
    <w:rsid w:val="00C10D1D"/>
    <w:rsid w:val="00C13D9C"/>
    <w:rsid w:val="00C147C5"/>
    <w:rsid w:val="00C14AE7"/>
    <w:rsid w:val="00C15472"/>
    <w:rsid w:val="00C15BE7"/>
    <w:rsid w:val="00C164DB"/>
    <w:rsid w:val="00C21663"/>
    <w:rsid w:val="00C21A61"/>
    <w:rsid w:val="00C2725E"/>
    <w:rsid w:val="00C30918"/>
    <w:rsid w:val="00C311DA"/>
    <w:rsid w:val="00C3186D"/>
    <w:rsid w:val="00C33157"/>
    <w:rsid w:val="00C33781"/>
    <w:rsid w:val="00C34D37"/>
    <w:rsid w:val="00C352D9"/>
    <w:rsid w:val="00C35714"/>
    <w:rsid w:val="00C35F4C"/>
    <w:rsid w:val="00C41BAD"/>
    <w:rsid w:val="00C43243"/>
    <w:rsid w:val="00C50279"/>
    <w:rsid w:val="00C52624"/>
    <w:rsid w:val="00C53F71"/>
    <w:rsid w:val="00C549A7"/>
    <w:rsid w:val="00C555CC"/>
    <w:rsid w:val="00C56CE4"/>
    <w:rsid w:val="00C57C07"/>
    <w:rsid w:val="00C6361D"/>
    <w:rsid w:val="00C64BB4"/>
    <w:rsid w:val="00C66103"/>
    <w:rsid w:val="00C66EEC"/>
    <w:rsid w:val="00C70A42"/>
    <w:rsid w:val="00C72878"/>
    <w:rsid w:val="00C75A84"/>
    <w:rsid w:val="00C8144F"/>
    <w:rsid w:val="00C830E8"/>
    <w:rsid w:val="00C852CA"/>
    <w:rsid w:val="00C8579C"/>
    <w:rsid w:val="00C87188"/>
    <w:rsid w:val="00C879B8"/>
    <w:rsid w:val="00C90A14"/>
    <w:rsid w:val="00C911E7"/>
    <w:rsid w:val="00C92EAB"/>
    <w:rsid w:val="00CA761F"/>
    <w:rsid w:val="00CB3361"/>
    <w:rsid w:val="00CB3EE9"/>
    <w:rsid w:val="00CB53C2"/>
    <w:rsid w:val="00CB62B7"/>
    <w:rsid w:val="00CB7A8A"/>
    <w:rsid w:val="00CC4F96"/>
    <w:rsid w:val="00CD0168"/>
    <w:rsid w:val="00CD0ADF"/>
    <w:rsid w:val="00CD31A3"/>
    <w:rsid w:val="00CD373E"/>
    <w:rsid w:val="00CD7B56"/>
    <w:rsid w:val="00CE14F0"/>
    <w:rsid w:val="00CE3C48"/>
    <w:rsid w:val="00CF01A8"/>
    <w:rsid w:val="00CF0796"/>
    <w:rsid w:val="00CF0905"/>
    <w:rsid w:val="00CF1EB3"/>
    <w:rsid w:val="00CF25DE"/>
    <w:rsid w:val="00CF3DE2"/>
    <w:rsid w:val="00CF5CBA"/>
    <w:rsid w:val="00CF6033"/>
    <w:rsid w:val="00CF64C1"/>
    <w:rsid w:val="00CF7EA5"/>
    <w:rsid w:val="00D046B5"/>
    <w:rsid w:val="00D0492E"/>
    <w:rsid w:val="00D04D19"/>
    <w:rsid w:val="00D05C1B"/>
    <w:rsid w:val="00D11E6D"/>
    <w:rsid w:val="00D11EC1"/>
    <w:rsid w:val="00D1637D"/>
    <w:rsid w:val="00D25B25"/>
    <w:rsid w:val="00D30215"/>
    <w:rsid w:val="00D30498"/>
    <w:rsid w:val="00D40159"/>
    <w:rsid w:val="00D409D3"/>
    <w:rsid w:val="00D41C3B"/>
    <w:rsid w:val="00D45184"/>
    <w:rsid w:val="00D541D4"/>
    <w:rsid w:val="00D545DA"/>
    <w:rsid w:val="00D56298"/>
    <w:rsid w:val="00D56402"/>
    <w:rsid w:val="00D569ED"/>
    <w:rsid w:val="00D57DBF"/>
    <w:rsid w:val="00D61BF0"/>
    <w:rsid w:val="00D67CA7"/>
    <w:rsid w:val="00D741B9"/>
    <w:rsid w:val="00D83F72"/>
    <w:rsid w:val="00D8524A"/>
    <w:rsid w:val="00D85F02"/>
    <w:rsid w:val="00D87996"/>
    <w:rsid w:val="00D90A4B"/>
    <w:rsid w:val="00D9182C"/>
    <w:rsid w:val="00D91D0E"/>
    <w:rsid w:val="00D93FDC"/>
    <w:rsid w:val="00D94657"/>
    <w:rsid w:val="00D96B55"/>
    <w:rsid w:val="00DA312F"/>
    <w:rsid w:val="00DA3347"/>
    <w:rsid w:val="00DA36CB"/>
    <w:rsid w:val="00DA59EB"/>
    <w:rsid w:val="00DB00C8"/>
    <w:rsid w:val="00DB24EF"/>
    <w:rsid w:val="00DB2562"/>
    <w:rsid w:val="00DB51C6"/>
    <w:rsid w:val="00DB69B7"/>
    <w:rsid w:val="00DC0159"/>
    <w:rsid w:val="00DC0605"/>
    <w:rsid w:val="00DC075C"/>
    <w:rsid w:val="00DC4A18"/>
    <w:rsid w:val="00DC4B49"/>
    <w:rsid w:val="00DC7B2D"/>
    <w:rsid w:val="00DD1768"/>
    <w:rsid w:val="00DD6B5D"/>
    <w:rsid w:val="00DE3661"/>
    <w:rsid w:val="00DE4069"/>
    <w:rsid w:val="00DE5E57"/>
    <w:rsid w:val="00DE609C"/>
    <w:rsid w:val="00DE668E"/>
    <w:rsid w:val="00DE72B5"/>
    <w:rsid w:val="00DF0348"/>
    <w:rsid w:val="00DF2AA0"/>
    <w:rsid w:val="00DF37AE"/>
    <w:rsid w:val="00DF5F9A"/>
    <w:rsid w:val="00DF626D"/>
    <w:rsid w:val="00DF75CE"/>
    <w:rsid w:val="00E079DB"/>
    <w:rsid w:val="00E07FB5"/>
    <w:rsid w:val="00E13295"/>
    <w:rsid w:val="00E14416"/>
    <w:rsid w:val="00E14449"/>
    <w:rsid w:val="00E2320D"/>
    <w:rsid w:val="00E237DE"/>
    <w:rsid w:val="00E303E9"/>
    <w:rsid w:val="00E31099"/>
    <w:rsid w:val="00E32F89"/>
    <w:rsid w:val="00E33F60"/>
    <w:rsid w:val="00E34ECF"/>
    <w:rsid w:val="00E34FAF"/>
    <w:rsid w:val="00E376FB"/>
    <w:rsid w:val="00E4458F"/>
    <w:rsid w:val="00E4604E"/>
    <w:rsid w:val="00E47C01"/>
    <w:rsid w:val="00E52092"/>
    <w:rsid w:val="00E603B3"/>
    <w:rsid w:val="00E630AA"/>
    <w:rsid w:val="00E646FA"/>
    <w:rsid w:val="00E678B8"/>
    <w:rsid w:val="00E7177B"/>
    <w:rsid w:val="00E73612"/>
    <w:rsid w:val="00E73BDB"/>
    <w:rsid w:val="00E749A8"/>
    <w:rsid w:val="00E75D1D"/>
    <w:rsid w:val="00E76146"/>
    <w:rsid w:val="00E761E1"/>
    <w:rsid w:val="00E852C1"/>
    <w:rsid w:val="00E85C6F"/>
    <w:rsid w:val="00E86FF9"/>
    <w:rsid w:val="00E877ED"/>
    <w:rsid w:val="00E87C06"/>
    <w:rsid w:val="00E92E0E"/>
    <w:rsid w:val="00E93893"/>
    <w:rsid w:val="00E94619"/>
    <w:rsid w:val="00E9478D"/>
    <w:rsid w:val="00E96AA2"/>
    <w:rsid w:val="00EA385A"/>
    <w:rsid w:val="00EA3D90"/>
    <w:rsid w:val="00EA4A61"/>
    <w:rsid w:val="00EA5B51"/>
    <w:rsid w:val="00EA6145"/>
    <w:rsid w:val="00EA7F15"/>
    <w:rsid w:val="00EB57E5"/>
    <w:rsid w:val="00EB66E6"/>
    <w:rsid w:val="00EC16F2"/>
    <w:rsid w:val="00EC30CB"/>
    <w:rsid w:val="00EC696A"/>
    <w:rsid w:val="00EC6BC7"/>
    <w:rsid w:val="00ED41AD"/>
    <w:rsid w:val="00ED4BDB"/>
    <w:rsid w:val="00ED5744"/>
    <w:rsid w:val="00ED672F"/>
    <w:rsid w:val="00ED6A40"/>
    <w:rsid w:val="00EE135F"/>
    <w:rsid w:val="00EE438D"/>
    <w:rsid w:val="00EE4956"/>
    <w:rsid w:val="00EE6987"/>
    <w:rsid w:val="00EF1055"/>
    <w:rsid w:val="00EF5647"/>
    <w:rsid w:val="00F02548"/>
    <w:rsid w:val="00F02906"/>
    <w:rsid w:val="00F02F38"/>
    <w:rsid w:val="00F035D7"/>
    <w:rsid w:val="00F04554"/>
    <w:rsid w:val="00F07A9F"/>
    <w:rsid w:val="00F07B30"/>
    <w:rsid w:val="00F10743"/>
    <w:rsid w:val="00F109F8"/>
    <w:rsid w:val="00F1338B"/>
    <w:rsid w:val="00F14B3B"/>
    <w:rsid w:val="00F164F5"/>
    <w:rsid w:val="00F21B90"/>
    <w:rsid w:val="00F23103"/>
    <w:rsid w:val="00F25B6A"/>
    <w:rsid w:val="00F26673"/>
    <w:rsid w:val="00F27CC4"/>
    <w:rsid w:val="00F304E7"/>
    <w:rsid w:val="00F3361D"/>
    <w:rsid w:val="00F36B16"/>
    <w:rsid w:val="00F37C3D"/>
    <w:rsid w:val="00F403F0"/>
    <w:rsid w:val="00F40CA5"/>
    <w:rsid w:val="00F43A3F"/>
    <w:rsid w:val="00F468F6"/>
    <w:rsid w:val="00F4754B"/>
    <w:rsid w:val="00F55F96"/>
    <w:rsid w:val="00F57296"/>
    <w:rsid w:val="00F577AB"/>
    <w:rsid w:val="00F66D43"/>
    <w:rsid w:val="00F67E3E"/>
    <w:rsid w:val="00F7174A"/>
    <w:rsid w:val="00F722C9"/>
    <w:rsid w:val="00F77EB2"/>
    <w:rsid w:val="00F817CD"/>
    <w:rsid w:val="00F8282D"/>
    <w:rsid w:val="00F83284"/>
    <w:rsid w:val="00F87B55"/>
    <w:rsid w:val="00F93B32"/>
    <w:rsid w:val="00F95BF6"/>
    <w:rsid w:val="00F96073"/>
    <w:rsid w:val="00F97138"/>
    <w:rsid w:val="00FA1524"/>
    <w:rsid w:val="00FA2154"/>
    <w:rsid w:val="00FA45FF"/>
    <w:rsid w:val="00FA47B1"/>
    <w:rsid w:val="00FA4FC0"/>
    <w:rsid w:val="00FA7B40"/>
    <w:rsid w:val="00FB02EE"/>
    <w:rsid w:val="00FB4062"/>
    <w:rsid w:val="00FC08B3"/>
    <w:rsid w:val="00FC1ACA"/>
    <w:rsid w:val="00FC6A95"/>
    <w:rsid w:val="00FD04FA"/>
    <w:rsid w:val="00FD0566"/>
    <w:rsid w:val="00FD39FD"/>
    <w:rsid w:val="00FD47B5"/>
    <w:rsid w:val="00FD51DE"/>
    <w:rsid w:val="00FD7B4B"/>
    <w:rsid w:val="00FE01ED"/>
    <w:rsid w:val="00FE0BA8"/>
    <w:rsid w:val="00FE2C42"/>
    <w:rsid w:val="00FE3C84"/>
    <w:rsid w:val="00FE4DD3"/>
    <w:rsid w:val="00FE5925"/>
    <w:rsid w:val="00FF1E3C"/>
    <w:rsid w:val="00FF6124"/>
    <w:rsid w:val="00FF7982"/>
    <w:rsid w:val="015803A8"/>
    <w:rsid w:val="0218F2D2"/>
    <w:rsid w:val="022664F5"/>
    <w:rsid w:val="02799EE6"/>
    <w:rsid w:val="02CB6439"/>
    <w:rsid w:val="02E1B1AF"/>
    <w:rsid w:val="0317A250"/>
    <w:rsid w:val="033BA2EB"/>
    <w:rsid w:val="037ABFC1"/>
    <w:rsid w:val="037C7824"/>
    <w:rsid w:val="03B7A902"/>
    <w:rsid w:val="03C990DE"/>
    <w:rsid w:val="03E1282A"/>
    <w:rsid w:val="03F7F50B"/>
    <w:rsid w:val="043B157D"/>
    <w:rsid w:val="0469DAA2"/>
    <w:rsid w:val="04898DAD"/>
    <w:rsid w:val="0561B6F2"/>
    <w:rsid w:val="0561CB28"/>
    <w:rsid w:val="056C1831"/>
    <w:rsid w:val="0589F0F5"/>
    <w:rsid w:val="0597BE22"/>
    <w:rsid w:val="062D27E0"/>
    <w:rsid w:val="063F9A1E"/>
    <w:rsid w:val="06B655F7"/>
    <w:rsid w:val="06BAE3B1"/>
    <w:rsid w:val="071ACEAC"/>
    <w:rsid w:val="077FF1F1"/>
    <w:rsid w:val="07BB6EDD"/>
    <w:rsid w:val="07D6E5B1"/>
    <w:rsid w:val="08009481"/>
    <w:rsid w:val="080A4033"/>
    <w:rsid w:val="085D935C"/>
    <w:rsid w:val="093EFA6C"/>
    <w:rsid w:val="09B7B980"/>
    <w:rsid w:val="09F6A951"/>
    <w:rsid w:val="0A072357"/>
    <w:rsid w:val="0AC03029"/>
    <w:rsid w:val="0BA66155"/>
    <w:rsid w:val="0BDFDA92"/>
    <w:rsid w:val="0BE1D273"/>
    <w:rsid w:val="0C4FB4EE"/>
    <w:rsid w:val="0C51E587"/>
    <w:rsid w:val="0C5AD384"/>
    <w:rsid w:val="0C83F43F"/>
    <w:rsid w:val="0CBFA214"/>
    <w:rsid w:val="0D0F029E"/>
    <w:rsid w:val="0D5F7538"/>
    <w:rsid w:val="0D7ABC32"/>
    <w:rsid w:val="0DE2342D"/>
    <w:rsid w:val="0DF077D4"/>
    <w:rsid w:val="0E14E61F"/>
    <w:rsid w:val="0E6575D5"/>
    <w:rsid w:val="103529AF"/>
    <w:rsid w:val="103A0769"/>
    <w:rsid w:val="1063C94A"/>
    <w:rsid w:val="1152B956"/>
    <w:rsid w:val="115E03D2"/>
    <w:rsid w:val="11B6E2F9"/>
    <w:rsid w:val="11B7A4AC"/>
    <w:rsid w:val="12042DAF"/>
    <w:rsid w:val="124627A1"/>
    <w:rsid w:val="129D01DB"/>
    <w:rsid w:val="12F768C2"/>
    <w:rsid w:val="1302E9EB"/>
    <w:rsid w:val="133309D4"/>
    <w:rsid w:val="13B07774"/>
    <w:rsid w:val="13C19EB6"/>
    <w:rsid w:val="13CD74E0"/>
    <w:rsid w:val="13FC5A85"/>
    <w:rsid w:val="1417859E"/>
    <w:rsid w:val="14632B3C"/>
    <w:rsid w:val="1489A4D1"/>
    <w:rsid w:val="15252EAF"/>
    <w:rsid w:val="159E0AD5"/>
    <w:rsid w:val="159EB5AD"/>
    <w:rsid w:val="16733B16"/>
    <w:rsid w:val="16A093BA"/>
    <w:rsid w:val="16A22261"/>
    <w:rsid w:val="16F18934"/>
    <w:rsid w:val="17569DF4"/>
    <w:rsid w:val="176217B7"/>
    <w:rsid w:val="178D7286"/>
    <w:rsid w:val="17B8A4D5"/>
    <w:rsid w:val="17D9C14D"/>
    <w:rsid w:val="17FC180C"/>
    <w:rsid w:val="180CFB3F"/>
    <w:rsid w:val="182063BB"/>
    <w:rsid w:val="18363214"/>
    <w:rsid w:val="1837AE2D"/>
    <w:rsid w:val="1852F48A"/>
    <w:rsid w:val="185B85C2"/>
    <w:rsid w:val="1889FAA0"/>
    <w:rsid w:val="1891483C"/>
    <w:rsid w:val="1895BE34"/>
    <w:rsid w:val="18B9EE02"/>
    <w:rsid w:val="18D3AB67"/>
    <w:rsid w:val="19253F63"/>
    <w:rsid w:val="1951E6F2"/>
    <w:rsid w:val="195C77E1"/>
    <w:rsid w:val="196742CD"/>
    <w:rsid w:val="1A5D3F79"/>
    <w:rsid w:val="1AF8213C"/>
    <w:rsid w:val="1B105495"/>
    <w:rsid w:val="1B7857DE"/>
    <w:rsid w:val="1B9CE609"/>
    <w:rsid w:val="1BB61820"/>
    <w:rsid w:val="1BD73F74"/>
    <w:rsid w:val="1BDD4B19"/>
    <w:rsid w:val="1C38A028"/>
    <w:rsid w:val="1CBD4A7D"/>
    <w:rsid w:val="1D5B3266"/>
    <w:rsid w:val="1D5C22DF"/>
    <w:rsid w:val="1DCC2AF6"/>
    <w:rsid w:val="1DCF1217"/>
    <w:rsid w:val="1DDDCD3A"/>
    <w:rsid w:val="1E3FB06B"/>
    <w:rsid w:val="1E6A7636"/>
    <w:rsid w:val="1ECD97AD"/>
    <w:rsid w:val="1ED16ECE"/>
    <w:rsid w:val="1EE0EB2B"/>
    <w:rsid w:val="1F33FAFB"/>
    <w:rsid w:val="1F586AD4"/>
    <w:rsid w:val="2057591A"/>
    <w:rsid w:val="2074121A"/>
    <w:rsid w:val="20A11304"/>
    <w:rsid w:val="20C811EA"/>
    <w:rsid w:val="218398DB"/>
    <w:rsid w:val="21A07B9F"/>
    <w:rsid w:val="21FBC550"/>
    <w:rsid w:val="22F91135"/>
    <w:rsid w:val="2440FBF5"/>
    <w:rsid w:val="244DFD56"/>
    <w:rsid w:val="2455325B"/>
    <w:rsid w:val="2484C60C"/>
    <w:rsid w:val="24E25AA9"/>
    <w:rsid w:val="24F077BE"/>
    <w:rsid w:val="25CEE357"/>
    <w:rsid w:val="262E6F75"/>
    <w:rsid w:val="2640F21B"/>
    <w:rsid w:val="269042FA"/>
    <w:rsid w:val="269D0417"/>
    <w:rsid w:val="26C3B3FB"/>
    <w:rsid w:val="26F08015"/>
    <w:rsid w:val="272DCDF2"/>
    <w:rsid w:val="27679506"/>
    <w:rsid w:val="2841698F"/>
    <w:rsid w:val="288A2120"/>
    <w:rsid w:val="2920E747"/>
    <w:rsid w:val="298A1A86"/>
    <w:rsid w:val="29F5286E"/>
    <w:rsid w:val="29FBA0F0"/>
    <w:rsid w:val="2A58E105"/>
    <w:rsid w:val="2A76337E"/>
    <w:rsid w:val="2B415037"/>
    <w:rsid w:val="2BB4E6F8"/>
    <w:rsid w:val="2C65C9F8"/>
    <w:rsid w:val="2C7C0E96"/>
    <w:rsid w:val="2C9B162D"/>
    <w:rsid w:val="2CCF437D"/>
    <w:rsid w:val="2CE13B80"/>
    <w:rsid w:val="2D1E11FB"/>
    <w:rsid w:val="2DBCD7E5"/>
    <w:rsid w:val="2DF82956"/>
    <w:rsid w:val="2DF85EE5"/>
    <w:rsid w:val="2E6EA7A4"/>
    <w:rsid w:val="2EEF530C"/>
    <w:rsid w:val="2EF43476"/>
    <w:rsid w:val="2EFA84BF"/>
    <w:rsid w:val="2F002236"/>
    <w:rsid w:val="2F307FE7"/>
    <w:rsid w:val="2F926CA0"/>
    <w:rsid w:val="2FA0F70F"/>
    <w:rsid w:val="2FB70CC4"/>
    <w:rsid w:val="303B8C52"/>
    <w:rsid w:val="3072F41C"/>
    <w:rsid w:val="30A9E2D6"/>
    <w:rsid w:val="30B6DD8F"/>
    <w:rsid w:val="31285264"/>
    <w:rsid w:val="31857A3B"/>
    <w:rsid w:val="31A8091B"/>
    <w:rsid w:val="326F5FE0"/>
    <w:rsid w:val="32930318"/>
    <w:rsid w:val="3294B28F"/>
    <w:rsid w:val="32AAB1BB"/>
    <w:rsid w:val="32CD2283"/>
    <w:rsid w:val="32D7ECA2"/>
    <w:rsid w:val="332E8343"/>
    <w:rsid w:val="33758B0E"/>
    <w:rsid w:val="34F760A6"/>
    <w:rsid w:val="34FA6D20"/>
    <w:rsid w:val="3550E13B"/>
    <w:rsid w:val="3575FE5E"/>
    <w:rsid w:val="3592DF14"/>
    <w:rsid w:val="3599A75B"/>
    <w:rsid w:val="367F4230"/>
    <w:rsid w:val="371A7E4F"/>
    <w:rsid w:val="37519712"/>
    <w:rsid w:val="3769D06D"/>
    <w:rsid w:val="37F09940"/>
    <w:rsid w:val="381516F7"/>
    <w:rsid w:val="38199CBC"/>
    <w:rsid w:val="382AE272"/>
    <w:rsid w:val="38574FCD"/>
    <w:rsid w:val="38CB9AB1"/>
    <w:rsid w:val="38CBDFAF"/>
    <w:rsid w:val="39187270"/>
    <w:rsid w:val="39E26D61"/>
    <w:rsid w:val="3A253436"/>
    <w:rsid w:val="3AA70FD4"/>
    <w:rsid w:val="3ADCBE68"/>
    <w:rsid w:val="3B3350F2"/>
    <w:rsid w:val="3B63EBF4"/>
    <w:rsid w:val="3B672217"/>
    <w:rsid w:val="3BDCBAEA"/>
    <w:rsid w:val="3C1ABC45"/>
    <w:rsid w:val="3CDEDA99"/>
    <w:rsid w:val="3CFAED04"/>
    <w:rsid w:val="3CFC3A31"/>
    <w:rsid w:val="3D016A2C"/>
    <w:rsid w:val="3D317B75"/>
    <w:rsid w:val="3D5BF3BA"/>
    <w:rsid w:val="3D893102"/>
    <w:rsid w:val="3D8B06D2"/>
    <w:rsid w:val="3DEC9917"/>
    <w:rsid w:val="3DF09D6A"/>
    <w:rsid w:val="3E07DA40"/>
    <w:rsid w:val="3E116A52"/>
    <w:rsid w:val="3E15D782"/>
    <w:rsid w:val="3E33D832"/>
    <w:rsid w:val="3E85810B"/>
    <w:rsid w:val="3F23F500"/>
    <w:rsid w:val="3FB01A6C"/>
    <w:rsid w:val="3FDB99DE"/>
    <w:rsid w:val="3FFE8C48"/>
    <w:rsid w:val="40E762BD"/>
    <w:rsid w:val="40FEA431"/>
    <w:rsid w:val="41212328"/>
    <w:rsid w:val="417DCADC"/>
    <w:rsid w:val="41B003CD"/>
    <w:rsid w:val="423C3C78"/>
    <w:rsid w:val="424A038B"/>
    <w:rsid w:val="42B8540E"/>
    <w:rsid w:val="42BDFE26"/>
    <w:rsid w:val="42CAD850"/>
    <w:rsid w:val="42D8D342"/>
    <w:rsid w:val="42F48480"/>
    <w:rsid w:val="436C6FDC"/>
    <w:rsid w:val="43795149"/>
    <w:rsid w:val="43920011"/>
    <w:rsid w:val="43D1C06E"/>
    <w:rsid w:val="448B8766"/>
    <w:rsid w:val="449FDAB7"/>
    <w:rsid w:val="45083C73"/>
    <w:rsid w:val="450B51EE"/>
    <w:rsid w:val="4518EF2C"/>
    <w:rsid w:val="4578F126"/>
    <w:rsid w:val="458369D3"/>
    <w:rsid w:val="4584714A"/>
    <w:rsid w:val="460FF271"/>
    <w:rsid w:val="4733718B"/>
    <w:rsid w:val="4761E5E2"/>
    <w:rsid w:val="47A21E06"/>
    <w:rsid w:val="47AD0B34"/>
    <w:rsid w:val="47C59477"/>
    <w:rsid w:val="47D9A92D"/>
    <w:rsid w:val="47DD7276"/>
    <w:rsid w:val="47F74C61"/>
    <w:rsid w:val="48292F1C"/>
    <w:rsid w:val="483C6B2F"/>
    <w:rsid w:val="485F082D"/>
    <w:rsid w:val="48607D59"/>
    <w:rsid w:val="491FE738"/>
    <w:rsid w:val="493EC82E"/>
    <w:rsid w:val="496537B5"/>
    <w:rsid w:val="49A27E97"/>
    <w:rsid w:val="4A684FAB"/>
    <w:rsid w:val="4AB77653"/>
    <w:rsid w:val="4AEA6717"/>
    <w:rsid w:val="4BBD52F8"/>
    <w:rsid w:val="4BC86FEF"/>
    <w:rsid w:val="4C2AF7C0"/>
    <w:rsid w:val="4C726ADA"/>
    <w:rsid w:val="4CB158AE"/>
    <w:rsid w:val="4CB4D430"/>
    <w:rsid w:val="4CC02904"/>
    <w:rsid w:val="4D069868"/>
    <w:rsid w:val="4D29D96F"/>
    <w:rsid w:val="4D6AF5F2"/>
    <w:rsid w:val="4DF1095F"/>
    <w:rsid w:val="4E39CB7D"/>
    <w:rsid w:val="4E94F81C"/>
    <w:rsid w:val="4ED8849B"/>
    <w:rsid w:val="4F203053"/>
    <w:rsid w:val="4F35AC66"/>
    <w:rsid w:val="4FE7EBC8"/>
    <w:rsid w:val="5003F2B3"/>
    <w:rsid w:val="5068F15F"/>
    <w:rsid w:val="50BD5E53"/>
    <w:rsid w:val="50CB4B16"/>
    <w:rsid w:val="51284AEF"/>
    <w:rsid w:val="513EEED9"/>
    <w:rsid w:val="516D835D"/>
    <w:rsid w:val="518CC47B"/>
    <w:rsid w:val="523120F4"/>
    <w:rsid w:val="52326C73"/>
    <w:rsid w:val="5233886A"/>
    <w:rsid w:val="526D2D05"/>
    <w:rsid w:val="52B36758"/>
    <w:rsid w:val="52DFE874"/>
    <w:rsid w:val="52E24E5A"/>
    <w:rsid w:val="53475716"/>
    <w:rsid w:val="53479E70"/>
    <w:rsid w:val="5357F87A"/>
    <w:rsid w:val="536F8052"/>
    <w:rsid w:val="5399E324"/>
    <w:rsid w:val="5426438F"/>
    <w:rsid w:val="5482634C"/>
    <w:rsid w:val="5487DAC8"/>
    <w:rsid w:val="549C7A04"/>
    <w:rsid w:val="54D38643"/>
    <w:rsid w:val="5520828C"/>
    <w:rsid w:val="553F6718"/>
    <w:rsid w:val="55515B4C"/>
    <w:rsid w:val="555245C8"/>
    <w:rsid w:val="55657F22"/>
    <w:rsid w:val="55A941E1"/>
    <w:rsid w:val="568AE142"/>
    <w:rsid w:val="56A1AF97"/>
    <w:rsid w:val="57101098"/>
    <w:rsid w:val="5732E3D6"/>
    <w:rsid w:val="57577DE9"/>
    <w:rsid w:val="5779FE7F"/>
    <w:rsid w:val="57D90FE4"/>
    <w:rsid w:val="580D95FF"/>
    <w:rsid w:val="58679572"/>
    <w:rsid w:val="58D911EF"/>
    <w:rsid w:val="58F40AE9"/>
    <w:rsid w:val="592F63E6"/>
    <w:rsid w:val="593E698C"/>
    <w:rsid w:val="594F6B6E"/>
    <w:rsid w:val="59520CB6"/>
    <w:rsid w:val="597C11E1"/>
    <w:rsid w:val="5982DA11"/>
    <w:rsid w:val="5987B64A"/>
    <w:rsid w:val="59A38DAA"/>
    <w:rsid w:val="59C39B49"/>
    <w:rsid w:val="5B3194DB"/>
    <w:rsid w:val="5C381405"/>
    <w:rsid w:val="5CBD73C7"/>
    <w:rsid w:val="5CC9CD19"/>
    <w:rsid w:val="5CDBC35B"/>
    <w:rsid w:val="5CEE991F"/>
    <w:rsid w:val="5D1F4E33"/>
    <w:rsid w:val="5D717AC9"/>
    <w:rsid w:val="5DD276DF"/>
    <w:rsid w:val="5DE2A9CC"/>
    <w:rsid w:val="5E1F0A58"/>
    <w:rsid w:val="5E49B8DB"/>
    <w:rsid w:val="5E792333"/>
    <w:rsid w:val="5EB29631"/>
    <w:rsid w:val="5F489977"/>
    <w:rsid w:val="5F8ACDA5"/>
    <w:rsid w:val="601BEA3C"/>
    <w:rsid w:val="60AADBFF"/>
    <w:rsid w:val="614E920D"/>
    <w:rsid w:val="616EA000"/>
    <w:rsid w:val="61EE1074"/>
    <w:rsid w:val="624D03AE"/>
    <w:rsid w:val="627B6B3E"/>
    <w:rsid w:val="62C939F6"/>
    <w:rsid w:val="62CD227E"/>
    <w:rsid w:val="62FAF6AC"/>
    <w:rsid w:val="630F2945"/>
    <w:rsid w:val="63B6B17D"/>
    <w:rsid w:val="63F262A2"/>
    <w:rsid w:val="644B295B"/>
    <w:rsid w:val="64CA4244"/>
    <w:rsid w:val="64D71025"/>
    <w:rsid w:val="65439D5A"/>
    <w:rsid w:val="6589B9EF"/>
    <w:rsid w:val="65AFAD94"/>
    <w:rsid w:val="65C8307B"/>
    <w:rsid w:val="661C4D59"/>
    <w:rsid w:val="6640D223"/>
    <w:rsid w:val="67276774"/>
    <w:rsid w:val="6727C8FD"/>
    <w:rsid w:val="677688EA"/>
    <w:rsid w:val="6785446D"/>
    <w:rsid w:val="67AE9890"/>
    <w:rsid w:val="67FD1A58"/>
    <w:rsid w:val="682AB0CF"/>
    <w:rsid w:val="6889DB0D"/>
    <w:rsid w:val="68942AE6"/>
    <w:rsid w:val="6897D7BB"/>
    <w:rsid w:val="68A59022"/>
    <w:rsid w:val="68C61191"/>
    <w:rsid w:val="694B4B0E"/>
    <w:rsid w:val="69FF3283"/>
    <w:rsid w:val="6A24CBF7"/>
    <w:rsid w:val="6A5D7120"/>
    <w:rsid w:val="6AD4D667"/>
    <w:rsid w:val="6B064DDA"/>
    <w:rsid w:val="6B4D81B6"/>
    <w:rsid w:val="6B8F19E6"/>
    <w:rsid w:val="6B9388BD"/>
    <w:rsid w:val="6B96C108"/>
    <w:rsid w:val="6BC819CE"/>
    <w:rsid w:val="6C8EAB79"/>
    <w:rsid w:val="6CBAEB09"/>
    <w:rsid w:val="6CBE6AEA"/>
    <w:rsid w:val="6DAD5170"/>
    <w:rsid w:val="6DBC8D57"/>
    <w:rsid w:val="6DDA07CD"/>
    <w:rsid w:val="6DEEE660"/>
    <w:rsid w:val="6E011CB9"/>
    <w:rsid w:val="6E469E04"/>
    <w:rsid w:val="6E66FAD2"/>
    <w:rsid w:val="6EFACAE5"/>
    <w:rsid w:val="6FD99917"/>
    <w:rsid w:val="6FF7CD59"/>
    <w:rsid w:val="70831E5C"/>
    <w:rsid w:val="71768E74"/>
    <w:rsid w:val="723FAA59"/>
    <w:rsid w:val="7253908A"/>
    <w:rsid w:val="7326CCDB"/>
    <w:rsid w:val="73589AB2"/>
    <w:rsid w:val="73640CD4"/>
    <w:rsid w:val="73E1D582"/>
    <w:rsid w:val="73E2F133"/>
    <w:rsid w:val="74166DAE"/>
    <w:rsid w:val="746D116B"/>
    <w:rsid w:val="74D0F3E3"/>
    <w:rsid w:val="753F68F9"/>
    <w:rsid w:val="754943C7"/>
    <w:rsid w:val="7602F7B7"/>
    <w:rsid w:val="76B90A72"/>
    <w:rsid w:val="76C013CE"/>
    <w:rsid w:val="76CF413F"/>
    <w:rsid w:val="770660C1"/>
    <w:rsid w:val="77880761"/>
    <w:rsid w:val="77F89B18"/>
    <w:rsid w:val="785D1398"/>
    <w:rsid w:val="789898B6"/>
    <w:rsid w:val="78FDE340"/>
    <w:rsid w:val="79062456"/>
    <w:rsid w:val="791E87AE"/>
    <w:rsid w:val="79AADE0F"/>
    <w:rsid w:val="79B2726D"/>
    <w:rsid w:val="7A0BE06E"/>
    <w:rsid w:val="7A241224"/>
    <w:rsid w:val="7A4B7B92"/>
    <w:rsid w:val="7A835745"/>
    <w:rsid w:val="7ADC42D0"/>
    <w:rsid w:val="7B49C9FA"/>
    <w:rsid w:val="7B8945DF"/>
    <w:rsid w:val="7B998F14"/>
    <w:rsid w:val="7BB3C5E8"/>
    <w:rsid w:val="7BCA04E6"/>
    <w:rsid w:val="7BF48329"/>
    <w:rsid w:val="7C03D6DE"/>
    <w:rsid w:val="7CBD575A"/>
    <w:rsid w:val="7D26BC28"/>
    <w:rsid w:val="7D3D80F2"/>
    <w:rsid w:val="7D4BCF1E"/>
    <w:rsid w:val="7D68CF4E"/>
    <w:rsid w:val="7D9B1D1E"/>
    <w:rsid w:val="7DE5570A"/>
    <w:rsid w:val="7EB6703E"/>
    <w:rsid w:val="7F3A05DE"/>
    <w:rsid w:val="7FA2AD8A"/>
    <w:rsid w:val="7FE957FD"/>
    <w:rsid w:val="7FF53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7B4421F"/>
  <w15:chartTrackingRefBased/>
  <w15:docId w15:val="{BD02661B-DF7D-4A77-85D9-017D05BE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1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1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1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1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282"/>
    <w:rPr>
      <w:rFonts w:eastAsiaTheme="majorEastAsia" w:cstheme="majorBidi"/>
      <w:color w:val="272727" w:themeColor="text1" w:themeTint="D8"/>
    </w:rPr>
  </w:style>
  <w:style w:type="paragraph" w:styleId="Title">
    <w:name w:val="Title"/>
    <w:basedOn w:val="Normal"/>
    <w:next w:val="Normal"/>
    <w:link w:val="TitleChar"/>
    <w:uiPriority w:val="10"/>
    <w:qFormat/>
    <w:rsid w:val="000E1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282"/>
    <w:pPr>
      <w:spacing w:before="160"/>
      <w:jc w:val="center"/>
    </w:pPr>
    <w:rPr>
      <w:i/>
      <w:iCs/>
      <w:color w:val="404040" w:themeColor="text1" w:themeTint="BF"/>
    </w:rPr>
  </w:style>
  <w:style w:type="character" w:customStyle="1" w:styleId="QuoteChar">
    <w:name w:val="Quote Char"/>
    <w:basedOn w:val="DefaultParagraphFont"/>
    <w:link w:val="Quote"/>
    <w:uiPriority w:val="29"/>
    <w:rsid w:val="000E1282"/>
    <w:rPr>
      <w:i/>
      <w:iCs/>
      <w:color w:val="404040" w:themeColor="text1" w:themeTint="BF"/>
    </w:rPr>
  </w:style>
  <w:style w:type="paragraph" w:styleId="ListParagraph">
    <w:name w:val="List Paragraph"/>
    <w:basedOn w:val="Normal"/>
    <w:uiPriority w:val="34"/>
    <w:qFormat/>
    <w:rsid w:val="000E1282"/>
    <w:pPr>
      <w:ind w:left="720"/>
      <w:contextualSpacing/>
    </w:pPr>
  </w:style>
  <w:style w:type="character" w:styleId="IntenseEmphasis">
    <w:name w:val="Intense Emphasis"/>
    <w:basedOn w:val="DefaultParagraphFont"/>
    <w:uiPriority w:val="21"/>
    <w:qFormat/>
    <w:rsid w:val="000E1282"/>
    <w:rPr>
      <w:i/>
      <w:iCs/>
      <w:color w:val="0F4761" w:themeColor="accent1" w:themeShade="BF"/>
    </w:rPr>
  </w:style>
  <w:style w:type="paragraph" w:styleId="IntenseQuote">
    <w:name w:val="Intense Quote"/>
    <w:basedOn w:val="Normal"/>
    <w:next w:val="Normal"/>
    <w:link w:val="IntenseQuoteChar"/>
    <w:uiPriority w:val="30"/>
    <w:qFormat/>
    <w:rsid w:val="000E1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282"/>
    <w:rPr>
      <w:i/>
      <w:iCs/>
      <w:color w:val="0F4761" w:themeColor="accent1" w:themeShade="BF"/>
    </w:rPr>
  </w:style>
  <w:style w:type="character" w:styleId="IntenseReference">
    <w:name w:val="Intense Reference"/>
    <w:basedOn w:val="DefaultParagraphFont"/>
    <w:uiPriority w:val="32"/>
    <w:qFormat/>
    <w:rsid w:val="000E1282"/>
    <w:rPr>
      <w:b/>
      <w:bCs/>
      <w:smallCaps/>
      <w:color w:val="0F4761" w:themeColor="accent1" w:themeShade="BF"/>
      <w:spacing w:val="5"/>
    </w:rPr>
  </w:style>
  <w:style w:type="character" w:styleId="Hyperlink">
    <w:name w:val="Hyperlink"/>
    <w:basedOn w:val="DefaultParagraphFont"/>
    <w:uiPriority w:val="99"/>
    <w:unhideWhenUsed/>
    <w:rsid w:val="000E1282"/>
    <w:rPr>
      <w:color w:val="467886" w:themeColor="hyperlink"/>
      <w:u w:val="single"/>
    </w:rPr>
  </w:style>
  <w:style w:type="character" w:styleId="UnresolvedMention">
    <w:name w:val="Unresolved Mention"/>
    <w:basedOn w:val="DefaultParagraphFont"/>
    <w:uiPriority w:val="99"/>
    <w:semiHidden/>
    <w:unhideWhenUsed/>
    <w:rsid w:val="000E1282"/>
    <w:rPr>
      <w:color w:val="605E5C"/>
      <w:shd w:val="clear" w:color="auto" w:fill="E1DFDD"/>
    </w:rPr>
  </w:style>
  <w:style w:type="paragraph" w:styleId="TOCHeading">
    <w:name w:val="TOC Heading"/>
    <w:basedOn w:val="Heading1"/>
    <w:next w:val="Normal"/>
    <w:uiPriority w:val="39"/>
    <w:unhideWhenUsed/>
    <w:qFormat/>
    <w:rsid w:val="000E128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E1282"/>
    <w:pPr>
      <w:spacing w:after="100"/>
    </w:pPr>
  </w:style>
  <w:style w:type="paragraph" w:styleId="TOC2">
    <w:name w:val="toc 2"/>
    <w:basedOn w:val="Normal"/>
    <w:next w:val="Normal"/>
    <w:autoRedefine/>
    <w:uiPriority w:val="39"/>
    <w:unhideWhenUsed/>
    <w:rsid w:val="000E1282"/>
    <w:pPr>
      <w:spacing w:after="100"/>
      <w:ind w:left="240"/>
    </w:pPr>
  </w:style>
  <w:style w:type="character" w:styleId="CommentReference">
    <w:name w:val="annotation reference"/>
    <w:basedOn w:val="DefaultParagraphFont"/>
    <w:uiPriority w:val="99"/>
    <w:semiHidden/>
    <w:unhideWhenUsed/>
    <w:rsid w:val="0017071E"/>
    <w:rPr>
      <w:sz w:val="16"/>
      <w:szCs w:val="16"/>
    </w:rPr>
  </w:style>
  <w:style w:type="paragraph" w:styleId="CommentText">
    <w:name w:val="annotation text"/>
    <w:basedOn w:val="Normal"/>
    <w:link w:val="CommentTextChar"/>
    <w:uiPriority w:val="99"/>
    <w:unhideWhenUsed/>
    <w:rsid w:val="0017071E"/>
    <w:pPr>
      <w:spacing w:line="240" w:lineRule="auto"/>
    </w:pPr>
    <w:rPr>
      <w:sz w:val="20"/>
      <w:szCs w:val="20"/>
    </w:rPr>
  </w:style>
  <w:style w:type="character" w:customStyle="1" w:styleId="CommentTextChar">
    <w:name w:val="Comment Text Char"/>
    <w:basedOn w:val="DefaultParagraphFont"/>
    <w:link w:val="CommentText"/>
    <w:uiPriority w:val="99"/>
    <w:rsid w:val="0017071E"/>
    <w:rPr>
      <w:sz w:val="20"/>
      <w:szCs w:val="20"/>
    </w:rPr>
  </w:style>
  <w:style w:type="paragraph" w:styleId="CommentSubject">
    <w:name w:val="annotation subject"/>
    <w:basedOn w:val="CommentText"/>
    <w:next w:val="CommentText"/>
    <w:link w:val="CommentSubjectChar"/>
    <w:uiPriority w:val="99"/>
    <w:semiHidden/>
    <w:unhideWhenUsed/>
    <w:rsid w:val="0017071E"/>
    <w:rPr>
      <w:b/>
      <w:bCs/>
    </w:rPr>
  </w:style>
  <w:style w:type="character" w:customStyle="1" w:styleId="CommentSubjectChar">
    <w:name w:val="Comment Subject Char"/>
    <w:basedOn w:val="CommentTextChar"/>
    <w:link w:val="CommentSubject"/>
    <w:uiPriority w:val="99"/>
    <w:semiHidden/>
    <w:rsid w:val="0017071E"/>
    <w:rPr>
      <w:b/>
      <w:bCs/>
      <w:sz w:val="20"/>
      <w:szCs w:val="20"/>
    </w:rPr>
  </w:style>
  <w:style w:type="paragraph" w:styleId="TOC3">
    <w:name w:val="toc 3"/>
    <w:basedOn w:val="Normal"/>
    <w:next w:val="Normal"/>
    <w:autoRedefine/>
    <w:uiPriority w:val="39"/>
    <w:unhideWhenUsed/>
    <w:rsid w:val="00296352"/>
    <w:pPr>
      <w:spacing w:after="100"/>
      <w:ind w:left="480"/>
    </w:pPr>
  </w:style>
  <w:style w:type="paragraph" w:styleId="Header">
    <w:name w:val="header"/>
    <w:basedOn w:val="Normal"/>
    <w:link w:val="HeaderChar"/>
    <w:uiPriority w:val="99"/>
    <w:unhideWhenUsed/>
    <w:rsid w:val="00062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6E0"/>
  </w:style>
  <w:style w:type="paragraph" w:styleId="Footer">
    <w:name w:val="footer"/>
    <w:basedOn w:val="Normal"/>
    <w:link w:val="FooterChar"/>
    <w:uiPriority w:val="99"/>
    <w:unhideWhenUsed/>
    <w:rsid w:val="00062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6E0"/>
  </w:style>
  <w:style w:type="character" w:styleId="Strong">
    <w:name w:val="Strong"/>
    <w:basedOn w:val="DefaultParagraphFont"/>
    <w:uiPriority w:val="22"/>
    <w:qFormat/>
    <w:rsid w:val="00AF17B8"/>
    <w:rPr>
      <w:b/>
      <w:bCs/>
    </w:rPr>
  </w:style>
  <w:style w:type="character" w:styleId="Emphasis">
    <w:name w:val="Emphasis"/>
    <w:basedOn w:val="DefaultParagraphFont"/>
    <w:uiPriority w:val="20"/>
    <w:qFormat/>
    <w:rsid w:val="00CF64C1"/>
    <w:rPr>
      <w:i/>
      <w:iCs/>
    </w:rPr>
  </w:style>
  <w:style w:type="paragraph" w:styleId="NoSpacing">
    <w:name w:val="No Spacing"/>
    <w:link w:val="NoSpacingChar"/>
    <w:uiPriority w:val="1"/>
    <w:qFormat/>
    <w:rsid w:val="0042211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22118"/>
    <w:rPr>
      <w:rFonts w:eastAsiaTheme="minorEastAsia"/>
      <w:kern w:val="0"/>
      <w:sz w:val="22"/>
      <w:szCs w:val="22"/>
      <w14:ligatures w14:val="none"/>
    </w:rPr>
  </w:style>
  <w:style w:type="paragraph" w:styleId="Revision">
    <w:name w:val="Revision"/>
    <w:hidden/>
    <w:uiPriority w:val="99"/>
    <w:semiHidden/>
    <w:rsid w:val="00967C0F"/>
    <w:pPr>
      <w:spacing w:after="0" w:line="240" w:lineRule="auto"/>
    </w:pPr>
  </w:style>
  <w:style w:type="paragraph" w:styleId="NormalWeb">
    <w:name w:val="Normal (Web)"/>
    <w:basedOn w:val="Normal"/>
    <w:uiPriority w:val="99"/>
    <w:unhideWhenUsed/>
    <w:rsid w:val="00324BC3"/>
    <w:rPr>
      <w:rFonts w:ascii="Times New Roman" w:hAnsi="Times New Roman" w:cs="Times New Roman"/>
    </w:rPr>
  </w:style>
  <w:style w:type="character" w:styleId="FollowedHyperlink">
    <w:name w:val="FollowedHyperlink"/>
    <w:basedOn w:val="DefaultParagraphFont"/>
    <w:uiPriority w:val="99"/>
    <w:semiHidden/>
    <w:unhideWhenUsed/>
    <w:rsid w:val="00C147C5"/>
    <w:rPr>
      <w:color w:val="96607D" w:themeColor="followedHyperlink"/>
      <w:u w:val="single"/>
    </w:rPr>
  </w:style>
  <w:style w:type="paragraph" w:customStyle="1" w:styleId="EndnoteText1">
    <w:name w:val="Endnote Text1"/>
    <w:basedOn w:val="Normal"/>
    <w:next w:val="EndnoteText"/>
    <w:link w:val="EndnoteTextChar"/>
    <w:uiPriority w:val="99"/>
    <w:semiHidden/>
    <w:unhideWhenUsed/>
    <w:rsid w:val="00ED41AD"/>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ED41AD"/>
    <w:rPr>
      <w:sz w:val="20"/>
      <w:szCs w:val="20"/>
    </w:rPr>
  </w:style>
  <w:style w:type="character" w:styleId="EndnoteReference">
    <w:name w:val="endnote reference"/>
    <w:basedOn w:val="DefaultParagraphFont"/>
    <w:uiPriority w:val="99"/>
    <w:semiHidden/>
    <w:unhideWhenUsed/>
    <w:rsid w:val="00ED41AD"/>
    <w:rPr>
      <w:vertAlign w:val="superscript"/>
    </w:rPr>
  </w:style>
  <w:style w:type="paragraph" w:styleId="EndnoteText">
    <w:name w:val="endnote text"/>
    <w:basedOn w:val="Normal"/>
    <w:link w:val="EndnoteTextChar1"/>
    <w:uiPriority w:val="99"/>
    <w:semiHidden/>
    <w:unhideWhenUsed/>
    <w:rsid w:val="00ED41A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ED41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921">
      <w:bodyDiv w:val="1"/>
      <w:marLeft w:val="0"/>
      <w:marRight w:val="0"/>
      <w:marTop w:val="0"/>
      <w:marBottom w:val="0"/>
      <w:divBdr>
        <w:top w:val="none" w:sz="0" w:space="0" w:color="auto"/>
        <w:left w:val="none" w:sz="0" w:space="0" w:color="auto"/>
        <w:bottom w:val="none" w:sz="0" w:space="0" w:color="auto"/>
        <w:right w:val="none" w:sz="0" w:space="0" w:color="auto"/>
      </w:divBdr>
    </w:div>
    <w:div w:id="99569956">
      <w:bodyDiv w:val="1"/>
      <w:marLeft w:val="0"/>
      <w:marRight w:val="0"/>
      <w:marTop w:val="0"/>
      <w:marBottom w:val="0"/>
      <w:divBdr>
        <w:top w:val="none" w:sz="0" w:space="0" w:color="auto"/>
        <w:left w:val="none" w:sz="0" w:space="0" w:color="auto"/>
        <w:bottom w:val="none" w:sz="0" w:space="0" w:color="auto"/>
        <w:right w:val="none" w:sz="0" w:space="0" w:color="auto"/>
      </w:divBdr>
    </w:div>
    <w:div w:id="99688941">
      <w:bodyDiv w:val="1"/>
      <w:marLeft w:val="0"/>
      <w:marRight w:val="0"/>
      <w:marTop w:val="0"/>
      <w:marBottom w:val="0"/>
      <w:divBdr>
        <w:top w:val="none" w:sz="0" w:space="0" w:color="auto"/>
        <w:left w:val="none" w:sz="0" w:space="0" w:color="auto"/>
        <w:bottom w:val="none" w:sz="0" w:space="0" w:color="auto"/>
        <w:right w:val="none" w:sz="0" w:space="0" w:color="auto"/>
      </w:divBdr>
    </w:div>
    <w:div w:id="118302095">
      <w:bodyDiv w:val="1"/>
      <w:marLeft w:val="0"/>
      <w:marRight w:val="0"/>
      <w:marTop w:val="0"/>
      <w:marBottom w:val="0"/>
      <w:divBdr>
        <w:top w:val="none" w:sz="0" w:space="0" w:color="auto"/>
        <w:left w:val="none" w:sz="0" w:space="0" w:color="auto"/>
        <w:bottom w:val="none" w:sz="0" w:space="0" w:color="auto"/>
        <w:right w:val="none" w:sz="0" w:space="0" w:color="auto"/>
      </w:divBdr>
    </w:div>
    <w:div w:id="154341427">
      <w:bodyDiv w:val="1"/>
      <w:marLeft w:val="0"/>
      <w:marRight w:val="0"/>
      <w:marTop w:val="0"/>
      <w:marBottom w:val="0"/>
      <w:divBdr>
        <w:top w:val="none" w:sz="0" w:space="0" w:color="auto"/>
        <w:left w:val="none" w:sz="0" w:space="0" w:color="auto"/>
        <w:bottom w:val="none" w:sz="0" w:space="0" w:color="auto"/>
        <w:right w:val="none" w:sz="0" w:space="0" w:color="auto"/>
      </w:divBdr>
    </w:div>
    <w:div w:id="163053792">
      <w:bodyDiv w:val="1"/>
      <w:marLeft w:val="0"/>
      <w:marRight w:val="0"/>
      <w:marTop w:val="0"/>
      <w:marBottom w:val="0"/>
      <w:divBdr>
        <w:top w:val="none" w:sz="0" w:space="0" w:color="auto"/>
        <w:left w:val="none" w:sz="0" w:space="0" w:color="auto"/>
        <w:bottom w:val="none" w:sz="0" w:space="0" w:color="auto"/>
        <w:right w:val="none" w:sz="0" w:space="0" w:color="auto"/>
      </w:divBdr>
    </w:div>
    <w:div w:id="165286269">
      <w:bodyDiv w:val="1"/>
      <w:marLeft w:val="0"/>
      <w:marRight w:val="0"/>
      <w:marTop w:val="0"/>
      <w:marBottom w:val="0"/>
      <w:divBdr>
        <w:top w:val="none" w:sz="0" w:space="0" w:color="auto"/>
        <w:left w:val="none" w:sz="0" w:space="0" w:color="auto"/>
        <w:bottom w:val="none" w:sz="0" w:space="0" w:color="auto"/>
        <w:right w:val="none" w:sz="0" w:space="0" w:color="auto"/>
      </w:divBdr>
    </w:div>
    <w:div w:id="187524958">
      <w:bodyDiv w:val="1"/>
      <w:marLeft w:val="0"/>
      <w:marRight w:val="0"/>
      <w:marTop w:val="0"/>
      <w:marBottom w:val="0"/>
      <w:divBdr>
        <w:top w:val="none" w:sz="0" w:space="0" w:color="auto"/>
        <w:left w:val="none" w:sz="0" w:space="0" w:color="auto"/>
        <w:bottom w:val="none" w:sz="0" w:space="0" w:color="auto"/>
        <w:right w:val="none" w:sz="0" w:space="0" w:color="auto"/>
      </w:divBdr>
    </w:div>
    <w:div w:id="248539136">
      <w:bodyDiv w:val="1"/>
      <w:marLeft w:val="0"/>
      <w:marRight w:val="0"/>
      <w:marTop w:val="0"/>
      <w:marBottom w:val="0"/>
      <w:divBdr>
        <w:top w:val="none" w:sz="0" w:space="0" w:color="auto"/>
        <w:left w:val="none" w:sz="0" w:space="0" w:color="auto"/>
        <w:bottom w:val="none" w:sz="0" w:space="0" w:color="auto"/>
        <w:right w:val="none" w:sz="0" w:space="0" w:color="auto"/>
      </w:divBdr>
      <w:divsChild>
        <w:div w:id="962493959">
          <w:marLeft w:val="0"/>
          <w:marRight w:val="0"/>
          <w:marTop w:val="0"/>
          <w:marBottom w:val="0"/>
          <w:divBdr>
            <w:top w:val="none" w:sz="0" w:space="0" w:color="auto"/>
            <w:left w:val="none" w:sz="0" w:space="0" w:color="auto"/>
            <w:bottom w:val="none" w:sz="0" w:space="0" w:color="auto"/>
            <w:right w:val="none" w:sz="0" w:space="0" w:color="auto"/>
          </w:divBdr>
          <w:divsChild>
            <w:div w:id="1101681635">
              <w:marLeft w:val="0"/>
              <w:marRight w:val="0"/>
              <w:marTop w:val="0"/>
              <w:marBottom w:val="0"/>
              <w:divBdr>
                <w:top w:val="none" w:sz="0" w:space="0" w:color="auto"/>
                <w:left w:val="none" w:sz="0" w:space="0" w:color="auto"/>
                <w:bottom w:val="none" w:sz="0" w:space="0" w:color="auto"/>
                <w:right w:val="none" w:sz="0" w:space="0" w:color="auto"/>
              </w:divBdr>
              <w:divsChild>
                <w:div w:id="312442750">
                  <w:marLeft w:val="0"/>
                  <w:marRight w:val="0"/>
                  <w:marTop w:val="0"/>
                  <w:marBottom w:val="0"/>
                  <w:divBdr>
                    <w:top w:val="none" w:sz="0" w:space="0" w:color="auto"/>
                    <w:left w:val="none" w:sz="0" w:space="0" w:color="auto"/>
                    <w:bottom w:val="none" w:sz="0" w:space="0" w:color="auto"/>
                    <w:right w:val="none" w:sz="0" w:space="0" w:color="auto"/>
                  </w:divBdr>
                  <w:divsChild>
                    <w:div w:id="1754430770">
                      <w:marLeft w:val="0"/>
                      <w:marRight w:val="0"/>
                      <w:marTop w:val="0"/>
                      <w:marBottom w:val="0"/>
                      <w:divBdr>
                        <w:top w:val="none" w:sz="0" w:space="0" w:color="auto"/>
                        <w:left w:val="none" w:sz="0" w:space="0" w:color="auto"/>
                        <w:bottom w:val="none" w:sz="0" w:space="0" w:color="auto"/>
                        <w:right w:val="none" w:sz="0" w:space="0" w:color="auto"/>
                      </w:divBdr>
                      <w:divsChild>
                        <w:div w:id="1462114659">
                          <w:marLeft w:val="0"/>
                          <w:marRight w:val="0"/>
                          <w:marTop w:val="0"/>
                          <w:marBottom w:val="0"/>
                          <w:divBdr>
                            <w:top w:val="none" w:sz="0" w:space="0" w:color="auto"/>
                            <w:left w:val="none" w:sz="0" w:space="0" w:color="auto"/>
                            <w:bottom w:val="none" w:sz="0" w:space="0" w:color="auto"/>
                            <w:right w:val="none" w:sz="0" w:space="0" w:color="auto"/>
                          </w:divBdr>
                          <w:divsChild>
                            <w:div w:id="1342392614">
                              <w:marLeft w:val="0"/>
                              <w:marRight w:val="0"/>
                              <w:marTop w:val="0"/>
                              <w:marBottom w:val="0"/>
                              <w:divBdr>
                                <w:top w:val="none" w:sz="0" w:space="0" w:color="auto"/>
                                <w:left w:val="none" w:sz="0" w:space="0" w:color="auto"/>
                                <w:bottom w:val="none" w:sz="0" w:space="0" w:color="auto"/>
                                <w:right w:val="none" w:sz="0" w:space="0" w:color="auto"/>
                              </w:divBdr>
                              <w:divsChild>
                                <w:div w:id="1619797887">
                                  <w:marLeft w:val="0"/>
                                  <w:marRight w:val="0"/>
                                  <w:marTop w:val="0"/>
                                  <w:marBottom w:val="0"/>
                                  <w:divBdr>
                                    <w:top w:val="none" w:sz="0" w:space="0" w:color="auto"/>
                                    <w:left w:val="none" w:sz="0" w:space="0" w:color="auto"/>
                                    <w:bottom w:val="none" w:sz="0" w:space="0" w:color="auto"/>
                                    <w:right w:val="none" w:sz="0" w:space="0" w:color="auto"/>
                                  </w:divBdr>
                                  <w:divsChild>
                                    <w:div w:id="1207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95707">
                          <w:marLeft w:val="0"/>
                          <w:marRight w:val="0"/>
                          <w:marTop w:val="0"/>
                          <w:marBottom w:val="0"/>
                          <w:divBdr>
                            <w:top w:val="none" w:sz="0" w:space="0" w:color="auto"/>
                            <w:left w:val="none" w:sz="0" w:space="0" w:color="auto"/>
                            <w:bottom w:val="none" w:sz="0" w:space="0" w:color="auto"/>
                            <w:right w:val="none" w:sz="0" w:space="0" w:color="auto"/>
                          </w:divBdr>
                          <w:divsChild>
                            <w:div w:id="1588882363">
                              <w:marLeft w:val="0"/>
                              <w:marRight w:val="0"/>
                              <w:marTop w:val="0"/>
                              <w:marBottom w:val="0"/>
                              <w:divBdr>
                                <w:top w:val="none" w:sz="0" w:space="0" w:color="auto"/>
                                <w:left w:val="none" w:sz="0" w:space="0" w:color="auto"/>
                                <w:bottom w:val="none" w:sz="0" w:space="0" w:color="auto"/>
                                <w:right w:val="none" w:sz="0" w:space="0" w:color="auto"/>
                              </w:divBdr>
                              <w:divsChild>
                                <w:div w:id="435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50069">
      <w:bodyDiv w:val="1"/>
      <w:marLeft w:val="0"/>
      <w:marRight w:val="0"/>
      <w:marTop w:val="0"/>
      <w:marBottom w:val="0"/>
      <w:divBdr>
        <w:top w:val="none" w:sz="0" w:space="0" w:color="auto"/>
        <w:left w:val="none" w:sz="0" w:space="0" w:color="auto"/>
        <w:bottom w:val="none" w:sz="0" w:space="0" w:color="auto"/>
        <w:right w:val="none" w:sz="0" w:space="0" w:color="auto"/>
      </w:divBdr>
    </w:div>
    <w:div w:id="322390856">
      <w:bodyDiv w:val="1"/>
      <w:marLeft w:val="0"/>
      <w:marRight w:val="0"/>
      <w:marTop w:val="0"/>
      <w:marBottom w:val="0"/>
      <w:divBdr>
        <w:top w:val="none" w:sz="0" w:space="0" w:color="auto"/>
        <w:left w:val="none" w:sz="0" w:space="0" w:color="auto"/>
        <w:bottom w:val="none" w:sz="0" w:space="0" w:color="auto"/>
        <w:right w:val="none" w:sz="0" w:space="0" w:color="auto"/>
      </w:divBdr>
    </w:div>
    <w:div w:id="324822429">
      <w:bodyDiv w:val="1"/>
      <w:marLeft w:val="0"/>
      <w:marRight w:val="0"/>
      <w:marTop w:val="0"/>
      <w:marBottom w:val="0"/>
      <w:divBdr>
        <w:top w:val="none" w:sz="0" w:space="0" w:color="auto"/>
        <w:left w:val="none" w:sz="0" w:space="0" w:color="auto"/>
        <w:bottom w:val="none" w:sz="0" w:space="0" w:color="auto"/>
        <w:right w:val="none" w:sz="0" w:space="0" w:color="auto"/>
      </w:divBdr>
    </w:div>
    <w:div w:id="418135989">
      <w:bodyDiv w:val="1"/>
      <w:marLeft w:val="0"/>
      <w:marRight w:val="0"/>
      <w:marTop w:val="0"/>
      <w:marBottom w:val="0"/>
      <w:divBdr>
        <w:top w:val="none" w:sz="0" w:space="0" w:color="auto"/>
        <w:left w:val="none" w:sz="0" w:space="0" w:color="auto"/>
        <w:bottom w:val="none" w:sz="0" w:space="0" w:color="auto"/>
        <w:right w:val="none" w:sz="0" w:space="0" w:color="auto"/>
      </w:divBdr>
    </w:div>
    <w:div w:id="476802449">
      <w:bodyDiv w:val="1"/>
      <w:marLeft w:val="0"/>
      <w:marRight w:val="0"/>
      <w:marTop w:val="0"/>
      <w:marBottom w:val="0"/>
      <w:divBdr>
        <w:top w:val="none" w:sz="0" w:space="0" w:color="auto"/>
        <w:left w:val="none" w:sz="0" w:space="0" w:color="auto"/>
        <w:bottom w:val="none" w:sz="0" w:space="0" w:color="auto"/>
        <w:right w:val="none" w:sz="0" w:space="0" w:color="auto"/>
      </w:divBdr>
    </w:div>
    <w:div w:id="483470670">
      <w:bodyDiv w:val="1"/>
      <w:marLeft w:val="0"/>
      <w:marRight w:val="0"/>
      <w:marTop w:val="0"/>
      <w:marBottom w:val="0"/>
      <w:divBdr>
        <w:top w:val="none" w:sz="0" w:space="0" w:color="auto"/>
        <w:left w:val="none" w:sz="0" w:space="0" w:color="auto"/>
        <w:bottom w:val="none" w:sz="0" w:space="0" w:color="auto"/>
        <w:right w:val="none" w:sz="0" w:space="0" w:color="auto"/>
      </w:divBdr>
    </w:div>
    <w:div w:id="499858058">
      <w:bodyDiv w:val="1"/>
      <w:marLeft w:val="0"/>
      <w:marRight w:val="0"/>
      <w:marTop w:val="0"/>
      <w:marBottom w:val="0"/>
      <w:divBdr>
        <w:top w:val="none" w:sz="0" w:space="0" w:color="auto"/>
        <w:left w:val="none" w:sz="0" w:space="0" w:color="auto"/>
        <w:bottom w:val="none" w:sz="0" w:space="0" w:color="auto"/>
        <w:right w:val="none" w:sz="0" w:space="0" w:color="auto"/>
      </w:divBdr>
    </w:div>
    <w:div w:id="522524664">
      <w:bodyDiv w:val="1"/>
      <w:marLeft w:val="0"/>
      <w:marRight w:val="0"/>
      <w:marTop w:val="0"/>
      <w:marBottom w:val="0"/>
      <w:divBdr>
        <w:top w:val="none" w:sz="0" w:space="0" w:color="auto"/>
        <w:left w:val="none" w:sz="0" w:space="0" w:color="auto"/>
        <w:bottom w:val="none" w:sz="0" w:space="0" w:color="auto"/>
        <w:right w:val="none" w:sz="0" w:space="0" w:color="auto"/>
      </w:divBdr>
    </w:div>
    <w:div w:id="557976906">
      <w:bodyDiv w:val="1"/>
      <w:marLeft w:val="0"/>
      <w:marRight w:val="0"/>
      <w:marTop w:val="0"/>
      <w:marBottom w:val="0"/>
      <w:divBdr>
        <w:top w:val="none" w:sz="0" w:space="0" w:color="auto"/>
        <w:left w:val="none" w:sz="0" w:space="0" w:color="auto"/>
        <w:bottom w:val="none" w:sz="0" w:space="0" w:color="auto"/>
        <w:right w:val="none" w:sz="0" w:space="0" w:color="auto"/>
      </w:divBdr>
    </w:div>
    <w:div w:id="560289394">
      <w:bodyDiv w:val="1"/>
      <w:marLeft w:val="0"/>
      <w:marRight w:val="0"/>
      <w:marTop w:val="0"/>
      <w:marBottom w:val="0"/>
      <w:divBdr>
        <w:top w:val="none" w:sz="0" w:space="0" w:color="auto"/>
        <w:left w:val="none" w:sz="0" w:space="0" w:color="auto"/>
        <w:bottom w:val="none" w:sz="0" w:space="0" w:color="auto"/>
        <w:right w:val="none" w:sz="0" w:space="0" w:color="auto"/>
      </w:divBdr>
    </w:div>
    <w:div w:id="570502884">
      <w:bodyDiv w:val="1"/>
      <w:marLeft w:val="0"/>
      <w:marRight w:val="0"/>
      <w:marTop w:val="0"/>
      <w:marBottom w:val="0"/>
      <w:divBdr>
        <w:top w:val="none" w:sz="0" w:space="0" w:color="auto"/>
        <w:left w:val="none" w:sz="0" w:space="0" w:color="auto"/>
        <w:bottom w:val="none" w:sz="0" w:space="0" w:color="auto"/>
        <w:right w:val="none" w:sz="0" w:space="0" w:color="auto"/>
      </w:divBdr>
    </w:div>
    <w:div w:id="587740166">
      <w:bodyDiv w:val="1"/>
      <w:marLeft w:val="0"/>
      <w:marRight w:val="0"/>
      <w:marTop w:val="0"/>
      <w:marBottom w:val="0"/>
      <w:divBdr>
        <w:top w:val="none" w:sz="0" w:space="0" w:color="auto"/>
        <w:left w:val="none" w:sz="0" w:space="0" w:color="auto"/>
        <w:bottom w:val="none" w:sz="0" w:space="0" w:color="auto"/>
        <w:right w:val="none" w:sz="0" w:space="0" w:color="auto"/>
      </w:divBdr>
    </w:div>
    <w:div w:id="591084121">
      <w:bodyDiv w:val="1"/>
      <w:marLeft w:val="0"/>
      <w:marRight w:val="0"/>
      <w:marTop w:val="0"/>
      <w:marBottom w:val="0"/>
      <w:divBdr>
        <w:top w:val="none" w:sz="0" w:space="0" w:color="auto"/>
        <w:left w:val="none" w:sz="0" w:space="0" w:color="auto"/>
        <w:bottom w:val="none" w:sz="0" w:space="0" w:color="auto"/>
        <w:right w:val="none" w:sz="0" w:space="0" w:color="auto"/>
      </w:divBdr>
    </w:div>
    <w:div w:id="678503250">
      <w:bodyDiv w:val="1"/>
      <w:marLeft w:val="0"/>
      <w:marRight w:val="0"/>
      <w:marTop w:val="0"/>
      <w:marBottom w:val="0"/>
      <w:divBdr>
        <w:top w:val="none" w:sz="0" w:space="0" w:color="auto"/>
        <w:left w:val="none" w:sz="0" w:space="0" w:color="auto"/>
        <w:bottom w:val="none" w:sz="0" w:space="0" w:color="auto"/>
        <w:right w:val="none" w:sz="0" w:space="0" w:color="auto"/>
      </w:divBdr>
    </w:div>
    <w:div w:id="745735697">
      <w:bodyDiv w:val="1"/>
      <w:marLeft w:val="0"/>
      <w:marRight w:val="0"/>
      <w:marTop w:val="0"/>
      <w:marBottom w:val="0"/>
      <w:divBdr>
        <w:top w:val="none" w:sz="0" w:space="0" w:color="auto"/>
        <w:left w:val="none" w:sz="0" w:space="0" w:color="auto"/>
        <w:bottom w:val="none" w:sz="0" w:space="0" w:color="auto"/>
        <w:right w:val="none" w:sz="0" w:space="0" w:color="auto"/>
      </w:divBdr>
    </w:div>
    <w:div w:id="790048849">
      <w:bodyDiv w:val="1"/>
      <w:marLeft w:val="0"/>
      <w:marRight w:val="0"/>
      <w:marTop w:val="0"/>
      <w:marBottom w:val="0"/>
      <w:divBdr>
        <w:top w:val="none" w:sz="0" w:space="0" w:color="auto"/>
        <w:left w:val="none" w:sz="0" w:space="0" w:color="auto"/>
        <w:bottom w:val="none" w:sz="0" w:space="0" w:color="auto"/>
        <w:right w:val="none" w:sz="0" w:space="0" w:color="auto"/>
      </w:divBdr>
    </w:div>
    <w:div w:id="804390094">
      <w:bodyDiv w:val="1"/>
      <w:marLeft w:val="0"/>
      <w:marRight w:val="0"/>
      <w:marTop w:val="0"/>
      <w:marBottom w:val="0"/>
      <w:divBdr>
        <w:top w:val="none" w:sz="0" w:space="0" w:color="auto"/>
        <w:left w:val="none" w:sz="0" w:space="0" w:color="auto"/>
        <w:bottom w:val="none" w:sz="0" w:space="0" w:color="auto"/>
        <w:right w:val="none" w:sz="0" w:space="0" w:color="auto"/>
      </w:divBdr>
    </w:div>
    <w:div w:id="964388561">
      <w:bodyDiv w:val="1"/>
      <w:marLeft w:val="0"/>
      <w:marRight w:val="0"/>
      <w:marTop w:val="0"/>
      <w:marBottom w:val="0"/>
      <w:divBdr>
        <w:top w:val="none" w:sz="0" w:space="0" w:color="auto"/>
        <w:left w:val="none" w:sz="0" w:space="0" w:color="auto"/>
        <w:bottom w:val="none" w:sz="0" w:space="0" w:color="auto"/>
        <w:right w:val="none" w:sz="0" w:space="0" w:color="auto"/>
      </w:divBdr>
    </w:div>
    <w:div w:id="1016074967">
      <w:bodyDiv w:val="1"/>
      <w:marLeft w:val="0"/>
      <w:marRight w:val="0"/>
      <w:marTop w:val="0"/>
      <w:marBottom w:val="0"/>
      <w:divBdr>
        <w:top w:val="none" w:sz="0" w:space="0" w:color="auto"/>
        <w:left w:val="none" w:sz="0" w:space="0" w:color="auto"/>
        <w:bottom w:val="none" w:sz="0" w:space="0" w:color="auto"/>
        <w:right w:val="none" w:sz="0" w:space="0" w:color="auto"/>
      </w:divBdr>
    </w:div>
    <w:div w:id="1016343681">
      <w:bodyDiv w:val="1"/>
      <w:marLeft w:val="0"/>
      <w:marRight w:val="0"/>
      <w:marTop w:val="0"/>
      <w:marBottom w:val="0"/>
      <w:divBdr>
        <w:top w:val="none" w:sz="0" w:space="0" w:color="auto"/>
        <w:left w:val="none" w:sz="0" w:space="0" w:color="auto"/>
        <w:bottom w:val="none" w:sz="0" w:space="0" w:color="auto"/>
        <w:right w:val="none" w:sz="0" w:space="0" w:color="auto"/>
      </w:divBdr>
    </w:div>
    <w:div w:id="1054933877">
      <w:bodyDiv w:val="1"/>
      <w:marLeft w:val="0"/>
      <w:marRight w:val="0"/>
      <w:marTop w:val="0"/>
      <w:marBottom w:val="0"/>
      <w:divBdr>
        <w:top w:val="none" w:sz="0" w:space="0" w:color="auto"/>
        <w:left w:val="none" w:sz="0" w:space="0" w:color="auto"/>
        <w:bottom w:val="none" w:sz="0" w:space="0" w:color="auto"/>
        <w:right w:val="none" w:sz="0" w:space="0" w:color="auto"/>
      </w:divBdr>
    </w:div>
    <w:div w:id="1064260906">
      <w:bodyDiv w:val="1"/>
      <w:marLeft w:val="0"/>
      <w:marRight w:val="0"/>
      <w:marTop w:val="0"/>
      <w:marBottom w:val="0"/>
      <w:divBdr>
        <w:top w:val="none" w:sz="0" w:space="0" w:color="auto"/>
        <w:left w:val="none" w:sz="0" w:space="0" w:color="auto"/>
        <w:bottom w:val="none" w:sz="0" w:space="0" w:color="auto"/>
        <w:right w:val="none" w:sz="0" w:space="0" w:color="auto"/>
      </w:divBdr>
    </w:div>
    <w:div w:id="1184518464">
      <w:bodyDiv w:val="1"/>
      <w:marLeft w:val="0"/>
      <w:marRight w:val="0"/>
      <w:marTop w:val="0"/>
      <w:marBottom w:val="0"/>
      <w:divBdr>
        <w:top w:val="none" w:sz="0" w:space="0" w:color="auto"/>
        <w:left w:val="none" w:sz="0" w:space="0" w:color="auto"/>
        <w:bottom w:val="none" w:sz="0" w:space="0" w:color="auto"/>
        <w:right w:val="none" w:sz="0" w:space="0" w:color="auto"/>
      </w:divBdr>
    </w:div>
    <w:div w:id="1189903465">
      <w:bodyDiv w:val="1"/>
      <w:marLeft w:val="0"/>
      <w:marRight w:val="0"/>
      <w:marTop w:val="0"/>
      <w:marBottom w:val="0"/>
      <w:divBdr>
        <w:top w:val="none" w:sz="0" w:space="0" w:color="auto"/>
        <w:left w:val="none" w:sz="0" w:space="0" w:color="auto"/>
        <w:bottom w:val="none" w:sz="0" w:space="0" w:color="auto"/>
        <w:right w:val="none" w:sz="0" w:space="0" w:color="auto"/>
      </w:divBdr>
    </w:div>
    <w:div w:id="1221206869">
      <w:bodyDiv w:val="1"/>
      <w:marLeft w:val="0"/>
      <w:marRight w:val="0"/>
      <w:marTop w:val="0"/>
      <w:marBottom w:val="0"/>
      <w:divBdr>
        <w:top w:val="none" w:sz="0" w:space="0" w:color="auto"/>
        <w:left w:val="none" w:sz="0" w:space="0" w:color="auto"/>
        <w:bottom w:val="none" w:sz="0" w:space="0" w:color="auto"/>
        <w:right w:val="none" w:sz="0" w:space="0" w:color="auto"/>
      </w:divBdr>
    </w:div>
    <w:div w:id="1231765724">
      <w:bodyDiv w:val="1"/>
      <w:marLeft w:val="0"/>
      <w:marRight w:val="0"/>
      <w:marTop w:val="0"/>
      <w:marBottom w:val="0"/>
      <w:divBdr>
        <w:top w:val="none" w:sz="0" w:space="0" w:color="auto"/>
        <w:left w:val="none" w:sz="0" w:space="0" w:color="auto"/>
        <w:bottom w:val="none" w:sz="0" w:space="0" w:color="auto"/>
        <w:right w:val="none" w:sz="0" w:space="0" w:color="auto"/>
      </w:divBdr>
    </w:div>
    <w:div w:id="1271163800">
      <w:bodyDiv w:val="1"/>
      <w:marLeft w:val="0"/>
      <w:marRight w:val="0"/>
      <w:marTop w:val="0"/>
      <w:marBottom w:val="0"/>
      <w:divBdr>
        <w:top w:val="none" w:sz="0" w:space="0" w:color="auto"/>
        <w:left w:val="none" w:sz="0" w:space="0" w:color="auto"/>
        <w:bottom w:val="none" w:sz="0" w:space="0" w:color="auto"/>
        <w:right w:val="none" w:sz="0" w:space="0" w:color="auto"/>
      </w:divBdr>
    </w:div>
    <w:div w:id="1285309254">
      <w:bodyDiv w:val="1"/>
      <w:marLeft w:val="0"/>
      <w:marRight w:val="0"/>
      <w:marTop w:val="0"/>
      <w:marBottom w:val="0"/>
      <w:divBdr>
        <w:top w:val="none" w:sz="0" w:space="0" w:color="auto"/>
        <w:left w:val="none" w:sz="0" w:space="0" w:color="auto"/>
        <w:bottom w:val="none" w:sz="0" w:space="0" w:color="auto"/>
        <w:right w:val="none" w:sz="0" w:space="0" w:color="auto"/>
      </w:divBdr>
    </w:div>
    <w:div w:id="1328094259">
      <w:bodyDiv w:val="1"/>
      <w:marLeft w:val="0"/>
      <w:marRight w:val="0"/>
      <w:marTop w:val="0"/>
      <w:marBottom w:val="0"/>
      <w:divBdr>
        <w:top w:val="none" w:sz="0" w:space="0" w:color="auto"/>
        <w:left w:val="none" w:sz="0" w:space="0" w:color="auto"/>
        <w:bottom w:val="none" w:sz="0" w:space="0" w:color="auto"/>
        <w:right w:val="none" w:sz="0" w:space="0" w:color="auto"/>
      </w:divBdr>
    </w:div>
    <w:div w:id="1358040732">
      <w:bodyDiv w:val="1"/>
      <w:marLeft w:val="0"/>
      <w:marRight w:val="0"/>
      <w:marTop w:val="0"/>
      <w:marBottom w:val="0"/>
      <w:divBdr>
        <w:top w:val="none" w:sz="0" w:space="0" w:color="auto"/>
        <w:left w:val="none" w:sz="0" w:space="0" w:color="auto"/>
        <w:bottom w:val="none" w:sz="0" w:space="0" w:color="auto"/>
        <w:right w:val="none" w:sz="0" w:space="0" w:color="auto"/>
      </w:divBdr>
    </w:div>
    <w:div w:id="1408262675">
      <w:bodyDiv w:val="1"/>
      <w:marLeft w:val="0"/>
      <w:marRight w:val="0"/>
      <w:marTop w:val="0"/>
      <w:marBottom w:val="0"/>
      <w:divBdr>
        <w:top w:val="none" w:sz="0" w:space="0" w:color="auto"/>
        <w:left w:val="none" w:sz="0" w:space="0" w:color="auto"/>
        <w:bottom w:val="none" w:sz="0" w:space="0" w:color="auto"/>
        <w:right w:val="none" w:sz="0" w:space="0" w:color="auto"/>
      </w:divBdr>
    </w:div>
    <w:div w:id="1511604032">
      <w:bodyDiv w:val="1"/>
      <w:marLeft w:val="0"/>
      <w:marRight w:val="0"/>
      <w:marTop w:val="0"/>
      <w:marBottom w:val="0"/>
      <w:divBdr>
        <w:top w:val="none" w:sz="0" w:space="0" w:color="auto"/>
        <w:left w:val="none" w:sz="0" w:space="0" w:color="auto"/>
        <w:bottom w:val="none" w:sz="0" w:space="0" w:color="auto"/>
        <w:right w:val="none" w:sz="0" w:space="0" w:color="auto"/>
      </w:divBdr>
    </w:div>
    <w:div w:id="1528133875">
      <w:bodyDiv w:val="1"/>
      <w:marLeft w:val="0"/>
      <w:marRight w:val="0"/>
      <w:marTop w:val="0"/>
      <w:marBottom w:val="0"/>
      <w:divBdr>
        <w:top w:val="none" w:sz="0" w:space="0" w:color="auto"/>
        <w:left w:val="none" w:sz="0" w:space="0" w:color="auto"/>
        <w:bottom w:val="none" w:sz="0" w:space="0" w:color="auto"/>
        <w:right w:val="none" w:sz="0" w:space="0" w:color="auto"/>
      </w:divBdr>
    </w:div>
    <w:div w:id="1555040837">
      <w:bodyDiv w:val="1"/>
      <w:marLeft w:val="0"/>
      <w:marRight w:val="0"/>
      <w:marTop w:val="0"/>
      <w:marBottom w:val="0"/>
      <w:divBdr>
        <w:top w:val="none" w:sz="0" w:space="0" w:color="auto"/>
        <w:left w:val="none" w:sz="0" w:space="0" w:color="auto"/>
        <w:bottom w:val="none" w:sz="0" w:space="0" w:color="auto"/>
        <w:right w:val="none" w:sz="0" w:space="0" w:color="auto"/>
      </w:divBdr>
    </w:div>
    <w:div w:id="1601645146">
      <w:bodyDiv w:val="1"/>
      <w:marLeft w:val="0"/>
      <w:marRight w:val="0"/>
      <w:marTop w:val="0"/>
      <w:marBottom w:val="0"/>
      <w:divBdr>
        <w:top w:val="none" w:sz="0" w:space="0" w:color="auto"/>
        <w:left w:val="none" w:sz="0" w:space="0" w:color="auto"/>
        <w:bottom w:val="none" w:sz="0" w:space="0" w:color="auto"/>
        <w:right w:val="none" w:sz="0" w:space="0" w:color="auto"/>
      </w:divBdr>
    </w:div>
    <w:div w:id="1669365236">
      <w:bodyDiv w:val="1"/>
      <w:marLeft w:val="0"/>
      <w:marRight w:val="0"/>
      <w:marTop w:val="0"/>
      <w:marBottom w:val="0"/>
      <w:divBdr>
        <w:top w:val="none" w:sz="0" w:space="0" w:color="auto"/>
        <w:left w:val="none" w:sz="0" w:space="0" w:color="auto"/>
        <w:bottom w:val="none" w:sz="0" w:space="0" w:color="auto"/>
        <w:right w:val="none" w:sz="0" w:space="0" w:color="auto"/>
      </w:divBdr>
    </w:div>
    <w:div w:id="1707364881">
      <w:bodyDiv w:val="1"/>
      <w:marLeft w:val="0"/>
      <w:marRight w:val="0"/>
      <w:marTop w:val="0"/>
      <w:marBottom w:val="0"/>
      <w:divBdr>
        <w:top w:val="none" w:sz="0" w:space="0" w:color="auto"/>
        <w:left w:val="none" w:sz="0" w:space="0" w:color="auto"/>
        <w:bottom w:val="none" w:sz="0" w:space="0" w:color="auto"/>
        <w:right w:val="none" w:sz="0" w:space="0" w:color="auto"/>
      </w:divBdr>
    </w:div>
    <w:div w:id="1748381616">
      <w:bodyDiv w:val="1"/>
      <w:marLeft w:val="0"/>
      <w:marRight w:val="0"/>
      <w:marTop w:val="0"/>
      <w:marBottom w:val="0"/>
      <w:divBdr>
        <w:top w:val="none" w:sz="0" w:space="0" w:color="auto"/>
        <w:left w:val="none" w:sz="0" w:space="0" w:color="auto"/>
        <w:bottom w:val="none" w:sz="0" w:space="0" w:color="auto"/>
        <w:right w:val="none" w:sz="0" w:space="0" w:color="auto"/>
      </w:divBdr>
    </w:div>
    <w:div w:id="1762288857">
      <w:bodyDiv w:val="1"/>
      <w:marLeft w:val="0"/>
      <w:marRight w:val="0"/>
      <w:marTop w:val="0"/>
      <w:marBottom w:val="0"/>
      <w:divBdr>
        <w:top w:val="none" w:sz="0" w:space="0" w:color="auto"/>
        <w:left w:val="none" w:sz="0" w:space="0" w:color="auto"/>
        <w:bottom w:val="none" w:sz="0" w:space="0" w:color="auto"/>
        <w:right w:val="none" w:sz="0" w:space="0" w:color="auto"/>
      </w:divBdr>
    </w:div>
    <w:div w:id="1764836199">
      <w:bodyDiv w:val="1"/>
      <w:marLeft w:val="0"/>
      <w:marRight w:val="0"/>
      <w:marTop w:val="0"/>
      <w:marBottom w:val="0"/>
      <w:divBdr>
        <w:top w:val="none" w:sz="0" w:space="0" w:color="auto"/>
        <w:left w:val="none" w:sz="0" w:space="0" w:color="auto"/>
        <w:bottom w:val="none" w:sz="0" w:space="0" w:color="auto"/>
        <w:right w:val="none" w:sz="0" w:space="0" w:color="auto"/>
      </w:divBdr>
    </w:div>
    <w:div w:id="1809517142">
      <w:bodyDiv w:val="1"/>
      <w:marLeft w:val="0"/>
      <w:marRight w:val="0"/>
      <w:marTop w:val="0"/>
      <w:marBottom w:val="0"/>
      <w:divBdr>
        <w:top w:val="none" w:sz="0" w:space="0" w:color="auto"/>
        <w:left w:val="none" w:sz="0" w:space="0" w:color="auto"/>
        <w:bottom w:val="none" w:sz="0" w:space="0" w:color="auto"/>
        <w:right w:val="none" w:sz="0" w:space="0" w:color="auto"/>
      </w:divBdr>
    </w:div>
    <w:div w:id="1861774349">
      <w:bodyDiv w:val="1"/>
      <w:marLeft w:val="0"/>
      <w:marRight w:val="0"/>
      <w:marTop w:val="0"/>
      <w:marBottom w:val="0"/>
      <w:divBdr>
        <w:top w:val="none" w:sz="0" w:space="0" w:color="auto"/>
        <w:left w:val="none" w:sz="0" w:space="0" w:color="auto"/>
        <w:bottom w:val="none" w:sz="0" w:space="0" w:color="auto"/>
        <w:right w:val="none" w:sz="0" w:space="0" w:color="auto"/>
      </w:divBdr>
    </w:div>
    <w:div w:id="2005889793">
      <w:bodyDiv w:val="1"/>
      <w:marLeft w:val="0"/>
      <w:marRight w:val="0"/>
      <w:marTop w:val="0"/>
      <w:marBottom w:val="0"/>
      <w:divBdr>
        <w:top w:val="none" w:sz="0" w:space="0" w:color="auto"/>
        <w:left w:val="none" w:sz="0" w:space="0" w:color="auto"/>
        <w:bottom w:val="none" w:sz="0" w:space="0" w:color="auto"/>
        <w:right w:val="none" w:sz="0" w:space="0" w:color="auto"/>
      </w:divBdr>
    </w:div>
    <w:div w:id="2052266181">
      <w:bodyDiv w:val="1"/>
      <w:marLeft w:val="0"/>
      <w:marRight w:val="0"/>
      <w:marTop w:val="0"/>
      <w:marBottom w:val="0"/>
      <w:divBdr>
        <w:top w:val="none" w:sz="0" w:space="0" w:color="auto"/>
        <w:left w:val="none" w:sz="0" w:space="0" w:color="auto"/>
        <w:bottom w:val="none" w:sz="0" w:space="0" w:color="auto"/>
        <w:right w:val="none" w:sz="0" w:space="0" w:color="auto"/>
      </w:divBdr>
    </w:div>
    <w:div w:id="2091464144">
      <w:bodyDiv w:val="1"/>
      <w:marLeft w:val="0"/>
      <w:marRight w:val="0"/>
      <w:marTop w:val="0"/>
      <w:marBottom w:val="0"/>
      <w:divBdr>
        <w:top w:val="none" w:sz="0" w:space="0" w:color="auto"/>
        <w:left w:val="none" w:sz="0" w:space="0" w:color="auto"/>
        <w:bottom w:val="none" w:sz="0" w:space="0" w:color="auto"/>
        <w:right w:val="none" w:sz="0" w:space="0" w:color="auto"/>
      </w:divBdr>
    </w:div>
    <w:div w:id="21397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dod.org/" TargetMode="External"/><Relationship Id="rId18" Type="http://schemas.openxmlformats.org/officeDocument/2006/relationships/hyperlink" Target="https://www.samhsa.gov/dtac/disaster-response-template-toolkit/organizational-individual-stress-manag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sas.learning@mass.gov" TargetMode="External"/><Relationship Id="rId7" Type="http://schemas.openxmlformats.org/officeDocument/2006/relationships/settings" Target="settings.xml"/><Relationship Id="rId12" Type="http://schemas.openxmlformats.org/officeDocument/2006/relationships/hyperlink" Target="https://www.healthrecovery.org/page/crisis-response" TargetMode="External"/><Relationship Id="rId17" Type="http://schemas.openxmlformats.org/officeDocument/2006/relationships/hyperlink" Target="https://www.aha.org/center/project-firstline/teamstepps-video-toolkit/debrie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asas.ny.gov/system/files/documents/2019/11/postventionguidancedocfinalaccessible.pdf" TargetMode="External"/><Relationship Id="rId20" Type="http://schemas.openxmlformats.org/officeDocument/2006/relationships/hyperlink" Target="https://www.tn.gov/behavioral-health/need-help/be-the-one/postvention-docume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ria.org/services/technical-expertis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risisprevention.com/Blog/debriefing-techniqu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ia.org/services/technical-expertise/" TargetMode="External"/><Relationship Id="rId22" Type="http://schemas.openxmlformats.org/officeDocument/2006/relationships/header" Target="head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oasas.ny.gov/system/files/documents/2019/11/postventionguidancedocfinalaccessible.pdf" TargetMode="External"/><Relationship Id="rId2" Type="http://schemas.openxmlformats.org/officeDocument/2006/relationships/hyperlink" Target="https://www.healthrecovery.org/page/crisis-response" TargetMode="External"/><Relationship Id="rId1" Type="http://schemas.openxmlformats.org/officeDocument/2006/relationships/hyperlink" Target="https://www.mass.gov/doc/dph-bureau-of-substance-abuse-services-standards-of-care" TargetMode="External"/><Relationship Id="rId5" Type="http://schemas.openxmlformats.org/officeDocument/2006/relationships/hyperlink" Target="https://www.aha.org/center/project-firstline/teamstepps-video-toolkit/debrief" TargetMode="External"/><Relationship Id="rId4" Type="http://schemas.openxmlformats.org/officeDocument/2006/relationships/hyperlink" Target="https://www.crisisprevention.com/Blog/debriefing-techniq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3123e5-9264-4e21-bc82-16d9e45b2f5e">
      <Terms xmlns="http://schemas.microsoft.com/office/infopath/2007/PartnerControls"/>
    </lcf76f155ced4ddcb4097134ff3c332f>
    <TaxCatchAll xmlns="fee02ea6-1fef-425e-9027-c2f70faaf434" xsi:nil="true"/>
  </documentManagement>
</p:properties>
</file>

<file path=customXml/itemProps1.xml><?xml version="1.0" encoding="utf-8"?>
<ds:datastoreItem xmlns:ds="http://schemas.openxmlformats.org/officeDocument/2006/customXml" ds:itemID="{E8935158-E8D6-400B-966B-A3F9B5324440}">
  <ds:schemaRefs>
    <ds:schemaRef ds:uri="http://schemas.microsoft.com/sharepoint/v3/contenttype/forms"/>
  </ds:schemaRefs>
</ds:datastoreItem>
</file>

<file path=customXml/itemProps2.xml><?xml version="1.0" encoding="utf-8"?>
<ds:datastoreItem xmlns:ds="http://schemas.openxmlformats.org/officeDocument/2006/customXml" ds:itemID="{FC104BDA-A597-4F31-B3B7-2CC2B47E41F6}">
  <ds:schemaRefs>
    <ds:schemaRef ds:uri="http://schemas.openxmlformats.org/officeDocument/2006/bibliography"/>
  </ds:schemaRefs>
</ds:datastoreItem>
</file>

<file path=customXml/itemProps3.xml><?xml version="1.0" encoding="utf-8"?>
<ds:datastoreItem xmlns:ds="http://schemas.openxmlformats.org/officeDocument/2006/customXml" ds:itemID="{876ADA2F-A4E8-4528-9EB2-B43AD02BA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37E21-9E77-4B33-89DB-3250E92DF5F6}">
  <ds:schemaRefs>
    <ds:schemaRef ds:uri="http://schemas.microsoft.com/office/2006/metadata/properties"/>
    <ds:schemaRef ds:uri="http://schemas.microsoft.com/office/infopath/2007/PartnerControls"/>
    <ds:schemaRef ds:uri="c83123e5-9264-4e21-bc82-16d9e45b2f5e"/>
    <ds:schemaRef ds:uri="fee02ea6-1fef-425e-9027-c2f70faaf43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Practice Guidance                   _________________________</vt:lpstr>
    </vt:vector>
  </TitlesOfParts>
  <Company/>
  <LinksUpToDate>false</LinksUpToDate>
  <CharactersWithSpaces>14203</CharactersWithSpaces>
  <SharedDoc>false</SharedDoc>
  <HLinks>
    <vt:vector size="330" baseType="variant">
      <vt:variant>
        <vt:i4>65604</vt:i4>
      </vt:variant>
      <vt:variant>
        <vt:i4>225</vt:i4>
      </vt:variant>
      <vt:variant>
        <vt:i4>0</vt:i4>
      </vt:variant>
      <vt:variant>
        <vt:i4>5</vt:i4>
      </vt:variant>
      <vt:variant>
        <vt:lpwstr>https://www.mass.gov/info-details/report-abuse-of-adults-aged-60</vt:lpwstr>
      </vt:variant>
      <vt:variant>
        <vt:lpwstr/>
      </vt:variant>
      <vt:variant>
        <vt:i4>6291488</vt:i4>
      </vt:variant>
      <vt:variant>
        <vt:i4>222</vt:i4>
      </vt:variant>
      <vt:variant>
        <vt:i4>0</vt:i4>
      </vt:variant>
      <vt:variant>
        <vt:i4>5</vt:i4>
      </vt:variant>
      <vt:variant>
        <vt:lpwstr>tel:18009222275</vt:lpwstr>
      </vt:variant>
      <vt:variant>
        <vt:lpwstr/>
      </vt:variant>
      <vt:variant>
        <vt:i4>5898249</vt:i4>
      </vt:variant>
      <vt:variant>
        <vt:i4>219</vt:i4>
      </vt:variant>
      <vt:variant>
        <vt:i4>0</vt:i4>
      </vt:variant>
      <vt:variant>
        <vt:i4>5</vt:i4>
      </vt:variant>
      <vt:variant>
        <vt:lpwstr>https://www.mass.gov/orgs/bureau-of-substance-addiction-services</vt:lpwstr>
      </vt:variant>
      <vt:variant>
        <vt:lpwstr/>
      </vt:variant>
      <vt:variant>
        <vt:i4>7077935</vt:i4>
      </vt:variant>
      <vt:variant>
        <vt:i4>216</vt:i4>
      </vt:variant>
      <vt:variant>
        <vt:i4>0</vt:i4>
      </vt:variant>
      <vt:variant>
        <vt:i4>5</vt:i4>
      </vt:variant>
      <vt:variant>
        <vt:lpwstr>tel:6176245111</vt:lpwstr>
      </vt:variant>
      <vt:variant>
        <vt:lpwstr/>
      </vt:variant>
      <vt:variant>
        <vt:i4>1507356</vt:i4>
      </vt:variant>
      <vt:variant>
        <vt:i4>213</vt:i4>
      </vt:variant>
      <vt:variant>
        <vt:i4>0</vt:i4>
      </vt:variant>
      <vt:variant>
        <vt:i4>5</vt:i4>
      </vt:variant>
      <vt:variant>
        <vt:lpwstr>https://www.mass.gov/info-details/sud-in-ltc</vt:lpwstr>
      </vt:variant>
      <vt:variant>
        <vt:lpwstr/>
      </vt:variant>
      <vt:variant>
        <vt:i4>5308510</vt:i4>
      </vt:variant>
      <vt:variant>
        <vt:i4>210</vt:i4>
      </vt:variant>
      <vt:variant>
        <vt:i4>0</vt:i4>
      </vt:variant>
      <vt:variant>
        <vt:i4>5</vt:i4>
      </vt:variant>
      <vt:variant>
        <vt:lpwstr>https://www.mass.gov/orgs/executive-office-of-veterans-services?_gl=1*fqxem5*_ga*NDcxMTU1MzIuMTc0NjU1NTAwOQ..*_ga_MCLPEGW7WM*czE3NDY1NTUwMTkkbzEkZzAkdDE3NDY1NTUwMTkkajAkbDAkaDA.</vt:lpwstr>
      </vt:variant>
      <vt:variant>
        <vt:lpwstr/>
      </vt:variant>
      <vt:variant>
        <vt:i4>3735635</vt:i4>
      </vt:variant>
      <vt:variant>
        <vt:i4>207</vt:i4>
      </vt:variant>
      <vt:variant>
        <vt:i4>0</vt:i4>
      </vt:variant>
      <vt:variant>
        <vt:i4>5</vt:i4>
      </vt:variant>
      <vt:variant>
        <vt:lpwstr>https://www.mass.gov/orgs/executive-office-of-aging-independence?_ga=2.90412314.1499206061.1744123588-1616526222.1744123588&amp;_gl=1*dihkh5*_ga*MTYxNjUyNjIyMi4xNzQ0MTIzNTg4*_ga_MCLPEGW7WM*MTc0NDEyNDU5OC4xLjAuMTc0NDEyNDU5OC4wLjAuMA..</vt:lpwstr>
      </vt:variant>
      <vt:variant>
        <vt:lpwstr/>
      </vt:variant>
      <vt:variant>
        <vt:i4>4194322</vt:i4>
      </vt:variant>
      <vt:variant>
        <vt:i4>204</vt:i4>
      </vt:variant>
      <vt:variant>
        <vt:i4>0</vt:i4>
      </vt:variant>
      <vt:variant>
        <vt:i4>5</vt:i4>
      </vt:variant>
      <vt:variant>
        <vt:lpwstr>https://www.mass.gov/older-adult-falls-prevention</vt:lpwstr>
      </vt:variant>
      <vt:variant>
        <vt:lpwstr/>
      </vt:variant>
      <vt:variant>
        <vt:i4>3932195</vt:i4>
      </vt:variant>
      <vt:variant>
        <vt:i4>201</vt:i4>
      </vt:variant>
      <vt:variant>
        <vt:i4>0</vt:i4>
      </vt:variant>
      <vt:variant>
        <vt:i4>5</vt:i4>
      </vt:variant>
      <vt:variant>
        <vt:lpwstr>https://www.va.gov/health-care/health-needs-conditions/substance-use-problems/</vt:lpwstr>
      </vt:variant>
      <vt:variant>
        <vt:lpwstr/>
      </vt:variant>
      <vt:variant>
        <vt:i4>4063335</vt:i4>
      </vt:variant>
      <vt:variant>
        <vt:i4>198</vt:i4>
      </vt:variant>
      <vt:variant>
        <vt:i4>0</vt:i4>
      </vt:variant>
      <vt:variant>
        <vt:i4>5</vt:i4>
      </vt:variant>
      <vt:variant>
        <vt:lpwstr>https://nida.nih.gov/publications/drugfacts/substance-use-in-older-adults-drugfacts</vt:lpwstr>
      </vt:variant>
      <vt:variant>
        <vt:lpwstr/>
      </vt:variant>
      <vt:variant>
        <vt:i4>2490478</vt:i4>
      </vt:variant>
      <vt:variant>
        <vt:i4>195</vt:i4>
      </vt:variant>
      <vt:variant>
        <vt:i4>0</vt:i4>
      </vt:variant>
      <vt:variant>
        <vt:i4>5</vt:i4>
      </vt:variant>
      <vt:variant>
        <vt:lpwstr>https://library.samhsa.gov/product/tip-26-treating-substance-use-disorder-older-adults/pep20-02-01-011</vt:lpwstr>
      </vt:variant>
      <vt:variant>
        <vt:lpwstr/>
      </vt:variant>
      <vt:variant>
        <vt:i4>2687094</vt:i4>
      </vt:variant>
      <vt:variant>
        <vt:i4>192</vt:i4>
      </vt:variant>
      <vt:variant>
        <vt:i4>0</vt:i4>
      </vt:variant>
      <vt:variant>
        <vt:i4>5</vt:i4>
      </vt:variant>
      <vt:variant>
        <vt:lpwstr>https://www.mass.gov/doc/mbhp-appendix-a1/download</vt:lpwstr>
      </vt:variant>
      <vt:variant>
        <vt:lpwstr/>
      </vt:variant>
      <vt:variant>
        <vt:i4>1835097</vt:i4>
      </vt:variant>
      <vt:variant>
        <vt:i4>189</vt:i4>
      </vt:variant>
      <vt:variant>
        <vt:i4>0</vt:i4>
      </vt:variant>
      <vt:variant>
        <vt:i4>5</vt:i4>
      </vt:variant>
      <vt:variant>
        <vt:lpwstr>https://www.mass.gov/doc/substance-use-disorder-treatment-services-regulations-2/download</vt:lpwstr>
      </vt:variant>
      <vt:variant>
        <vt:lpwstr/>
      </vt:variant>
      <vt:variant>
        <vt:i4>3145791</vt:i4>
      </vt:variant>
      <vt:variant>
        <vt:i4>186</vt:i4>
      </vt:variant>
      <vt:variant>
        <vt:i4>0</vt:i4>
      </vt:variant>
      <vt:variant>
        <vt:i4>5</vt:i4>
      </vt:variant>
      <vt:variant>
        <vt:lpwstr>https://www.mass.gov/doc/faq-regarding-implementation-of-bulletin-2015-05/download</vt:lpwstr>
      </vt:variant>
      <vt:variant>
        <vt:lpwstr/>
      </vt:variant>
      <vt:variant>
        <vt:i4>5505030</vt:i4>
      </vt:variant>
      <vt:variant>
        <vt:i4>182</vt:i4>
      </vt:variant>
      <vt:variant>
        <vt:i4>0</vt:i4>
      </vt:variant>
      <vt:variant>
        <vt:i4>5</vt:i4>
      </vt:variant>
      <vt:variant>
        <vt:lpwstr>https://www.mass.gov/info-details/medicare-basics</vt:lpwstr>
      </vt:variant>
      <vt:variant>
        <vt:lpwstr/>
      </vt:variant>
      <vt:variant>
        <vt:i4>5308441</vt:i4>
      </vt:variant>
      <vt:variant>
        <vt:i4>180</vt:i4>
      </vt:variant>
      <vt:variant>
        <vt:i4>0</vt:i4>
      </vt:variant>
      <vt:variant>
        <vt:i4>5</vt:i4>
      </vt:variant>
      <vt:variant>
        <vt:lpwstr>https://www.medicare.gov/</vt:lpwstr>
      </vt:variant>
      <vt:variant>
        <vt:lpwstr/>
      </vt:variant>
      <vt:variant>
        <vt:i4>5832711</vt:i4>
      </vt:variant>
      <vt:variant>
        <vt:i4>177</vt:i4>
      </vt:variant>
      <vt:variant>
        <vt:i4>0</vt:i4>
      </vt:variant>
      <vt:variant>
        <vt:i4>5</vt:i4>
      </vt:variant>
      <vt:variant>
        <vt:lpwstr>https://www.mass.gov/doc/105-cmr-164-licensure-of-substance-use-disorder-treatment-programs/download</vt:lpwstr>
      </vt:variant>
      <vt:variant>
        <vt:lpwstr/>
      </vt:variant>
      <vt:variant>
        <vt:i4>4915312</vt:i4>
      </vt:variant>
      <vt:variant>
        <vt:i4>174</vt:i4>
      </vt:variant>
      <vt:variant>
        <vt:i4>0</vt:i4>
      </vt:variant>
      <vt:variant>
        <vt:i4>5</vt:i4>
      </vt:variant>
      <vt:variant>
        <vt:lpwstr>https://library.samhsa.gov/product/tip-26-treating-substance-use-disorder-older-adults/pep20-02-01-011?utm_source=chatgpt.com</vt:lpwstr>
      </vt:variant>
      <vt:variant>
        <vt:lpwstr/>
      </vt:variant>
      <vt:variant>
        <vt:i4>5570579</vt:i4>
      </vt:variant>
      <vt:variant>
        <vt:i4>171</vt:i4>
      </vt:variant>
      <vt:variant>
        <vt:i4>0</vt:i4>
      </vt:variant>
      <vt:variant>
        <vt:i4>5</vt:i4>
      </vt:variant>
      <vt:variant>
        <vt:lpwstr>https://www.mass.gov/orgs/executive-office-of-aging-independence</vt:lpwstr>
      </vt:variant>
      <vt:variant>
        <vt:lpwstr/>
      </vt:variant>
      <vt:variant>
        <vt:i4>4194313</vt:i4>
      </vt:variant>
      <vt:variant>
        <vt:i4>168</vt:i4>
      </vt:variant>
      <vt:variant>
        <vt:i4>0</vt:i4>
      </vt:variant>
      <vt:variant>
        <vt:i4>5</vt:i4>
      </vt:variant>
      <vt:variant>
        <vt:lpwstr>https://www.mass.gov/aging-resources</vt:lpwstr>
      </vt:variant>
      <vt:variant>
        <vt:lpwstr/>
      </vt:variant>
      <vt:variant>
        <vt:i4>6225941</vt:i4>
      </vt:variant>
      <vt:variant>
        <vt:i4>165</vt:i4>
      </vt:variant>
      <vt:variant>
        <vt:i4>0</vt:i4>
      </vt:variant>
      <vt:variant>
        <vt:i4>5</vt:i4>
      </vt:variant>
      <vt:variant>
        <vt:lpwstr>https://www.mocatest.org/</vt:lpwstr>
      </vt:variant>
      <vt:variant>
        <vt:lpwstr/>
      </vt:variant>
      <vt:variant>
        <vt:i4>2818148</vt:i4>
      </vt:variant>
      <vt:variant>
        <vt:i4>162</vt:i4>
      </vt:variant>
      <vt:variant>
        <vt:i4>0</vt:i4>
      </vt:variant>
      <vt:variant>
        <vt:i4>5</vt:i4>
      </vt:variant>
      <vt:variant>
        <vt:lpwstr>https://www.who.int/publications/i/item/978924159938-2</vt:lpwstr>
      </vt:variant>
      <vt:variant>
        <vt:lpwstr/>
      </vt:variant>
      <vt:variant>
        <vt:i4>1114178</vt:i4>
      </vt:variant>
      <vt:variant>
        <vt:i4>159</vt:i4>
      </vt:variant>
      <vt:variant>
        <vt:i4>0</vt:i4>
      </vt:variant>
      <vt:variant>
        <vt:i4>5</vt:i4>
      </vt:variant>
      <vt:variant>
        <vt:lpwstr>https://www.ncbi.nlm.nih.gov/pmc/articles/PMC3643153/</vt:lpwstr>
      </vt:variant>
      <vt:variant>
        <vt:lpwstr/>
      </vt:variant>
      <vt:variant>
        <vt:i4>5570625</vt:i4>
      </vt:variant>
      <vt:variant>
        <vt:i4>156</vt:i4>
      </vt:variant>
      <vt:variant>
        <vt:i4>0</vt:i4>
      </vt:variant>
      <vt:variant>
        <vt:i4>5</vt:i4>
      </vt:variant>
      <vt:variant>
        <vt:lpwstr>https://www.who.int/publications/i/item/WHO-MSD-MSB-01.6a</vt:lpwstr>
      </vt:variant>
      <vt:variant>
        <vt:lpwstr/>
      </vt:variant>
      <vt:variant>
        <vt:i4>3</vt:i4>
      </vt:variant>
      <vt:variant>
        <vt:i4>153</vt:i4>
      </vt:variant>
      <vt:variant>
        <vt:i4>0</vt:i4>
      </vt:variant>
      <vt:variant>
        <vt:i4>5</vt:i4>
      </vt:variant>
      <vt:variant>
        <vt:lpwstr>https://pubmed.ncbi.nlm.nih.gov/16731837/</vt:lpwstr>
      </vt:variant>
      <vt:variant>
        <vt:lpwstr/>
      </vt:variant>
      <vt:variant>
        <vt:i4>65539</vt:i4>
      </vt:variant>
      <vt:variant>
        <vt:i4>150</vt:i4>
      </vt:variant>
      <vt:variant>
        <vt:i4>0</vt:i4>
      </vt:variant>
      <vt:variant>
        <vt:i4>5</vt:i4>
      </vt:variant>
      <vt:variant>
        <vt:lpwstr>https://pubmed.ncbi.nlm.nih.gov/19955790/</vt:lpwstr>
      </vt:variant>
      <vt:variant>
        <vt:lpwstr/>
      </vt:variant>
      <vt:variant>
        <vt:i4>1245184</vt:i4>
      </vt:variant>
      <vt:variant>
        <vt:i4>147</vt:i4>
      </vt:variant>
      <vt:variant>
        <vt:i4>0</vt:i4>
      </vt:variant>
      <vt:variant>
        <vt:i4>5</vt:i4>
      </vt:variant>
      <vt:variant>
        <vt:lpwstr>https://nida.nih.gov/publications/drugfacts/substance-use-in-older-adults</vt:lpwstr>
      </vt:variant>
      <vt:variant>
        <vt:lpwstr/>
      </vt:variant>
      <vt:variant>
        <vt:i4>4915312</vt:i4>
      </vt:variant>
      <vt:variant>
        <vt:i4>144</vt:i4>
      </vt:variant>
      <vt:variant>
        <vt:i4>0</vt:i4>
      </vt:variant>
      <vt:variant>
        <vt:i4>5</vt:i4>
      </vt:variant>
      <vt:variant>
        <vt:lpwstr>https://library.samhsa.gov/product/tip-26-treating-substance-use-disorder-older-adults/pep20-02-01-011?utm_source=chatgpt.com</vt:lpwstr>
      </vt:variant>
      <vt:variant>
        <vt:lpwstr/>
      </vt:variant>
      <vt:variant>
        <vt:i4>5832711</vt:i4>
      </vt:variant>
      <vt:variant>
        <vt:i4>141</vt:i4>
      </vt:variant>
      <vt:variant>
        <vt:i4>0</vt:i4>
      </vt:variant>
      <vt:variant>
        <vt:i4>5</vt:i4>
      </vt:variant>
      <vt:variant>
        <vt:lpwstr>https://www.mass.gov/doc/105-cmr-164-licensure-of-substance-use-disorder-treatment-programs/download</vt:lpwstr>
      </vt:variant>
      <vt:variant>
        <vt:lpwstr/>
      </vt:variant>
      <vt:variant>
        <vt:i4>3211372</vt:i4>
      </vt:variant>
      <vt:variant>
        <vt:i4>138</vt:i4>
      </vt:variant>
      <vt:variant>
        <vt:i4>0</vt:i4>
      </vt:variant>
      <vt:variant>
        <vt:i4>5</vt:i4>
      </vt:variant>
      <vt:variant>
        <vt:lpwstr>https://www.samhsa.gov/</vt:lpwstr>
      </vt:variant>
      <vt:variant>
        <vt:lpwstr/>
      </vt:variant>
      <vt:variant>
        <vt:i4>4915312</vt:i4>
      </vt:variant>
      <vt:variant>
        <vt:i4>135</vt:i4>
      </vt:variant>
      <vt:variant>
        <vt:i4>0</vt:i4>
      </vt:variant>
      <vt:variant>
        <vt:i4>5</vt:i4>
      </vt:variant>
      <vt:variant>
        <vt:lpwstr>https://library.samhsa.gov/product/tip-26-treating-substance-use-disorder-older-adults/pep20-02-01-011?utm_source=chatgpt.com</vt:lpwstr>
      </vt:variant>
      <vt:variant>
        <vt:lpwstr/>
      </vt:variant>
      <vt:variant>
        <vt:i4>1245234</vt:i4>
      </vt:variant>
      <vt:variant>
        <vt:i4>128</vt:i4>
      </vt:variant>
      <vt:variant>
        <vt:i4>0</vt:i4>
      </vt:variant>
      <vt:variant>
        <vt:i4>5</vt:i4>
      </vt:variant>
      <vt:variant>
        <vt:lpwstr/>
      </vt:variant>
      <vt:variant>
        <vt:lpwstr>_Toc203125109</vt:lpwstr>
      </vt:variant>
      <vt:variant>
        <vt:i4>1245234</vt:i4>
      </vt:variant>
      <vt:variant>
        <vt:i4>122</vt:i4>
      </vt:variant>
      <vt:variant>
        <vt:i4>0</vt:i4>
      </vt:variant>
      <vt:variant>
        <vt:i4>5</vt:i4>
      </vt:variant>
      <vt:variant>
        <vt:lpwstr/>
      </vt:variant>
      <vt:variant>
        <vt:lpwstr>_Toc203125108</vt:lpwstr>
      </vt:variant>
      <vt:variant>
        <vt:i4>1245234</vt:i4>
      </vt:variant>
      <vt:variant>
        <vt:i4>116</vt:i4>
      </vt:variant>
      <vt:variant>
        <vt:i4>0</vt:i4>
      </vt:variant>
      <vt:variant>
        <vt:i4>5</vt:i4>
      </vt:variant>
      <vt:variant>
        <vt:lpwstr/>
      </vt:variant>
      <vt:variant>
        <vt:lpwstr>_Toc203125107</vt:lpwstr>
      </vt:variant>
      <vt:variant>
        <vt:i4>1245234</vt:i4>
      </vt:variant>
      <vt:variant>
        <vt:i4>110</vt:i4>
      </vt:variant>
      <vt:variant>
        <vt:i4>0</vt:i4>
      </vt:variant>
      <vt:variant>
        <vt:i4>5</vt:i4>
      </vt:variant>
      <vt:variant>
        <vt:lpwstr/>
      </vt:variant>
      <vt:variant>
        <vt:lpwstr>_Toc203125106</vt:lpwstr>
      </vt:variant>
      <vt:variant>
        <vt:i4>1245234</vt:i4>
      </vt:variant>
      <vt:variant>
        <vt:i4>104</vt:i4>
      </vt:variant>
      <vt:variant>
        <vt:i4>0</vt:i4>
      </vt:variant>
      <vt:variant>
        <vt:i4>5</vt:i4>
      </vt:variant>
      <vt:variant>
        <vt:lpwstr/>
      </vt:variant>
      <vt:variant>
        <vt:lpwstr>_Toc203125105</vt:lpwstr>
      </vt:variant>
      <vt:variant>
        <vt:i4>1245234</vt:i4>
      </vt:variant>
      <vt:variant>
        <vt:i4>98</vt:i4>
      </vt:variant>
      <vt:variant>
        <vt:i4>0</vt:i4>
      </vt:variant>
      <vt:variant>
        <vt:i4>5</vt:i4>
      </vt:variant>
      <vt:variant>
        <vt:lpwstr/>
      </vt:variant>
      <vt:variant>
        <vt:lpwstr>_Toc203125104</vt:lpwstr>
      </vt:variant>
      <vt:variant>
        <vt:i4>1245234</vt:i4>
      </vt:variant>
      <vt:variant>
        <vt:i4>92</vt:i4>
      </vt:variant>
      <vt:variant>
        <vt:i4>0</vt:i4>
      </vt:variant>
      <vt:variant>
        <vt:i4>5</vt:i4>
      </vt:variant>
      <vt:variant>
        <vt:lpwstr/>
      </vt:variant>
      <vt:variant>
        <vt:lpwstr>_Toc203125103</vt:lpwstr>
      </vt:variant>
      <vt:variant>
        <vt:i4>1245234</vt:i4>
      </vt:variant>
      <vt:variant>
        <vt:i4>86</vt:i4>
      </vt:variant>
      <vt:variant>
        <vt:i4>0</vt:i4>
      </vt:variant>
      <vt:variant>
        <vt:i4>5</vt:i4>
      </vt:variant>
      <vt:variant>
        <vt:lpwstr/>
      </vt:variant>
      <vt:variant>
        <vt:lpwstr>_Toc203125102</vt:lpwstr>
      </vt:variant>
      <vt:variant>
        <vt:i4>1245234</vt:i4>
      </vt:variant>
      <vt:variant>
        <vt:i4>80</vt:i4>
      </vt:variant>
      <vt:variant>
        <vt:i4>0</vt:i4>
      </vt:variant>
      <vt:variant>
        <vt:i4>5</vt:i4>
      </vt:variant>
      <vt:variant>
        <vt:lpwstr/>
      </vt:variant>
      <vt:variant>
        <vt:lpwstr>_Toc203125101</vt:lpwstr>
      </vt:variant>
      <vt:variant>
        <vt:i4>1245234</vt:i4>
      </vt:variant>
      <vt:variant>
        <vt:i4>74</vt:i4>
      </vt:variant>
      <vt:variant>
        <vt:i4>0</vt:i4>
      </vt:variant>
      <vt:variant>
        <vt:i4>5</vt:i4>
      </vt:variant>
      <vt:variant>
        <vt:lpwstr/>
      </vt:variant>
      <vt:variant>
        <vt:lpwstr>_Toc203125100</vt:lpwstr>
      </vt:variant>
      <vt:variant>
        <vt:i4>1703987</vt:i4>
      </vt:variant>
      <vt:variant>
        <vt:i4>68</vt:i4>
      </vt:variant>
      <vt:variant>
        <vt:i4>0</vt:i4>
      </vt:variant>
      <vt:variant>
        <vt:i4>5</vt:i4>
      </vt:variant>
      <vt:variant>
        <vt:lpwstr/>
      </vt:variant>
      <vt:variant>
        <vt:lpwstr>_Toc203125099</vt:lpwstr>
      </vt:variant>
      <vt:variant>
        <vt:i4>1703987</vt:i4>
      </vt:variant>
      <vt:variant>
        <vt:i4>62</vt:i4>
      </vt:variant>
      <vt:variant>
        <vt:i4>0</vt:i4>
      </vt:variant>
      <vt:variant>
        <vt:i4>5</vt:i4>
      </vt:variant>
      <vt:variant>
        <vt:lpwstr/>
      </vt:variant>
      <vt:variant>
        <vt:lpwstr>_Toc203125098</vt:lpwstr>
      </vt:variant>
      <vt:variant>
        <vt:i4>1703987</vt:i4>
      </vt:variant>
      <vt:variant>
        <vt:i4>56</vt:i4>
      </vt:variant>
      <vt:variant>
        <vt:i4>0</vt:i4>
      </vt:variant>
      <vt:variant>
        <vt:i4>5</vt:i4>
      </vt:variant>
      <vt:variant>
        <vt:lpwstr/>
      </vt:variant>
      <vt:variant>
        <vt:lpwstr>_Toc203125097</vt:lpwstr>
      </vt:variant>
      <vt:variant>
        <vt:i4>1703987</vt:i4>
      </vt:variant>
      <vt:variant>
        <vt:i4>50</vt:i4>
      </vt:variant>
      <vt:variant>
        <vt:i4>0</vt:i4>
      </vt:variant>
      <vt:variant>
        <vt:i4>5</vt:i4>
      </vt:variant>
      <vt:variant>
        <vt:lpwstr/>
      </vt:variant>
      <vt:variant>
        <vt:lpwstr>_Toc203125096</vt:lpwstr>
      </vt:variant>
      <vt:variant>
        <vt:i4>1703987</vt:i4>
      </vt:variant>
      <vt:variant>
        <vt:i4>44</vt:i4>
      </vt:variant>
      <vt:variant>
        <vt:i4>0</vt:i4>
      </vt:variant>
      <vt:variant>
        <vt:i4>5</vt:i4>
      </vt:variant>
      <vt:variant>
        <vt:lpwstr/>
      </vt:variant>
      <vt:variant>
        <vt:lpwstr>_Toc203125095</vt:lpwstr>
      </vt:variant>
      <vt:variant>
        <vt:i4>1703987</vt:i4>
      </vt:variant>
      <vt:variant>
        <vt:i4>38</vt:i4>
      </vt:variant>
      <vt:variant>
        <vt:i4>0</vt:i4>
      </vt:variant>
      <vt:variant>
        <vt:i4>5</vt:i4>
      </vt:variant>
      <vt:variant>
        <vt:lpwstr/>
      </vt:variant>
      <vt:variant>
        <vt:lpwstr>_Toc203125094</vt:lpwstr>
      </vt:variant>
      <vt:variant>
        <vt:i4>1703987</vt:i4>
      </vt:variant>
      <vt:variant>
        <vt:i4>32</vt:i4>
      </vt:variant>
      <vt:variant>
        <vt:i4>0</vt:i4>
      </vt:variant>
      <vt:variant>
        <vt:i4>5</vt:i4>
      </vt:variant>
      <vt:variant>
        <vt:lpwstr/>
      </vt:variant>
      <vt:variant>
        <vt:lpwstr>_Toc203125093</vt:lpwstr>
      </vt:variant>
      <vt:variant>
        <vt:i4>1703987</vt:i4>
      </vt:variant>
      <vt:variant>
        <vt:i4>26</vt:i4>
      </vt:variant>
      <vt:variant>
        <vt:i4>0</vt:i4>
      </vt:variant>
      <vt:variant>
        <vt:i4>5</vt:i4>
      </vt:variant>
      <vt:variant>
        <vt:lpwstr/>
      </vt:variant>
      <vt:variant>
        <vt:lpwstr>_Toc203125092</vt:lpwstr>
      </vt:variant>
      <vt:variant>
        <vt:i4>1703987</vt:i4>
      </vt:variant>
      <vt:variant>
        <vt:i4>20</vt:i4>
      </vt:variant>
      <vt:variant>
        <vt:i4>0</vt:i4>
      </vt:variant>
      <vt:variant>
        <vt:i4>5</vt:i4>
      </vt:variant>
      <vt:variant>
        <vt:lpwstr/>
      </vt:variant>
      <vt:variant>
        <vt:lpwstr>_Toc203125091</vt:lpwstr>
      </vt:variant>
      <vt:variant>
        <vt:i4>1703987</vt:i4>
      </vt:variant>
      <vt:variant>
        <vt:i4>14</vt:i4>
      </vt:variant>
      <vt:variant>
        <vt:i4>0</vt:i4>
      </vt:variant>
      <vt:variant>
        <vt:i4>5</vt:i4>
      </vt:variant>
      <vt:variant>
        <vt:lpwstr/>
      </vt:variant>
      <vt:variant>
        <vt:lpwstr>_Toc203125090</vt:lpwstr>
      </vt:variant>
      <vt:variant>
        <vt:i4>1769523</vt:i4>
      </vt:variant>
      <vt:variant>
        <vt:i4>8</vt:i4>
      </vt:variant>
      <vt:variant>
        <vt:i4>0</vt:i4>
      </vt:variant>
      <vt:variant>
        <vt:i4>5</vt:i4>
      </vt:variant>
      <vt:variant>
        <vt:lpwstr/>
      </vt:variant>
      <vt:variant>
        <vt:lpwstr>_Toc203125089</vt:lpwstr>
      </vt:variant>
      <vt:variant>
        <vt:i4>1769523</vt:i4>
      </vt:variant>
      <vt:variant>
        <vt:i4>2</vt:i4>
      </vt:variant>
      <vt:variant>
        <vt:i4>0</vt:i4>
      </vt:variant>
      <vt:variant>
        <vt:i4>5</vt:i4>
      </vt:variant>
      <vt:variant>
        <vt:lpwstr/>
      </vt:variant>
      <vt:variant>
        <vt:lpwstr>_Toc203125088</vt:lpwstr>
      </vt:variant>
      <vt:variant>
        <vt:i4>1507356</vt:i4>
      </vt:variant>
      <vt:variant>
        <vt:i4>3</vt:i4>
      </vt:variant>
      <vt:variant>
        <vt:i4>0</vt:i4>
      </vt:variant>
      <vt:variant>
        <vt:i4>5</vt:i4>
      </vt:variant>
      <vt:variant>
        <vt:lpwstr>https://www.mass.gov/info-details/sud-in-ltc</vt:lpwstr>
      </vt:variant>
      <vt:variant>
        <vt:lpwstr/>
      </vt:variant>
      <vt:variant>
        <vt:i4>3604560</vt:i4>
      </vt:variant>
      <vt:variant>
        <vt:i4>0</vt:i4>
      </vt:variant>
      <vt:variant>
        <vt:i4>0</vt:i4>
      </vt:variant>
      <vt:variant>
        <vt:i4>5</vt:i4>
      </vt:variant>
      <vt:variant>
        <vt:lpwstr>mailto:Laura.Crosby@mass.gov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Guidance:                   Adopting the Practice of Postvention and Debriefs in the SUD Treatment Programs</dc:title>
  <dc:subject/>
  <dc:creator>Crosby, Laura M. (DPH)</dc:creator>
  <cp:keywords/>
  <dc:description/>
  <cp:lastModifiedBy>Harrison, Deborah (EHS)</cp:lastModifiedBy>
  <cp:revision>2</cp:revision>
  <cp:lastPrinted>2025-10-02T13:55:00Z</cp:lastPrinted>
  <dcterms:created xsi:type="dcterms:W3CDTF">2025-10-02T18:21:00Z</dcterms:created>
  <dcterms:modified xsi:type="dcterms:W3CDTF">2025-10-02T18:21:00Z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