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1CD1" w:rsidRDefault="003F1CD1" w:rsidP="003F1CD1">
      <w:pPr>
        <w:pStyle w:val="Title"/>
        <w:rPr>
          <w:rFonts w:ascii="Courier New" w:hAnsi="Courier New" w:cs="Courier New"/>
          <w:sz w:val="24"/>
        </w:rPr>
      </w:pPr>
      <w:r>
        <w:rPr>
          <w:rFonts w:ascii="Courier New" w:hAnsi="Courier New" w:cs="Courier New"/>
          <w:sz w:val="24"/>
        </w:rPr>
        <w:t>COMMONWEALTH OF MASSACHUSETTS</w:t>
      </w:r>
    </w:p>
    <w:p w:rsidR="003F1CD1" w:rsidRDefault="003F1CD1" w:rsidP="003F1CD1">
      <w:pPr>
        <w:jc w:val="center"/>
        <w:rPr>
          <w:b/>
          <w:bCs w:val="0"/>
        </w:rPr>
      </w:pPr>
    </w:p>
    <w:p w:rsidR="003F1CD1" w:rsidRDefault="003F1CD1" w:rsidP="003F1CD1">
      <w:pPr>
        <w:jc w:val="center"/>
        <w:rPr>
          <w:b/>
          <w:bCs w:val="0"/>
        </w:rPr>
      </w:pPr>
      <w:r>
        <w:rPr>
          <w:b/>
          <w:bCs w:val="0"/>
        </w:rPr>
        <w:t>APPELLATE TAX BOARD</w:t>
      </w:r>
    </w:p>
    <w:p w:rsidR="00C50EFB" w:rsidRDefault="00C50EFB" w:rsidP="003F1CD1">
      <w:pPr>
        <w:jc w:val="center"/>
        <w:rPr>
          <w:b/>
          <w:bCs w:val="0"/>
        </w:rPr>
      </w:pPr>
    </w:p>
    <w:p w:rsidR="003F1CD1" w:rsidRDefault="003F1CD1" w:rsidP="003F1CD1">
      <w:pPr>
        <w:rPr>
          <w:b/>
          <w:bCs w:val="0"/>
        </w:rPr>
      </w:pPr>
    </w:p>
    <w:p w:rsidR="003F1CD1" w:rsidRPr="00047707" w:rsidRDefault="003F1CD1" w:rsidP="003F1CD1">
      <w:pPr>
        <w:pStyle w:val="BodyText"/>
        <w:spacing w:line="240" w:lineRule="auto"/>
        <w:ind w:left="3600" w:hanging="3600"/>
        <w:rPr>
          <w:rFonts w:ascii="Courier New" w:hAnsi="Courier New" w:cs="Courier New"/>
          <w:b/>
        </w:rPr>
      </w:pPr>
      <w:r>
        <w:rPr>
          <w:rFonts w:ascii="Courier New" w:hAnsi="Courier New" w:cs="Courier New"/>
          <w:b/>
          <w:lang w:val="de-DE"/>
        </w:rPr>
        <w:t>P</w:t>
      </w:r>
      <w:r w:rsidR="00036C97">
        <w:rPr>
          <w:rFonts w:ascii="Courier New" w:hAnsi="Courier New" w:cs="Courier New"/>
          <w:b/>
          <w:lang w:val="de-DE"/>
        </w:rPr>
        <w:t>O</w:t>
      </w:r>
      <w:r>
        <w:rPr>
          <w:rFonts w:ascii="Courier New" w:hAnsi="Courier New" w:cs="Courier New"/>
          <w:b/>
          <w:lang w:val="de-DE"/>
        </w:rPr>
        <w:t>WERSCOURT REALTY TRUST</w:t>
      </w:r>
      <w:r>
        <w:rPr>
          <w:rFonts w:ascii="Courier New" w:hAnsi="Courier New" w:cs="Courier New"/>
          <w:b/>
          <w:lang w:val="de-DE"/>
        </w:rPr>
        <w:tab/>
      </w:r>
      <w:r w:rsidRPr="00047707">
        <w:rPr>
          <w:rFonts w:ascii="Courier New" w:hAnsi="Courier New" w:cs="Courier New"/>
          <w:b/>
          <w:lang w:val="de-DE"/>
        </w:rPr>
        <w:t xml:space="preserve">  </w:t>
      </w:r>
      <w:r>
        <w:rPr>
          <w:rFonts w:ascii="Courier New" w:hAnsi="Courier New" w:cs="Courier New"/>
          <w:b/>
          <w:lang w:val="de-DE"/>
        </w:rPr>
        <w:t xml:space="preserve">  v.       </w:t>
      </w:r>
      <w:r w:rsidRPr="00047707">
        <w:rPr>
          <w:rFonts w:ascii="Courier New" w:hAnsi="Courier New" w:cs="Courier New"/>
          <w:b/>
        </w:rPr>
        <w:t>BOARD OF ASSESSORS OF</w:t>
      </w:r>
    </w:p>
    <w:p w:rsidR="003F1CD1" w:rsidRPr="00047707" w:rsidRDefault="003F1CD1" w:rsidP="003F1CD1">
      <w:pPr>
        <w:pStyle w:val="BodyText"/>
        <w:spacing w:line="240" w:lineRule="auto"/>
        <w:ind w:left="3600" w:hanging="3600"/>
        <w:rPr>
          <w:rFonts w:ascii="Courier New" w:hAnsi="Courier New" w:cs="Courier New"/>
          <w:b/>
        </w:rPr>
      </w:pPr>
      <w:r w:rsidRPr="00047707">
        <w:rPr>
          <w:rFonts w:ascii="Courier New" w:hAnsi="Courier New" w:cs="Courier New"/>
          <w:b/>
        </w:rPr>
        <w:tab/>
      </w:r>
      <w:r w:rsidRPr="00047707">
        <w:rPr>
          <w:rFonts w:ascii="Courier New" w:hAnsi="Courier New" w:cs="Courier New"/>
          <w:b/>
        </w:rPr>
        <w:tab/>
      </w:r>
      <w:r w:rsidRPr="00047707">
        <w:rPr>
          <w:rFonts w:ascii="Courier New" w:hAnsi="Courier New" w:cs="Courier New"/>
          <w:b/>
        </w:rPr>
        <w:tab/>
      </w:r>
      <w:r>
        <w:rPr>
          <w:rFonts w:ascii="Courier New" w:hAnsi="Courier New" w:cs="Courier New"/>
          <w:b/>
        </w:rPr>
        <w:t>  </w:t>
      </w:r>
      <w:r w:rsidR="00036C97">
        <w:rPr>
          <w:rFonts w:ascii="Courier New" w:hAnsi="Courier New" w:cs="Courier New"/>
          <w:b/>
        </w:rPr>
        <w:t xml:space="preserve"> </w:t>
      </w:r>
      <w:r>
        <w:rPr>
          <w:rFonts w:ascii="Courier New" w:hAnsi="Courier New" w:cs="Courier New"/>
          <w:b/>
        </w:rPr>
        <w:t>THE CITY OF WOBURN</w:t>
      </w:r>
    </w:p>
    <w:p w:rsidR="003F1CD1" w:rsidRDefault="003F1CD1" w:rsidP="003F1CD1">
      <w:pPr>
        <w:pStyle w:val="BodyText"/>
        <w:spacing w:line="240" w:lineRule="auto"/>
        <w:ind w:left="3600" w:hanging="3600"/>
        <w:rPr>
          <w:rFonts w:ascii="Courier New" w:hAnsi="Courier New" w:cs="Courier New"/>
        </w:rPr>
      </w:pPr>
    </w:p>
    <w:p w:rsidR="003F1CD1" w:rsidRDefault="003F1CD1" w:rsidP="003F1CD1">
      <w:pPr>
        <w:pStyle w:val="BodyText"/>
        <w:spacing w:line="240" w:lineRule="auto"/>
        <w:ind w:left="3600" w:hanging="3600"/>
        <w:rPr>
          <w:rFonts w:ascii="Courier New" w:hAnsi="Courier New" w:cs="Courier New"/>
        </w:rPr>
      </w:pPr>
      <w:r>
        <w:rPr>
          <w:rFonts w:ascii="Courier New" w:hAnsi="Courier New" w:cs="Courier New"/>
        </w:rPr>
        <w:t xml:space="preserve"> </w:t>
      </w:r>
    </w:p>
    <w:p w:rsidR="003F1CD1" w:rsidRDefault="003F1CD1" w:rsidP="003F1CD1">
      <w:pPr>
        <w:pStyle w:val="BodyText"/>
        <w:spacing w:line="240" w:lineRule="auto"/>
        <w:rPr>
          <w:rFonts w:ascii="Courier New" w:hAnsi="Courier New" w:cs="Courier New"/>
          <w:bCs/>
        </w:rPr>
      </w:pPr>
      <w:r>
        <w:rPr>
          <w:rFonts w:ascii="Courier New" w:hAnsi="Courier New" w:cs="Courier New"/>
          <w:bCs/>
        </w:rPr>
        <w:t>Docket No</w:t>
      </w:r>
      <w:r w:rsidR="00036C97">
        <w:rPr>
          <w:rFonts w:ascii="Courier New" w:hAnsi="Courier New" w:cs="Courier New"/>
          <w:bCs/>
        </w:rPr>
        <w:t>s</w:t>
      </w:r>
      <w:r>
        <w:rPr>
          <w:rFonts w:ascii="Courier New" w:hAnsi="Courier New" w:cs="Courier New"/>
          <w:bCs/>
        </w:rPr>
        <w:t>. F</w:t>
      </w:r>
      <w:r w:rsidR="00036C97">
        <w:rPr>
          <w:rFonts w:ascii="Courier New" w:hAnsi="Courier New" w:cs="Courier New"/>
          <w:bCs/>
        </w:rPr>
        <w:t xml:space="preserve">330190, F332390 </w:t>
      </w:r>
      <w:r w:rsidR="00036C97">
        <w:rPr>
          <w:rFonts w:ascii="Courier New" w:hAnsi="Courier New" w:cs="Courier New"/>
          <w:bCs/>
        </w:rPr>
        <w:tab/>
        <w:t xml:space="preserve">    </w:t>
      </w:r>
      <w:r w:rsidR="00036C97">
        <w:rPr>
          <w:rFonts w:ascii="Courier New" w:hAnsi="Courier New" w:cs="Courier New"/>
          <w:bCs/>
        </w:rPr>
        <w:tab/>
        <w:t xml:space="preserve">  </w:t>
      </w:r>
      <w:r>
        <w:rPr>
          <w:rFonts w:ascii="Courier New" w:hAnsi="Courier New" w:cs="Courier New"/>
          <w:bCs/>
        </w:rPr>
        <w:t>  </w:t>
      </w:r>
      <w:r w:rsidRPr="00047707">
        <w:rPr>
          <w:rFonts w:ascii="Courier New" w:hAnsi="Courier New" w:cs="Courier New"/>
          <w:bCs/>
        </w:rPr>
        <w:t>Promulgated:</w:t>
      </w:r>
    </w:p>
    <w:p w:rsidR="003F1CD1" w:rsidRPr="00047707" w:rsidRDefault="003F1CD1" w:rsidP="003F1CD1">
      <w:pPr>
        <w:pStyle w:val="BodyText"/>
        <w:spacing w:line="240" w:lineRule="auto"/>
        <w:rPr>
          <w:rFonts w:ascii="Courier New" w:hAnsi="Courier New" w:cs="Courier New"/>
          <w:bCs/>
        </w:rPr>
      </w:pPr>
      <w:r>
        <w:rPr>
          <w:rFonts w:ascii="Courier New" w:hAnsi="Courier New" w:cs="Courier New"/>
          <w:bCs/>
        </w:rPr>
        <w:tab/>
      </w:r>
      <w:r>
        <w:rPr>
          <w:rFonts w:ascii="Courier New" w:hAnsi="Courier New" w:cs="Courier New"/>
          <w:bCs/>
        </w:rPr>
        <w:tab/>
      </w:r>
      <w:r>
        <w:rPr>
          <w:rFonts w:ascii="Courier New" w:hAnsi="Courier New" w:cs="Courier New"/>
          <w:bCs/>
        </w:rPr>
        <w:tab/>
      </w:r>
      <w:r>
        <w:rPr>
          <w:rFonts w:ascii="Courier New" w:hAnsi="Courier New" w:cs="Courier New"/>
          <w:bCs/>
        </w:rPr>
        <w:tab/>
      </w:r>
      <w:r>
        <w:rPr>
          <w:rFonts w:ascii="Courier New" w:hAnsi="Courier New" w:cs="Courier New"/>
          <w:bCs/>
        </w:rPr>
        <w:tab/>
      </w:r>
      <w:r>
        <w:rPr>
          <w:rFonts w:ascii="Courier New" w:hAnsi="Courier New" w:cs="Courier New"/>
          <w:bCs/>
        </w:rPr>
        <w:tab/>
      </w:r>
      <w:r>
        <w:rPr>
          <w:rFonts w:ascii="Courier New" w:hAnsi="Courier New" w:cs="Courier New"/>
          <w:bCs/>
        </w:rPr>
        <w:tab/>
      </w:r>
      <w:r w:rsidR="00036C97">
        <w:rPr>
          <w:rFonts w:ascii="Courier New" w:hAnsi="Courier New" w:cs="Courier New"/>
          <w:bCs/>
        </w:rPr>
        <w:t xml:space="preserve">  </w:t>
      </w:r>
      <w:r>
        <w:rPr>
          <w:rFonts w:ascii="Courier New" w:hAnsi="Courier New" w:cs="Courier New"/>
          <w:bCs/>
        </w:rPr>
        <w:t>  </w:t>
      </w:r>
      <w:r w:rsidR="00897459">
        <w:rPr>
          <w:rFonts w:ascii="Courier New" w:hAnsi="Courier New" w:cs="Courier New"/>
          <w:bCs/>
        </w:rPr>
        <w:t>December 3, 2018</w:t>
      </w:r>
    </w:p>
    <w:p w:rsidR="003F1CD1" w:rsidRDefault="003F1CD1" w:rsidP="003F1CD1">
      <w:pPr>
        <w:pStyle w:val="BodyText"/>
        <w:spacing w:line="240" w:lineRule="auto"/>
        <w:rPr>
          <w:rFonts w:ascii="Courier New" w:hAnsi="Courier New" w:cs="Courier New"/>
          <w:b/>
          <w:bCs/>
        </w:rPr>
      </w:pPr>
    </w:p>
    <w:p w:rsidR="003F1CD1" w:rsidRDefault="003F1CD1" w:rsidP="003F1CD1">
      <w:pPr>
        <w:pStyle w:val="BodyText"/>
        <w:spacing w:line="240" w:lineRule="auto"/>
        <w:rPr>
          <w:rFonts w:ascii="Courier New" w:hAnsi="Courier New" w:cs="Courier New"/>
          <w:b/>
          <w:bCs/>
        </w:rPr>
      </w:pP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b/>
          <w:bCs/>
        </w:rPr>
        <w:tab/>
        <w:t xml:space="preserve"> </w:t>
      </w:r>
    </w:p>
    <w:p w:rsidR="003F1CD1" w:rsidRPr="00047707" w:rsidRDefault="003F1CD1" w:rsidP="003F1CD1">
      <w:pPr>
        <w:pStyle w:val="BodyText"/>
        <w:rPr>
          <w:rFonts w:ascii="Courier New" w:hAnsi="Courier New" w:cs="Courier New"/>
          <w:bCs/>
        </w:rPr>
      </w:pPr>
      <w:r w:rsidRPr="00047707">
        <w:rPr>
          <w:rFonts w:ascii="Courier New" w:hAnsi="Courier New" w:cs="Courier New"/>
          <w:bCs/>
        </w:rPr>
        <w:tab/>
        <w:t>Th</w:t>
      </w:r>
      <w:r w:rsidR="00036C97">
        <w:rPr>
          <w:rFonts w:ascii="Courier New" w:hAnsi="Courier New" w:cs="Courier New"/>
          <w:bCs/>
        </w:rPr>
        <w:t>ese</w:t>
      </w:r>
      <w:r w:rsidRPr="00047707">
        <w:rPr>
          <w:rFonts w:ascii="Courier New" w:hAnsi="Courier New" w:cs="Courier New"/>
          <w:bCs/>
        </w:rPr>
        <w:t xml:space="preserve"> </w:t>
      </w:r>
      <w:r w:rsidR="00036C97">
        <w:rPr>
          <w:rFonts w:ascii="Courier New" w:hAnsi="Courier New" w:cs="Courier New"/>
          <w:bCs/>
        </w:rPr>
        <w:t xml:space="preserve">are </w:t>
      </w:r>
      <w:r w:rsidRPr="00047707">
        <w:rPr>
          <w:rFonts w:ascii="Courier New" w:hAnsi="Courier New" w:cs="Courier New"/>
          <w:bCs/>
        </w:rPr>
        <w:t>appeal</w:t>
      </w:r>
      <w:r w:rsidR="00036C97">
        <w:rPr>
          <w:rFonts w:ascii="Courier New" w:hAnsi="Courier New" w:cs="Courier New"/>
          <w:bCs/>
        </w:rPr>
        <w:t>s</w:t>
      </w:r>
      <w:r w:rsidRPr="00047707">
        <w:rPr>
          <w:rFonts w:ascii="Courier New" w:hAnsi="Courier New" w:cs="Courier New"/>
          <w:bCs/>
        </w:rPr>
        <w:t xml:space="preserve"> filed under the formal procedure p</w:t>
      </w:r>
      <w:r>
        <w:rPr>
          <w:rFonts w:ascii="Courier New" w:hAnsi="Courier New" w:cs="Courier New"/>
          <w:bCs/>
        </w:rPr>
        <w:t>ursuant to G.L. c. 58A, § 7</w:t>
      </w:r>
      <w:r w:rsidR="0070135C">
        <w:rPr>
          <w:rFonts w:ascii="Courier New" w:hAnsi="Courier New" w:cs="Courier New"/>
          <w:bCs/>
        </w:rPr>
        <w:t xml:space="preserve"> and</w:t>
      </w:r>
      <w:r>
        <w:rPr>
          <w:rFonts w:ascii="Courier New" w:hAnsi="Courier New" w:cs="Courier New"/>
          <w:bCs/>
        </w:rPr>
        <w:t xml:space="preserve"> </w:t>
      </w:r>
      <w:r w:rsidRPr="00047707">
        <w:rPr>
          <w:rFonts w:ascii="Courier New" w:hAnsi="Courier New" w:cs="Courier New"/>
          <w:bCs/>
        </w:rPr>
        <w:t>G.L. c. 59, §§ 64 and 65</w:t>
      </w:r>
      <w:r w:rsidR="0070135C">
        <w:rPr>
          <w:rFonts w:ascii="Courier New" w:hAnsi="Courier New" w:cs="Courier New"/>
          <w:bCs/>
        </w:rPr>
        <w:t xml:space="preserve"> </w:t>
      </w:r>
      <w:r w:rsidRPr="00047707">
        <w:rPr>
          <w:rFonts w:ascii="Courier New" w:hAnsi="Courier New" w:cs="Courier New"/>
          <w:bCs/>
        </w:rPr>
        <w:t>from the refusal of the Boa</w:t>
      </w:r>
      <w:r>
        <w:rPr>
          <w:rFonts w:ascii="Courier New" w:hAnsi="Courier New" w:cs="Courier New"/>
          <w:bCs/>
        </w:rPr>
        <w:t xml:space="preserve">rd of Assessors of the </w:t>
      </w:r>
      <w:r w:rsidR="00036C97">
        <w:rPr>
          <w:rFonts w:ascii="Courier New" w:hAnsi="Courier New" w:cs="Courier New"/>
          <w:bCs/>
        </w:rPr>
        <w:t>City of Woburn</w:t>
      </w:r>
      <w:r w:rsidRPr="00047707">
        <w:rPr>
          <w:rFonts w:ascii="Courier New" w:hAnsi="Courier New" w:cs="Courier New"/>
          <w:bCs/>
        </w:rPr>
        <w:t xml:space="preserve"> (“assessors” or</w:t>
      </w:r>
      <w:r w:rsidR="00815597">
        <w:rPr>
          <w:rFonts w:ascii="Courier New" w:hAnsi="Courier New" w:cs="Courier New"/>
          <w:bCs/>
        </w:rPr>
        <w:t xml:space="preserve"> </w:t>
      </w:r>
      <w:r w:rsidRPr="00047707">
        <w:rPr>
          <w:rFonts w:ascii="Courier New" w:hAnsi="Courier New" w:cs="Courier New"/>
          <w:bCs/>
        </w:rPr>
        <w:t xml:space="preserve">“appellee”) to abate a tax on certain real estate </w:t>
      </w:r>
      <w:r>
        <w:rPr>
          <w:rFonts w:ascii="Courier New" w:hAnsi="Courier New" w:cs="Courier New"/>
          <w:bCs/>
        </w:rPr>
        <w:t xml:space="preserve">in the </w:t>
      </w:r>
      <w:r w:rsidR="00036C97">
        <w:rPr>
          <w:rFonts w:ascii="Courier New" w:hAnsi="Courier New" w:cs="Courier New"/>
          <w:bCs/>
        </w:rPr>
        <w:t>City of Woburn</w:t>
      </w:r>
      <w:r>
        <w:rPr>
          <w:rFonts w:ascii="Courier New" w:hAnsi="Courier New" w:cs="Courier New"/>
          <w:bCs/>
        </w:rPr>
        <w:t xml:space="preserve">, </w:t>
      </w:r>
      <w:r w:rsidRPr="00047707">
        <w:rPr>
          <w:rFonts w:ascii="Courier New" w:hAnsi="Courier New" w:cs="Courier New"/>
          <w:bCs/>
        </w:rPr>
        <w:t xml:space="preserve">owned by and assessed to </w:t>
      </w:r>
      <w:proofErr w:type="spellStart"/>
      <w:r w:rsidR="00036C97">
        <w:rPr>
          <w:rFonts w:ascii="Courier New" w:hAnsi="Courier New" w:cs="Courier New"/>
          <w:bCs/>
        </w:rPr>
        <w:t>Powerscourt</w:t>
      </w:r>
      <w:proofErr w:type="spellEnd"/>
      <w:r w:rsidR="00036C97">
        <w:rPr>
          <w:rFonts w:ascii="Courier New" w:hAnsi="Courier New" w:cs="Courier New"/>
          <w:bCs/>
        </w:rPr>
        <w:t xml:space="preserve"> Realty Trust</w:t>
      </w:r>
      <w:r w:rsidRPr="00D812D8">
        <w:rPr>
          <w:rFonts w:ascii="Courier New" w:hAnsi="Courier New" w:cs="Courier New"/>
          <w:bCs/>
        </w:rPr>
        <w:t xml:space="preserve"> </w:t>
      </w:r>
      <w:r>
        <w:rPr>
          <w:rFonts w:ascii="Courier New" w:hAnsi="Courier New" w:cs="Courier New"/>
          <w:bCs/>
        </w:rPr>
        <w:t>(</w:t>
      </w:r>
      <w:r w:rsidRPr="00047707">
        <w:rPr>
          <w:rFonts w:ascii="Courier New" w:hAnsi="Courier New" w:cs="Courier New"/>
          <w:bCs/>
        </w:rPr>
        <w:t>“appellant”) under G.L.</w:t>
      </w:r>
      <w:r>
        <w:rPr>
          <w:rFonts w:ascii="Courier New" w:hAnsi="Courier New" w:cs="Courier New"/>
          <w:bCs/>
        </w:rPr>
        <w:t> </w:t>
      </w:r>
      <w:r w:rsidRPr="00047707">
        <w:rPr>
          <w:rFonts w:ascii="Courier New" w:hAnsi="Courier New" w:cs="Courier New"/>
          <w:bCs/>
        </w:rPr>
        <w:t xml:space="preserve">c. 59, </w:t>
      </w:r>
      <w:r>
        <w:rPr>
          <w:rFonts w:ascii="Courier New" w:hAnsi="Courier New" w:cs="Courier New"/>
          <w:bCs/>
        </w:rPr>
        <w:t>§</w:t>
      </w:r>
      <w:r w:rsidRPr="00047707">
        <w:rPr>
          <w:rFonts w:ascii="Courier New" w:hAnsi="Courier New" w:cs="Courier New"/>
          <w:bCs/>
        </w:rPr>
        <w:t>§ 11 and 38, for fiscal year</w:t>
      </w:r>
      <w:r w:rsidR="00036C97">
        <w:rPr>
          <w:rFonts w:ascii="Courier New" w:hAnsi="Courier New" w:cs="Courier New"/>
          <w:bCs/>
        </w:rPr>
        <w:t>s</w:t>
      </w:r>
      <w:r w:rsidRPr="00047707">
        <w:rPr>
          <w:rFonts w:ascii="Courier New" w:hAnsi="Courier New" w:cs="Courier New"/>
          <w:bCs/>
        </w:rPr>
        <w:t xml:space="preserve"> 201</w:t>
      </w:r>
      <w:r>
        <w:rPr>
          <w:rFonts w:ascii="Courier New" w:hAnsi="Courier New" w:cs="Courier New"/>
          <w:bCs/>
        </w:rPr>
        <w:t xml:space="preserve">6 </w:t>
      </w:r>
      <w:r w:rsidR="00036C97">
        <w:rPr>
          <w:rFonts w:ascii="Courier New" w:hAnsi="Courier New" w:cs="Courier New"/>
          <w:bCs/>
        </w:rPr>
        <w:t>and 2017</w:t>
      </w:r>
      <w:r w:rsidR="0070135C">
        <w:rPr>
          <w:rFonts w:ascii="Courier New" w:hAnsi="Courier New" w:cs="Courier New"/>
          <w:bCs/>
        </w:rPr>
        <w:t xml:space="preserve"> </w:t>
      </w:r>
      <w:r>
        <w:rPr>
          <w:rFonts w:ascii="Courier New" w:hAnsi="Courier New" w:cs="Courier New"/>
          <w:bCs/>
        </w:rPr>
        <w:t>(“fiscal year</w:t>
      </w:r>
      <w:r w:rsidR="00036C97">
        <w:rPr>
          <w:rFonts w:ascii="Courier New" w:hAnsi="Courier New" w:cs="Courier New"/>
          <w:bCs/>
        </w:rPr>
        <w:t>s</w:t>
      </w:r>
      <w:r>
        <w:rPr>
          <w:rFonts w:ascii="Courier New" w:hAnsi="Courier New" w:cs="Courier New"/>
          <w:bCs/>
        </w:rPr>
        <w:t xml:space="preserve"> at issue”).</w:t>
      </w:r>
    </w:p>
    <w:p w:rsidR="00036C97" w:rsidRDefault="003F1CD1" w:rsidP="00036C97">
      <w:pPr>
        <w:pStyle w:val="BodyText2"/>
        <w:spacing w:after="0"/>
        <w:jc w:val="both"/>
        <w:rPr>
          <w:rFonts w:ascii="Courier New" w:hAnsi="Courier New" w:cs="Courier New"/>
        </w:rPr>
      </w:pPr>
      <w:r>
        <w:rPr>
          <w:b/>
        </w:rPr>
        <w:tab/>
      </w:r>
      <w:r w:rsidR="00036C97">
        <w:rPr>
          <w:rFonts w:ascii="Courier New" w:hAnsi="Courier New" w:cs="Courier New"/>
        </w:rPr>
        <w:t>Commissioner Chmielinski</w:t>
      </w:r>
      <w:r w:rsidR="00036C97" w:rsidRPr="00B86AF5">
        <w:rPr>
          <w:rFonts w:ascii="Courier New" w:hAnsi="Courier New" w:cs="Courier New"/>
        </w:rPr>
        <w:t xml:space="preserve"> heard</w:t>
      </w:r>
      <w:r w:rsidR="00036C97">
        <w:rPr>
          <w:rFonts w:ascii="Courier New" w:hAnsi="Courier New" w:cs="Courier New"/>
        </w:rPr>
        <w:t xml:space="preserve"> these appeals.  Chairman Hammond </w:t>
      </w:r>
      <w:r w:rsidR="00036C97" w:rsidRPr="007731F6">
        <w:rPr>
          <w:rFonts w:ascii="Courier New" w:hAnsi="Courier New" w:cs="Courier New"/>
        </w:rPr>
        <w:t xml:space="preserve">and Commissioners Scharaffa, </w:t>
      </w:r>
      <w:r w:rsidR="00036C97">
        <w:rPr>
          <w:rFonts w:ascii="Courier New" w:hAnsi="Courier New" w:cs="Courier New"/>
        </w:rPr>
        <w:t xml:space="preserve">Rose, </w:t>
      </w:r>
      <w:r w:rsidR="00036C97" w:rsidRPr="007731F6">
        <w:rPr>
          <w:rFonts w:ascii="Courier New" w:hAnsi="Courier New" w:cs="Courier New"/>
        </w:rPr>
        <w:t>and Good</w:t>
      </w:r>
      <w:r w:rsidR="00815597">
        <w:rPr>
          <w:rFonts w:ascii="Courier New" w:hAnsi="Courier New" w:cs="Courier New"/>
        </w:rPr>
        <w:t xml:space="preserve"> joined him in the decision</w:t>
      </w:r>
      <w:r w:rsidR="00036C97">
        <w:rPr>
          <w:rFonts w:ascii="Courier New" w:hAnsi="Courier New" w:cs="Courier New"/>
        </w:rPr>
        <w:t xml:space="preserve"> for the appellee. </w:t>
      </w:r>
      <w:r w:rsidR="00036C97" w:rsidRPr="00B86AF5">
        <w:rPr>
          <w:rFonts w:ascii="Courier New" w:hAnsi="Courier New" w:cs="Courier New"/>
        </w:rPr>
        <w:t xml:space="preserve"> </w:t>
      </w:r>
    </w:p>
    <w:p w:rsidR="00036C97" w:rsidRPr="00B86AF5" w:rsidRDefault="00036C97" w:rsidP="00036C97">
      <w:pPr>
        <w:pStyle w:val="BodyText2"/>
        <w:spacing w:after="0"/>
        <w:ind w:firstLine="720"/>
        <w:jc w:val="both"/>
        <w:rPr>
          <w:rFonts w:ascii="Courier New" w:hAnsi="Courier New" w:cs="Courier New"/>
        </w:rPr>
      </w:pPr>
      <w:r w:rsidRPr="00B86AF5">
        <w:rPr>
          <w:rFonts w:ascii="Courier New" w:hAnsi="Courier New" w:cs="Courier New"/>
        </w:rPr>
        <w:t xml:space="preserve">These findings of fact and report are made pursuant to a </w:t>
      </w:r>
      <w:r w:rsidRPr="007731F6">
        <w:rPr>
          <w:rFonts w:ascii="Courier New" w:hAnsi="Courier New" w:cs="Courier New"/>
        </w:rPr>
        <w:t>request by the appellant</w:t>
      </w:r>
      <w:r w:rsidRPr="00B86AF5">
        <w:rPr>
          <w:rFonts w:ascii="Courier New" w:hAnsi="Courier New" w:cs="Courier New"/>
        </w:rPr>
        <w:t xml:space="preserve"> under G.L. c. 58A, § 13 and 831 CMR 1.32. </w:t>
      </w:r>
    </w:p>
    <w:p w:rsidR="00036C97" w:rsidRDefault="00036C97" w:rsidP="00036C97">
      <w:pPr>
        <w:jc w:val="both"/>
      </w:pPr>
    </w:p>
    <w:p w:rsidR="00036C97" w:rsidRDefault="00036C97" w:rsidP="00036C97">
      <w:pPr>
        <w:jc w:val="both"/>
      </w:pPr>
      <w:r>
        <w:tab/>
      </w:r>
      <w:proofErr w:type="gramStart"/>
      <w:r>
        <w:rPr>
          <w:i/>
        </w:rPr>
        <w:t>Matthew A. Luz,</w:t>
      </w:r>
      <w:r>
        <w:t xml:space="preserve"> </w:t>
      </w:r>
      <w:r w:rsidRPr="00036C97">
        <w:t>Esq</w:t>
      </w:r>
      <w:r>
        <w:rPr>
          <w:i/>
        </w:rPr>
        <w:t>.</w:t>
      </w:r>
      <w:r>
        <w:t xml:space="preserve"> for the appellant.</w:t>
      </w:r>
      <w:proofErr w:type="gramEnd"/>
    </w:p>
    <w:p w:rsidR="00036C97" w:rsidRDefault="00036C97" w:rsidP="00036C97">
      <w:pPr>
        <w:jc w:val="both"/>
      </w:pPr>
    </w:p>
    <w:p w:rsidR="00036C97" w:rsidRDefault="00036C97" w:rsidP="00036C97">
      <w:pPr>
        <w:jc w:val="both"/>
      </w:pPr>
      <w:r>
        <w:tab/>
      </w:r>
      <w:proofErr w:type="gramStart"/>
      <w:r>
        <w:rPr>
          <w:i/>
        </w:rPr>
        <w:t xml:space="preserve">Anthony M. </w:t>
      </w:r>
      <w:proofErr w:type="spellStart"/>
      <w:r>
        <w:rPr>
          <w:i/>
        </w:rPr>
        <w:t>Ambriano</w:t>
      </w:r>
      <w:proofErr w:type="spellEnd"/>
      <w:r w:rsidR="004001B8">
        <w:t>, Esq.</w:t>
      </w:r>
      <w:r>
        <w:t xml:space="preserve"> for the appellee.</w:t>
      </w:r>
      <w:proofErr w:type="gramEnd"/>
      <w:r>
        <w:t xml:space="preserve">  </w:t>
      </w:r>
    </w:p>
    <w:p w:rsidR="003F1CD1" w:rsidRDefault="003F1CD1" w:rsidP="00036C97">
      <w:pPr>
        <w:spacing w:line="480" w:lineRule="auto"/>
        <w:ind w:right="-180"/>
        <w:jc w:val="both"/>
      </w:pPr>
    </w:p>
    <w:p w:rsidR="003F1CD1" w:rsidRDefault="003F1CD1" w:rsidP="003F1CD1">
      <w:pPr>
        <w:spacing w:line="480" w:lineRule="auto"/>
        <w:jc w:val="center"/>
        <w:rPr>
          <w:b/>
        </w:rPr>
      </w:pPr>
      <w:r>
        <w:rPr>
          <w:b/>
        </w:rPr>
        <w:br w:type="page"/>
      </w:r>
      <w:r>
        <w:rPr>
          <w:b/>
        </w:rPr>
        <w:lastRenderedPageBreak/>
        <w:t>FINDINGS OF FACT AND REPORT</w:t>
      </w:r>
    </w:p>
    <w:p w:rsidR="00036C97" w:rsidRDefault="00036C97" w:rsidP="00036C97">
      <w:pPr>
        <w:spacing w:line="480" w:lineRule="auto"/>
        <w:ind w:firstLine="720"/>
        <w:jc w:val="both"/>
      </w:pPr>
      <w:r>
        <w:t>On the basis of the testimony and exhibits offered into evidence at the hearing of these appeals, the Appellate Tax Board (“Board”) made the following findings of fact.</w:t>
      </w:r>
    </w:p>
    <w:p w:rsidR="003F1CD1" w:rsidRDefault="003F1CD1" w:rsidP="003F1CD1">
      <w:pPr>
        <w:spacing w:line="480" w:lineRule="auto"/>
        <w:ind w:firstLine="720"/>
        <w:jc w:val="both"/>
        <w:rPr>
          <w:color w:val="333333"/>
        </w:rPr>
      </w:pPr>
      <w:r>
        <w:t>On January 1, 2015</w:t>
      </w:r>
      <w:r w:rsidR="00036C97">
        <w:t xml:space="preserve"> and January 1, 2016</w:t>
      </w:r>
      <w:r w:rsidRPr="009007C9">
        <w:t xml:space="preserve">, </w:t>
      </w:r>
      <w:r>
        <w:t>the relevant valuation and assessment date</w:t>
      </w:r>
      <w:r w:rsidR="00036C97">
        <w:t>s</w:t>
      </w:r>
      <w:r>
        <w:t xml:space="preserve"> for the fiscal year</w:t>
      </w:r>
      <w:r w:rsidR="00036C97">
        <w:t>s</w:t>
      </w:r>
      <w:r>
        <w:t xml:space="preserve"> at issue, </w:t>
      </w:r>
      <w:r w:rsidRPr="009007C9">
        <w:t xml:space="preserve">the appellant was the assessed owner of </w:t>
      </w:r>
      <w:r w:rsidR="00AF314F">
        <w:t xml:space="preserve">a 3-acre </w:t>
      </w:r>
      <w:r w:rsidR="00CC09FF">
        <w:t xml:space="preserve">corner </w:t>
      </w:r>
      <w:r w:rsidR="00AF314F">
        <w:t xml:space="preserve">parcel improved with </w:t>
      </w:r>
      <w:r>
        <w:t xml:space="preserve">a </w:t>
      </w:r>
      <w:r w:rsidR="006805DF">
        <w:t>52,870</w:t>
      </w:r>
      <w:r>
        <w:t>-square-foot</w:t>
      </w:r>
      <w:r w:rsidR="006805DF">
        <w:t xml:space="preserve"> industrial building with 102 parking s</w:t>
      </w:r>
      <w:r w:rsidR="0070135C">
        <w:t xml:space="preserve">paces </w:t>
      </w:r>
      <w:r w:rsidRPr="008E109D">
        <w:t xml:space="preserve">(“subject property”). </w:t>
      </w:r>
      <w:r>
        <w:rPr>
          <w:color w:val="333333"/>
        </w:rPr>
        <w:t xml:space="preserve"> </w:t>
      </w:r>
    </w:p>
    <w:p w:rsidR="006805DF" w:rsidRDefault="003F1CD1" w:rsidP="006805DF">
      <w:pPr>
        <w:spacing w:line="480" w:lineRule="auto"/>
        <w:ind w:firstLine="720"/>
        <w:jc w:val="both"/>
      </w:pPr>
      <w:r>
        <w:t xml:space="preserve">For </w:t>
      </w:r>
      <w:r w:rsidR="006805DF">
        <w:t>fiscal year 2016</w:t>
      </w:r>
      <w:r>
        <w:t>, the assessors valued the subject property at $</w:t>
      </w:r>
      <w:r w:rsidR="006805DF">
        <w:t xml:space="preserve">2,768,100 and assessed a tax </w:t>
      </w:r>
      <w:r w:rsidR="00CC09FF">
        <w:t xml:space="preserve">at </w:t>
      </w:r>
      <w:r w:rsidR="006805DF">
        <w:t>a rate of $25.7</w:t>
      </w:r>
      <w:r w:rsidR="00CC09FF">
        <w:t>9</w:t>
      </w:r>
      <w:r w:rsidR="006805DF">
        <w:t xml:space="preserve"> per thousand in the amount of $71,389.30.  The </w:t>
      </w:r>
      <w:r w:rsidRPr="008E109D">
        <w:rPr>
          <w:color w:val="333333"/>
        </w:rPr>
        <w:t>appellant timely paid the tax due without incurring interest</w:t>
      </w:r>
      <w:r w:rsidR="006805DF">
        <w:t xml:space="preserve"> and, on January 21, 2016, timely filed </w:t>
      </w:r>
      <w:r w:rsidR="00CC09FF">
        <w:t xml:space="preserve">an abatement application </w:t>
      </w:r>
      <w:r w:rsidR="006805DF">
        <w:t>with the assessors.  The assessors denied the application on April 14, 20</w:t>
      </w:r>
      <w:r w:rsidR="00E23601">
        <w:t>1</w:t>
      </w:r>
      <w:r w:rsidR="006805DF">
        <w:t xml:space="preserve">6 and the appellant timely filed its appeal </w:t>
      </w:r>
      <w:r w:rsidR="00022B8A">
        <w:t xml:space="preserve">with this Board </w:t>
      </w:r>
      <w:r w:rsidR="006805DF">
        <w:t>on June 8, 2016.</w:t>
      </w:r>
    </w:p>
    <w:p w:rsidR="006805DF" w:rsidRDefault="006805DF" w:rsidP="006805DF">
      <w:pPr>
        <w:spacing w:line="480" w:lineRule="auto"/>
        <w:ind w:firstLine="720"/>
        <w:jc w:val="both"/>
      </w:pPr>
      <w:r>
        <w:t xml:space="preserve">For fiscal year 2017, the assessors again valued the subject property at </w:t>
      </w:r>
      <w:r w:rsidR="00CC09FF">
        <w:t>$</w:t>
      </w:r>
      <w:r>
        <w:t xml:space="preserve">2,768,100.  The appellant timely paid </w:t>
      </w:r>
      <w:r w:rsidR="0070135C">
        <w:t xml:space="preserve">the </w:t>
      </w:r>
      <w:r>
        <w:t xml:space="preserve">tax assessed of $69,119.46, computed at a rate of $24.97 per thousand.  On January 12, 2017, the appellant timely </w:t>
      </w:r>
      <w:r w:rsidR="005D1FF5">
        <w:t xml:space="preserve">filed its abatement application with </w:t>
      </w:r>
      <w:r>
        <w:t>the assessors</w:t>
      </w:r>
      <w:r w:rsidR="005D1FF5">
        <w:t>, which they denied on April 10, 2017. T</w:t>
      </w:r>
      <w:r>
        <w:t xml:space="preserve">he appellant timely </w:t>
      </w:r>
      <w:r>
        <w:lastRenderedPageBreak/>
        <w:t>f</w:t>
      </w:r>
      <w:r w:rsidR="00022B8A">
        <w:t>iled its appeal with this Board o</w:t>
      </w:r>
      <w:r>
        <w:t xml:space="preserve">n </w:t>
      </w:r>
      <w:r w:rsidR="005D1FF5">
        <w:t>April 26, 2017</w:t>
      </w:r>
      <w:r>
        <w:t>.</w:t>
      </w:r>
    </w:p>
    <w:p w:rsidR="006805DF" w:rsidRDefault="005D1FF5" w:rsidP="00871282">
      <w:pPr>
        <w:spacing w:line="480" w:lineRule="auto"/>
        <w:ind w:firstLine="720"/>
        <w:jc w:val="both"/>
      </w:pPr>
      <w:r>
        <w:t>On the basis of these facts, the Board found that it had jurisdiction to hear and decide these appeals.</w:t>
      </w:r>
    </w:p>
    <w:p w:rsidR="00CC09FF" w:rsidRDefault="005D1FF5" w:rsidP="00871282">
      <w:pPr>
        <w:widowControl/>
        <w:autoSpaceDE/>
        <w:autoSpaceDN/>
        <w:adjustRightInd/>
        <w:spacing w:line="480" w:lineRule="auto"/>
        <w:jc w:val="both"/>
      </w:pPr>
      <w:r>
        <w:rPr>
          <w:b/>
        </w:rPr>
        <w:tab/>
      </w:r>
      <w:r w:rsidR="0019661A">
        <w:t xml:space="preserve">The subject property is owner-occupied and is used by the appellant to manufacture, store, and ship plastics.  </w:t>
      </w:r>
      <w:r w:rsidR="00871282">
        <w:t xml:space="preserve">It </w:t>
      </w:r>
      <w:r w:rsidR="00CC09FF">
        <w:t xml:space="preserve">has a </w:t>
      </w:r>
      <w:r w:rsidR="00871282">
        <w:t>building area of 52,870 square feet</w:t>
      </w:r>
      <w:r w:rsidR="00CC09FF">
        <w:t>;</w:t>
      </w:r>
      <w:r w:rsidR="00871282">
        <w:t xml:space="preserve"> an unfinished mezzanine area </w:t>
      </w:r>
      <w:r w:rsidR="00CC09FF">
        <w:t>and</w:t>
      </w:r>
      <w:r w:rsidR="00871282">
        <w:t xml:space="preserve"> front aluminum vestibule area</w:t>
      </w:r>
      <w:r w:rsidR="00CC09FF">
        <w:t xml:space="preserve"> is not included in the building area</w:t>
      </w:r>
      <w:r w:rsidR="00871282">
        <w:t xml:space="preserve">.  </w:t>
      </w:r>
    </w:p>
    <w:p w:rsidR="00871282" w:rsidRDefault="00871282" w:rsidP="00871282">
      <w:pPr>
        <w:widowControl/>
        <w:autoSpaceDE/>
        <w:autoSpaceDN/>
        <w:adjustRightInd/>
        <w:spacing w:line="480" w:lineRule="auto"/>
        <w:jc w:val="both"/>
      </w:pPr>
      <w:r>
        <w:tab/>
        <w:t>The subject property is located approximately 1.5 miles from Route 93 in a smal</w:t>
      </w:r>
      <w:r w:rsidR="00CC09FF">
        <w:t>l cluster of general industrial-</w:t>
      </w:r>
      <w:r>
        <w:t xml:space="preserve">zoned properties in the southeastern portion of Woburn.  The site is in close proximity to major highways and municipal transportation.  At all material times, the area surrounding the subject property experienced a period of revitalization for industrial uses, as evidenced by sales and leasing activity within the </w:t>
      </w:r>
      <w:r w:rsidR="00022B8A">
        <w:t>surrounding</w:t>
      </w:r>
      <w:r>
        <w:t xml:space="preserve"> neighborhood.</w:t>
      </w:r>
    </w:p>
    <w:p w:rsidR="00871282" w:rsidRDefault="00871282" w:rsidP="00871282">
      <w:pPr>
        <w:widowControl/>
        <w:autoSpaceDE/>
        <w:autoSpaceDN/>
        <w:adjustRightInd/>
        <w:spacing w:line="480" w:lineRule="auto"/>
        <w:jc w:val="both"/>
      </w:pPr>
      <w:r>
        <w:tab/>
        <w:t xml:space="preserve">The appellant presented its case through the testimony </w:t>
      </w:r>
      <w:r w:rsidR="00022B8A">
        <w:t xml:space="preserve">and appraisal report </w:t>
      </w:r>
      <w:r>
        <w:t xml:space="preserve">of Peter R. Reilly, whom the Board qualified as </w:t>
      </w:r>
      <w:r w:rsidR="00DD1FA4">
        <w:t xml:space="preserve">an expert witness in the area of commercial real estate valuation.  The assessors presented their case through the testimony </w:t>
      </w:r>
      <w:r w:rsidR="00022B8A">
        <w:t xml:space="preserve">and appraisal report </w:t>
      </w:r>
      <w:r w:rsidR="00DD1FA4">
        <w:t xml:space="preserve">of John F. Connolly, whom the Board qualified as an expert witness in the area of commercial real estate valuation.  </w:t>
      </w:r>
    </w:p>
    <w:p w:rsidR="00DD1FA4" w:rsidRDefault="00DD1FA4" w:rsidP="00871282">
      <w:pPr>
        <w:widowControl/>
        <w:autoSpaceDE/>
        <w:autoSpaceDN/>
        <w:adjustRightInd/>
        <w:spacing w:line="480" w:lineRule="auto"/>
        <w:jc w:val="both"/>
      </w:pPr>
      <w:r>
        <w:lastRenderedPageBreak/>
        <w:tab/>
      </w:r>
      <w:r w:rsidR="007D7732">
        <w:t xml:space="preserve">Both appraisers relied on the income capitalization approach to value the subject property.  The net operating incomes determined by both appraisers are substantially similar; </w:t>
      </w:r>
      <w:r w:rsidR="008B53ED">
        <w:t xml:space="preserve">in fact, </w:t>
      </w:r>
      <w:r w:rsidR="007D7732">
        <w:t>the net operating income</w:t>
      </w:r>
      <w:r w:rsidR="008B53ED">
        <w:t>s</w:t>
      </w:r>
      <w:r w:rsidR="007D7732">
        <w:t xml:space="preserve"> determined by the assessors’ appraiser</w:t>
      </w:r>
      <w:r w:rsidR="008B53ED">
        <w:t xml:space="preserve"> are</w:t>
      </w:r>
      <w:r w:rsidR="007D7732">
        <w:t xml:space="preserve"> actually less than </w:t>
      </w:r>
      <w:r w:rsidR="008B53ED">
        <w:t xml:space="preserve">those </w:t>
      </w:r>
      <w:r w:rsidR="007D7732">
        <w:t xml:space="preserve">determined by the </w:t>
      </w:r>
      <w:r w:rsidR="00022B8A">
        <w:t>appellant’s</w:t>
      </w:r>
      <w:r w:rsidR="007D7732">
        <w:t xml:space="preserve"> appraiser, given that the assessors’ appraiser used a lower rent and higher vacancy </w:t>
      </w:r>
      <w:r w:rsidR="008B53ED">
        <w:t xml:space="preserve">rate </w:t>
      </w:r>
      <w:r w:rsidR="007D7732">
        <w:t xml:space="preserve">than </w:t>
      </w:r>
      <w:r w:rsidR="008B53ED">
        <w:t>the appellant’s appraiser.  The fundamental disparity in the analy</w:t>
      </w:r>
      <w:r w:rsidR="00022B8A">
        <w:t>ses employed by the appraisers wa</w:t>
      </w:r>
      <w:r w:rsidR="008B53ED">
        <w:t xml:space="preserve">s in their selection of a base capitalization rate and </w:t>
      </w:r>
      <w:r w:rsidR="00E23601">
        <w:t xml:space="preserve">their determination of </w:t>
      </w:r>
      <w:r w:rsidR="008B53ED">
        <w:t>whether a tax factor should be added to the capitalization rate.</w:t>
      </w:r>
    </w:p>
    <w:p w:rsidR="00866F34" w:rsidRDefault="008B53ED" w:rsidP="00871282">
      <w:pPr>
        <w:widowControl/>
        <w:autoSpaceDE/>
        <w:autoSpaceDN/>
        <w:adjustRightInd/>
        <w:spacing w:line="480" w:lineRule="auto"/>
        <w:jc w:val="both"/>
      </w:pPr>
      <w:r>
        <w:tab/>
      </w:r>
      <w:r w:rsidR="00866F34">
        <w:t xml:space="preserve">Regarding the propriety of using a tax factor, both appraisers agreed that the typical lease structure for industrial properties in the relevant market during the </w:t>
      </w:r>
      <w:r w:rsidR="00CC09FF">
        <w:t xml:space="preserve">time </w:t>
      </w:r>
      <w:r w:rsidR="00866F34">
        <w:t>period</w:t>
      </w:r>
      <w:r w:rsidR="00CC09FF">
        <w:t>s</w:t>
      </w:r>
      <w:r w:rsidR="00866F34">
        <w:t xml:space="preserve"> at issue was triple net, where the tenant is responsible for the payment of real estate taxes, among other expenses.  Consistent with a triple-net lease, the assessors’ appraiser did not use a tax factor in his capitalization rate because the landlord would not be responsible for payment of real estate taxes.</w:t>
      </w:r>
    </w:p>
    <w:p w:rsidR="00511BB5" w:rsidRDefault="00866F34" w:rsidP="00866F34">
      <w:pPr>
        <w:widowControl/>
        <w:autoSpaceDE/>
        <w:autoSpaceDN/>
        <w:adjustRightInd/>
        <w:spacing w:line="480" w:lineRule="auto"/>
        <w:ind w:firstLine="720"/>
        <w:jc w:val="both"/>
      </w:pPr>
      <w:r>
        <w:t>The appellant’s appraiser, howeve</w:t>
      </w:r>
      <w:r w:rsidR="001964EB">
        <w:t xml:space="preserve">r, despite acknowledging that </w:t>
      </w:r>
      <w:r>
        <w:t>triple-net lease</w:t>
      </w:r>
      <w:r w:rsidR="001964EB">
        <w:t xml:space="preserve">s would be typical in the relevant market, chose to use a “modified gross” </w:t>
      </w:r>
      <w:r w:rsidR="001964EB">
        <w:lastRenderedPageBreak/>
        <w:t>approach</w:t>
      </w:r>
      <w:r w:rsidR="00022B8A">
        <w:t xml:space="preserve">.  </w:t>
      </w:r>
      <w:r w:rsidR="004001B8">
        <w:t>He even found triple-net-</w:t>
      </w:r>
      <w:r w:rsidR="00762A05">
        <w:t xml:space="preserve">lease rents in his purported comparable properties, but adjusted them to fit his modified gross model.  </w:t>
      </w:r>
      <w:r w:rsidR="00022B8A">
        <w:t>The net effect of his use of a modified gross approach was to shift</w:t>
      </w:r>
      <w:r w:rsidR="001964EB">
        <w:t xml:space="preserve"> the payment of real estate taxes from the tenant to the landlord</w:t>
      </w:r>
      <w:r w:rsidR="00762A05">
        <w:t>.  Because he concluded that the landlord would be responsible for the payment of real estate taxes,</w:t>
      </w:r>
      <w:r w:rsidR="00CC09FF">
        <w:t xml:space="preserve"> the appellant’s appraiser </w:t>
      </w:r>
      <w:r w:rsidR="00511BB5">
        <w:t>used a tax factor in his capitalization rate</w:t>
      </w:r>
      <w:r w:rsidR="001964EB">
        <w:t xml:space="preserve">  </w:t>
      </w:r>
    </w:p>
    <w:p w:rsidR="00710DC0" w:rsidRDefault="00B847B5" w:rsidP="00866F34">
      <w:pPr>
        <w:widowControl/>
        <w:autoSpaceDE/>
        <w:autoSpaceDN/>
        <w:adjustRightInd/>
        <w:spacing w:line="480" w:lineRule="auto"/>
        <w:ind w:firstLine="720"/>
        <w:jc w:val="both"/>
      </w:pPr>
      <w:r>
        <w:t>The failure of the appellant’s appraiser to value the</w:t>
      </w:r>
      <w:r w:rsidR="004001B8">
        <w:t xml:space="preserve"> property based on a triple-net-</w:t>
      </w:r>
      <w:r>
        <w:t>lease model rendered his opinion of value fundamentally flawed. Because the subject property is appropri</w:t>
      </w:r>
      <w:r w:rsidR="00710DC0">
        <w:t>ately valued using a triple-net</w:t>
      </w:r>
      <w:r w:rsidR="00037D51">
        <w:t>-</w:t>
      </w:r>
      <w:r>
        <w:t xml:space="preserve">lease model and the tenant is responsible for the payment of real estate taxes in a triple-net lease, </w:t>
      </w:r>
      <w:r w:rsidR="00710DC0">
        <w:t xml:space="preserve">the appellant’s appraiser erred by using a full tax factor in his capitalization rate.  Only a percentage of the tax factor, representing the landlord’s obligation to pay real estate tax on vacant space, would be appropriate in valuing the subject property using the income-capitalization approach.  </w:t>
      </w:r>
    </w:p>
    <w:p w:rsidR="008B53ED" w:rsidRDefault="00B847B5" w:rsidP="00866F34">
      <w:pPr>
        <w:widowControl/>
        <w:autoSpaceDE/>
        <w:autoSpaceDN/>
        <w:adjustRightInd/>
        <w:spacing w:line="480" w:lineRule="auto"/>
        <w:ind w:firstLine="720"/>
        <w:jc w:val="both"/>
      </w:pPr>
      <w:r>
        <w:t>Moreover, t</w:t>
      </w:r>
      <w:r w:rsidR="00AF314F">
        <w:t xml:space="preserve">he data on which the appellant’s appraiser relied suffered from numerous deficiencies.  For example: </w:t>
      </w:r>
      <w:r w:rsidR="001964EB">
        <w:t xml:space="preserve">he relied on rental information from </w:t>
      </w:r>
      <w:r w:rsidR="00710DC0">
        <w:t>an unidentified</w:t>
      </w:r>
      <w:r w:rsidR="001964EB">
        <w:t xml:space="preserve"> appraiser for </w:t>
      </w:r>
      <w:r w:rsidR="00037D51">
        <w:t>six</w:t>
      </w:r>
      <w:r w:rsidR="001964EB">
        <w:t xml:space="preserve"> of his </w:t>
      </w:r>
      <w:r w:rsidR="00037D51">
        <w:t>ten</w:t>
      </w:r>
      <w:r w:rsidR="001964EB">
        <w:t xml:space="preserve"> comparable leases; he used rentals from renewal leases in the remaining </w:t>
      </w:r>
      <w:r w:rsidR="00037D51">
        <w:t>four</w:t>
      </w:r>
      <w:r w:rsidR="001964EB">
        <w:t xml:space="preserve"> </w:t>
      </w:r>
      <w:proofErr w:type="spellStart"/>
      <w:r w:rsidR="001964EB">
        <w:lastRenderedPageBreak/>
        <w:t>comparables</w:t>
      </w:r>
      <w:proofErr w:type="spellEnd"/>
      <w:r w:rsidR="001964EB">
        <w:t xml:space="preserve">; </w:t>
      </w:r>
      <w:r w:rsidR="00AF314F">
        <w:t>the majority of his comparable leases</w:t>
      </w:r>
      <w:r w:rsidR="00511BB5">
        <w:t xml:space="preserve"> were for space in multi-tenant buildings for significantly smaller spaces; and he failed to verify any of the essential terms of his comparable leases</w:t>
      </w:r>
      <w:r w:rsidR="00AF314F">
        <w:t xml:space="preserve">.  These deficiencies, coupled with </w:t>
      </w:r>
      <w:r w:rsidR="00710DC0">
        <w:t>his use of a full tax factor in his capitalization rate, rendered his opinion of value unreliable and unpersuasive</w:t>
      </w:r>
      <w:r w:rsidR="00037D51">
        <w:t>.</w:t>
      </w:r>
    </w:p>
    <w:p w:rsidR="00B427A8" w:rsidRDefault="00866F34" w:rsidP="00871282">
      <w:pPr>
        <w:widowControl/>
        <w:autoSpaceDE/>
        <w:autoSpaceDN/>
        <w:adjustRightInd/>
        <w:spacing w:line="480" w:lineRule="auto"/>
        <w:jc w:val="both"/>
      </w:pPr>
      <w:r>
        <w:tab/>
      </w:r>
      <w:r w:rsidR="00511BB5">
        <w:t>Regarding the selection of an overall capitalization rate, the appellant’s appraiser did not provide substantiating data to support his selection of the rate.  Although he mentioned his reliance on “national and regional surveys” of capitalization rates, he provide</w:t>
      </w:r>
      <w:r w:rsidR="00710DC0">
        <w:t>d</w:t>
      </w:r>
      <w:r w:rsidR="00511BB5">
        <w:t xml:space="preserve"> no survey data to support his conc</w:t>
      </w:r>
      <w:r w:rsidR="00954374">
        <w:t xml:space="preserve">lusions regarding his </w:t>
      </w:r>
      <w:r w:rsidR="00511BB5">
        <w:t>base capitalization rate</w:t>
      </w:r>
      <w:r w:rsidR="00B427A8">
        <w:t xml:space="preserve">.  In contrast, the assessors’ appraiser provided detailed data from the </w:t>
      </w:r>
      <w:r w:rsidR="00037D51">
        <w:t>four</w:t>
      </w:r>
      <w:r w:rsidR="00B427A8">
        <w:t xml:space="preserve"> surveys that he reviewed and focused on the subject property’s proximity to highways and public transportation as well as the strength of the industrial market in the subject property’s neighborhood to arrive at a base capitalization rate of 8.1 percent.</w:t>
      </w:r>
    </w:p>
    <w:p w:rsidR="00B427A8" w:rsidRDefault="00B427A8" w:rsidP="00871282">
      <w:pPr>
        <w:widowControl/>
        <w:autoSpaceDE/>
        <w:autoSpaceDN/>
        <w:adjustRightInd/>
        <w:spacing w:line="480" w:lineRule="auto"/>
        <w:jc w:val="both"/>
      </w:pPr>
      <w:r>
        <w:tab/>
        <w:t xml:space="preserve">Applying the capitalization rate of 8.1 percent </w:t>
      </w:r>
      <w:r w:rsidR="00037D51">
        <w:t xml:space="preserve">plus </w:t>
      </w:r>
      <w:r w:rsidR="004001B8">
        <w:t>10</w:t>
      </w:r>
      <w:r w:rsidR="00037D51">
        <w:t xml:space="preserve"> percent of the tax factor based on the higher of the two vacancy rates used by the appraisers </w:t>
      </w:r>
      <w:r>
        <w:t xml:space="preserve">to either appraiser’s net operating incomes results in </w:t>
      </w:r>
      <w:r w:rsidR="00954374">
        <w:t xml:space="preserve">indicated </w:t>
      </w:r>
      <w:r>
        <w:t xml:space="preserve">values in excess of the assessed values for both of the fiscal years at </w:t>
      </w:r>
      <w:r>
        <w:lastRenderedPageBreak/>
        <w:t>issue.  Accordingly, the Board found and ruled that the appellant failed to meet its burden of proving overvaluation in these appeals.</w:t>
      </w:r>
    </w:p>
    <w:p w:rsidR="00E23601" w:rsidRPr="0019661A" w:rsidRDefault="00B427A8" w:rsidP="00871282">
      <w:pPr>
        <w:widowControl/>
        <w:autoSpaceDE/>
        <w:autoSpaceDN/>
        <w:adjustRightInd/>
        <w:spacing w:line="480" w:lineRule="auto"/>
        <w:jc w:val="both"/>
      </w:pPr>
      <w:r>
        <w:t xml:space="preserve"> </w:t>
      </w:r>
    </w:p>
    <w:p w:rsidR="003F1CD1" w:rsidRDefault="003F1CD1" w:rsidP="003F1CD1">
      <w:pPr>
        <w:widowControl/>
        <w:autoSpaceDE/>
        <w:autoSpaceDN/>
        <w:adjustRightInd/>
        <w:spacing w:line="480" w:lineRule="auto"/>
        <w:ind w:right="864" w:firstLine="720"/>
        <w:jc w:val="center"/>
        <w:rPr>
          <w:b/>
        </w:rPr>
      </w:pPr>
      <w:r>
        <w:rPr>
          <w:b/>
        </w:rPr>
        <w:t>OPINION</w:t>
      </w:r>
    </w:p>
    <w:p w:rsidR="003F1CD1" w:rsidRDefault="003F1CD1" w:rsidP="003F1CD1">
      <w:pPr>
        <w:spacing w:line="480" w:lineRule="auto"/>
        <w:ind w:firstLine="720"/>
        <w:jc w:val="both"/>
      </w:pPr>
      <w:r>
        <w:t>A</w:t>
      </w:r>
      <w:r w:rsidRPr="005A4DB9">
        <w:t xml:space="preserve">ssessors are required to assess real estate at its fair cash value. </w:t>
      </w:r>
      <w:proofErr w:type="gramStart"/>
      <w:r w:rsidRPr="005A4DB9">
        <w:t>G.L. c. 59, § 38.</w:t>
      </w:r>
      <w:proofErr w:type="gramEnd"/>
      <w:r w:rsidRPr="005A4DB9">
        <w:t xml:space="preserve">  Fair cash value is defined as the price on which a willing seller and a willing buyer will agree if both of them are fully informed and under no compulsion. </w:t>
      </w:r>
      <w:proofErr w:type="gramStart"/>
      <w:r w:rsidRPr="005A4DB9">
        <w:rPr>
          <w:b/>
          <w:bCs w:val="0"/>
          <w:i/>
          <w:iCs/>
        </w:rPr>
        <w:t xml:space="preserve">Boston Gas Co. v. Assessors of Boston, </w:t>
      </w:r>
      <w:r w:rsidRPr="005A4DB9">
        <w:t>334 Mass. 549, 566 (1956).</w:t>
      </w:r>
      <w:proofErr w:type="gramEnd"/>
      <w:r w:rsidRPr="005A4DB9">
        <w:t xml:space="preserve"> </w:t>
      </w:r>
      <w:r w:rsidR="00E23601">
        <w:t>T</w:t>
      </w:r>
      <w:r>
        <w:t>he appellant has</w:t>
      </w:r>
      <w:r w:rsidRPr="00D24CE2">
        <w:t xml:space="preserve"> the burden of proving that the</w:t>
      </w:r>
      <w:r>
        <w:t xml:space="preserve"> subject</w:t>
      </w:r>
      <w:r w:rsidRPr="00D24CE2">
        <w:t xml:space="preserve"> property</w:t>
      </w:r>
      <w:r>
        <w:t xml:space="preserve">’s fair cash value was </w:t>
      </w:r>
      <w:r w:rsidRPr="00D24CE2">
        <w:t xml:space="preserve">lower than </w:t>
      </w:r>
      <w:r>
        <w:t xml:space="preserve">its </w:t>
      </w:r>
      <w:r w:rsidRPr="00D24CE2">
        <w:t>assessed</w:t>
      </w:r>
      <w:r>
        <w:t xml:space="preserve"> value</w:t>
      </w:r>
      <w:r w:rsidRPr="00D24CE2">
        <w:t xml:space="preserve">. “‘The burden of proof is upon the petitioner to make out </w:t>
      </w:r>
      <w:r w:rsidR="004001B8">
        <w:t>its</w:t>
      </w:r>
      <w:r w:rsidRPr="00D24CE2">
        <w:t xml:space="preserve"> right as [a] matter of law to [an] abatement of the tax.’”  </w:t>
      </w:r>
      <w:proofErr w:type="spellStart"/>
      <w:r w:rsidRPr="00D24CE2">
        <w:rPr>
          <w:b/>
          <w:i/>
          <w:iCs/>
        </w:rPr>
        <w:t>Schlaiker</w:t>
      </w:r>
      <w:proofErr w:type="spellEnd"/>
      <w:r w:rsidRPr="00D24CE2">
        <w:rPr>
          <w:b/>
          <w:i/>
          <w:iCs/>
        </w:rPr>
        <w:t xml:space="preserve"> v. Assessors of Great Barrington</w:t>
      </w:r>
      <w:r w:rsidRPr="00D24CE2">
        <w:t xml:space="preserve">, 365 </w:t>
      </w:r>
      <w:smartTag w:uri="urn:schemas-microsoft-com:office:smarttags" w:element="State">
        <w:r w:rsidRPr="00D24CE2">
          <w:t>Mass.</w:t>
        </w:r>
      </w:smartTag>
      <w:r w:rsidRPr="00D24CE2">
        <w:t xml:space="preserve"> 243, 245 (1974)</w:t>
      </w:r>
      <w:r w:rsidR="00037D51">
        <w:t xml:space="preserve"> </w:t>
      </w:r>
      <w:r w:rsidRPr="00D24CE2">
        <w:t xml:space="preserve">(quoting </w:t>
      </w:r>
      <w:r w:rsidRPr="00D24CE2">
        <w:rPr>
          <w:b/>
          <w:i/>
          <w:iCs/>
        </w:rPr>
        <w:t>Judson Freight Forwarding Co. v. Commonwealth</w:t>
      </w:r>
      <w:r w:rsidRPr="00D24CE2">
        <w:t>, 242 </w:t>
      </w:r>
      <w:smartTag w:uri="urn:schemas-microsoft-com:office:smarttags" w:element="State">
        <w:smartTag w:uri="urn:schemas-microsoft-com:office:smarttags" w:element="place">
          <w:r w:rsidRPr="00D24CE2">
            <w:t>Mass.</w:t>
          </w:r>
        </w:smartTag>
      </w:smartTag>
      <w:r w:rsidRPr="00D24CE2">
        <w:t xml:space="preserve"> 47, 55 (1922)). </w:t>
      </w:r>
    </w:p>
    <w:p w:rsidR="003F1CD1" w:rsidRDefault="003F1CD1" w:rsidP="003F1CD1">
      <w:pPr>
        <w:spacing w:line="480" w:lineRule="auto"/>
        <w:ind w:firstLine="720"/>
        <w:jc w:val="both"/>
      </w:pPr>
      <w:r w:rsidRPr="00D24CE2">
        <w:t>In appeals before th</w:t>
      </w:r>
      <w:r>
        <w:t>e</w:t>
      </w:r>
      <w:r w:rsidRPr="00D24CE2">
        <w:t xml:space="preserve"> Board, taxpayers </w:t>
      </w:r>
      <w:r>
        <w:t>“‘</w:t>
      </w:r>
      <w:r w:rsidRPr="00D24CE2">
        <w:t>may present persuasive evidence of overvaluation either by exposing flaws or errors in the assessors’ method of valuation, or by introducing affirmative evidence of value which undermines the assessors’ valuation.</w:t>
      </w:r>
      <w:r>
        <w:t>’</w:t>
      </w:r>
      <w:r w:rsidRPr="00D24CE2">
        <w:t xml:space="preserve">” </w:t>
      </w:r>
      <w:r w:rsidRPr="00D24CE2">
        <w:rPr>
          <w:b/>
          <w:i/>
          <w:iCs/>
        </w:rPr>
        <w:t>General Electric Co.</w:t>
      </w:r>
      <w:r>
        <w:rPr>
          <w:b/>
          <w:i/>
          <w:iCs/>
        </w:rPr>
        <w:t xml:space="preserve"> v. Assessors of Lynn</w:t>
      </w:r>
      <w:r w:rsidRPr="00D24CE2">
        <w:rPr>
          <w:b/>
          <w:i/>
          <w:iCs/>
        </w:rPr>
        <w:t>,</w:t>
      </w:r>
      <w:r>
        <w:rPr>
          <w:b/>
          <w:i/>
          <w:iCs/>
        </w:rPr>
        <w:t xml:space="preserve"> </w:t>
      </w:r>
      <w:r w:rsidRPr="00D24CE2">
        <w:t>393 Mass.</w:t>
      </w:r>
      <w:r>
        <w:t xml:space="preserve"> 591, 600 (1984)</w:t>
      </w:r>
      <w:r w:rsidR="00037D51">
        <w:t xml:space="preserve"> </w:t>
      </w:r>
      <w:r w:rsidRPr="00D24CE2">
        <w:t xml:space="preserve">(quoting </w:t>
      </w:r>
      <w:proofErr w:type="spellStart"/>
      <w:r w:rsidRPr="00D24CE2">
        <w:rPr>
          <w:b/>
          <w:i/>
          <w:iCs/>
        </w:rPr>
        <w:lastRenderedPageBreak/>
        <w:t>Donlon</w:t>
      </w:r>
      <w:proofErr w:type="spellEnd"/>
      <w:r w:rsidRPr="00D24CE2">
        <w:rPr>
          <w:b/>
          <w:i/>
          <w:iCs/>
        </w:rPr>
        <w:t xml:space="preserve"> v. Assessors of Holliston</w:t>
      </w:r>
      <w:r w:rsidRPr="00D24CE2">
        <w:t xml:space="preserve">, 389 </w:t>
      </w:r>
      <w:smartTag w:uri="urn:schemas-microsoft-com:office:smarttags" w:element="State">
        <w:smartTag w:uri="urn:schemas-microsoft-com:office:smarttags" w:element="place">
          <w:r w:rsidRPr="00D24CE2">
            <w:t>Mass.</w:t>
          </w:r>
        </w:smartTag>
      </w:smartTag>
      <w:r w:rsidRPr="00D24CE2">
        <w:t xml:space="preserve"> 848, 855 (1983)). </w:t>
      </w:r>
    </w:p>
    <w:p w:rsidR="003F1CD1" w:rsidRDefault="00B427A8" w:rsidP="003F1CD1">
      <w:pPr>
        <w:spacing w:line="480" w:lineRule="auto"/>
        <w:jc w:val="both"/>
      </w:pPr>
      <w:r>
        <w:rPr>
          <w:color w:val="333333"/>
        </w:rPr>
        <w:tab/>
      </w:r>
      <w:r w:rsidR="001C3B37">
        <w:rPr>
          <w:color w:val="333333"/>
        </w:rPr>
        <w:t>Both parties relied on the income-capitalization approach to value and their experts were in substantial agreement on the net operating income</w:t>
      </w:r>
      <w:r w:rsidR="00037D51">
        <w:rPr>
          <w:color w:val="333333"/>
        </w:rPr>
        <w:t>s</w:t>
      </w:r>
      <w:r w:rsidR="001C3B37">
        <w:rPr>
          <w:color w:val="333333"/>
        </w:rPr>
        <w:t xml:space="preserve"> to be capitalized</w:t>
      </w:r>
      <w:r w:rsidR="00E23601">
        <w:rPr>
          <w:color w:val="333333"/>
        </w:rPr>
        <w:t>. T</w:t>
      </w:r>
      <w:r w:rsidR="001C3B37">
        <w:rPr>
          <w:color w:val="333333"/>
        </w:rPr>
        <w:t xml:space="preserve">he fundamental disagreement between the parties is the </w:t>
      </w:r>
      <w:r w:rsidR="001C3B37">
        <w:t>selection of a base capitalization rate and whether a tax factor should be added to the capitalization rate.</w:t>
      </w:r>
    </w:p>
    <w:p w:rsidR="00FF1DFD" w:rsidRDefault="001C3B37" w:rsidP="003F1CD1">
      <w:pPr>
        <w:spacing w:line="480" w:lineRule="auto"/>
        <w:jc w:val="both"/>
      </w:pPr>
      <w:r>
        <w:tab/>
        <w:t xml:space="preserve">Because the subject </w:t>
      </w:r>
      <w:r w:rsidR="00954374">
        <w:t xml:space="preserve">property </w:t>
      </w:r>
      <w:r>
        <w:t xml:space="preserve">is a single-user, owner-occupied property, comparable leases for the subject property would be on a triple-net basis with the tenant responsible for taxes, among other expenses.  </w:t>
      </w:r>
      <w:r>
        <w:rPr>
          <w:i/>
        </w:rPr>
        <w:t xml:space="preserve">See </w:t>
      </w:r>
      <w:r>
        <w:rPr>
          <w:b/>
          <w:i/>
        </w:rPr>
        <w:t xml:space="preserve">EJR Real Estate Trust v. Assessors of Worcester, </w:t>
      </w:r>
      <w:r>
        <w:t>Mass. ATB Findings of Fact and Reports 2002-</w:t>
      </w:r>
      <w:r w:rsidR="00FF1DFD">
        <w:t>29</w:t>
      </w:r>
      <w:r>
        <w:t>, 35-3</w:t>
      </w:r>
      <w:r w:rsidR="00954374">
        <w:t>6</w:t>
      </w:r>
      <w:r>
        <w:t xml:space="preserve"> (ruling that the witness erroneously applied a tax factor in calculating his capitalization rate</w:t>
      </w:r>
      <w:r w:rsidR="00E23601">
        <w:t xml:space="preserve"> for single-user, owner-occupied property</w:t>
      </w:r>
      <w:r>
        <w:t xml:space="preserve">).  Moreover, the appellant’s appraiser concedes that triple-net leases were the typical lease structure for industrial properties in the relevant market.  </w:t>
      </w:r>
      <w:r w:rsidR="000179A6">
        <w:t xml:space="preserve">Because the subject property is appropriately valued using a triple-net-lease model and the tenant is responsible for the payment of real estate taxes in a triple-net lease, the Board ruled that the appellant’s appraiser erred by using a full tax factor in his capitalization rate.  </w:t>
      </w:r>
      <w:r w:rsidR="000179A6">
        <w:rPr>
          <w:i/>
        </w:rPr>
        <w:t xml:space="preserve">See generally </w:t>
      </w:r>
      <w:proofErr w:type="spellStart"/>
      <w:r w:rsidR="000179A6" w:rsidRPr="000179A6">
        <w:rPr>
          <w:b/>
          <w:i/>
        </w:rPr>
        <w:lastRenderedPageBreak/>
        <w:t>Alstores</w:t>
      </w:r>
      <w:proofErr w:type="spellEnd"/>
      <w:r w:rsidR="000179A6" w:rsidRPr="000179A6">
        <w:rPr>
          <w:b/>
          <w:i/>
        </w:rPr>
        <w:t xml:space="preserve"> Realty Corp. V. Assessors of Peabody</w:t>
      </w:r>
      <w:r w:rsidR="000179A6">
        <w:t>, 391 Mass. 60, 70 (1984) (where tax reimbursements are not reflected in the landlord’s income, the capitalization rate must</w:t>
      </w:r>
      <w:r w:rsidR="0018109B">
        <w:t xml:space="preserve"> be reduced to reflect the tenants’ payment of real estate taxes).  Only a percentage of the tax factor, representing the landlord’s obligation to pay real estate tax on vacant space, would be appropriate in valuing the subject property using the income-capitalization approach.  </w:t>
      </w:r>
      <w:r w:rsidR="0018109B">
        <w:rPr>
          <w:i/>
        </w:rPr>
        <w:t xml:space="preserve">See, e.g., </w:t>
      </w:r>
      <w:r w:rsidR="0018109B">
        <w:rPr>
          <w:b/>
          <w:i/>
        </w:rPr>
        <w:t xml:space="preserve">Market Forge Industries, Inc. v. Assessors of Everett, </w:t>
      </w:r>
      <w:r w:rsidR="0018109B">
        <w:t xml:space="preserve">Mass. ATB Findings of Fact and Reports 2014-186, 201, 209-10.  </w:t>
      </w:r>
    </w:p>
    <w:p w:rsidR="00C13788" w:rsidRDefault="00FF1DFD" w:rsidP="003F1CD1">
      <w:pPr>
        <w:spacing w:line="480" w:lineRule="auto"/>
        <w:jc w:val="both"/>
      </w:pPr>
      <w:r>
        <w:tab/>
        <w:t xml:space="preserve">Regarding the selection of a base capitalization rate, the appellant’s appraiser provided insufficient credible data and support for his selection of a capitalization rate.  The failure to provide such credible data or support renders his conclusions entitled to no weight.  </w:t>
      </w:r>
      <w:r>
        <w:rPr>
          <w:i/>
        </w:rPr>
        <w:t xml:space="preserve">See, e.g., </w:t>
      </w:r>
      <w:r>
        <w:rPr>
          <w:b/>
          <w:i/>
        </w:rPr>
        <w:t xml:space="preserve">HRS Trust No. 3 v. Assessors of West Boylston, </w:t>
      </w:r>
      <w:r>
        <w:t>Mass. ATB Findings of Fact and Reports 2002-10, 17 (rejecting appraiser’s capitalization rate for failure to provide “corroboration or verification” of various elements that she considered in arriving at a capitalization rate</w:t>
      </w:r>
      <w:r w:rsidR="00C13788">
        <w:t>)</w:t>
      </w:r>
      <w:r>
        <w:t xml:space="preserve">; </w:t>
      </w:r>
      <w:r>
        <w:rPr>
          <w:b/>
          <w:i/>
        </w:rPr>
        <w:t xml:space="preserve">EJR Real Estate Trust, </w:t>
      </w:r>
      <w:r>
        <w:t xml:space="preserve">Mass. ATB Findings of Fact and Reports </w:t>
      </w:r>
      <w:r w:rsidR="00954374">
        <w:t>at 2002-</w:t>
      </w:r>
      <w:r>
        <w:t xml:space="preserve">35 </w:t>
      </w:r>
      <w:r w:rsidR="00C13788">
        <w:t xml:space="preserve">(same). </w:t>
      </w:r>
      <w:r w:rsidR="0018109B">
        <w:t xml:space="preserve"> </w:t>
      </w:r>
    </w:p>
    <w:p w:rsidR="0018109B" w:rsidRDefault="0018109B" w:rsidP="003F1CD1">
      <w:pPr>
        <w:spacing w:line="480" w:lineRule="auto"/>
        <w:jc w:val="both"/>
      </w:pPr>
    </w:p>
    <w:p w:rsidR="00C13788" w:rsidRPr="00FF1DFD" w:rsidRDefault="00C13788" w:rsidP="003F1CD1">
      <w:pPr>
        <w:spacing w:line="480" w:lineRule="auto"/>
        <w:jc w:val="both"/>
      </w:pPr>
      <w:r>
        <w:lastRenderedPageBreak/>
        <w:tab/>
        <w:t xml:space="preserve">Accordingly, the Board found and ruled that the appellant failed to meet its burden of proving </w:t>
      </w:r>
      <w:r w:rsidR="00954374">
        <w:t xml:space="preserve">that the assessed value of the subject property exceeded its fair cash value for the fiscal years at issue </w:t>
      </w:r>
      <w:r>
        <w:t>and issued a decision for the appellee in these appeals.</w:t>
      </w:r>
    </w:p>
    <w:p w:rsidR="001C3B37" w:rsidRDefault="001C3B37" w:rsidP="00FF1DFD">
      <w:pPr>
        <w:spacing w:line="480" w:lineRule="auto"/>
        <w:jc w:val="both"/>
        <w:rPr>
          <w:color w:val="333333"/>
        </w:rPr>
      </w:pPr>
      <w:r>
        <w:t xml:space="preserve">  </w:t>
      </w:r>
    </w:p>
    <w:p w:rsidR="003F1CD1" w:rsidRDefault="003F1CD1" w:rsidP="003F1CD1">
      <w:pPr>
        <w:jc w:val="both"/>
        <w:rPr>
          <w:b/>
          <w:bCs w:val="0"/>
        </w:rPr>
      </w:pPr>
      <w:r>
        <w:rPr>
          <w:b/>
        </w:rPr>
        <w:tab/>
      </w:r>
      <w:r w:rsidRPr="00A150AF">
        <w:rPr>
          <w:b/>
        </w:rPr>
        <w:tab/>
      </w:r>
      <w:r w:rsidRPr="00A150AF">
        <w:rPr>
          <w:b/>
        </w:rPr>
        <w:tab/>
      </w:r>
      <w:r w:rsidRPr="00A150AF">
        <w:rPr>
          <w:b/>
        </w:rPr>
        <w:tab/>
      </w:r>
      <w:r w:rsidRPr="00A150AF">
        <w:rPr>
          <w:b/>
        </w:rPr>
        <w:tab/>
        <w:t xml:space="preserve">THE </w:t>
      </w:r>
      <w:r w:rsidRPr="00A150AF">
        <w:rPr>
          <w:b/>
          <w:bCs w:val="0"/>
        </w:rPr>
        <w:t>APPELLATE TAX BOARD</w:t>
      </w:r>
    </w:p>
    <w:p w:rsidR="00C50EFB" w:rsidRDefault="00C50EFB" w:rsidP="003F1CD1">
      <w:pPr>
        <w:jc w:val="both"/>
        <w:rPr>
          <w:b/>
          <w:bCs w:val="0"/>
        </w:rPr>
      </w:pPr>
    </w:p>
    <w:p w:rsidR="003F1CD1" w:rsidRDefault="003F1CD1" w:rsidP="003F1CD1">
      <w:pPr>
        <w:ind w:right="-180"/>
        <w:jc w:val="both"/>
        <w:rPr>
          <w:b/>
          <w:bCs w:val="0"/>
        </w:rPr>
      </w:pPr>
    </w:p>
    <w:p w:rsidR="003F1CD1" w:rsidRDefault="003F1CD1" w:rsidP="003F1CD1">
      <w:pPr>
        <w:ind w:right="-180"/>
        <w:jc w:val="both"/>
        <w:rPr>
          <w:b/>
          <w:bCs w:val="0"/>
        </w:rPr>
      </w:pPr>
    </w:p>
    <w:p w:rsidR="003F1CD1" w:rsidRDefault="003F1CD1" w:rsidP="003F1CD1">
      <w:pPr>
        <w:ind w:right="-180"/>
        <w:jc w:val="both"/>
        <w:rPr>
          <w:b/>
          <w:bCs w:val="0"/>
        </w:rPr>
      </w:pPr>
    </w:p>
    <w:p w:rsidR="003F1CD1" w:rsidRPr="00A150AF" w:rsidRDefault="003F1CD1" w:rsidP="003F1CD1">
      <w:pPr>
        <w:ind w:right="-180"/>
        <w:jc w:val="both"/>
        <w:rPr>
          <w:b/>
          <w:bCs w:val="0"/>
        </w:rPr>
      </w:pPr>
      <w:r w:rsidRPr="00A150AF">
        <w:rPr>
          <w:b/>
          <w:bCs w:val="0"/>
        </w:rPr>
        <w:tab/>
      </w:r>
      <w:r w:rsidRPr="00A150AF">
        <w:rPr>
          <w:b/>
          <w:bCs w:val="0"/>
        </w:rPr>
        <w:tab/>
      </w:r>
      <w:r w:rsidRPr="00A150AF">
        <w:rPr>
          <w:b/>
          <w:bCs w:val="0"/>
        </w:rPr>
        <w:tab/>
      </w:r>
      <w:r w:rsidRPr="00A150AF">
        <w:rPr>
          <w:b/>
          <w:bCs w:val="0"/>
        </w:rPr>
        <w:tab/>
      </w:r>
      <w:r>
        <w:rPr>
          <w:b/>
          <w:bCs w:val="0"/>
        </w:rPr>
        <w:t> </w:t>
      </w:r>
      <w:r w:rsidRPr="00A150AF">
        <w:rPr>
          <w:b/>
          <w:bCs w:val="0"/>
        </w:rPr>
        <w:t>By</w:t>
      </w:r>
      <w:r>
        <w:rPr>
          <w:b/>
          <w:bCs w:val="0"/>
        </w:rPr>
        <w:t>:</w:t>
      </w:r>
      <w:r w:rsidRPr="00A150AF">
        <w:rPr>
          <w:b/>
          <w:bCs w:val="0"/>
        </w:rPr>
        <w:t xml:space="preserve"> _________________________________</w:t>
      </w:r>
    </w:p>
    <w:p w:rsidR="003F1CD1" w:rsidRDefault="003F1CD1" w:rsidP="003F1CD1">
      <w:pPr>
        <w:spacing w:line="480" w:lineRule="auto"/>
        <w:jc w:val="both"/>
        <w:rPr>
          <w:b/>
        </w:rPr>
      </w:pPr>
      <w:r>
        <w:rPr>
          <w:b/>
          <w:bCs w:val="0"/>
        </w:rPr>
        <w:tab/>
      </w:r>
      <w:r w:rsidRPr="00A150AF">
        <w:rPr>
          <w:b/>
          <w:bCs w:val="0"/>
        </w:rPr>
        <w:tab/>
      </w:r>
      <w:r w:rsidRPr="00A150AF">
        <w:rPr>
          <w:b/>
          <w:bCs w:val="0"/>
        </w:rPr>
        <w:tab/>
      </w:r>
      <w:r w:rsidRPr="00A150AF">
        <w:rPr>
          <w:b/>
          <w:bCs w:val="0"/>
        </w:rPr>
        <w:tab/>
      </w:r>
      <w:r w:rsidRPr="00A150AF">
        <w:rPr>
          <w:b/>
          <w:bCs w:val="0"/>
        </w:rPr>
        <w:tab/>
      </w:r>
      <w:r>
        <w:rPr>
          <w:b/>
        </w:rPr>
        <w:t>Thomas W. Hammond, Jr., Chairman</w:t>
      </w:r>
    </w:p>
    <w:p w:rsidR="003F1CD1" w:rsidRDefault="003F1CD1" w:rsidP="003F1CD1">
      <w:pPr>
        <w:ind w:right="-187"/>
        <w:jc w:val="both"/>
        <w:rPr>
          <w:b/>
          <w:bCs w:val="0"/>
        </w:rPr>
      </w:pPr>
    </w:p>
    <w:p w:rsidR="00C50EFB" w:rsidRDefault="00C50EFB" w:rsidP="003F1CD1">
      <w:pPr>
        <w:ind w:right="-187"/>
        <w:jc w:val="both"/>
        <w:rPr>
          <w:b/>
          <w:bCs w:val="0"/>
        </w:rPr>
      </w:pPr>
    </w:p>
    <w:p w:rsidR="00C50EFB" w:rsidRDefault="00C50EFB" w:rsidP="00C50EFB">
      <w:pPr>
        <w:ind w:right="-187"/>
        <w:jc w:val="both"/>
        <w:rPr>
          <w:b/>
          <w:bCs w:val="0"/>
        </w:rPr>
      </w:pPr>
      <w:r w:rsidRPr="00A150AF">
        <w:rPr>
          <w:b/>
          <w:bCs w:val="0"/>
        </w:rPr>
        <w:t>A true copy,</w:t>
      </w:r>
    </w:p>
    <w:p w:rsidR="00C50EFB" w:rsidRDefault="00C50EFB" w:rsidP="00C50EFB">
      <w:pPr>
        <w:ind w:right="-187"/>
        <w:jc w:val="both"/>
        <w:rPr>
          <w:b/>
          <w:bCs w:val="0"/>
        </w:rPr>
      </w:pPr>
    </w:p>
    <w:p w:rsidR="00C50EFB" w:rsidRDefault="00C50EFB" w:rsidP="00C50EFB">
      <w:pPr>
        <w:ind w:right="-187"/>
        <w:jc w:val="both"/>
        <w:rPr>
          <w:b/>
          <w:bCs w:val="0"/>
        </w:rPr>
      </w:pPr>
    </w:p>
    <w:p w:rsidR="00C50EFB" w:rsidRPr="00A150AF" w:rsidRDefault="00C50EFB" w:rsidP="00C50EFB">
      <w:pPr>
        <w:ind w:right="-187"/>
        <w:jc w:val="both"/>
        <w:rPr>
          <w:b/>
          <w:bCs w:val="0"/>
        </w:rPr>
      </w:pPr>
      <w:r>
        <w:rPr>
          <w:b/>
          <w:bCs w:val="0"/>
        </w:rPr>
        <w:t>A</w:t>
      </w:r>
      <w:r w:rsidRPr="00A150AF">
        <w:rPr>
          <w:b/>
          <w:bCs w:val="0"/>
        </w:rPr>
        <w:t>ttest: ________</w:t>
      </w:r>
      <w:r>
        <w:rPr>
          <w:b/>
          <w:bCs w:val="0"/>
        </w:rPr>
        <w:t>___</w:t>
      </w:r>
      <w:r w:rsidRPr="00A150AF">
        <w:rPr>
          <w:b/>
          <w:bCs w:val="0"/>
        </w:rPr>
        <w:t>__</w:t>
      </w:r>
      <w:r>
        <w:rPr>
          <w:b/>
          <w:bCs w:val="0"/>
        </w:rPr>
        <w:t>_____</w:t>
      </w:r>
      <w:r w:rsidRPr="00A150AF">
        <w:rPr>
          <w:b/>
          <w:bCs w:val="0"/>
        </w:rPr>
        <w:t>__________</w:t>
      </w:r>
    </w:p>
    <w:p w:rsidR="00C50EFB" w:rsidRDefault="00C50EFB" w:rsidP="00C50EFB">
      <w:pPr>
        <w:pStyle w:val="BodyText"/>
        <w:rPr>
          <w:b/>
          <w:bCs/>
        </w:rPr>
      </w:pPr>
      <w:r w:rsidRPr="00252E95">
        <w:tab/>
        <w:t xml:space="preserve">   </w:t>
      </w:r>
      <w:r>
        <w:t xml:space="preserve">            </w:t>
      </w:r>
      <w:r w:rsidRPr="00AE0542">
        <w:rPr>
          <w:rFonts w:ascii="Courier New" w:hAnsi="Courier New" w:cs="Courier New"/>
          <w:b/>
        </w:rPr>
        <w:t>Clerk of the Board</w:t>
      </w:r>
    </w:p>
    <w:p w:rsidR="00C50EFB" w:rsidRDefault="00C50EFB" w:rsidP="00C50EFB"/>
    <w:p w:rsidR="00C50EFB" w:rsidRDefault="00C50EFB" w:rsidP="003F1CD1">
      <w:pPr>
        <w:ind w:right="-187"/>
        <w:jc w:val="both"/>
        <w:rPr>
          <w:b/>
          <w:bCs w:val="0"/>
        </w:rPr>
      </w:pPr>
      <w:bookmarkStart w:id="0" w:name="_GoBack"/>
      <w:bookmarkEnd w:id="0"/>
    </w:p>
    <w:sectPr w:rsidR="00C50EFB" w:rsidSect="00C50EFB">
      <w:footerReference w:type="default" r:id="rId7"/>
      <w:pgSz w:w="12240" w:h="15840" w:code="1"/>
      <w:pgMar w:top="1440" w:right="1800" w:bottom="1440" w:left="1800" w:header="720" w:footer="432" w:gutter="0"/>
      <w:pgNumType w:start="644"/>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1CD1" w:rsidRDefault="003F1CD1" w:rsidP="003F1CD1">
      <w:r>
        <w:separator/>
      </w:r>
    </w:p>
  </w:endnote>
  <w:endnote w:type="continuationSeparator" w:id="0">
    <w:p w:rsidR="003F1CD1" w:rsidRDefault="003F1CD1" w:rsidP="003F1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03D" w:rsidRPr="00C50EFB" w:rsidRDefault="00C50EFB">
    <w:pPr>
      <w:pStyle w:val="Footer"/>
      <w:jc w:val="center"/>
      <w:rPr>
        <w:b/>
      </w:rPr>
    </w:pPr>
    <w:r w:rsidRPr="00C50EFB">
      <w:rPr>
        <w:b/>
      </w:rPr>
      <w:t>ATB 2018-</w:t>
    </w:r>
    <w:r w:rsidR="00CA4986" w:rsidRPr="00C50EFB">
      <w:rPr>
        <w:b/>
      </w:rPr>
      <w:fldChar w:fldCharType="begin"/>
    </w:r>
    <w:r w:rsidR="00CA4986" w:rsidRPr="00C50EFB">
      <w:rPr>
        <w:b/>
      </w:rPr>
      <w:instrText xml:space="preserve"> PAGE   \* MERGEFORMAT </w:instrText>
    </w:r>
    <w:r w:rsidR="00CA4986" w:rsidRPr="00C50EFB">
      <w:rPr>
        <w:b/>
      </w:rPr>
      <w:fldChar w:fldCharType="separate"/>
    </w:r>
    <w:r w:rsidR="00897459">
      <w:rPr>
        <w:b/>
        <w:noProof/>
      </w:rPr>
      <w:t>653</w:t>
    </w:r>
    <w:r w:rsidR="00CA4986" w:rsidRPr="00C50EFB">
      <w:rPr>
        <w:b/>
        <w:noProof/>
      </w:rPr>
      <w:fldChar w:fldCharType="end"/>
    </w:r>
  </w:p>
  <w:p w:rsidR="0063503D" w:rsidRDefault="008974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1CD1" w:rsidRDefault="003F1CD1" w:rsidP="003F1CD1">
      <w:r>
        <w:separator/>
      </w:r>
    </w:p>
  </w:footnote>
  <w:footnote w:type="continuationSeparator" w:id="0">
    <w:p w:rsidR="003F1CD1" w:rsidRDefault="003F1CD1" w:rsidP="003F1C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CD1"/>
    <w:rsid w:val="000179A6"/>
    <w:rsid w:val="00022B8A"/>
    <w:rsid w:val="00036C97"/>
    <w:rsid w:val="00037D51"/>
    <w:rsid w:val="00145DBE"/>
    <w:rsid w:val="0018109B"/>
    <w:rsid w:val="001964EB"/>
    <w:rsid w:val="0019661A"/>
    <w:rsid w:val="001C3B37"/>
    <w:rsid w:val="003E3590"/>
    <w:rsid w:val="003F1CD1"/>
    <w:rsid w:val="004001B8"/>
    <w:rsid w:val="00511BB5"/>
    <w:rsid w:val="005D1FF5"/>
    <w:rsid w:val="006805DF"/>
    <w:rsid w:val="0070135C"/>
    <w:rsid w:val="00710DC0"/>
    <w:rsid w:val="00762A05"/>
    <w:rsid w:val="007D7732"/>
    <w:rsid w:val="00815597"/>
    <w:rsid w:val="00866F34"/>
    <w:rsid w:val="00871282"/>
    <w:rsid w:val="00897459"/>
    <w:rsid w:val="008A76C9"/>
    <w:rsid w:val="008B53ED"/>
    <w:rsid w:val="009319E0"/>
    <w:rsid w:val="00954374"/>
    <w:rsid w:val="00AC2BA1"/>
    <w:rsid w:val="00AF314F"/>
    <w:rsid w:val="00B427A8"/>
    <w:rsid w:val="00B847B5"/>
    <w:rsid w:val="00C13788"/>
    <w:rsid w:val="00C50EFB"/>
    <w:rsid w:val="00CA4986"/>
    <w:rsid w:val="00CC09FF"/>
    <w:rsid w:val="00DD1FA4"/>
    <w:rsid w:val="00E23601"/>
    <w:rsid w:val="00FF1D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1CD1"/>
    <w:pPr>
      <w:widowControl w:val="0"/>
      <w:autoSpaceDE w:val="0"/>
      <w:autoSpaceDN w:val="0"/>
      <w:adjustRightInd w:val="0"/>
      <w:spacing w:after="0" w:line="240" w:lineRule="auto"/>
    </w:pPr>
    <w:rPr>
      <w:rFonts w:ascii="Courier New" w:eastAsia="Times New Roman" w:hAnsi="Courier New" w:cs="Courier New"/>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3F1CD1"/>
    <w:pPr>
      <w:widowControl/>
      <w:adjustRightInd/>
    </w:pPr>
    <w:rPr>
      <w:rFonts w:ascii="Times New Roman" w:hAnsi="Times New Roman" w:cs="Times New Roman"/>
      <w:bCs w:val="0"/>
      <w:sz w:val="20"/>
      <w:szCs w:val="20"/>
    </w:rPr>
  </w:style>
  <w:style w:type="character" w:customStyle="1" w:styleId="FootnoteTextChar">
    <w:name w:val="Footnote Text Char"/>
    <w:basedOn w:val="DefaultParagraphFont"/>
    <w:link w:val="FootnoteText"/>
    <w:uiPriority w:val="99"/>
    <w:semiHidden/>
    <w:rsid w:val="003F1CD1"/>
    <w:rPr>
      <w:rFonts w:ascii="Times New Roman" w:eastAsia="Times New Roman" w:hAnsi="Times New Roman" w:cs="Times New Roman"/>
      <w:sz w:val="20"/>
      <w:szCs w:val="20"/>
    </w:rPr>
  </w:style>
  <w:style w:type="character" w:styleId="FootnoteReference">
    <w:name w:val="footnote reference"/>
    <w:uiPriority w:val="99"/>
    <w:semiHidden/>
    <w:rsid w:val="003F1CD1"/>
    <w:rPr>
      <w:rFonts w:cs="Times New Roman"/>
      <w:vertAlign w:val="superscript"/>
    </w:rPr>
  </w:style>
  <w:style w:type="paragraph" w:styleId="BodyText">
    <w:name w:val="Body Text"/>
    <w:basedOn w:val="Normal"/>
    <w:link w:val="BodyTextChar"/>
    <w:uiPriority w:val="99"/>
    <w:rsid w:val="003F1CD1"/>
    <w:pPr>
      <w:widowControl/>
      <w:autoSpaceDE/>
      <w:autoSpaceDN/>
      <w:adjustRightInd/>
      <w:spacing w:line="480" w:lineRule="auto"/>
      <w:jc w:val="both"/>
    </w:pPr>
    <w:rPr>
      <w:rFonts w:ascii="Times New Roman" w:hAnsi="Times New Roman" w:cs="Times New Roman"/>
      <w:bCs w:val="0"/>
      <w:szCs w:val="20"/>
    </w:rPr>
  </w:style>
  <w:style w:type="character" w:customStyle="1" w:styleId="BodyTextChar">
    <w:name w:val="Body Text Char"/>
    <w:basedOn w:val="DefaultParagraphFont"/>
    <w:link w:val="BodyText"/>
    <w:uiPriority w:val="99"/>
    <w:rsid w:val="003F1CD1"/>
    <w:rPr>
      <w:rFonts w:ascii="Times New Roman" w:eastAsia="Times New Roman" w:hAnsi="Times New Roman" w:cs="Times New Roman"/>
      <w:sz w:val="24"/>
      <w:szCs w:val="20"/>
    </w:rPr>
  </w:style>
  <w:style w:type="paragraph" w:styleId="Title">
    <w:name w:val="Title"/>
    <w:basedOn w:val="Normal"/>
    <w:link w:val="TitleChar"/>
    <w:uiPriority w:val="99"/>
    <w:qFormat/>
    <w:rsid w:val="003F1CD1"/>
    <w:pPr>
      <w:widowControl/>
      <w:autoSpaceDE/>
      <w:autoSpaceDN/>
      <w:adjustRightInd/>
      <w:jc w:val="center"/>
    </w:pPr>
    <w:rPr>
      <w:rFonts w:ascii="Times New Roman" w:hAnsi="Times New Roman" w:cs="Times New Roman"/>
      <w:b/>
      <w:sz w:val="20"/>
      <w:szCs w:val="20"/>
    </w:rPr>
  </w:style>
  <w:style w:type="character" w:customStyle="1" w:styleId="TitleChar">
    <w:name w:val="Title Char"/>
    <w:basedOn w:val="DefaultParagraphFont"/>
    <w:link w:val="Title"/>
    <w:uiPriority w:val="99"/>
    <w:rsid w:val="003F1CD1"/>
    <w:rPr>
      <w:rFonts w:ascii="Times New Roman" w:eastAsia="Times New Roman" w:hAnsi="Times New Roman" w:cs="Times New Roman"/>
      <w:b/>
      <w:bCs/>
      <w:sz w:val="20"/>
      <w:szCs w:val="20"/>
    </w:rPr>
  </w:style>
  <w:style w:type="paragraph" w:styleId="Footer">
    <w:name w:val="footer"/>
    <w:basedOn w:val="Normal"/>
    <w:link w:val="FooterChar"/>
    <w:uiPriority w:val="99"/>
    <w:unhideWhenUsed/>
    <w:rsid w:val="003F1CD1"/>
    <w:pPr>
      <w:tabs>
        <w:tab w:val="center" w:pos="4680"/>
        <w:tab w:val="right" w:pos="9360"/>
      </w:tabs>
    </w:pPr>
  </w:style>
  <w:style w:type="character" w:customStyle="1" w:styleId="FooterChar">
    <w:name w:val="Footer Char"/>
    <w:basedOn w:val="DefaultParagraphFont"/>
    <w:link w:val="Footer"/>
    <w:uiPriority w:val="99"/>
    <w:rsid w:val="003F1CD1"/>
    <w:rPr>
      <w:rFonts w:ascii="Courier New" w:eastAsia="Times New Roman" w:hAnsi="Courier New" w:cs="Courier New"/>
      <w:bCs/>
      <w:sz w:val="24"/>
      <w:szCs w:val="24"/>
    </w:rPr>
  </w:style>
  <w:style w:type="paragraph" w:styleId="BodyText2">
    <w:name w:val="Body Text 2"/>
    <w:basedOn w:val="Normal"/>
    <w:link w:val="BodyText2Char"/>
    <w:rsid w:val="00036C97"/>
    <w:pPr>
      <w:widowControl/>
      <w:autoSpaceDE/>
      <w:autoSpaceDN/>
      <w:adjustRightInd/>
      <w:spacing w:after="120" w:line="480" w:lineRule="auto"/>
    </w:pPr>
    <w:rPr>
      <w:rFonts w:ascii="Times New Roman" w:hAnsi="Times New Roman" w:cs="Times New Roman"/>
      <w:bCs w:val="0"/>
    </w:rPr>
  </w:style>
  <w:style w:type="character" w:customStyle="1" w:styleId="BodyText2Char">
    <w:name w:val="Body Text 2 Char"/>
    <w:basedOn w:val="DefaultParagraphFont"/>
    <w:link w:val="BodyText2"/>
    <w:rsid w:val="00036C9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13788"/>
    <w:rPr>
      <w:rFonts w:ascii="Tahoma" w:hAnsi="Tahoma" w:cs="Tahoma"/>
      <w:sz w:val="16"/>
      <w:szCs w:val="16"/>
    </w:rPr>
  </w:style>
  <w:style w:type="character" w:customStyle="1" w:styleId="BalloonTextChar">
    <w:name w:val="Balloon Text Char"/>
    <w:basedOn w:val="DefaultParagraphFont"/>
    <w:link w:val="BalloonText"/>
    <w:uiPriority w:val="99"/>
    <w:semiHidden/>
    <w:rsid w:val="00C13788"/>
    <w:rPr>
      <w:rFonts w:ascii="Tahoma" w:eastAsia="Times New Roman" w:hAnsi="Tahoma" w:cs="Tahoma"/>
      <w:bCs/>
      <w:sz w:val="16"/>
      <w:szCs w:val="16"/>
    </w:rPr>
  </w:style>
  <w:style w:type="paragraph" w:styleId="Header">
    <w:name w:val="header"/>
    <w:basedOn w:val="Normal"/>
    <w:link w:val="HeaderChar"/>
    <w:uiPriority w:val="99"/>
    <w:unhideWhenUsed/>
    <w:rsid w:val="00C50EFB"/>
    <w:pPr>
      <w:tabs>
        <w:tab w:val="center" w:pos="4680"/>
        <w:tab w:val="right" w:pos="9360"/>
      </w:tabs>
    </w:pPr>
  </w:style>
  <w:style w:type="character" w:customStyle="1" w:styleId="HeaderChar">
    <w:name w:val="Header Char"/>
    <w:basedOn w:val="DefaultParagraphFont"/>
    <w:link w:val="Header"/>
    <w:uiPriority w:val="99"/>
    <w:rsid w:val="00C50EFB"/>
    <w:rPr>
      <w:rFonts w:ascii="Courier New" w:eastAsia="Times New Roman" w:hAnsi="Courier New" w:cs="Courier New"/>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1CD1"/>
    <w:pPr>
      <w:widowControl w:val="0"/>
      <w:autoSpaceDE w:val="0"/>
      <w:autoSpaceDN w:val="0"/>
      <w:adjustRightInd w:val="0"/>
      <w:spacing w:after="0" w:line="240" w:lineRule="auto"/>
    </w:pPr>
    <w:rPr>
      <w:rFonts w:ascii="Courier New" w:eastAsia="Times New Roman" w:hAnsi="Courier New" w:cs="Courier New"/>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3F1CD1"/>
    <w:pPr>
      <w:widowControl/>
      <w:adjustRightInd/>
    </w:pPr>
    <w:rPr>
      <w:rFonts w:ascii="Times New Roman" w:hAnsi="Times New Roman" w:cs="Times New Roman"/>
      <w:bCs w:val="0"/>
      <w:sz w:val="20"/>
      <w:szCs w:val="20"/>
    </w:rPr>
  </w:style>
  <w:style w:type="character" w:customStyle="1" w:styleId="FootnoteTextChar">
    <w:name w:val="Footnote Text Char"/>
    <w:basedOn w:val="DefaultParagraphFont"/>
    <w:link w:val="FootnoteText"/>
    <w:uiPriority w:val="99"/>
    <w:semiHidden/>
    <w:rsid w:val="003F1CD1"/>
    <w:rPr>
      <w:rFonts w:ascii="Times New Roman" w:eastAsia="Times New Roman" w:hAnsi="Times New Roman" w:cs="Times New Roman"/>
      <w:sz w:val="20"/>
      <w:szCs w:val="20"/>
    </w:rPr>
  </w:style>
  <w:style w:type="character" w:styleId="FootnoteReference">
    <w:name w:val="footnote reference"/>
    <w:uiPriority w:val="99"/>
    <w:semiHidden/>
    <w:rsid w:val="003F1CD1"/>
    <w:rPr>
      <w:rFonts w:cs="Times New Roman"/>
      <w:vertAlign w:val="superscript"/>
    </w:rPr>
  </w:style>
  <w:style w:type="paragraph" w:styleId="BodyText">
    <w:name w:val="Body Text"/>
    <w:basedOn w:val="Normal"/>
    <w:link w:val="BodyTextChar"/>
    <w:uiPriority w:val="99"/>
    <w:rsid w:val="003F1CD1"/>
    <w:pPr>
      <w:widowControl/>
      <w:autoSpaceDE/>
      <w:autoSpaceDN/>
      <w:adjustRightInd/>
      <w:spacing w:line="480" w:lineRule="auto"/>
      <w:jc w:val="both"/>
    </w:pPr>
    <w:rPr>
      <w:rFonts w:ascii="Times New Roman" w:hAnsi="Times New Roman" w:cs="Times New Roman"/>
      <w:bCs w:val="0"/>
      <w:szCs w:val="20"/>
    </w:rPr>
  </w:style>
  <w:style w:type="character" w:customStyle="1" w:styleId="BodyTextChar">
    <w:name w:val="Body Text Char"/>
    <w:basedOn w:val="DefaultParagraphFont"/>
    <w:link w:val="BodyText"/>
    <w:uiPriority w:val="99"/>
    <w:rsid w:val="003F1CD1"/>
    <w:rPr>
      <w:rFonts w:ascii="Times New Roman" w:eastAsia="Times New Roman" w:hAnsi="Times New Roman" w:cs="Times New Roman"/>
      <w:sz w:val="24"/>
      <w:szCs w:val="20"/>
    </w:rPr>
  </w:style>
  <w:style w:type="paragraph" w:styleId="Title">
    <w:name w:val="Title"/>
    <w:basedOn w:val="Normal"/>
    <w:link w:val="TitleChar"/>
    <w:uiPriority w:val="99"/>
    <w:qFormat/>
    <w:rsid w:val="003F1CD1"/>
    <w:pPr>
      <w:widowControl/>
      <w:autoSpaceDE/>
      <w:autoSpaceDN/>
      <w:adjustRightInd/>
      <w:jc w:val="center"/>
    </w:pPr>
    <w:rPr>
      <w:rFonts w:ascii="Times New Roman" w:hAnsi="Times New Roman" w:cs="Times New Roman"/>
      <w:b/>
      <w:sz w:val="20"/>
      <w:szCs w:val="20"/>
    </w:rPr>
  </w:style>
  <w:style w:type="character" w:customStyle="1" w:styleId="TitleChar">
    <w:name w:val="Title Char"/>
    <w:basedOn w:val="DefaultParagraphFont"/>
    <w:link w:val="Title"/>
    <w:uiPriority w:val="99"/>
    <w:rsid w:val="003F1CD1"/>
    <w:rPr>
      <w:rFonts w:ascii="Times New Roman" w:eastAsia="Times New Roman" w:hAnsi="Times New Roman" w:cs="Times New Roman"/>
      <w:b/>
      <w:bCs/>
      <w:sz w:val="20"/>
      <w:szCs w:val="20"/>
    </w:rPr>
  </w:style>
  <w:style w:type="paragraph" w:styleId="Footer">
    <w:name w:val="footer"/>
    <w:basedOn w:val="Normal"/>
    <w:link w:val="FooterChar"/>
    <w:uiPriority w:val="99"/>
    <w:unhideWhenUsed/>
    <w:rsid w:val="003F1CD1"/>
    <w:pPr>
      <w:tabs>
        <w:tab w:val="center" w:pos="4680"/>
        <w:tab w:val="right" w:pos="9360"/>
      </w:tabs>
    </w:pPr>
  </w:style>
  <w:style w:type="character" w:customStyle="1" w:styleId="FooterChar">
    <w:name w:val="Footer Char"/>
    <w:basedOn w:val="DefaultParagraphFont"/>
    <w:link w:val="Footer"/>
    <w:uiPriority w:val="99"/>
    <w:rsid w:val="003F1CD1"/>
    <w:rPr>
      <w:rFonts w:ascii="Courier New" w:eastAsia="Times New Roman" w:hAnsi="Courier New" w:cs="Courier New"/>
      <w:bCs/>
      <w:sz w:val="24"/>
      <w:szCs w:val="24"/>
    </w:rPr>
  </w:style>
  <w:style w:type="paragraph" w:styleId="BodyText2">
    <w:name w:val="Body Text 2"/>
    <w:basedOn w:val="Normal"/>
    <w:link w:val="BodyText2Char"/>
    <w:rsid w:val="00036C97"/>
    <w:pPr>
      <w:widowControl/>
      <w:autoSpaceDE/>
      <w:autoSpaceDN/>
      <w:adjustRightInd/>
      <w:spacing w:after="120" w:line="480" w:lineRule="auto"/>
    </w:pPr>
    <w:rPr>
      <w:rFonts w:ascii="Times New Roman" w:hAnsi="Times New Roman" w:cs="Times New Roman"/>
      <w:bCs w:val="0"/>
    </w:rPr>
  </w:style>
  <w:style w:type="character" w:customStyle="1" w:styleId="BodyText2Char">
    <w:name w:val="Body Text 2 Char"/>
    <w:basedOn w:val="DefaultParagraphFont"/>
    <w:link w:val="BodyText2"/>
    <w:rsid w:val="00036C9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13788"/>
    <w:rPr>
      <w:rFonts w:ascii="Tahoma" w:hAnsi="Tahoma" w:cs="Tahoma"/>
      <w:sz w:val="16"/>
      <w:szCs w:val="16"/>
    </w:rPr>
  </w:style>
  <w:style w:type="character" w:customStyle="1" w:styleId="BalloonTextChar">
    <w:name w:val="Balloon Text Char"/>
    <w:basedOn w:val="DefaultParagraphFont"/>
    <w:link w:val="BalloonText"/>
    <w:uiPriority w:val="99"/>
    <w:semiHidden/>
    <w:rsid w:val="00C13788"/>
    <w:rPr>
      <w:rFonts w:ascii="Tahoma" w:eastAsia="Times New Roman" w:hAnsi="Tahoma" w:cs="Tahoma"/>
      <w:bCs/>
      <w:sz w:val="16"/>
      <w:szCs w:val="16"/>
    </w:rPr>
  </w:style>
  <w:style w:type="paragraph" w:styleId="Header">
    <w:name w:val="header"/>
    <w:basedOn w:val="Normal"/>
    <w:link w:val="HeaderChar"/>
    <w:uiPriority w:val="99"/>
    <w:unhideWhenUsed/>
    <w:rsid w:val="00C50EFB"/>
    <w:pPr>
      <w:tabs>
        <w:tab w:val="center" w:pos="4680"/>
        <w:tab w:val="right" w:pos="9360"/>
      </w:tabs>
    </w:pPr>
  </w:style>
  <w:style w:type="character" w:customStyle="1" w:styleId="HeaderChar">
    <w:name w:val="Header Char"/>
    <w:basedOn w:val="DefaultParagraphFont"/>
    <w:link w:val="Header"/>
    <w:uiPriority w:val="99"/>
    <w:rsid w:val="00C50EFB"/>
    <w:rPr>
      <w:rFonts w:ascii="Courier New" w:eastAsia="Times New Roman" w:hAnsi="Courier New" w:cs="Courier New"/>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1741</Words>
  <Characters>9925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ANF</dc:creator>
  <cp:lastModifiedBy>ANF</cp:lastModifiedBy>
  <cp:revision>3</cp:revision>
  <cp:lastPrinted>2018-11-28T18:02:00Z</cp:lastPrinted>
  <dcterms:created xsi:type="dcterms:W3CDTF">2018-12-03T16:27:00Z</dcterms:created>
  <dcterms:modified xsi:type="dcterms:W3CDTF">2018-12-03T16:28:00Z</dcterms:modified>
</cp:coreProperties>
</file>