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76"/>
        <w:ind w:left="360" w:right="4267" w:firstLine="0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781050</wp:posOffset>
                </wp:positionV>
                <wp:extent cx="68961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61.5pt;width:542.98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color w:val="0F4660"/>
          <w:sz w:val="40"/>
        </w:rPr>
        <w:t>ALR</w:t>
      </w:r>
      <w:r>
        <w:rPr>
          <w:color w:val="0F4660"/>
          <w:spacing w:val="40"/>
          <w:sz w:val="40"/>
        </w:rPr>
        <w:t> </w:t>
      </w:r>
      <w:r>
        <w:rPr>
          <w:color w:val="0F4660"/>
          <w:sz w:val="40"/>
        </w:rPr>
        <w:t>COMMISSION</w:t>
      </w:r>
      <w:r>
        <w:rPr>
          <w:color w:val="0F4660"/>
          <w:spacing w:val="40"/>
          <w:sz w:val="40"/>
        </w:rPr>
        <w:t> </w:t>
      </w:r>
      <w:r>
        <w:rPr>
          <w:color w:val="0F4660"/>
          <w:sz w:val="40"/>
        </w:rPr>
        <w:t>NOVEMBER</w:t>
      </w:r>
      <w:r>
        <w:rPr>
          <w:color w:val="0F4660"/>
          <w:spacing w:val="40"/>
          <w:sz w:val="40"/>
        </w:rPr>
        <w:t> </w:t>
      </w:r>
      <w:r>
        <w:rPr>
          <w:color w:val="0F4660"/>
          <w:sz w:val="40"/>
        </w:rPr>
        <w:t>18,</w:t>
      </w:r>
      <w:r>
        <w:rPr>
          <w:color w:val="0F4660"/>
          <w:spacing w:val="40"/>
          <w:sz w:val="40"/>
        </w:rPr>
        <w:t> </w:t>
      </w:r>
      <w:r>
        <w:rPr>
          <w:color w:val="0F4660"/>
          <w:sz w:val="40"/>
        </w:rPr>
        <w:t>2025 </w:t>
      </w:r>
      <w:r>
        <w:rPr>
          <w:color w:val="0F4660"/>
          <w:w w:val="110"/>
          <w:sz w:val="40"/>
        </w:rPr>
        <w:t>PRE-MEETING ISSUE BRIEF</w:t>
      </w:r>
    </w:p>
    <w:p>
      <w:pPr>
        <w:pStyle w:val="BodyText"/>
        <w:spacing w:before="139"/>
        <w:ind w:left="0" w:firstLine="0"/>
        <w:rPr>
          <w:sz w:val="19"/>
        </w:rPr>
      </w:pPr>
    </w:p>
    <w:p>
      <w:pPr>
        <w:pStyle w:val="Heading1"/>
      </w:pPr>
      <w:r>
        <w:rPr>
          <w:smallCaps/>
          <w:color w:val="0F4660"/>
          <w:w w:val="110"/>
        </w:rPr>
        <w:t>Purpose</w:t>
      </w:r>
      <w:r>
        <w:rPr>
          <w:smallCaps/>
          <w:color w:val="0F4660"/>
          <w:spacing w:val="15"/>
          <w:w w:val="110"/>
        </w:rPr>
        <w:t> </w:t>
      </w:r>
      <w:r>
        <w:rPr>
          <w:smallCaps/>
          <w:color w:val="0F4660"/>
          <w:w w:val="110"/>
        </w:rPr>
        <w:t>of</w:t>
      </w:r>
      <w:r>
        <w:rPr>
          <w:smallCaps/>
          <w:color w:val="0F4660"/>
          <w:spacing w:val="19"/>
          <w:w w:val="110"/>
        </w:rPr>
        <w:t> </w:t>
      </w:r>
      <w:r>
        <w:rPr>
          <w:smallCaps/>
          <w:color w:val="0F4660"/>
          <w:w w:val="110"/>
        </w:rPr>
        <w:t>November</w:t>
      </w:r>
      <w:r>
        <w:rPr>
          <w:smallCaps/>
          <w:color w:val="0F4660"/>
          <w:spacing w:val="18"/>
          <w:w w:val="110"/>
        </w:rPr>
        <w:t> </w:t>
      </w:r>
      <w:r>
        <w:rPr>
          <w:smallCaps/>
          <w:color w:val="0F4660"/>
          <w:w w:val="110"/>
        </w:rPr>
        <w:t>18,</w:t>
      </w:r>
      <w:r>
        <w:rPr>
          <w:smallCaps/>
          <w:color w:val="0F4660"/>
          <w:spacing w:val="3"/>
          <w:w w:val="110"/>
        </w:rPr>
        <w:t> </w:t>
      </w:r>
      <w:r>
        <w:rPr>
          <w:smallCaps/>
          <w:color w:val="0F4660"/>
          <w:w w:val="110"/>
        </w:rPr>
        <w:t>2025</w:t>
      </w:r>
      <w:r>
        <w:rPr>
          <w:smallCaps/>
          <w:color w:val="0F4660"/>
          <w:spacing w:val="1"/>
          <w:w w:val="110"/>
        </w:rPr>
        <w:t> </w:t>
      </w:r>
      <w:r>
        <w:rPr>
          <w:smallCaps/>
          <w:color w:val="0F4660"/>
          <w:w w:val="110"/>
        </w:rPr>
        <w:t>Panel</w:t>
      </w:r>
      <w:r>
        <w:rPr>
          <w:smallCaps/>
          <w:color w:val="0F4660"/>
          <w:spacing w:val="13"/>
          <w:w w:val="110"/>
        </w:rPr>
        <w:t> </w:t>
      </w:r>
      <w:r>
        <w:rPr>
          <w:smallCaps/>
          <w:color w:val="0F4660"/>
          <w:w w:val="110"/>
        </w:rPr>
        <w:t>on</w:t>
      </w:r>
      <w:r>
        <w:rPr>
          <w:smallCaps/>
          <w:color w:val="0F4660"/>
          <w:spacing w:val="15"/>
          <w:w w:val="110"/>
        </w:rPr>
        <w:t> </w:t>
      </w:r>
      <w:r>
        <w:rPr>
          <w:smallCaps/>
          <w:color w:val="0F4660"/>
          <w:w w:val="110"/>
        </w:rPr>
        <w:t>Affordability</w:t>
      </w:r>
      <w:r>
        <w:rPr>
          <w:smallCaps/>
          <w:color w:val="0F4660"/>
          <w:spacing w:val="16"/>
          <w:w w:val="110"/>
        </w:rPr>
        <w:t> </w:t>
      </w:r>
      <w:r>
        <w:rPr>
          <w:smallCaps/>
          <w:color w:val="0F4660"/>
          <w:w w:val="110"/>
        </w:rPr>
        <w:t>of</w:t>
      </w:r>
      <w:r>
        <w:rPr>
          <w:smallCaps/>
          <w:color w:val="0F4660"/>
          <w:spacing w:val="17"/>
          <w:w w:val="110"/>
        </w:rPr>
        <w:t> </w:t>
      </w:r>
      <w:r>
        <w:rPr>
          <w:smallCaps/>
          <w:color w:val="0F4660"/>
          <w:spacing w:val="-4"/>
          <w:w w:val="110"/>
        </w:rPr>
        <w:t>ALRs:</w:t>
      </w:r>
    </w:p>
    <w:p>
      <w:pPr>
        <w:pStyle w:val="BodyText"/>
        <w:ind w:left="360" w:right="351" w:firstLine="0"/>
      </w:pPr>
      <w:r>
        <w:rPr>
          <w:w w:val="105"/>
        </w:rPr>
        <w:t>Gather</w:t>
      </w:r>
      <w:r>
        <w:rPr>
          <w:spacing w:val="-10"/>
          <w:w w:val="105"/>
        </w:rPr>
        <w:t> </w:t>
      </w:r>
      <w:r>
        <w:rPr>
          <w:w w:val="105"/>
        </w:rPr>
        <w:t>expert</w:t>
      </w:r>
      <w:r>
        <w:rPr>
          <w:spacing w:val="-9"/>
          <w:w w:val="105"/>
        </w:rPr>
        <w:t> </w:t>
      </w:r>
      <w:r>
        <w:rPr>
          <w:w w:val="105"/>
        </w:rPr>
        <w:t>input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affordability</w:t>
      </w:r>
      <w:r>
        <w:rPr>
          <w:spacing w:val="-7"/>
          <w:w w:val="105"/>
        </w:rPr>
        <w:t> </w:t>
      </w:r>
      <w:r>
        <w:rPr>
          <w:w w:val="105"/>
        </w:rPr>
        <w:t>challenges:</w:t>
      </w:r>
      <w:r>
        <w:rPr>
          <w:spacing w:val="-11"/>
          <w:w w:val="105"/>
        </w:rPr>
        <w:t> </w:t>
      </w:r>
      <w:r>
        <w:rPr>
          <w:w w:val="105"/>
        </w:rPr>
        <w:t>define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problem,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identify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key</w:t>
      </w:r>
      <w:r>
        <w:rPr>
          <w:spacing w:val="-7"/>
          <w:w w:val="105"/>
        </w:rPr>
        <w:t> </w:t>
      </w:r>
      <w:r>
        <w:rPr>
          <w:w w:val="105"/>
        </w:rPr>
        <w:t>components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9"/>
          <w:w w:val="105"/>
        </w:rPr>
        <w:t> </w:t>
      </w:r>
      <w:r>
        <w:rPr>
          <w:w w:val="105"/>
        </w:rPr>
        <w:t>to be considered by a future ALR Affordability Task Force.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>
          <w:smallCaps/>
          <w:color w:val="0F4660"/>
          <w:w w:val="110"/>
        </w:rPr>
        <w:t>Reference</w:t>
      </w:r>
      <w:r>
        <w:rPr>
          <w:smallCaps/>
          <w:color w:val="0F4660"/>
          <w:spacing w:val="31"/>
          <w:w w:val="110"/>
        </w:rPr>
        <w:t> </w:t>
      </w:r>
      <w:r>
        <w:rPr>
          <w:smallCaps/>
          <w:color w:val="0F4660"/>
          <w:w w:val="110"/>
        </w:rPr>
        <w:t>Previous</w:t>
      </w:r>
      <w:r>
        <w:rPr>
          <w:smallCaps/>
          <w:color w:val="0F4660"/>
          <w:spacing w:val="26"/>
          <w:w w:val="110"/>
        </w:rPr>
        <w:t> </w:t>
      </w:r>
      <w:r>
        <w:rPr>
          <w:smallCaps/>
          <w:color w:val="0F4660"/>
          <w:w w:val="110"/>
        </w:rPr>
        <w:t>Commission</w:t>
      </w:r>
      <w:r>
        <w:rPr>
          <w:smallCaps/>
          <w:color w:val="0F4660"/>
          <w:spacing w:val="30"/>
          <w:w w:val="110"/>
        </w:rPr>
        <w:t> </w:t>
      </w:r>
      <w:r>
        <w:rPr>
          <w:smallCaps/>
          <w:color w:val="0F4660"/>
          <w:w w:val="110"/>
        </w:rPr>
        <w:t>Meeting</w:t>
      </w:r>
      <w:r>
        <w:rPr>
          <w:smallCaps/>
          <w:color w:val="0F4660"/>
          <w:spacing w:val="28"/>
          <w:w w:val="110"/>
        </w:rPr>
        <w:t> </w:t>
      </w:r>
      <w:r>
        <w:rPr>
          <w:smallCaps/>
          <w:color w:val="0F4660"/>
          <w:w w:val="110"/>
        </w:rPr>
        <w:t>Materials</w:t>
      </w:r>
      <w:r>
        <w:rPr>
          <w:smallCaps/>
          <w:color w:val="0F4660"/>
          <w:spacing w:val="28"/>
          <w:w w:val="110"/>
        </w:rPr>
        <w:t> </w:t>
      </w:r>
      <w:r>
        <w:rPr>
          <w:smallCaps/>
          <w:color w:val="0F4660"/>
          <w:w w:val="110"/>
        </w:rPr>
        <w:t>on</w:t>
      </w:r>
      <w:r>
        <w:rPr>
          <w:smallCaps/>
          <w:color w:val="0F4660"/>
          <w:spacing w:val="33"/>
          <w:w w:val="110"/>
        </w:rPr>
        <w:t> </w:t>
      </w:r>
      <w:r>
        <w:rPr>
          <w:smallCaps/>
          <w:color w:val="0F4660"/>
          <w:spacing w:val="-2"/>
          <w:w w:val="110"/>
        </w:rPr>
        <w:t>Affordability: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June</w:t>
      </w:r>
      <w:r>
        <w:rPr>
          <w:spacing w:val="5"/>
          <w:sz w:val="22"/>
        </w:rPr>
        <w:t> </w:t>
      </w:r>
      <w:r>
        <w:rPr>
          <w:sz w:val="22"/>
        </w:rPr>
        <w:t>4</w:t>
      </w:r>
      <w:r>
        <w:rPr>
          <w:position w:val="8"/>
          <w:sz w:val="13"/>
        </w:rPr>
        <w:t>th</w:t>
      </w:r>
      <w:r>
        <w:rPr>
          <w:spacing w:val="29"/>
          <w:position w:val="8"/>
          <w:sz w:val="13"/>
        </w:rPr>
        <w:t> </w:t>
      </w:r>
      <w:r>
        <w:rPr>
          <w:sz w:val="22"/>
        </w:rPr>
        <w:t>Meeting</w:t>
      </w:r>
      <w:r>
        <w:rPr>
          <w:spacing w:val="8"/>
          <w:sz w:val="22"/>
        </w:rPr>
        <w:t> </w:t>
      </w:r>
      <w:r>
        <w:rPr>
          <w:sz w:val="22"/>
        </w:rPr>
        <w:t>Materials</w:t>
      </w:r>
      <w:r>
        <w:rPr>
          <w:spacing w:val="6"/>
          <w:sz w:val="22"/>
        </w:rPr>
        <w:t> </w:t>
      </w:r>
      <w:r>
        <w:rPr>
          <w:sz w:val="22"/>
        </w:rPr>
        <w:t>(link</w:t>
      </w:r>
      <w:r>
        <w:rPr>
          <w:spacing w:val="11"/>
          <w:sz w:val="22"/>
        </w:rPr>
        <w:t> </w:t>
      </w:r>
      <w:hyperlink r:id="rId5">
        <w:r>
          <w:rPr>
            <w:color w:val="467885"/>
            <w:spacing w:val="-4"/>
            <w:sz w:val="22"/>
            <w:u w:val="single" w:color="467885"/>
          </w:rPr>
          <w:t>HERE</w:t>
        </w:r>
      </w:hyperlink>
      <w:r>
        <w:rPr>
          <w:spacing w:val="-4"/>
          <w:sz w:val="22"/>
          <w:u w:val="none"/>
        </w:rPr>
        <w:t>)</w:t>
      </w:r>
    </w:p>
    <w:p>
      <w:pPr>
        <w:pStyle w:val="BodyText"/>
        <w:ind w:left="0" w:firstLine="0"/>
      </w:pPr>
    </w:p>
    <w:p>
      <w:pPr>
        <w:pStyle w:val="Heading1"/>
        <w:spacing w:line="240" w:lineRule="auto"/>
      </w:pPr>
      <w:r>
        <w:rPr>
          <w:smallCaps/>
          <w:color w:val="0F4660"/>
          <w:w w:val="110"/>
        </w:rPr>
        <w:t>Summary</w:t>
      </w:r>
      <w:r>
        <w:rPr>
          <w:smallCaps/>
          <w:color w:val="0F4660"/>
          <w:spacing w:val="12"/>
          <w:w w:val="110"/>
        </w:rPr>
        <w:t> </w:t>
      </w:r>
      <w:r>
        <w:rPr>
          <w:smallCaps/>
          <w:color w:val="0F4660"/>
          <w:w w:val="110"/>
        </w:rPr>
        <w:t>of</w:t>
      </w:r>
      <w:r>
        <w:rPr>
          <w:smallCaps/>
          <w:color w:val="0F4660"/>
          <w:spacing w:val="12"/>
          <w:w w:val="110"/>
        </w:rPr>
        <w:t> </w:t>
      </w:r>
      <w:r>
        <w:rPr>
          <w:smallCaps/>
          <w:color w:val="0F4660"/>
          <w:w w:val="110"/>
        </w:rPr>
        <w:t>Previous</w:t>
      </w:r>
      <w:r>
        <w:rPr>
          <w:smallCaps/>
          <w:color w:val="0F4660"/>
          <w:spacing w:val="15"/>
          <w:w w:val="110"/>
        </w:rPr>
        <w:t> </w:t>
      </w:r>
      <w:r>
        <w:rPr>
          <w:smallCaps/>
          <w:color w:val="0F4660"/>
          <w:w w:val="110"/>
        </w:rPr>
        <w:t>ALR</w:t>
      </w:r>
      <w:r>
        <w:rPr>
          <w:smallCaps/>
          <w:color w:val="0F4660"/>
          <w:spacing w:val="-3"/>
          <w:w w:val="110"/>
        </w:rPr>
        <w:t> </w:t>
      </w:r>
      <w:r>
        <w:rPr>
          <w:smallCaps/>
          <w:color w:val="0F4660"/>
          <w:w w:val="110"/>
        </w:rPr>
        <w:t>Commission</w:t>
      </w:r>
      <w:r>
        <w:rPr>
          <w:smallCaps/>
          <w:color w:val="0F4660"/>
          <w:spacing w:val="17"/>
          <w:w w:val="110"/>
        </w:rPr>
        <w:t> </w:t>
      </w:r>
      <w:r>
        <w:rPr>
          <w:smallCaps/>
          <w:color w:val="0F4660"/>
          <w:w w:val="110"/>
        </w:rPr>
        <w:t>Meeting</w:t>
      </w:r>
      <w:r>
        <w:rPr>
          <w:smallCaps/>
          <w:color w:val="0F4660"/>
          <w:spacing w:val="13"/>
          <w:w w:val="110"/>
        </w:rPr>
        <w:t> </w:t>
      </w:r>
      <w:r>
        <w:rPr>
          <w:smallCaps/>
          <w:color w:val="0F4660"/>
          <w:spacing w:val="-2"/>
          <w:w w:val="110"/>
        </w:rPr>
        <w:t>Discussions:</w:t>
      </w:r>
    </w:p>
    <w:p>
      <w:pPr>
        <w:pStyle w:val="BodyText"/>
        <w:spacing w:before="38"/>
        <w:ind w:left="0" w:firstLine="0"/>
        <w:rPr>
          <w:b/>
          <w:sz w:val="19"/>
        </w:rPr>
      </w:pPr>
    </w:p>
    <w:p>
      <w:pPr>
        <w:pStyle w:val="Heading2"/>
        <w:numPr>
          <w:ilvl w:val="0"/>
          <w:numId w:val="2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  <w:rPr>
          <w:i/>
        </w:rPr>
      </w:pPr>
      <w:r>
        <w:rPr>
          <w:i/>
          <w:color w:val="0F4660"/>
          <w:w w:val="105"/>
        </w:rPr>
        <w:t>Current</w:t>
      </w:r>
      <w:r>
        <w:rPr>
          <w:i/>
          <w:color w:val="0F4660"/>
          <w:spacing w:val="5"/>
          <w:w w:val="110"/>
        </w:rPr>
        <w:t> </w:t>
      </w:r>
      <w:r>
        <w:rPr>
          <w:i/>
          <w:color w:val="0F4660"/>
          <w:spacing w:val="-2"/>
          <w:w w:val="110"/>
        </w:rPr>
        <w:t>Landscape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92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MA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has</w:t>
      </w:r>
      <w:r>
        <w:rPr>
          <w:spacing w:val="-4"/>
          <w:w w:val="105"/>
          <w:sz w:val="22"/>
        </w:rPr>
        <w:t> </w:t>
      </w:r>
      <w:r>
        <w:rPr>
          <w:b/>
          <w:w w:val="105"/>
          <w:sz w:val="22"/>
        </w:rPr>
        <w:t>~270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ALRs</w:t>
      </w:r>
      <w:r>
        <w:rPr>
          <w:w w:val="105"/>
          <w:sz w:val="22"/>
        </w:rPr>
        <w:t>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mostly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private-</w:t>
      </w:r>
      <w:r>
        <w:rPr>
          <w:spacing w:val="-4"/>
          <w:w w:val="105"/>
          <w:sz w:val="22"/>
        </w:rPr>
        <w:t>pay.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Median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monthly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rates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exceed</w:t>
      </w:r>
      <w:r>
        <w:rPr>
          <w:spacing w:val="-3"/>
          <w:w w:val="105"/>
          <w:sz w:val="22"/>
        </w:rPr>
        <w:t> </w:t>
      </w:r>
      <w:r>
        <w:rPr>
          <w:b/>
          <w:w w:val="105"/>
          <w:sz w:val="22"/>
        </w:rPr>
        <w:t>$6,000–$8,000</w:t>
      </w:r>
      <w:r>
        <w:rPr>
          <w:w w:val="105"/>
          <w:sz w:val="22"/>
        </w:rPr>
        <w:t>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limiting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access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low-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moderate-income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older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adults.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807" w:hanging="361"/>
        <w:jc w:val="left"/>
        <w:rPr>
          <w:sz w:val="22"/>
        </w:rPr>
      </w:pPr>
      <w:r>
        <w:rPr>
          <w:w w:val="105"/>
          <w:sz w:val="22"/>
        </w:rPr>
        <w:t>Unlike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certain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states,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does</w:t>
      </w:r>
      <w:r>
        <w:rPr>
          <w:spacing w:val="-9"/>
          <w:w w:val="105"/>
          <w:sz w:val="22"/>
        </w:rPr>
        <w:t> </w:t>
      </w:r>
      <w:r>
        <w:rPr>
          <w:b/>
          <w:w w:val="105"/>
          <w:sz w:val="22"/>
        </w:rPr>
        <w:t>not</w:t>
      </w:r>
      <w:r>
        <w:rPr>
          <w:b/>
          <w:spacing w:val="-7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broad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Medicaid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ALR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benefit;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affordability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pathways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are limited (SSI-G, GAFC, PACE, certain housing programs and subsidies).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37" w:lineRule="auto" w:before="2" w:after="0"/>
        <w:ind w:left="1080" w:right="1357" w:hanging="361"/>
        <w:jc w:val="left"/>
        <w:rPr>
          <w:sz w:val="22"/>
        </w:rPr>
      </w:pPr>
      <w:r>
        <w:rPr>
          <w:sz w:val="22"/>
        </w:rPr>
        <w:t>Demand</w:t>
      </w:r>
      <w:r>
        <w:rPr>
          <w:spacing w:val="23"/>
          <w:sz w:val="22"/>
        </w:rPr>
        <w:t> </w:t>
      </w:r>
      <w:r>
        <w:rPr>
          <w:sz w:val="22"/>
        </w:rPr>
        <w:t>for</w:t>
      </w:r>
      <w:r>
        <w:rPr>
          <w:spacing w:val="26"/>
          <w:sz w:val="22"/>
        </w:rPr>
        <w:t> </w:t>
      </w:r>
      <w:r>
        <w:rPr>
          <w:sz w:val="22"/>
        </w:rPr>
        <w:t>lower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8"/>
          <w:sz w:val="22"/>
        </w:rPr>
        <w:t> </w:t>
      </w:r>
      <w:r>
        <w:rPr>
          <w:sz w:val="22"/>
        </w:rPr>
        <w:t>middle-income</w:t>
      </w:r>
      <w:r>
        <w:rPr>
          <w:spacing w:val="23"/>
          <w:sz w:val="22"/>
        </w:rPr>
        <w:t> </w:t>
      </w:r>
      <w:r>
        <w:rPr>
          <w:sz w:val="22"/>
        </w:rPr>
        <w:t>options</w:t>
      </w:r>
      <w:r>
        <w:rPr>
          <w:spacing w:val="23"/>
          <w:sz w:val="22"/>
        </w:rPr>
        <w:t> </w:t>
      </w:r>
      <w:r>
        <w:rPr>
          <w:sz w:val="22"/>
        </w:rPr>
        <w:t>is</w:t>
      </w:r>
      <w:r>
        <w:rPr>
          <w:spacing w:val="23"/>
          <w:sz w:val="22"/>
        </w:rPr>
        <w:t> </w:t>
      </w:r>
      <w:r>
        <w:rPr>
          <w:sz w:val="22"/>
        </w:rPr>
        <w:t>growing</w:t>
      </w:r>
      <w:r>
        <w:rPr>
          <w:spacing w:val="23"/>
          <w:sz w:val="22"/>
        </w:rPr>
        <w:t> </w:t>
      </w:r>
      <w:r>
        <w:rPr>
          <w:sz w:val="22"/>
        </w:rPr>
        <w:t>rapidly</w:t>
      </w:r>
      <w:r>
        <w:rPr>
          <w:spacing w:val="23"/>
          <w:sz w:val="22"/>
        </w:rPr>
        <w:t> </w:t>
      </w:r>
      <w:r>
        <w:rPr>
          <w:sz w:val="22"/>
        </w:rPr>
        <w:t>as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number</w:t>
      </w:r>
      <w:r>
        <w:rPr>
          <w:spacing w:val="26"/>
          <w:sz w:val="22"/>
        </w:rPr>
        <w:t> </w:t>
      </w:r>
      <w:r>
        <w:rPr>
          <w:sz w:val="22"/>
        </w:rPr>
        <w:t>of</w:t>
      </w:r>
      <w:r>
        <w:rPr>
          <w:spacing w:val="26"/>
          <w:sz w:val="22"/>
        </w:rPr>
        <w:t> </w:t>
      </w:r>
      <w:r>
        <w:rPr>
          <w:sz w:val="22"/>
        </w:rPr>
        <w:t>adults</w:t>
      </w:r>
      <w:r>
        <w:rPr>
          <w:spacing w:val="26"/>
          <w:sz w:val="22"/>
        </w:rPr>
        <w:t> </w:t>
      </w:r>
      <w:r>
        <w:rPr>
          <w:sz w:val="22"/>
        </w:rPr>
        <w:t>age</w:t>
      </w:r>
      <w:r>
        <w:rPr>
          <w:spacing w:val="23"/>
          <w:sz w:val="22"/>
        </w:rPr>
        <w:t> </w:t>
      </w:r>
      <w:r>
        <w:rPr>
          <w:sz w:val="22"/>
        </w:rPr>
        <w:t>65+ </w:t>
      </w:r>
      <w:r>
        <w:rPr>
          <w:w w:val="110"/>
          <w:sz w:val="22"/>
        </w:rPr>
        <w:t>accelerates over the next decades.</w:t>
      </w:r>
    </w:p>
    <w:p>
      <w:pPr>
        <w:pStyle w:val="BodyText"/>
        <w:spacing w:before="2"/>
        <w:ind w:left="0" w:firstLine="0"/>
      </w:pPr>
    </w:p>
    <w:p>
      <w:pPr>
        <w:pStyle w:val="Heading2"/>
        <w:numPr>
          <w:ilvl w:val="0"/>
          <w:numId w:val="2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  <w:rPr>
          <w:i/>
        </w:rPr>
      </w:pPr>
      <w:r>
        <w:rPr>
          <w:i/>
          <w:color w:val="0F4660"/>
          <w:w w:val="105"/>
        </w:rPr>
        <w:t>Key</w:t>
      </w:r>
      <w:r>
        <w:rPr>
          <w:i/>
          <w:color w:val="0F4660"/>
          <w:spacing w:val="-13"/>
          <w:w w:val="105"/>
        </w:rPr>
        <w:t> </w:t>
      </w:r>
      <w:r>
        <w:rPr>
          <w:i/>
          <w:color w:val="0F4660"/>
          <w:w w:val="105"/>
        </w:rPr>
        <w:t>Barriers</w:t>
      </w:r>
      <w:r>
        <w:rPr>
          <w:i/>
          <w:color w:val="0F4660"/>
          <w:spacing w:val="-11"/>
          <w:w w:val="105"/>
        </w:rPr>
        <w:t> </w:t>
      </w:r>
      <w:r>
        <w:rPr>
          <w:i/>
          <w:color w:val="0F4660"/>
          <w:w w:val="105"/>
        </w:rPr>
        <w:t>to</w:t>
      </w:r>
      <w:r>
        <w:rPr>
          <w:i/>
          <w:color w:val="0F4660"/>
          <w:spacing w:val="-10"/>
          <w:w w:val="105"/>
        </w:rPr>
        <w:t> </w:t>
      </w:r>
      <w:r>
        <w:rPr>
          <w:i/>
          <w:color w:val="0F4660"/>
          <w:spacing w:val="-2"/>
          <w:w w:val="105"/>
        </w:rPr>
        <w:t>Affordability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93" w:after="0"/>
        <w:ind w:left="1080" w:right="0" w:hanging="360"/>
        <w:jc w:val="left"/>
        <w:rPr>
          <w:sz w:val="22"/>
        </w:rPr>
      </w:pPr>
      <w:r>
        <w:rPr>
          <w:sz w:val="22"/>
        </w:rPr>
        <w:t>High</w:t>
      </w:r>
      <w:r>
        <w:rPr>
          <w:spacing w:val="28"/>
          <w:sz w:val="22"/>
        </w:rPr>
        <w:t> </w:t>
      </w:r>
      <w:r>
        <w:rPr>
          <w:sz w:val="22"/>
        </w:rPr>
        <w:t>operating</w:t>
      </w:r>
      <w:r>
        <w:rPr>
          <w:spacing w:val="31"/>
          <w:sz w:val="22"/>
        </w:rPr>
        <w:t> </w:t>
      </w:r>
      <w:r>
        <w:rPr>
          <w:sz w:val="22"/>
        </w:rPr>
        <w:t>costs</w:t>
      </w:r>
      <w:r>
        <w:rPr>
          <w:spacing w:val="34"/>
          <w:sz w:val="22"/>
        </w:rPr>
        <w:t> </w:t>
      </w:r>
      <w:r>
        <w:rPr>
          <w:sz w:val="22"/>
        </w:rPr>
        <w:t>(onsite</w:t>
      </w:r>
      <w:r>
        <w:rPr>
          <w:spacing w:val="30"/>
          <w:sz w:val="22"/>
        </w:rPr>
        <w:t> </w:t>
      </w:r>
      <w:r>
        <w:rPr>
          <w:sz w:val="22"/>
        </w:rPr>
        <w:t>staff,</w:t>
      </w:r>
      <w:r>
        <w:rPr>
          <w:spacing w:val="32"/>
          <w:sz w:val="22"/>
        </w:rPr>
        <w:t> </w:t>
      </w:r>
      <w:r>
        <w:rPr>
          <w:sz w:val="22"/>
        </w:rPr>
        <w:t>meals/</w:t>
      </w:r>
      <w:r>
        <w:rPr>
          <w:spacing w:val="33"/>
          <w:sz w:val="22"/>
        </w:rPr>
        <w:t> </w:t>
      </w:r>
      <w:r>
        <w:rPr>
          <w:sz w:val="22"/>
        </w:rPr>
        <w:t>food,</w:t>
      </w:r>
      <w:r>
        <w:rPr>
          <w:spacing w:val="32"/>
          <w:sz w:val="22"/>
        </w:rPr>
        <w:t> </w:t>
      </w:r>
      <w:r>
        <w:rPr>
          <w:sz w:val="22"/>
        </w:rPr>
        <w:t>insurance,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utilities).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Workforce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challenges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driving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wage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pressures.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Rising</w:t>
      </w:r>
      <w:r>
        <w:rPr>
          <w:spacing w:val="30"/>
          <w:sz w:val="22"/>
        </w:rPr>
        <w:t> </w:t>
      </w:r>
      <w:r>
        <w:rPr>
          <w:sz w:val="22"/>
        </w:rPr>
        <w:t>real</w:t>
      </w:r>
      <w:r>
        <w:rPr>
          <w:spacing w:val="29"/>
          <w:sz w:val="22"/>
        </w:rPr>
        <w:t> </w:t>
      </w:r>
      <w:r>
        <w:rPr>
          <w:sz w:val="22"/>
        </w:rPr>
        <w:t>estate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5"/>
          <w:sz w:val="22"/>
        </w:rPr>
        <w:t> </w:t>
      </w:r>
      <w:r>
        <w:rPr>
          <w:sz w:val="22"/>
        </w:rPr>
        <w:t>construction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costs.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Limited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public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financing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mechanisms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subsidize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development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3"/>
          <w:w w:val="105"/>
          <w:sz w:val="22"/>
        </w:rPr>
        <w:t> </w:t>
      </w:r>
      <w:r>
        <w:rPr>
          <w:spacing w:val="-2"/>
          <w:w w:val="105"/>
          <w:sz w:val="22"/>
        </w:rPr>
        <w:t>operations.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pacing w:val="2"/>
          <w:sz w:val="22"/>
        </w:rPr>
        <w:t>Disconnect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between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housing</w:t>
      </w:r>
      <w:r>
        <w:rPr>
          <w:spacing w:val="36"/>
          <w:sz w:val="22"/>
        </w:rPr>
        <w:t> </w:t>
      </w:r>
      <w:r>
        <w:rPr>
          <w:spacing w:val="2"/>
          <w:sz w:val="22"/>
        </w:rPr>
        <w:t>supports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(EOHLC,</w:t>
      </w:r>
      <w:r>
        <w:rPr>
          <w:spacing w:val="29"/>
          <w:sz w:val="22"/>
        </w:rPr>
        <w:t> </w:t>
      </w:r>
      <w:r>
        <w:rPr>
          <w:spacing w:val="2"/>
          <w:sz w:val="22"/>
        </w:rPr>
        <w:t>LIHTC)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service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models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(AGE,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MassHealth).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Lack</w:t>
      </w:r>
      <w:r>
        <w:rPr>
          <w:spacing w:val="38"/>
          <w:sz w:val="22"/>
        </w:rPr>
        <w:t> </w:t>
      </w:r>
      <w:r>
        <w:rPr>
          <w:sz w:val="22"/>
        </w:rPr>
        <w:t>of</w:t>
      </w:r>
      <w:r>
        <w:rPr>
          <w:spacing w:val="41"/>
          <w:sz w:val="22"/>
        </w:rPr>
        <w:t> </w:t>
      </w:r>
      <w:r>
        <w:rPr>
          <w:sz w:val="22"/>
        </w:rPr>
        <w:t>sustainable</w:t>
      </w:r>
      <w:r>
        <w:rPr>
          <w:spacing w:val="37"/>
          <w:sz w:val="22"/>
        </w:rPr>
        <w:t> </w:t>
      </w:r>
      <w:r>
        <w:rPr>
          <w:sz w:val="22"/>
        </w:rPr>
        <w:t>subsidized</w:t>
      </w:r>
      <w:r>
        <w:rPr>
          <w:spacing w:val="37"/>
          <w:sz w:val="22"/>
        </w:rPr>
        <w:t> </w:t>
      </w:r>
      <w:r>
        <w:rPr>
          <w:sz w:val="22"/>
        </w:rPr>
        <w:t>units</w:t>
      </w:r>
      <w:r>
        <w:rPr>
          <w:spacing w:val="37"/>
          <w:sz w:val="22"/>
        </w:rPr>
        <w:t> </w:t>
      </w:r>
      <w:r>
        <w:rPr>
          <w:sz w:val="22"/>
        </w:rPr>
        <w:t>outside</w:t>
      </w:r>
      <w:r>
        <w:rPr>
          <w:spacing w:val="37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small</w:t>
      </w:r>
      <w:r>
        <w:rPr>
          <w:spacing w:val="39"/>
          <w:sz w:val="22"/>
        </w:rPr>
        <w:t> </w:t>
      </w:r>
      <w:r>
        <w:rPr>
          <w:sz w:val="22"/>
        </w:rPr>
        <w:t>number</w:t>
      </w:r>
      <w:r>
        <w:rPr>
          <w:spacing w:val="35"/>
          <w:sz w:val="22"/>
        </w:rPr>
        <w:t> </w:t>
      </w:r>
      <w:r>
        <w:rPr>
          <w:sz w:val="22"/>
        </w:rPr>
        <w:t>of</w:t>
      </w:r>
      <w:r>
        <w:rPr>
          <w:spacing w:val="37"/>
          <w:sz w:val="22"/>
        </w:rPr>
        <w:t> </w:t>
      </w:r>
      <w:r>
        <w:rPr>
          <w:sz w:val="22"/>
        </w:rPr>
        <w:t>mission-driven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providers.</w:t>
      </w:r>
    </w:p>
    <w:p>
      <w:pPr>
        <w:pStyle w:val="BodyText"/>
        <w:spacing w:before="1"/>
        <w:ind w:left="0" w:firstLine="0"/>
      </w:pPr>
    </w:p>
    <w:p>
      <w:pPr>
        <w:pStyle w:val="Heading2"/>
        <w:numPr>
          <w:ilvl w:val="0"/>
          <w:numId w:val="2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  <w:rPr>
          <w:i/>
        </w:rPr>
      </w:pPr>
      <w:r>
        <w:rPr>
          <w:i/>
          <w:color w:val="0F4660"/>
        </w:rPr>
        <w:t>Gaps</w:t>
      </w:r>
      <w:r>
        <w:rPr>
          <w:i/>
          <w:color w:val="0F4660"/>
          <w:spacing w:val="35"/>
        </w:rPr>
        <w:t> </w:t>
      </w:r>
      <w:r>
        <w:rPr>
          <w:i/>
          <w:color w:val="0F4660"/>
        </w:rPr>
        <w:t>in</w:t>
      </w:r>
      <w:r>
        <w:rPr>
          <w:i/>
          <w:color w:val="0F4660"/>
          <w:spacing w:val="31"/>
        </w:rPr>
        <w:t> </w:t>
      </w:r>
      <w:r>
        <w:rPr>
          <w:i/>
          <w:color w:val="0F4660"/>
        </w:rPr>
        <w:t>Current</w:t>
      </w:r>
      <w:r>
        <w:rPr>
          <w:i/>
          <w:color w:val="0F4660"/>
          <w:spacing w:val="30"/>
        </w:rPr>
        <w:t> </w:t>
      </w:r>
      <w:r>
        <w:rPr>
          <w:i/>
          <w:color w:val="0F4660"/>
          <w:spacing w:val="-2"/>
        </w:rPr>
        <w:t>System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92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No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statewide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definition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what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constitutes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“affordable”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ALR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unit.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Limited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resident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income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mix,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subsidy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utilization,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unmet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need.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37" w:lineRule="auto" w:before="2" w:after="0"/>
        <w:ind w:left="1080" w:right="734" w:hanging="361"/>
        <w:jc w:val="left"/>
        <w:rPr>
          <w:sz w:val="22"/>
        </w:rPr>
      </w:pPr>
      <w:r>
        <w:rPr>
          <w:w w:val="105"/>
          <w:sz w:val="22"/>
        </w:rPr>
        <w:t>Limited cross-agency strategy integrating housing, LTSS, dementia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care,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 consumer protections. For </w:t>
      </w:r>
      <w:r>
        <w:rPr>
          <w:spacing w:val="-2"/>
          <w:w w:val="105"/>
          <w:sz w:val="22"/>
        </w:rPr>
        <w:t>example:</w:t>
      </w:r>
    </w:p>
    <w:p>
      <w:pPr>
        <w:pStyle w:val="ListParagraph"/>
        <w:numPr>
          <w:ilvl w:val="2"/>
          <w:numId w:val="2"/>
        </w:numPr>
        <w:tabs>
          <w:tab w:pos="1800" w:val="left" w:leader="none"/>
        </w:tabs>
        <w:spacing w:line="240" w:lineRule="auto" w:before="1" w:after="0"/>
        <w:ind w:left="1800" w:right="373" w:hanging="360"/>
        <w:jc w:val="left"/>
        <w:rPr>
          <w:sz w:val="22"/>
        </w:rPr>
      </w:pPr>
      <w:r>
        <w:rPr>
          <w:spacing w:val="-2"/>
          <w:w w:val="110"/>
          <w:sz w:val="22"/>
        </w:rPr>
        <w:t>MassHealth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service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dollars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through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GAFC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assume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that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resident’s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service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needs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stay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fairly </w:t>
      </w:r>
      <w:r>
        <w:rPr>
          <w:sz w:val="22"/>
        </w:rPr>
        <w:t>consistent</w:t>
      </w:r>
      <w:r>
        <w:rPr>
          <w:spacing w:val="18"/>
          <w:sz w:val="22"/>
        </w:rPr>
        <w:t> </w:t>
      </w:r>
      <w:r>
        <w:rPr>
          <w:sz w:val="22"/>
        </w:rPr>
        <w:t>while at the ALR</w:t>
      </w:r>
      <w:r>
        <w:rPr>
          <w:spacing w:val="18"/>
          <w:sz w:val="22"/>
        </w:rPr>
        <w:t> </w:t>
      </w:r>
      <w:r>
        <w:rPr>
          <w:sz w:val="22"/>
        </w:rPr>
        <w:t>or</w:t>
      </w:r>
      <w:r>
        <w:rPr>
          <w:spacing w:val="18"/>
          <w:sz w:val="22"/>
        </w:rPr>
        <w:t> </w:t>
      </w:r>
      <w:r>
        <w:rPr>
          <w:sz w:val="22"/>
        </w:rPr>
        <w:t>that the ALR will request</w:t>
      </w:r>
      <w:r>
        <w:rPr>
          <w:spacing w:val="18"/>
          <w:sz w:val="22"/>
        </w:rPr>
        <w:t> </w:t>
      </w:r>
      <w:r>
        <w:rPr>
          <w:sz w:val="22"/>
        </w:rPr>
        <w:t>the resident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18"/>
          <w:sz w:val="22"/>
        </w:rPr>
        <w:t> </w:t>
      </w:r>
      <w:r>
        <w:rPr>
          <w:sz w:val="22"/>
        </w:rPr>
        <w:t>move out</w:t>
      </w:r>
      <w:r>
        <w:rPr>
          <w:spacing w:val="18"/>
          <w:sz w:val="22"/>
        </w:rPr>
        <w:t> </w:t>
      </w:r>
      <w:r>
        <w:rPr>
          <w:sz w:val="22"/>
        </w:rPr>
        <w:t>when the resident’s </w:t>
      </w:r>
      <w:r>
        <w:rPr>
          <w:w w:val="110"/>
          <w:sz w:val="22"/>
        </w:rPr>
        <w:t>needs increase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past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GAFC level of support.</w:t>
      </w:r>
    </w:p>
    <w:p>
      <w:pPr>
        <w:pStyle w:val="ListParagraph"/>
        <w:numPr>
          <w:ilvl w:val="2"/>
          <w:numId w:val="2"/>
        </w:numPr>
        <w:tabs>
          <w:tab w:pos="1800" w:val="left" w:leader="none"/>
        </w:tabs>
        <w:spacing w:line="240" w:lineRule="auto" w:before="1" w:after="0"/>
        <w:ind w:left="1800" w:right="399" w:hanging="360"/>
        <w:jc w:val="both"/>
        <w:rPr>
          <w:sz w:val="22"/>
        </w:rPr>
      </w:pPr>
      <w:r>
        <w:rPr>
          <w:sz w:val="22"/>
        </w:rPr>
        <w:t>Contracts between ALRs and health payers (SCO, One Care, PACE) are generally not customized to individual needs - more of a capitated payment - and are not regularly adjusted to reflect increasing </w:t>
      </w:r>
      <w:r>
        <w:rPr>
          <w:w w:val="110"/>
          <w:sz w:val="22"/>
        </w:rPr>
        <w:t>needs of residents.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both"/>
        <w:rPr>
          <w:sz w:val="22"/>
        </w:rPr>
      </w:pPr>
      <w:r>
        <w:rPr>
          <w:spacing w:val="2"/>
          <w:sz w:val="22"/>
        </w:rPr>
        <w:t>Inconsistent</w:t>
      </w:r>
      <w:r>
        <w:rPr>
          <w:spacing w:val="30"/>
          <w:sz w:val="22"/>
        </w:rPr>
        <w:t> </w:t>
      </w:r>
      <w:r>
        <w:rPr>
          <w:spacing w:val="2"/>
          <w:sz w:val="22"/>
        </w:rPr>
        <w:t>understanding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of</w:t>
      </w:r>
      <w:r>
        <w:rPr>
          <w:spacing w:val="32"/>
          <w:sz w:val="22"/>
        </w:rPr>
        <w:t> </w:t>
      </w:r>
      <w:r>
        <w:rPr>
          <w:spacing w:val="2"/>
          <w:sz w:val="22"/>
        </w:rPr>
        <w:t>pricing</w:t>
      </w:r>
      <w:r>
        <w:rPr>
          <w:spacing w:val="36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service</w:t>
      </w:r>
      <w:r>
        <w:rPr>
          <w:spacing w:val="32"/>
          <w:sz w:val="22"/>
        </w:rPr>
        <w:t> </w:t>
      </w:r>
      <w:r>
        <w:rPr>
          <w:spacing w:val="2"/>
          <w:sz w:val="22"/>
        </w:rPr>
        <w:t>package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models</w:t>
      </w:r>
      <w:r>
        <w:rPr>
          <w:spacing w:val="41"/>
          <w:sz w:val="22"/>
        </w:rPr>
        <w:t> </w:t>
      </w:r>
      <w:r>
        <w:rPr>
          <w:spacing w:val="2"/>
          <w:sz w:val="22"/>
        </w:rPr>
        <w:t>across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Massachusetts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ALRs.</w:t>
      </w:r>
    </w:p>
    <w:p>
      <w:pPr>
        <w:pStyle w:val="BodyText"/>
        <w:ind w:left="0" w:firstLine="0"/>
      </w:pPr>
    </w:p>
    <w:p>
      <w:pPr>
        <w:pStyle w:val="Heading2"/>
        <w:numPr>
          <w:ilvl w:val="0"/>
          <w:numId w:val="2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  <w:rPr>
          <w:i/>
        </w:rPr>
      </w:pPr>
      <w:r>
        <w:rPr>
          <w:i/>
          <w:color w:val="0F4660"/>
          <w:w w:val="105"/>
        </w:rPr>
        <w:t>Opportunities</w:t>
      </w:r>
      <w:r>
        <w:rPr>
          <w:i/>
          <w:color w:val="0F4660"/>
          <w:spacing w:val="-11"/>
          <w:w w:val="105"/>
        </w:rPr>
        <w:t> </w:t>
      </w:r>
      <w:r>
        <w:rPr>
          <w:i/>
          <w:color w:val="0F4660"/>
          <w:w w:val="105"/>
        </w:rPr>
        <w:t>&amp;</w:t>
      </w:r>
      <w:r>
        <w:rPr>
          <w:i/>
          <w:color w:val="0F4660"/>
          <w:spacing w:val="-12"/>
          <w:w w:val="105"/>
        </w:rPr>
        <w:t> </w:t>
      </w:r>
      <w:r>
        <w:rPr>
          <w:i/>
          <w:color w:val="0F4660"/>
          <w:w w:val="105"/>
        </w:rPr>
        <w:t>Promising</w:t>
      </w:r>
      <w:r>
        <w:rPr>
          <w:i/>
          <w:color w:val="0F4660"/>
          <w:spacing w:val="-13"/>
          <w:w w:val="105"/>
        </w:rPr>
        <w:t> </w:t>
      </w:r>
      <w:r>
        <w:rPr>
          <w:i/>
          <w:color w:val="0F4660"/>
          <w:spacing w:val="-2"/>
          <w:w w:val="105"/>
        </w:rPr>
        <w:t>Approaches</w:t>
      </w:r>
    </w:p>
    <w:p>
      <w:pPr>
        <w:pStyle w:val="Heading3"/>
        <w:spacing w:before="293"/>
        <w:rPr>
          <w:i/>
        </w:rPr>
      </w:pPr>
      <w:r>
        <w:rPr>
          <w:i/>
          <w:w w:val="105"/>
        </w:rPr>
        <w:t>Within</w:t>
      </w:r>
      <w:r>
        <w:rPr>
          <w:i/>
          <w:spacing w:val="-6"/>
          <w:w w:val="105"/>
        </w:rPr>
        <w:t> </w:t>
      </w:r>
      <w:r>
        <w:rPr>
          <w:i/>
          <w:spacing w:val="-2"/>
          <w:w w:val="110"/>
        </w:rPr>
        <w:t>Massachusetts: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both"/>
        <w:rPr>
          <w:sz w:val="22"/>
        </w:rPr>
      </w:pPr>
      <w:r>
        <w:rPr>
          <w:spacing w:val="6"/>
          <w:sz w:val="22"/>
        </w:rPr>
        <w:t>LIHTC-supported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ALRs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Expanding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modernizing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SSI-</w:t>
      </w:r>
      <w:r>
        <w:rPr>
          <w:spacing w:val="-10"/>
          <w:w w:val="105"/>
          <w:sz w:val="22"/>
        </w:rPr>
        <w:t>G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77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Strengthening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GAFC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5"/>
          <w:w w:val="105"/>
          <w:sz w:val="22"/>
        </w:rPr>
        <w:t> </w:t>
      </w:r>
      <w:r>
        <w:rPr>
          <w:spacing w:val="-2"/>
          <w:w w:val="105"/>
          <w:sz w:val="22"/>
        </w:rPr>
        <w:t>alignment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Partnerships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MassHealth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HCBS</w:t>
      </w:r>
      <w:r>
        <w:rPr>
          <w:spacing w:val="4"/>
          <w:w w:val="105"/>
          <w:sz w:val="22"/>
        </w:rPr>
        <w:t> </w:t>
      </w:r>
      <w:r>
        <w:rPr>
          <w:spacing w:val="-2"/>
          <w:w w:val="105"/>
          <w:sz w:val="22"/>
        </w:rPr>
        <w:t>alternatives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Public–private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partnerships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convert,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expand,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preserve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affordable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units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Exploring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Supportive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Housing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ALR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hybrid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models</w:t>
      </w:r>
    </w:p>
    <w:p>
      <w:pPr>
        <w:pStyle w:val="Heading3"/>
        <w:rPr>
          <w:i/>
        </w:rPr>
      </w:pPr>
      <w:r>
        <w:rPr>
          <w:i/>
          <w:w w:val="105"/>
        </w:rPr>
        <w:t>National</w:t>
      </w:r>
      <w:r>
        <w:rPr>
          <w:i/>
          <w:spacing w:val="2"/>
          <w:w w:val="110"/>
        </w:rPr>
        <w:t> </w:t>
      </w:r>
      <w:r>
        <w:rPr>
          <w:i/>
          <w:spacing w:val="-2"/>
          <w:w w:val="110"/>
        </w:rPr>
        <w:t>Models: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Medicaid</w:t>
      </w:r>
      <w:r>
        <w:rPr>
          <w:spacing w:val="36"/>
          <w:sz w:val="22"/>
        </w:rPr>
        <w:t> </w:t>
      </w:r>
      <w:r>
        <w:rPr>
          <w:sz w:val="22"/>
        </w:rPr>
        <w:t>HCBS</w:t>
      </w:r>
      <w:r>
        <w:rPr>
          <w:spacing w:val="36"/>
          <w:sz w:val="22"/>
        </w:rPr>
        <w:t> </w:t>
      </w:r>
      <w:r>
        <w:rPr>
          <w:sz w:val="22"/>
        </w:rPr>
        <w:t>waiver</w:t>
      </w:r>
      <w:r>
        <w:rPr>
          <w:spacing w:val="34"/>
          <w:sz w:val="22"/>
        </w:rPr>
        <w:t> </w:t>
      </w:r>
      <w:r>
        <w:rPr>
          <w:sz w:val="22"/>
        </w:rPr>
        <w:t>ALR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benefits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Housing</w:t>
      </w:r>
      <w:r>
        <w:rPr>
          <w:spacing w:val="39"/>
          <w:sz w:val="22"/>
        </w:rPr>
        <w:t> </w:t>
      </w:r>
      <w:r>
        <w:rPr>
          <w:sz w:val="22"/>
        </w:rPr>
        <w:t>+</w:t>
      </w:r>
      <w:r>
        <w:rPr>
          <w:spacing w:val="38"/>
          <w:sz w:val="22"/>
        </w:rPr>
        <w:t> </w:t>
      </w:r>
      <w:r>
        <w:rPr>
          <w:sz w:val="22"/>
        </w:rPr>
        <w:t>Services</w:t>
      </w:r>
      <w:r>
        <w:rPr>
          <w:spacing w:val="40"/>
          <w:sz w:val="22"/>
        </w:rPr>
        <w:t> </w:t>
      </w:r>
      <w:r>
        <w:rPr>
          <w:sz w:val="22"/>
        </w:rPr>
        <w:t>partnerships</w:t>
      </w:r>
      <w:r>
        <w:rPr>
          <w:spacing w:val="40"/>
          <w:sz w:val="22"/>
        </w:rPr>
        <w:t> </w:t>
      </w:r>
      <w:r>
        <w:rPr>
          <w:sz w:val="22"/>
        </w:rPr>
        <w:t>(e.g.,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Connecticut)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Mixed-income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developments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cross-</w:t>
      </w:r>
      <w:r>
        <w:rPr>
          <w:spacing w:val="-2"/>
          <w:w w:val="105"/>
          <w:sz w:val="22"/>
        </w:rPr>
        <w:t>subsidization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Tiered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packages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transparent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pricing</w:t>
      </w:r>
    </w:p>
    <w:p>
      <w:pPr>
        <w:pStyle w:val="BodyText"/>
        <w:spacing w:before="1"/>
        <w:ind w:left="0" w:firstLine="0"/>
      </w:pPr>
    </w:p>
    <w:p>
      <w:pPr>
        <w:pStyle w:val="Heading2"/>
        <w:numPr>
          <w:ilvl w:val="0"/>
          <w:numId w:val="2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  <w:rPr>
          <w:i/>
        </w:rPr>
      </w:pPr>
      <w:r>
        <w:rPr>
          <w:i/>
          <w:color w:val="0F4660"/>
          <w:w w:val="105"/>
        </w:rPr>
        <w:t>Potential</w:t>
      </w:r>
      <w:r>
        <w:rPr>
          <w:i/>
          <w:color w:val="0F4660"/>
          <w:spacing w:val="-10"/>
          <w:w w:val="105"/>
        </w:rPr>
        <w:t> </w:t>
      </w:r>
      <w:r>
        <w:rPr>
          <w:i/>
          <w:color w:val="0F4660"/>
          <w:w w:val="105"/>
        </w:rPr>
        <w:t>Scope</w:t>
      </w:r>
      <w:r>
        <w:rPr>
          <w:i/>
          <w:color w:val="0F4660"/>
          <w:spacing w:val="-11"/>
          <w:w w:val="105"/>
        </w:rPr>
        <w:t> </w:t>
      </w:r>
      <w:r>
        <w:rPr>
          <w:i/>
          <w:color w:val="0F4660"/>
          <w:w w:val="105"/>
        </w:rPr>
        <w:t>for</w:t>
      </w:r>
      <w:r>
        <w:rPr>
          <w:i/>
          <w:color w:val="0F4660"/>
          <w:spacing w:val="-9"/>
          <w:w w:val="105"/>
        </w:rPr>
        <w:t> </w:t>
      </w:r>
      <w:r>
        <w:rPr>
          <w:i/>
          <w:color w:val="0F4660"/>
          <w:w w:val="105"/>
        </w:rPr>
        <w:t>an</w:t>
      </w:r>
      <w:r>
        <w:rPr>
          <w:i/>
          <w:color w:val="0F4660"/>
          <w:spacing w:val="-10"/>
          <w:w w:val="105"/>
        </w:rPr>
        <w:t> </w:t>
      </w:r>
      <w:r>
        <w:rPr>
          <w:i/>
          <w:color w:val="0F4660"/>
          <w:w w:val="105"/>
        </w:rPr>
        <w:t>ALR</w:t>
      </w:r>
      <w:r>
        <w:rPr>
          <w:i/>
          <w:color w:val="0F4660"/>
          <w:spacing w:val="-8"/>
          <w:w w:val="105"/>
        </w:rPr>
        <w:t> </w:t>
      </w:r>
      <w:r>
        <w:rPr>
          <w:i/>
          <w:color w:val="0F4660"/>
          <w:w w:val="105"/>
        </w:rPr>
        <w:t>Affordability</w:t>
      </w:r>
      <w:r>
        <w:rPr>
          <w:i/>
          <w:color w:val="0F4660"/>
          <w:spacing w:val="-8"/>
          <w:w w:val="105"/>
        </w:rPr>
        <w:t> </w:t>
      </w:r>
      <w:r>
        <w:rPr>
          <w:i/>
          <w:color w:val="0F4660"/>
          <w:w w:val="105"/>
        </w:rPr>
        <w:t>Task</w:t>
      </w:r>
      <w:r>
        <w:rPr>
          <w:i/>
          <w:color w:val="0F4660"/>
          <w:spacing w:val="-7"/>
          <w:w w:val="105"/>
        </w:rPr>
        <w:t> </w:t>
      </w:r>
      <w:r>
        <w:rPr>
          <w:i/>
          <w:color w:val="0F4660"/>
          <w:spacing w:val="-4"/>
          <w:w w:val="105"/>
        </w:rPr>
        <w:t>Force</w:t>
      </w:r>
    </w:p>
    <w:p>
      <w:pPr>
        <w:pStyle w:val="BodyText"/>
        <w:spacing w:before="293"/>
        <w:ind w:left="720" w:firstLine="0"/>
      </w:pP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Task</w:t>
      </w:r>
      <w:r>
        <w:rPr>
          <w:spacing w:val="1"/>
          <w:w w:val="105"/>
        </w:rPr>
        <w:t> </w:t>
      </w:r>
      <w:r>
        <w:rPr>
          <w:w w:val="105"/>
        </w:rPr>
        <w:t>Force</w:t>
      </w:r>
      <w:r>
        <w:rPr>
          <w:spacing w:val="-2"/>
          <w:w w:val="105"/>
        </w:rPr>
        <w:t> </w:t>
      </w:r>
      <w:r>
        <w:rPr>
          <w:w w:val="105"/>
        </w:rPr>
        <w:t>could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examine: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Defining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“affordable</w:t>
      </w:r>
      <w:r>
        <w:rPr>
          <w:spacing w:val="9"/>
          <w:w w:val="105"/>
          <w:sz w:val="22"/>
        </w:rPr>
        <w:t> </w:t>
      </w:r>
      <w:r>
        <w:rPr>
          <w:spacing w:val="-4"/>
          <w:w w:val="105"/>
          <w:sz w:val="22"/>
        </w:rPr>
        <w:t>ALR”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706" w:hanging="361"/>
        <w:jc w:val="left"/>
        <w:rPr>
          <w:sz w:val="22"/>
        </w:rPr>
      </w:pPr>
      <w:r>
        <w:rPr>
          <w:spacing w:val="-2"/>
          <w:w w:val="110"/>
          <w:sz w:val="22"/>
        </w:rPr>
        <w:t>Intersections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with: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(1)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service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such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as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Massachusetts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State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Home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Care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program,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Medicaid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Home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and Community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Based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Services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(HCBS),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Medicaid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HCBS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Waivers,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rest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homes,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Nursing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facilities;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(2)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housing </w:t>
      </w:r>
      <w:r>
        <w:rPr>
          <w:w w:val="110"/>
          <w:sz w:val="22"/>
        </w:rPr>
        <w:t>models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subsidies;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(3)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supplemental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financial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supports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(e.g.,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SSI,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EADAC).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67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Data</w:t>
      </w:r>
      <w:r>
        <w:rPr>
          <w:spacing w:val="36"/>
          <w:sz w:val="22"/>
        </w:rPr>
        <w:t> </w:t>
      </w:r>
      <w:r>
        <w:rPr>
          <w:sz w:val="22"/>
        </w:rPr>
        <w:t>collection</w:t>
      </w:r>
      <w:r>
        <w:rPr>
          <w:spacing w:val="35"/>
          <w:sz w:val="22"/>
        </w:rPr>
        <w:t> </w:t>
      </w:r>
      <w:r>
        <w:rPr>
          <w:sz w:val="22"/>
        </w:rPr>
        <w:t>and</w:t>
      </w:r>
      <w:r>
        <w:rPr>
          <w:spacing w:val="38"/>
          <w:sz w:val="22"/>
        </w:rPr>
        <w:t> </w:t>
      </w:r>
      <w:r>
        <w:rPr>
          <w:sz w:val="22"/>
        </w:rPr>
        <w:t>cost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modeling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pacing w:val="2"/>
          <w:sz w:val="22"/>
        </w:rPr>
        <w:t>Financing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capital</w:t>
      </w:r>
      <w:r>
        <w:rPr>
          <w:spacing w:val="30"/>
          <w:sz w:val="22"/>
        </w:rPr>
        <w:t> </w:t>
      </w:r>
      <w:r>
        <w:rPr>
          <w:spacing w:val="2"/>
          <w:sz w:val="22"/>
        </w:rPr>
        <w:t>subsidy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strategies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Operating</w:t>
      </w:r>
      <w:r>
        <w:rPr>
          <w:spacing w:val="39"/>
          <w:sz w:val="22"/>
        </w:rPr>
        <w:t> </w:t>
      </w:r>
      <w:r>
        <w:rPr>
          <w:sz w:val="22"/>
        </w:rPr>
        <w:t>subsidy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models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Equity,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access,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consumer</w:t>
      </w:r>
      <w:r>
        <w:rPr>
          <w:spacing w:val="13"/>
          <w:w w:val="105"/>
          <w:sz w:val="22"/>
        </w:rPr>
        <w:t> </w:t>
      </w:r>
      <w:r>
        <w:rPr>
          <w:spacing w:val="-2"/>
          <w:w w:val="105"/>
          <w:sz w:val="22"/>
        </w:rPr>
        <w:t>protections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sz w:val="22"/>
        </w:rPr>
        <w:t>Workforce</w:t>
      </w:r>
      <w:r>
        <w:rPr>
          <w:spacing w:val="27"/>
          <w:sz w:val="22"/>
        </w:rPr>
        <w:t> </w:t>
      </w:r>
      <w:r>
        <w:rPr>
          <w:sz w:val="22"/>
        </w:rPr>
        <w:t>costs</w:t>
      </w:r>
      <w:r>
        <w:rPr>
          <w:spacing w:val="27"/>
          <w:sz w:val="22"/>
        </w:rPr>
        <w:t> </w:t>
      </w:r>
      <w:r>
        <w:rPr>
          <w:sz w:val="22"/>
        </w:rPr>
        <w:t>and</w:t>
      </w:r>
      <w:r>
        <w:rPr>
          <w:spacing w:val="28"/>
          <w:sz w:val="22"/>
        </w:rPr>
        <w:t> </w:t>
      </w:r>
      <w:r>
        <w:rPr>
          <w:sz w:val="22"/>
        </w:rPr>
        <w:t>potential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solutions</w:t>
      </w:r>
    </w:p>
    <w:p>
      <w:pPr>
        <w:pStyle w:val="BodyText"/>
        <w:ind w:left="0" w:firstLine="0"/>
      </w:pPr>
    </w:p>
    <w:p>
      <w:pPr>
        <w:pStyle w:val="Heading2"/>
        <w:numPr>
          <w:ilvl w:val="0"/>
          <w:numId w:val="2"/>
        </w:numPr>
        <w:tabs>
          <w:tab w:pos="604" w:val="left" w:leader="none"/>
        </w:tabs>
        <w:spacing w:line="293" w:lineRule="exact" w:before="0" w:after="0"/>
        <w:ind w:left="604" w:right="0" w:hanging="244"/>
        <w:jc w:val="left"/>
        <w:rPr>
          <w:i/>
        </w:rPr>
      </w:pPr>
      <w:r>
        <w:rPr>
          <w:i/>
          <w:color w:val="0F4660"/>
        </w:rPr>
        <w:t>What</w:t>
      </w:r>
      <w:r>
        <w:rPr>
          <w:i/>
          <w:color w:val="0F4660"/>
          <w:spacing w:val="16"/>
        </w:rPr>
        <w:t> </w:t>
      </w:r>
      <w:r>
        <w:rPr>
          <w:i/>
          <w:color w:val="0F4660"/>
        </w:rPr>
        <w:t>We’re</w:t>
      </w:r>
      <w:r>
        <w:rPr>
          <w:i/>
          <w:color w:val="0F4660"/>
          <w:spacing w:val="14"/>
        </w:rPr>
        <w:t> </w:t>
      </w:r>
      <w:r>
        <w:rPr>
          <w:i/>
          <w:color w:val="0F4660"/>
        </w:rPr>
        <w:t>Asking</w:t>
      </w:r>
      <w:r>
        <w:rPr>
          <w:i/>
          <w:color w:val="0F4660"/>
          <w:spacing w:val="17"/>
        </w:rPr>
        <w:t> </w:t>
      </w:r>
      <w:r>
        <w:rPr>
          <w:i/>
          <w:color w:val="0F4660"/>
        </w:rPr>
        <w:t>Panelists</w:t>
      </w:r>
      <w:r>
        <w:rPr>
          <w:i/>
          <w:color w:val="0F4660"/>
          <w:spacing w:val="16"/>
        </w:rPr>
        <w:t> </w:t>
      </w:r>
      <w:r>
        <w:rPr>
          <w:i/>
          <w:color w:val="0F4660"/>
        </w:rPr>
        <w:t>to</w:t>
      </w:r>
      <w:r>
        <w:rPr>
          <w:i/>
          <w:color w:val="0F4660"/>
          <w:spacing w:val="17"/>
        </w:rPr>
        <w:t> </w:t>
      </w:r>
      <w:r>
        <w:rPr>
          <w:i/>
          <w:color w:val="0F4660"/>
          <w:spacing w:val="-2"/>
        </w:rPr>
        <w:t>Discuss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Top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insights on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affordability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barriers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Any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models—MA-based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national—that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instructive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Must-have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elements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effective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Task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Force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structure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scope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Priority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questions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require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deeper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analysis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Task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Force</w:t>
      </w:r>
    </w:p>
    <w:sectPr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04" w:hanging="245"/>
        <w:jc w:val="left"/>
      </w:pPr>
      <w:rPr>
        <w:rFonts w:hint="default" w:ascii="Calibri" w:hAnsi="Calibri" w:eastAsia="Calibri" w:cs="Calibri"/>
        <w:b w:val="0"/>
        <w:bCs w:val="0"/>
        <w:i/>
        <w:iCs/>
        <w:color w:val="0F4660"/>
        <w:spacing w:val="-1"/>
        <w:w w:val="105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93" w:lineRule="exact"/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04" w:hanging="244"/>
      <w:outlineLvl w:val="2"/>
    </w:pPr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66"/>
      <w:ind w:left="720"/>
      <w:outlineLvl w:val="3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ss.gov/info-details/assisted-living-residences-alr-commission-meeting-material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Moyer, Whitney (ELD)</dc:creator>
  <dc:title>ALR Commission November 18, 2025 Pre-Meeting Issue Brief</dc:title>
  <dcterms:created xsi:type="dcterms:W3CDTF">2025-12-15T16:29:50Z</dcterms:created>
  <dcterms:modified xsi:type="dcterms:W3CDTF">2025-12-15T16:29:50Z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for Microsoft 365</vt:lpwstr>
  </property>
</Properties>
</file>