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EF53" w14:textId="2F7426EC" w:rsidR="00435164" w:rsidRDefault="00435164">
      <w:pPr>
        <w:pStyle w:val="BodyText"/>
        <w:spacing w:line="20" w:lineRule="exact"/>
        <w:ind w:left="111"/>
        <w:rPr>
          <w:rFonts w:ascii="Times New Roman"/>
          <w:sz w:val="2"/>
        </w:rPr>
      </w:pPr>
    </w:p>
    <w:p w14:paraId="24AF42AF" w14:textId="77777777" w:rsidR="00435164" w:rsidRDefault="00435164">
      <w:pPr>
        <w:pStyle w:val="BodyText"/>
        <w:rPr>
          <w:rFonts w:ascii="Times New Roman"/>
          <w:sz w:val="21"/>
        </w:rPr>
      </w:pPr>
    </w:p>
    <w:p w14:paraId="2F9BA50D" w14:textId="69537EBA" w:rsidR="00435164" w:rsidRDefault="000D2863">
      <w:pPr>
        <w:pStyle w:val="Title"/>
      </w:pPr>
      <w:r>
        <w:t xml:space="preserve">MassHealth </w:t>
      </w:r>
      <w:r w:rsidR="004B3AC9">
        <w:t>Standing Order for Dispensing Over-the-counter Prenatal Vitamins</w:t>
      </w:r>
      <w:r w:rsidR="00B51250">
        <w:t xml:space="preserve"> </w:t>
      </w:r>
    </w:p>
    <w:p w14:paraId="312D7967" w14:textId="2D280771" w:rsidR="00F17494" w:rsidRDefault="004B3AC9">
      <w:pPr>
        <w:pStyle w:val="BodyText"/>
        <w:spacing w:before="216"/>
        <w:ind w:left="140" w:right="528"/>
        <w:jc w:val="both"/>
      </w:pPr>
      <w:r>
        <w:t xml:space="preserve">This </w:t>
      </w:r>
      <w:r w:rsidR="000D2863">
        <w:t xml:space="preserve">MassHealth </w:t>
      </w:r>
      <w:r>
        <w:t xml:space="preserve">standing order is issued pursuant to </w:t>
      </w:r>
      <w:bookmarkStart w:id="0" w:name="_Hlk175329611"/>
      <w:r>
        <w:t>M.G.L.</w:t>
      </w:r>
      <w:r w:rsidR="0081186C">
        <w:t xml:space="preserve"> </w:t>
      </w:r>
      <w:r w:rsidR="000D2863">
        <w:t>c. 118E, § 84</w:t>
      </w:r>
      <w:bookmarkEnd w:id="0"/>
      <w:r w:rsidR="0080104D">
        <w:t xml:space="preserve">, which provides </w:t>
      </w:r>
      <w:r w:rsidR="0081186C">
        <w:t xml:space="preserve">that </w:t>
      </w:r>
      <w:r w:rsidR="0080104D" w:rsidRPr="0080104D">
        <w:t xml:space="preserve">a </w:t>
      </w:r>
      <w:r w:rsidR="005D5D14">
        <w:t xml:space="preserve">qualified </w:t>
      </w:r>
      <w:r w:rsidR="0080104D" w:rsidRPr="0080104D">
        <w:t xml:space="preserve">physician designated by the assistant secretary for </w:t>
      </w:r>
      <w:r w:rsidR="0081186C">
        <w:t xml:space="preserve">MassHealth </w:t>
      </w:r>
      <w:r w:rsidR="0080104D" w:rsidRPr="0080104D">
        <w:t>may issue a standing order that may be used for a licensed pharmacist to dispense a</w:t>
      </w:r>
      <w:r w:rsidR="0081186C">
        <w:t xml:space="preserve">n </w:t>
      </w:r>
      <w:proofErr w:type="gramStart"/>
      <w:r w:rsidR="0081186C">
        <w:t>over-the-counter</w:t>
      </w:r>
      <w:proofErr w:type="gramEnd"/>
      <w:r w:rsidR="0081186C">
        <w:t xml:space="preserve"> (OTC)</w:t>
      </w:r>
      <w:r w:rsidR="0080104D" w:rsidRPr="0080104D">
        <w:t xml:space="preserve"> prenatal vitamin to a MassHealth member or H</w:t>
      </w:r>
      <w:r w:rsidR="0080104D">
        <w:t>ealth Safety Net (HSN)</w:t>
      </w:r>
      <w:r w:rsidR="0080104D" w:rsidRPr="0080104D">
        <w:t xml:space="preserve"> patient.</w:t>
      </w:r>
      <w:r w:rsidR="0047512D">
        <w:t xml:space="preserve"> </w:t>
      </w:r>
    </w:p>
    <w:p w14:paraId="706B083A" w14:textId="335C8276" w:rsidR="0047512D" w:rsidRDefault="0047512D" w:rsidP="0047512D">
      <w:pPr>
        <w:pStyle w:val="BodyText"/>
        <w:spacing w:before="216"/>
        <w:ind w:left="140" w:right="528"/>
        <w:jc w:val="both"/>
      </w:pPr>
      <w:r>
        <w:t>This standing order authorizes licensed pharmacists to dispense over-the-counter prenatal vitamins or multivitamins containing</w:t>
      </w:r>
      <w:r>
        <w:rPr>
          <w:rFonts w:ascii="Calibri" w:hAnsi="Calibri" w:cs="Calibri"/>
        </w:rPr>
        <w:t xml:space="preserve"> ≥ </w:t>
      </w:r>
      <w:r>
        <w:t>400 mcg of folic acid to any MassHealth member or HSN patient of reproductive age who</w:t>
      </w:r>
      <w:r w:rsidR="00395975">
        <w:t xml:space="preserve"> states that they are</w:t>
      </w:r>
      <w:r>
        <w:t xml:space="preserve"> capable of becoming pregnant, considering pregnancy, attempting to become pregnant, </w:t>
      </w:r>
      <w:r w:rsidR="00395975">
        <w:t>are</w:t>
      </w:r>
      <w:r>
        <w:t xml:space="preserve"> pregnant, or </w:t>
      </w:r>
      <w:r w:rsidR="00395975">
        <w:t>are</w:t>
      </w:r>
      <w:r>
        <w:t xml:space="preserve"> nursing as directed below.</w:t>
      </w:r>
    </w:p>
    <w:p w14:paraId="10B8AE6C" w14:textId="47778890" w:rsidR="00F17494" w:rsidRDefault="0080104D" w:rsidP="00F17494">
      <w:pPr>
        <w:pStyle w:val="BodyText"/>
        <w:spacing w:before="216"/>
        <w:ind w:left="140" w:right="528"/>
        <w:jc w:val="both"/>
      </w:pPr>
      <w:r>
        <w:t>M.G.L.</w:t>
      </w:r>
      <w:r w:rsidR="6372A147">
        <w:t xml:space="preserve"> </w:t>
      </w:r>
      <w:r>
        <w:t>c. 118E, §84</w:t>
      </w:r>
      <w:r w:rsidR="74E5DBFE">
        <w:t xml:space="preserve"> </w:t>
      </w:r>
      <w:r w:rsidR="00F17494">
        <w:t xml:space="preserve">protects the physician signing </w:t>
      </w:r>
      <w:r w:rsidR="009B3107">
        <w:t>this standing</w:t>
      </w:r>
      <w:r w:rsidR="00F17494">
        <w:t xml:space="preserve"> order, and all practitioners prescribing or dispensing OTC prenatal vitamins</w:t>
      </w:r>
      <w:r>
        <w:t xml:space="preserve"> in good faith</w:t>
      </w:r>
      <w:r w:rsidR="477A21DA">
        <w:t>,</w:t>
      </w:r>
      <w:r w:rsidR="00F17494">
        <w:t xml:space="preserve"> from criminal or civil liability or any professional disciplinary action</w:t>
      </w:r>
      <w:r>
        <w:t xml:space="preserve"> except for gross negligence or willful misconduct</w:t>
      </w:r>
      <w:r w:rsidR="00F17494">
        <w:t xml:space="preserve">. </w:t>
      </w:r>
    </w:p>
    <w:p w14:paraId="6743162B" w14:textId="6C4D8C42" w:rsidR="008F5A91" w:rsidRDefault="008F5A91">
      <w:pPr>
        <w:pStyle w:val="BodyText"/>
        <w:spacing w:before="216"/>
        <w:ind w:left="140" w:right="528"/>
        <w:jc w:val="both"/>
      </w:pPr>
      <w:r>
        <w:rPr>
          <w:b/>
          <w:bCs/>
        </w:rPr>
        <w:t>For oral administration:</w:t>
      </w:r>
    </w:p>
    <w:p w14:paraId="400E48C8" w14:textId="2804B06C" w:rsidR="008F5A91" w:rsidRDefault="008F5A91" w:rsidP="008F5A91">
      <w:pPr>
        <w:pStyle w:val="BodyText"/>
        <w:numPr>
          <w:ilvl w:val="0"/>
          <w:numId w:val="1"/>
        </w:numPr>
        <w:spacing w:before="216"/>
        <w:ind w:right="528"/>
        <w:jc w:val="both"/>
      </w:pPr>
      <w:r>
        <w:rPr>
          <w:b/>
          <w:bCs/>
        </w:rPr>
        <w:t xml:space="preserve">Any </w:t>
      </w:r>
      <w:r w:rsidR="00D1476B">
        <w:rPr>
          <w:b/>
          <w:bCs/>
        </w:rPr>
        <w:t xml:space="preserve">covered </w:t>
      </w:r>
      <w:r>
        <w:rPr>
          <w:b/>
          <w:bCs/>
        </w:rPr>
        <w:t xml:space="preserve">prenatal or multivitamin containing </w:t>
      </w:r>
      <w:r w:rsidRPr="008F5A91">
        <w:rPr>
          <w:rFonts w:ascii="Calibri" w:hAnsi="Calibri" w:cs="Calibri"/>
          <w:b/>
          <w:bCs/>
        </w:rPr>
        <w:t xml:space="preserve">≥ </w:t>
      </w:r>
      <w:r w:rsidRPr="008F5A91">
        <w:rPr>
          <w:b/>
          <w:bCs/>
        </w:rPr>
        <w:t>400 mcg of folic acid</w:t>
      </w:r>
    </w:p>
    <w:p w14:paraId="236D7DA7" w14:textId="4B011287" w:rsidR="008F5A91" w:rsidRDefault="008F5A91" w:rsidP="008F5A91">
      <w:pPr>
        <w:pStyle w:val="BodyText"/>
        <w:spacing w:before="216"/>
        <w:ind w:left="864" w:right="533"/>
        <w:contextualSpacing/>
        <w:jc w:val="both"/>
      </w:pPr>
      <w:r>
        <w:t xml:space="preserve">Dispense </w:t>
      </w:r>
      <w:r w:rsidR="00480B5C">
        <w:t xml:space="preserve">up to </w:t>
      </w:r>
      <w:r>
        <w:t>90</w:t>
      </w:r>
      <w:r w:rsidR="0019736A">
        <w:t>-</w:t>
      </w:r>
      <w:r>
        <w:t>day supply</w:t>
      </w:r>
    </w:p>
    <w:p w14:paraId="052C46D8" w14:textId="2FDE18CA" w:rsidR="008F5A91" w:rsidRDefault="00D1476B" w:rsidP="008F5A91">
      <w:pPr>
        <w:pStyle w:val="BodyText"/>
        <w:spacing w:before="216"/>
        <w:ind w:left="864" w:right="533"/>
        <w:contextualSpacing/>
        <w:jc w:val="both"/>
      </w:pPr>
      <w:r>
        <w:t xml:space="preserve">Directions for use: See </w:t>
      </w:r>
      <w:r w:rsidRPr="00D1476B">
        <w:rPr>
          <w:b/>
          <w:bCs/>
        </w:rPr>
        <w:t>Prenatal Vitamin Recommendation Flow Chart</w:t>
      </w:r>
      <w:r>
        <w:t xml:space="preserve"> below</w:t>
      </w:r>
    </w:p>
    <w:p w14:paraId="44A10B81" w14:textId="2A4C926E" w:rsidR="00D1476B" w:rsidRDefault="00D1476B" w:rsidP="008F5A91">
      <w:pPr>
        <w:pStyle w:val="BodyText"/>
        <w:spacing w:before="216"/>
        <w:ind w:left="864" w:right="533"/>
        <w:contextualSpacing/>
        <w:jc w:val="both"/>
      </w:pPr>
      <w:r>
        <w:t>Contraindication: Known hypersensitivity to folic acid or any component of the formulation</w:t>
      </w:r>
      <w:r w:rsidR="0080104D">
        <w:t xml:space="preserve"> (in which case, prenatal or multivitamin should not be dispensed)</w:t>
      </w:r>
    </w:p>
    <w:p w14:paraId="583DF1EB" w14:textId="77777777" w:rsidR="00D1476B" w:rsidRDefault="00D1476B" w:rsidP="00D1476B">
      <w:pPr>
        <w:pStyle w:val="BodyText"/>
        <w:spacing w:before="216"/>
        <w:ind w:right="533"/>
        <w:contextualSpacing/>
        <w:jc w:val="both"/>
      </w:pPr>
    </w:p>
    <w:p w14:paraId="057AE298" w14:textId="113F4812" w:rsidR="00D1476B" w:rsidRPr="008F5A91" w:rsidRDefault="00D1476B" w:rsidP="00D1476B">
      <w:pPr>
        <w:pStyle w:val="BodyText"/>
        <w:spacing w:before="216"/>
        <w:ind w:right="533"/>
        <w:contextualSpacing/>
        <w:jc w:val="both"/>
      </w:pPr>
      <w:r>
        <w:t>Every individual dispensed a prenatal vitamin under this standing order shall receive education regarding the use of prenatal vitamins</w:t>
      </w:r>
      <w:r w:rsidR="000F2009">
        <w:t>,</w:t>
      </w:r>
      <w:r>
        <w:t xml:space="preserve"> including appropriate initiation/discontinuation and when to anticipate a dose adjustment as directed in the flowchart below. The pharmacist should always counsel the individual to follow up and consult with their primary care physician or obstetrician/gynecologist. Records of dispensing must be maintained in</w:t>
      </w:r>
      <w:r w:rsidR="00EF374D">
        <w:t xml:space="preserve"> </w:t>
      </w:r>
      <w:r>
        <w:t>t</w:t>
      </w:r>
      <w:r w:rsidR="00EF374D">
        <w:t>he</w:t>
      </w:r>
      <w:r>
        <w:t xml:space="preserve"> patient profile of the pharmacy dispensing system.</w:t>
      </w:r>
    </w:p>
    <w:p w14:paraId="5107EE03" w14:textId="4893CE01" w:rsidR="00F17494" w:rsidRDefault="00EC50AC">
      <w:pPr>
        <w:pStyle w:val="BodyText"/>
        <w:spacing w:before="216"/>
        <w:ind w:left="140" w:right="528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52C7AA" wp14:editId="3ECA5AF7">
            <wp:simplePos x="0" y="0"/>
            <wp:positionH relativeFrom="column">
              <wp:posOffset>339366</wp:posOffset>
            </wp:positionH>
            <wp:positionV relativeFrom="paragraph">
              <wp:posOffset>58696</wp:posOffset>
            </wp:positionV>
            <wp:extent cx="636104" cy="462208"/>
            <wp:effectExtent l="0" t="0" r="0" b="0"/>
            <wp:wrapNone/>
            <wp:docPr id="569711848" name="Picture 2" descr="A pair of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11848" name="Picture 2" descr="A pair of glasse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3" cy="4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99B47" w14:textId="2244BEDF" w:rsidR="00B1274D" w:rsidRPr="00B54514" w:rsidRDefault="00EC50AC">
      <w:pPr>
        <w:pStyle w:val="BodyText"/>
        <w:pBdr>
          <w:bottom w:val="single" w:sz="12" w:space="1" w:color="auto"/>
        </w:pBdr>
        <w:spacing w:before="216"/>
        <w:ind w:left="140" w:right="528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4514">
        <w:rPr>
          <w:sz w:val="20"/>
          <w:szCs w:val="20"/>
        </w:rPr>
        <w:t>January 27, 2025</w:t>
      </w:r>
    </w:p>
    <w:p w14:paraId="5C4285DF" w14:textId="6E03B068" w:rsidR="00D1476B" w:rsidRPr="00D1476B" w:rsidRDefault="00D1476B">
      <w:pPr>
        <w:pStyle w:val="BodyText"/>
        <w:spacing w:after="1"/>
        <w:rPr>
          <w:b/>
          <w:bCs/>
        </w:rPr>
      </w:pPr>
      <w:r>
        <w:t xml:space="preserve">   </w:t>
      </w:r>
      <w:r>
        <w:rPr>
          <w:b/>
          <w:bCs/>
        </w:rPr>
        <w:t>Physician Signature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</w:t>
      </w:r>
    </w:p>
    <w:p w14:paraId="0B9EBE05" w14:textId="77777777" w:rsidR="00435164" w:rsidRDefault="00435164">
      <w:pPr>
        <w:pStyle w:val="BodyText"/>
        <w:spacing w:before="1"/>
      </w:pPr>
    </w:p>
    <w:p w14:paraId="37853CD5" w14:textId="77777777" w:rsidR="00435164" w:rsidRDefault="00435164">
      <w:pPr>
        <w:jc w:val="both"/>
      </w:pPr>
    </w:p>
    <w:p w14:paraId="401003F4" w14:textId="631465D0" w:rsidR="00D1476B" w:rsidRPr="00B54514" w:rsidRDefault="00EC50AC" w:rsidP="00D1476B">
      <w:pPr>
        <w:pStyle w:val="BodyText"/>
        <w:pBdr>
          <w:bottom w:val="single" w:sz="12" w:space="1" w:color="auto"/>
        </w:pBdr>
        <w:spacing w:before="216"/>
        <w:ind w:left="140" w:right="528"/>
        <w:jc w:val="both"/>
        <w:rPr>
          <w:sz w:val="20"/>
          <w:szCs w:val="20"/>
        </w:rPr>
      </w:pPr>
      <w:r w:rsidRPr="00B54514">
        <w:rPr>
          <w:sz w:val="20"/>
          <w:szCs w:val="20"/>
        </w:rPr>
        <w:t>Viveka Prakash-Zawisza, MD, MS, MBA, FACOG                MA 250333</w:t>
      </w:r>
    </w:p>
    <w:p w14:paraId="082057E5" w14:textId="77777777" w:rsidR="00D1476B" w:rsidRDefault="00D1476B" w:rsidP="00D1476B">
      <w:pPr>
        <w:pStyle w:val="BodyText"/>
        <w:spacing w:after="1"/>
        <w:rPr>
          <w:b/>
          <w:bCs/>
        </w:rPr>
      </w:pPr>
      <w:r>
        <w:t xml:space="preserve">   </w:t>
      </w:r>
      <w:r>
        <w:rPr>
          <w:b/>
          <w:bCs/>
        </w:rPr>
        <w:t>Physician’s Name and MA License No.</w:t>
      </w:r>
    </w:p>
    <w:p w14:paraId="22A59B72" w14:textId="77777777" w:rsidR="00D1476B" w:rsidRDefault="00D1476B" w:rsidP="00D1476B">
      <w:pPr>
        <w:pStyle w:val="BodyText"/>
        <w:spacing w:after="1"/>
        <w:rPr>
          <w:b/>
          <w:bCs/>
        </w:rPr>
      </w:pPr>
    </w:p>
    <w:p w14:paraId="028459B0" w14:textId="77777777" w:rsidR="00D1476B" w:rsidRDefault="00D1476B" w:rsidP="00D1476B">
      <w:pPr>
        <w:pStyle w:val="BodyText"/>
        <w:spacing w:after="1"/>
        <w:rPr>
          <w:b/>
          <w:bCs/>
        </w:rPr>
      </w:pPr>
    </w:p>
    <w:p w14:paraId="41747172" w14:textId="46493BB5" w:rsidR="00D1476B" w:rsidRPr="00D1476B" w:rsidRDefault="00D1476B" w:rsidP="00D1476B">
      <w:pPr>
        <w:pStyle w:val="BodyText"/>
        <w:spacing w:after="1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406EC20" w14:textId="77777777" w:rsidR="00D1476B" w:rsidRDefault="00D1476B">
      <w:pPr>
        <w:jc w:val="both"/>
        <w:sectPr w:rsidR="00D1476B">
          <w:headerReference w:type="default" r:id="rId8"/>
          <w:type w:val="continuous"/>
          <w:pgSz w:w="12240" w:h="15800"/>
          <w:pgMar w:top="1000" w:right="580" w:bottom="280" w:left="580" w:header="720" w:footer="720" w:gutter="0"/>
          <w:cols w:space="720"/>
        </w:sectPr>
      </w:pPr>
    </w:p>
    <w:p w14:paraId="189D43A5" w14:textId="04FB3817" w:rsidR="00435164" w:rsidRPr="001728CB" w:rsidRDefault="001728CB" w:rsidP="001728CB">
      <w:pPr>
        <w:pStyle w:val="BodyText"/>
        <w:ind w:left="111"/>
        <w:jc w:val="center"/>
        <w:rPr>
          <w:b/>
          <w:bCs/>
          <w:sz w:val="20"/>
          <w:vertAlign w:val="superscript"/>
        </w:rPr>
      </w:pPr>
      <w:r>
        <w:rPr>
          <w:b/>
          <w:bCs/>
          <w:sz w:val="20"/>
        </w:rPr>
        <w:lastRenderedPageBreak/>
        <w:t>Prenatal Vitamin Recommendation Flow Chart</w:t>
      </w:r>
      <w:r>
        <w:rPr>
          <w:b/>
          <w:bCs/>
          <w:sz w:val="20"/>
          <w:vertAlign w:val="superscript"/>
        </w:rPr>
        <w:t>1-3</w:t>
      </w:r>
    </w:p>
    <w:p w14:paraId="651969C3" w14:textId="7008D0ED" w:rsidR="001728CB" w:rsidRDefault="001728CB" w:rsidP="001728CB">
      <w:pPr>
        <w:pStyle w:val="BodyText"/>
        <w:ind w:left="111"/>
        <w:jc w:val="center"/>
        <w:rPr>
          <w:b/>
          <w:bCs/>
          <w:sz w:val="20"/>
        </w:rPr>
      </w:pPr>
    </w:p>
    <w:p w14:paraId="5CCA86C3" w14:textId="6BEAEB74" w:rsidR="00577D47" w:rsidRDefault="00552F36" w:rsidP="001728CB">
      <w:pPr>
        <w:pStyle w:val="BodyText"/>
        <w:ind w:left="111"/>
        <w:jc w:val="center"/>
        <w:rPr>
          <w:b/>
          <w:bCs/>
          <w:sz w:val="20"/>
        </w:rPr>
      </w:pPr>
      <w:r>
        <w:rPr>
          <w:noProof/>
        </w:rPr>
        <w:drawing>
          <wp:inline distT="0" distB="0" distL="0" distR="0" wp14:anchorId="2E57B01C" wp14:editId="55A6A4A3">
            <wp:extent cx="7035800" cy="5502275"/>
            <wp:effectExtent l="0" t="0" r="0" b="3175"/>
            <wp:docPr id="972783763" name="Picture 1" descr="This flow chart describes the process a licensed pharmacist must follow when dispensing over-the-counter prenatal vitamins to any MassHealth me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783763" name="Picture 1" descr="This flow chart describes the process a licensed pharmacist must follow when dispensing over-the-counter prenatal vitamins to any MassHealth member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550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BFCF7" w14:textId="4F4A16C0" w:rsidR="001728CB" w:rsidRDefault="001728CB" w:rsidP="001728CB">
      <w:pPr>
        <w:pStyle w:val="BodyText"/>
        <w:ind w:left="111"/>
        <w:rPr>
          <w:sz w:val="20"/>
        </w:rPr>
      </w:pPr>
    </w:p>
    <w:p w14:paraId="4A46638F" w14:textId="52327291" w:rsidR="001728CB" w:rsidRDefault="001728CB" w:rsidP="001728CB">
      <w:pPr>
        <w:pStyle w:val="BodyText"/>
        <w:ind w:left="111"/>
        <w:rPr>
          <w:sz w:val="20"/>
        </w:rPr>
      </w:pPr>
    </w:p>
    <w:p w14:paraId="289778DF" w14:textId="1BC85D34" w:rsidR="001728CB" w:rsidRDefault="001728CB" w:rsidP="001728CB">
      <w:pPr>
        <w:pStyle w:val="BodyText"/>
        <w:ind w:left="111"/>
        <w:rPr>
          <w:sz w:val="20"/>
        </w:rPr>
      </w:pPr>
      <w:r>
        <w:rPr>
          <w:sz w:val="20"/>
        </w:rPr>
        <w:t>References:</w:t>
      </w:r>
    </w:p>
    <w:p w14:paraId="607294A6" w14:textId="213943E9" w:rsidR="001728CB" w:rsidRDefault="001728CB" w:rsidP="001728CB">
      <w:pPr>
        <w:pStyle w:val="BodyText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Centers for Disease Control and Prevention. Folic Acid: Facts for Clinicians. Accessed Aug 21, 2024. Available from: </w:t>
      </w:r>
      <w:hyperlink r:id="rId10" w:history="1">
        <w:r w:rsidR="004E671F">
          <w:rPr>
            <w:rStyle w:val="Hyperlink"/>
            <w:sz w:val="20"/>
          </w:rPr>
          <w:t>cdc.gov/folic-acid/hcp/clinical-overview/</w:t>
        </w:r>
      </w:hyperlink>
    </w:p>
    <w:p w14:paraId="369EBCF4" w14:textId="696073D9" w:rsidR="001728CB" w:rsidRDefault="001728CB" w:rsidP="001728CB">
      <w:pPr>
        <w:pStyle w:val="BodyText"/>
        <w:numPr>
          <w:ilvl w:val="0"/>
          <w:numId w:val="2"/>
        </w:numPr>
        <w:rPr>
          <w:sz w:val="20"/>
        </w:rPr>
      </w:pPr>
      <w:r w:rsidRPr="001728CB">
        <w:rPr>
          <w:sz w:val="20"/>
        </w:rPr>
        <w:t xml:space="preserve">Mother To Baby | Fact Sheets [Internet]. Brentwood (TN): Organization of Teratology Information Specialists (OTIS); 1994-. Folic Acid | Folate. 2024 Jan. Available from: </w:t>
      </w:r>
      <w:hyperlink r:id="rId11" w:history="1">
        <w:r w:rsidR="004E671F">
          <w:rPr>
            <w:rStyle w:val="Hyperlink"/>
            <w:sz w:val="20"/>
          </w:rPr>
          <w:t>ncbi.nlm.nih.gov/books/NBK582717/</w:t>
        </w:r>
      </w:hyperlink>
    </w:p>
    <w:p w14:paraId="5AB09A41" w14:textId="7B10A5C6" w:rsidR="001728CB" w:rsidRDefault="001728CB" w:rsidP="001728CB">
      <w:pPr>
        <w:pStyle w:val="BodyText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The American College of Obstetricians and Gynecologists. FAQs: Nutrition During Pregnancy. Accessed Aug 21, 2024. Available from: </w:t>
      </w:r>
      <w:hyperlink r:id="rId12" w:history="1">
        <w:r w:rsidR="004E671F">
          <w:rPr>
            <w:rStyle w:val="Hyperlink"/>
            <w:sz w:val="20"/>
          </w:rPr>
          <w:t>acog.org/</w:t>
        </w:r>
        <w:proofErr w:type="spellStart"/>
        <w:r w:rsidR="004E671F">
          <w:rPr>
            <w:rStyle w:val="Hyperlink"/>
            <w:sz w:val="20"/>
          </w:rPr>
          <w:t>womens</w:t>
        </w:r>
        <w:proofErr w:type="spellEnd"/>
        <w:r w:rsidR="004E671F">
          <w:rPr>
            <w:rStyle w:val="Hyperlink"/>
            <w:sz w:val="20"/>
          </w:rPr>
          <w:t>-health/</w:t>
        </w:r>
        <w:proofErr w:type="spellStart"/>
        <w:r w:rsidR="004E671F">
          <w:rPr>
            <w:rStyle w:val="Hyperlink"/>
            <w:sz w:val="20"/>
          </w:rPr>
          <w:t>faqs</w:t>
        </w:r>
        <w:proofErr w:type="spellEnd"/>
        <w:r w:rsidR="004E671F">
          <w:rPr>
            <w:rStyle w:val="Hyperlink"/>
            <w:sz w:val="20"/>
          </w:rPr>
          <w:t>/nutrition-during-pregnancy</w:t>
        </w:r>
      </w:hyperlink>
    </w:p>
    <w:p w14:paraId="22192690" w14:textId="77777777" w:rsidR="001728CB" w:rsidRPr="001728CB" w:rsidRDefault="001728CB" w:rsidP="001728CB">
      <w:pPr>
        <w:pStyle w:val="BodyText"/>
        <w:ind w:left="831"/>
        <w:rPr>
          <w:sz w:val="20"/>
        </w:rPr>
      </w:pPr>
    </w:p>
    <w:sectPr w:rsidR="001728CB" w:rsidRPr="001728CB">
      <w:pgSz w:w="12240" w:h="15800"/>
      <w:pgMar w:top="100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63F3" w14:textId="77777777" w:rsidR="00D50CA1" w:rsidRDefault="00D50CA1" w:rsidP="00B51250">
      <w:r>
        <w:separator/>
      </w:r>
    </w:p>
  </w:endnote>
  <w:endnote w:type="continuationSeparator" w:id="0">
    <w:p w14:paraId="0ED4240B" w14:textId="77777777" w:rsidR="00D50CA1" w:rsidRDefault="00D50CA1" w:rsidP="00B5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B305E" w14:textId="77777777" w:rsidR="00D50CA1" w:rsidRDefault="00D50CA1" w:rsidP="00B51250">
      <w:r>
        <w:separator/>
      </w:r>
    </w:p>
  </w:footnote>
  <w:footnote w:type="continuationSeparator" w:id="0">
    <w:p w14:paraId="6123FE52" w14:textId="77777777" w:rsidR="00D50CA1" w:rsidRDefault="00D50CA1" w:rsidP="00B5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ABC4" w14:textId="1C66520E" w:rsidR="00BE2F40" w:rsidRDefault="001A5D98">
    <w:pPr>
      <w:pStyle w:val="Header"/>
    </w:pPr>
    <w:r>
      <w:rPr>
        <w:noProof/>
        <w:color w:val="1F497D" w:themeColor="text2"/>
      </w:rPr>
      <w:drawing>
        <wp:anchor distT="0" distB="0" distL="114300" distR="114300" simplePos="0" relativeHeight="251657216" behindDoc="0" locked="0" layoutInCell="1" allowOverlap="1" wp14:anchorId="6A67266B" wp14:editId="29EA5DC0">
          <wp:simplePos x="0" y="0"/>
          <wp:positionH relativeFrom="column">
            <wp:posOffset>3009901</wp:posOffset>
          </wp:positionH>
          <wp:positionV relativeFrom="paragraph">
            <wp:posOffset>-400050</wp:posOffset>
          </wp:positionV>
          <wp:extent cx="1016000" cy="537947"/>
          <wp:effectExtent l="0" t="0" r="0" b="0"/>
          <wp:wrapNone/>
          <wp:docPr id="1539920733" name="Picture 1539920733" descr="Mass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920733" name="Picture 1539920733" descr="MassHealth logo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972" cy="540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35188"/>
    <w:multiLevelType w:val="hybridMultilevel"/>
    <w:tmpl w:val="2F6E0E64"/>
    <w:lvl w:ilvl="0" w:tplc="0409000F">
      <w:start w:val="1"/>
      <w:numFmt w:val="decimal"/>
      <w:lvlText w:val="%1."/>
      <w:lvlJc w:val="left"/>
      <w:pPr>
        <w:ind w:left="831" w:hanging="360"/>
      </w:p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7B264280"/>
    <w:multiLevelType w:val="hybridMultilevel"/>
    <w:tmpl w:val="E8406FA6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724912510">
    <w:abstractNumId w:val="1"/>
  </w:num>
  <w:num w:numId="2" w16cid:durableId="61402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64"/>
    <w:rsid w:val="000127CD"/>
    <w:rsid w:val="000219A2"/>
    <w:rsid w:val="00031583"/>
    <w:rsid w:val="00040A9A"/>
    <w:rsid w:val="00055D61"/>
    <w:rsid w:val="00063F25"/>
    <w:rsid w:val="00082AAC"/>
    <w:rsid w:val="000D2863"/>
    <w:rsid w:val="000E7B2B"/>
    <w:rsid w:val="000F2009"/>
    <w:rsid w:val="00142F52"/>
    <w:rsid w:val="001602B3"/>
    <w:rsid w:val="001728CB"/>
    <w:rsid w:val="001770F7"/>
    <w:rsid w:val="0017782E"/>
    <w:rsid w:val="0019736A"/>
    <w:rsid w:val="001A5D98"/>
    <w:rsid w:val="001F21A7"/>
    <w:rsid w:val="0023312B"/>
    <w:rsid w:val="00240DDD"/>
    <w:rsid w:val="002553D4"/>
    <w:rsid w:val="0028244E"/>
    <w:rsid w:val="0028569F"/>
    <w:rsid w:val="00287907"/>
    <w:rsid w:val="002C3910"/>
    <w:rsid w:val="002E0F1C"/>
    <w:rsid w:val="003268F3"/>
    <w:rsid w:val="003441CE"/>
    <w:rsid w:val="00380D25"/>
    <w:rsid w:val="0039200E"/>
    <w:rsid w:val="00395975"/>
    <w:rsid w:val="003969C9"/>
    <w:rsid w:val="003E072D"/>
    <w:rsid w:val="00435164"/>
    <w:rsid w:val="004433D9"/>
    <w:rsid w:val="00456855"/>
    <w:rsid w:val="00462863"/>
    <w:rsid w:val="0047512D"/>
    <w:rsid w:val="00480B5C"/>
    <w:rsid w:val="0048507E"/>
    <w:rsid w:val="004A559E"/>
    <w:rsid w:val="004A6FDA"/>
    <w:rsid w:val="004A7F1A"/>
    <w:rsid w:val="004B3AC9"/>
    <w:rsid w:val="004E671F"/>
    <w:rsid w:val="00501399"/>
    <w:rsid w:val="005370C3"/>
    <w:rsid w:val="00552F36"/>
    <w:rsid w:val="0055545B"/>
    <w:rsid w:val="005612AA"/>
    <w:rsid w:val="005774D8"/>
    <w:rsid w:val="00577D47"/>
    <w:rsid w:val="00591057"/>
    <w:rsid w:val="005C388F"/>
    <w:rsid w:val="005D5D14"/>
    <w:rsid w:val="005F427A"/>
    <w:rsid w:val="0061141D"/>
    <w:rsid w:val="006455D4"/>
    <w:rsid w:val="006466E8"/>
    <w:rsid w:val="0067146A"/>
    <w:rsid w:val="00677805"/>
    <w:rsid w:val="0068327F"/>
    <w:rsid w:val="006A20EC"/>
    <w:rsid w:val="006D0FF3"/>
    <w:rsid w:val="006D7E47"/>
    <w:rsid w:val="006E6268"/>
    <w:rsid w:val="006E6FE5"/>
    <w:rsid w:val="00711C81"/>
    <w:rsid w:val="007132F6"/>
    <w:rsid w:val="00714AFD"/>
    <w:rsid w:val="007244AF"/>
    <w:rsid w:val="00754EBE"/>
    <w:rsid w:val="00775B02"/>
    <w:rsid w:val="00776E28"/>
    <w:rsid w:val="0080104D"/>
    <w:rsid w:val="0081186C"/>
    <w:rsid w:val="00855E5C"/>
    <w:rsid w:val="00863EFA"/>
    <w:rsid w:val="008F5A91"/>
    <w:rsid w:val="009040CD"/>
    <w:rsid w:val="009916DF"/>
    <w:rsid w:val="00995815"/>
    <w:rsid w:val="009B3107"/>
    <w:rsid w:val="00A242F0"/>
    <w:rsid w:val="00A85D5C"/>
    <w:rsid w:val="00A87BE7"/>
    <w:rsid w:val="00A95912"/>
    <w:rsid w:val="00B05157"/>
    <w:rsid w:val="00B0666E"/>
    <w:rsid w:val="00B1274D"/>
    <w:rsid w:val="00B33292"/>
    <w:rsid w:val="00B41D9D"/>
    <w:rsid w:val="00B47B1E"/>
    <w:rsid w:val="00B51250"/>
    <w:rsid w:val="00B54514"/>
    <w:rsid w:val="00B61AB3"/>
    <w:rsid w:val="00B677F8"/>
    <w:rsid w:val="00BA02A5"/>
    <w:rsid w:val="00BD00CC"/>
    <w:rsid w:val="00BE2F40"/>
    <w:rsid w:val="00BF336D"/>
    <w:rsid w:val="00C51D5E"/>
    <w:rsid w:val="00C62083"/>
    <w:rsid w:val="00C73464"/>
    <w:rsid w:val="00C8454D"/>
    <w:rsid w:val="00C92B60"/>
    <w:rsid w:val="00CA6903"/>
    <w:rsid w:val="00CE0530"/>
    <w:rsid w:val="00D1476B"/>
    <w:rsid w:val="00D25E19"/>
    <w:rsid w:val="00D50CA1"/>
    <w:rsid w:val="00D961E9"/>
    <w:rsid w:val="00DD754E"/>
    <w:rsid w:val="00DF5727"/>
    <w:rsid w:val="00E015EC"/>
    <w:rsid w:val="00E064D6"/>
    <w:rsid w:val="00E075B5"/>
    <w:rsid w:val="00E95217"/>
    <w:rsid w:val="00EB60EA"/>
    <w:rsid w:val="00EC50AC"/>
    <w:rsid w:val="00EE674B"/>
    <w:rsid w:val="00EF374D"/>
    <w:rsid w:val="00F17494"/>
    <w:rsid w:val="00F44FBC"/>
    <w:rsid w:val="00F55AA0"/>
    <w:rsid w:val="00F9344F"/>
    <w:rsid w:val="00FB2594"/>
    <w:rsid w:val="00FC342E"/>
    <w:rsid w:val="00FD36BB"/>
    <w:rsid w:val="477A21DA"/>
    <w:rsid w:val="5918088E"/>
    <w:rsid w:val="6372A147"/>
    <w:rsid w:val="74E5DBFE"/>
    <w:rsid w:val="759D8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6AE2E"/>
  <w15:docId w15:val="{6A913F04-F8A1-414B-B651-F8DF0B12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017" w:right="2008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CommentReference">
    <w:name w:val="annotation reference"/>
    <w:basedOn w:val="DefaultParagraphFont"/>
    <w:uiPriority w:val="99"/>
    <w:semiHidden/>
    <w:unhideWhenUsed/>
    <w:rsid w:val="008F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A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A91"/>
    <w:rPr>
      <w:rFonts w:ascii="Carlito" w:eastAsia="Carlito" w:hAnsi="Carlito" w:cs="Carli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A91"/>
    <w:rPr>
      <w:rFonts w:ascii="Carlito" w:eastAsia="Carlito" w:hAnsi="Carlito" w:cs="Carlito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28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8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1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250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B51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250"/>
    <w:rPr>
      <w:rFonts w:ascii="Carlito" w:eastAsia="Carlito" w:hAnsi="Carlito" w:cs="Carlito"/>
    </w:rPr>
  </w:style>
  <w:style w:type="paragraph" w:styleId="Revision">
    <w:name w:val="Revision"/>
    <w:hidden/>
    <w:uiPriority w:val="99"/>
    <w:semiHidden/>
    <w:rsid w:val="000D2863"/>
    <w:pPr>
      <w:widowControl/>
      <w:autoSpaceDE/>
      <w:autoSpaceDN/>
    </w:pPr>
    <w:rPr>
      <w:rFonts w:ascii="Carlito" w:eastAsia="Carlito" w:hAnsi="Carlito" w:cs="Carlito"/>
    </w:rPr>
  </w:style>
  <w:style w:type="character" w:styleId="FollowedHyperlink">
    <w:name w:val="FollowedHyperlink"/>
    <w:basedOn w:val="DefaultParagraphFont"/>
    <w:uiPriority w:val="99"/>
    <w:semiHidden/>
    <w:unhideWhenUsed/>
    <w:rsid w:val="004628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cog.org/womens-health/faqs/nutrition-during-pregnan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books/NBK582717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dc.gov/folic-acid/hcp/clinical-overview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PrenatalVitaminProtocols</vt:lpstr>
    </vt:vector>
  </TitlesOfParts>
  <Company>Hewlett-Packard Company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PrenatalVitaminProtocols</dc:title>
  <dc:creator>Little, Susan H</dc:creator>
  <cp:lastModifiedBy>DeLeo, Dan (EHS)</cp:lastModifiedBy>
  <cp:revision>7</cp:revision>
  <dcterms:created xsi:type="dcterms:W3CDTF">2025-01-06T20:59:00Z</dcterms:created>
  <dcterms:modified xsi:type="dcterms:W3CDTF">2025-01-23T22:14:00Z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Location">
    <vt:lpwstr>NO_DOC_ID</vt:lpwstr>
  </property>
  <property fmtid="{D5CDD505-2E9C-101B-9397-08002B2CF9AE}" pid="4" name="CUS_DocIDReference">
    <vt:lpwstr>noDocID</vt:lpwstr>
  </property>
  <property fmtid="{D5CDD505-2E9C-101B-9397-08002B2CF9AE}" pid="5" name="ContentTypeId">
    <vt:lpwstr>0x0101000700D711EBA8AD49BF73E0CCE5A8B053</vt:lpwstr>
  </property>
  <property fmtid="{D5CDD505-2E9C-101B-9397-08002B2CF9AE}" pid="6" name="Created">
    <vt:filetime>2023-08-14T00:00:00Z</vt:filetime>
  </property>
  <property fmtid="{D5CDD505-2E9C-101B-9397-08002B2CF9AE}" pid="7" name="Creator">
    <vt:lpwstr>Nuance PDF Create</vt:lpwstr>
  </property>
  <property fmtid="{D5CDD505-2E9C-101B-9397-08002B2CF9AE}" pid="8" name="LastSaved">
    <vt:filetime>2024-08-21T00:00:00Z</vt:filetime>
  </property>
  <property fmtid="{D5CDD505-2E9C-101B-9397-08002B2CF9AE}" pid="9" name="MSIP_Label_9493d16e-b3ba-4e3d-a98a-fa1db5feb7f3_ActionId">
    <vt:lpwstr>baf73c2a-021a-402c-9977-06839ce850dd</vt:lpwstr>
  </property>
  <property fmtid="{D5CDD505-2E9C-101B-9397-08002B2CF9AE}" pid="10" name="MSIP_Label_9493d16e-b3ba-4e3d-a98a-fa1db5feb7f3_ContentBits">
    <vt:lpwstr>0</vt:lpwstr>
  </property>
  <property fmtid="{D5CDD505-2E9C-101B-9397-08002B2CF9AE}" pid="11" name="MSIP_Label_9493d16e-b3ba-4e3d-a98a-fa1db5feb7f3_Enabled">
    <vt:lpwstr>true</vt:lpwstr>
  </property>
  <property fmtid="{D5CDD505-2E9C-101B-9397-08002B2CF9AE}" pid="12" name="MSIP_Label_9493d16e-b3ba-4e3d-a98a-fa1db5feb7f3_Method">
    <vt:lpwstr>Standard</vt:lpwstr>
  </property>
  <property fmtid="{D5CDD505-2E9C-101B-9397-08002B2CF9AE}" pid="13" name="MSIP_Label_9493d16e-b3ba-4e3d-a98a-fa1db5feb7f3_Name">
    <vt:lpwstr>Sensitive Information</vt:lpwstr>
  </property>
  <property fmtid="{D5CDD505-2E9C-101B-9397-08002B2CF9AE}" pid="14" name="MSIP_Label_9493d16e-b3ba-4e3d-a98a-fa1db5feb7f3_SetDate">
    <vt:lpwstr>2023-08-11T19:15:39Z</vt:lpwstr>
  </property>
  <property fmtid="{D5CDD505-2E9C-101B-9397-08002B2CF9AE}" pid="15" name="MSIP_Label_9493d16e-b3ba-4e3d-a98a-fa1db5feb7f3_SiteId">
    <vt:lpwstr>3f632ad1-e016-4e72-9244-253cc40a9711</vt:lpwstr>
  </property>
  <property fmtid="{D5CDD505-2E9C-101B-9397-08002B2CF9AE}" pid="16" name="Producer">
    <vt:lpwstr>3-Heights(TM) PDF Security Shell 4.8.25.2 (http://www.pdf-tools.com)</vt:lpwstr>
  </property>
</Properties>
</file>