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22"/>
        <w:gridCol w:w="828"/>
      </w:tblGrid>
      <w:tr w:rsidR="00F01C53" w14:paraId="3D139552" w14:textId="77777777" w:rsidTr="004A530C">
        <w:tc>
          <w:tcPr>
            <w:tcW w:w="11250" w:type="dxa"/>
            <w:gridSpan w:val="2"/>
            <w:tcBorders>
              <w:top w:val="nil"/>
              <w:left w:val="nil"/>
              <w:bottom w:val="nil"/>
              <w:right w:val="nil"/>
            </w:tcBorders>
          </w:tcPr>
          <w:p w14:paraId="5CBC40EC" w14:textId="77777777" w:rsidR="00F01C53" w:rsidRDefault="00F01C53" w:rsidP="004A530C">
            <w:pPr>
              <w:tabs>
                <w:tab w:val="left" w:pos="5742"/>
              </w:tabs>
            </w:pPr>
            <w:r>
              <w:rPr>
                <w:noProof/>
              </w:rPr>
              <w:drawing>
                <wp:inline distT="0" distB="0" distL="0" distR="0" wp14:anchorId="7F264CED" wp14:editId="7B6224DE">
                  <wp:extent cx="2314575" cy="619125"/>
                  <wp:effectExtent l="19050" t="0" r="9525" b="0"/>
                  <wp:docPr id="4"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8" cstate="print"/>
                          <a:srcRect/>
                          <a:stretch>
                            <a:fillRect/>
                          </a:stretch>
                        </pic:blipFill>
                        <pic:spPr bwMode="auto">
                          <a:xfrm>
                            <a:off x="0" y="0"/>
                            <a:ext cx="2314575" cy="619125"/>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7F2D53C1" wp14:editId="08F2FDBD">
                  <wp:extent cx="438150" cy="55245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38150" cy="552450"/>
                          </a:xfrm>
                          <a:prstGeom prst="rect">
                            <a:avLst/>
                          </a:prstGeom>
                          <a:noFill/>
                          <a:ln w="9525">
                            <a:noFill/>
                            <a:miter lim="800000"/>
                            <a:headEnd/>
                            <a:tailEnd/>
                          </a:ln>
                        </pic:spPr>
                      </pic:pic>
                    </a:graphicData>
                  </a:graphic>
                </wp:inline>
              </w:drawing>
            </w:r>
            <w:r>
              <w:t xml:space="preserve">  </w:t>
            </w:r>
          </w:p>
        </w:tc>
      </w:tr>
      <w:tr w:rsidR="00F01C53" w:rsidRPr="00BC09E4" w14:paraId="42442CE3" w14:textId="77777777" w:rsidTr="000659DD">
        <w:trPr>
          <w:gridAfter w:val="1"/>
          <w:wAfter w:w="828" w:type="dxa"/>
        </w:trPr>
        <w:tc>
          <w:tcPr>
            <w:tcW w:w="10422" w:type="dxa"/>
            <w:tcBorders>
              <w:top w:val="nil"/>
              <w:left w:val="nil"/>
              <w:bottom w:val="single" w:sz="18" w:space="0" w:color="auto"/>
              <w:right w:val="nil"/>
            </w:tcBorders>
          </w:tcPr>
          <w:p w14:paraId="335440BC" w14:textId="410FF8E4" w:rsidR="00F01C53" w:rsidRPr="00BC09E4" w:rsidRDefault="00F01C53" w:rsidP="000659DD">
            <w:pPr>
              <w:tabs>
                <w:tab w:val="left" w:pos="5022"/>
              </w:tabs>
              <w:spacing w:after="40"/>
              <w:ind w:left="1066" w:right="-18"/>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000659DD">
              <w:rPr>
                <w:rFonts w:ascii="Arial Narrow" w:hAnsi="Arial Narrow" w:cs="Arial"/>
                <w:b/>
                <w:sz w:val="20"/>
                <w:szCs w:val="20"/>
              </w:rPr>
              <w:t xml:space="preserve">                </w:t>
            </w:r>
            <w:r>
              <w:rPr>
                <w:rFonts w:ascii="Arial Narrow" w:hAnsi="Arial Narrow" w:cs="Arial"/>
                <w:b/>
                <w:sz w:val="20"/>
                <w:szCs w:val="20"/>
              </w:rPr>
              <w:t xml:space="preserve">        </w:t>
            </w:r>
            <w:r w:rsidRPr="00BC09E4">
              <w:rPr>
                <w:rFonts w:ascii="Arial Narrow" w:hAnsi="Arial Narrow" w:cs="Arial"/>
                <w:b/>
                <w:sz w:val="20"/>
                <w:szCs w:val="20"/>
              </w:rPr>
              <w:t>Thomas L. Weber,</w:t>
            </w:r>
            <w:r>
              <w:rPr>
                <w:rFonts w:ascii="Arial Narrow" w:hAnsi="Arial Narrow" w:cs="Arial"/>
                <w:b/>
                <w:sz w:val="20"/>
                <w:szCs w:val="20"/>
              </w:rPr>
              <w:t xml:space="preserve"> </w:t>
            </w:r>
            <w:r w:rsidRPr="00BC09E4">
              <w:rPr>
                <w:rFonts w:ascii="Arial Narrow" w:hAnsi="Arial Narrow" w:cs="Arial"/>
                <w:b/>
                <w:sz w:val="20"/>
                <w:szCs w:val="20"/>
              </w:rPr>
              <w:t>Commissioner</w:t>
            </w:r>
          </w:p>
        </w:tc>
      </w:tr>
    </w:tbl>
    <w:p w14:paraId="4C7AC9F8" w14:textId="77777777" w:rsidR="00571332" w:rsidRDefault="00571332"/>
    <w:p w14:paraId="1DA31034" w14:textId="77777777" w:rsidR="00571332" w:rsidRDefault="00571332"/>
    <w:p w14:paraId="13B15DF4" w14:textId="77777777" w:rsidR="00571332" w:rsidRDefault="00571332"/>
    <w:p w14:paraId="166E22EC" w14:textId="77777777" w:rsidR="001323CE" w:rsidRDefault="001323CE"/>
    <w:p w14:paraId="1A3E83F0" w14:textId="77777777" w:rsidR="001323CE" w:rsidRDefault="001323CE"/>
    <w:p w14:paraId="6B585D9C" w14:textId="77777777" w:rsidR="001323CE" w:rsidRDefault="001323CE"/>
    <w:p w14:paraId="380C1831" w14:textId="77777777" w:rsidR="00571332" w:rsidRDefault="00571332"/>
    <w:p w14:paraId="4308E6A5" w14:textId="77777777" w:rsidR="00571332" w:rsidRDefault="00571332"/>
    <w:p w14:paraId="47850F6C" w14:textId="66513D09" w:rsidR="00F01C53" w:rsidRDefault="00571332">
      <w:pPr>
        <w:rPr>
          <w:b/>
          <w:sz w:val="32"/>
          <w:szCs w:val="32"/>
        </w:rPr>
      </w:pPr>
      <w:r w:rsidRPr="00F01C53">
        <w:rPr>
          <w:b/>
          <w:sz w:val="32"/>
          <w:szCs w:val="32"/>
        </w:rPr>
        <w:t xml:space="preserve">Report </w:t>
      </w:r>
      <w:r w:rsidR="00BC2A55">
        <w:rPr>
          <w:b/>
          <w:sz w:val="32"/>
          <w:szCs w:val="32"/>
        </w:rPr>
        <w:t>on the</w:t>
      </w:r>
      <w:r w:rsidRPr="00F01C53">
        <w:rPr>
          <w:b/>
          <w:sz w:val="32"/>
          <w:szCs w:val="32"/>
        </w:rPr>
        <w:t xml:space="preserve"> </w:t>
      </w:r>
      <w:r w:rsidR="001C744E">
        <w:rPr>
          <w:b/>
          <w:sz w:val="32"/>
          <w:szCs w:val="32"/>
        </w:rPr>
        <w:t xml:space="preserve">federal </w:t>
      </w:r>
      <w:r w:rsidRPr="00F01C53">
        <w:rPr>
          <w:b/>
          <w:sz w:val="32"/>
          <w:szCs w:val="32"/>
        </w:rPr>
        <w:t>Preschool Expansion Grant</w:t>
      </w:r>
      <w:r w:rsidR="00C05765">
        <w:rPr>
          <w:b/>
          <w:sz w:val="32"/>
          <w:szCs w:val="32"/>
        </w:rPr>
        <w:t xml:space="preserve"> – Year One</w:t>
      </w:r>
    </w:p>
    <w:p w14:paraId="56AD8703" w14:textId="3805D5BB" w:rsidR="00F01C53" w:rsidRDefault="001C744E">
      <w:r>
        <w:t>January</w:t>
      </w:r>
      <w:r w:rsidR="00F01C53">
        <w:t>, 201</w:t>
      </w:r>
      <w:r>
        <w:t>7</w:t>
      </w:r>
    </w:p>
    <w:p w14:paraId="5A2163B1" w14:textId="77777777" w:rsidR="00F01C53" w:rsidRDefault="00F01C53"/>
    <w:p w14:paraId="4DFA62D4" w14:textId="582C5E7F" w:rsidR="00F01C53" w:rsidRPr="009855A1" w:rsidRDefault="009855A1">
      <w:pPr>
        <w:rPr>
          <w:color w:val="C00000"/>
        </w:rPr>
      </w:pPr>
      <w:r w:rsidRPr="009855A1">
        <w:rPr>
          <w:color w:val="C00000"/>
        </w:rPr>
        <w:t>(This is an abbreviated, web-accessible copy of the report.  For the full copy, view the PDF online or contact the Department of Early Education and Care, at the address below.)</w:t>
      </w:r>
    </w:p>
    <w:p w14:paraId="19AE3D94" w14:textId="77777777" w:rsidR="00DB4777" w:rsidRDefault="00DB4777">
      <w:pPr>
        <w:rPr>
          <w:sz w:val="32"/>
          <w:szCs w:val="32"/>
        </w:rPr>
      </w:pPr>
    </w:p>
    <w:p w14:paraId="4C7D1315" w14:textId="77777777" w:rsidR="00DB4777" w:rsidRDefault="00DB4777">
      <w:pPr>
        <w:rPr>
          <w:sz w:val="32"/>
          <w:szCs w:val="32"/>
        </w:rPr>
      </w:pPr>
    </w:p>
    <w:p w14:paraId="7551EEEF" w14:textId="77777777" w:rsidR="001323CE" w:rsidRDefault="001323CE">
      <w:pPr>
        <w:rPr>
          <w:sz w:val="32"/>
          <w:szCs w:val="32"/>
        </w:rPr>
      </w:pPr>
    </w:p>
    <w:p w14:paraId="63482CA6" w14:textId="77777777" w:rsidR="00DB4777" w:rsidRDefault="00DB4777">
      <w:pPr>
        <w:rPr>
          <w:sz w:val="32"/>
          <w:szCs w:val="32"/>
        </w:rPr>
      </w:pPr>
    </w:p>
    <w:p w14:paraId="62E5D6D0" w14:textId="77777777" w:rsidR="00DB4777" w:rsidRDefault="00DB4777">
      <w:pPr>
        <w:rPr>
          <w:sz w:val="32"/>
          <w:szCs w:val="32"/>
        </w:rPr>
      </w:pPr>
    </w:p>
    <w:p w14:paraId="266EC2BB" w14:textId="77777777" w:rsidR="00DB4777" w:rsidRDefault="00DB4777" w:rsidP="00DB477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51 Sleeper St. 4th Floor </w:t>
      </w:r>
      <w:smartTag w:uri="urn:schemas-microsoft-com:office:smarttags" w:element="place">
        <w:smartTag w:uri="urn:schemas-microsoft-com:office:smarttags" w:element="City">
          <w:r>
            <w:rPr>
              <w:rFonts w:ascii="Helvetica" w:hAnsi="Helvetica" w:cs="Helvetica-Condensed"/>
              <w:color w:val="000000"/>
              <w:sz w:val="18"/>
              <w:szCs w:val="18"/>
            </w:rPr>
            <w:t>Boston</w:t>
          </w:r>
        </w:smartTag>
        <w:r>
          <w:rPr>
            <w:rFonts w:ascii="Helvetica" w:hAnsi="Helvetica" w:cs="Helvetica-Condensed"/>
            <w:color w:val="000000"/>
            <w:sz w:val="18"/>
            <w:szCs w:val="18"/>
          </w:rPr>
          <w:t xml:space="preserve">, </w:t>
        </w:r>
        <w:smartTag w:uri="urn:schemas-microsoft-com:office:smarttags" w:element="State">
          <w:r>
            <w:rPr>
              <w:rFonts w:ascii="Helvetica" w:hAnsi="Helvetica" w:cs="Helvetica-Condensed"/>
              <w:color w:val="000000"/>
              <w:sz w:val="18"/>
              <w:szCs w:val="18"/>
            </w:rPr>
            <w:t>MA</w:t>
          </w:r>
        </w:smartTag>
        <w:r>
          <w:rPr>
            <w:rFonts w:ascii="Helvetica" w:hAnsi="Helvetica" w:cs="Helvetica-Condensed"/>
            <w:color w:val="000000"/>
            <w:sz w:val="18"/>
            <w:szCs w:val="18"/>
          </w:rPr>
          <w:t xml:space="preserve"> </w:t>
        </w:r>
        <w:smartTag w:uri="urn:schemas-microsoft-com:office:smarttags" w:element="PostalCode">
          <w:r>
            <w:rPr>
              <w:rFonts w:ascii="Helvetica" w:hAnsi="Helvetica" w:cs="Helvetica-Condensed"/>
              <w:color w:val="000000"/>
              <w:sz w:val="18"/>
              <w:szCs w:val="18"/>
            </w:rPr>
            <w:t>02210</w:t>
          </w:r>
        </w:smartTag>
      </w:smartTag>
      <w:r>
        <w:rPr>
          <w:rFonts w:ascii="Helvetica" w:hAnsi="Helvetica" w:cs="Helvetica-Condensed"/>
          <w:color w:val="000000"/>
          <w:sz w:val="18"/>
          <w:szCs w:val="18"/>
        </w:rPr>
        <w:t xml:space="preserve"> </w:t>
      </w:r>
    </w:p>
    <w:p w14:paraId="02313942" w14:textId="77777777" w:rsidR="00DB4777" w:rsidRPr="002122FB" w:rsidRDefault="00DB4777" w:rsidP="00DB477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617-988-6600 </w:t>
      </w:r>
      <w:r w:rsidRPr="00FA6FB0">
        <w:rPr>
          <w:rFonts w:ascii="Helvetica" w:hAnsi="Helvetica" w:cs="Helvetica-Condensed"/>
          <w:color w:val="000000"/>
          <w:sz w:val="18"/>
          <w:szCs w:val="18"/>
        </w:rPr>
        <w:t>•</w:t>
      </w:r>
      <w:r>
        <w:rPr>
          <w:rFonts w:ascii="Helvetica" w:hAnsi="Helvetica" w:cs="Helvetica-Condensed"/>
          <w:color w:val="000000"/>
          <w:sz w:val="18"/>
          <w:szCs w:val="18"/>
        </w:rPr>
        <w:t xml:space="preserve"> Fax: 617-988-2451</w:t>
      </w:r>
      <w:r w:rsidRPr="0085037E">
        <w:rPr>
          <w:rFonts w:ascii="Helvetica" w:hAnsi="Helvetica" w:cs="Helvetica-Condensed"/>
          <w:color w:val="000000"/>
          <w:sz w:val="18"/>
          <w:szCs w:val="18"/>
        </w:rPr>
        <w:t xml:space="preserve"> </w:t>
      </w:r>
      <w:r w:rsidRPr="00FA6FB0">
        <w:rPr>
          <w:rFonts w:ascii="Helvetica" w:hAnsi="Helvetica" w:cs="Helvetica-Condensed"/>
          <w:color w:val="000000"/>
          <w:sz w:val="18"/>
          <w:szCs w:val="18"/>
        </w:rPr>
        <w:t xml:space="preserve">• </w:t>
      </w:r>
      <w:r>
        <w:rPr>
          <w:rFonts w:ascii="Helvetica" w:hAnsi="Helvetica" w:cs="Helvetica-Condensed"/>
          <w:color w:val="000000"/>
          <w:sz w:val="18"/>
          <w:szCs w:val="18"/>
        </w:rPr>
        <w:t>c</w:t>
      </w:r>
      <w:r w:rsidRPr="006072E6">
        <w:rPr>
          <w:rFonts w:ascii="Helvetica" w:hAnsi="Helvetica" w:cs="Helvetica-Condensed"/>
          <w:color w:val="000000"/>
          <w:sz w:val="18"/>
          <w:szCs w:val="18"/>
        </w:rPr>
        <w:t>ommissioners.office@state.ma.us</w:t>
      </w:r>
    </w:p>
    <w:p w14:paraId="356E4ABB" w14:textId="1210099C" w:rsidR="00571332" w:rsidRDefault="00B53D96" w:rsidP="001D598B">
      <w:pPr>
        <w:autoSpaceDE w:val="0"/>
        <w:autoSpaceDN w:val="0"/>
        <w:adjustRightInd w:val="0"/>
        <w:spacing w:after="60"/>
        <w:ind w:right="-1440" w:hanging="1440"/>
        <w:jc w:val="center"/>
        <w:rPr>
          <w:rStyle w:val="Hyperlink"/>
          <w:rFonts w:ascii="Helvetica" w:hAnsi="Helvetica" w:cs="HelveticaNeue-MediumCond"/>
          <w:sz w:val="18"/>
          <w:szCs w:val="18"/>
        </w:rPr>
      </w:pPr>
      <w:hyperlink r:id="rId10" w:history="1">
        <w:r w:rsidR="004958C8" w:rsidRPr="00DB48EA">
          <w:rPr>
            <w:rStyle w:val="Hyperlink"/>
            <w:rFonts w:ascii="Helvetica" w:hAnsi="Helvetica" w:cs="HelveticaNeue-MediumCond"/>
            <w:sz w:val="18"/>
            <w:szCs w:val="18"/>
          </w:rPr>
          <w:t>www.mass.gov/eec</w:t>
        </w:r>
      </w:hyperlink>
    </w:p>
    <w:p w14:paraId="1DA0F342" w14:textId="77777777" w:rsidR="004958C8" w:rsidRDefault="004958C8" w:rsidP="001D598B">
      <w:pPr>
        <w:autoSpaceDE w:val="0"/>
        <w:autoSpaceDN w:val="0"/>
        <w:adjustRightInd w:val="0"/>
        <w:spacing w:after="60"/>
        <w:ind w:right="-1440" w:hanging="1440"/>
        <w:jc w:val="center"/>
        <w:rPr>
          <w:rFonts w:ascii="Helvetica" w:hAnsi="Helvetica" w:cs="HelveticaNeue-MediumCond"/>
          <w:color w:val="999999"/>
          <w:sz w:val="18"/>
          <w:szCs w:val="18"/>
        </w:rPr>
      </w:pPr>
    </w:p>
    <w:p w14:paraId="6335B2CA" w14:textId="77777777" w:rsidR="001323CE" w:rsidRDefault="001323CE">
      <w:pPr>
        <w:rPr>
          <w:rFonts w:ascii="Helvetica" w:hAnsi="Helvetica" w:cs="HelveticaNeue-MediumCond"/>
          <w:color w:val="999999"/>
          <w:sz w:val="18"/>
          <w:szCs w:val="18"/>
        </w:rPr>
      </w:pPr>
      <w:r>
        <w:rPr>
          <w:rFonts w:ascii="Helvetica" w:hAnsi="Helvetica" w:cs="HelveticaNeue-MediumCond"/>
          <w:color w:val="999999"/>
          <w:sz w:val="18"/>
          <w:szCs w:val="18"/>
        </w:rPr>
        <w:br w:type="page"/>
      </w:r>
    </w:p>
    <w:p w14:paraId="1E18CB79" w14:textId="77777777" w:rsidR="001323CE" w:rsidRPr="001D598B" w:rsidRDefault="001323CE" w:rsidP="001D598B">
      <w:pPr>
        <w:autoSpaceDE w:val="0"/>
        <w:autoSpaceDN w:val="0"/>
        <w:adjustRightInd w:val="0"/>
        <w:spacing w:after="60"/>
        <w:ind w:right="-1440" w:hanging="1440"/>
        <w:jc w:val="center"/>
      </w:pPr>
    </w:p>
    <w:sdt>
      <w:sdtPr>
        <w:rPr>
          <w:rFonts w:ascii="Times New Roman" w:eastAsiaTheme="minorHAnsi" w:hAnsi="Times New Roman" w:cs="Times New Roman"/>
          <w:b w:val="0"/>
          <w:bCs w:val="0"/>
          <w:color w:val="auto"/>
          <w:sz w:val="24"/>
          <w:szCs w:val="24"/>
        </w:rPr>
        <w:id w:val="310594937"/>
        <w:docPartObj>
          <w:docPartGallery w:val="Table of Contents"/>
          <w:docPartUnique/>
        </w:docPartObj>
      </w:sdtPr>
      <w:sdtEndPr/>
      <w:sdtContent>
        <w:p w14:paraId="38429D80" w14:textId="77777777" w:rsidR="00BB42D8" w:rsidRDefault="00BB42D8">
          <w:pPr>
            <w:pStyle w:val="TOCHeading"/>
          </w:pPr>
          <w:r>
            <w:t>Table of Contents</w:t>
          </w:r>
        </w:p>
        <w:p w14:paraId="6EA10858" w14:textId="77777777" w:rsidR="00407C78" w:rsidRDefault="00063467">
          <w:pPr>
            <w:pStyle w:val="TOC1"/>
            <w:tabs>
              <w:tab w:val="right" w:leader="dot" w:pos="9350"/>
            </w:tabs>
            <w:rPr>
              <w:rFonts w:asciiTheme="minorHAnsi" w:eastAsiaTheme="minorEastAsia" w:hAnsiTheme="minorHAnsi" w:cstheme="minorBidi"/>
              <w:noProof/>
              <w:sz w:val="22"/>
              <w:szCs w:val="22"/>
            </w:rPr>
          </w:pPr>
          <w:r>
            <w:fldChar w:fldCharType="begin"/>
          </w:r>
          <w:r w:rsidR="00BB42D8">
            <w:instrText xml:space="preserve"> TOC \o "1-3" \h \z \u </w:instrText>
          </w:r>
          <w:r>
            <w:fldChar w:fldCharType="separate"/>
          </w:r>
          <w:hyperlink w:anchor="_Toc467591088" w:history="1">
            <w:r w:rsidR="00407C78" w:rsidRPr="006856FE">
              <w:rPr>
                <w:rStyle w:val="Hyperlink"/>
                <w:noProof/>
              </w:rPr>
              <w:t>I. Executive Summary</w:t>
            </w:r>
            <w:r w:rsidR="00407C78">
              <w:rPr>
                <w:noProof/>
                <w:webHidden/>
              </w:rPr>
              <w:tab/>
            </w:r>
            <w:r w:rsidR="00407C78">
              <w:rPr>
                <w:noProof/>
                <w:webHidden/>
              </w:rPr>
              <w:fldChar w:fldCharType="begin"/>
            </w:r>
            <w:r w:rsidR="00407C78">
              <w:rPr>
                <w:noProof/>
                <w:webHidden/>
              </w:rPr>
              <w:instrText xml:space="preserve"> PAGEREF _Toc467591088 \h </w:instrText>
            </w:r>
            <w:r w:rsidR="00407C78">
              <w:rPr>
                <w:noProof/>
                <w:webHidden/>
              </w:rPr>
            </w:r>
            <w:r w:rsidR="00407C78">
              <w:rPr>
                <w:noProof/>
                <w:webHidden/>
              </w:rPr>
              <w:fldChar w:fldCharType="separate"/>
            </w:r>
            <w:r w:rsidR="00407C78">
              <w:rPr>
                <w:noProof/>
                <w:webHidden/>
              </w:rPr>
              <w:t>3</w:t>
            </w:r>
            <w:r w:rsidR="00407C78">
              <w:rPr>
                <w:noProof/>
                <w:webHidden/>
              </w:rPr>
              <w:fldChar w:fldCharType="end"/>
            </w:r>
          </w:hyperlink>
        </w:p>
        <w:p w14:paraId="32CA17CC" w14:textId="77777777" w:rsidR="00407C78" w:rsidRDefault="00B53D96">
          <w:pPr>
            <w:pStyle w:val="TOC1"/>
            <w:tabs>
              <w:tab w:val="right" w:leader="dot" w:pos="9350"/>
            </w:tabs>
            <w:rPr>
              <w:rFonts w:asciiTheme="minorHAnsi" w:eastAsiaTheme="minorEastAsia" w:hAnsiTheme="minorHAnsi" w:cstheme="minorBidi"/>
              <w:noProof/>
              <w:sz w:val="22"/>
              <w:szCs w:val="22"/>
            </w:rPr>
          </w:pPr>
          <w:hyperlink w:anchor="_Toc467591089" w:history="1">
            <w:r w:rsidR="00407C78" w:rsidRPr="006856FE">
              <w:rPr>
                <w:rStyle w:val="Hyperlink"/>
                <w:noProof/>
              </w:rPr>
              <w:t>II. Introduction</w:t>
            </w:r>
            <w:r w:rsidR="00407C78">
              <w:rPr>
                <w:noProof/>
                <w:webHidden/>
              </w:rPr>
              <w:tab/>
            </w:r>
            <w:r w:rsidR="00407C78">
              <w:rPr>
                <w:noProof/>
                <w:webHidden/>
              </w:rPr>
              <w:fldChar w:fldCharType="begin"/>
            </w:r>
            <w:r w:rsidR="00407C78">
              <w:rPr>
                <w:noProof/>
                <w:webHidden/>
              </w:rPr>
              <w:instrText xml:space="preserve"> PAGEREF _Toc467591089 \h </w:instrText>
            </w:r>
            <w:r w:rsidR="00407C78">
              <w:rPr>
                <w:noProof/>
                <w:webHidden/>
              </w:rPr>
            </w:r>
            <w:r w:rsidR="00407C78">
              <w:rPr>
                <w:noProof/>
                <w:webHidden/>
              </w:rPr>
              <w:fldChar w:fldCharType="separate"/>
            </w:r>
            <w:r w:rsidR="00407C78">
              <w:rPr>
                <w:noProof/>
                <w:webHidden/>
              </w:rPr>
              <w:t>5</w:t>
            </w:r>
            <w:r w:rsidR="00407C78">
              <w:rPr>
                <w:noProof/>
                <w:webHidden/>
              </w:rPr>
              <w:fldChar w:fldCharType="end"/>
            </w:r>
          </w:hyperlink>
        </w:p>
        <w:p w14:paraId="0DFFC275" w14:textId="77777777" w:rsidR="00407C78" w:rsidRDefault="00B53D96">
          <w:pPr>
            <w:pStyle w:val="TOC1"/>
            <w:tabs>
              <w:tab w:val="right" w:leader="dot" w:pos="9350"/>
            </w:tabs>
            <w:rPr>
              <w:rFonts w:asciiTheme="minorHAnsi" w:eastAsiaTheme="minorEastAsia" w:hAnsiTheme="minorHAnsi" w:cstheme="minorBidi"/>
              <w:noProof/>
              <w:sz w:val="22"/>
              <w:szCs w:val="22"/>
            </w:rPr>
          </w:pPr>
          <w:hyperlink w:anchor="_Toc467591090" w:history="1">
            <w:r w:rsidR="00407C78" w:rsidRPr="006856FE">
              <w:rPr>
                <w:rStyle w:val="Hyperlink"/>
                <w:noProof/>
              </w:rPr>
              <w:t>III. Program Implementation Evaluation</w:t>
            </w:r>
            <w:r w:rsidR="00407C78">
              <w:rPr>
                <w:noProof/>
                <w:webHidden/>
              </w:rPr>
              <w:tab/>
            </w:r>
            <w:r w:rsidR="00407C78">
              <w:rPr>
                <w:noProof/>
                <w:webHidden/>
              </w:rPr>
              <w:fldChar w:fldCharType="begin"/>
            </w:r>
            <w:r w:rsidR="00407C78">
              <w:rPr>
                <w:noProof/>
                <w:webHidden/>
              </w:rPr>
              <w:instrText xml:space="preserve"> PAGEREF _Toc467591090 \h </w:instrText>
            </w:r>
            <w:r w:rsidR="00407C78">
              <w:rPr>
                <w:noProof/>
                <w:webHidden/>
              </w:rPr>
            </w:r>
            <w:r w:rsidR="00407C78">
              <w:rPr>
                <w:noProof/>
                <w:webHidden/>
              </w:rPr>
              <w:fldChar w:fldCharType="separate"/>
            </w:r>
            <w:r w:rsidR="00407C78">
              <w:rPr>
                <w:noProof/>
                <w:webHidden/>
              </w:rPr>
              <w:t>8</w:t>
            </w:r>
            <w:r w:rsidR="00407C78">
              <w:rPr>
                <w:noProof/>
                <w:webHidden/>
              </w:rPr>
              <w:fldChar w:fldCharType="end"/>
            </w:r>
          </w:hyperlink>
        </w:p>
        <w:p w14:paraId="27D3B1B6" w14:textId="77777777" w:rsidR="00407C78" w:rsidRDefault="00B53D96">
          <w:pPr>
            <w:pStyle w:val="TOC1"/>
            <w:tabs>
              <w:tab w:val="right" w:leader="dot" w:pos="9350"/>
            </w:tabs>
            <w:rPr>
              <w:rFonts w:asciiTheme="minorHAnsi" w:eastAsiaTheme="minorEastAsia" w:hAnsiTheme="minorHAnsi" w:cstheme="minorBidi"/>
              <w:noProof/>
              <w:sz w:val="22"/>
              <w:szCs w:val="22"/>
            </w:rPr>
          </w:pPr>
          <w:hyperlink w:anchor="_Toc467591091" w:history="1">
            <w:r w:rsidR="00407C78" w:rsidRPr="006856FE">
              <w:rPr>
                <w:rStyle w:val="Hyperlink"/>
                <w:noProof/>
              </w:rPr>
              <w:t>IV. Community Collaborations</w:t>
            </w:r>
            <w:r w:rsidR="00407C78">
              <w:rPr>
                <w:noProof/>
                <w:webHidden/>
              </w:rPr>
              <w:tab/>
            </w:r>
            <w:r w:rsidR="00407C78">
              <w:rPr>
                <w:noProof/>
                <w:webHidden/>
              </w:rPr>
              <w:fldChar w:fldCharType="begin"/>
            </w:r>
            <w:r w:rsidR="00407C78">
              <w:rPr>
                <w:noProof/>
                <w:webHidden/>
              </w:rPr>
              <w:instrText xml:space="preserve"> PAGEREF _Toc467591091 \h </w:instrText>
            </w:r>
            <w:r w:rsidR="00407C78">
              <w:rPr>
                <w:noProof/>
                <w:webHidden/>
              </w:rPr>
            </w:r>
            <w:r w:rsidR="00407C78">
              <w:rPr>
                <w:noProof/>
                <w:webHidden/>
              </w:rPr>
              <w:fldChar w:fldCharType="separate"/>
            </w:r>
            <w:r w:rsidR="00407C78">
              <w:rPr>
                <w:noProof/>
                <w:webHidden/>
              </w:rPr>
              <w:t>9</w:t>
            </w:r>
            <w:r w:rsidR="00407C78">
              <w:rPr>
                <w:noProof/>
                <w:webHidden/>
              </w:rPr>
              <w:fldChar w:fldCharType="end"/>
            </w:r>
          </w:hyperlink>
        </w:p>
        <w:p w14:paraId="7F555739"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092" w:history="1">
            <w:r w:rsidR="00407C78" w:rsidRPr="006856FE">
              <w:rPr>
                <w:rStyle w:val="Hyperlink"/>
                <w:noProof/>
              </w:rPr>
              <w:t>Boston</w:t>
            </w:r>
            <w:r w:rsidR="00407C78">
              <w:rPr>
                <w:noProof/>
                <w:webHidden/>
              </w:rPr>
              <w:tab/>
            </w:r>
            <w:r w:rsidR="00407C78">
              <w:rPr>
                <w:noProof/>
                <w:webHidden/>
              </w:rPr>
              <w:fldChar w:fldCharType="begin"/>
            </w:r>
            <w:r w:rsidR="00407C78">
              <w:rPr>
                <w:noProof/>
                <w:webHidden/>
              </w:rPr>
              <w:instrText xml:space="preserve"> PAGEREF _Toc467591092 \h </w:instrText>
            </w:r>
            <w:r w:rsidR="00407C78">
              <w:rPr>
                <w:noProof/>
                <w:webHidden/>
              </w:rPr>
            </w:r>
            <w:r w:rsidR="00407C78">
              <w:rPr>
                <w:noProof/>
                <w:webHidden/>
              </w:rPr>
              <w:fldChar w:fldCharType="separate"/>
            </w:r>
            <w:r w:rsidR="00407C78">
              <w:rPr>
                <w:noProof/>
                <w:webHidden/>
              </w:rPr>
              <w:t>10</w:t>
            </w:r>
            <w:r w:rsidR="00407C78">
              <w:rPr>
                <w:noProof/>
                <w:webHidden/>
              </w:rPr>
              <w:fldChar w:fldCharType="end"/>
            </w:r>
          </w:hyperlink>
        </w:p>
        <w:p w14:paraId="08002A2F"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093" w:history="1">
            <w:r w:rsidR="00407C78" w:rsidRPr="006856FE">
              <w:rPr>
                <w:rStyle w:val="Hyperlink"/>
                <w:noProof/>
              </w:rPr>
              <w:t>Holyoke</w:t>
            </w:r>
            <w:r w:rsidR="00407C78">
              <w:rPr>
                <w:noProof/>
                <w:webHidden/>
              </w:rPr>
              <w:tab/>
            </w:r>
            <w:r w:rsidR="00407C78">
              <w:rPr>
                <w:noProof/>
                <w:webHidden/>
              </w:rPr>
              <w:fldChar w:fldCharType="begin"/>
            </w:r>
            <w:r w:rsidR="00407C78">
              <w:rPr>
                <w:noProof/>
                <w:webHidden/>
              </w:rPr>
              <w:instrText xml:space="preserve"> PAGEREF _Toc467591093 \h </w:instrText>
            </w:r>
            <w:r w:rsidR="00407C78">
              <w:rPr>
                <w:noProof/>
                <w:webHidden/>
              </w:rPr>
            </w:r>
            <w:r w:rsidR="00407C78">
              <w:rPr>
                <w:noProof/>
                <w:webHidden/>
              </w:rPr>
              <w:fldChar w:fldCharType="separate"/>
            </w:r>
            <w:r w:rsidR="00407C78">
              <w:rPr>
                <w:noProof/>
                <w:webHidden/>
              </w:rPr>
              <w:t>11</w:t>
            </w:r>
            <w:r w:rsidR="00407C78">
              <w:rPr>
                <w:noProof/>
                <w:webHidden/>
              </w:rPr>
              <w:fldChar w:fldCharType="end"/>
            </w:r>
          </w:hyperlink>
        </w:p>
        <w:p w14:paraId="095F05F3"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094" w:history="1">
            <w:r w:rsidR="00407C78" w:rsidRPr="006856FE">
              <w:rPr>
                <w:rStyle w:val="Hyperlink"/>
                <w:noProof/>
              </w:rPr>
              <w:t>Lawrence</w:t>
            </w:r>
            <w:r w:rsidR="00407C78">
              <w:rPr>
                <w:noProof/>
                <w:webHidden/>
              </w:rPr>
              <w:tab/>
            </w:r>
            <w:r w:rsidR="00407C78">
              <w:rPr>
                <w:noProof/>
                <w:webHidden/>
              </w:rPr>
              <w:fldChar w:fldCharType="begin"/>
            </w:r>
            <w:r w:rsidR="00407C78">
              <w:rPr>
                <w:noProof/>
                <w:webHidden/>
              </w:rPr>
              <w:instrText xml:space="preserve"> PAGEREF _Toc467591094 \h </w:instrText>
            </w:r>
            <w:r w:rsidR="00407C78">
              <w:rPr>
                <w:noProof/>
                <w:webHidden/>
              </w:rPr>
            </w:r>
            <w:r w:rsidR="00407C78">
              <w:rPr>
                <w:noProof/>
                <w:webHidden/>
              </w:rPr>
              <w:fldChar w:fldCharType="separate"/>
            </w:r>
            <w:r w:rsidR="00407C78">
              <w:rPr>
                <w:noProof/>
                <w:webHidden/>
              </w:rPr>
              <w:t>11</w:t>
            </w:r>
            <w:r w:rsidR="00407C78">
              <w:rPr>
                <w:noProof/>
                <w:webHidden/>
              </w:rPr>
              <w:fldChar w:fldCharType="end"/>
            </w:r>
          </w:hyperlink>
        </w:p>
        <w:p w14:paraId="1D73E996"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095" w:history="1">
            <w:r w:rsidR="00407C78" w:rsidRPr="006856FE">
              <w:rPr>
                <w:rStyle w:val="Hyperlink"/>
                <w:noProof/>
              </w:rPr>
              <w:t>Lowell</w:t>
            </w:r>
            <w:r w:rsidR="00407C78">
              <w:rPr>
                <w:noProof/>
                <w:webHidden/>
              </w:rPr>
              <w:tab/>
            </w:r>
            <w:r w:rsidR="00407C78">
              <w:rPr>
                <w:noProof/>
                <w:webHidden/>
              </w:rPr>
              <w:fldChar w:fldCharType="begin"/>
            </w:r>
            <w:r w:rsidR="00407C78">
              <w:rPr>
                <w:noProof/>
                <w:webHidden/>
              </w:rPr>
              <w:instrText xml:space="preserve"> PAGEREF _Toc467591095 \h </w:instrText>
            </w:r>
            <w:r w:rsidR="00407C78">
              <w:rPr>
                <w:noProof/>
                <w:webHidden/>
              </w:rPr>
            </w:r>
            <w:r w:rsidR="00407C78">
              <w:rPr>
                <w:noProof/>
                <w:webHidden/>
              </w:rPr>
              <w:fldChar w:fldCharType="separate"/>
            </w:r>
            <w:r w:rsidR="00407C78">
              <w:rPr>
                <w:noProof/>
                <w:webHidden/>
              </w:rPr>
              <w:t>11</w:t>
            </w:r>
            <w:r w:rsidR="00407C78">
              <w:rPr>
                <w:noProof/>
                <w:webHidden/>
              </w:rPr>
              <w:fldChar w:fldCharType="end"/>
            </w:r>
          </w:hyperlink>
        </w:p>
        <w:p w14:paraId="02D4DCB6"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096" w:history="1">
            <w:r w:rsidR="00407C78" w:rsidRPr="006856FE">
              <w:rPr>
                <w:rStyle w:val="Hyperlink"/>
                <w:noProof/>
              </w:rPr>
              <w:t>Springfield</w:t>
            </w:r>
            <w:r w:rsidR="00407C78">
              <w:rPr>
                <w:noProof/>
                <w:webHidden/>
              </w:rPr>
              <w:tab/>
            </w:r>
            <w:r w:rsidR="00407C78">
              <w:rPr>
                <w:noProof/>
                <w:webHidden/>
              </w:rPr>
              <w:fldChar w:fldCharType="begin"/>
            </w:r>
            <w:r w:rsidR="00407C78">
              <w:rPr>
                <w:noProof/>
                <w:webHidden/>
              </w:rPr>
              <w:instrText xml:space="preserve"> PAGEREF _Toc467591096 \h </w:instrText>
            </w:r>
            <w:r w:rsidR="00407C78">
              <w:rPr>
                <w:noProof/>
                <w:webHidden/>
              </w:rPr>
            </w:r>
            <w:r w:rsidR="00407C78">
              <w:rPr>
                <w:noProof/>
                <w:webHidden/>
              </w:rPr>
              <w:fldChar w:fldCharType="separate"/>
            </w:r>
            <w:r w:rsidR="00407C78">
              <w:rPr>
                <w:noProof/>
                <w:webHidden/>
              </w:rPr>
              <w:t>11</w:t>
            </w:r>
            <w:r w:rsidR="00407C78">
              <w:rPr>
                <w:noProof/>
                <w:webHidden/>
              </w:rPr>
              <w:fldChar w:fldCharType="end"/>
            </w:r>
          </w:hyperlink>
        </w:p>
        <w:p w14:paraId="3B23F4F4"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097" w:history="1">
            <w:r w:rsidR="00407C78" w:rsidRPr="006856FE">
              <w:rPr>
                <w:rStyle w:val="Hyperlink"/>
                <w:noProof/>
              </w:rPr>
              <w:t>Collaboration Success and Challenges</w:t>
            </w:r>
            <w:r w:rsidR="00407C78">
              <w:rPr>
                <w:noProof/>
                <w:webHidden/>
              </w:rPr>
              <w:tab/>
            </w:r>
            <w:r w:rsidR="00407C78">
              <w:rPr>
                <w:noProof/>
                <w:webHidden/>
              </w:rPr>
              <w:fldChar w:fldCharType="begin"/>
            </w:r>
            <w:r w:rsidR="00407C78">
              <w:rPr>
                <w:noProof/>
                <w:webHidden/>
              </w:rPr>
              <w:instrText xml:space="preserve"> PAGEREF _Toc467591097 \h </w:instrText>
            </w:r>
            <w:r w:rsidR="00407C78">
              <w:rPr>
                <w:noProof/>
                <w:webHidden/>
              </w:rPr>
            </w:r>
            <w:r w:rsidR="00407C78">
              <w:rPr>
                <w:noProof/>
                <w:webHidden/>
              </w:rPr>
              <w:fldChar w:fldCharType="separate"/>
            </w:r>
            <w:r w:rsidR="00407C78">
              <w:rPr>
                <w:noProof/>
                <w:webHidden/>
              </w:rPr>
              <w:t>12</w:t>
            </w:r>
            <w:r w:rsidR="00407C78">
              <w:rPr>
                <w:noProof/>
                <w:webHidden/>
              </w:rPr>
              <w:fldChar w:fldCharType="end"/>
            </w:r>
          </w:hyperlink>
        </w:p>
        <w:p w14:paraId="6D790F61" w14:textId="77777777" w:rsidR="00407C78" w:rsidRDefault="00B53D96">
          <w:pPr>
            <w:pStyle w:val="TOC1"/>
            <w:tabs>
              <w:tab w:val="right" w:leader="dot" w:pos="9350"/>
            </w:tabs>
            <w:rPr>
              <w:rFonts w:asciiTheme="minorHAnsi" w:eastAsiaTheme="minorEastAsia" w:hAnsiTheme="minorHAnsi" w:cstheme="minorBidi"/>
              <w:noProof/>
              <w:sz w:val="22"/>
              <w:szCs w:val="22"/>
            </w:rPr>
          </w:pPr>
          <w:hyperlink w:anchor="_Toc467591098" w:history="1">
            <w:r w:rsidR="00407C78" w:rsidRPr="006856FE">
              <w:rPr>
                <w:rStyle w:val="Hyperlink"/>
                <w:noProof/>
              </w:rPr>
              <w:t>V. Supports for children and families</w:t>
            </w:r>
            <w:r w:rsidR="00407C78">
              <w:rPr>
                <w:noProof/>
                <w:webHidden/>
              </w:rPr>
              <w:tab/>
            </w:r>
            <w:r w:rsidR="00407C78">
              <w:rPr>
                <w:noProof/>
                <w:webHidden/>
              </w:rPr>
              <w:fldChar w:fldCharType="begin"/>
            </w:r>
            <w:r w:rsidR="00407C78">
              <w:rPr>
                <w:noProof/>
                <w:webHidden/>
              </w:rPr>
              <w:instrText xml:space="preserve"> PAGEREF _Toc467591098 \h </w:instrText>
            </w:r>
            <w:r w:rsidR="00407C78">
              <w:rPr>
                <w:noProof/>
                <w:webHidden/>
              </w:rPr>
            </w:r>
            <w:r w:rsidR="00407C78">
              <w:rPr>
                <w:noProof/>
                <w:webHidden/>
              </w:rPr>
              <w:fldChar w:fldCharType="separate"/>
            </w:r>
            <w:r w:rsidR="00407C78">
              <w:rPr>
                <w:noProof/>
                <w:webHidden/>
              </w:rPr>
              <w:t>14</w:t>
            </w:r>
            <w:r w:rsidR="00407C78">
              <w:rPr>
                <w:noProof/>
                <w:webHidden/>
              </w:rPr>
              <w:fldChar w:fldCharType="end"/>
            </w:r>
          </w:hyperlink>
        </w:p>
        <w:p w14:paraId="584FEBCE"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099" w:history="1">
            <w:r w:rsidR="00407C78" w:rsidRPr="006856FE">
              <w:rPr>
                <w:rStyle w:val="Hyperlink"/>
                <w:noProof/>
              </w:rPr>
              <w:t>Children and Families</w:t>
            </w:r>
            <w:r w:rsidR="00407C78">
              <w:rPr>
                <w:noProof/>
                <w:webHidden/>
              </w:rPr>
              <w:tab/>
            </w:r>
            <w:r w:rsidR="00407C78">
              <w:rPr>
                <w:noProof/>
                <w:webHidden/>
              </w:rPr>
              <w:fldChar w:fldCharType="begin"/>
            </w:r>
            <w:r w:rsidR="00407C78">
              <w:rPr>
                <w:noProof/>
                <w:webHidden/>
              </w:rPr>
              <w:instrText xml:space="preserve"> PAGEREF _Toc467591099 \h </w:instrText>
            </w:r>
            <w:r w:rsidR="00407C78">
              <w:rPr>
                <w:noProof/>
                <w:webHidden/>
              </w:rPr>
            </w:r>
            <w:r w:rsidR="00407C78">
              <w:rPr>
                <w:noProof/>
                <w:webHidden/>
              </w:rPr>
              <w:fldChar w:fldCharType="separate"/>
            </w:r>
            <w:r w:rsidR="00407C78">
              <w:rPr>
                <w:noProof/>
                <w:webHidden/>
              </w:rPr>
              <w:t>14</w:t>
            </w:r>
            <w:r w:rsidR="00407C78">
              <w:rPr>
                <w:noProof/>
                <w:webHidden/>
              </w:rPr>
              <w:fldChar w:fldCharType="end"/>
            </w:r>
          </w:hyperlink>
        </w:p>
        <w:p w14:paraId="0D162983"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100" w:history="1">
            <w:r w:rsidR="00407C78" w:rsidRPr="006856FE">
              <w:rPr>
                <w:rStyle w:val="Hyperlink"/>
                <w:noProof/>
              </w:rPr>
              <w:t>Supports for Families</w:t>
            </w:r>
            <w:r w:rsidR="00407C78">
              <w:rPr>
                <w:noProof/>
                <w:webHidden/>
              </w:rPr>
              <w:tab/>
            </w:r>
            <w:r w:rsidR="00407C78">
              <w:rPr>
                <w:noProof/>
                <w:webHidden/>
              </w:rPr>
              <w:fldChar w:fldCharType="begin"/>
            </w:r>
            <w:r w:rsidR="00407C78">
              <w:rPr>
                <w:noProof/>
                <w:webHidden/>
              </w:rPr>
              <w:instrText xml:space="preserve"> PAGEREF _Toc467591100 \h </w:instrText>
            </w:r>
            <w:r w:rsidR="00407C78">
              <w:rPr>
                <w:noProof/>
                <w:webHidden/>
              </w:rPr>
            </w:r>
            <w:r w:rsidR="00407C78">
              <w:rPr>
                <w:noProof/>
                <w:webHidden/>
              </w:rPr>
              <w:fldChar w:fldCharType="separate"/>
            </w:r>
            <w:r w:rsidR="00407C78">
              <w:rPr>
                <w:noProof/>
                <w:webHidden/>
              </w:rPr>
              <w:t>15</w:t>
            </w:r>
            <w:r w:rsidR="00407C78">
              <w:rPr>
                <w:noProof/>
                <w:webHidden/>
              </w:rPr>
              <w:fldChar w:fldCharType="end"/>
            </w:r>
          </w:hyperlink>
        </w:p>
        <w:p w14:paraId="26433ABE"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101" w:history="1">
            <w:r w:rsidR="00407C78" w:rsidRPr="006856FE">
              <w:rPr>
                <w:rStyle w:val="Hyperlink"/>
                <w:noProof/>
              </w:rPr>
              <w:t>Special Education Referrals</w:t>
            </w:r>
            <w:r w:rsidR="00407C78">
              <w:rPr>
                <w:noProof/>
                <w:webHidden/>
              </w:rPr>
              <w:tab/>
            </w:r>
            <w:r w:rsidR="00407C78">
              <w:rPr>
                <w:noProof/>
                <w:webHidden/>
              </w:rPr>
              <w:fldChar w:fldCharType="begin"/>
            </w:r>
            <w:r w:rsidR="00407C78">
              <w:rPr>
                <w:noProof/>
                <w:webHidden/>
              </w:rPr>
              <w:instrText xml:space="preserve"> PAGEREF _Toc467591101 \h </w:instrText>
            </w:r>
            <w:r w:rsidR="00407C78">
              <w:rPr>
                <w:noProof/>
                <w:webHidden/>
              </w:rPr>
            </w:r>
            <w:r w:rsidR="00407C78">
              <w:rPr>
                <w:noProof/>
                <w:webHidden/>
              </w:rPr>
              <w:fldChar w:fldCharType="separate"/>
            </w:r>
            <w:r w:rsidR="00407C78">
              <w:rPr>
                <w:noProof/>
                <w:webHidden/>
              </w:rPr>
              <w:t>17</w:t>
            </w:r>
            <w:r w:rsidR="00407C78">
              <w:rPr>
                <w:noProof/>
                <w:webHidden/>
              </w:rPr>
              <w:fldChar w:fldCharType="end"/>
            </w:r>
          </w:hyperlink>
        </w:p>
        <w:p w14:paraId="7C314EAE"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102" w:history="1">
            <w:r w:rsidR="00407C78" w:rsidRPr="006856FE">
              <w:rPr>
                <w:rStyle w:val="Hyperlink"/>
                <w:noProof/>
              </w:rPr>
              <w:t>Parent Attitudes</w:t>
            </w:r>
            <w:r w:rsidR="00407C78">
              <w:rPr>
                <w:noProof/>
                <w:webHidden/>
              </w:rPr>
              <w:tab/>
            </w:r>
            <w:r w:rsidR="00407C78">
              <w:rPr>
                <w:noProof/>
                <w:webHidden/>
              </w:rPr>
              <w:fldChar w:fldCharType="begin"/>
            </w:r>
            <w:r w:rsidR="00407C78">
              <w:rPr>
                <w:noProof/>
                <w:webHidden/>
              </w:rPr>
              <w:instrText xml:space="preserve"> PAGEREF _Toc467591102 \h </w:instrText>
            </w:r>
            <w:r w:rsidR="00407C78">
              <w:rPr>
                <w:noProof/>
                <w:webHidden/>
              </w:rPr>
            </w:r>
            <w:r w:rsidR="00407C78">
              <w:rPr>
                <w:noProof/>
                <w:webHidden/>
              </w:rPr>
              <w:fldChar w:fldCharType="separate"/>
            </w:r>
            <w:r w:rsidR="00407C78">
              <w:rPr>
                <w:noProof/>
                <w:webHidden/>
              </w:rPr>
              <w:t>18</w:t>
            </w:r>
            <w:r w:rsidR="00407C78">
              <w:rPr>
                <w:noProof/>
                <w:webHidden/>
              </w:rPr>
              <w:fldChar w:fldCharType="end"/>
            </w:r>
          </w:hyperlink>
        </w:p>
        <w:p w14:paraId="0AA46A3E"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103" w:history="1">
            <w:r w:rsidR="00407C78" w:rsidRPr="006856FE">
              <w:rPr>
                <w:rStyle w:val="Hyperlink"/>
                <w:noProof/>
              </w:rPr>
              <w:t>Kindergarten Readiness</w:t>
            </w:r>
            <w:r w:rsidR="00407C78">
              <w:rPr>
                <w:noProof/>
                <w:webHidden/>
              </w:rPr>
              <w:tab/>
            </w:r>
            <w:r w:rsidR="00407C78">
              <w:rPr>
                <w:noProof/>
                <w:webHidden/>
              </w:rPr>
              <w:fldChar w:fldCharType="begin"/>
            </w:r>
            <w:r w:rsidR="00407C78">
              <w:rPr>
                <w:noProof/>
                <w:webHidden/>
              </w:rPr>
              <w:instrText xml:space="preserve"> PAGEREF _Toc467591103 \h </w:instrText>
            </w:r>
            <w:r w:rsidR="00407C78">
              <w:rPr>
                <w:noProof/>
                <w:webHidden/>
              </w:rPr>
            </w:r>
            <w:r w:rsidR="00407C78">
              <w:rPr>
                <w:noProof/>
                <w:webHidden/>
              </w:rPr>
              <w:fldChar w:fldCharType="separate"/>
            </w:r>
            <w:r w:rsidR="00407C78">
              <w:rPr>
                <w:noProof/>
                <w:webHidden/>
              </w:rPr>
              <w:t>19</w:t>
            </w:r>
            <w:r w:rsidR="00407C78">
              <w:rPr>
                <w:noProof/>
                <w:webHidden/>
              </w:rPr>
              <w:fldChar w:fldCharType="end"/>
            </w:r>
          </w:hyperlink>
        </w:p>
        <w:p w14:paraId="608C77E8" w14:textId="77777777" w:rsidR="00407C78" w:rsidRDefault="00B53D96">
          <w:pPr>
            <w:pStyle w:val="TOC1"/>
            <w:tabs>
              <w:tab w:val="right" w:leader="dot" w:pos="9350"/>
            </w:tabs>
            <w:rPr>
              <w:rFonts w:asciiTheme="minorHAnsi" w:eastAsiaTheme="minorEastAsia" w:hAnsiTheme="minorHAnsi" w:cstheme="minorBidi"/>
              <w:noProof/>
              <w:sz w:val="22"/>
              <w:szCs w:val="22"/>
            </w:rPr>
          </w:pPr>
          <w:hyperlink w:anchor="_Toc467591104" w:history="1">
            <w:r w:rsidR="00407C78" w:rsidRPr="006856FE">
              <w:rPr>
                <w:rStyle w:val="Hyperlink"/>
                <w:noProof/>
              </w:rPr>
              <w:t>VI. Teachers and Teacher Supports</w:t>
            </w:r>
            <w:r w:rsidR="00407C78">
              <w:rPr>
                <w:noProof/>
                <w:webHidden/>
              </w:rPr>
              <w:tab/>
            </w:r>
            <w:r w:rsidR="00407C78">
              <w:rPr>
                <w:noProof/>
                <w:webHidden/>
              </w:rPr>
              <w:fldChar w:fldCharType="begin"/>
            </w:r>
            <w:r w:rsidR="00407C78">
              <w:rPr>
                <w:noProof/>
                <w:webHidden/>
              </w:rPr>
              <w:instrText xml:space="preserve"> PAGEREF _Toc467591104 \h </w:instrText>
            </w:r>
            <w:r w:rsidR="00407C78">
              <w:rPr>
                <w:noProof/>
                <w:webHidden/>
              </w:rPr>
            </w:r>
            <w:r w:rsidR="00407C78">
              <w:rPr>
                <w:noProof/>
                <w:webHidden/>
              </w:rPr>
              <w:fldChar w:fldCharType="separate"/>
            </w:r>
            <w:r w:rsidR="00407C78">
              <w:rPr>
                <w:noProof/>
                <w:webHidden/>
              </w:rPr>
              <w:t>24</w:t>
            </w:r>
            <w:r w:rsidR="00407C78">
              <w:rPr>
                <w:noProof/>
                <w:webHidden/>
              </w:rPr>
              <w:fldChar w:fldCharType="end"/>
            </w:r>
          </w:hyperlink>
        </w:p>
        <w:p w14:paraId="07E0DFA5"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105" w:history="1">
            <w:r w:rsidR="00407C78" w:rsidRPr="006856FE">
              <w:rPr>
                <w:rStyle w:val="Hyperlink"/>
                <w:noProof/>
              </w:rPr>
              <w:t>Teaching Staff</w:t>
            </w:r>
            <w:r w:rsidR="00407C78">
              <w:rPr>
                <w:noProof/>
                <w:webHidden/>
              </w:rPr>
              <w:tab/>
            </w:r>
            <w:r w:rsidR="00407C78">
              <w:rPr>
                <w:noProof/>
                <w:webHidden/>
              </w:rPr>
              <w:fldChar w:fldCharType="begin"/>
            </w:r>
            <w:r w:rsidR="00407C78">
              <w:rPr>
                <w:noProof/>
                <w:webHidden/>
              </w:rPr>
              <w:instrText xml:space="preserve"> PAGEREF _Toc467591105 \h </w:instrText>
            </w:r>
            <w:r w:rsidR="00407C78">
              <w:rPr>
                <w:noProof/>
                <w:webHidden/>
              </w:rPr>
            </w:r>
            <w:r w:rsidR="00407C78">
              <w:rPr>
                <w:noProof/>
                <w:webHidden/>
              </w:rPr>
              <w:fldChar w:fldCharType="separate"/>
            </w:r>
            <w:r w:rsidR="00407C78">
              <w:rPr>
                <w:noProof/>
                <w:webHidden/>
              </w:rPr>
              <w:t>24</w:t>
            </w:r>
            <w:r w:rsidR="00407C78">
              <w:rPr>
                <w:noProof/>
                <w:webHidden/>
              </w:rPr>
              <w:fldChar w:fldCharType="end"/>
            </w:r>
          </w:hyperlink>
        </w:p>
        <w:p w14:paraId="58F060AE"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106" w:history="1">
            <w:r w:rsidR="00407C78" w:rsidRPr="006856FE">
              <w:rPr>
                <w:rStyle w:val="Hyperlink"/>
                <w:noProof/>
              </w:rPr>
              <w:t>Teacher Attitudes</w:t>
            </w:r>
            <w:r w:rsidR="00407C78">
              <w:rPr>
                <w:noProof/>
                <w:webHidden/>
              </w:rPr>
              <w:tab/>
            </w:r>
            <w:r w:rsidR="00407C78">
              <w:rPr>
                <w:noProof/>
                <w:webHidden/>
              </w:rPr>
              <w:fldChar w:fldCharType="begin"/>
            </w:r>
            <w:r w:rsidR="00407C78">
              <w:rPr>
                <w:noProof/>
                <w:webHidden/>
              </w:rPr>
              <w:instrText xml:space="preserve"> PAGEREF _Toc467591106 \h </w:instrText>
            </w:r>
            <w:r w:rsidR="00407C78">
              <w:rPr>
                <w:noProof/>
                <w:webHidden/>
              </w:rPr>
            </w:r>
            <w:r w:rsidR="00407C78">
              <w:rPr>
                <w:noProof/>
                <w:webHidden/>
              </w:rPr>
              <w:fldChar w:fldCharType="separate"/>
            </w:r>
            <w:r w:rsidR="00407C78">
              <w:rPr>
                <w:noProof/>
                <w:webHidden/>
              </w:rPr>
              <w:t>26</w:t>
            </w:r>
            <w:r w:rsidR="00407C78">
              <w:rPr>
                <w:noProof/>
                <w:webHidden/>
              </w:rPr>
              <w:fldChar w:fldCharType="end"/>
            </w:r>
          </w:hyperlink>
        </w:p>
        <w:p w14:paraId="18B9E5B4"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107" w:history="1">
            <w:r w:rsidR="00407C78" w:rsidRPr="006856FE">
              <w:rPr>
                <w:rStyle w:val="Hyperlink"/>
                <w:noProof/>
              </w:rPr>
              <w:t>Professional Development</w:t>
            </w:r>
            <w:r w:rsidR="00407C78">
              <w:rPr>
                <w:noProof/>
                <w:webHidden/>
              </w:rPr>
              <w:tab/>
            </w:r>
            <w:r w:rsidR="00407C78">
              <w:rPr>
                <w:noProof/>
                <w:webHidden/>
              </w:rPr>
              <w:fldChar w:fldCharType="begin"/>
            </w:r>
            <w:r w:rsidR="00407C78">
              <w:rPr>
                <w:noProof/>
                <w:webHidden/>
              </w:rPr>
              <w:instrText xml:space="preserve"> PAGEREF _Toc467591107 \h </w:instrText>
            </w:r>
            <w:r w:rsidR="00407C78">
              <w:rPr>
                <w:noProof/>
                <w:webHidden/>
              </w:rPr>
            </w:r>
            <w:r w:rsidR="00407C78">
              <w:rPr>
                <w:noProof/>
                <w:webHidden/>
              </w:rPr>
              <w:fldChar w:fldCharType="separate"/>
            </w:r>
            <w:r w:rsidR="00407C78">
              <w:rPr>
                <w:noProof/>
                <w:webHidden/>
              </w:rPr>
              <w:t>26</w:t>
            </w:r>
            <w:r w:rsidR="00407C78">
              <w:rPr>
                <w:noProof/>
                <w:webHidden/>
              </w:rPr>
              <w:fldChar w:fldCharType="end"/>
            </w:r>
          </w:hyperlink>
        </w:p>
        <w:p w14:paraId="2EADF2D9"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108" w:history="1">
            <w:r w:rsidR="00407C78" w:rsidRPr="006856FE">
              <w:rPr>
                <w:rStyle w:val="Hyperlink"/>
                <w:noProof/>
              </w:rPr>
              <w:t>Curriculum and Assessment</w:t>
            </w:r>
            <w:r w:rsidR="00407C78">
              <w:rPr>
                <w:noProof/>
                <w:webHidden/>
              </w:rPr>
              <w:tab/>
            </w:r>
            <w:r w:rsidR="00407C78">
              <w:rPr>
                <w:noProof/>
                <w:webHidden/>
              </w:rPr>
              <w:fldChar w:fldCharType="begin"/>
            </w:r>
            <w:r w:rsidR="00407C78">
              <w:rPr>
                <w:noProof/>
                <w:webHidden/>
              </w:rPr>
              <w:instrText xml:space="preserve"> PAGEREF _Toc467591108 \h </w:instrText>
            </w:r>
            <w:r w:rsidR="00407C78">
              <w:rPr>
                <w:noProof/>
                <w:webHidden/>
              </w:rPr>
            </w:r>
            <w:r w:rsidR="00407C78">
              <w:rPr>
                <w:noProof/>
                <w:webHidden/>
              </w:rPr>
              <w:fldChar w:fldCharType="separate"/>
            </w:r>
            <w:r w:rsidR="00407C78">
              <w:rPr>
                <w:noProof/>
                <w:webHidden/>
              </w:rPr>
              <w:t>29</w:t>
            </w:r>
            <w:r w:rsidR="00407C78">
              <w:rPr>
                <w:noProof/>
                <w:webHidden/>
              </w:rPr>
              <w:fldChar w:fldCharType="end"/>
            </w:r>
          </w:hyperlink>
        </w:p>
        <w:p w14:paraId="624A3B1B"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109" w:history="1">
            <w:r w:rsidR="00407C78" w:rsidRPr="006856FE">
              <w:rPr>
                <w:rStyle w:val="Hyperlink"/>
                <w:noProof/>
              </w:rPr>
              <w:t>Classroom Quality</w:t>
            </w:r>
            <w:r w:rsidR="00407C78">
              <w:rPr>
                <w:noProof/>
                <w:webHidden/>
              </w:rPr>
              <w:tab/>
            </w:r>
            <w:r w:rsidR="00407C78">
              <w:rPr>
                <w:noProof/>
                <w:webHidden/>
              </w:rPr>
              <w:fldChar w:fldCharType="begin"/>
            </w:r>
            <w:r w:rsidR="00407C78">
              <w:rPr>
                <w:noProof/>
                <w:webHidden/>
              </w:rPr>
              <w:instrText xml:space="preserve"> PAGEREF _Toc467591109 \h </w:instrText>
            </w:r>
            <w:r w:rsidR="00407C78">
              <w:rPr>
                <w:noProof/>
                <w:webHidden/>
              </w:rPr>
            </w:r>
            <w:r w:rsidR="00407C78">
              <w:rPr>
                <w:noProof/>
                <w:webHidden/>
              </w:rPr>
              <w:fldChar w:fldCharType="separate"/>
            </w:r>
            <w:r w:rsidR="00407C78">
              <w:rPr>
                <w:noProof/>
                <w:webHidden/>
              </w:rPr>
              <w:t>30</w:t>
            </w:r>
            <w:r w:rsidR="00407C78">
              <w:rPr>
                <w:noProof/>
                <w:webHidden/>
              </w:rPr>
              <w:fldChar w:fldCharType="end"/>
            </w:r>
          </w:hyperlink>
        </w:p>
        <w:p w14:paraId="54CA7790" w14:textId="77777777" w:rsidR="00407C78" w:rsidRDefault="00B53D96">
          <w:pPr>
            <w:pStyle w:val="TOC1"/>
            <w:tabs>
              <w:tab w:val="right" w:leader="dot" w:pos="9350"/>
            </w:tabs>
            <w:rPr>
              <w:rFonts w:asciiTheme="minorHAnsi" w:eastAsiaTheme="minorEastAsia" w:hAnsiTheme="minorHAnsi" w:cstheme="minorBidi"/>
              <w:noProof/>
              <w:sz w:val="22"/>
              <w:szCs w:val="22"/>
            </w:rPr>
          </w:pPr>
          <w:hyperlink w:anchor="_Toc467591110" w:history="1">
            <w:r w:rsidR="00407C78" w:rsidRPr="006856FE">
              <w:rPr>
                <w:rStyle w:val="Hyperlink"/>
                <w:noProof/>
              </w:rPr>
              <w:t>VII. Expected Costs</w:t>
            </w:r>
            <w:r w:rsidR="00407C78">
              <w:rPr>
                <w:noProof/>
                <w:webHidden/>
              </w:rPr>
              <w:tab/>
            </w:r>
            <w:r w:rsidR="00407C78">
              <w:rPr>
                <w:noProof/>
                <w:webHidden/>
              </w:rPr>
              <w:fldChar w:fldCharType="begin"/>
            </w:r>
            <w:r w:rsidR="00407C78">
              <w:rPr>
                <w:noProof/>
                <w:webHidden/>
              </w:rPr>
              <w:instrText xml:space="preserve"> PAGEREF _Toc467591110 \h </w:instrText>
            </w:r>
            <w:r w:rsidR="00407C78">
              <w:rPr>
                <w:noProof/>
                <w:webHidden/>
              </w:rPr>
            </w:r>
            <w:r w:rsidR="00407C78">
              <w:rPr>
                <w:noProof/>
                <w:webHidden/>
              </w:rPr>
              <w:fldChar w:fldCharType="separate"/>
            </w:r>
            <w:r w:rsidR="00407C78">
              <w:rPr>
                <w:noProof/>
                <w:webHidden/>
              </w:rPr>
              <w:t>36</w:t>
            </w:r>
            <w:r w:rsidR="00407C78">
              <w:rPr>
                <w:noProof/>
                <w:webHidden/>
              </w:rPr>
              <w:fldChar w:fldCharType="end"/>
            </w:r>
          </w:hyperlink>
        </w:p>
        <w:p w14:paraId="7659B9B5" w14:textId="77777777" w:rsidR="00407C78" w:rsidRDefault="00B53D96">
          <w:pPr>
            <w:pStyle w:val="TOC2"/>
            <w:tabs>
              <w:tab w:val="right" w:leader="dot" w:pos="9350"/>
            </w:tabs>
            <w:rPr>
              <w:rFonts w:asciiTheme="minorHAnsi" w:eastAsiaTheme="minorEastAsia" w:hAnsiTheme="minorHAnsi" w:cstheme="minorBidi"/>
              <w:noProof/>
              <w:sz w:val="22"/>
              <w:szCs w:val="22"/>
            </w:rPr>
          </w:pPr>
          <w:hyperlink w:anchor="_Toc467591111" w:history="1">
            <w:r w:rsidR="00407C78" w:rsidRPr="006856FE">
              <w:rPr>
                <w:rStyle w:val="Hyperlink"/>
                <w:noProof/>
              </w:rPr>
              <w:t>Average Projected Cost per PEG Classroom Statewide, 2015-16</w:t>
            </w:r>
            <w:r w:rsidR="00407C78">
              <w:rPr>
                <w:noProof/>
                <w:webHidden/>
              </w:rPr>
              <w:tab/>
            </w:r>
            <w:r w:rsidR="00407C78">
              <w:rPr>
                <w:noProof/>
                <w:webHidden/>
              </w:rPr>
              <w:fldChar w:fldCharType="begin"/>
            </w:r>
            <w:r w:rsidR="00407C78">
              <w:rPr>
                <w:noProof/>
                <w:webHidden/>
              </w:rPr>
              <w:instrText xml:space="preserve"> PAGEREF _Toc467591111 \h </w:instrText>
            </w:r>
            <w:r w:rsidR="00407C78">
              <w:rPr>
                <w:noProof/>
                <w:webHidden/>
              </w:rPr>
            </w:r>
            <w:r w:rsidR="00407C78">
              <w:rPr>
                <w:noProof/>
                <w:webHidden/>
              </w:rPr>
              <w:fldChar w:fldCharType="separate"/>
            </w:r>
            <w:r w:rsidR="00407C78">
              <w:rPr>
                <w:noProof/>
                <w:webHidden/>
              </w:rPr>
              <w:t>36</w:t>
            </w:r>
            <w:r w:rsidR="00407C78">
              <w:rPr>
                <w:noProof/>
                <w:webHidden/>
              </w:rPr>
              <w:fldChar w:fldCharType="end"/>
            </w:r>
          </w:hyperlink>
        </w:p>
        <w:p w14:paraId="6B365242" w14:textId="77777777" w:rsidR="00407C78" w:rsidRDefault="00B53D96">
          <w:pPr>
            <w:pStyle w:val="TOC1"/>
            <w:tabs>
              <w:tab w:val="right" w:leader="dot" w:pos="9350"/>
            </w:tabs>
            <w:rPr>
              <w:rFonts w:asciiTheme="minorHAnsi" w:eastAsiaTheme="minorEastAsia" w:hAnsiTheme="minorHAnsi" w:cstheme="minorBidi"/>
              <w:noProof/>
              <w:sz w:val="22"/>
              <w:szCs w:val="22"/>
            </w:rPr>
          </w:pPr>
          <w:hyperlink w:anchor="_Toc467591112" w:history="1">
            <w:r w:rsidR="00407C78" w:rsidRPr="006856FE">
              <w:rPr>
                <w:rStyle w:val="Hyperlink"/>
                <w:noProof/>
              </w:rPr>
              <w:t>VIII. Conclusions</w:t>
            </w:r>
            <w:r w:rsidR="00407C78">
              <w:rPr>
                <w:noProof/>
                <w:webHidden/>
              </w:rPr>
              <w:tab/>
            </w:r>
            <w:r w:rsidR="00407C78">
              <w:rPr>
                <w:noProof/>
                <w:webHidden/>
              </w:rPr>
              <w:fldChar w:fldCharType="begin"/>
            </w:r>
            <w:r w:rsidR="00407C78">
              <w:rPr>
                <w:noProof/>
                <w:webHidden/>
              </w:rPr>
              <w:instrText xml:space="preserve"> PAGEREF _Toc467591112 \h </w:instrText>
            </w:r>
            <w:r w:rsidR="00407C78">
              <w:rPr>
                <w:noProof/>
                <w:webHidden/>
              </w:rPr>
            </w:r>
            <w:r w:rsidR="00407C78">
              <w:rPr>
                <w:noProof/>
                <w:webHidden/>
              </w:rPr>
              <w:fldChar w:fldCharType="separate"/>
            </w:r>
            <w:r w:rsidR="00407C78">
              <w:rPr>
                <w:noProof/>
                <w:webHidden/>
              </w:rPr>
              <w:t>42</w:t>
            </w:r>
            <w:r w:rsidR="00407C78">
              <w:rPr>
                <w:noProof/>
                <w:webHidden/>
              </w:rPr>
              <w:fldChar w:fldCharType="end"/>
            </w:r>
          </w:hyperlink>
        </w:p>
        <w:p w14:paraId="1DFE9169" w14:textId="77777777" w:rsidR="00BB42D8" w:rsidRDefault="00063467">
          <w:r>
            <w:fldChar w:fldCharType="end"/>
          </w:r>
        </w:p>
      </w:sdtContent>
    </w:sdt>
    <w:p w14:paraId="4A1D1E1E" w14:textId="77777777" w:rsidR="007966A9" w:rsidRDefault="007966A9">
      <w:r>
        <w:br w:type="page"/>
      </w:r>
    </w:p>
    <w:p w14:paraId="5A194ED9" w14:textId="77777777" w:rsidR="0081424C" w:rsidRDefault="0081424C" w:rsidP="0081424C">
      <w:pPr>
        <w:pStyle w:val="Heading1"/>
      </w:pPr>
      <w:bookmarkStart w:id="0" w:name="_Toc467591088"/>
      <w:r w:rsidRPr="0081424C">
        <w:rPr>
          <w:b w:val="0"/>
          <w:bCs w:val="0"/>
        </w:rPr>
        <w:lastRenderedPageBreak/>
        <w:t>I.</w:t>
      </w:r>
      <w:r>
        <w:t xml:space="preserve"> Executive Summary</w:t>
      </w:r>
      <w:bookmarkEnd w:id="0"/>
    </w:p>
    <w:p w14:paraId="17F2AE88" w14:textId="77777777" w:rsidR="00A17C98" w:rsidRDefault="00F24761" w:rsidP="00A17C98">
      <w:pPr>
        <w:spacing w:before="100" w:beforeAutospacing="1" w:after="100" w:afterAutospacing="1"/>
      </w:pPr>
      <w:r w:rsidRPr="00F24761">
        <w:t xml:space="preserve">In December 2014, </w:t>
      </w:r>
      <w:r w:rsidR="005F68C1">
        <w:t>t</w:t>
      </w:r>
      <w:r w:rsidR="005F68C1" w:rsidRPr="00571840">
        <w:t xml:space="preserve">he Massachusetts Department of Early Education and Care </w:t>
      </w:r>
      <w:r w:rsidR="005F68C1">
        <w:t xml:space="preserve">(EEC) was </w:t>
      </w:r>
      <w:r w:rsidR="00A17C98">
        <w:t xml:space="preserve">one of 18 states </w:t>
      </w:r>
      <w:r w:rsidR="005F68C1">
        <w:t>awarded</w:t>
      </w:r>
      <w:r w:rsidR="005F68C1" w:rsidRPr="00571840">
        <w:t xml:space="preserve"> a federal Preschool </w:t>
      </w:r>
      <w:r w:rsidR="00A17C98">
        <w:t>Development Grant and one of 13 such grants focused on preschool expansion.</w:t>
      </w:r>
      <w:r w:rsidR="00A17C98" w:rsidRPr="00A17C98">
        <w:rPr>
          <w:rFonts w:eastAsia="Calibri"/>
          <w:sz w:val="22"/>
          <w:szCs w:val="20"/>
        </w:rPr>
        <w:t xml:space="preserve"> </w:t>
      </w:r>
      <w:r w:rsidR="00A17C98">
        <w:rPr>
          <w:rFonts w:eastAsia="Calibri"/>
          <w:sz w:val="22"/>
          <w:szCs w:val="20"/>
        </w:rPr>
        <w:t xml:space="preserve">The Preschool Development Grants are a </w:t>
      </w:r>
      <w:r w:rsidR="00A17C98" w:rsidRPr="00A17C98">
        <w:t xml:space="preserve">discretionary federal grant program that is jointly administered by the U.S. Department of Education and the U.S. Department of Health and Human Services. </w:t>
      </w:r>
      <w:r w:rsidR="00A17C98">
        <w:t>These grants</w:t>
      </w:r>
      <w:r w:rsidR="0061756D">
        <w:t xml:space="preserve"> support states in</w:t>
      </w:r>
      <w:r w:rsidR="00A17C98" w:rsidRPr="00A17C98">
        <w:t xml:space="preserve"> (1) build</w:t>
      </w:r>
      <w:r w:rsidR="0061756D">
        <w:t>ing or enhancing</w:t>
      </w:r>
      <w:r w:rsidR="00A17C98" w:rsidRPr="00A17C98">
        <w:t xml:space="preserve"> their infrastructure to provide high-quality preschool programs (referred to as Preschool Development Grants) and (2) expand</w:t>
      </w:r>
      <w:r w:rsidR="0061756D">
        <w:t>ing</w:t>
      </w:r>
      <w:r w:rsidR="00A17C98" w:rsidRPr="00A17C98">
        <w:t xml:space="preserve"> high-quality preschool programs in high-need communities (referred to as Preschool Expansion Grants</w:t>
      </w:r>
      <w:r w:rsidR="0061756D">
        <w:t xml:space="preserve"> - Massachusetts' category</w:t>
      </w:r>
      <w:r w:rsidR="00A17C98" w:rsidRPr="00A17C98">
        <w:t>). Each state grantee uses their funds in a unique way to expand</w:t>
      </w:r>
      <w:r w:rsidR="00726EB7">
        <w:t xml:space="preserve"> state-funded</w:t>
      </w:r>
      <w:r w:rsidR="00A17C98" w:rsidRPr="00A17C98">
        <w:t xml:space="preserve"> high-quality preschool.</w:t>
      </w:r>
    </w:p>
    <w:p w14:paraId="541E46C3" w14:textId="77777777" w:rsidR="00E443E1" w:rsidRPr="00E443E1" w:rsidRDefault="00A17C98" w:rsidP="00E443E1">
      <w:pPr>
        <w:spacing w:before="100" w:beforeAutospacing="1" w:after="100" w:afterAutospacing="1"/>
      </w:pPr>
      <w:r>
        <w:t>Massachusetts' approved application proposed working</w:t>
      </w:r>
      <w:r w:rsidR="005F68C1" w:rsidRPr="00571840">
        <w:t xml:space="preserve"> with five communities </w:t>
      </w:r>
      <w:r w:rsidR="00726EB7">
        <w:t xml:space="preserve">in these efforts </w:t>
      </w:r>
      <w:r w:rsidR="005F68C1" w:rsidRPr="00571840">
        <w:t>to expand high-quality ea</w:t>
      </w:r>
      <w:r w:rsidR="005F68C1">
        <w:t>rly childhood education to four-year-</w:t>
      </w:r>
      <w:r w:rsidR="005F68C1" w:rsidRPr="00571840">
        <w:t>old children whose families earn under 200 percent of the federal poverty line.</w:t>
      </w:r>
      <w:r w:rsidR="00E443E1">
        <w:t xml:space="preserve">  In applying for this funding, EEC noted, "</w:t>
      </w:r>
      <w:r w:rsidR="00E443E1" w:rsidRPr="00E443E1">
        <w:t>Our most vulnerable families include those living with limited income, some in deep multi-generational poverty, whose daily lives are characterized by significant housing instability, health and mental health needs, nutrition challenges and the now well-known impact of chronic trauma, toxic stress and adverse childhood experiences. Our military, refugee and immigrant families also face many of these same challenges. For all of these populations with young children, access to high-quality preschool represents both a common need and an immensely effective public policy to stabilize the family and advance both child and parent well-being.</w:t>
      </w:r>
      <w:r w:rsidR="00E443E1">
        <w:t>" The efforts to expand state-funded prekindergarten as reflected in the</w:t>
      </w:r>
      <w:r w:rsidR="001E7A4E">
        <w:t xml:space="preserve"> Preschool Expansion Grant</w:t>
      </w:r>
      <w:r w:rsidR="00E443E1">
        <w:t xml:space="preserve"> </w:t>
      </w:r>
      <w:r w:rsidR="001E7A4E">
        <w:t>(</w:t>
      </w:r>
      <w:r w:rsidR="00E443E1">
        <w:t>PEG</w:t>
      </w:r>
      <w:r w:rsidR="001E7A4E">
        <w:t>)</w:t>
      </w:r>
      <w:r w:rsidR="00E443E1">
        <w:t xml:space="preserve"> program represents a recognition that </w:t>
      </w:r>
      <w:r w:rsidR="00E443E1">
        <w:rPr>
          <w:rFonts w:eastAsia="Times New Roman"/>
        </w:rPr>
        <w:t>"the overall third grade reading performance is troubling enough, with 43% of children scoring below proficient, but the performance of low-income children is even more alarming with a staggering 61% below proficiency. Massachusetts can, and must, do more to engage and support children, especially vulnerable populations, during the critical years preceding kindergarten."</w:t>
      </w:r>
    </w:p>
    <w:p w14:paraId="288D78E3" w14:textId="5FBC78D1" w:rsidR="005F68C1" w:rsidRPr="00571840" w:rsidRDefault="005F68C1" w:rsidP="00A17C98">
      <w:pPr>
        <w:spacing w:before="100" w:beforeAutospacing="1" w:after="100" w:afterAutospacing="1"/>
      </w:pPr>
      <w:r w:rsidRPr="00571840">
        <w:t>Five high-need communities in Massachusetts -</w:t>
      </w:r>
      <w:r>
        <w:t>-</w:t>
      </w:r>
      <w:r w:rsidRPr="00571840">
        <w:t xml:space="preserve"> Boston, Holyoke, Lawrence, Lowell, and Springfield -</w:t>
      </w:r>
      <w:r>
        <w:t>-</w:t>
      </w:r>
      <w:r w:rsidRPr="00571840">
        <w:t xml:space="preserve"> </w:t>
      </w:r>
      <w:r>
        <w:t xml:space="preserve">have </w:t>
      </w:r>
      <w:r w:rsidRPr="001C744E">
        <w:t xml:space="preserve">been </w:t>
      </w:r>
      <w:r w:rsidRPr="00571840">
        <w:t>funded to implement full-day, full-year preschool for four-year-olds through public-private partnerships between the local education agency (LEA) and two or three local licensed early learning providers (ELPs). The public school</w:t>
      </w:r>
      <w:r>
        <w:t xml:space="preserve"> districts are</w:t>
      </w:r>
      <w:r w:rsidRPr="00571840">
        <w:t xml:space="preserve"> granted the funds</w:t>
      </w:r>
      <w:r>
        <w:t xml:space="preserve"> from EEC</w:t>
      </w:r>
      <w:r w:rsidRPr="00571840">
        <w:t xml:space="preserve"> and </w:t>
      </w:r>
      <w:r>
        <w:t xml:space="preserve">are </w:t>
      </w:r>
      <w:r w:rsidRPr="00571840">
        <w:t>subcontract</w:t>
      </w:r>
      <w:r>
        <w:t>ing</w:t>
      </w:r>
      <w:r w:rsidRPr="00571840">
        <w:t xml:space="preserve"> </w:t>
      </w:r>
      <w:r>
        <w:t>with</w:t>
      </w:r>
      <w:r w:rsidRPr="00571840">
        <w:t xml:space="preserve"> the ELPs for the direct services they provide to children and families</w:t>
      </w:r>
      <w:r w:rsidRPr="00F57877">
        <w:t xml:space="preserve"> </w:t>
      </w:r>
      <w:r>
        <w:t>in</w:t>
      </w:r>
      <w:r w:rsidR="005462F5">
        <w:t xml:space="preserve"> the community. </w:t>
      </w:r>
      <w:r w:rsidRPr="00571840">
        <w:t xml:space="preserve">While </w:t>
      </w:r>
      <w:r w:rsidR="001E7A4E">
        <w:t>only</w:t>
      </w:r>
      <w:r w:rsidRPr="00571840">
        <w:t xml:space="preserve"> ELPs </w:t>
      </w:r>
      <w:r>
        <w:t xml:space="preserve">are </w:t>
      </w:r>
      <w:r w:rsidR="001E7A4E">
        <w:t>running the PEG funded classrooms</w:t>
      </w:r>
      <w:r w:rsidRPr="00571840">
        <w:t>, the LEA</w:t>
      </w:r>
      <w:r w:rsidR="001E0A11">
        <w:t>s</w:t>
      </w:r>
      <w:r w:rsidRPr="00571840">
        <w:t xml:space="preserve"> </w:t>
      </w:r>
      <w:r>
        <w:t xml:space="preserve">are </w:t>
      </w:r>
      <w:r w:rsidRPr="00571840">
        <w:t>work</w:t>
      </w:r>
      <w:r>
        <w:t>ing</w:t>
      </w:r>
      <w:r w:rsidRPr="00571840">
        <w:t xml:space="preserve"> with the ELPs around the selection and implementation of curriculum, coordination and provision of comprehensive services, family engagement supports, and inclusive services for special populations, as well as joint professional development. </w:t>
      </w:r>
      <w:r w:rsidR="00A17C98" w:rsidRPr="00571840">
        <w:t xml:space="preserve">Massachusetts' </w:t>
      </w:r>
      <w:r w:rsidR="00A17C98">
        <w:t xml:space="preserve">approved </w:t>
      </w:r>
      <w:hyperlink r:id="rId11" w:history="1">
        <w:r w:rsidR="00A17C98" w:rsidRPr="00571840">
          <w:rPr>
            <w:rStyle w:val="Hyperlink"/>
          </w:rPr>
          <w:t>grant application</w:t>
        </w:r>
      </w:hyperlink>
      <w:r w:rsidR="00A17C98">
        <w:t xml:space="preserve"> can be found on the Department of </w:t>
      </w:r>
      <w:r w:rsidR="00822969">
        <w:t xml:space="preserve">Early Education and Care’s </w:t>
      </w:r>
      <w:r w:rsidR="00A17C98">
        <w:t xml:space="preserve">Preschool Development Grant </w:t>
      </w:r>
      <w:hyperlink r:id="rId12" w:history="1">
        <w:r w:rsidR="00A17C98" w:rsidRPr="008F76F7">
          <w:rPr>
            <w:rStyle w:val="Hyperlink"/>
          </w:rPr>
          <w:t>website</w:t>
        </w:r>
      </w:hyperlink>
      <w:r w:rsidR="00A17C98">
        <w:t>.</w:t>
      </w:r>
      <w:r w:rsidR="009747FB">
        <w:t xml:space="preserve"> </w:t>
      </w:r>
    </w:p>
    <w:p w14:paraId="56637255" w14:textId="77777777" w:rsidR="00670AA7" w:rsidRDefault="005F68C1" w:rsidP="00726EB7">
      <w:pPr>
        <w:pStyle w:val="NoSpacing"/>
        <w:spacing w:line="276" w:lineRule="auto"/>
        <w:rPr>
          <w:rFonts w:ascii="Times New Roman" w:hAnsi="Times New Roman"/>
          <w:sz w:val="24"/>
          <w:szCs w:val="24"/>
        </w:rPr>
      </w:pPr>
      <w:r>
        <w:rPr>
          <w:rFonts w:ascii="Times New Roman" w:hAnsi="Times New Roman"/>
          <w:sz w:val="24"/>
          <w:szCs w:val="24"/>
        </w:rPr>
        <w:lastRenderedPageBreak/>
        <w:t>EEC has also</w:t>
      </w:r>
      <w:r w:rsidRPr="00571840">
        <w:rPr>
          <w:rFonts w:ascii="Times New Roman" w:hAnsi="Times New Roman"/>
          <w:sz w:val="24"/>
          <w:szCs w:val="24"/>
        </w:rPr>
        <w:t xml:space="preserve"> </w:t>
      </w:r>
      <w:r>
        <w:rPr>
          <w:rFonts w:ascii="Times New Roman" w:hAnsi="Times New Roman"/>
          <w:sz w:val="24"/>
          <w:szCs w:val="24"/>
        </w:rPr>
        <w:t xml:space="preserve">contracted with </w:t>
      </w:r>
      <w:proofErr w:type="spellStart"/>
      <w:r>
        <w:rPr>
          <w:rFonts w:ascii="Times New Roman" w:hAnsi="Times New Roman"/>
          <w:sz w:val="24"/>
          <w:szCs w:val="24"/>
        </w:rPr>
        <w:t>Abt</w:t>
      </w:r>
      <w:proofErr w:type="spellEnd"/>
      <w:r>
        <w:rPr>
          <w:rFonts w:ascii="Times New Roman" w:hAnsi="Times New Roman"/>
          <w:sz w:val="24"/>
          <w:szCs w:val="24"/>
        </w:rPr>
        <w:t xml:space="preserve"> Associates </w:t>
      </w:r>
      <w:r w:rsidRPr="00571840">
        <w:rPr>
          <w:rFonts w:ascii="Times New Roman" w:hAnsi="Times New Roman"/>
          <w:sz w:val="24"/>
          <w:szCs w:val="24"/>
        </w:rPr>
        <w:t>to perform a multi-component</w:t>
      </w:r>
      <w:r>
        <w:rPr>
          <w:rFonts w:ascii="Times New Roman" w:hAnsi="Times New Roman"/>
          <w:sz w:val="24"/>
          <w:szCs w:val="24"/>
        </w:rPr>
        <w:t>,</w:t>
      </w:r>
      <w:r w:rsidRPr="00571840">
        <w:rPr>
          <w:rFonts w:ascii="Times New Roman" w:hAnsi="Times New Roman"/>
          <w:sz w:val="24"/>
          <w:szCs w:val="24"/>
        </w:rPr>
        <w:t xml:space="preserve"> longitudinal evaluation of the use of PEG funds in Massachusetts</w:t>
      </w:r>
      <w:r>
        <w:rPr>
          <w:rFonts w:ascii="Times New Roman" w:hAnsi="Times New Roman"/>
          <w:sz w:val="24"/>
          <w:szCs w:val="24"/>
        </w:rPr>
        <w:t>, t</w:t>
      </w:r>
      <w:r w:rsidRPr="00571840">
        <w:rPr>
          <w:rFonts w:ascii="Times New Roman" w:hAnsi="Times New Roman"/>
          <w:sz w:val="24"/>
          <w:szCs w:val="24"/>
        </w:rPr>
        <w:t>o learn from the communities implementing the PEG grant, support quality improvement at the local level, and inform decisions about sustaining and expanding programs and policies developed through this grant</w:t>
      </w:r>
      <w:r>
        <w:rPr>
          <w:rFonts w:ascii="Times New Roman" w:hAnsi="Times New Roman"/>
          <w:sz w:val="24"/>
          <w:szCs w:val="24"/>
        </w:rPr>
        <w:t>.</w:t>
      </w:r>
      <w:r w:rsidRPr="00571840">
        <w:rPr>
          <w:rFonts w:ascii="Times New Roman" w:hAnsi="Times New Roman"/>
          <w:sz w:val="24"/>
          <w:szCs w:val="24"/>
        </w:rPr>
        <w:t xml:space="preserve"> </w:t>
      </w:r>
      <w:r>
        <w:rPr>
          <w:rFonts w:ascii="Times New Roman" w:hAnsi="Times New Roman"/>
          <w:sz w:val="24"/>
          <w:szCs w:val="24"/>
        </w:rPr>
        <w:t>This report draws on the</w:t>
      </w:r>
      <w:r w:rsidR="00D752A2">
        <w:rPr>
          <w:rFonts w:ascii="Times New Roman" w:hAnsi="Times New Roman"/>
          <w:sz w:val="24"/>
          <w:szCs w:val="24"/>
        </w:rPr>
        <w:t xml:space="preserve"> findings of the first year of this evaluation to provide information about the governance structure, supports offered </w:t>
      </w:r>
      <w:r w:rsidR="00F32991">
        <w:rPr>
          <w:rFonts w:ascii="Times New Roman" w:hAnsi="Times New Roman"/>
          <w:sz w:val="24"/>
          <w:szCs w:val="24"/>
        </w:rPr>
        <w:t>to</w:t>
      </w:r>
      <w:r w:rsidR="00D752A2">
        <w:rPr>
          <w:rFonts w:ascii="Times New Roman" w:hAnsi="Times New Roman"/>
          <w:sz w:val="24"/>
          <w:szCs w:val="24"/>
        </w:rPr>
        <w:t xml:space="preserve"> teachers and parents in each community</w:t>
      </w:r>
      <w:r w:rsidR="00714CC3">
        <w:rPr>
          <w:rFonts w:ascii="Times New Roman" w:hAnsi="Times New Roman"/>
          <w:sz w:val="24"/>
          <w:szCs w:val="24"/>
        </w:rPr>
        <w:t>, organization and quality of the programming for children, and Kindergarten readiness of the first cohort of children to attend the program</w:t>
      </w:r>
      <w:r w:rsidR="00670AA7">
        <w:rPr>
          <w:rFonts w:ascii="Times New Roman" w:hAnsi="Times New Roman"/>
          <w:sz w:val="24"/>
          <w:szCs w:val="24"/>
        </w:rPr>
        <w:t xml:space="preserve">. </w:t>
      </w:r>
    </w:p>
    <w:p w14:paraId="402606DD" w14:textId="77777777" w:rsidR="00407C78" w:rsidRDefault="00407C78" w:rsidP="00726EB7">
      <w:pPr>
        <w:pStyle w:val="NoSpacing"/>
        <w:spacing w:line="276" w:lineRule="auto"/>
        <w:rPr>
          <w:rFonts w:ascii="Times New Roman" w:hAnsi="Times New Roman"/>
          <w:sz w:val="24"/>
          <w:szCs w:val="24"/>
        </w:rPr>
      </w:pPr>
    </w:p>
    <w:p w14:paraId="0DE219EA" w14:textId="77777777" w:rsidR="003147EB" w:rsidRDefault="0081424C" w:rsidP="003147EB">
      <w:r>
        <w:t xml:space="preserve">The first year of the PEG program has shown that collaborations between public school districts and EEC-licensed early education providers can be effective at designing and implementing high-quality prekindergarten programs in a relatively short period of time. </w:t>
      </w:r>
    </w:p>
    <w:p w14:paraId="3608E061" w14:textId="77777777" w:rsidR="003147EB" w:rsidRDefault="0081424C" w:rsidP="002664A7">
      <w:pPr>
        <w:pStyle w:val="ListParagraph"/>
        <w:numPr>
          <w:ilvl w:val="0"/>
          <w:numId w:val="10"/>
        </w:numPr>
        <w:ind w:left="360" w:right="-180" w:hanging="180"/>
      </w:pPr>
      <w:r w:rsidRPr="00111433">
        <w:t xml:space="preserve">Despite opening their doors six months before classroom observations were conducted, most PEG classrooms were rated by </w:t>
      </w:r>
      <w:r>
        <w:t xml:space="preserve">external </w:t>
      </w:r>
      <w:r w:rsidRPr="00111433">
        <w:t>observers as demonstrating moderate to high levels of quality across three different measures of important dimensions of classroom quality.</w:t>
      </w:r>
      <w:r w:rsidR="003147EB">
        <w:t xml:space="preserve">  </w:t>
      </w:r>
    </w:p>
    <w:p w14:paraId="0D94AFD3" w14:textId="77777777" w:rsidR="003147EB" w:rsidRDefault="003147EB" w:rsidP="002664A7">
      <w:pPr>
        <w:pStyle w:val="ListParagraph"/>
        <w:numPr>
          <w:ilvl w:val="0"/>
          <w:numId w:val="10"/>
        </w:numPr>
        <w:ind w:left="360" w:hanging="180"/>
      </w:pPr>
      <w:r>
        <w:t xml:space="preserve">Classrooms </w:t>
      </w:r>
      <w:r w:rsidR="00496431">
        <w:t>were</w:t>
      </w:r>
      <w:r>
        <w:t xml:space="preserve"> staffed </w:t>
      </w:r>
      <w:r w:rsidR="00496431">
        <w:t>by l</w:t>
      </w:r>
      <w:r>
        <w:t xml:space="preserve">ead teachers with bachelor’s degrees (or higher) and compensation </w:t>
      </w:r>
      <w:r w:rsidR="00496431">
        <w:t>was</w:t>
      </w:r>
      <w:r>
        <w:t xml:space="preserve"> commensurate with the public schools.</w:t>
      </w:r>
      <w:r w:rsidR="0081424C" w:rsidRPr="00111433">
        <w:t xml:space="preserve">  </w:t>
      </w:r>
    </w:p>
    <w:p w14:paraId="1C29E92D" w14:textId="77777777" w:rsidR="0081424C" w:rsidRDefault="003147EB" w:rsidP="002664A7">
      <w:pPr>
        <w:pStyle w:val="ListParagraph"/>
        <w:numPr>
          <w:ilvl w:val="0"/>
          <w:numId w:val="10"/>
        </w:numPr>
        <w:ind w:left="360" w:hanging="180"/>
      </w:pPr>
      <w:r>
        <w:t>PEG programs have enrolled a diverse group of low income children, a substantial percentage without early education experience</w:t>
      </w:r>
      <w:r w:rsidR="00496431">
        <w:t>,</w:t>
      </w:r>
      <w:r>
        <w:t xml:space="preserve"> and parents</w:t>
      </w:r>
      <w:r w:rsidR="00F32991">
        <w:t xml:space="preserve"> largely</w:t>
      </w:r>
      <w:r>
        <w:t xml:space="preserve"> feel connected with the programs and comfortable in their ability to communicate with their child’s teacher.</w:t>
      </w:r>
    </w:p>
    <w:p w14:paraId="0EE32DAE" w14:textId="77777777" w:rsidR="0081424C" w:rsidRPr="00111433" w:rsidRDefault="0081424C" w:rsidP="002664A7">
      <w:pPr>
        <w:pStyle w:val="ListParagraph"/>
        <w:ind w:left="360" w:hanging="180"/>
      </w:pPr>
      <w:r>
        <w:t xml:space="preserve">At the end of their year in the PEG program, the low-income children enrolled demonstrated age appropriate skills in math, letter-word recognition, </w:t>
      </w:r>
      <w:proofErr w:type="spellStart"/>
      <w:r>
        <w:t>self regulation</w:t>
      </w:r>
      <w:proofErr w:type="spellEnd"/>
      <w:r>
        <w:t xml:space="preserve"> and the ability to develop positive relationships.</w:t>
      </w:r>
    </w:p>
    <w:p w14:paraId="3C5C26E1" w14:textId="77777777" w:rsidR="0081424C" w:rsidRDefault="0081424C" w:rsidP="0081424C">
      <w:r>
        <w:t>At the same time, some quality components remained only partially implemented or at levels lower than desired, suggesting areas of focus for the second year of implementation.</w:t>
      </w:r>
    </w:p>
    <w:p w14:paraId="364C6832" w14:textId="1E41FB96" w:rsidR="0081424C" w:rsidRDefault="00234856" w:rsidP="002664A7">
      <w:pPr>
        <w:pStyle w:val="ListParagraph"/>
        <w:ind w:left="360" w:hanging="180"/>
      </w:pPr>
      <w:r>
        <w:t>M</w:t>
      </w:r>
      <w:r w:rsidR="0081424C">
        <w:t>easures of particular interactions between teachers and children known to support language, literac</w:t>
      </w:r>
      <w:r w:rsidR="00F32991">
        <w:t>y and conceptual understandings</w:t>
      </w:r>
      <w:r w:rsidR="0081424C">
        <w:t xml:space="preserve"> identified very few classrooms demonstrating very high quality interactions and some demonstrating low quality.</w:t>
      </w:r>
    </w:p>
    <w:p w14:paraId="2C461391" w14:textId="77777777" w:rsidR="0081424C" w:rsidRDefault="0081424C" w:rsidP="002664A7">
      <w:pPr>
        <w:pStyle w:val="ListParagraph"/>
        <w:ind w:left="360" w:hanging="180"/>
      </w:pPr>
      <w:r>
        <w:t>At the end of the PEG program, the children enrolled demonstrate</w:t>
      </w:r>
      <w:r w:rsidR="00496431">
        <w:t>d</w:t>
      </w:r>
      <w:r>
        <w:t xml:space="preserve"> vocabulary skills that were lower than expected based on a national sample, although the biggest differences were observed among dual language learners.</w:t>
      </w:r>
    </w:p>
    <w:p w14:paraId="17696D82" w14:textId="77777777" w:rsidR="003147EB" w:rsidRDefault="003147EB" w:rsidP="002664A7">
      <w:pPr>
        <w:pStyle w:val="ListParagraph"/>
        <w:ind w:left="360" w:hanging="180"/>
      </w:pPr>
      <w:r>
        <w:t>Implementation of some components of the planned programming varied greatly from community to community and, in some cases, program to program, including the comprehensive services available to families, the amount and type of professional development available to teachers</w:t>
      </w:r>
      <w:r w:rsidR="00496431">
        <w:t>,</w:t>
      </w:r>
      <w:r>
        <w:t xml:space="preserve"> and the coordination with public school around children</w:t>
      </w:r>
      <w:r w:rsidR="00496431">
        <w:t>’</w:t>
      </w:r>
      <w:r>
        <w:t>s transition</w:t>
      </w:r>
      <w:r w:rsidR="00496431">
        <w:t>s</w:t>
      </w:r>
      <w:r>
        <w:t xml:space="preserve"> to Kindergarten and the provision of special education services.</w:t>
      </w:r>
    </w:p>
    <w:p w14:paraId="429AC0CF" w14:textId="0703AF11" w:rsidR="0081424C" w:rsidRDefault="0081424C" w:rsidP="002664A7">
      <w:pPr>
        <w:pStyle w:val="ListParagraph"/>
        <w:ind w:left="360" w:right="-180" w:hanging="180"/>
      </w:pPr>
      <w:r>
        <w:t xml:space="preserve">Efforts to fully enroll PEG classrooms in the first year fell short of targets. </w:t>
      </w:r>
      <w:r w:rsidR="008F76F7">
        <w:t>Only one of the five communities reached full enrollment and enr</w:t>
      </w:r>
      <w:r w:rsidR="00421B7F">
        <w:t>ollment pea</w:t>
      </w:r>
      <w:r w:rsidR="008F76F7">
        <w:t>ked across the state at 94</w:t>
      </w:r>
      <w:r w:rsidR="002664A7">
        <w:t>%</w:t>
      </w:r>
      <w:r w:rsidR="008F76F7">
        <w:t xml:space="preserve"> in March.</w:t>
      </w:r>
    </w:p>
    <w:p w14:paraId="45E3A1F6" w14:textId="77777777" w:rsidR="003147EB" w:rsidRDefault="0081424C" w:rsidP="00407C78">
      <w:r>
        <w:lastRenderedPageBreak/>
        <w:t>The collaboration between ELPs and LEAs have provided an opportunity to build a more systematic approach to creating quality early education in these communities, and also allowed programs to share expertise and build programmatic capacity across the community.</w:t>
      </w:r>
      <w:r w:rsidR="003147EB">
        <w:t xml:space="preserve">  At the same time, time and effort have been required to build relationships and negotiate around differences in policies and expectations.</w:t>
      </w:r>
      <w:r>
        <w:t xml:space="preserve">  Capacity building at all level</w:t>
      </w:r>
      <w:r w:rsidR="008E16A4">
        <w:t>s</w:t>
      </w:r>
      <w:r>
        <w:t xml:space="preserve"> of the system will be important in future year</w:t>
      </w:r>
      <w:r w:rsidR="003147EB">
        <w:t>s and</w:t>
      </w:r>
      <w:r>
        <w:t xml:space="preserve"> EEC will continue to support communities through participation in management meetings and technical assistance provided both directly and through state-wide meetings.  In year 2, these efforts will target the areas of development highlighted by the year 1 evaluation findings.  In particular, attention will be given to alignment of professional development supports, continued attention to improving classroom quality particularly around children's language development, improved collaboration for inclusion, and more consistent provision of comprehensive services.</w:t>
      </w:r>
    </w:p>
    <w:p w14:paraId="48C92F43" w14:textId="77777777" w:rsidR="00670AA7" w:rsidRDefault="0081424C" w:rsidP="002F314F">
      <w:pPr>
        <w:pStyle w:val="Heading1"/>
      </w:pPr>
      <w:bookmarkStart w:id="1" w:name="_Toc467591089"/>
      <w:r>
        <w:t>I</w:t>
      </w:r>
      <w:r w:rsidR="00670AA7" w:rsidRPr="00670AA7">
        <w:t>I. Introduction</w:t>
      </w:r>
      <w:bookmarkEnd w:id="1"/>
    </w:p>
    <w:p w14:paraId="6926EF76" w14:textId="0DB68CE9" w:rsidR="00670AA7" w:rsidRDefault="00A17C98" w:rsidP="002664A7">
      <w:pPr>
        <w:spacing w:before="100" w:beforeAutospacing="1" w:after="100" w:afterAutospacing="1"/>
        <w:ind w:right="-270"/>
      </w:pPr>
      <w:r w:rsidRPr="00A17C98">
        <w:t>EEC has completed its first year (2015–16) of overseeing the</w:t>
      </w:r>
      <w:r w:rsidR="00192FB7">
        <w:t xml:space="preserve"> programs funded by the</w:t>
      </w:r>
      <w:r w:rsidR="001E0A11">
        <w:t xml:space="preserve"> federal Preschool Expansion Grant</w:t>
      </w:r>
      <w:r w:rsidRPr="00A17C98">
        <w:t xml:space="preserve"> </w:t>
      </w:r>
      <w:r w:rsidR="001E0A11">
        <w:t>(</w:t>
      </w:r>
      <w:r w:rsidRPr="00A17C98">
        <w:t>PEG</w:t>
      </w:r>
      <w:r w:rsidR="001E0A11">
        <w:t>)</w:t>
      </w:r>
      <w:r w:rsidRPr="00A17C98">
        <w:t xml:space="preserve">, </w:t>
      </w:r>
      <w:r w:rsidR="00726EB7">
        <w:t>providing</w:t>
      </w:r>
      <w:r w:rsidRPr="00A17C98">
        <w:t xml:space="preserve"> resources to 48 classrooms in five communities across Massachusetts</w:t>
      </w:r>
      <w:r w:rsidR="00726EB7">
        <w:t xml:space="preserve"> - </w:t>
      </w:r>
      <w:r>
        <w:t>Boston, Holyoke, Lawrence, Lowell and Springfield</w:t>
      </w:r>
      <w:r w:rsidRPr="00A17C98">
        <w:t xml:space="preserve">. </w:t>
      </w:r>
      <w:r w:rsidR="00670AA7" w:rsidRPr="00571840">
        <w:t xml:space="preserve">The </w:t>
      </w:r>
      <w:r w:rsidR="009747FB">
        <w:t>local education agencies (</w:t>
      </w:r>
      <w:r w:rsidR="00670AA7" w:rsidRPr="00571840">
        <w:t>LEAs</w:t>
      </w:r>
      <w:r w:rsidR="009747FB">
        <w:t>)</w:t>
      </w:r>
      <w:r w:rsidR="00670AA7" w:rsidRPr="00571840">
        <w:t xml:space="preserve"> and</w:t>
      </w:r>
      <w:r w:rsidR="009747FB">
        <w:t xml:space="preserve"> early learning providers</w:t>
      </w:r>
      <w:r w:rsidR="00670AA7" w:rsidRPr="00571840">
        <w:t xml:space="preserve"> </w:t>
      </w:r>
      <w:r w:rsidR="009747FB">
        <w:t>(</w:t>
      </w:r>
      <w:r w:rsidR="00670AA7" w:rsidRPr="00571840">
        <w:t>ELPs</w:t>
      </w:r>
      <w:r w:rsidR="009747FB">
        <w:t>)</w:t>
      </w:r>
      <w:r w:rsidR="00670AA7">
        <w:t xml:space="preserve"> in </w:t>
      </w:r>
      <w:r w:rsidR="0053715D">
        <w:t>each community</w:t>
      </w:r>
      <w:r w:rsidR="00670AA7" w:rsidRPr="00571840">
        <w:t xml:space="preserve"> </w:t>
      </w:r>
      <w:r w:rsidR="00726EB7">
        <w:t>worked</w:t>
      </w:r>
      <w:r w:rsidR="00670AA7" w:rsidRPr="00571840">
        <w:t xml:space="preserve"> collaboratively </w:t>
      </w:r>
      <w:r w:rsidR="00726EB7">
        <w:t>from</w:t>
      </w:r>
      <w:r w:rsidR="00670AA7" w:rsidRPr="00571840">
        <w:t xml:space="preserve"> January 2015 to design preschool programs t</w:t>
      </w:r>
      <w:r w:rsidR="00B30987">
        <w:t>hat leverage local resources,</w:t>
      </w:r>
      <w:r w:rsidR="00670AA7" w:rsidRPr="00571840">
        <w:t xml:space="preserve"> are provided </w:t>
      </w:r>
      <w:r w:rsidR="00B30987">
        <w:t>by</w:t>
      </w:r>
      <w:r w:rsidR="00670AA7" w:rsidRPr="00571840">
        <w:t xml:space="preserve"> the ELPs and supported by the LEA</w:t>
      </w:r>
      <w:r w:rsidR="00726EB7">
        <w:t xml:space="preserve"> and began implementation in September 2015</w:t>
      </w:r>
      <w:r w:rsidR="00670AA7" w:rsidRPr="00571840">
        <w:t>.</w:t>
      </w:r>
      <w:r w:rsidR="00670AA7">
        <w:t xml:space="preserve">  </w:t>
      </w:r>
      <w:r w:rsidR="00670AA7" w:rsidRPr="00571840">
        <w:t>Each community has a Head Start program as one of the ELPs, in addition to other programs</w:t>
      </w:r>
      <w:r w:rsidR="009747FB">
        <w:t xml:space="preserve"> that serve preschool children</w:t>
      </w:r>
      <w:r w:rsidR="005462F5">
        <w:t>,</w:t>
      </w:r>
      <w:r w:rsidR="00670AA7" w:rsidRPr="00571840">
        <w:t xml:space="preserve"> such as two YMCA programs, a for-profit childcare center, two charter schools, and two other local licensed </w:t>
      </w:r>
      <w:r w:rsidR="00670AA7">
        <w:t>early childhood education (ECE) programs.</w:t>
      </w:r>
      <w:r w:rsidR="00670AA7" w:rsidRPr="00571840">
        <w:t xml:space="preserve">  </w:t>
      </w:r>
      <w:r w:rsidR="00670AA7">
        <w:t xml:space="preserve">The current plan provides space for </w:t>
      </w:r>
      <w:r w:rsidR="00670AA7" w:rsidRPr="00571840">
        <w:t>approximately 8</w:t>
      </w:r>
      <w:r w:rsidR="00670AA7">
        <w:t>50</w:t>
      </w:r>
      <w:r w:rsidR="00670AA7" w:rsidRPr="00571840">
        <w:t xml:space="preserve"> children in </w:t>
      </w:r>
      <w:r w:rsidR="00670AA7">
        <w:t>48</w:t>
      </w:r>
      <w:r w:rsidR="00670AA7" w:rsidRPr="00571840">
        <w:t xml:space="preserve"> classrooms with services provided by 12 ELP</w:t>
      </w:r>
      <w:r w:rsidR="00670AA7">
        <w:t>s</w:t>
      </w:r>
      <w:r w:rsidR="00670AA7" w:rsidRPr="00571840">
        <w:t xml:space="preserve"> across the five communities.  Four-year-old children are eligible if their family income is below 200 percent of the federal poverty line and if they will be eligible for Kindergarten in the following September.</w:t>
      </w:r>
      <w:r w:rsidR="00670AA7">
        <w:t xml:space="preserve">  All programs were operational by end of October 2015, most began operations in September.</w:t>
      </w:r>
      <w:r w:rsidR="00670AA7" w:rsidRPr="00571840">
        <w:t xml:space="preserve">  All the communities, except </w:t>
      </w:r>
      <w:smartTag w:uri="urn:schemas-microsoft-com:office:smarttags" w:element="State">
        <w:smartTag w:uri="urn:schemas-microsoft-com:office:smarttags" w:element="City">
          <w:smartTag w:uri="urn:schemas-microsoft-com:office:smarttags" w:element="place">
            <w:r w:rsidR="00670AA7" w:rsidRPr="00571840">
              <w:t>Boston</w:t>
            </w:r>
          </w:smartTag>
        </w:smartTag>
      </w:smartTag>
      <w:r w:rsidR="00670AA7" w:rsidRPr="00571840">
        <w:t xml:space="preserve">, </w:t>
      </w:r>
      <w:r w:rsidR="00670AA7">
        <w:t>limited</w:t>
      </w:r>
      <w:r w:rsidR="00670AA7" w:rsidRPr="00571840">
        <w:t xml:space="preserve"> </w:t>
      </w:r>
      <w:r w:rsidR="00670AA7">
        <w:t xml:space="preserve">initial </w:t>
      </w:r>
      <w:r w:rsidR="00670AA7" w:rsidRPr="00571840">
        <w:t>enroll</w:t>
      </w:r>
      <w:r w:rsidR="00670AA7">
        <w:t>ment to</w:t>
      </w:r>
      <w:r w:rsidR="00670AA7" w:rsidRPr="00571840">
        <w:t xml:space="preserve"> children who </w:t>
      </w:r>
      <w:r w:rsidR="00670AA7">
        <w:t>had</w:t>
      </w:r>
      <w:r w:rsidR="00670AA7" w:rsidRPr="00571840">
        <w:t xml:space="preserve"> never before attended </w:t>
      </w:r>
      <w:r w:rsidR="00B30987">
        <w:t>any formal</w:t>
      </w:r>
      <w:r w:rsidR="00670AA7" w:rsidRPr="00571840">
        <w:t xml:space="preserve"> </w:t>
      </w:r>
      <w:r w:rsidR="00670AA7">
        <w:t>early childhood education</w:t>
      </w:r>
      <w:r w:rsidR="00B30987">
        <w:t xml:space="preserve"> program</w:t>
      </w:r>
      <w:r w:rsidR="00670AA7" w:rsidRPr="00571840">
        <w:t xml:space="preserve">.  In </w:t>
      </w:r>
      <w:smartTag w:uri="urn:schemas-microsoft-com:office:smarttags" w:element="State">
        <w:smartTag w:uri="urn:schemas-microsoft-com:office:smarttags" w:element="City">
          <w:smartTag w:uri="urn:schemas-microsoft-com:office:smarttags" w:element="place">
            <w:r w:rsidR="00670AA7" w:rsidRPr="00571840">
              <w:t>Boston</w:t>
            </w:r>
          </w:smartTag>
        </w:smartTag>
      </w:smartTag>
      <w:r w:rsidR="00670AA7" w:rsidRPr="00571840">
        <w:t xml:space="preserve">, some children new to school </w:t>
      </w:r>
      <w:r w:rsidR="00670AA7">
        <w:t>were</w:t>
      </w:r>
      <w:r w:rsidR="00670AA7" w:rsidRPr="00571840">
        <w:t xml:space="preserve"> identified</w:t>
      </w:r>
      <w:r w:rsidR="002A19D9">
        <w:t>,</w:t>
      </w:r>
      <w:r w:rsidR="00670AA7">
        <w:t xml:space="preserve"> but programs also extended</w:t>
      </w:r>
      <w:r w:rsidR="00670AA7" w:rsidRPr="00571840">
        <w:t xml:space="preserve"> the day and school year </w:t>
      </w:r>
      <w:r w:rsidR="00670AA7">
        <w:t xml:space="preserve">schedule </w:t>
      </w:r>
      <w:r w:rsidR="002A19D9">
        <w:t xml:space="preserve">and improved the quality of </w:t>
      </w:r>
      <w:r w:rsidR="00670AA7" w:rsidRPr="00571840">
        <w:t xml:space="preserve">services for children they </w:t>
      </w:r>
      <w:r w:rsidR="002F314F">
        <w:t xml:space="preserve">were </w:t>
      </w:r>
      <w:r w:rsidR="00670AA7" w:rsidRPr="00571840">
        <w:t>already serv</w:t>
      </w:r>
      <w:r w:rsidR="002F314F">
        <w:t>ing</w:t>
      </w:r>
      <w:r w:rsidR="00670AA7" w:rsidRPr="00571840">
        <w:t xml:space="preserve">.  </w:t>
      </w:r>
      <w:r w:rsidR="0053715D">
        <w:t>Grant amounts were established based on the number of children each community proposed to serve.</w:t>
      </w:r>
      <w:r w:rsidR="005F4A18">
        <w:t xml:space="preserve">  The first cohort of children to attend PEG-funded programs graduated in August 2016 and have since entered Kindergarten.  The second cohort began attending these programs in </w:t>
      </w:r>
      <w:r w:rsidR="00726EB7">
        <w:t>September, 2016.</w:t>
      </w:r>
    </w:p>
    <w:p w14:paraId="15BD5EB5" w14:textId="77777777" w:rsidR="00CA6471" w:rsidRDefault="00CA6471" w:rsidP="007D3411">
      <w:pPr>
        <w:keepNext/>
        <w:spacing w:before="100" w:beforeAutospacing="1" w:after="120"/>
        <w:rPr>
          <w:b/>
        </w:rPr>
      </w:pPr>
      <w:r>
        <w:rPr>
          <w:b/>
        </w:rPr>
        <w:lastRenderedPageBreak/>
        <w:t>Table 1. Summary of Distribution of the PEG grants</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5"/>
        <w:gridCol w:w="1890"/>
        <w:gridCol w:w="5865"/>
      </w:tblGrid>
      <w:tr w:rsidR="00CA6471" w:rsidRPr="002664A7" w14:paraId="6213A73A" w14:textId="77777777" w:rsidTr="002664A7">
        <w:trPr>
          <w:trHeight w:val="277"/>
        </w:trPr>
        <w:tc>
          <w:tcPr>
            <w:tcW w:w="1795" w:type="dxa"/>
            <w:shd w:val="clear" w:color="auto" w:fill="99CCFF"/>
            <w:tcMar>
              <w:top w:w="100" w:type="dxa"/>
              <w:left w:w="100" w:type="dxa"/>
              <w:bottom w:w="100" w:type="dxa"/>
              <w:right w:w="100" w:type="dxa"/>
            </w:tcMar>
            <w:hideMark/>
          </w:tcPr>
          <w:p w14:paraId="1CE6FB41" w14:textId="77777777" w:rsidR="002270B6" w:rsidRPr="002664A7" w:rsidRDefault="00CA6471" w:rsidP="002664A7">
            <w:pPr>
              <w:keepNext/>
              <w:spacing w:after="0" w:line="240" w:lineRule="auto"/>
              <w:rPr>
                <w:sz w:val="22"/>
                <w:szCs w:val="22"/>
              </w:rPr>
            </w:pPr>
            <w:r w:rsidRPr="002664A7">
              <w:rPr>
                <w:b/>
                <w:bCs/>
                <w:sz w:val="22"/>
                <w:szCs w:val="22"/>
              </w:rPr>
              <w:t xml:space="preserve">LEA/Award </w:t>
            </w:r>
          </w:p>
        </w:tc>
        <w:tc>
          <w:tcPr>
            <w:tcW w:w="1890" w:type="dxa"/>
            <w:shd w:val="clear" w:color="auto" w:fill="99CCFF"/>
            <w:tcMar>
              <w:top w:w="100" w:type="dxa"/>
              <w:left w:w="100" w:type="dxa"/>
              <w:bottom w:w="100" w:type="dxa"/>
              <w:right w:w="100" w:type="dxa"/>
            </w:tcMar>
            <w:hideMark/>
          </w:tcPr>
          <w:p w14:paraId="6441BA9D" w14:textId="77777777" w:rsidR="002270B6" w:rsidRPr="002664A7" w:rsidRDefault="00CA6471" w:rsidP="002664A7">
            <w:pPr>
              <w:keepNext/>
              <w:spacing w:after="0" w:line="240" w:lineRule="auto"/>
              <w:rPr>
                <w:sz w:val="22"/>
                <w:szCs w:val="22"/>
              </w:rPr>
            </w:pPr>
            <w:r w:rsidRPr="002664A7">
              <w:rPr>
                <w:b/>
                <w:bCs/>
                <w:sz w:val="22"/>
                <w:szCs w:val="22"/>
              </w:rPr>
              <w:t xml:space="preserve">Children Served </w:t>
            </w:r>
          </w:p>
        </w:tc>
        <w:tc>
          <w:tcPr>
            <w:tcW w:w="5865" w:type="dxa"/>
            <w:shd w:val="clear" w:color="auto" w:fill="99CCFF"/>
            <w:tcMar>
              <w:top w:w="15" w:type="dxa"/>
              <w:left w:w="108" w:type="dxa"/>
              <w:bottom w:w="0" w:type="dxa"/>
              <w:right w:w="108" w:type="dxa"/>
            </w:tcMar>
            <w:hideMark/>
          </w:tcPr>
          <w:p w14:paraId="48A0F63F" w14:textId="77777777" w:rsidR="002270B6" w:rsidRPr="002664A7" w:rsidRDefault="00CA6471" w:rsidP="002664A7">
            <w:pPr>
              <w:keepNext/>
              <w:spacing w:after="0" w:line="240" w:lineRule="auto"/>
              <w:rPr>
                <w:sz w:val="22"/>
                <w:szCs w:val="22"/>
              </w:rPr>
            </w:pPr>
            <w:r w:rsidRPr="002664A7">
              <w:rPr>
                <w:b/>
                <w:bCs/>
                <w:sz w:val="22"/>
                <w:szCs w:val="22"/>
              </w:rPr>
              <w:t xml:space="preserve">Local Early Learning Partners (ELPs) </w:t>
            </w:r>
          </w:p>
        </w:tc>
      </w:tr>
      <w:tr w:rsidR="00CA6471" w:rsidRPr="002664A7" w14:paraId="59E68712" w14:textId="77777777" w:rsidTr="002664A7">
        <w:trPr>
          <w:trHeight w:val="970"/>
        </w:trPr>
        <w:tc>
          <w:tcPr>
            <w:tcW w:w="1795" w:type="dxa"/>
            <w:shd w:val="clear" w:color="auto" w:fill="auto"/>
            <w:tcMar>
              <w:top w:w="100" w:type="dxa"/>
              <w:left w:w="100" w:type="dxa"/>
              <w:bottom w:w="100" w:type="dxa"/>
              <w:right w:w="100" w:type="dxa"/>
            </w:tcMar>
            <w:hideMark/>
          </w:tcPr>
          <w:p w14:paraId="27033BD5" w14:textId="77777777" w:rsidR="00CA6471" w:rsidRPr="002664A7" w:rsidRDefault="00CA6471" w:rsidP="002664A7">
            <w:pPr>
              <w:keepNext/>
              <w:spacing w:after="0" w:line="240" w:lineRule="auto"/>
              <w:rPr>
                <w:sz w:val="22"/>
                <w:szCs w:val="22"/>
              </w:rPr>
            </w:pPr>
            <w:r w:rsidRPr="002664A7">
              <w:rPr>
                <w:sz w:val="22"/>
                <w:szCs w:val="22"/>
              </w:rPr>
              <w:t>Boston PS</w:t>
            </w:r>
          </w:p>
          <w:p w14:paraId="421B131A" w14:textId="77777777" w:rsidR="002270B6" w:rsidRPr="002664A7" w:rsidRDefault="00CA6471" w:rsidP="002664A7">
            <w:pPr>
              <w:keepNext/>
              <w:spacing w:after="0" w:line="240" w:lineRule="auto"/>
              <w:rPr>
                <w:sz w:val="22"/>
                <w:szCs w:val="22"/>
              </w:rPr>
            </w:pPr>
            <w:r w:rsidRPr="002664A7">
              <w:rPr>
                <w:sz w:val="22"/>
                <w:szCs w:val="22"/>
              </w:rPr>
              <w:t>$4,061,250</w:t>
            </w:r>
          </w:p>
        </w:tc>
        <w:tc>
          <w:tcPr>
            <w:tcW w:w="1890" w:type="dxa"/>
            <w:shd w:val="clear" w:color="auto" w:fill="auto"/>
            <w:tcMar>
              <w:top w:w="100" w:type="dxa"/>
              <w:left w:w="100" w:type="dxa"/>
              <w:bottom w:w="100" w:type="dxa"/>
              <w:right w:w="100" w:type="dxa"/>
            </w:tcMar>
            <w:hideMark/>
          </w:tcPr>
          <w:p w14:paraId="23B8932E" w14:textId="77777777" w:rsidR="002270B6" w:rsidRPr="002664A7" w:rsidRDefault="00CA6471" w:rsidP="002664A7">
            <w:pPr>
              <w:keepNext/>
              <w:spacing w:after="0" w:line="240" w:lineRule="auto"/>
              <w:rPr>
                <w:sz w:val="22"/>
                <w:szCs w:val="22"/>
              </w:rPr>
            </w:pPr>
            <w:r w:rsidRPr="002664A7">
              <w:rPr>
                <w:b/>
                <w:bCs/>
                <w:sz w:val="22"/>
                <w:szCs w:val="22"/>
              </w:rPr>
              <w:t xml:space="preserve">286/year </w:t>
            </w:r>
          </w:p>
        </w:tc>
        <w:tc>
          <w:tcPr>
            <w:tcW w:w="5865" w:type="dxa"/>
            <w:shd w:val="clear" w:color="auto" w:fill="auto"/>
            <w:tcMar>
              <w:top w:w="15" w:type="dxa"/>
              <w:left w:w="108" w:type="dxa"/>
              <w:bottom w:w="0" w:type="dxa"/>
              <w:right w:w="108" w:type="dxa"/>
            </w:tcMar>
            <w:hideMark/>
          </w:tcPr>
          <w:p w14:paraId="7AF3112B" w14:textId="77777777" w:rsidR="002270B6" w:rsidRPr="002664A7" w:rsidRDefault="002270B6" w:rsidP="002664A7">
            <w:pPr>
              <w:keepNext/>
              <w:spacing w:after="0" w:line="240" w:lineRule="auto"/>
              <w:rPr>
                <w:sz w:val="22"/>
                <w:szCs w:val="22"/>
              </w:rPr>
            </w:pPr>
            <w:r w:rsidRPr="002664A7">
              <w:rPr>
                <w:sz w:val="22"/>
                <w:szCs w:val="22"/>
              </w:rPr>
              <w:t>YMCA</w:t>
            </w:r>
            <w:r w:rsidR="00CA6471" w:rsidRPr="002664A7">
              <w:rPr>
                <w:sz w:val="22"/>
                <w:szCs w:val="22"/>
              </w:rPr>
              <w:t xml:space="preserve">  of Greater Boston, </w:t>
            </w:r>
            <w:proofErr w:type="spellStart"/>
            <w:r w:rsidR="00CA6471" w:rsidRPr="002664A7">
              <w:rPr>
                <w:sz w:val="22"/>
                <w:szCs w:val="22"/>
              </w:rPr>
              <w:t>Nurtury</w:t>
            </w:r>
            <w:proofErr w:type="spellEnd"/>
            <w:r w:rsidR="00CA6471" w:rsidRPr="002664A7">
              <w:rPr>
                <w:sz w:val="22"/>
                <w:szCs w:val="22"/>
              </w:rPr>
              <w:t xml:space="preserve">, Action for Boston Community Development (ABCD) Head Start, Wesley, Boys and Girls Club, Paige, Ellis Memorial, Catholic Charities (Nazareth and </w:t>
            </w:r>
            <w:proofErr w:type="spellStart"/>
            <w:r w:rsidR="00CA6471" w:rsidRPr="002664A7">
              <w:rPr>
                <w:sz w:val="22"/>
                <w:szCs w:val="22"/>
              </w:rPr>
              <w:t>Yawkey</w:t>
            </w:r>
            <w:proofErr w:type="spellEnd"/>
            <w:r w:rsidR="00CA6471" w:rsidRPr="002664A7">
              <w:rPr>
                <w:sz w:val="22"/>
                <w:szCs w:val="22"/>
              </w:rPr>
              <w:t>).</w:t>
            </w:r>
          </w:p>
        </w:tc>
      </w:tr>
      <w:tr w:rsidR="00CA6471" w:rsidRPr="002664A7" w14:paraId="3E179B86" w14:textId="77777777" w:rsidTr="002664A7">
        <w:trPr>
          <w:trHeight w:val="412"/>
        </w:trPr>
        <w:tc>
          <w:tcPr>
            <w:tcW w:w="1795" w:type="dxa"/>
            <w:shd w:val="clear" w:color="auto" w:fill="auto"/>
            <w:tcMar>
              <w:top w:w="100" w:type="dxa"/>
              <w:left w:w="100" w:type="dxa"/>
              <w:bottom w:w="100" w:type="dxa"/>
              <w:right w:w="100" w:type="dxa"/>
            </w:tcMar>
            <w:hideMark/>
          </w:tcPr>
          <w:p w14:paraId="7BD89F78" w14:textId="77777777" w:rsidR="00CA6471" w:rsidRPr="002664A7" w:rsidRDefault="00CA6471" w:rsidP="002664A7">
            <w:pPr>
              <w:spacing w:after="0" w:line="240" w:lineRule="auto"/>
              <w:rPr>
                <w:sz w:val="22"/>
                <w:szCs w:val="22"/>
              </w:rPr>
            </w:pPr>
            <w:r w:rsidRPr="002664A7">
              <w:rPr>
                <w:sz w:val="22"/>
                <w:szCs w:val="22"/>
              </w:rPr>
              <w:t>Holyoke PS</w:t>
            </w:r>
          </w:p>
          <w:p w14:paraId="406AA7F1" w14:textId="77777777" w:rsidR="002270B6" w:rsidRPr="002664A7" w:rsidRDefault="00CA6471" w:rsidP="002664A7">
            <w:pPr>
              <w:spacing w:after="0" w:line="240" w:lineRule="auto"/>
              <w:rPr>
                <w:sz w:val="22"/>
                <w:szCs w:val="22"/>
              </w:rPr>
            </w:pPr>
            <w:r w:rsidRPr="002664A7">
              <w:rPr>
                <w:sz w:val="22"/>
                <w:szCs w:val="22"/>
              </w:rPr>
              <w:t xml:space="preserve">$1,425,000 </w:t>
            </w:r>
          </w:p>
        </w:tc>
        <w:tc>
          <w:tcPr>
            <w:tcW w:w="1890" w:type="dxa"/>
            <w:shd w:val="clear" w:color="auto" w:fill="auto"/>
            <w:tcMar>
              <w:top w:w="100" w:type="dxa"/>
              <w:left w:w="100" w:type="dxa"/>
              <w:bottom w:w="100" w:type="dxa"/>
              <w:right w:w="100" w:type="dxa"/>
            </w:tcMar>
            <w:hideMark/>
          </w:tcPr>
          <w:p w14:paraId="56B9B160" w14:textId="77777777" w:rsidR="002270B6" w:rsidRPr="002664A7" w:rsidRDefault="00CA6471" w:rsidP="002664A7">
            <w:pPr>
              <w:spacing w:after="0" w:line="240" w:lineRule="auto"/>
              <w:rPr>
                <w:sz w:val="22"/>
                <w:szCs w:val="22"/>
              </w:rPr>
            </w:pPr>
            <w:r w:rsidRPr="002664A7">
              <w:rPr>
                <w:b/>
                <w:bCs/>
                <w:sz w:val="22"/>
                <w:szCs w:val="22"/>
              </w:rPr>
              <w:t xml:space="preserve">78/year </w:t>
            </w:r>
          </w:p>
        </w:tc>
        <w:tc>
          <w:tcPr>
            <w:tcW w:w="5865" w:type="dxa"/>
            <w:shd w:val="clear" w:color="auto" w:fill="auto"/>
            <w:tcMar>
              <w:top w:w="15" w:type="dxa"/>
              <w:left w:w="108" w:type="dxa"/>
              <w:bottom w:w="0" w:type="dxa"/>
              <w:right w:w="108" w:type="dxa"/>
            </w:tcMar>
            <w:hideMark/>
          </w:tcPr>
          <w:p w14:paraId="2CD68E23" w14:textId="77777777" w:rsidR="002270B6" w:rsidRPr="002664A7" w:rsidRDefault="00CA6471" w:rsidP="002664A7">
            <w:pPr>
              <w:spacing w:after="0" w:line="240" w:lineRule="auto"/>
              <w:rPr>
                <w:sz w:val="22"/>
                <w:szCs w:val="22"/>
              </w:rPr>
            </w:pPr>
            <w:r w:rsidRPr="002664A7">
              <w:rPr>
                <w:sz w:val="22"/>
                <w:szCs w:val="22"/>
              </w:rPr>
              <w:t xml:space="preserve">Valley Opportunity Council, Holyoke-Chicopee-Springfield Head Start </w:t>
            </w:r>
          </w:p>
        </w:tc>
      </w:tr>
      <w:tr w:rsidR="00CA6471" w:rsidRPr="002664A7" w14:paraId="1A86743B" w14:textId="77777777" w:rsidTr="002664A7">
        <w:trPr>
          <w:trHeight w:val="547"/>
        </w:trPr>
        <w:tc>
          <w:tcPr>
            <w:tcW w:w="1795" w:type="dxa"/>
            <w:shd w:val="clear" w:color="auto" w:fill="auto"/>
            <w:tcMar>
              <w:top w:w="100" w:type="dxa"/>
              <w:left w:w="100" w:type="dxa"/>
              <w:bottom w:w="100" w:type="dxa"/>
              <w:right w:w="100" w:type="dxa"/>
            </w:tcMar>
            <w:hideMark/>
          </w:tcPr>
          <w:p w14:paraId="2AB6301C" w14:textId="77777777" w:rsidR="00CA6471" w:rsidRPr="002664A7" w:rsidRDefault="00CA6471" w:rsidP="002664A7">
            <w:pPr>
              <w:spacing w:after="0" w:line="240" w:lineRule="auto"/>
              <w:rPr>
                <w:sz w:val="22"/>
                <w:szCs w:val="22"/>
              </w:rPr>
            </w:pPr>
            <w:r w:rsidRPr="002664A7">
              <w:rPr>
                <w:sz w:val="22"/>
                <w:szCs w:val="22"/>
              </w:rPr>
              <w:t>Lawrence PS</w:t>
            </w:r>
          </w:p>
          <w:p w14:paraId="2A606024" w14:textId="77777777" w:rsidR="002270B6" w:rsidRPr="002664A7" w:rsidRDefault="00CA6471" w:rsidP="002664A7">
            <w:pPr>
              <w:spacing w:after="0" w:line="240" w:lineRule="auto"/>
              <w:rPr>
                <w:sz w:val="22"/>
                <w:szCs w:val="22"/>
              </w:rPr>
            </w:pPr>
            <w:r w:rsidRPr="002664A7">
              <w:rPr>
                <w:sz w:val="22"/>
                <w:szCs w:val="22"/>
              </w:rPr>
              <w:t xml:space="preserve">$2,351,250 </w:t>
            </w:r>
          </w:p>
        </w:tc>
        <w:tc>
          <w:tcPr>
            <w:tcW w:w="1890" w:type="dxa"/>
            <w:shd w:val="clear" w:color="auto" w:fill="auto"/>
            <w:tcMar>
              <w:top w:w="100" w:type="dxa"/>
              <w:left w:w="100" w:type="dxa"/>
              <w:bottom w:w="100" w:type="dxa"/>
              <w:right w:w="100" w:type="dxa"/>
            </w:tcMar>
            <w:hideMark/>
          </w:tcPr>
          <w:p w14:paraId="4E5500DF" w14:textId="77777777" w:rsidR="002270B6" w:rsidRPr="002664A7" w:rsidRDefault="00CA6471" w:rsidP="002664A7">
            <w:pPr>
              <w:spacing w:after="0" w:line="240" w:lineRule="auto"/>
              <w:rPr>
                <w:sz w:val="22"/>
                <w:szCs w:val="22"/>
              </w:rPr>
            </w:pPr>
            <w:r w:rsidRPr="002664A7">
              <w:rPr>
                <w:b/>
                <w:bCs/>
                <w:sz w:val="22"/>
                <w:szCs w:val="22"/>
              </w:rPr>
              <w:t xml:space="preserve">129/year </w:t>
            </w:r>
          </w:p>
        </w:tc>
        <w:tc>
          <w:tcPr>
            <w:tcW w:w="5865" w:type="dxa"/>
            <w:shd w:val="clear" w:color="auto" w:fill="auto"/>
            <w:tcMar>
              <w:top w:w="15" w:type="dxa"/>
              <w:left w:w="108" w:type="dxa"/>
              <w:bottom w:w="0" w:type="dxa"/>
              <w:right w:w="108" w:type="dxa"/>
            </w:tcMar>
            <w:hideMark/>
          </w:tcPr>
          <w:p w14:paraId="2E0F42E7" w14:textId="43925A90" w:rsidR="002270B6" w:rsidRPr="002664A7" w:rsidRDefault="00CA6471" w:rsidP="002664A7">
            <w:pPr>
              <w:spacing w:after="0" w:line="240" w:lineRule="auto"/>
              <w:rPr>
                <w:sz w:val="22"/>
                <w:szCs w:val="22"/>
              </w:rPr>
            </w:pPr>
            <w:r w:rsidRPr="002664A7">
              <w:rPr>
                <w:sz w:val="22"/>
                <w:szCs w:val="22"/>
              </w:rPr>
              <w:t xml:space="preserve">Community Day, Greater Lawrence Community Action </w:t>
            </w:r>
            <w:r w:rsidR="002664A7">
              <w:rPr>
                <w:sz w:val="22"/>
                <w:szCs w:val="22"/>
              </w:rPr>
              <w:t>Council</w:t>
            </w:r>
            <w:r w:rsidRPr="002664A7">
              <w:rPr>
                <w:sz w:val="22"/>
                <w:szCs w:val="22"/>
              </w:rPr>
              <w:t xml:space="preserve"> </w:t>
            </w:r>
          </w:p>
        </w:tc>
      </w:tr>
      <w:tr w:rsidR="00CA6471" w:rsidRPr="002664A7" w14:paraId="10685D86" w14:textId="77777777" w:rsidTr="002664A7">
        <w:trPr>
          <w:trHeight w:val="430"/>
        </w:trPr>
        <w:tc>
          <w:tcPr>
            <w:tcW w:w="1795" w:type="dxa"/>
            <w:shd w:val="clear" w:color="auto" w:fill="auto"/>
            <w:tcMar>
              <w:top w:w="100" w:type="dxa"/>
              <w:left w:w="100" w:type="dxa"/>
              <w:bottom w:w="100" w:type="dxa"/>
              <w:right w:w="100" w:type="dxa"/>
            </w:tcMar>
            <w:hideMark/>
          </w:tcPr>
          <w:p w14:paraId="3325CCE2" w14:textId="77777777" w:rsidR="00CA6471" w:rsidRPr="002664A7" w:rsidRDefault="00CA6471" w:rsidP="002664A7">
            <w:pPr>
              <w:spacing w:after="0" w:line="240" w:lineRule="auto"/>
              <w:rPr>
                <w:sz w:val="22"/>
                <w:szCs w:val="22"/>
              </w:rPr>
            </w:pPr>
            <w:r w:rsidRPr="002664A7">
              <w:rPr>
                <w:sz w:val="22"/>
                <w:szCs w:val="22"/>
              </w:rPr>
              <w:t>Lowell PS</w:t>
            </w:r>
          </w:p>
          <w:p w14:paraId="4C31BE96" w14:textId="77777777" w:rsidR="002270B6" w:rsidRPr="002664A7" w:rsidRDefault="00CA6471" w:rsidP="002664A7">
            <w:pPr>
              <w:spacing w:after="0" w:line="240" w:lineRule="auto"/>
              <w:rPr>
                <w:sz w:val="22"/>
                <w:szCs w:val="22"/>
              </w:rPr>
            </w:pPr>
            <w:r w:rsidRPr="002664A7">
              <w:rPr>
                <w:sz w:val="22"/>
                <w:szCs w:val="22"/>
              </w:rPr>
              <w:t xml:space="preserve">$2,850,000 </w:t>
            </w:r>
          </w:p>
        </w:tc>
        <w:tc>
          <w:tcPr>
            <w:tcW w:w="1890" w:type="dxa"/>
            <w:shd w:val="clear" w:color="auto" w:fill="auto"/>
            <w:tcMar>
              <w:top w:w="100" w:type="dxa"/>
              <w:left w:w="100" w:type="dxa"/>
              <w:bottom w:w="100" w:type="dxa"/>
              <w:right w:w="100" w:type="dxa"/>
            </w:tcMar>
            <w:hideMark/>
          </w:tcPr>
          <w:p w14:paraId="2B695B15" w14:textId="77777777" w:rsidR="002270B6" w:rsidRPr="002664A7" w:rsidRDefault="00CA6471" w:rsidP="002664A7">
            <w:pPr>
              <w:spacing w:after="0" w:line="240" w:lineRule="auto"/>
              <w:rPr>
                <w:sz w:val="22"/>
                <w:szCs w:val="22"/>
              </w:rPr>
            </w:pPr>
            <w:r w:rsidRPr="002664A7">
              <w:rPr>
                <w:b/>
                <w:bCs/>
                <w:sz w:val="22"/>
                <w:szCs w:val="22"/>
              </w:rPr>
              <w:t xml:space="preserve">156/year </w:t>
            </w:r>
          </w:p>
        </w:tc>
        <w:tc>
          <w:tcPr>
            <w:tcW w:w="5865" w:type="dxa"/>
            <w:shd w:val="clear" w:color="auto" w:fill="auto"/>
            <w:tcMar>
              <w:top w:w="15" w:type="dxa"/>
              <w:left w:w="108" w:type="dxa"/>
              <w:bottom w:w="0" w:type="dxa"/>
              <w:right w:w="108" w:type="dxa"/>
            </w:tcMar>
            <w:hideMark/>
          </w:tcPr>
          <w:p w14:paraId="03D7FF43" w14:textId="77777777" w:rsidR="002270B6" w:rsidRPr="002664A7" w:rsidRDefault="00CA6471" w:rsidP="002664A7">
            <w:pPr>
              <w:spacing w:after="0" w:line="240" w:lineRule="auto"/>
              <w:rPr>
                <w:sz w:val="22"/>
                <w:szCs w:val="22"/>
              </w:rPr>
            </w:pPr>
            <w:r w:rsidRPr="002664A7">
              <w:rPr>
                <w:sz w:val="22"/>
                <w:szCs w:val="22"/>
              </w:rPr>
              <w:t xml:space="preserve">Community Teamwork, Inc., Little Sprouts </w:t>
            </w:r>
          </w:p>
        </w:tc>
      </w:tr>
      <w:tr w:rsidR="00CA6471" w:rsidRPr="002664A7" w14:paraId="2291929D" w14:textId="77777777" w:rsidTr="002664A7">
        <w:trPr>
          <w:trHeight w:val="430"/>
        </w:trPr>
        <w:tc>
          <w:tcPr>
            <w:tcW w:w="1795" w:type="dxa"/>
            <w:shd w:val="clear" w:color="auto" w:fill="auto"/>
            <w:tcMar>
              <w:top w:w="100" w:type="dxa"/>
              <w:left w:w="100" w:type="dxa"/>
              <w:bottom w:w="100" w:type="dxa"/>
              <w:right w:w="100" w:type="dxa"/>
            </w:tcMar>
            <w:hideMark/>
          </w:tcPr>
          <w:p w14:paraId="0ED8894B" w14:textId="77777777" w:rsidR="00CA6471" w:rsidRPr="002664A7" w:rsidRDefault="00CA6471" w:rsidP="002664A7">
            <w:pPr>
              <w:spacing w:after="0" w:line="240" w:lineRule="auto"/>
              <w:rPr>
                <w:sz w:val="22"/>
                <w:szCs w:val="22"/>
              </w:rPr>
            </w:pPr>
            <w:r w:rsidRPr="002664A7">
              <w:rPr>
                <w:sz w:val="22"/>
                <w:szCs w:val="22"/>
              </w:rPr>
              <w:t>Springfield PS</w:t>
            </w:r>
          </w:p>
          <w:p w14:paraId="2417AAC9" w14:textId="77777777" w:rsidR="002270B6" w:rsidRPr="002664A7" w:rsidRDefault="00CA6471" w:rsidP="002664A7">
            <w:pPr>
              <w:spacing w:after="0" w:line="240" w:lineRule="auto"/>
              <w:rPr>
                <w:sz w:val="22"/>
                <w:szCs w:val="22"/>
              </w:rPr>
            </w:pPr>
            <w:r w:rsidRPr="002664A7">
              <w:rPr>
                <w:sz w:val="22"/>
                <w:szCs w:val="22"/>
              </w:rPr>
              <w:t xml:space="preserve">$3,562,500 </w:t>
            </w:r>
          </w:p>
        </w:tc>
        <w:tc>
          <w:tcPr>
            <w:tcW w:w="1890" w:type="dxa"/>
            <w:shd w:val="clear" w:color="auto" w:fill="auto"/>
            <w:tcMar>
              <w:top w:w="100" w:type="dxa"/>
              <w:left w:w="100" w:type="dxa"/>
              <w:bottom w:w="100" w:type="dxa"/>
              <w:right w:w="100" w:type="dxa"/>
            </w:tcMar>
            <w:hideMark/>
          </w:tcPr>
          <w:p w14:paraId="3AFF9EC3" w14:textId="77777777" w:rsidR="002270B6" w:rsidRPr="002664A7" w:rsidRDefault="00CA6471" w:rsidP="002664A7">
            <w:pPr>
              <w:spacing w:after="0" w:line="240" w:lineRule="auto"/>
              <w:rPr>
                <w:sz w:val="22"/>
                <w:szCs w:val="22"/>
              </w:rPr>
            </w:pPr>
            <w:r w:rsidRPr="002664A7">
              <w:rPr>
                <w:b/>
                <w:bCs/>
                <w:sz w:val="22"/>
                <w:szCs w:val="22"/>
              </w:rPr>
              <w:t xml:space="preserve">195/year </w:t>
            </w:r>
          </w:p>
        </w:tc>
        <w:tc>
          <w:tcPr>
            <w:tcW w:w="5865" w:type="dxa"/>
            <w:shd w:val="clear" w:color="auto" w:fill="auto"/>
            <w:tcMar>
              <w:top w:w="15" w:type="dxa"/>
              <w:left w:w="108" w:type="dxa"/>
              <w:bottom w:w="0" w:type="dxa"/>
              <w:right w:w="108" w:type="dxa"/>
            </w:tcMar>
            <w:hideMark/>
          </w:tcPr>
          <w:p w14:paraId="7B7A6C16" w14:textId="77777777" w:rsidR="002270B6" w:rsidRPr="002664A7" w:rsidRDefault="00CA6471" w:rsidP="002664A7">
            <w:pPr>
              <w:spacing w:after="0" w:line="240" w:lineRule="auto"/>
              <w:rPr>
                <w:sz w:val="22"/>
                <w:szCs w:val="22"/>
              </w:rPr>
            </w:pPr>
            <w:r w:rsidRPr="002664A7">
              <w:rPr>
                <w:sz w:val="22"/>
                <w:szCs w:val="22"/>
              </w:rPr>
              <w:t xml:space="preserve">Square One, Holyoke-Chicopee-Springfield Head Start, YMCA of Greater Springfield </w:t>
            </w:r>
          </w:p>
        </w:tc>
      </w:tr>
    </w:tbl>
    <w:p w14:paraId="6334A4AC" w14:textId="466FF46A" w:rsidR="004452B0" w:rsidRPr="00571840" w:rsidRDefault="0053715D" w:rsidP="002664A7">
      <w:pPr>
        <w:spacing w:before="100" w:beforeAutospacing="1" w:after="0"/>
      </w:pPr>
      <w:r>
        <w:t>EEC iden</w:t>
      </w:r>
      <w:r w:rsidR="002F314F">
        <w:t>tified a set of quality requirements</w:t>
      </w:r>
      <w:r>
        <w:t xml:space="preserve"> </w:t>
      </w:r>
      <w:r w:rsidR="002F314F">
        <w:t>for the PEG programs,</w:t>
      </w:r>
      <w:r>
        <w:t xml:space="preserve"> which were aligned with and expanded on the federal </w:t>
      </w:r>
      <w:r w:rsidR="009747FB">
        <w:t xml:space="preserve">Preschool Development Grant </w:t>
      </w:r>
      <w:r>
        <w:t xml:space="preserve">requirements.  </w:t>
      </w:r>
      <w:r w:rsidR="004452B0">
        <w:t>All of the required elements were at least partially implemented i</w:t>
      </w:r>
      <w:r w:rsidR="002664A7">
        <w:t xml:space="preserve">n the first year of the program.  </w:t>
      </w:r>
      <w:r w:rsidR="004452B0">
        <w:t>Components of quality that were fully implemented were as follows:</w:t>
      </w:r>
    </w:p>
    <w:p w14:paraId="759E548A" w14:textId="77777777" w:rsidR="00670AA7" w:rsidRPr="00571840" w:rsidRDefault="004452B0" w:rsidP="002664A7">
      <w:pPr>
        <w:numPr>
          <w:ilvl w:val="0"/>
          <w:numId w:val="1"/>
        </w:numPr>
        <w:spacing w:after="100" w:afterAutospacing="1"/>
      </w:pPr>
      <w:r>
        <w:rPr>
          <w:bCs/>
        </w:rPr>
        <w:t>All programs</w:t>
      </w:r>
      <w:r w:rsidR="00670AA7" w:rsidRPr="00571840">
        <w:rPr>
          <w:bCs/>
        </w:rPr>
        <w:t xml:space="preserve"> </w:t>
      </w:r>
      <w:r w:rsidR="00AE713B">
        <w:rPr>
          <w:bCs/>
        </w:rPr>
        <w:t>were in operation on a</w:t>
      </w:r>
      <w:r w:rsidR="00EC5A42">
        <w:rPr>
          <w:bCs/>
        </w:rPr>
        <w:t xml:space="preserve"> </w:t>
      </w:r>
      <w:r w:rsidR="00670AA7" w:rsidRPr="00571840">
        <w:rPr>
          <w:bCs/>
        </w:rPr>
        <w:t>full-day, full-year</w:t>
      </w:r>
      <w:r w:rsidR="00AE713B">
        <w:rPr>
          <w:bCs/>
        </w:rPr>
        <w:t xml:space="preserve"> schedule</w:t>
      </w:r>
      <w:r w:rsidR="00670AA7" w:rsidRPr="00571840">
        <w:rPr>
          <w:bCs/>
        </w:rPr>
        <w:t xml:space="preserve"> (at lea</w:t>
      </w:r>
      <w:r w:rsidR="002F314F">
        <w:rPr>
          <w:bCs/>
        </w:rPr>
        <w:t>st 8 hours/day, 12 months/year);</w:t>
      </w:r>
    </w:p>
    <w:p w14:paraId="561E2E37" w14:textId="77777777" w:rsidR="00670AA7" w:rsidRPr="00571840" w:rsidRDefault="00670AA7" w:rsidP="00670AA7">
      <w:pPr>
        <w:numPr>
          <w:ilvl w:val="0"/>
          <w:numId w:val="1"/>
        </w:numPr>
        <w:spacing w:before="100" w:beforeAutospacing="1" w:after="100" w:afterAutospacing="1"/>
      </w:pPr>
      <w:r w:rsidRPr="00571840">
        <w:rPr>
          <w:bCs/>
        </w:rPr>
        <w:t>A maximum class size of 20 and maximum child-teacher r</w:t>
      </w:r>
      <w:r w:rsidR="00EC5A42">
        <w:rPr>
          <w:bCs/>
        </w:rPr>
        <w:t xml:space="preserve">atio of 10:1 </w:t>
      </w:r>
      <w:r w:rsidR="00AE713B">
        <w:rPr>
          <w:bCs/>
        </w:rPr>
        <w:t>were</w:t>
      </w:r>
      <w:r w:rsidR="002F314F">
        <w:rPr>
          <w:bCs/>
        </w:rPr>
        <w:t xml:space="preserve"> maintained</w:t>
      </w:r>
      <w:r w:rsidR="00F54A24">
        <w:rPr>
          <w:bCs/>
        </w:rPr>
        <w:t>,</w:t>
      </w:r>
      <w:r w:rsidR="004452B0">
        <w:rPr>
          <w:bCs/>
        </w:rPr>
        <w:t xml:space="preserve"> and many classrooms were staffed with three teachers bringing ratios even lower</w:t>
      </w:r>
      <w:r w:rsidR="002F314F">
        <w:rPr>
          <w:bCs/>
        </w:rPr>
        <w:t>;</w:t>
      </w:r>
    </w:p>
    <w:p w14:paraId="5EDFC607" w14:textId="77777777" w:rsidR="00670AA7" w:rsidRPr="00571840" w:rsidRDefault="00670AA7" w:rsidP="00670AA7">
      <w:pPr>
        <w:numPr>
          <w:ilvl w:val="0"/>
          <w:numId w:val="1"/>
        </w:numPr>
        <w:spacing w:before="100" w:beforeAutospacing="1" w:after="100" w:afterAutospacing="1"/>
      </w:pPr>
      <w:r w:rsidRPr="00571840">
        <w:rPr>
          <w:bCs/>
        </w:rPr>
        <w:t xml:space="preserve">Teaching Strategies Gold® </w:t>
      </w:r>
      <w:r w:rsidR="00EC5A42">
        <w:rPr>
          <w:bCs/>
        </w:rPr>
        <w:t>was</w:t>
      </w:r>
      <w:r w:rsidRPr="00571840">
        <w:rPr>
          <w:bCs/>
        </w:rPr>
        <w:t xml:space="preserve"> used as a formative assessment</w:t>
      </w:r>
      <w:r>
        <w:rPr>
          <w:bCs/>
        </w:rPr>
        <w:t xml:space="preserve"> tool</w:t>
      </w:r>
      <w:r w:rsidR="002F314F">
        <w:rPr>
          <w:bCs/>
        </w:rPr>
        <w:t>;</w:t>
      </w:r>
    </w:p>
    <w:p w14:paraId="49BCD069" w14:textId="77777777" w:rsidR="00670AA7" w:rsidRPr="00571840" w:rsidRDefault="004452B0" w:rsidP="00670AA7">
      <w:pPr>
        <w:numPr>
          <w:ilvl w:val="0"/>
          <w:numId w:val="1"/>
        </w:numPr>
        <w:spacing w:before="100" w:beforeAutospacing="1" w:after="100" w:afterAutospacing="1"/>
      </w:pPr>
      <w:r>
        <w:rPr>
          <w:bCs/>
        </w:rPr>
        <w:t>At least o</w:t>
      </w:r>
      <w:r w:rsidR="00670AA7" w:rsidRPr="00571840">
        <w:rPr>
          <w:bCs/>
        </w:rPr>
        <w:t xml:space="preserve">ne </w:t>
      </w:r>
      <w:r w:rsidR="00670AA7">
        <w:rPr>
          <w:bCs/>
        </w:rPr>
        <w:t xml:space="preserve">educator </w:t>
      </w:r>
      <w:r w:rsidR="00670AA7" w:rsidRPr="00571840">
        <w:rPr>
          <w:bCs/>
        </w:rPr>
        <w:t xml:space="preserve">in each classroom </w:t>
      </w:r>
      <w:r>
        <w:rPr>
          <w:bCs/>
        </w:rPr>
        <w:t>had</w:t>
      </w:r>
      <w:r w:rsidR="00670AA7" w:rsidRPr="00571840">
        <w:rPr>
          <w:bCs/>
        </w:rPr>
        <w:t xml:space="preserve"> a bachel</w:t>
      </w:r>
      <w:r w:rsidR="002F314F">
        <w:rPr>
          <w:bCs/>
        </w:rPr>
        <w:t>or's degree in a relevant field;</w:t>
      </w:r>
      <w:r w:rsidR="000C7989">
        <w:rPr>
          <w:bCs/>
        </w:rPr>
        <w:t xml:space="preserve"> and</w:t>
      </w:r>
    </w:p>
    <w:p w14:paraId="6B942C20" w14:textId="77777777" w:rsidR="00670AA7" w:rsidRPr="004452B0" w:rsidRDefault="00670AA7" w:rsidP="004452B0">
      <w:pPr>
        <w:numPr>
          <w:ilvl w:val="0"/>
          <w:numId w:val="1"/>
        </w:numPr>
        <w:spacing w:before="100" w:beforeAutospacing="1" w:after="100" w:afterAutospacing="1"/>
      </w:pPr>
      <w:r w:rsidRPr="00571840">
        <w:rPr>
          <w:bCs/>
        </w:rPr>
        <w:t xml:space="preserve">All </w:t>
      </w:r>
      <w:r w:rsidR="004452B0">
        <w:rPr>
          <w:bCs/>
        </w:rPr>
        <w:t>lead teachers were paid</w:t>
      </w:r>
      <w:r w:rsidRPr="00571840">
        <w:rPr>
          <w:bCs/>
        </w:rPr>
        <w:t xml:space="preserve"> </w:t>
      </w:r>
      <w:r w:rsidR="004452B0">
        <w:rPr>
          <w:bCs/>
        </w:rPr>
        <w:t xml:space="preserve">salaries </w:t>
      </w:r>
      <w:r w:rsidRPr="00571840">
        <w:rPr>
          <w:bCs/>
        </w:rPr>
        <w:t xml:space="preserve">commensurate with those of comparable </w:t>
      </w:r>
      <w:r w:rsidR="002F314F">
        <w:rPr>
          <w:bCs/>
        </w:rPr>
        <w:t>positions in the public schools</w:t>
      </w:r>
      <w:r w:rsidR="00F54A24">
        <w:rPr>
          <w:bCs/>
        </w:rPr>
        <w:t>,</w:t>
      </w:r>
      <w:r w:rsidR="004452B0">
        <w:rPr>
          <w:bCs/>
        </w:rPr>
        <w:t xml:space="preserve"> many assistant teachers were as well.</w:t>
      </w:r>
    </w:p>
    <w:p w14:paraId="2E6DBB9E" w14:textId="77777777" w:rsidR="004452B0" w:rsidRPr="00571840" w:rsidRDefault="004452B0" w:rsidP="004452B0">
      <w:pPr>
        <w:spacing w:before="100" w:beforeAutospacing="1" w:after="100" w:afterAutospacing="1"/>
      </w:pPr>
      <w:r>
        <w:rPr>
          <w:bCs/>
        </w:rPr>
        <w:t>Other components of quality were partially implemented or varied significantly in im</w:t>
      </w:r>
      <w:r w:rsidR="00CA6C2E">
        <w:rPr>
          <w:bCs/>
        </w:rPr>
        <w:t>plementation across communities.</w:t>
      </w:r>
    </w:p>
    <w:p w14:paraId="42C356C5" w14:textId="77777777" w:rsidR="00670AA7" w:rsidRPr="00571840" w:rsidRDefault="00670AA7" w:rsidP="00670AA7">
      <w:pPr>
        <w:numPr>
          <w:ilvl w:val="0"/>
          <w:numId w:val="1"/>
        </w:numPr>
        <w:spacing w:before="100" w:beforeAutospacing="1" w:after="100" w:afterAutospacing="1"/>
      </w:pPr>
      <w:r w:rsidRPr="00571840">
        <w:rPr>
          <w:bCs/>
        </w:rPr>
        <w:t>Professional development</w:t>
      </w:r>
      <w:r w:rsidR="00EC5A42">
        <w:rPr>
          <w:bCs/>
        </w:rPr>
        <w:t xml:space="preserve"> </w:t>
      </w:r>
      <w:r w:rsidR="004452B0">
        <w:rPr>
          <w:bCs/>
        </w:rPr>
        <w:t>was</w:t>
      </w:r>
      <w:r w:rsidR="00EC5A42">
        <w:rPr>
          <w:bCs/>
        </w:rPr>
        <w:t xml:space="preserve"> provided</w:t>
      </w:r>
      <w:r w:rsidRPr="00571840">
        <w:rPr>
          <w:bCs/>
        </w:rPr>
        <w:t xml:space="preserve"> for all staff, including coaching</w:t>
      </w:r>
      <w:r w:rsidR="004452B0">
        <w:rPr>
          <w:bCs/>
        </w:rPr>
        <w:t xml:space="preserve"> in four of five communities</w:t>
      </w:r>
      <w:r w:rsidRPr="00571840">
        <w:rPr>
          <w:bCs/>
        </w:rPr>
        <w:t>, group trainings, and other supports for planning a</w:t>
      </w:r>
      <w:r w:rsidR="004452B0">
        <w:rPr>
          <w:bCs/>
        </w:rPr>
        <w:t xml:space="preserve">nd implementation of curriculum.  In all communities, some of the professional development was coordinated </w:t>
      </w:r>
      <w:r w:rsidR="00CF429E">
        <w:rPr>
          <w:bCs/>
        </w:rPr>
        <w:t>among</w:t>
      </w:r>
      <w:r w:rsidR="004452B0">
        <w:rPr>
          <w:bCs/>
        </w:rPr>
        <w:t xml:space="preserve"> ELPs and with the LEAs</w:t>
      </w:r>
      <w:r w:rsidR="00444306">
        <w:rPr>
          <w:bCs/>
        </w:rPr>
        <w:t>, but</w:t>
      </w:r>
      <w:r w:rsidR="00CF429E">
        <w:rPr>
          <w:bCs/>
        </w:rPr>
        <w:t xml:space="preserve"> the types of supports</w:t>
      </w:r>
      <w:r w:rsidR="00CA6C2E">
        <w:rPr>
          <w:bCs/>
        </w:rPr>
        <w:t>, the dosage,</w:t>
      </w:r>
      <w:r w:rsidR="00CF429E">
        <w:rPr>
          <w:bCs/>
        </w:rPr>
        <w:t xml:space="preserve"> and the extent of the alignment across ELPs and LEAs var</w:t>
      </w:r>
      <w:r w:rsidR="00CA6C2E">
        <w:rPr>
          <w:bCs/>
        </w:rPr>
        <w:t>ied from community to community.</w:t>
      </w:r>
    </w:p>
    <w:p w14:paraId="5AE48A26" w14:textId="77777777" w:rsidR="004452B0" w:rsidRPr="00571840" w:rsidRDefault="004452B0" w:rsidP="004452B0">
      <w:pPr>
        <w:numPr>
          <w:ilvl w:val="0"/>
          <w:numId w:val="1"/>
        </w:numPr>
        <w:spacing w:before="100" w:beforeAutospacing="1" w:after="100" w:afterAutospacing="1"/>
      </w:pPr>
      <w:r w:rsidRPr="00571840">
        <w:rPr>
          <w:bCs/>
        </w:rPr>
        <w:t xml:space="preserve">A curriculum </w:t>
      </w:r>
      <w:r w:rsidR="000C7989">
        <w:rPr>
          <w:bCs/>
        </w:rPr>
        <w:t>aligned with</w:t>
      </w:r>
      <w:r w:rsidRPr="00571840">
        <w:rPr>
          <w:bCs/>
        </w:rPr>
        <w:t xml:space="preserve"> the Massachusetts Common Core Standards and EEC Standards and Guidelines</w:t>
      </w:r>
      <w:r>
        <w:rPr>
          <w:bCs/>
        </w:rPr>
        <w:t xml:space="preserve"> was used</w:t>
      </w:r>
      <w:r w:rsidRPr="00571840">
        <w:rPr>
          <w:bCs/>
        </w:rPr>
        <w:t xml:space="preserve">, although the </w:t>
      </w:r>
      <w:r w:rsidR="00AE713B">
        <w:rPr>
          <w:bCs/>
        </w:rPr>
        <w:t>specifics of the choice and extent of the alignment</w:t>
      </w:r>
      <w:r w:rsidR="00444306">
        <w:rPr>
          <w:bCs/>
        </w:rPr>
        <w:t xml:space="preserve"> across the community varied</w:t>
      </w:r>
      <w:r w:rsidR="00CA6C2E">
        <w:rPr>
          <w:bCs/>
        </w:rPr>
        <w:t xml:space="preserve"> by grantee.</w:t>
      </w:r>
    </w:p>
    <w:p w14:paraId="0C94B1B1" w14:textId="77777777" w:rsidR="00670AA7" w:rsidRPr="00571840" w:rsidRDefault="004D1C6E" w:rsidP="00670AA7">
      <w:pPr>
        <w:numPr>
          <w:ilvl w:val="0"/>
          <w:numId w:val="1"/>
        </w:numPr>
        <w:spacing w:before="100" w:beforeAutospacing="1" w:after="100" w:afterAutospacing="1"/>
      </w:pPr>
      <w:r>
        <w:rPr>
          <w:bCs/>
        </w:rPr>
        <w:lastRenderedPageBreak/>
        <w:t xml:space="preserve">Each grantee engaged in many efforts to communicate and connect with families. </w:t>
      </w:r>
      <w:r w:rsidR="00B51116" w:rsidRPr="009B1471">
        <w:rPr>
          <w:bCs/>
        </w:rPr>
        <w:t xml:space="preserve">In four of the communities, each </w:t>
      </w:r>
      <w:r w:rsidR="00B51116">
        <w:rPr>
          <w:bCs/>
        </w:rPr>
        <w:t>program</w:t>
      </w:r>
      <w:r w:rsidR="00B51116" w:rsidRPr="009B1471">
        <w:rPr>
          <w:bCs/>
        </w:rPr>
        <w:t xml:space="preserve"> had </w:t>
      </w:r>
      <w:r w:rsidR="00B51116" w:rsidRPr="009B1471">
        <w:t>at least one dedicated family support coordinator</w:t>
      </w:r>
      <w:r w:rsidR="00B51116">
        <w:t xml:space="preserve"> to organize these activities, although the nature of the interactions with parents varied from program to program.</w:t>
      </w:r>
    </w:p>
    <w:p w14:paraId="3F719DA1" w14:textId="77777777" w:rsidR="00670AA7" w:rsidRPr="00571840" w:rsidRDefault="00670AA7" w:rsidP="00670AA7">
      <w:pPr>
        <w:numPr>
          <w:ilvl w:val="0"/>
          <w:numId w:val="1"/>
        </w:numPr>
        <w:spacing w:before="100" w:beforeAutospacing="1" w:after="100" w:afterAutospacing="1"/>
      </w:pPr>
      <w:r w:rsidRPr="00571840">
        <w:rPr>
          <w:bCs/>
        </w:rPr>
        <w:t>Comprehensive services (including</w:t>
      </w:r>
      <w:r w:rsidR="00E20839">
        <w:rPr>
          <w:bCs/>
        </w:rPr>
        <w:t xml:space="preserve"> vision and hearing screenings</w:t>
      </w:r>
      <w:r w:rsidR="00156F11">
        <w:rPr>
          <w:bCs/>
        </w:rPr>
        <w:t>,</w:t>
      </w:r>
      <w:r w:rsidR="00E20839">
        <w:rPr>
          <w:bCs/>
        </w:rPr>
        <w:t xml:space="preserve"> and referrals to</w:t>
      </w:r>
      <w:r w:rsidRPr="00571840">
        <w:rPr>
          <w:bCs/>
        </w:rPr>
        <w:t xml:space="preserve"> services addressing health, mental health, </w:t>
      </w:r>
      <w:r>
        <w:rPr>
          <w:bCs/>
        </w:rPr>
        <w:t xml:space="preserve">and </w:t>
      </w:r>
      <w:r w:rsidR="004D1C6E">
        <w:rPr>
          <w:bCs/>
        </w:rPr>
        <w:t>behavior</w:t>
      </w:r>
      <w:r w:rsidRPr="00571840">
        <w:rPr>
          <w:bCs/>
        </w:rPr>
        <w:t xml:space="preserve">) </w:t>
      </w:r>
      <w:r w:rsidR="004D1C6E">
        <w:rPr>
          <w:bCs/>
        </w:rPr>
        <w:t>were</w:t>
      </w:r>
      <w:r w:rsidR="00F21D23">
        <w:rPr>
          <w:bCs/>
        </w:rPr>
        <w:t xml:space="preserve"> provided to </w:t>
      </w:r>
      <w:r w:rsidRPr="00571840">
        <w:rPr>
          <w:bCs/>
        </w:rPr>
        <w:t>families</w:t>
      </w:r>
      <w:r w:rsidR="00E20839">
        <w:rPr>
          <w:bCs/>
        </w:rPr>
        <w:t xml:space="preserve"> and children as needed.  </w:t>
      </w:r>
      <w:r w:rsidR="00156F11">
        <w:rPr>
          <w:bCs/>
        </w:rPr>
        <w:t xml:space="preserve">All communities </w:t>
      </w:r>
      <w:r w:rsidR="00B978A9">
        <w:rPr>
          <w:bCs/>
        </w:rPr>
        <w:t>noted as a potential area</w:t>
      </w:r>
      <w:r w:rsidR="000C7989">
        <w:rPr>
          <w:bCs/>
        </w:rPr>
        <w:t xml:space="preserve"> o</w:t>
      </w:r>
      <w:r w:rsidR="00B978A9">
        <w:rPr>
          <w:bCs/>
        </w:rPr>
        <w:t>f improvement for year 2</w:t>
      </w:r>
      <w:r w:rsidR="000C7989">
        <w:rPr>
          <w:bCs/>
        </w:rPr>
        <w:t xml:space="preserve"> their efforts </w:t>
      </w:r>
      <w:r w:rsidR="00B978A9">
        <w:rPr>
          <w:bCs/>
        </w:rPr>
        <w:t xml:space="preserve">to </w:t>
      </w:r>
      <w:r w:rsidR="000C7989">
        <w:rPr>
          <w:bCs/>
        </w:rPr>
        <w:t>evaluate a</w:t>
      </w:r>
      <w:r w:rsidR="00CA6C2E">
        <w:rPr>
          <w:bCs/>
        </w:rPr>
        <w:t xml:space="preserve">nd meet the needs of families. </w:t>
      </w:r>
      <w:r w:rsidR="000C7989">
        <w:rPr>
          <w:bCs/>
        </w:rPr>
        <w:t xml:space="preserve">The </w:t>
      </w:r>
      <w:r w:rsidR="004D1C6E">
        <w:rPr>
          <w:bCs/>
        </w:rPr>
        <w:t>manner in which case management was conducted</w:t>
      </w:r>
      <w:r w:rsidR="000C7989">
        <w:rPr>
          <w:bCs/>
        </w:rPr>
        <w:t xml:space="preserve"> in the first year</w:t>
      </w:r>
      <w:r w:rsidR="004D1C6E">
        <w:rPr>
          <w:bCs/>
        </w:rPr>
        <w:t xml:space="preserve"> varied by community</w:t>
      </w:r>
      <w:r w:rsidR="000C7989">
        <w:rPr>
          <w:bCs/>
        </w:rPr>
        <w:t xml:space="preserve"> and by program</w:t>
      </w:r>
      <w:r w:rsidR="00156F11">
        <w:rPr>
          <w:bCs/>
        </w:rPr>
        <w:t>.</w:t>
      </w:r>
    </w:p>
    <w:p w14:paraId="04B90A86" w14:textId="77777777" w:rsidR="00670AA7" w:rsidRPr="00571840" w:rsidRDefault="00670AA7" w:rsidP="00670AA7">
      <w:pPr>
        <w:numPr>
          <w:ilvl w:val="0"/>
          <w:numId w:val="1"/>
        </w:numPr>
        <w:spacing w:before="100" w:beforeAutospacing="1" w:after="100" w:afterAutospacing="1"/>
      </w:pPr>
      <w:r w:rsidRPr="00571840">
        <w:rPr>
          <w:bCs/>
        </w:rPr>
        <w:t xml:space="preserve">Programs </w:t>
      </w:r>
      <w:r w:rsidR="004D1C6E">
        <w:rPr>
          <w:bCs/>
        </w:rPr>
        <w:t>were committed to serving children with IEPs</w:t>
      </w:r>
      <w:r w:rsidR="00F21D23">
        <w:rPr>
          <w:bCs/>
        </w:rPr>
        <w:t xml:space="preserve"> </w:t>
      </w:r>
      <w:r w:rsidR="004D1C6E">
        <w:rPr>
          <w:bCs/>
        </w:rPr>
        <w:t>and those</w:t>
      </w:r>
      <w:r w:rsidRPr="00571840">
        <w:rPr>
          <w:bCs/>
        </w:rPr>
        <w:t xml:space="preserve"> requiring other supports (e.g.</w:t>
      </w:r>
      <w:r>
        <w:rPr>
          <w:bCs/>
        </w:rPr>
        <w:t>,</w:t>
      </w:r>
      <w:r w:rsidRPr="00571840">
        <w:rPr>
          <w:bCs/>
        </w:rPr>
        <w:t xml:space="preserve"> children without permanent homes, </w:t>
      </w:r>
      <w:r>
        <w:rPr>
          <w:bCs/>
        </w:rPr>
        <w:t>d</w:t>
      </w:r>
      <w:r w:rsidRPr="00571840">
        <w:rPr>
          <w:bCs/>
        </w:rPr>
        <w:t>ual language learners</w:t>
      </w:r>
      <w:r>
        <w:rPr>
          <w:bCs/>
        </w:rPr>
        <w:t xml:space="preserve"> (DLLs)</w:t>
      </w:r>
      <w:r w:rsidRPr="00571840">
        <w:rPr>
          <w:bCs/>
        </w:rPr>
        <w:t>, refugee or immigrant families</w:t>
      </w:r>
      <w:r>
        <w:rPr>
          <w:bCs/>
        </w:rPr>
        <w:t>, etc.</w:t>
      </w:r>
      <w:r w:rsidR="00E20839">
        <w:rPr>
          <w:bCs/>
        </w:rPr>
        <w:t xml:space="preserve">).  However, </w:t>
      </w:r>
      <w:r w:rsidR="00156F11">
        <w:rPr>
          <w:bCs/>
        </w:rPr>
        <w:t xml:space="preserve">the extent to which programs served </w:t>
      </w:r>
      <w:r w:rsidR="004D1C6E">
        <w:rPr>
          <w:bCs/>
        </w:rPr>
        <w:t>such</w:t>
      </w:r>
      <w:r w:rsidR="00156F11">
        <w:rPr>
          <w:bCs/>
        </w:rPr>
        <w:t xml:space="preserve"> students varied by community.</w:t>
      </w:r>
    </w:p>
    <w:p w14:paraId="49D572C6" w14:textId="77777777" w:rsidR="00670AA7" w:rsidRPr="004452B0" w:rsidRDefault="00F21D23" w:rsidP="00670AA7">
      <w:pPr>
        <w:numPr>
          <w:ilvl w:val="0"/>
          <w:numId w:val="1"/>
        </w:numPr>
        <w:spacing w:before="100" w:beforeAutospacing="1" w:after="100" w:afterAutospacing="1"/>
      </w:pPr>
      <w:r>
        <w:rPr>
          <w:bCs/>
        </w:rPr>
        <w:t>Efforts have been</w:t>
      </w:r>
      <w:r w:rsidR="00670AA7" w:rsidRPr="00571840">
        <w:rPr>
          <w:bCs/>
        </w:rPr>
        <w:t xml:space="preserve"> made to build links with services for children from birth to age 3 (e.g.</w:t>
      </w:r>
      <w:r w:rsidR="00670AA7">
        <w:rPr>
          <w:bCs/>
        </w:rPr>
        <w:t>,</w:t>
      </w:r>
      <w:r w:rsidR="00670AA7" w:rsidRPr="00571840">
        <w:rPr>
          <w:bCs/>
        </w:rPr>
        <w:t xml:space="preserve"> early intervention or home visiting services), as well as support</w:t>
      </w:r>
      <w:r>
        <w:rPr>
          <w:bCs/>
        </w:rPr>
        <w:t>s for</w:t>
      </w:r>
      <w:r w:rsidR="00670AA7" w:rsidRPr="00571840">
        <w:rPr>
          <w:bCs/>
        </w:rPr>
        <w:t xml:space="preserve"> </w:t>
      </w:r>
      <w:r w:rsidR="00E20839">
        <w:rPr>
          <w:bCs/>
        </w:rPr>
        <w:t>the transition</w:t>
      </w:r>
      <w:r w:rsidR="004D1C6E">
        <w:rPr>
          <w:bCs/>
        </w:rPr>
        <w:t xml:space="preserve"> to Kindergarten, although the level of coordination varies </w:t>
      </w:r>
      <w:r w:rsidR="00CA6C2E">
        <w:rPr>
          <w:bCs/>
        </w:rPr>
        <w:t>by community</w:t>
      </w:r>
      <w:r w:rsidR="00E20839">
        <w:rPr>
          <w:bCs/>
        </w:rPr>
        <w:t>.</w:t>
      </w:r>
    </w:p>
    <w:p w14:paraId="1CA0E355" w14:textId="77777777" w:rsidR="004452B0" w:rsidRDefault="004452B0" w:rsidP="004452B0">
      <w:pPr>
        <w:numPr>
          <w:ilvl w:val="0"/>
          <w:numId w:val="1"/>
        </w:numPr>
        <w:spacing w:before="100" w:beforeAutospacing="1" w:after="100" w:afterAutospacing="1"/>
      </w:pPr>
      <w:r w:rsidRPr="00571840">
        <w:t xml:space="preserve">All programs </w:t>
      </w:r>
      <w:r>
        <w:t>plan to</w:t>
      </w:r>
      <w:r w:rsidRPr="00571840">
        <w:t xml:space="preserve"> achieve a level 4 rating in the Massachusetts Quality Rating </w:t>
      </w:r>
      <w:r>
        <w:t xml:space="preserve">and </w:t>
      </w:r>
      <w:r w:rsidRPr="00571840">
        <w:t xml:space="preserve">Information System (QRIS) </w:t>
      </w:r>
      <w:r>
        <w:t>or</w:t>
      </w:r>
      <w:r w:rsidRPr="00571840">
        <w:t xml:space="preserve"> National Association for the Education of Young Children (NAEYC) accreditation</w:t>
      </w:r>
      <w:r>
        <w:t xml:space="preserve"> and granted level 3 QRIS rating</w:t>
      </w:r>
      <w:r w:rsidRPr="00571840">
        <w:t xml:space="preserve"> by the en</w:t>
      </w:r>
      <w:r>
        <w:t>d of the four ye</w:t>
      </w:r>
      <w:r w:rsidR="00B51116">
        <w:t>ar gra</w:t>
      </w:r>
      <w:r w:rsidR="00156F11">
        <w:t>nt period. P</w:t>
      </w:r>
      <w:r w:rsidR="00B51116">
        <w:t>rograms</w:t>
      </w:r>
      <w:r w:rsidR="000C7989">
        <w:t>'</w:t>
      </w:r>
      <w:r w:rsidR="00B51116">
        <w:t xml:space="preserve"> </w:t>
      </w:r>
      <w:r w:rsidR="00156F11">
        <w:t xml:space="preserve">current levels </w:t>
      </w:r>
      <w:r w:rsidR="000C7989">
        <w:t>range</w:t>
      </w:r>
      <w:r w:rsidR="00B51116">
        <w:t xml:space="preserve"> </w:t>
      </w:r>
      <w:r w:rsidR="00156F11">
        <w:t>from Level</w:t>
      </w:r>
      <w:r w:rsidR="00B51116">
        <w:t xml:space="preserve"> 1 </w:t>
      </w:r>
      <w:r w:rsidR="00156F11">
        <w:t>to Level</w:t>
      </w:r>
      <w:r w:rsidR="00B51116">
        <w:t xml:space="preserve"> 3.</w:t>
      </w:r>
    </w:p>
    <w:p w14:paraId="633DFFB4" w14:textId="77777777" w:rsidR="00445D88" w:rsidRDefault="00445D88" w:rsidP="00445D88">
      <w:pPr>
        <w:spacing w:before="100" w:beforeAutospacing="1" w:after="100" w:afterAutospacing="1"/>
      </w:pPr>
      <w:r>
        <w:t>Overall, PEG programs achieved good levels of classroom quality in the first year of implementation and the majority of children enrolled demonstrated school readiness in key academic and social skills.  At the same time, all programs showed room for continued improvement</w:t>
      </w:r>
      <w:r w:rsidR="00D318D8">
        <w:t xml:space="preserve"> in particular aspects of classroom quality and children's Kindergarten readiness</w:t>
      </w:r>
      <w:r>
        <w:t>.</w:t>
      </w:r>
    </w:p>
    <w:p w14:paraId="5C8795B3" w14:textId="77777777" w:rsidR="00445D88" w:rsidRDefault="00445D88" w:rsidP="00445D88">
      <w:pPr>
        <w:pStyle w:val="ListParagraph"/>
        <w:numPr>
          <w:ilvl w:val="0"/>
          <w:numId w:val="8"/>
        </w:numPr>
        <w:spacing w:before="100" w:beforeAutospacing="1" w:after="100" w:afterAutospacing="1"/>
      </w:pPr>
      <w:r>
        <w:t>Classroom observation scores fell largely in the moderate t</w:t>
      </w:r>
      <w:r w:rsidR="00D318D8">
        <w:t>o high levels of quality for most domains</w:t>
      </w:r>
      <w:r>
        <w:t>.</w:t>
      </w:r>
    </w:p>
    <w:p w14:paraId="5886D0CA" w14:textId="77777777" w:rsidR="00445D88" w:rsidRDefault="00445D88" w:rsidP="00445D88">
      <w:pPr>
        <w:pStyle w:val="ListParagraph"/>
        <w:numPr>
          <w:ilvl w:val="0"/>
          <w:numId w:val="8"/>
        </w:numPr>
        <w:spacing w:before="100" w:beforeAutospacing="1" w:after="100" w:afterAutospacing="1"/>
      </w:pPr>
      <w:r>
        <w:t>Scores tended to be lower for measures assessing the instructional quality of teacher-child interactions, with a few classrooms in the low quality range.</w:t>
      </w:r>
    </w:p>
    <w:p w14:paraId="4704AA47" w14:textId="77777777" w:rsidR="00445D88" w:rsidRDefault="00445D88" w:rsidP="00445D88">
      <w:pPr>
        <w:pStyle w:val="ListParagraph"/>
        <w:numPr>
          <w:ilvl w:val="0"/>
          <w:numId w:val="8"/>
        </w:numPr>
        <w:spacing w:before="100" w:beforeAutospacing="1" w:after="100" w:afterAutospacing="1"/>
      </w:pPr>
      <w:r>
        <w:t xml:space="preserve">On average, PEG children scored at normative levels on assessments of math and letter recognition, and were rated by teachers as being at age expectations for most </w:t>
      </w:r>
      <w:proofErr w:type="spellStart"/>
      <w:r>
        <w:t>self regulation</w:t>
      </w:r>
      <w:proofErr w:type="spellEnd"/>
      <w:r>
        <w:t xml:space="preserve"> and social skills.</w:t>
      </w:r>
    </w:p>
    <w:p w14:paraId="190537EB" w14:textId="77777777" w:rsidR="00445D88" w:rsidRPr="00571840" w:rsidRDefault="00445D88" w:rsidP="00445D88">
      <w:pPr>
        <w:pStyle w:val="ListParagraph"/>
        <w:numPr>
          <w:ilvl w:val="0"/>
          <w:numId w:val="8"/>
        </w:numPr>
        <w:spacing w:before="100" w:beforeAutospacing="1" w:after="100" w:afterAutospacing="1"/>
      </w:pPr>
      <w:r>
        <w:t>Assessments of vocabulary revealed that substantial numbers of children, particularly dual language learners, scored below age norm</w:t>
      </w:r>
      <w:r w:rsidR="00A75A3D">
        <w:t xml:space="preserve">s on </w:t>
      </w:r>
      <w:r w:rsidR="002B3E30">
        <w:t>the</w:t>
      </w:r>
      <w:r w:rsidR="00A75A3D">
        <w:t xml:space="preserve"> vocabulary</w:t>
      </w:r>
      <w:r w:rsidR="002B3E30">
        <w:t xml:space="preserve"> measure</w:t>
      </w:r>
      <w:r w:rsidR="00A75A3D">
        <w:t xml:space="preserve">.  </w:t>
      </w:r>
    </w:p>
    <w:p w14:paraId="783EE8D7" w14:textId="77777777" w:rsidR="002E4939" w:rsidRDefault="002E4939" w:rsidP="002E4939">
      <w:pPr>
        <w:pStyle w:val="Heading1"/>
      </w:pPr>
      <w:bookmarkStart w:id="2" w:name="_Toc467591090"/>
      <w:r>
        <w:t>I</w:t>
      </w:r>
      <w:r w:rsidR="0081424C">
        <w:t>I</w:t>
      </w:r>
      <w:r>
        <w:t>I. Program Implementation Evaluation</w:t>
      </w:r>
      <w:bookmarkEnd w:id="2"/>
    </w:p>
    <w:p w14:paraId="20778255" w14:textId="23F2FA20" w:rsidR="002E4939" w:rsidRPr="002A441D" w:rsidRDefault="001C744E" w:rsidP="002E4939">
      <w:r>
        <w:t xml:space="preserve">The Department of Early Education and Care has contracted with </w:t>
      </w:r>
      <w:proofErr w:type="spellStart"/>
      <w:r w:rsidR="002E4939">
        <w:t>Abt</w:t>
      </w:r>
      <w:proofErr w:type="spellEnd"/>
      <w:r w:rsidR="002E4939">
        <w:t xml:space="preserve"> Associates (</w:t>
      </w:r>
      <w:proofErr w:type="spellStart"/>
      <w:r w:rsidR="002E4939">
        <w:t>Abt</w:t>
      </w:r>
      <w:proofErr w:type="spellEnd"/>
      <w:r w:rsidR="002E4939">
        <w:t>)</w:t>
      </w:r>
      <w:r w:rsidR="0054590B">
        <w:t xml:space="preserve"> </w:t>
      </w:r>
      <w:r w:rsidR="002E4939">
        <w:t>to conduct a</w:t>
      </w:r>
      <w:r w:rsidR="002E4939" w:rsidRPr="002A441D">
        <w:t xml:space="preserve"> multi-year evaluation</w:t>
      </w:r>
      <w:r w:rsidR="00E20839">
        <w:t xml:space="preserve"> of the PEG programs,</w:t>
      </w:r>
      <w:r w:rsidR="002F314F">
        <w:t xml:space="preserve"> </w:t>
      </w:r>
      <w:r w:rsidR="00E20839">
        <w:t>which</w:t>
      </w:r>
      <w:r w:rsidR="002E4939" w:rsidRPr="002A441D">
        <w:t xml:space="preserve"> includes four main components: an implementation study of quality components in PEG programs, a longitudinal study of outcomes </w:t>
      </w:r>
      <w:r w:rsidR="002E4939" w:rsidRPr="002A441D">
        <w:lastRenderedPageBreak/>
        <w:t xml:space="preserve">for PEG children and families, an impact study of effects on children and families, and a cost study. </w:t>
      </w:r>
      <w:r w:rsidR="000C7989">
        <w:t>I</w:t>
      </w:r>
      <w:r w:rsidR="002E4939" w:rsidRPr="002A441D">
        <w:t>n Year 2 (2016–17) of the evaluation, the study team will begin the longitudinal study of outcomes for PEG children and families and the impact study of the effects of PEG on children and families. A cost effectiveness study will be conducted beginning in Year 3.</w:t>
      </w:r>
    </w:p>
    <w:p w14:paraId="23CFC508" w14:textId="77777777" w:rsidR="002E4939" w:rsidRDefault="002E4939" w:rsidP="002664A7">
      <w:pPr>
        <w:ind w:right="-90"/>
      </w:pPr>
      <w:r w:rsidRPr="00AC436E">
        <w:t xml:space="preserve">Year 1 </w:t>
      </w:r>
      <w:r>
        <w:t>of the PEG evaluation focused</w:t>
      </w:r>
      <w:r w:rsidRPr="00AC436E">
        <w:t xml:space="preserve"> on the implementation s</w:t>
      </w:r>
      <w:r>
        <w:t xml:space="preserve">tudy.  Through the use of surveys, interviews and focus groups, </w:t>
      </w:r>
      <w:proofErr w:type="spellStart"/>
      <w:r>
        <w:t>Abt</w:t>
      </w:r>
      <w:proofErr w:type="spellEnd"/>
      <w:r>
        <w:t xml:space="preserve"> </w:t>
      </w:r>
      <w:r w:rsidR="00E20839">
        <w:t>inquired about</w:t>
      </w:r>
      <w:r>
        <w:t xml:space="preserve"> the successes and challenges of the collaborative governance model used by e</w:t>
      </w:r>
      <w:r w:rsidR="00407C78">
        <w:t xml:space="preserve">ach community and detailed the </w:t>
      </w:r>
      <w:r>
        <w:t xml:space="preserve">programmatic supports received by parents and teachers.  In the spring of 2016, </w:t>
      </w:r>
      <w:proofErr w:type="spellStart"/>
      <w:r>
        <w:t>Abt</w:t>
      </w:r>
      <w:proofErr w:type="spellEnd"/>
      <w:r>
        <w:t xml:space="preserve"> conducted classroom observations to measure the quality of child-teacher interactions, the supports provided for the development of language, literacy and mathematical skills</w:t>
      </w:r>
      <w:r w:rsidR="00CA78CC">
        <w:t>,</w:t>
      </w:r>
      <w:r>
        <w:t xml:space="preserve"> and the allocation of time across different types of activities.  In the summer of 2016, </w:t>
      </w:r>
      <w:proofErr w:type="spellStart"/>
      <w:r>
        <w:t>Abt</w:t>
      </w:r>
      <w:proofErr w:type="spellEnd"/>
      <w:r>
        <w:t xml:space="preserve"> conducted child assessments with a sample of children in each classroom to assess the school readiness of the first cohort of children in this program.  Finally, </w:t>
      </w:r>
      <w:proofErr w:type="spellStart"/>
      <w:r>
        <w:t>Abt</w:t>
      </w:r>
      <w:proofErr w:type="spellEnd"/>
      <w:r>
        <w:t xml:space="preserve"> conducted a budget review to identify the expected costs of the PEG programs as designed in each community.</w:t>
      </w:r>
      <w:r w:rsidR="00E20839">
        <w:t xml:space="preserve"> Table 2 provides an overview of the tools and sampling procedures.</w:t>
      </w:r>
    </w:p>
    <w:p w14:paraId="74C688B0" w14:textId="77777777" w:rsidR="00E20839" w:rsidRPr="008C1CF4" w:rsidRDefault="00E20839" w:rsidP="00E20839">
      <w:pPr>
        <w:pStyle w:val="Caption"/>
      </w:pPr>
      <w:bookmarkStart w:id="3" w:name="_Toc461612623"/>
      <w:bookmarkStart w:id="4" w:name="_Toc461618572"/>
      <w:r>
        <w:t>Table 2.  Year 1 Survey, Interview, and Focus Group Sample and Response Rates</w:t>
      </w:r>
      <w:bookmarkEnd w:id="3"/>
      <w:bookmarkEnd w:id="4"/>
    </w:p>
    <w:tbl>
      <w:tblPr>
        <w:tblStyle w:val="MAPEG"/>
        <w:tblW w:w="9360" w:type="dxa"/>
        <w:tblLayout w:type="fixed"/>
        <w:tblLook w:val="04A0" w:firstRow="1" w:lastRow="0" w:firstColumn="1" w:lastColumn="0" w:noHBand="0" w:noVBand="1"/>
      </w:tblPr>
      <w:tblGrid>
        <w:gridCol w:w="1440"/>
        <w:gridCol w:w="1980"/>
        <w:gridCol w:w="5940"/>
      </w:tblGrid>
      <w:tr w:rsidR="00E20839" w:rsidRPr="00117170" w14:paraId="070FD3B5" w14:textId="77777777" w:rsidTr="002664A7">
        <w:trPr>
          <w:cnfStyle w:val="100000000000" w:firstRow="1" w:lastRow="0" w:firstColumn="0" w:lastColumn="0" w:oddVBand="0" w:evenVBand="0" w:oddHBand="0" w:evenHBand="0" w:firstRowFirstColumn="0" w:firstRowLastColumn="0" w:lastRowFirstColumn="0" w:lastRowLastColumn="0"/>
          <w:cantSplit/>
          <w:tblHeader/>
        </w:trPr>
        <w:tc>
          <w:tcPr>
            <w:tcW w:w="1440" w:type="dxa"/>
          </w:tcPr>
          <w:p w14:paraId="7F76BE65" w14:textId="77777777" w:rsidR="00E20839" w:rsidRPr="00117170" w:rsidRDefault="00E20839" w:rsidP="00E20839">
            <w:pPr>
              <w:pStyle w:val="ExhibitColumnHeader"/>
            </w:pPr>
          </w:p>
        </w:tc>
        <w:tc>
          <w:tcPr>
            <w:tcW w:w="1980" w:type="dxa"/>
          </w:tcPr>
          <w:p w14:paraId="09732FA4" w14:textId="77777777" w:rsidR="00E20839" w:rsidRPr="00117170" w:rsidRDefault="00E20839" w:rsidP="00E20839">
            <w:pPr>
              <w:pStyle w:val="ExhibitColumnHeader"/>
            </w:pPr>
            <w:r w:rsidRPr="00117170">
              <w:t>Sample</w:t>
            </w:r>
          </w:p>
        </w:tc>
        <w:tc>
          <w:tcPr>
            <w:tcW w:w="5940" w:type="dxa"/>
          </w:tcPr>
          <w:p w14:paraId="22F75F4D" w14:textId="77777777" w:rsidR="00E20839" w:rsidRPr="00117170" w:rsidRDefault="00E20839" w:rsidP="00E20839">
            <w:pPr>
              <w:pStyle w:val="ExhibitColumnHeader"/>
            </w:pPr>
            <w:r w:rsidRPr="00117170">
              <w:t>Response Rate</w:t>
            </w:r>
          </w:p>
        </w:tc>
      </w:tr>
      <w:tr w:rsidR="00E20839" w:rsidRPr="008C1CF4" w14:paraId="71F6E76A" w14:textId="77777777" w:rsidTr="002664A7">
        <w:trPr>
          <w:cantSplit/>
        </w:trPr>
        <w:tc>
          <w:tcPr>
            <w:tcW w:w="1440" w:type="dxa"/>
            <w:shd w:val="clear" w:color="auto" w:fill="808080" w:themeFill="background1" w:themeFillShade="80"/>
          </w:tcPr>
          <w:p w14:paraId="05398C37" w14:textId="77777777" w:rsidR="00E20839" w:rsidRPr="00931A11" w:rsidRDefault="00E20839" w:rsidP="00E20839">
            <w:pPr>
              <w:pStyle w:val="ExhibitRowHeader"/>
              <w:keepNext/>
            </w:pPr>
            <w:r w:rsidRPr="00931A11">
              <w:t>Surveys</w:t>
            </w:r>
          </w:p>
        </w:tc>
        <w:tc>
          <w:tcPr>
            <w:tcW w:w="1980" w:type="dxa"/>
            <w:shd w:val="clear" w:color="auto" w:fill="808080" w:themeFill="background1" w:themeFillShade="80"/>
          </w:tcPr>
          <w:p w14:paraId="0BC4DC12" w14:textId="77777777" w:rsidR="00E20839" w:rsidRPr="00931A11" w:rsidRDefault="00E20839" w:rsidP="00E20839">
            <w:pPr>
              <w:pStyle w:val="ExhibitRowHeader"/>
              <w:keepNext/>
            </w:pPr>
          </w:p>
        </w:tc>
        <w:tc>
          <w:tcPr>
            <w:tcW w:w="5940" w:type="dxa"/>
            <w:shd w:val="clear" w:color="auto" w:fill="808080" w:themeFill="background1" w:themeFillShade="80"/>
          </w:tcPr>
          <w:p w14:paraId="1A3B59F6" w14:textId="77777777" w:rsidR="00E20839" w:rsidRPr="00931A11" w:rsidRDefault="00E20839" w:rsidP="00E20839">
            <w:pPr>
              <w:pStyle w:val="ExhibitRowHeader"/>
              <w:keepNext/>
            </w:pPr>
          </w:p>
        </w:tc>
      </w:tr>
      <w:tr w:rsidR="00E20839" w:rsidRPr="008C1CF4" w14:paraId="34392B36" w14:textId="77777777" w:rsidTr="002664A7">
        <w:trPr>
          <w:cnfStyle w:val="000000010000" w:firstRow="0" w:lastRow="0" w:firstColumn="0" w:lastColumn="0" w:oddVBand="0" w:evenVBand="0" w:oddHBand="0" w:evenHBand="1" w:firstRowFirstColumn="0" w:firstRowLastColumn="0" w:lastRowFirstColumn="0" w:lastRowLastColumn="0"/>
          <w:cantSplit/>
        </w:trPr>
        <w:tc>
          <w:tcPr>
            <w:tcW w:w="1440" w:type="dxa"/>
          </w:tcPr>
          <w:p w14:paraId="2818BE6D" w14:textId="77777777" w:rsidR="00E20839" w:rsidRPr="00931A11" w:rsidRDefault="00E20839" w:rsidP="00E20839">
            <w:pPr>
              <w:pStyle w:val="ExhibitText"/>
            </w:pPr>
            <w:r w:rsidRPr="00931A11">
              <w:t xml:space="preserve">Teacher survey </w:t>
            </w:r>
          </w:p>
        </w:tc>
        <w:tc>
          <w:tcPr>
            <w:tcW w:w="1980" w:type="dxa"/>
          </w:tcPr>
          <w:p w14:paraId="584E2B3F" w14:textId="456C28D1" w:rsidR="00E20839" w:rsidRPr="00931A11" w:rsidRDefault="00E20839" w:rsidP="002664A7">
            <w:pPr>
              <w:pStyle w:val="ExhibitText"/>
            </w:pPr>
            <w:r w:rsidRPr="00931A11">
              <w:t xml:space="preserve">All lead teachers and assistant teachers with available contact info </w:t>
            </w:r>
          </w:p>
        </w:tc>
        <w:tc>
          <w:tcPr>
            <w:tcW w:w="5940" w:type="dxa"/>
          </w:tcPr>
          <w:p w14:paraId="49DDECF3" w14:textId="77777777" w:rsidR="00E20839" w:rsidRPr="00931A11" w:rsidRDefault="00E20839" w:rsidP="00E20839">
            <w:pPr>
              <w:pStyle w:val="ExhibitText"/>
              <w:numPr>
                <w:ilvl w:val="0"/>
                <w:numId w:val="5"/>
              </w:numPr>
            </w:pPr>
            <w:r>
              <w:t>Survey sent to 118 teachers (52</w:t>
            </w:r>
            <w:r w:rsidRPr="00931A11">
              <w:t xml:space="preserve"> lead teach</w:t>
            </w:r>
            <w:r>
              <w:t>ers and 66 assistant teachers)</w:t>
            </w:r>
          </w:p>
          <w:p w14:paraId="61D7F0AE" w14:textId="77777777" w:rsidR="00E20839" w:rsidRPr="00931A11" w:rsidRDefault="00E20839" w:rsidP="00E20839">
            <w:pPr>
              <w:pStyle w:val="ExhibitText"/>
              <w:numPr>
                <w:ilvl w:val="0"/>
                <w:numId w:val="5"/>
              </w:numPr>
            </w:pPr>
            <w:r w:rsidRPr="00C638B9">
              <w:t>Co</w:t>
            </w:r>
            <w:r>
              <w:t>mpleted surveys obtained from 39 lead teachers (75</w:t>
            </w:r>
            <w:r w:rsidRPr="00C638B9">
              <w:t xml:space="preserve"> percent response rate) representing 35</w:t>
            </w:r>
            <w:r>
              <w:t xml:space="preserve"> of the 48 PEG classrooms and 33</w:t>
            </w:r>
            <w:r w:rsidRPr="00C638B9">
              <w:t xml:space="preserve"> </w:t>
            </w:r>
            <w:r>
              <w:t>assistant teachers (50</w:t>
            </w:r>
            <w:r w:rsidRPr="00C638B9">
              <w:t xml:space="preserve"> percen</w:t>
            </w:r>
            <w:r>
              <w:t>t response rate) representing 27</w:t>
            </w:r>
            <w:r w:rsidRPr="00C638B9">
              <w:t xml:space="preserve"> of the 48 PEG classrooms</w:t>
            </w:r>
          </w:p>
        </w:tc>
      </w:tr>
      <w:tr w:rsidR="00E20839" w:rsidRPr="008C1CF4" w14:paraId="26E6CB5C" w14:textId="77777777" w:rsidTr="002664A7">
        <w:trPr>
          <w:cantSplit/>
        </w:trPr>
        <w:tc>
          <w:tcPr>
            <w:tcW w:w="1440" w:type="dxa"/>
          </w:tcPr>
          <w:p w14:paraId="103B94F5" w14:textId="77777777" w:rsidR="00E20839" w:rsidRPr="00931A11" w:rsidRDefault="00E20839" w:rsidP="00E20839">
            <w:pPr>
              <w:pStyle w:val="ExhibitText"/>
            </w:pPr>
            <w:r w:rsidRPr="00931A11">
              <w:t>Parent survey</w:t>
            </w:r>
          </w:p>
        </w:tc>
        <w:tc>
          <w:tcPr>
            <w:tcW w:w="1980" w:type="dxa"/>
          </w:tcPr>
          <w:p w14:paraId="58CE226A" w14:textId="77777777" w:rsidR="00E20839" w:rsidRPr="00931A11" w:rsidRDefault="00E20839" w:rsidP="00E20839">
            <w:pPr>
              <w:pStyle w:val="ExhibitText"/>
            </w:pPr>
            <w:r w:rsidRPr="00931A11">
              <w:t>All parents of PEG children in 48 PEG classrooms</w:t>
            </w:r>
          </w:p>
        </w:tc>
        <w:tc>
          <w:tcPr>
            <w:tcW w:w="5940" w:type="dxa"/>
          </w:tcPr>
          <w:p w14:paraId="770B2B2D" w14:textId="77777777" w:rsidR="00E20839" w:rsidRPr="00931A11" w:rsidRDefault="00E20839" w:rsidP="00E20839">
            <w:pPr>
              <w:pStyle w:val="ExhibitText"/>
              <w:numPr>
                <w:ilvl w:val="0"/>
                <w:numId w:val="5"/>
              </w:numPr>
            </w:pPr>
            <w:r>
              <w:t xml:space="preserve">Survey sent to 760 parents </w:t>
            </w:r>
          </w:p>
          <w:p w14:paraId="0284420E" w14:textId="77777777" w:rsidR="00E20839" w:rsidRPr="00931A11" w:rsidRDefault="00E20839" w:rsidP="00E20839">
            <w:pPr>
              <w:pStyle w:val="ExhibitText"/>
              <w:numPr>
                <w:ilvl w:val="0"/>
                <w:numId w:val="5"/>
              </w:numPr>
            </w:pPr>
            <w:r w:rsidRPr="00931A11">
              <w:t xml:space="preserve">Completed surveys </w:t>
            </w:r>
            <w:r w:rsidRPr="00D16246">
              <w:t>from 336</w:t>
            </w:r>
            <w:r>
              <w:t xml:space="preserve"> parents/guardians (44</w:t>
            </w:r>
            <w:r w:rsidRPr="00D16246">
              <w:t xml:space="preserve"> percent response rate)</w:t>
            </w:r>
          </w:p>
        </w:tc>
      </w:tr>
      <w:tr w:rsidR="00E20839" w:rsidRPr="008C1CF4" w14:paraId="6EC87093" w14:textId="77777777" w:rsidTr="002664A7">
        <w:trPr>
          <w:cnfStyle w:val="000000010000" w:firstRow="0" w:lastRow="0" w:firstColumn="0" w:lastColumn="0" w:oddVBand="0" w:evenVBand="0" w:oddHBand="0" w:evenHBand="1" w:firstRowFirstColumn="0" w:firstRowLastColumn="0" w:lastRowFirstColumn="0" w:lastRowLastColumn="0"/>
          <w:cantSplit/>
        </w:trPr>
        <w:tc>
          <w:tcPr>
            <w:tcW w:w="1440" w:type="dxa"/>
          </w:tcPr>
          <w:p w14:paraId="7F144BB5" w14:textId="77777777" w:rsidR="00E20839" w:rsidRPr="00931A11" w:rsidRDefault="00E20839" w:rsidP="00E20839">
            <w:pPr>
              <w:pStyle w:val="ExhibitText"/>
            </w:pPr>
            <w:r w:rsidRPr="00931A11">
              <w:t>Wilder Collaboration Inventory</w:t>
            </w:r>
          </w:p>
        </w:tc>
        <w:tc>
          <w:tcPr>
            <w:tcW w:w="1980" w:type="dxa"/>
          </w:tcPr>
          <w:p w14:paraId="48A953F1" w14:textId="77777777" w:rsidR="00E20839" w:rsidRPr="00931A11" w:rsidRDefault="00E20839" w:rsidP="00E20839">
            <w:pPr>
              <w:pStyle w:val="ExhibitText"/>
            </w:pPr>
            <w:r w:rsidRPr="00931A11">
              <w:t>All members of PEG leadership team in each community</w:t>
            </w:r>
          </w:p>
        </w:tc>
        <w:tc>
          <w:tcPr>
            <w:tcW w:w="5940" w:type="dxa"/>
          </w:tcPr>
          <w:p w14:paraId="230621B0" w14:textId="2C99ACA4" w:rsidR="00E20839" w:rsidRPr="00931A11" w:rsidRDefault="00E20839" w:rsidP="00E20839">
            <w:pPr>
              <w:pStyle w:val="ExhibitText"/>
              <w:numPr>
                <w:ilvl w:val="0"/>
                <w:numId w:val="5"/>
              </w:numPr>
            </w:pPr>
            <w:r w:rsidRPr="00931A11">
              <w:t>Inventory sent to 59 leadership te</w:t>
            </w:r>
            <w:r>
              <w:t>am members across 5 communities</w:t>
            </w:r>
          </w:p>
          <w:p w14:paraId="3D472E4F" w14:textId="77777777" w:rsidR="00E20839" w:rsidRPr="00931A11" w:rsidRDefault="00E20839" w:rsidP="00E20839">
            <w:pPr>
              <w:pStyle w:val="ExhibitText"/>
              <w:numPr>
                <w:ilvl w:val="0"/>
                <w:numId w:val="5"/>
              </w:numPr>
            </w:pPr>
            <w:r w:rsidRPr="00931A11">
              <w:t>Completed inventories from 49 respondents (83 percent response rate)</w:t>
            </w:r>
          </w:p>
        </w:tc>
      </w:tr>
      <w:tr w:rsidR="00E20839" w:rsidRPr="008C1CF4" w14:paraId="31A246CF" w14:textId="77777777" w:rsidTr="002664A7">
        <w:trPr>
          <w:cantSplit/>
        </w:trPr>
        <w:tc>
          <w:tcPr>
            <w:tcW w:w="1440" w:type="dxa"/>
            <w:shd w:val="clear" w:color="auto" w:fill="808080" w:themeFill="background1" w:themeFillShade="80"/>
          </w:tcPr>
          <w:p w14:paraId="1A93BC7A" w14:textId="77777777" w:rsidR="00E20839" w:rsidRPr="00931A11" w:rsidRDefault="00E20839" w:rsidP="00E20839">
            <w:pPr>
              <w:pStyle w:val="ExhibitRowHeader"/>
            </w:pPr>
            <w:r w:rsidRPr="00931A11">
              <w:t>Interviews</w:t>
            </w:r>
          </w:p>
        </w:tc>
        <w:tc>
          <w:tcPr>
            <w:tcW w:w="1980" w:type="dxa"/>
            <w:shd w:val="clear" w:color="auto" w:fill="808080" w:themeFill="background1" w:themeFillShade="80"/>
          </w:tcPr>
          <w:p w14:paraId="30B25E93" w14:textId="77777777" w:rsidR="00E20839" w:rsidRPr="00931A11" w:rsidRDefault="00E20839" w:rsidP="00E20839">
            <w:pPr>
              <w:pStyle w:val="ExhibitRowHeader"/>
            </w:pPr>
          </w:p>
        </w:tc>
        <w:tc>
          <w:tcPr>
            <w:tcW w:w="5940" w:type="dxa"/>
            <w:shd w:val="clear" w:color="auto" w:fill="808080" w:themeFill="background1" w:themeFillShade="80"/>
          </w:tcPr>
          <w:p w14:paraId="45E30777" w14:textId="77777777" w:rsidR="00E20839" w:rsidRPr="00117170" w:rsidRDefault="00E20839" w:rsidP="00E20839">
            <w:pPr>
              <w:pStyle w:val="ExhibitRowHeader"/>
            </w:pPr>
          </w:p>
        </w:tc>
      </w:tr>
      <w:tr w:rsidR="00E20839" w:rsidRPr="008C1CF4" w14:paraId="4D31FA46" w14:textId="77777777" w:rsidTr="002664A7">
        <w:trPr>
          <w:cnfStyle w:val="000000010000" w:firstRow="0" w:lastRow="0" w:firstColumn="0" w:lastColumn="0" w:oddVBand="0" w:evenVBand="0" w:oddHBand="0" w:evenHBand="1" w:firstRowFirstColumn="0" w:firstRowLastColumn="0" w:lastRowFirstColumn="0" w:lastRowLastColumn="0"/>
          <w:cantSplit/>
        </w:trPr>
        <w:tc>
          <w:tcPr>
            <w:tcW w:w="1440" w:type="dxa"/>
          </w:tcPr>
          <w:p w14:paraId="3983403A" w14:textId="77777777" w:rsidR="00E20839" w:rsidRPr="00931A11" w:rsidRDefault="00E20839" w:rsidP="00E20839">
            <w:pPr>
              <w:pStyle w:val="ExhibitText"/>
            </w:pPr>
            <w:r>
              <w:t>Center director</w:t>
            </w:r>
            <w:r w:rsidRPr="00931A11">
              <w:t xml:space="preserve"> interview</w:t>
            </w:r>
          </w:p>
        </w:tc>
        <w:tc>
          <w:tcPr>
            <w:tcW w:w="1980" w:type="dxa"/>
          </w:tcPr>
          <w:p w14:paraId="7B43C06B" w14:textId="77777777" w:rsidR="00E20839" w:rsidRPr="00931A11" w:rsidRDefault="00E20839" w:rsidP="00E20839">
            <w:pPr>
              <w:pStyle w:val="ExhibitText"/>
            </w:pPr>
            <w:r w:rsidRPr="00931A11">
              <w:t>All PEG center directors</w:t>
            </w:r>
            <w:r>
              <w:t xml:space="preserve"> </w:t>
            </w:r>
          </w:p>
        </w:tc>
        <w:tc>
          <w:tcPr>
            <w:tcW w:w="5940" w:type="dxa"/>
          </w:tcPr>
          <w:p w14:paraId="7139B06B" w14:textId="77777777" w:rsidR="00E20839" w:rsidRPr="00931A11" w:rsidRDefault="00E20839" w:rsidP="00E20839">
            <w:pPr>
              <w:pStyle w:val="ExhibitText"/>
              <w:numPr>
                <w:ilvl w:val="0"/>
                <w:numId w:val="5"/>
              </w:numPr>
            </w:pPr>
            <w:r w:rsidRPr="00931A11">
              <w:t xml:space="preserve">Interviews conducted with 28 </w:t>
            </w:r>
            <w:r>
              <w:t>center director</w:t>
            </w:r>
            <w:r w:rsidRPr="00931A11">
              <w:t>s across 24 ELPs (includes teacher directors) (100 percent response rate)</w:t>
            </w:r>
          </w:p>
        </w:tc>
      </w:tr>
      <w:tr w:rsidR="00E20839" w:rsidRPr="008C1CF4" w14:paraId="327B6557" w14:textId="77777777" w:rsidTr="002664A7">
        <w:trPr>
          <w:cantSplit/>
        </w:trPr>
        <w:tc>
          <w:tcPr>
            <w:tcW w:w="1440" w:type="dxa"/>
          </w:tcPr>
          <w:p w14:paraId="115B1D95" w14:textId="77777777" w:rsidR="00E20839" w:rsidRPr="00931A11" w:rsidRDefault="00E20839" w:rsidP="00E20839">
            <w:pPr>
              <w:pStyle w:val="ExhibitText"/>
            </w:pPr>
            <w:r w:rsidRPr="00931A11">
              <w:t>LEA/ELP leader interview</w:t>
            </w:r>
          </w:p>
        </w:tc>
        <w:tc>
          <w:tcPr>
            <w:tcW w:w="1980" w:type="dxa"/>
          </w:tcPr>
          <w:p w14:paraId="6F8AA1E9" w14:textId="77777777" w:rsidR="00E20839" w:rsidRPr="00931A11" w:rsidRDefault="00E20839" w:rsidP="00E20839">
            <w:pPr>
              <w:pStyle w:val="ExhibitText"/>
            </w:pPr>
            <w:r w:rsidRPr="00931A11">
              <w:t>All LEA coordinators and ELP leaders in each community</w:t>
            </w:r>
          </w:p>
        </w:tc>
        <w:tc>
          <w:tcPr>
            <w:tcW w:w="5940" w:type="dxa"/>
          </w:tcPr>
          <w:p w14:paraId="34725E1B" w14:textId="77777777" w:rsidR="00E20839" w:rsidRPr="00931A11" w:rsidRDefault="00E20839" w:rsidP="00E20839">
            <w:pPr>
              <w:pStyle w:val="ExhibitText"/>
              <w:numPr>
                <w:ilvl w:val="0"/>
                <w:numId w:val="5"/>
              </w:numPr>
            </w:pPr>
            <w:r>
              <w:t xml:space="preserve">Interviewed 5 LEA coordinators </w:t>
            </w:r>
          </w:p>
          <w:p w14:paraId="22911265" w14:textId="77777777" w:rsidR="00E20839" w:rsidRPr="00931A11" w:rsidRDefault="00E20839" w:rsidP="00E20839">
            <w:pPr>
              <w:pStyle w:val="ExhibitText"/>
              <w:numPr>
                <w:ilvl w:val="0"/>
                <w:numId w:val="5"/>
              </w:numPr>
            </w:pPr>
            <w:r w:rsidRPr="00931A11">
              <w:t xml:space="preserve">Interviewed 10 ELP leaders across 16 agencies </w:t>
            </w:r>
          </w:p>
        </w:tc>
      </w:tr>
      <w:tr w:rsidR="00E20839" w:rsidRPr="008C1CF4" w14:paraId="66F92B43" w14:textId="77777777" w:rsidTr="002664A7">
        <w:trPr>
          <w:cnfStyle w:val="000000010000" w:firstRow="0" w:lastRow="0" w:firstColumn="0" w:lastColumn="0" w:oddVBand="0" w:evenVBand="0" w:oddHBand="0" w:evenHBand="1" w:firstRowFirstColumn="0" w:firstRowLastColumn="0" w:lastRowFirstColumn="0" w:lastRowLastColumn="0"/>
          <w:cantSplit/>
        </w:trPr>
        <w:tc>
          <w:tcPr>
            <w:tcW w:w="1440" w:type="dxa"/>
          </w:tcPr>
          <w:p w14:paraId="42EB7A5F" w14:textId="77777777" w:rsidR="00E20839" w:rsidRPr="00931A11" w:rsidRDefault="00E20839" w:rsidP="00E20839">
            <w:pPr>
              <w:pStyle w:val="ExhibitText"/>
            </w:pPr>
            <w:r w:rsidRPr="00931A11">
              <w:t>Coach interview</w:t>
            </w:r>
          </w:p>
        </w:tc>
        <w:tc>
          <w:tcPr>
            <w:tcW w:w="1980" w:type="dxa"/>
          </w:tcPr>
          <w:p w14:paraId="5EC25817" w14:textId="77777777" w:rsidR="00E20839" w:rsidRPr="00931A11" w:rsidRDefault="00E20839" w:rsidP="00E20839">
            <w:pPr>
              <w:pStyle w:val="ExhibitText"/>
            </w:pPr>
            <w:r>
              <w:t xml:space="preserve">All </w:t>
            </w:r>
            <w:r w:rsidRPr="00931A11">
              <w:t>PEG coaches</w:t>
            </w:r>
          </w:p>
        </w:tc>
        <w:tc>
          <w:tcPr>
            <w:tcW w:w="5940" w:type="dxa"/>
          </w:tcPr>
          <w:p w14:paraId="60BA526E" w14:textId="77777777" w:rsidR="00E20839" w:rsidRPr="00931A11" w:rsidRDefault="00E20839" w:rsidP="00E20839">
            <w:pPr>
              <w:pStyle w:val="ExhibitBullets"/>
            </w:pPr>
            <w:r w:rsidRPr="00931A11">
              <w:t>Intervi</w:t>
            </w:r>
            <w:r>
              <w:t>ews conducted with</w:t>
            </w:r>
            <w:r w:rsidRPr="003B6FE7">
              <w:t xml:space="preserve"> 10 coaches</w:t>
            </w:r>
            <w:r w:rsidRPr="00931A11">
              <w:t xml:space="preserve"> in 4 communities where PEG coaching was provided </w:t>
            </w:r>
          </w:p>
        </w:tc>
      </w:tr>
      <w:tr w:rsidR="00E20839" w:rsidRPr="008C1CF4" w14:paraId="7BC93741" w14:textId="77777777" w:rsidTr="002664A7">
        <w:trPr>
          <w:cantSplit/>
        </w:trPr>
        <w:tc>
          <w:tcPr>
            <w:tcW w:w="1440" w:type="dxa"/>
            <w:shd w:val="clear" w:color="auto" w:fill="808080" w:themeFill="background1" w:themeFillShade="80"/>
          </w:tcPr>
          <w:p w14:paraId="7FFD995B" w14:textId="77777777" w:rsidR="00E20839" w:rsidRPr="00931A11" w:rsidRDefault="00E20839" w:rsidP="00E20839">
            <w:pPr>
              <w:pStyle w:val="ExhibitRowHeader"/>
            </w:pPr>
            <w:r w:rsidRPr="00931A11">
              <w:t>Focus Groups</w:t>
            </w:r>
          </w:p>
        </w:tc>
        <w:tc>
          <w:tcPr>
            <w:tcW w:w="1980" w:type="dxa"/>
            <w:shd w:val="clear" w:color="auto" w:fill="808080" w:themeFill="background1" w:themeFillShade="80"/>
          </w:tcPr>
          <w:p w14:paraId="3EF1271A" w14:textId="77777777" w:rsidR="00E20839" w:rsidRPr="00931A11" w:rsidRDefault="00E20839" w:rsidP="00E20839">
            <w:pPr>
              <w:pStyle w:val="ExhibitRowHeader"/>
            </w:pPr>
          </w:p>
        </w:tc>
        <w:tc>
          <w:tcPr>
            <w:tcW w:w="5940" w:type="dxa"/>
            <w:shd w:val="clear" w:color="auto" w:fill="808080" w:themeFill="background1" w:themeFillShade="80"/>
          </w:tcPr>
          <w:p w14:paraId="4475F1C7" w14:textId="77777777" w:rsidR="00E20839" w:rsidRPr="00931A11" w:rsidRDefault="00E20839" w:rsidP="00E20839">
            <w:pPr>
              <w:pStyle w:val="ExhibitRowHeader"/>
            </w:pPr>
          </w:p>
        </w:tc>
      </w:tr>
      <w:tr w:rsidR="00E20839" w:rsidRPr="008C1CF4" w14:paraId="134D02EB" w14:textId="77777777" w:rsidTr="002664A7">
        <w:trPr>
          <w:cnfStyle w:val="000000010000" w:firstRow="0" w:lastRow="0" w:firstColumn="0" w:lastColumn="0" w:oddVBand="0" w:evenVBand="0" w:oddHBand="0" w:evenHBand="1" w:firstRowFirstColumn="0" w:firstRowLastColumn="0" w:lastRowFirstColumn="0" w:lastRowLastColumn="0"/>
          <w:cantSplit/>
        </w:trPr>
        <w:tc>
          <w:tcPr>
            <w:tcW w:w="1440" w:type="dxa"/>
          </w:tcPr>
          <w:p w14:paraId="7159C241" w14:textId="77777777" w:rsidR="00E20839" w:rsidRPr="00931A11" w:rsidRDefault="00E20839" w:rsidP="00E20839">
            <w:pPr>
              <w:pStyle w:val="ExhibitText"/>
            </w:pPr>
            <w:r w:rsidRPr="00931A11">
              <w:t>Teacher focus group</w:t>
            </w:r>
          </w:p>
        </w:tc>
        <w:tc>
          <w:tcPr>
            <w:tcW w:w="1980" w:type="dxa"/>
          </w:tcPr>
          <w:p w14:paraId="1B7E2B61" w14:textId="25CC1D95" w:rsidR="00E20839" w:rsidRPr="00931A11" w:rsidRDefault="00E20839" w:rsidP="007D3411">
            <w:pPr>
              <w:pStyle w:val="ExhibitText"/>
            </w:pPr>
            <w:r w:rsidRPr="00931A11">
              <w:t xml:space="preserve">One focus group each community, inviting </w:t>
            </w:r>
            <w:r>
              <w:t xml:space="preserve">all </w:t>
            </w:r>
            <w:r w:rsidR="002664A7">
              <w:t>PEG lead teachers</w:t>
            </w:r>
          </w:p>
        </w:tc>
        <w:tc>
          <w:tcPr>
            <w:tcW w:w="5940" w:type="dxa"/>
          </w:tcPr>
          <w:p w14:paraId="5252F424" w14:textId="77777777" w:rsidR="00E20839" w:rsidRPr="00931A11" w:rsidRDefault="00E20839" w:rsidP="00E20839">
            <w:pPr>
              <w:pStyle w:val="ExhibitText"/>
              <w:numPr>
                <w:ilvl w:val="0"/>
                <w:numId w:val="5"/>
              </w:numPr>
            </w:pPr>
            <w:r w:rsidRPr="00931A11">
              <w:t>8 teacher focus groups conduc</w:t>
            </w:r>
            <w:r>
              <w:t xml:space="preserve">ted, at least 1 per community </w:t>
            </w:r>
          </w:p>
          <w:p w14:paraId="536CE2FE" w14:textId="77777777" w:rsidR="00E20839" w:rsidRPr="00931A11" w:rsidRDefault="00E20839" w:rsidP="00E20839">
            <w:pPr>
              <w:pStyle w:val="ExhibitText"/>
              <w:numPr>
                <w:ilvl w:val="0"/>
                <w:numId w:val="5"/>
              </w:numPr>
            </w:pPr>
            <w:r w:rsidRPr="00931A11">
              <w:t>40 teachers participated (primarily lead teachers)</w:t>
            </w:r>
          </w:p>
        </w:tc>
      </w:tr>
      <w:tr w:rsidR="00E20839" w:rsidRPr="008C1CF4" w14:paraId="6CFFE16C" w14:textId="77777777" w:rsidTr="002664A7">
        <w:trPr>
          <w:cantSplit/>
        </w:trPr>
        <w:tc>
          <w:tcPr>
            <w:tcW w:w="1440" w:type="dxa"/>
          </w:tcPr>
          <w:p w14:paraId="0C75A048" w14:textId="77777777" w:rsidR="00E20839" w:rsidRPr="00931A11" w:rsidRDefault="00E20839" w:rsidP="00E20839">
            <w:pPr>
              <w:pStyle w:val="ExhibitText"/>
            </w:pPr>
            <w:r w:rsidRPr="00931A11">
              <w:t>Parent focus group</w:t>
            </w:r>
          </w:p>
        </w:tc>
        <w:tc>
          <w:tcPr>
            <w:tcW w:w="1980" w:type="dxa"/>
          </w:tcPr>
          <w:p w14:paraId="17929265" w14:textId="77777777" w:rsidR="00E20839" w:rsidRPr="000A435D" w:rsidRDefault="00E20839" w:rsidP="00E20839">
            <w:pPr>
              <w:pStyle w:val="ExhibitText"/>
            </w:pPr>
            <w:r w:rsidRPr="000A435D">
              <w:t>Multiple focus groups in each community, inviting all parents from 12 PEG centers</w:t>
            </w:r>
          </w:p>
        </w:tc>
        <w:tc>
          <w:tcPr>
            <w:tcW w:w="5940" w:type="dxa"/>
          </w:tcPr>
          <w:p w14:paraId="6D06F4EB" w14:textId="177DBEA5" w:rsidR="00E20839" w:rsidRPr="00931A11" w:rsidRDefault="00E20839" w:rsidP="00E20839">
            <w:pPr>
              <w:pStyle w:val="ExhibitText"/>
              <w:numPr>
                <w:ilvl w:val="0"/>
                <w:numId w:val="5"/>
              </w:numPr>
            </w:pPr>
            <w:r w:rsidRPr="00931A11">
              <w:t>11 focus groups (at least 1 per community</w:t>
            </w:r>
            <w:r>
              <w:t xml:space="preserve"> and up to 3 in 2 communities)</w:t>
            </w:r>
          </w:p>
          <w:p w14:paraId="3EEEDF78" w14:textId="77777777" w:rsidR="00E20839" w:rsidRPr="005213AA" w:rsidRDefault="00E20839" w:rsidP="00E20839">
            <w:pPr>
              <w:pStyle w:val="ExhibitText"/>
              <w:numPr>
                <w:ilvl w:val="0"/>
                <w:numId w:val="5"/>
              </w:numPr>
            </w:pPr>
            <w:r>
              <w:t xml:space="preserve">70 </w:t>
            </w:r>
            <w:r w:rsidRPr="005213AA">
              <w:t xml:space="preserve">parents participated </w:t>
            </w:r>
          </w:p>
        </w:tc>
      </w:tr>
    </w:tbl>
    <w:p w14:paraId="2452120F" w14:textId="5FAF6416" w:rsidR="00817EC6" w:rsidRDefault="00817EC6" w:rsidP="002664A7">
      <w:pPr>
        <w:spacing w:before="120"/>
      </w:pPr>
      <w:r>
        <w:lastRenderedPageBreak/>
        <w:t xml:space="preserve">The report that follows draws from </w:t>
      </w:r>
      <w:r w:rsidR="001C744E">
        <w:t>the PEG Year 1 evaluation findings</w:t>
      </w:r>
      <w:r w:rsidR="008F76F7">
        <w:rPr>
          <w:rStyle w:val="FootnoteReference"/>
        </w:rPr>
        <w:footnoteReference w:id="1"/>
      </w:r>
      <w:r w:rsidR="001C744E">
        <w:t xml:space="preserve"> </w:t>
      </w:r>
      <w:r w:rsidR="000C7989">
        <w:t xml:space="preserve">as well as information gathered by EEC as part of the </w:t>
      </w:r>
      <w:r w:rsidR="00C07D1D">
        <w:t xml:space="preserve">EEC’s programmatic monitoring </w:t>
      </w:r>
      <w:r w:rsidR="003222E6">
        <w:t xml:space="preserve">of LEAs </w:t>
      </w:r>
      <w:r w:rsidR="00672247">
        <w:t>(through enrollment data and leadership interviews)</w:t>
      </w:r>
      <w:r>
        <w:t>.</w:t>
      </w:r>
    </w:p>
    <w:p w14:paraId="7B8B85D7" w14:textId="77777777" w:rsidR="00BA4E2E" w:rsidRDefault="0081424C" w:rsidP="00F55ACC">
      <w:pPr>
        <w:pStyle w:val="Heading1"/>
      </w:pPr>
      <w:bookmarkStart w:id="5" w:name="_Toc467591091"/>
      <w:r>
        <w:t>IV</w:t>
      </w:r>
      <w:r w:rsidR="00BA4E2E">
        <w:t>. Community Collaborations</w:t>
      </w:r>
      <w:bookmarkEnd w:id="5"/>
    </w:p>
    <w:p w14:paraId="329A7262" w14:textId="77777777" w:rsidR="00223977" w:rsidRPr="00223977" w:rsidRDefault="00223977" w:rsidP="00223977">
      <w:r w:rsidRPr="00223977">
        <w:t>Each PEG co</w:t>
      </w:r>
      <w:r>
        <w:t xml:space="preserve">mmunity was required to put in place </w:t>
      </w:r>
      <w:r w:rsidRPr="00223977">
        <w:t xml:space="preserve">structures for communication and collaboration </w:t>
      </w:r>
      <w:r w:rsidR="00CA78CC">
        <w:t>among</w:t>
      </w:r>
      <w:r w:rsidRPr="00223977">
        <w:t xml:space="preserve"> the public</w:t>
      </w:r>
      <w:r>
        <w:t xml:space="preserve"> school districts</w:t>
      </w:r>
      <w:r w:rsidRPr="00223977">
        <w:t xml:space="preserve"> and </w:t>
      </w:r>
      <w:r>
        <w:t xml:space="preserve">the </w:t>
      </w:r>
      <w:r w:rsidRPr="00223977">
        <w:t xml:space="preserve">community-based early education and care programs. These collaborations were expected to support program design, coordination of program activities and funding, and coordinated decision-making among the LEA and participating ELPs. In all PEG communities, the primary mechanism for this collaboration was the creation of a steering committee with representation from the LEA and each ELP. In some communities, multiple </w:t>
      </w:r>
      <w:r w:rsidR="00CA78CC">
        <w:t>sub</w:t>
      </w:r>
      <w:r w:rsidRPr="00223977">
        <w:t>committees were formed to ensure communication at different levels of leadership, such as subcommittees of executive management and of center directors</w:t>
      </w:r>
      <w:r w:rsidR="0040545B">
        <w:t>,</w:t>
      </w:r>
      <w:r w:rsidR="002A72C9">
        <w:t xml:space="preserve"> as well as those planning for</w:t>
      </w:r>
      <w:r w:rsidRPr="00223977">
        <w:t xml:space="preserve"> particular programmatic requirements of the grant, such as family engagement supports, curriculum choices, and professional development activities. </w:t>
      </w:r>
    </w:p>
    <w:p w14:paraId="6A22D504" w14:textId="77777777" w:rsidR="00223977" w:rsidRPr="00223977" w:rsidRDefault="00223977" w:rsidP="00223977">
      <w:r w:rsidRPr="00223977">
        <w:t xml:space="preserve">As already described, the LEA in each community served as the lead agent for the grant and was responsible for managing the funds and monitoring the </w:t>
      </w:r>
      <w:r w:rsidR="00672247">
        <w:t>use of funds to meet</w:t>
      </w:r>
      <w:r w:rsidRPr="00223977">
        <w:t xml:space="preserve"> the programmatic requirements of the grant. Public schools within the participating LEAs did not serve children; the PEG classrooms were run by the </w:t>
      </w:r>
      <w:r w:rsidR="00672247">
        <w:t>ELPs</w:t>
      </w:r>
      <w:r w:rsidRPr="00223977">
        <w:t xml:space="preserve">. Instead, each LEA identified particular supportive services, such as professional development, that they would provide. In this role, each LEA hired one or two people to </w:t>
      </w:r>
      <w:r w:rsidR="00672247">
        <w:t>coordinate</w:t>
      </w:r>
      <w:r w:rsidRPr="00223977">
        <w:t xml:space="preserve"> the PEG grant and to manage the collaboration among partners.</w:t>
      </w:r>
      <w:r w:rsidR="00156BC5">
        <w:t xml:space="preserve"> Descriptions of the program model in each community follow.</w:t>
      </w:r>
    </w:p>
    <w:p w14:paraId="5552FC3A" w14:textId="77777777" w:rsidR="005F210F" w:rsidRPr="005F210F" w:rsidRDefault="005F210F" w:rsidP="005F210F">
      <w:pPr>
        <w:pStyle w:val="Heading2"/>
      </w:pPr>
      <w:bookmarkStart w:id="6" w:name="_Toc461626386"/>
      <w:bookmarkStart w:id="7" w:name="_Toc467591092"/>
      <w:r w:rsidRPr="005F210F">
        <w:t>Boston</w:t>
      </w:r>
      <w:bookmarkEnd w:id="6"/>
      <w:bookmarkEnd w:id="7"/>
    </w:p>
    <w:p w14:paraId="6BA32DFC" w14:textId="78B5E126" w:rsidR="005F210F" w:rsidRPr="005F210F" w:rsidRDefault="005F210F" w:rsidP="005F210F">
      <w:r w:rsidRPr="005F210F">
        <w:t>In Boston, th</w:t>
      </w:r>
      <w:r w:rsidR="002A72C9">
        <w:t xml:space="preserve">e PEG collaboration built off </w:t>
      </w:r>
      <w:r w:rsidRPr="005F210F">
        <w:t xml:space="preserve">prior </w:t>
      </w:r>
      <w:r w:rsidR="002A72C9">
        <w:t>efforts on the part of B</w:t>
      </w:r>
      <w:r w:rsidR="00156BC5">
        <w:t>oston Public Schools (B</w:t>
      </w:r>
      <w:r w:rsidR="002A72C9">
        <w:t>PS</w:t>
      </w:r>
      <w:r w:rsidR="00156BC5">
        <w:t>)</w:t>
      </w:r>
      <w:r w:rsidR="002A72C9">
        <w:t xml:space="preserve"> to expand the use of </w:t>
      </w:r>
      <w:r w:rsidR="00156BC5">
        <w:t xml:space="preserve">the </w:t>
      </w:r>
      <w:r w:rsidR="002A72C9">
        <w:t>BPS prekindergarten curriculum to local, community-based providers (</w:t>
      </w:r>
      <w:r w:rsidR="00156BC5">
        <w:t>the</w:t>
      </w:r>
      <w:r w:rsidR="002A72C9">
        <w:t xml:space="preserve"> </w:t>
      </w:r>
      <w:r w:rsidR="001640BE" w:rsidRPr="004A65B4">
        <w:t xml:space="preserve">Boston K1 in Diverse Settings (K1DS) </w:t>
      </w:r>
      <w:r w:rsidR="00156BC5">
        <w:t>model</w:t>
      </w:r>
      <w:r w:rsidR="002A72C9">
        <w:t>).</w:t>
      </w:r>
      <w:r w:rsidRPr="005F210F">
        <w:t xml:space="preserve"> </w:t>
      </w:r>
      <w:r w:rsidR="002A72C9">
        <w:t xml:space="preserve">The </w:t>
      </w:r>
      <w:r w:rsidRPr="005F210F">
        <w:t>PEG collaboration began with</w:t>
      </w:r>
      <w:r w:rsidR="002A72C9">
        <w:t xml:space="preserve"> the decision to expand to the K1DS model to three ELPs</w:t>
      </w:r>
      <w:r w:rsidR="00672247">
        <w:t xml:space="preserve"> (Action for Boston Community Development (ABCD), </w:t>
      </w:r>
      <w:proofErr w:type="spellStart"/>
      <w:r w:rsidR="00672247">
        <w:t>Nurtury</w:t>
      </w:r>
      <w:proofErr w:type="spellEnd"/>
      <w:r w:rsidR="00672247">
        <w:t xml:space="preserve"> and the YMCA of Greater Boston)</w:t>
      </w:r>
      <w:r w:rsidRPr="005F210F">
        <w:t xml:space="preserve">. The LEA and </w:t>
      </w:r>
      <w:r w:rsidR="00672247">
        <w:t xml:space="preserve">these </w:t>
      </w:r>
      <w:r w:rsidRPr="005F210F">
        <w:t>ELPs worked in the winter and summer (2014–15) to</w:t>
      </w:r>
      <w:r w:rsidR="00672247">
        <w:t xml:space="preserve"> determine how best to implement the K1DS model in their programs and to</w:t>
      </w:r>
      <w:r w:rsidRPr="005F210F">
        <w:t xml:space="preserve"> design </w:t>
      </w:r>
      <w:r w:rsidR="00672247">
        <w:t xml:space="preserve">additional </w:t>
      </w:r>
      <w:r w:rsidRPr="005F210F">
        <w:t>components of the grant</w:t>
      </w:r>
      <w:r w:rsidR="00672247">
        <w:t xml:space="preserve">, such as </w:t>
      </w:r>
      <w:r w:rsidRPr="005F210F">
        <w:t xml:space="preserve">approaches to family engagement and comprehensive services, as well as birth to grade three alignment activities. As part of this planning process, the ELPs determined that there was not enough unmet need in Boston to justify </w:t>
      </w:r>
      <w:r w:rsidR="00672247">
        <w:t>limiting enrollment to</w:t>
      </w:r>
      <w:r w:rsidR="00AC1490">
        <w:t xml:space="preserve"> children without prior early education experiences. Instead, t</w:t>
      </w:r>
      <w:r w:rsidRPr="005F210F">
        <w:t>he Boston ELPs decided to blend PEG funding with subsidy funds from EEC</w:t>
      </w:r>
      <w:r w:rsidR="00AC1490">
        <w:t xml:space="preserve"> or Head Start funds,</w:t>
      </w:r>
      <w:r w:rsidRPr="005F210F">
        <w:t xml:space="preserve"> and</w:t>
      </w:r>
      <w:r w:rsidR="00AC1490">
        <w:t xml:space="preserve"> they</w:t>
      </w:r>
      <w:r w:rsidRPr="005F210F">
        <w:t xml:space="preserve"> focus</w:t>
      </w:r>
      <w:r w:rsidR="00AC1490">
        <w:t>ed</w:t>
      </w:r>
      <w:r w:rsidRPr="005F210F">
        <w:t xml:space="preserve"> on improving the quality and extending hours of programs and classrooms that currently existed. </w:t>
      </w:r>
      <w:r w:rsidR="00156BC5">
        <w:t>Since t</w:t>
      </w:r>
      <w:r w:rsidR="00AC1490">
        <w:t xml:space="preserve">he decision to blend funds left additional </w:t>
      </w:r>
      <w:r w:rsidR="00AC1490">
        <w:lastRenderedPageBreak/>
        <w:t>resources available</w:t>
      </w:r>
      <w:r w:rsidRPr="005F210F">
        <w:t>, BPS conducted a follow up procurement process to identify additional ELPs to fund; these ELPs were all drawn from the pool</w:t>
      </w:r>
      <w:r w:rsidR="0040545B">
        <w:t xml:space="preserve"> of pro</w:t>
      </w:r>
      <w:r w:rsidR="00672247">
        <w:t>g</w:t>
      </w:r>
      <w:r w:rsidR="00A52446">
        <w:t>r</w:t>
      </w:r>
      <w:r w:rsidR="00672247">
        <w:t>ams</w:t>
      </w:r>
      <w:r w:rsidRPr="005F210F">
        <w:t xml:space="preserve"> that had previously worked with BPS in implementing the K1DS model.</w:t>
      </w:r>
      <w:r w:rsidR="00C07D1D">
        <w:t xml:space="preserve">  The Boys and Girls Club, Catholic Charities, Ellis Memorial, Paige Academy and Wesley were selected to provide additional PEG classrooms.</w:t>
      </w:r>
    </w:p>
    <w:p w14:paraId="6E28127B" w14:textId="77777777" w:rsidR="005F210F" w:rsidRPr="005F210F" w:rsidRDefault="005F210F" w:rsidP="00060DAD">
      <w:pPr>
        <w:ind w:right="-180"/>
      </w:pPr>
      <w:r w:rsidRPr="005F210F">
        <w:t xml:space="preserve">BPS worked with the ELPs to implement the </w:t>
      </w:r>
      <w:r w:rsidR="00AC1490">
        <w:t>BPS curricula in PEG classrooms</w:t>
      </w:r>
      <w:r w:rsidRPr="005F210F">
        <w:t xml:space="preserve">. BPS provided curricular materials, professional development, and coaching to PEG teachers. In two cases, BPS worked in collaboration with additional coaches hired by the ELPs to provide ongoing support between BPS coach visits. Each ELP managed the family supports and comprehensive services relatively independently, although monthly director meetings allowed for sharing of best practices. </w:t>
      </w:r>
    </w:p>
    <w:p w14:paraId="1259F54B" w14:textId="77777777" w:rsidR="005F210F" w:rsidRPr="005F210F" w:rsidRDefault="005F210F" w:rsidP="005F210F">
      <w:pPr>
        <w:pStyle w:val="Heading2"/>
      </w:pPr>
      <w:bookmarkStart w:id="8" w:name="_Toc461626387"/>
      <w:bookmarkStart w:id="9" w:name="_Toc467591093"/>
      <w:r w:rsidRPr="005F210F">
        <w:t>Holyoke</w:t>
      </w:r>
      <w:bookmarkEnd w:id="8"/>
      <w:bookmarkEnd w:id="9"/>
    </w:p>
    <w:p w14:paraId="2023F46C" w14:textId="77777777" w:rsidR="005F210F" w:rsidRPr="005F210F" w:rsidRDefault="005F210F" w:rsidP="005F210F">
      <w:r w:rsidRPr="005F210F">
        <w:t xml:space="preserve">In Holyoke, two ELPs oversaw four PEG classrooms located in Holyoke Public School (HPS) buildings, with each ELP responsible for one classroom in each school. HPS provided coaching and coordinated a larger initiative focused on building early literacy community-wide (Holyoke Early Literacy Initiative or HELI). PEG classrooms </w:t>
      </w:r>
      <w:r w:rsidR="00AC1490">
        <w:t>have been</w:t>
      </w:r>
      <w:r w:rsidRPr="005F210F">
        <w:t xml:space="preserve"> a key component of the larger plans for the</w:t>
      </w:r>
      <w:r w:rsidR="00AC1490">
        <w:t xml:space="preserve"> preschool expansion in the</w:t>
      </w:r>
      <w:r w:rsidRPr="005F210F">
        <w:t xml:space="preserve"> community. PEG teachers participated in professional learning communities with public preschool and kindergarten teachers. Each ELP managed the family engagement and comprehensive service efforts independently and supplemented the professional development provided by HPS. </w:t>
      </w:r>
    </w:p>
    <w:p w14:paraId="1E64933A" w14:textId="77777777" w:rsidR="005F210F" w:rsidRPr="005F210F" w:rsidRDefault="005F210F" w:rsidP="005F210F">
      <w:pPr>
        <w:pStyle w:val="Heading2"/>
      </w:pPr>
      <w:bookmarkStart w:id="10" w:name="_Toc461626388"/>
      <w:bookmarkStart w:id="11" w:name="_Toc467591094"/>
      <w:r w:rsidRPr="005F210F">
        <w:t>Lawrence</w:t>
      </w:r>
      <w:bookmarkEnd w:id="10"/>
      <w:bookmarkEnd w:id="11"/>
    </w:p>
    <w:p w14:paraId="1370D032" w14:textId="77777777" w:rsidR="005F210F" w:rsidRPr="005F210F" w:rsidRDefault="005F210F" w:rsidP="005F210F">
      <w:r w:rsidRPr="005F210F">
        <w:t xml:space="preserve">Two ELPs opted to each start new programs that each ran independently in Lawrence. Lawrence Public Schools (LPS) managed enrollment for the PEG classrooms and </w:t>
      </w:r>
      <w:r w:rsidR="00156BC5">
        <w:t>led efforts</w:t>
      </w:r>
      <w:r w:rsidRPr="005F210F">
        <w:t xml:space="preserve"> to increase alignment with public school kindergarten classrooms, recognizing that each public school in Lawrence operates fairly autonomously </w:t>
      </w:r>
      <w:r w:rsidR="00156BC5">
        <w:t>without</w:t>
      </w:r>
      <w:r w:rsidRPr="005F210F">
        <w:t xml:space="preserve"> one clear model or uniform curriculum for kindergarten in the community. During the course of the first year of PEG, the two ELPs began to consider possibilities for greater alignment across their PEG programs and decided to use the same curriculum starting in the second year, a change that may also lead to </w:t>
      </w:r>
      <w:r w:rsidR="00156BC5">
        <w:t xml:space="preserve">more </w:t>
      </w:r>
      <w:r w:rsidRPr="005F210F">
        <w:t>coordinated professional development and coaching.</w:t>
      </w:r>
    </w:p>
    <w:p w14:paraId="69EFC383" w14:textId="77777777" w:rsidR="005F210F" w:rsidRPr="005F210F" w:rsidRDefault="005F210F" w:rsidP="005F210F">
      <w:pPr>
        <w:pStyle w:val="Heading2"/>
      </w:pPr>
      <w:bookmarkStart w:id="12" w:name="_Toc461626389"/>
      <w:bookmarkStart w:id="13" w:name="_Toc467591095"/>
      <w:r w:rsidRPr="005F210F">
        <w:t>Lowell</w:t>
      </w:r>
      <w:bookmarkEnd w:id="12"/>
      <w:bookmarkEnd w:id="13"/>
    </w:p>
    <w:p w14:paraId="2E2C5F05" w14:textId="77777777" w:rsidR="005F210F" w:rsidRPr="005F210F" w:rsidRDefault="005F210F" w:rsidP="005F210F">
      <w:r w:rsidRPr="005F210F">
        <w:t>Lowell Public Schools (LPS)</w:t>
      </w:r>
      <w:r w:rsidR="00156BC5">
        <w:t xml:space="preserve"> and its partners</w:t>
      </w:r>
      <w:r w:rsidRPr="005F210F">
        <w:t xml:space="preserve"> decided to open one new early childhood center jointly run by </w:t>
      </w:r>
      <w:r w:rsidR="00156BC5">
        <w:t xml:space="preserve">the </w:t>
      </w:r>
      <w:r w:rsidRPr="005F210F">
        <w:t>two PEG-funded ELPs. Although the two ELPs maintain separate licenses</w:t>
      </w:r>
      <w:r w:rsidR="00156BC5">
        <w:t xml:space="preserve"> from EEC</w:t>
      </w:r>
      <w:r w:rsidRPr="005F210F">
        <w:t xml:space="preserve"> for the classrooms they run, the program </w:t>
      </w:r>
      <w:r w:rsidR="00156BC5">
        <w:t>has been</w:t>
      </w:r>
      <w:r w:rsidRPr="005F210F">
        <w:t xml:space="preserve"> viewed as one</w:t>
      </w:r>
      <w:r w:rsidR="00156BC5">
        <w:t xml:space="preserve"> entity</w:t>
      </w:r>
      <w:r w:rsidRPr="005F210F">
        <w:t xml:space="preserve"> and decisions </w:t>
      </w:r>
      <w:r w:rsidR="00672247">
        <w:t>have been</w:t>
      </w:r>
      <w:r w:rsidRPr="005F210F">
        <w:t xml:space="preserve"> highly collaborative across the ELPs. Lowell Public Schools </w:t>
      </w:r>
      <w:r w:rsidR="00156BC5">
        <w:t xml:space="preserve">has </w:t>
      </w:r>
      <w:r w:rsidRPr="005F210F">
        <w:t xml:space="preserve">provided coaching and coordinated supports with other district departments as needed. </w:t>
      </w:r>
    </w:p>
    <w:p w14:paraId="774601E7" w14:textId="77777777" w:rsidR="005F210F" w:rsidRPr="005F210F" w:rsidRDefault="005F210F" w:rsidP="005F210F">
      <w:pPr>
        <w:pStyle w:val="Heading2"/>
      </w:pPr>
      <w:bookmarkStart w:id="14" w:name="_Toc461626390"/>
      <w:bookmarkStart w:id="15" w:name="_Toc467591096"/>
      <w:r w:rsidRPr="005F210F">
        <w:t>Springfield</w:t>
      </w:r>
      <w:bookmarkEnd w:id="14"/>
      <w:bookmarkEnd w:id="15"/>
    </w:p>
    <w:p w14:paraId="53C3F8DF" w14:textId="77777777" w:rsidR="005F210F" w:rsidRPr="005F210F" w:rsidRDefault="005F210F" w:rsidP="002270B6">
      <w:r w:rsidRPr="005F210F">
        <w:t xml:space="preserve">During the planning of the PEG grant, Springfield Public Schools (SPS) purchased a building to serve as an early childhood center, where PEG classrooms run by three ELPs were co-located with other SPS Prekindergarten and Early Head Start classrooms. To address the lack of </w:t>
      </w:r>
      <w:r w:rsidRPr="005F210F">
        <w:lastRenderedPageBreak/>
        <w:t xml:space="preserve">transportation resources, each ELP also opened classrooms located within one or two </w:t>
      </w:r>
      <w:r w:rsidR="00FD2825">
        <w:t>of their other existing sites across</w:t>
      </w:r>
      <w:r w:rsidRPr="005F210F">
        <w:t xml:space="preserve"> the city. All PEG classrooms </w:t>
      </w:r>
      <w:r w:rsidR="00FD2825">
        <w:t>used the same curriculum as the</w:t>
      </w:r>
      <w:r w:rsidRPr="005F210F">
        <w:t xml:space="preserve"> public school </w:t>
      </w:r>
      <w:r w:rsidR="00FD2825">
        <w:t>prekindergarten</w:t>
      </w:r>
      <w:r w:rsidRPr="005F210F">
        <w:t xml:space="preserve"> classrooms, and SPS provides professional development and coaching focused on the curriculum. Each ELP manages the family engagement supports and comprehensive services provided to children and families in their classrooms, although monthly management meetings for all ELPs support efforts to align these supports. SPS has also funded an occupational therapist, a speech pathologist and a behavioral specialist to consult with PEG teachers and provide additional comprehensive service supports.</w:t>
      </w:r>
    </w:p>
    <w:p w14:paraId="202F69E4" w14:textId="77777777" w:rsidR="00670AA7" w:rsidRDefault="00F55ACC" w:rsidP="002C4A73">
      <w:pPr>
        <w:pStyle w:val="Heading2"/>
      </w:pPr>
      <w:bookmarkStart w:id="16" w:name="_Toc467591097"/>
      <w:r>
        <w:t>Collaboration Success and Challenges</w:t>
      </w:r>
      <w:bookmarkEnd w:id="16"/>
      <w:r>
        <w:t xml:space="preserve"> </w:t>
      </w:r>
    </w:p>
    <w:p w14:paraId="55FE125D" w14:textId="4F8C8A09" w:rsidR="00DF31E5" w:rsidRDefault="00DF31E5" w:rsidP="00DF31E5">
      <w:r>
        <w:t>Overall, program leadership in the five communities rated the quality of the PEG collaboration a</w:t>
      </w:r>
      <w:r w:rsidR="009720DE">
        <w:t xml:space="preserve">s strong, </w:t>
      </w:r>
      <w:r>
        <w:t xml:space="preserve">with </w:t>
      </w:r>
      <w:r w:rsidR="00FD2825">
        <w:t xml:space="preserve">some </w:t>
      </w:r>
      <w:r>
        <w:t>areas for growth</w:t>
      </w:r>
      <w:r w:rsidR="00FD2825">
        <w:t>,</w:t>
      </w:r>
      <w:r w:rsidR="009720DE">
        <w:t xml:space="preserve"> but no areas of great concern</w:t>
      </w:r>
      <w:r>
        <w:t xml:space="preserve">, using the Wilder </w:t>
      </w:r>
      <w:r w:rsidR="00FD2825">
        <w:t>Collaboration Factors Inventory (see</w:t>
      </w:r>
      <w:r w:rsidR="00672247">
        <w:t xml:space="preserve"> table 3</w:t>
      </w:r>
      <w:r w:rsidR="00FD2825">
        <w:t>).</w:t>
      </w:r>
      <w:r>
        <w:t xml:space="preserve"> </w:t>
      </w:r>
      <w:r w:rsidR="00AC1490">
        <w:t xml:space="preserve">In general, community leadership felt relatively clear about their shared purpose and </w:t>
      </w:r>
      <w:r w:rsidR="00672247">
        <w:t>rated</w:t>
      </w:r>
      <w:r w:rsidR="00AC1490">
        <w:t xml:space="preserve"> the environment </w:t>
      </w:r>
      <w:r w:rsidR="00672247">
        <w:t xml:space="preserve">as </w:t>
      </w:r>
      <w:r w:rsidR="003B564A">
        <w:t>reasonably</w:t>
      </w:r>
      <w:r w:rsidR="00AC1490">
        <w:t xml:space="preserve"> conducive for collaboration,</w:t>
      </w:r>
      <w:r w:rsidR="00E17149">
        <w:t xml:space="preserve"> although </w:t>
      </w:r>
      <w:r w:rsidR="003B564A">
        <w:t>there was less confidence in the availability of</w:t>
      </w:r>
      <w:r w:rsidR="00E17149">
        <w:t xml:space="preserve"> the necessary resources.</w:t>
      </w:r>
      <w:r w:rsidR="00AC1490">
        <w:t xml:space="preserve"> </w:t>
      </w:r>
      <w:r w:rsidR="00E17149">
        <w:t xml:space="preserve">Feelings about </w:t>
      </w:r>
      <w:r w:rsidR="00AC1490">
        <w:t xml:space="preserve">the </w:t>
      </w:r>
      <w:r w:rsidR="001C3C33">
        <w:t>effectiveness of</w:t>
      </w:r>
      <w:r w:rsidR="00E17149">
        <w:t xml:space="preserve"> the </w:t>
      </w:r>
      <w:r w:rsidR="00AC1490">
        <w:t>membership</w:t>
      </w:r>
      <w:r w:rsidR="00FD2825">
        <w:t xml:space="preserve"> composition</w:t>
      </w:r>
      <w:r w:rsidR="00E17149">
        <w:t xml:space="preserve">, </w:t>
      </w:r>
      <w:r w:rsidR="00FD2825">
        <w:t xml:space="preserve">structures and </w:t>
      </w:r>
      <w:r w:rsidR="00AC1490">
        <w:t>processes</w:t>
      </w:r>
      <w:r w:rsidR="00FD2825">
        <w:t xml:space="preserve"> for collaboration</w:t>
      </w:r>
      <w:r w:rsidR="003B564A">
        <w:t>,</w:t>
      </w:r>
      <w:r w:rsidR="00AC1490">
        <w:t xml:space="preserve"> and communication </w:t>
      </w:r>
      <w:r w:rsidR="00E17149">
        <w:t>were</w:t>
      </w:r>
      <w:r w:rsidR="00AC1490">
        <w:t xml:space="preserve"> mixed.  </w:t>
      </w:r>
    </w:p>
    <w:p w14:paraId="0F135F04" w14:textId="77777777" w:rsidR="009720DE" w:rsidRPr="00325140" w:rsidRDefault="00605425" w:rsidP="009720DE">
      <w:pPr>
        <w:pStyle w:val="Caption"/>
        <w:rPr>
          <w:rFonts w:ascii="Courier New" w:hAnsi="Courier New" w:cs="Courier New"/>
        </w:rPr>
      </w:pPr>
      <w:bookmarkStart w:id="17" w:name="_Toc461612624"/>
      <w:bookmarkStart w:id="18" w:name="_Toc461618573"/>
      <w:r>
        <w:t>Table 3</w:t>
      </w:r>
      <w:r w:rsidR="00F948AC">
        <w:t>.</w:t>
      </w:r>
      <w:r w:rsidR="009720DE">
        <w:t xml:space="preserve"> </w:t>
      </w:r>
      <w:r w:rsidR="009720DE" w:rsidRPr="003E0050">
        <w:t>Wilder Collaboration Factors I</w:t>
      </w:r>
      <w:r w:rsidR="009720DE">
        <w:t>nventory: Factors and Themes</w:t>
      </w:r>
      <w:bookmarkEnd w:id="17"/>
      <w:bookmarkEnd w:id="18"/>
    </w:p>
    <w:tbl>
      <w:tblPr>
        <w:tblStyle w:val="MAPEG"/>
        <w:tblW w:w="9360" w:type="dxa"/>
        <w:tblInd w:w="115" w:type="dxa"/>
        <w:tblLook w:val="04A0" w:firstRow="1" w:lastRow="0" w:firstColumn="1" w:lastColumn="0" w:noHBand="0" w:noVBand="1"/>
      </w:tblPr>
      <w:tblGrid>
        <w:gridCol w:w="2342"/>
        <w:gridCol w:w="7018"/>
      </w:tblGrid>
      <w:tr w:rsidR="009720DE" w:rsidRPr="00325140" w14:paraId="1D127C9F" w14:textId="77777777" w:rsidTr="00A41B74">
        <w:trPr>
          <w:cnfStyle w:val="100000000000" w:firstRow="1" w:lastRow="0" w:firstColumn="0" w:lastColumn="0" w:oddVBand="0" w:evenVBand="0" w:oddHBand="0" w:evenHBand="0" w:firstRowFirstColumn="0" w:firstRowLastColumn="0" w:lastRowFirstColumn="0" w:lastRowLastColumn="0"/>
          <w:cantSplit/>
          <w:tblHeader/>
        </w:trPr>
        <w:tc>
          <w:tcPr>
            <w:tcW w:w="2358" w:type="dxa"/>
          </w:tcPr>
          <w:p w14:paraId="7530DF23" w14:textId="77777777" w:rsidR="009720DE" w:rsidRPr="007F77C0" w:rsidRDefault="009720DE" w:rsidP="00A41B74">
            <w:pPr>
              <w:pStyle w:val="ExhibitColumnHeader"/>
              <w:jc w:val="left"/>
            </w:pPr>
            <w:r>
              <w:t>Theme</w:t>
            </w:r>
          </w:p>
        </w:tc>
        <w:tc>
          <w:tcPr>
            <w:tcW w:w="7110" w:type="dxa"/>
          </w:tcPr>
          <w:p w14:paraId="6EED34E1" w14:textId="77777777" w:rsidR="009720DE" w:rsidRPr="007F77C0" w:rsidRDefault="009720DE" w:rsidP="00A41B74">
            <w:pPr>
              <w:pStyle w:val="ExhibitColumnHeader"/>
              <w:jc w:val="left"/>
            </w:pPr>
            <w:r w:rsidRPr="007F77C0">
              <w:t>Collaboration Factors</w:t>
            </w:r>
          </w:p>
        </w:tc>
      </w:tr>
      <w:tr w:rsidR="009720DE" w:rsidRPr="00325140" w14:paraId="50AD0471" w14:textId="77777777" w:rsidTr="00A41B74">
        <w:trPr>
          <w:cantSplit/>
        </w:trPr>
        <w:tc>
          <w:tcPr>
            <w:tcW w:w="2358" w:type="dxa"/>
            <w:vMerge w:val="restart"/>
            <w:shd w:val="clear" w:color="auto" w:fill="D3DFE5"/>
          </w:tcPr>
          <w:p w14:paraId="6943B45B" w14:textId="77777777" w:rsidR="009720DE" w:rsidRPr="007F77C0" w:rsidRDefault="009720DE" w:rsidP="00A41B74">
            <w:pPr>
              <w:pStyle w:val="ExhibitText"/>
              <w:keepNext/>
            </w:pPr>
            <w:r w:rsidRPr="008E52CA">
              <w:rPr>
                <w:b/>
              </w:rPr>
              <w:t>Environment</w:t>
            </w:r>
          </w:p>
        </w:tc>
        <w:tc>
          <w:tcPr>
            <w:tcW w:w="7110" w:type="dxa"/>
          </w:tcPr>
          <w:p w14:paraId="656AE3AB" w14:textId="77777777" w:rsidR="009720DE" w:rsidRPr="007F77C0" w:rsidRDefault="009720DE" w:rsidP="00A41B74">
            <w:pPr>
              <w:pStyle w:val="ExhibitText"/>
              <w:keepNext/>
            </w:pPr>
            <w:r w:rsidRPr="007F77C0">
              <w:t>There is a history of collaboration/cooperation in the community (2)</w:t>
            </w:r>
          </w:p>
        </w:tc>
      </w:tr>
      <w:tr w:rsidR="009720DE" w:rsidRPr="00325140" w14:paraId="02119521" w14:textId="77777777" w:rsidTr="00A41B74">
        <w:trPr>
          <w:cnfStyle w:val="000000010000" w:firstRow="0" w:lastRow="0" w:firstColumn="0" w:lastColumn="0" w:oddVBand="0" w:evenVBand="0" w:oddHBand="0" w:evenHBand="1" w:firstRowFirstColumn="0" w:firstRowLastColumn="0" w:lastRowFirstColumn="0" w:lastRowLastColumn="0"/>
          <w:cantSplit/>
        </w:trPr>
        <w:tc>
          <w:tcPr>
            <w:tcW w:w="2358" w:type="dxa"/>
            <w:vMerge/>
            <w:shd w:val="clear" w:color="auto" w:fill="D3DFE5"/>
          </w:tcPr>
          <w:p w14:paraId="18903D6B" w14:textId="77777777" w:rsidR="009720DE" w:rsidRPr="007F77C0" w:rsidRDefault="009720DE" w:rsidP="00A41B74">
            <w:pPr>
              <w:pStyle w:val="ExhibitText"/>
              <w:keepNext/>
            </w:pPr>
          </w:p>
        </w:tc>
        <w:tc>
          <w:tcPr>
            <w:tcW w:w="7110" w:type="dxa"/>
          </w:tcPr>
          <w:p w14:paraId="7090E798" w14:textId="77777777" w:rsidR="009720DE" w:rsidRPr="007F77C0" w:rsidRDefault="009720DE" w:rsidP="00A41B74">
            <w:pPr>
              <w:pStyle w:val="ExhibitText"/>
              <w:keepNext/>
            </w:pPr>
            <w:r w:rsidRPr="007F77C0">
              <w:t xml:space="preserve">Collaboration </w:t>
            </w:r>
            <w:r>
              <w:t xml:space="preserve">is </w:t>
            </w:r>
            <w:r w:rsidRPr="007F77C0">
              <w:t>seen as a legitimate leader in the community (2)</w:t>
            </w:r>
          </w:p>
        </w:tc>
      </w:tr>
      <w:tr w:rsidR="009720DE" w:rsidRPr="00325140" w14:paraId="495FAF81" w14:textId="77777777" w:rsidTr="00A41B74">
        <w:trPr>
          <w:cantSplit/>
        </w:trPr>
        <w:tc>
          <w:tcPr>
            <w:tcW w:w="2358" w:type="dxa"/>
            <w:vMerge/>
            <w:shd w:val="clear" w:color="auto" w:fill="D3DFE5"/>
          </w:tcPr>
          <w:p w14:paraId="7792BD78" w14:textId="77777777" w:rsidR="009720DE" w:rsidRDefault="009720DE" w:rsidP="00A41B74">
            <w:pPr>
              <w:pStyle w:val="ExhibitText"/>
              <w:keepNext/>
            </w:pPr>
          </w:p>
        </w:tc>
        <w:tc>
          <w:tcPr>
            <w:tcW w:w="7110" w:type="dxa"/>
          </w:tcPr>
          <w:p w14:paraId="537BA46C" w14:textId="77777777" w:rsidR="009720DE" w:rsidRPr="007F77C0" w:rsidRDefault="009720DE" w:rsidP="00A41B74">
            <w:pPr>
              <w:pStyle w:val="ExhibitText"/>
              <w:keepNext/>
            </w:pPr>
            <w:r>
              <w:t xml:space="preserve">Political and social </w:t>
            </w:r>
            <w:r w:rsidRPr="007F77C0">
              <w:t xml:space="preserve">climate </w:t>
            </w:r>
            <w:r>
              <w:t xml:space="preserve">is favorable </w:t>
            </w:r>
            <w:r w:rsidRPr="007F77C0">
              <w:t>for collaboration (2)</w:t>
            </w:r>
          </w:p>
        </w:tc>
      </w:tr>
      <w:tr w:rsidR="009720DE" w:rsidRPr="00325140" w14:paraId="0DEA850C" w14:textId="77777777" w:rsidTr="00A41B74">
        <w:trPr>
          <w:cnfStyle w:val="000000010000" w:firstRow="0" w:lastRow="0" w:firstColumn="0" w:lastColumn="0" w:oddVBand="0" w:evenVBand="0" w:oddHBand="0" w:evenHBand="1" w:firstRowFirstColumn="0" w:firstRowLastColumn="0" w:lastRowFirstColumn="0" w:lastRowLastColumn="0"/>
          <w:cantSplit/>
        </w:trPr>
        <w:tc>
          <w:tcPr>
            <w:tcW w:w="2358" w:type="dxa"/>
            <w:shd w:val="clear" w:color="auto" w:fill="C3C6A8"/>
          </w:tcPr>
          <w:p w14:paraId="76DCD3C2" w14:textId="77777777" w:rsidR="009720DE" w:rsidRDefault="009720DE" w:rsidP="00A41B74">
            <w:pPr>
              <w:pStyle w:val="ExhibitText"/>
              <w:keepNext/>
            </w:pPr>
            <w:r w:rsidRPr="008E52CA">
              <w:rPr>
                <w:b/>
              </w:rPr>
              <w:t>Membership characteristics</w:t>
            </w:r>
          </w:p>
        </w:tc>
        <w:tc>
          <w:tcPr>
            <w:tcW w:w="7110" w:type="dxa"/>
          </w:tcPr>
          <w:p w14:paraId="10B4A8E6" w14:textId="77777777" w:rsidR="009720DE" w:rsidRPr="007F77C0" w:rsidRDefault="009720DE" w:rsidP="00A41B74">
            <w:pPr>
              <w:pStyle w:val="ExhibitText"/>
              <w:keepNext/>
            </w:pPr>
            <w:r>
              <w:t>There is m</w:t>
            </w:r>
            <w:r w:rsidRPr="007F77C0">
              <w:t>utual respect, understanding</w:t>
            </w:r>
            <w:r>
              <w:t xml:space="preserve">, </w:t>
            </w:r>
            <w:r w:rsidRPr="007F77C0">
              <w:t xml:space="preserve">trust among members of </w:t>
            </w:r>
            <w:r>
              <w:t xml:space="preserve">the </w:t>
            </w:r>
            <w:r w:rsidRPr="007F77C0">
              <w:t>collaboration (2)</w:t>
            </w:r>
          </w:p>
          <w:p w14:paraId="7DC036EC" w14:textId="77777777" w:rsidR="009720DE" w:rsidRPr="007F77C0" w:rsidRDefault="009720DE" w:rsidP="00A41B74">
            <w:pPr>
              <w:pStyle w:val="ExhibitText"/>
              <w:keepNext/>
            </w:pPr>
            <w:r>
              <w:t>There is an a</w:t>
            </w:r>
            <w:r w:rsidRPr="007F77C0">
              <w:t>ppropriate cross-section of members in the collaboration (2)</w:t>
            </w:r>
          </w:p>
          <w:p w14:paraId="520804DA" w14:textId="77777777" w:rsidR="009720DE" w:rsidRPr="007F77C0" w:rsidRDefault="009720DE" w:rsidP="00A41B74">
            <w:pPr>
              <w:pStyle w:val="ExhibitText"/>
              <w:keepNext/>
            </w:pPr>
            <w:r w:rsidRPr="007F77C0">
              <w:t>Collaboration members see collaboration as in their self-interest (1)</w:t>
            </w:r>
          </w:p>
          <w:p w14:paraId="18AF089F" w14:textId="77777777" w:rsidR="009720DE" w:rsidRPr="007F77C0" w:rsidRDefault="009720DE" w:rsidP="00A41B74">
            <w:pPr>
              <w:pStyle w:val="ExhibitText"/>
              <w:keepNext/>
            </w:pPr>
            <w:r w:rsidRPr="007F77C0">
              <w:t>Collaboration members are able to compromise (1)</w:t>
            </w:r>
          </w:p>
        </w:tc>
      </w:tr>
      <w:tr w:rsidR="009720DE" w:rsidRPr="00325140" w14:paraId="3D2468F5" w14:textId="77777777" w:rsidTr="00A41B74">
        <w:trPr>
          <w:cantSplit/>
        </w:trPr>
        <w:tc>
          <w:tcPr>
            <w:tcW w:w="2358" w:type="dxa"/>
            <w:shd w:val="clear" w:color="auto" w:fill="F4AD7A"/>
          </w:tcPr>
          <w:p w14:paraId="78FEC332" w14:textId="77777777" w:rsidR="009720DE" w:rsidRPr="00356E43" w:rsidRDefault="009720DE" w:rsidP="00A41B74">
            <w:pPr>
              <w:pStyle w:val="ExhibitText"/>
              <w:keepNext/>
              <w:rPr>
                <w:b/>
              </w:rPr>
            </w:pPr>
            <w:r w:rsidRPr="00356E43">
              <w:rPr>
                <w:b/>
              </w:rPr>
              <w:t>Process and structure</w:t>
            </w:r>
          </w:p>
        </w:tc>
        <w:tc>
          <w:tcPr>
            <w:tcW w:w="7110" w:type="dxa"/>
          </w:tcPr>
          <w:p w14:paraId="60934AF3" w14:textId="77777777" w:rsidR="009720DE" w:rsidRPr="00FB1677" w:rsidRDefault="009720DE" w:rsidP="00A41B74">
            <w:pPr>
              <w:pStyle w:val="ExhibitText"/>
              <w:keepNext/>
            </w:pPr>
            <w:r w:rsidRPr="00FB1677">
              <w:t>Collaboration members share a stake in process and outcome (3)</w:t>
            </w:r>
          </w:p>
          <w:p w14:paraId="0DAF3ACD" w14:textId="77777777" w:rsidR="009720DE" w:rsidRPr="00FB1677" w:rsidRDefault="009720DE" w:rsidP="00A41B74">
            <w:pPr>
              <w:pStyle w:val="ExhibitText"/>
              <w:keepNext/>
            </w:pPr>
            <w:r w:rsidRPr="00FB1677">
              <w:t>Collaboration has multiple layers of participation from member organizations (2)</w:t>
            </w:r>
          </w:p>
          <w:p w14:paraId="166F7AE1" w14:textId="77777777" w:rsidR="009720DE" w:rsidRPr="00FB1677" w:rsidRDefault="009720DE" w:rsidP="00A41B74">
            <w:pPr>
              <w:pStyle w:val="ExhibitText"/>
              <w:keepNext/>
            </w:pPr>
            <w:r w:rsidRPr="00FB1677">
              <w:t>Collaboration members demonstrate flexibility in considering options/approaches (2)</w:t>
            </w:r>
          </w:p>
          <w:p w14:paraId="4DC9CA40" w14:textId="77777777" w:rsidR="009720DE" w:rsidRPr="00FB1677" w:rsidRDefault="009720DE" w:rsidP="00A41B74">
            <w:pPr>
              <w:pStyle w:val="ExhibitText"/>
              <w:keepNext/>
            </w:pPr>
            <w:r w:rsidRPr="00FB1677">
              <w:t>Collaboration has developed clear roles and policy guidelines (2)</w:t>
            </w:r>
          </w:p>
          <w:p w14:paraId="5160E226" w14:textId="77777777" w:rsidR="009720DE" w:rsidRPr="00FB1677" w:rsidRDefault="009720DE" w:rsidP="00A41B74">
            <w:pPr>
              <w:pStyle w:val="ExhibitText"/>
              <w:keepNext/>
            </w:pPr>
            <w:r w:rsidRPr="00FB1677">
              <w:t>Collaboration demonstrates adaptability in the fact of changing conditions(2)</w:t>
            </w:r>
          </w:p>
          <w:p w14:paraId="0CD0B109" w14:textId="77777777" w:rsidR="009720DE" w:rsidRPr="00FB1677" w:rsidRDefault="009720DE" w:rsidP="00A41B74">
            <w:pPr>
              <w:pStyle w:val="ExhibitText"/>
              <w:keepNext/>
            </w:pPr>
            <w:r w:rsidRPr="00FB1677">
              <w:t>Collaboration demonstrates an appropriate pace of development (2)</w:t>
            </w:r>
          </w:p>
        </w:tc>
      </w:tr>
      <w:tr w:rsidR="009720DE" w:rsidRPr="00325140" w14:paraId="77F0CD7D" w14:textId="77777777" w:rsidTr="00A41B74">
        <w:trPr>
          <w:cnfStyle w:val="000000010000" w:firstRow="0" w:lastRow="0" w:firstColumn="0" w:lastColumn="0" w:oddVBand="0" w:evenVBand="0" w:oddHBand="0" w:evenHBand="1" w:firstRowFirstColumn="0" w:firstRowLastColumn="0" w:lastRowFirstColumn="0" w:lastRowLastColumn="0"/>
          <w:cantSplit/>
        </w:trPr>
        <w:tc>
          <w:tcPr>
            <w:tcW w:w="2358" w:type="dxa"/>
            <w:vMerge w:val="restart"/>
            <w:shd w:val="clear" w:color="auto" w:fill="D0D3D4"/>
          </w:tcPr>
          <w:p w14:paraId="38DB4BCE" w14:textId="77777777" w:rsidR="009720DE" w:rsidRPr="00356E43" w:rsidRDefault="009720DE" w:rsidP="00A41B74">
            <w:pPr>
              <w:pStyle w:val="ExhibitText"/>
              <w:keepNext/>
              <w:rPr>
                <w:b/>
              </w:rPr>
            </w:pPr>
            <w:r w:rsidRPr="00356E43">
              <w:rPr>
                <w:b/>
              </w:rPr>
              <w:t>Communication</w:t>
            </w:r>
          </w:p>
        </w:tc>
        <w:tc>
          <w:tcPr>
            <w:tcW w:w="7110" w:type="dxa"/>
          </w:tcPr>
          <w:p w14:paraId="4FF7FEA5" w14:textId="77777777" w:rsidR="009720DE" w:rsidRPr="00FB1677" w:rsidRDefault="009720DE" w:rsidP="00A41B74">
            <w:pPr>
              <w:pStyle w:val="ExhibitText"/>
              <w:keepNext/>
            </w:pPr>
            <w:r w:rsidRPr="00FB1677">
              <w:t>Collaboration members demonstrate open and frequent communication (3)</w:t>
            </w:r>
          </w:p>
        </w:tc>
      </w:tr>
      <w:tr w:rsidR="009720DE" w:rsidRPr="00325140" w14:paraId="1B001B12" w14:textId="77777777" w:rsidTr="00A41B74">
        <w:trPr>
          <w:cantSplit/>
        </w:trPr>
        <w:tc>
          <w:tcPr>
            <w:tcW w:w="2358" w:type="dxa"/>
            <w:vMerge/>
            <w:shd w:val="clear" w:color="auto" w:fill="D0D3D4"/>
          </w:tcPr>
          <w:p w14:paraId="6C083489" w14:textId="77777777" w:rsidR="009720DE" w:rsidRPr="00FB1677" w:rsidRDefault="009720DE" w:rsidP="00A41B74">
            <w:pPr>
              <w:pStyle w:val="ExhibitText"/>
              <w:keepNext/>
            </w:pPr>
          </w:p>
        </w:tc>
        <w:tc>
          <w:tcPr>
            <w:tcW w:w="7110" w:type="dxa"/>
          </w:tcPr>
          <w:p w14:paraId="11D45CFD" w14:textId="77777777" w:rsidR="009720DE" w:rsidRPr="00FB1677" w:rsidRDefault="009720DE" w:rsidP="00A41B74">
            <w:pPr>
              <w:pStyle w:val="ExhibitText"/>
              <w:keepNext/>
            </w:pPr>
            <w:r w:rsidRPr="00FB1677">
              <w:t>Collaboration members have established informal relationships/ communication links (2)</w:t>
            </w:r>
          </w:p>
        </w:tc>
      </w:tr>
      <w:tr w:rsidR="009720DE" w:rsidRPr="00325140" w14:paraId="4F75B276" w14:textId="77777777" w:rsidTr="00A41B74">
        <w:trPr>
          <w:cnfStyle w:val="000000010000" w:firstRow="0" w:lastRow="0" w:firstColumn="0" w:lastColumn="0" w:oddVBand="0" w:evenVBand="0" w:oddHBand="0" w:evenHBand="1" w:firstRowFirstColumn="0" w:firstRowLastColumn="0" w:lastRowFirstColumn="0" w:lastRowLastColumn="0"/>
          <w:cantSplit/>
        </w:trPr>
        <w:tc>
          <w:tcPr>
            <w:tcW w:w="2358" w:type="dxa"/>
            <w:vMerge w:val="restart"/>
            <w:shd w:val="clear" w:color="auto" w:fill="A4C37F"/>
          </w:tcPr>
          <w:p w14:paraId="6E1B4E1D" w14:textId="77777777" w:rsidR="009720DE" w:rsidRPr="00356E43" w:rsidRDefault="009720DE" w:rsidP="00A41B74">
            <w:pPr>
              <w:pStyle w:val="ExhibitText"/>
              <w:keepNext/>
              <w:rPr>
                <w:b/>
              </w:rPr>
            </w:pPr>
            <w:r w:rsidRPr="00356E43">
              <w:rPr>
                <w:b/>
              </w:rPr>
              <w:t>Purpose</w:t>
            </w:r>
          </w:p>
        </w:tc>
        <w:tc>
          <w:tcPr>
            <w:tcW w:w="7110" w:type="dxa"/>
          </w:tcPr>
          <w:p w14:paraId="2890A0CD" w14:textId="77777777" w:rsidR="009720DE" w:rsidRPr="00FB1677" w:rsidRDefault="009720DE" w:rsidP="00A41B74">
            <w:pPr>
              <w:pStyle w:val="ExhibitText"/>
              <w:keepNext/>
            </w:pPr>
            <w:r w:rsidRPr="00FB1677">
              <w:t>Collaboration has concrete, attainable goals and objectives (3)</w:t>
            </w:r>
          </w:p>
        </w:tc>
      </w:tr>
      <w:tr w:rsidR="009720DE" w:rsidRPr="00325140" w14:paraId="1550D7A5" w14:textId="77777777" w:rsidTr="00A41B74">
        <w:trPr>
          <w:cantSplit/>
        </w:trPr>
        <w:tc>
          <w:tcPr>
            <w:tcW w:w="2358" w:type="dxa"/>
            <w:vMerge/>
            <w:shd w:val="clear" w:color="auto" w:fill="A4C37F"/>
          </w:tcPr>
          <w:p w14:paraId="714C3879" w14:textId="77777777" w:rsidR="009720DE" w:rsidRPr="00356E43" w:rsidRDefault="009720DE" w:rsidP="00A41B74">
            <w:pPr>
              <w:pStyle w:val="ExhibitText"/>
              <w:keepNext/>
              <w:rPr>
                <w:b/>
              </w:rPr>
            </w:pPr>
          </w:p>
        </w:tc>
        <w:tc>
          <w:tcPr>
            <w:tcW w:w="7110" w:type="dxa"/>
          </w:tcPr>
          <w:p w14:paraId="141F7178" w14:textId="77777777" w:rsidR="009720DE" w:rsidRPr="00FB1677" w:rsidRDefault="009720DE" w:rsidP="00A41B74">
            <w:pPr>
              <w:pStyle w:val="ExhibitText"/>
              <w:keepNext/>
            </w:pPr>
            <w:r w:rsidRPr="00FB1677">
              <w:t>Collaboration members have a shared vision of the goals of the work (2)</w:t>
            </w:r>
          </w:p>
        </w:tc>
      </w:tr>
      <w:tr w:rsidR="009720DE" w:rsidRPr="00325140" w14:paraId="6C384291" w14:textId="77777777" w:rsidTr="00A41B74">
        <w:trPr>
          <w:cnfStyle w:val="000000010000" w:firstRow="0" w:lastRow="0" w:firstColumn="0" w:lastColumn="0" w:oddVBand="0" w:evenVBand="0" w:oddHBand="0" w:evenHBand="1" w:firstRowFirstColumn="0" w:firstRowLastColumn="0" w:lastRowFirstColumn="0" w:lastRowLastColumn="0"/>
          <w:cantSplit/>
        </w:trPr>
        <w:tc>
          <w:tcPr>
            <w:tcW w:w="2358" w:type="dxa"/>
            <w:vMerge/>
          </w:tcPr>
          <w:p w14:paraId="596DA09E" w14:textId="77777777" w:rsidR="009720DE" w:rsidRPr="00356E43" w:rsidRDefault="009720DE" w:rsidP="00A41B74">
            <w:pPr>
              <w:pStyle w:val="ExhibitText"/>
              <w:keepNext/>
              <w:rPr>
                <w:b/>
              </w:rPr>
            </w:pPr>
          </w:p>
        </w:tc>
        <w:tc>
          <w:tcPr>
            <w:tcW w:w="7110" w:type="dxa"/>
          </w:tcPr>
          <w:p w14:paraId="5DB7B8C5" w14:textId="77777777" w:rsidR="009720DE" w:rsidRPr="00FB1677" w:rsidRDefault="009720DE" w:rsidP="00A41B74">
            <w:pPr>
              <w:pStyle w:val="ExhibitText"/>
              <w:keepNext/>
            </w:pPr>
            <w:r w:rsidRPr="00FB1677">
              <w:t>The collaboration has a unique purpose in the community (2)</w:t>
            </w:r>
          </w:p>
        </w:tc>
      </w:tr>
      <w:tr w:rsidR="009720DE" w:rsidRPr="00325140" w14:paraId="54B51EB7" w14:textId="77777777" w:rsidTr="00A41B74">
        <w:trPr>
          <w:cantSplit/>
        </w:trPr>
        <w:tc>
          <w:tcPr>
            <w:tcW w:w="2358" w:type="dxa"/>
            <w:vMerge w:val="restart"/>
            <w:shd w:val="clear" w:color="auto" w:fill="DFD1A7"/>
          </w:tcPr>
          <w:p w14:paraId="455EAF2F" w14:textId="77777777" w:rsidR="009720DE" w:rsidRPr="00356E43" w:rsidRDefault="009720DE" w:rsidP="00A41B74">
            <w:pPr>
              <w:pStyle w:val="ExhibitText"/>
              <w:keepNext/>
              <w:rPr>
                <w:b/>
              </w:rPr>
            </w:pPr>
            <w:r w:rsidRPr="00356E43">
              <w:rPr>
                <w:b/>
              </w:rPr>
              <w:t>Resources</w:t>
            </w:r>
          </w:p>
        </w:tc>
        <w:tc>
          <w:tcPr>
            <w:tcW w:w="7110" w:type="dxa"/>
          </w:tcPr>
          <w:p w14:paraId="5C737750" w14:textId="77777777" w:rsidR="009720DE" w:rsidRPr="00FB1677" w:rsidRDefault="009720DE" w:rsidP="00A41B74">
            <w:pPr>
              <w:pStyle w:val="ExhibitText"/>
              <w:keepNext/>
            </w:pPr>
            <w:r w:rsidRPr="00FB1677">
              <w:t>Collaboration has sufficient funds, staff, materials and time to accomplish its goals (2)</w:t>
            </w:r>
          </w:p>
        </w:tc>
      </w:tr>
      <w:tr w:rsidR="009720DE" w:rsidRPr="00325140" w14:paraId="3D119FC9" w14:textId="77777777" w:rsidTr="00A41B74">
        <w:trPr>
          <w:cnfStyle w:val="000000010000" w:firstRow="0" w:lastRow="0" w:firstColumn="0" w:lastColumn="0" w:oddVBand="0" w:evenVBand="0" w:oddHBand="0" w:evenHBand="1" w:firstRowFirstColumn="0" w:firstRowLastColumn="0" w:lastRowFirstColumn="0" w:lastRowLastColumn="0"/>
          <w:cantSplit/>
        </w:trPr>
        <w:tc>
          <w:tcPr>
            <w:tcW w:w="2358" w:type="dxa"/>
            <w:vMerge/>
            <w:shd w:val="clear" w:color="auto" w:fill="DFD1A7"/>
          </w:tcPr>
          <w:p w14:paraId="4368267A" w14:textId="77777777" w:rsidR="009720DE" w:rsidRPr="00FB1677" w:rsidRDefault="009720DE" w:rsidP="00A41B74">
            <w:pPr>
              <w:pStyle w:val="ExhibitText"/>
              <w:keepNext/>
            </w:pPr>
          </w:p>
        </w:tc>
        <w:tc>
          <w:tcPr>
            <w:tcW w:w="7110" w:type="dxa"/>
          </w:tcPr>
          <w:p w14:paraId="0D98E18D" w14:textId="77777777" w:rsidR="009720DE" w:rsidRPr="00FB1677" w:rsidRDefault="009720DE" w:rsidP="00A41B74">
            <w:pPr>
              <w:pStyle w:val="ExhibitText"/>
              <w:keepNext/>
            </w:pPr>
            <w:r w:rsidRPr="00FB1677">
              <w:t>Collaboration leaders are skilled at working with other people/organizations (1)</w:t>
            </w:r>
          </w:p>
        </w:tc>
      </w:tr>
    </w:tbl>
    <w:p w14:paraId="682BB962" w14:textId="77777777" w:rsidR="009720DE" w:rsidRPr="00356E43" w:rsidRDefault="009720DE" w:rsidP="009720DE">
      <w:pPr>
        <w:pStyle w:val="ExhibitSource"/>
      </w:pPr>
      <w:r w:rsidRPr="00356E43">
        <w:rPr>
          <w:b/>
        </w:rPr>
        <w:t xml:space="preserve">Notes: </w:t>
      </w:r>
      <w:r w:rsidRPr="00356E43">
        <w:t>Numbers in parentheses indicate the number of survey items within the factor.</w:t>
      </w:r>
    </w:p>
    <w:p w14:paraId="7073DCDC" w14:textId="77777777" w:rsidR="009720DE" w:rsidRDefault="009720DE" w:rsidP="00DF31E5"/>
    <w:p w14:paraId="5A6EA39C" w14:textId="77777777" w:rsidR="004378CF" w:rsidRDefault="00FD2C90" w:rsidP="00DF31E5">
      <w:r>
        <w:lastRenderedPageBreak/>
        <w:t>Leaders interviewed generally agreed that the collaboration provided an opportunity for sharing best practices and created a platform for building a more systematic approach to serving all four year olds in the community</w:t>
      </w:r>
      <w:r w:rsidR="004378CF">
        <w:t>. Leaders noted that the collaborative process and regular communications resulted in stronger relationshi</w:t>
      </w:r>
      <w:r w:rsidR="004B54E1">
        <w:t>ps between the EL</w:t>
      </w:r>
      <w:r w:rsidR="00323AF5">
        <w:t>Ps and LEAs and</w:t>
      </w:r>
      <w:r w:rsidR="004378CF">
        <w:t xml:space="preserve"> the opportunity to break down some of the separation between diff</w:t>
      </w:r>
      <w:r w:rsidR="002B3E30">
        <w:t>erent sectors in terms of policies</w:t>
      </w:r>
      <w:r w:rsidR="004378CF">
        <w:t xml:space="preserve"> and practices</w:t>
      </w:r>
      <w:r w:rsidR="004B54E1">
        <w:t xml:space="preserve">. </w:t>
      </w:r>
      <w:r w:rsidR="004378CF">
        <w:t xml:space="preserve">ELP leaders reported gaining a better understanding of the LEA approach to early education and programming, and vice versa. In addition, some leaders noted that it was helpful to have the Head Start agency perspective represented given its resemblance to the PEG model. Collaborative members from three communities also noted that it was </w:t>
      </w:r>
      <w:r w:rsidR="00414E7E">
        <w:t>beneficial</w:t>
      </w:r>
      <w:r w:rsidR="004378CF">
        <w:t xml:space="preserve"> to work together (across ELPs and sectors) to conceptualize and clearly define a community approach to implementing PEG components that were new to some or all of the participating programs. The new components most referenced were comprehensive services and transition to kindergarten activities. Collaborative members from four of the five communities also </w:t>
      </w:r>
      <w:r w:rsidR="008D73DB">
        <w:t>appreciated</w:t>
      </w:r>
      <w:r w:rsidR="004378CF">
        <w:t xml:space="preserve"> the joint </w:t>
      </w:r>
      <w:r w:rsidR="008D73DB">
        <w:t>professional development</w:t>
      </w:r>
      <w:r w:rsidR="004378CF">
        <w:t>. And several collaborative members noted that the regular meetings and communications with other programs resulted in increased knowledge of community activities and resources that could be shared with their families.</w:t>
      </w:r>
    </w:p>
    <w:p w14:paraId="61878A3C" w14:textId="6B608AF8" w:rsidR="009F612E" w:rsidRDefault="003B564A" w:rsidP="002664A7">
      <w:pPr>
        <w:ind w:right="-90"/>
      </w:pPr>
      <w:r>
        <w:t>C</w:t>
      </w:r>
      <w:r w:rsidR="009F612E">
        <w:t>hallenges</w:t>
      </w:r>
      <w:r w:rsidR="00FD2C90">
        <w:t xml:space="preserve"> reported centered around the difficulties of communicating effectively across multiple agencies and aligning policies and procedures across the multiple systems (public schools, Head Start, and EEC licensing and QRIS systems).</w:t>
      </w:r>
      <w:r w:rsidR="00AE438F">
        <w:t xml:space="preserve"> Seemingly simple tasks, like sharing staff across collaborating ELPs at the same site, bec</w:t>
      </w:r>
      <w:r w:rsidR="003222E6">
        <w:t>a</w:t>
      </w:r>
      <w:r w:rsidR="00AE438F">
        <w:t xml:space="preserve">me very difficult when licensing requirements </w:t>
      </w:r>
      <w:r w:rsidR="003222E6">
        <w:t>were</w:t>
      </w:r>
      <w:r w:rsidR="00AE438F">
        <w:t xml:space="preserve"> considered.  Expectations for professional development also differ across systems, leading programs to struggle to provide all the required trainings (including those required by QRIS, Head Start, licensing and the public schools) in the time available (only five additional closure days were allowed for trainings).</w:t>
      </w:r>
      <w:r w:rsidR="00E856E8">
        <w:t xml:space="preserve"> Difficulties in ensuring information was communicated effectively within organizations were noted, particularly in larger organizations </w:t>
      </w:r>
      <w:r>
        <w:t>when</w:t>
      </w:r>
      <w:r w:rsidR="00E856E8">
        <w:t xml:space="preserve"> different people attended meetings</w:t>
      </w:r>
      <w:r>
        <w:t xml:space="preserve"> at different times and everyone needed to be kept abreast of development.</w:t>
      </w:r>
      <w:r w:rsidR="00E856E8">
        <w:t xml:space="preserve"> </w:t>
      </w:r>
      <w:r>
        <w:t xml:space="preserve">When </w:t>
      </w:r>
      <w:r w:rsidR="00E856E8">
        <w:t xml:space="preserve">directors were not included </w:t>
      </w:r>
      <w:r>
        <w:t xml:space="preserve">on the primary leadership committee, teachers and directors sometimes </w:t>
      </w:r>
      <w:r w:rsidR="00AE438F">
        <w:t>commented that they felt they were the last to know about decisions.</w:t>
      </w:r>
    </w:p>
    <w:p w14:paraId="27CF1596" w14:textId="77777777" w:rsidR="00DF31E5" w:rsidRDefault="006529FD" w:rsidP="00DF31E5">
      <w:r>
        <w:t>Interviews conducted by EEC during the monitoring process</w:t>
      </w:r>
      <w:r w:rsidR="009F612E">
        <w:t xml:space="preserve"> also</w:t>
      </w:r>
      <w:r>
        <w:t xml:space="preserve"> identified the importance of leadership from each agency coming to the table with a desire to collaborate </w:t>
      </w:r>
      <w:r w:rsidR="00004AAA">
        <w:t>and an attitude of respect for the contributions of all partners</w:t>
      </w:r>
      <w:r>
        <w:t>.</w:t>
      </w:r>
      <w:r w:rsidR="00B812B6">
        <w:t xml:space="preserve">  Personal connections and face to face meetings played an important role in resolving challenges and building better alignment.</w:t>
      </w:r>
      <w:r w:rsidR="00FD2C90">
        <w:t xml:space="preserve">  </w:t>
      </w:r>
      <w:r w:rsidR="00B812B6">
        <w:t>At the same time, tension</w:t>
      </w:r>
      <w:r w:rsidR="00CF6CC0">
        <w:t>s</w:t>
      </w:r>
      <w:r w:rsidR="00B812B6">
        <w:t xml:space="preserve"> did remain.  </w:t>
      </w:r>
      <w:r w:rsidR="00FD2C90">
        <w:t>Despite the efforts to coordinate enrollment to meet the needs of all students, some communities reported continued competition for students,</w:t>
      </w:r>
      <w:r w:rsidR="00CF6CC0">
        <w:t xml:space="preserve"> either between ELPs or ELPs and the public schools.</w:t>
      </w:r>
      <w:r w:rsidR="00FD2C90">
        <w:t xml:space="preserve"> </w:t>
      </w:r>
      <w:r w:rsidR="00CF6CC0">
        <w:t xml:space="preserve">While in the first year of PEG, some ELPs struggled to fill their seats, in year </w:t>
      </w:r>
      <w:r w:rsidR="003B564A">
        <w:t>2</w:t>
      </w:r>
      <w:r w:rsidR="00CF6CC0">
        <w:t>, public schools (which typically provide a half day program) have reported concerns</w:t>
      </w:r>
      <w:r w:rsidR="00E856E8">
        <w:t xml:space="preserve"> that they will not be able to fill their classrooms</w:t>
      </w:r>
      <w:r w:rsidR="00CF6CC0">
        <w:t xml:space="preserve"> </w:t>
      </w:r>
      <w:r w:rsidR="00E856E8">
        <w:t>and have lost</w:t>
      </w:r>
      <w:r w:rsidR="00CF6CC0">
        <w:t xml:space="preserve"> children to the PEG program. </w:t>
      </w:r>
      <w:r w:rsidR="003B4816">
        <w:t xml:space="preserve"> Finally, the LEAs were expected to lead the collaboration while also serving as fiscal and programmatic monitor for the ELPs, roles that many felt were conflicting.</w:t>
      </w:r>
    </w:p>
    <w:p w14:paraId="4E7BE3A6" w14:textId="77777777" w:rsidR="00292DFD" w:rsidRPr="00DF31E5" w:rsidRDefault="00292DFD" w:rsidP="002664A7">
      <w:pPr>
        <w:ind w:right="-360"/>
      </w:pPr>
      <w:r>
        <w:lastRenderedPageBreak/>
        <w:t>Collaboration across agencies within communities, although appreciated as essential to local systems building, has been challenging.  Time and effort has been required to understand the policies and procedures of other organizations, and to problem solve legal road blocks to simple tasks (i.e. sharing a staff across different agencies). Ongoing participation of staff with decision making authority from the agencies responsible for policies and regulations (EEC and the public schools in particular) have been important in supporting efforts to resolve issues quickly as they arise.</w:t>
      </w:r>
    </w:p>
    <w:p w14:paraId="01D92E13" w14:textId="77777777" w:rsidR="00824C70" w:rsidRDefault="00824C70" w:rsidP="00824C70">
      <w:pPr>
        <w:pStyle w:val="Heading1"/>
      </w:pPr>
      <w:bookmarkStart w:id="19" w:name="_Toc467591098"/>
      <w:r>
        <w:t xml:space="preserve">V. </w:t>
      </w:r>
      <w:r w:rsidR="00232E57">
        <w:t>Supports for children and families</w:t>
      </w:r>
      <w:bookmarkEnd w:id="19"/>
    </w:p>
    <w:p w14:paraId="03C94F6B" w14:textId="77777777" w:rsidR="00CB166C" w:rsidRDefault="00CB166C" w:rsidP="00CB166C">
      <w:pPr>
        <w:pStyle w:val="Heading2"/>
      </w:pPr>
      <w:bookmarkStart w:id="20" w:name="_Toc467591099"/>
      <w:r>
        <w:t>Children</w:t>
      </w:r>
      <w:r w:rsidR="00232E57">
        <w:t xml:space="preserve"> and Families</w:t>
      </w:r>
      <w:bookmarkEnd w:id="20"/>
    </w:p>
    <w:p w14:paraId="5CF87E69" w14:textId="77777777" w:rsidR="00824C70" w:rsidRDefault="009634AD" w:rsidP="00373DDB">
      <w:r>
        <w:t xml:space="preserve">In the 2015-16 school year, </w:t>
      </w:r>
      <w:r w:rsidR="00373DDB">
        <w:t>PEG</w:t>
      </w:r>
      <w:r>
        <w:t xml:space="preserve"> programs successfully enrolled children from </w:t>
      </w:r>
      <w:r w:rsidR="005352F9">
        <w:t>low-income families</w:t>
      </w:r>
      <w:r>
        <w:t>, the majority of whom had not had any prior early education experience (65 percent)</w:t>
      </w:r>
      <w:r w:rsidR="005352F9">
        <w:t>.  Despite the option of enrolling children from families with incomes up to 200 percent of the Federal poverty line,</w:t>
      </w:r>
      <w:r w:rsidR="00373DDB">
        <w:t xml:space="preserve"> the mean PEG family income reported as part of th</w:t>
      </w:r>
      <w:r w:rsidR="00E2397A">
        <w:t>e enrollment process was $18,111</w:t>
      </w:r>
      <w:r w:rsidR="00373DDB">
        <w:t xml:space="preserve"> dol</w:t>
      </w:r>
      <w:r w:rsidR="005352F9">
        <w:t xml:space="preserve">lars per year (lower than the </w:t>
      </w:r>
      <w:r w:rsidR="00373DDB">
        <w:t>2016 federal povert</w:t>
      </w:r>
      <w:r w:rsidR="005352F9">
        <w:t>y level for a family of four,</w:t>
      </w:r>
      <w:r w:rsidR="00373DDB">
        <w:t xml:space="preserve"> $24,300</w:t>
      </w:r>
      <w:r w:rsidR="006755A3">
        <w:t xml:space="preserve">).  Fifty percent of parents surveyed reported only completing a high school education.  </w:t>
      </w:r>
      <w:r w:rsidR="00373DDB">
        <w:t>The demographics of these classrooms varied by community, but overall the programs served large percentage</w:t>
      </w:r>
      <w:r w:rsidR="005352F9">
        <w:t>s</w:t>
      </w:r>
      <w:r w:rsidR="00373DDB">
        <w:t xml:space="preserve"> of minorities and dual language learners</w:t>
      </w:r>
      <w:r w:rsidR="00F25020">
        <w:t xml:space="preserve"> (see Table 4</w:t>
      </w:r>
      <w:r w:rsidR="005F0287">
        <w:t>)</w:t>
      </w:r>
      <w:r w:rsidR="00373DDB">
        <w:t>.</w:t>
      </w:r>
      <w:r w:rsidR="006755A3">
        <w:t xml:space="preserve">  </w:t>
      </w:r>
    </w:p>
    <w:p w14:paraId="06766182" w14:textId="77777777" w:rsidR="00C20D71" w:rsidRDefault="00C20D71" w:rsidP="00373DDB"/>
    <w:p w14:paraId="44165801" w14:textId="77777777" w:rsidR="00355112" w:rsidRPr="00373DDB" w:rsidRDefault="00F25020" w:rsidP="00355112">
      <w:pPr>
        <w:keepNext/>
        <w:keepLines/>
        <w:widowControl w:val="0"/>
        <w:tabs>
          <w:tab w:val="left" w:pos="1440"/>
        </w:tabs>
        <w:spacing w:after="120" w:line="264" w:lineRule="auto"/>
        <w:rPr>
          <w:rFonts w:ascii="Arial" w:eastAsia="Calibri" w:hAnsi="Arial"/>
          <w:b/>
          <w:bCs/>
          <w:sz w:val="20"/>
          <w:szCs w:val="20"/>
        </w:rPr>
      </w:pPr>
      <w:bookmarkStart w:id="21" w:name="_Toc461612622"/>
      <w:bookmarkStart w:id="22" w:name="_Toc461618571"/>
      <w:r>
        <w:rPr>
          <w:rFonts w:ascii="Arial" w:eastAsia="Calibri" w:hAnsi="Arial"/>
          <w:b/>
          <w:bCs/>
          <w:sz w:val="20"/>
          <w:szCs w:val="20"/>
        </w:rPr>
        <w:t>Table 4</w:t>
      </w:r>
      <w:r w:rsidR="00355112" w:rsidRPr="00373DDB">
        <w:rPr>
          <w:rFonts w:ascii="Arial" w:eastAsia="Calibri" w:hAnsi="Arial"/>
          <w:b/>
          <w:bCs/>
          <w:sz w:val="20"/>
          <w:szCs w:val="20"/>
        </w:rPr>
        <w:t>: Race/Ethnicity and Home Language, Overall PEG and by Community</w:t>
      </w:r>
      <w:bookmarkEnd w:id="21"/>
      <w:bookmarkEnd w:id="22"/>
    </w:p>
    <w:tbl>
      <w:tblPr>
        <w:tblStyle w:val="MAPEG1"/>
        <w:tblW w:w="9360" w:type="dxa"/>
        <w:tblLayout w:type="fixed"/>
        <w:tblLook w:val="04A0" w:firstRow="1" w:lastRow="0" w:firstColumn="1" w:lastColumn="0" w:noHBand="0" w:noVBand="1"/>
      </w:tblPr>
      <w:tblGrid>
        <w:gridCol w:w="2079"/>
        <w:gridCol w:w="689"/>
        <w:gridCol w:w="584"/>
        <w:gridCol w:w="564"/>
        <w:gridCol w:w="598"/>
        <w:gridCol w:w="607"/>
        <w:gridCol w:w="617"/>
        <w:gridCol w:w="607"/>
        <w:gridCol w:w="617"/>
        <w:gridCol w:w="577"/>
        <w:gridCol w:w="607"/>
        <w:gridCol w:w="607"/>
        <w:gridCol w:w="607"/>
      </w:tblGrid>
      <w:tr w:rsidR="00355112" w:rsidRPr="00373DDB" w14:paraId="1A9D5B0B" w14:textId="77777777" w:rsidTr="00F327B8">
        <w:trPr>
          <w:cnfStyle w:val="100000000000" w:firstRow="1" w:lastRow="0" w:firstColumn="0" w:lastColumn="0" w:oddVBand="0" w:evenVBand="0" w:oddHBand="0" w:evenHBand="0" w:firstRowFirstColumn="0" w:firstRowLastColumn="0" w:lastRowFirstColumn="0" w:lastRowLastColumn="0"/>
          <w:cantSplit/>
          <w:tblHeader/>
        </w:trPr>
        <w:tc>
          <w:tcPr>
            <w:tcW w:w="2079" w:type="dxa"/>
            <w:vMerge w:val="restart"/>
            <w:noWrap/>
          </w:tcPr>
          <w:p w14:paraId="283AEF10" w14:textId="77777777" w:rsidR="00355112" w:rsidRPr="00373DDB" w:rsidRDefault="00355112" w:rsidP="00F327B8">
            <w:pPr>
              <w:keepNext/>
              <w:spacing w:before="20" w:after="20" w:line="264" w:lineRule="auto"/>
              <w:rPr>
                <w:rFonts w:ascii="Arial Narrow" w:eastAsia="Calibri" w:hAnsi="Arial Narrow" w:cs="Arial"/>
                <w:b/>
                <w:bCs/>
                <w:color w:val="000000"/>
                <w:sz w:val="18"/>
                <w:szCs w:val="18"/>
              </w:rPr>
            </w:pPr>
          </w:p>
        </w:tc>
        <w:tc>
          <w:tcPr>
            <w:tcW w:w="7281" w:type="dxa"/>
            <w:gridSpan w:val="12"/>
            <w:noWrap/>
          </w:tcPr>
          <w:p w14:paraId="77F20456" w14:textId="77777777" w:rsidR="00355112" w:rsidRPr="00373DDB" w:rsidRDefault="00355112" w:rsidP="00F327B8">
            <w:pPr>
              <w:keepNext/>
              <w:spacing w:before="20" w:after="20" w:line="264" w:lineRule="auto"/>
              <w:rPr>
                <w:rFonts w:ascii="Arial Narrow" w:eastAsia="Calibri" w:hAnsi="Arial Narrow" w:cs="Arial"/>
                <w:b/>
                <w:bCs/>
                <w:color w:val="000000"/>
                <w:sz w:val="18"/>
                <w:szCs w:val="18"/>
              </w:rPr>
            </w:pPr>
            <w:r w:rsidRPr="00373DDB">
              <w:rPr>
                <w:rFonts w:ascii="Arial Narrow" w:eastAsia="Calibri" w:hAnsi="Arial Narrow" w:cs="Arial"/>
                <w:b/>
                <w:bCs/>
                <w:color w:val="000000"/>
                <w:sz w:val="18"/>
                <w:szCs w:val="18"/>
              </w:rPr>
              <w:t>Number and Percentage of Children</w:t>
            </w:r>
          </w:p>
        </w:tc>
      </w:tr>
      <w:tr w:rsidR="00355112" w:rsidRPr="00373DDB" w14:paraId="7DE3B656" w14:textId="77777777" w:rsidTr="00F327B8">
        <w:trPr>
          <w:cnfStyle w:val="100000000000" w:firstRow="1" w:lastRow="0" w:firstColumn="0" w:lastColumn="0" w:oddVBand="0" w:evenVBand="0" w:oddHBand="0" w:evenHBand="0" w:firstRowFirstColumn="0" w:firstRowLastColumn="0" w:lastRowFirstColumn="0" w:lastRowLastColumn="0"/>
          <w:cantSplit/>
          <w:tblHeader/>
        </w:trPr>
        <w:tc>
          <w:tcPr>
            <w:tcW w:w="2079" w:type="dxa"/>
            <w:vMerge/>
            <w:noWrap/>
          </w:tcPr>
          <w:p w14:paraId="21BA7BF5" w14:textId="77777777" w:rsidR="00355112" w:rsidRPr="00373DDB" w:rsidRDefault="00355112" w:rsidP="00F327B8">
            <w:pPr>
              <w:keepNext/>
              <w:spacing w:before="20" w:after="20" w:line="264" w:lineRule="auto"/>
              <w:rPr>
                <w:rFonts w:ascii="Arial Narrow" w:eastAsia="Calibri" w:hAnsi="Arial Narrow" w:cs="Arial"/>
                <w:b/>
                <w:bCs/>
                <w:color w:val="000000"/>
                <w:sz w:val="18"/>
                <w:szCs w:val="18"/>
              </w:rPr>
            </w:pPr>
          </w:p>
        </w:tc>
        <w:tc>
          <w:tcPr>
            <w:tcW w:w="1273" w:type="dxa"/>
            <w:gridSpan w:val="2"/>
            <w:tcBorders>
              <w:right w:val="single" w:sz="12" w:space="0" w:color="4B697A"/>
            </w:tcBorders>
            <w:noWrap/>
          </w:tcPr>
          <w:p w14:paraId="0A321A02" w14:textId="77777777" w:rsidR="00355112" w:rsidRPr="00373DDB" w:rsidRDefault="00355112" w:rsidP="00F327B8">
            <w:pPr>
              <w:keepNext/>
              <w:spacing w:before="20" w:after="20" w:line="264" w:lineRule="auto"/>
              <w:rPr>
                <w:rFonts w:ascii="Arial Narrow" w:eastAsia="Calibri" w:hAnsi="Arial Narrow" w:cs="Arial"/>
                <w:b/>
                <w:bCs/>
                <w:color w:val="000000"/>
                <w:sz w:val="18"/>
                <w:szCs w:val="18"/>
              </w:rPr>
            </w:pPr>
            <w:r w:rsidRPr="00373DDB">
              <w:rPr>
                <w:rFonts w:ascii="Arial Narrow" w:eastAsia="Calibri" w:hAnsi="Arial Narrow" w:cs="Arial"/>
                <w:b/>
                <w:bCs/>
                <w:color w:val="000000"/>
                <w:sz w:val="18"/>
                <w:szCs w:val="18"/>
              </w:rPr>
              <w:t>Overall PEG</w:t>
            </w:r>
          </w:p>
        </w:tc>
        <w:tc>
          <w:tcPr>
            <w:tcW w:w="1162" w:type="dxa"/>
            <w:gridSpan w:val="2"/>
            <w:tcBorders>
              <w:top w:val="nil"/>
              <w:left w:val="single" w:sz="12" w:space="0" w:color="4B697A"/>
            </w:tcBorders>
          </w:tcPr>
          <w:p w14:paraId="3F1C7473" w14:textId="77777777" w:rsidR="00355112" w:rsidRPr="00373DDB" w:rsidRDefault="00355112" w:rsidP="00F327B8">
            <w:pPr>
              <w:keepNext/>
              <w:spacing w:before="20" w:after="20" w:line="264" w:lineRule="auto"/>
              <w:rPr>
                <w:rFonts w:ascii="Arial Narrow" w:eastAsia="Calibri" w:hAnsi="Arial Narrow" w:cs="Arial"/>
                <w:b/>
                <w:bCs/>
                <w:color w:val="000000"/>
                <w:sz w:val="18"/>
                <w:szCs w:val="18"/>
              </w:rPr>
            </w:pPr>
            <w:r w:rsidRPr="00373DDB">
              <w:rPr>
                <w:rFonts w:ascii="Arial Narrow" w:eastAsia="Calibri" w:hAnsi="Arial Narrow" w:cs="Arial"/>
                <w:b/>
                <w:bCs/>
                <w:color w:val="000000"/>
                <w:sz w:val="18"/>
                <w:szCs w:val="18"/>
              </w:rPr>
              <w:t>Boston</w:t>
            </w:r>
          </w:p>
        </w:tc>
        <w:tc>
          <w:tcPr>
            <w:tcW w:w="1224" w:type="dxa"/>
            <w:gridSpan w:val="2"/>
          </w:tcPr>
          <w:p w14:paraId="41AC42AF" w14:textId="77777777" w:rsidR="00355112" w:rsidRPr="00373DDB" w:rsidRDefault="00355112" w:rsidP="00F327B8">
            <w:pPr>
              <w:keepNext/>
              <w:spacing w:before="20" w:after="20" w:line="264" w:lineRule="auto"/>
              <w:rPr>
                <w:rFonts w:ascii="Arial Narrow" w:eastAsia="Calibri" w:hAnsi="Arial Narrow" w:cs="Arial"/>
                <w:b/>
                <w:bCs/>
                <w:color w:val="000000"/>
                <w:sz w:val="18"/>
                <w:szCs w:val="18"/>
              </w:rPr>
            </w:pPr>
            <w:r w:rsidRPr="00373DDB">
              <w:rPr>
                <w:rFonts w:ascii="Arial Narrow" w:eastAsia="Calibri" w:hAnsi="Arial Narrow" w:cs="Arial"/>
                <w:b/>
                <w:bCs/>
                <w:color w:val="000000"/>
                <w:sz w:val="18"/>
                <w:szCs w:val="18"/>
              </w:rPr>
              <w:t>Holyoke</w:t>
            </w:r>
          </w:p>
        </w:tc>
        <w:tc>
          <w:tcPr>
            <w:tcW w:w="1224" w:type="dxa"/>
            <w:gridSpan w:val="2"/>
          </w:tcPr>
          <w:p w14:paraId="0887046D" w14:textId="77777777" w:rsidR="00355112" w:rsidRPr="00373DDB" w:rsidRDefault="00355112" w:rsidP="00F327B8">
            <w:pPr>
              <w:keepNext/>
              <w:spacing w:before="20" w:after="20" w:line="264" w:lineRule="auto"/>
              <w:rPr>
                <w:rFonts w:ascii="Arial Narrow" w:eastAsia="Calibri" w:hAnsi="Arial Narrow" w:cs="Arial"/>
                <w:b/>
                <w:bCs/>
                <w:color w:val="000000"/>
                <w:sz w:val="18"/>
                <w:szCs w:val="18"/>
              </w:rPr>
            </w:pPr>
            <w:r w:rsidRPr="00373DDB">
              <w:rPr>
                <w:rFonts w:ascii="Arial Narrow" w:eastAsia="Calibri" w:hAnsi="Arial Narrow" w:cs="Arial"/>
                <w:b/>
                <w:bCs/>
                <w:color w:val="000000"/>
                <w:sz w:val="18"/>
                <w:szCs w:val="18"/>
              </w:rPr>
              <w:t>Lawrence</w:t>
            </w:r>
          </w:p>
        </w:tc>
        <w:tc>
          <w:tcPr>
            <w:tcW w:w="1184" w:type="dxa"/>
            <w:gridSpan w:val="2"/>
          </w:tcPr>
          <w:p w14:paraId="3EC17CB3" w14:textId="77777777" w:rsidR="00355112" w:rsidRPr="00373DDB" w:rsidRDefault="00355112" w:rsidP="00F327B8">
            <w:pPr>
              <w:keepNext/>
              <w:spacing w:before="20" w:after="20" w:line="264" w:lineRule="auto"/>
              <w:rPr>
                <w:rFonts w:ascii="Arial Narrow" w:eastAsia="Calibri" w:hAnsi="Arial Narrow" w:cs="Arial"/>
                <w:b/>
                <w:bCs/>
                <w:color w:val="000000"/>
                <w:sz w:val="18"/>
                <w:szCs w:val="18"/>
              </w:rPr>
            </w:pPr>
            <w:r w:rsidRPr="00373DDB">
              <w:rPr>
                <w:rFonts w:ascii="Arial Narrow" w:eastAsia="Calibri" w:hAnsi="Arial Narrow" w:cs="Arial"/>
                <w:b/>
                <w:bCs/>
                <w:color w:val="000000"/>
                <w:sz w:val="18"/>
                <w:szCs w:val="18"/>
              </w:rPr>
              <w:t>Lowell</w:t>
            </w:r>
          </w:p>
        </w:tc>
        <w:tc>
          <w:tcPr>
            <w:tcW w:w="1214" w:type="dxa"/>
            <w:gridSpan w:val="2"/>
          </w:tcPr>
          <w:p w14:paraId="1FD9B439" w14:textId="77777777" w:rsidR="00355112" w:rsidRPr="00373DDB" w:rsidRDefault="00355112" w:rsidP="00F327B8">
            <w:pPr>
              <w:keepNext/>
              <w:spacing w:before="20" w:after="20" w:line="264" w:lineRule="auto"/>
              <w:rPr>
                <w:rFonts w:ascii="Arial Narrow" w:eastAsia="Calibri" w:hAnsi="Arial Narrow" w:cs="Arial"/>
                <w:b/>
                <w:bCs/>
                <w:color w:val="000000"/>
                <w:sz w:val="18"/>
                <w:szCs w:val="18"/>
              </w:rPr>
            </w:pPr>
            <w:r w:rsidRPr="00373DDB">
              <w:rPr>
                <w:rFonts w:ascii="Arial Narrow" w:eastAsia="Calibri" w:hAnsi="Arial Narrow" w:cs="Arial"/>
                <w:b/>
                <w:bCs/>
                <w:color w:val="000000"/>
                <w:sz w:val="18"/>
                <w:szCs w:val="18"/>
              </w:rPr>
              <w:t>Springfield</w:t>
            </w:r>
          </w:p>
        </w:tc>
      </w:tr>
      <w:tr w:rsidR="00355112" w:rsidRPr="00373DDB" w14:paraId="44E322AA" w14:textId="77777777" w:rsidTr="00F327B8">
        <w:trPr>
          <w:cantSplit/>
        </w:trPr>
        <w:tc>
          <w:tcPr>
            <w:tcW w:w="2079" w:type="dxa"/>
            <w:shd w:val="clear" w:color="auto" w:fill="4B697A"/>
            <w:noWrap/>
          </w:tcPr>
          <w:p w14:paraId="23D6F3F6" w14:textId="77777777" w:rsidR="00355112" w:rsidRPr="00373DDB" w:rsidRDefault="00355112" w:rsidP="00F327B8">
            <w:pPr>
              <w:spacing w:before="20" w:after="20" w:line="264" w:lineRule="auto"/>
              <w:rPr>
                <w:rFonts w:ascii="Arial Narrow" w:hAnsi="Arial Narrow" w:cs="Arial"/>
                <w:b/>
                <w:color w:val="F8F8F8"/>
                <w:sz w:val="18"/>
                <w:szCs w:val="18"/>
              </w:rPr>
            </w:pPr>
            <w:r w:rsidRPr="00373DDB">
              <w:rPr>
                <w:rFonts w:ascii="Arial Narrow" w:hAnsi="Arial Narrow" w:cs="Arial"/>
                <w:b/>
                <w:color w:val="F8F8F8"/>
                <w:sz w:val="18"/>
                <w:szCs w:val="18"/>
              </w:rPr>
              <w:t>Race/Ethnicity</w:t>
            </w:r>
          </w:p>
        </w:tc>
        <w:tc>
          <w:tcPr>
            <w:tcW w:w="689" w:type="dxa"/>
            <w:shd w:val="clear" w:color="auto" w:fill="4B697A"/>
            <w:noWrap/>
          </w:tcPr>
          <w:p w14:paraId="0859DB71"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584" w:type="dxa"/>
            <w:tcBorders>
              <w:right w:val="single" w:sz="12" w:space="0" w:color="4B697A"/>
            </w:tcBorders>
            <w:shd w:val="clear" w:color="auto" w:fill="4B697A"/>
          </w:tcPr>
          <w:p w14:paraId="7A4444EE"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564" w:type="dxa"/>
            <w:tcBorders>
              <w:left w:val="single" w:sz="12" w:space="0" w:color="4B697A"/>
            </w:tcBorders>
            <w:shd w:val="clear" w:color="auto" w:fill="4B697A"/>
          </w:tcPr>
          <w:p w14:paraId="28155839"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598" w:type="dxa"/>
            <w:shd w:val="clear" w:color="auto" w:fill="4B697A"/>
          </w:tcPr>
          <w:p w14:paraId="55E63CA0"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07" w:type="dxa"/>
            <w:shd w:val="clear" w:color="auto" w:fill="4B697A"/>
          </w:tcPr>
          <w:p w14:paraId="7CB0AF9F"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17" w:type="dxa"/>
            <w:shd w:val="clear" w:color="auto" w:fill="4B697A"/>
          </w:tcPr>
          <w:p w14:paraId="214E5D60"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07" w:type="dxa"/>
            <w:shd w:val="clear" w:color="auto" w:fill="4B697A"/>
          </w:tcPr>
          <w:p w14:paraId="5660F408"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17" w:type="dxa"/>
            <w:shd w:val="clear" w:color="auto" w:fill="4B697A"/>
          </w:tcPr>
          <w:p w14:paraId="607EADAC"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577" w:type="dxa"/>
            <w:shd w:val="clear" w:color="auto" w:fill="4B697A"/>
          </w:tcPr>
          <w:p w14:paraId="76D9865C"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07" w:type="dxa"/>
            <w:shd w:val="clear" w:color="auto" w:fill="4B697A"/>
          </w:tcPr>
          <w:p w14:paraId="12046053"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07" w:type="dxa"/>
            <w:shd w:val="clear" w:color="auto" w:fill="4B697A"/>
          </w:tcPr>
          <w:p w14:paraId="4CF00F04"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07" w:type="dxa"/>
            <w:shd w:val="clear" w:color="auto" w:fill="4B697A"/>
          </w:tcPr>
          <w:p w14:paraId="307CF581" w14:textId="77777777" w:rsidR="00355112" w:rsidRPr="00373DDB" w:rsidRDefault="00355112" w:rsidP="00F327B8">
            <w:pPr>
              <w:spacing w:before="20" w:after="20" w:line="264" w:lineRule="auto"/>
              <w:rPr>
                <w:rFonts w:ascii="Arial Narrow" w:hAnsi="Arial Narrow" w:cs="Arial"/>
                <w:b/>
                <w:color w:val="F8F8F8"/>
                <w:sz w:val="18"/>
                <w:szCs w:val="18"/>
              </w:rPr>
            </w:pPr>
          </w:p>
        </w:tc>
      </w:tr>
      <w:tr w:rsidR="00355112" w:rsidRPr="00373DDB" w14:paraId="3D393CB6" w14:textId="77777777" w:rsidTr="00F327B8">
        <w:trPr>
          <w:cnfStyle w:val="000000010000" w:firstRow="0" w:lastRow="0" w:firstColumn="0" w:lastColumn="0" w:oddVBand="0" w:evenVBand="0" w:oddHBand="0" w:evenHBand="1" w:firstRowFirstColumn="0" w:firstRowLastColumn="0" w:lastRowFirstColumn="0" w:lastRowLastColumn="0"/>
          <w:cantSplit/>
        </w:trPr>
        <w:tc>
          <w:tcPr>
            <w:tcW w:w="2079" w:type="dxa"/>
            <w:noWrap/>
            <w:hideMark/>
          </w:tcPr>
          <w:p w14:paraId="58B5B490" w14:textId="77777777" w:rsidR="00355112" w:rsidRPr="00373DDB" w:rsidRDefault="00355112" w:rsidP="00F327B8">
            <w:pPr>
              <w:spacing w:before="20" w:after="20" w:line="264" w:lineRule="auto"/>
              <w:rPr>
                <w:rFonts w:ascii="Arial Narrow" w:hAnsi="Arial Narrow" w:cs="Arial"/>
                <w:bCs/>
                <w:color w:val="000000"/>
                <w:sz w:val="18"/>
                <w:szCs w:val="18"/>
              </w:rPr>
            </w:pPr>
            <w:r w:rsidRPr="00373DDB">
              <w:rPr>
                <w:rFonts w:ascii="Arial Narrow" w:hAnsi="Arial Narrow" w:cs="Arial"/>
                <w:bCs/>
                <w:color w:val="000000"/>
                <w:sz w:val="18"/>
                <w:szCs w:val="18"/>
              </w:rPr>
              <w:t>Hispanic</w:t>
            </w:r>
          </w:p>
        </w:tc>
        <w:tc>
          <w:tcPr>
            <w:tcW w:w="689" w:type="dxa"/>
            <w:noWrap/>
            <w:hideMark/>
          </w:tcPr>
          <w:p w14:paraId="4DDCEC3A"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472</w:t>
            </w:r>
          </w:p>
        </w:tc>
        <w:tc>
          <w:tcPr>
            <w:tcW w:w="584" w:type="dxa"/>
            <w:tcBorders>
              <w:right w:val="single" w:sz="12" w:space="0" w:color="4B697A"/>
            </w:tcBorders>
            <w:hideMark/>
          </w:tcPr>
          <w:p w14:paraId="2F5F46D6"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57%</w:t>
            </w:r>
          </w:p>
        </w:tc>
        <w:tc>
          <w:tcPr>
            <w:tcW w:w="564" w:type="dxa"/>
            <w:tcBorders>
              <w:left w:val="single" w:sz="12" w:space="0" w:color="4B697A"/>
            </w:tcBorders>
            <w:hideMark/>
          </w:tcPr>
          <w:p w14:paraId="752D4A71"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94</w:t>
            </w:r>
          </w:p>
        </w:tc>
        <w:tc>
          <w:tcPr>
            <w:tcW w:w="598" w:type="dxa"/>
            <w:hideMark/>
          </w:tcPr>
          <w:p w14:paraId="658DD4EC"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34%</w:t>
            </w:r>
          </w:p>
        </w:tc>
        <w:tc>
          <w:tcPr>
            <w:tcW w:w="607" w:type="dxa"/>
            <w:hideMark/>
          </w:tcPr>
          <w:p w14:paraId="0D2E55F4"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76</w:t>
            </w:r>
          </w:p>
        </w:tc>
        <w:tc>
          <w:tcPr>
            <w:tcW w:w="617" w:type="dxa"/>
            <w:hideMark/>
          </w:tcPr>
          <w:p w14:paraId="45A41A8D"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73%</w:t>
            </w:r>
          </w:p>
        </w:tc>
        <w:tc>
          <w:tcPr>
            <w:tcW w:w="607" w:type="dxa"/>
            <w:hideMark/>
          </w:tcPr>
          <w:p w14:paraId="439B73CE"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136</w:t>
            </w:r>
          </w:p>
        </w:tc>
        <w:tc>
          <w:tcPr>
            <w:tcW w:w="617" w:type="dxa"/>
            <w:hideMark/>
          </w:tcPr>
          <w:p w14:paraId="3DB684D8"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95%</w:t>
            </w:r>
          </w:p>
        </w:tc>
        <w:tc>
          <w:tcPr>
            <w:tcW w:w="577" w:type="dxa"/>
            <w:hideMark/>
          </w:tcPr>
          <w:p w14:paraId="1E133899"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56</w:t>
            </w:r>
          </w:p>
        </w:tc>
        <w:tc>
          <w:tcPr>
            <w:tcW w:w="607" w:type="dxa"/>
            <w:hideMark/>
          </w:tcPr>
          <w:p w14:paraId="626F0F29"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35%</w:t>
            </w:r>
          </w:p>
        </w:tc>
        <w:tc>
          <w:tcPr>
            <w:tcW w:w="607" w:type="dxa"/>
            <w:hideMark/>
          </w:tcPr>
          <w:p w14:paraId="59A57FF8"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w:t>
            </w:r>
            <w:r>
              <w:rPr>
                <w:rFonts w:ascii="Arial Narrow" w:hAnsi="Arial Narrow" w:cs="Arial"/>
                <w:bCs/>
                <w:color w:val="000000"/>
                <w:sz w:val="18"/>
                <w:szCs w:val="18"/>
              </w:rPr>
              <w:t>34</w:t>
            </w:r>
          </w:p>
        </w:tc>
        <w:tc>
          <w:tcPr>
            <w:tcW w:w="607" w:type="dxa"/>
            <w:hideMark/>
          </w:tcPr>
          <w:p w14:paraId="3D2B3266"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Pr>
                <w:rFonts w:ascii="Arial Narrow" w:hAnsi="Arial Narrow" w:cs="Arial"/>
                <w:bCs/>
                <w:color w:val="000000"/>
                <w:sz w:val="18"/>
                <w:szCs w:val="18"/>
              </w:rPr>
              <w:t>71</w:t>
            </w:r>
            <w:r w:rsidRPr="00373DDB">
              <w:rPr>
                <w:rFonts w:ascii="Arial Narrow" w:hAnsi="Arial Narrow" w:cs="Arial"/>
                <w:bCs/>
                <w:color w:val="000000"/>
                <w:sz w:val="18"/>
                <w:szCs w:val="18"/>
              </w:rPr>
              <w:t>%</w:t>
            </w:r>
          </w:p>
        </w:tc>
      </w:tr>
      <w:tr w:rsidR="00355112" w:rsidRPr="00373DDB" w14:paraId="3002FA4D" w14:textId="77777777" w:rsidTr="00F327B8">
        <w:trPr>
          <w:cantSplit/>
        </w:trPr>
        <w:tc>
          <w:tcPr>
            <w:tcW w:w="2079" w:type="dxa"/>
            <w:noWrap/>
            <w:hideMark/>
          </w:tcPr>
          <w:p w14:paraId="57DADACC" w14:textId="77777777" w:rsidR="00355112" w:rsidRPr="00373DDB" w:rsidRDefault="00355112" w:rsidP="00F327B8">
            <w:pPr>
              <w:spacing w:before="20" w:after="20" w:line="264" w:lineRule="auto"/>
              <w:rPr>
                <w:rFonts w:ascii="Arial Narrow" w:hAnsi="Arial Narrow" w:cs="Arial"/>
                <w:bCs/>
                <w:color w:val="000000"/>
                <w:sz w:val="18"/>
                <w:szCs w:val="18"/>
              </w:rPr>
            </w:pPr>
            <w:r w:rsidRPr="00373DDB">
              <w:rPr>
                <w:rFonts w:ascii="Arial Narrow" w:hAnsi="Arial Narrow" w:cs="Arial"/>
                <w:bCs/>
                <w:color w:val="000000"/>
                <w:sz w:val="18"/>
                <w:szCs w:val="18"/>
              </w:rPr>
              <w:t>Black—non-Hispanic</w:t>
            </w:r>
          </w:p>
        </w:tc>
        <w:tc>
          <w:tcPr>
            <w:tcW w:w="689" w:type="dxa"/>
            <w:noWrap/>
            <w:hideMark/>
          </w:tcPr>
          <w:p w14:paraId="0208A54C"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223</w:t>
            </w:r>
          </w:p>
        </w:tc>
        <w:tc>
          <w:tcPr>
            <w:tcW w:w="584" w:type="dxa"/>
            <w:tcBorders>
              <w:right w:val="single" w:sz="12" w:space="0" w:color="4B697A"/>
            </w:tcBorders>
            <w:hideMark/>
          </w:tcPr>
          <w:p w14:paraId="20B9F847"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27%</w:t>
            </w:r>
          </w:p>
        </w:tc>
        <w:tc>
          <w:tcPr>
            <w:tcW w:w="564" w:type="dxa"/>
            <w:tcBorders>
              <w:left w:val="single" w:sz="12" w:space="0" w:color="4B697A"/>
            </w:tcBorders>
            <w:hideMark/>
          </w:tcPr>
          <w:p w14:paraId="197680F5"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155</w:t>
            </w:r>
          </w:p>
        </w:tc>
        <w:tc>
          <w:tcPr>
            <w:tcW w:w="598" w:type="dxa"/>
            <w:hideMark/>
          </w:tcPr>
          <w:p w14:paraId="723DF438"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55%</w:t>
            </w:r>
          </w:p>
        </w:tc>
        <w:tc>
          <w:tcPr>
            <w:tcW w:w="607" w:type="dxa"/>
            <w:hideMark/>
          </w:tcPr>
          <w:p w14:paraId="4DCEF18B"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23</w:t>
            </w:r>
          </w:p>
        </w:tc>
        <w:tc>
          <w:tcPr>
            <w:tcW w:w="617" w:type="dxa"/>
            <w:hideMark/>
          </w:tcPr>
          <w:p w14:paraId="17153C3D"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22%</w:t>
            </w:r>
          </w:p>
        </w:tc>
        <w:tc>
          <w:tcPr>
            <w:tcW w:w="607" w:type="dxa"/>
            <w:hideMark/>
          </w:tcPr>
          <w:p w14:paraId="24B4A25D"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w:t>
            </w:r>
          </w:p>
        </w:tc>
        <w:tc>
          <w:tcPr>
            <w:tcW w:w="617" w:type="dxa"/>
            <w:hideMark/>
          </w:tcPr>
          <w:p w14:paraId="40C59816"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w:t>
            </w:r>
          </w:p>
        </w:tc>
        <w:tc>
          <w:tcPr>
            <w:tcW w:w="577" w:type="dxa"/>
            <w:hideMark/>
          </w:tcPr>
          <w:p w14:paraId="776856B6"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22</w:t>
            </w:r>
          </w:p>
        </w:tc>
        <w:tc>
          <w:tcPr>
            <w:tcW w:w="607" w:type="dxa"/>
            <w:hideMark/>
          </w:tcPr>
          <w:p w14:paraId="78D37255"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14%</w:t>
            </w:r>
          </w:p>
        </w:tc>
        <w:tc>
          <w:tcPr>
            <w:tcW w:w="607" w:type="dxa"/>
            <w:hideMark/>
          </w:tcPr>
          <w:p w14:paraId="62D62E92"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Pr>
                <w:rFonts w:ascii="Arial Narrow" w:hAnsi="Arial Narrow" w:cs="Arial"/>
                <w:bCs/>
                <w:color w:val="000000"/>
                <w:sz w:val="18"/>
                <w:szCs w:val="18"/>
              </w:rPr>
              <w:t>43</w:t>
            </w:r>
          </w:p>
        </w:tc>
        <w:tc>
          <w:tcPr>
            <w:tcW w:w="607" w:type="dxa"/>
            <w:hideMark/>
          </w:tcPr>
          <w:p w14:paraId="4DC59571"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Pr>
                <w:rFonts w:ascii="Arial Narrow" w:hAnsi="Arial Narrow" w:cs="Arial"/>
                <w:bCs/>
                <w:color w:val="000000"/>
                <w:sz w:val="18"/>
                <w:szCs w:val="18"/>
              </w:rPr>
              <w:t>23</w:t>
            </w:r>
            <w:r w:rsidRPr="00373DDB">
              <w:rPr>
                <w:rFonts w:ascii="Arial Narrow" w:hAnsi="Arial Narrow" w:cs="Arial"/>
                <w:bCs/>
                <w:color w:val="000000"/>
                <w:sz w:val="18"/>
                <w:szCs w:val="18"/>
              </w:rPr>
              <w:t>%</w:t>
            </w:r>
          </w:p>
        </w:tc>
      </w:tr>
      <w:tr w:rsidR="00355112" w:rsidRPr="00373DDB" w14:paraId="7C028799" w14:textId="77777777" w:rsidTr="00F327B8">
        <w:trPr>
          <w:cnfStyle w:val="000000010000" w:firstRow="0" w:lastRow="0" w:firstColumn="0" w:lastColumn="0" w:oddVBand="0" w:evenVBand="0" w:oddHBand="0" w:evenHBand="1" w:firstRowFirstColumn="0" w:firstRowLastColumn="0" w:lastRowFirstColumn="0" w:lastRowLastColumn="0"/>
          <w:cantSplit/>
        </w:trPr>
        <w:tc>
          <w:tcPr>
            <w:tcW w:w="2079" w:type="dxa"/>
            <w:noWrap/>
            <w:hideMark/>
          </w:tcPr>
          <w:p w14:paraId="7D49252D" w14:textId="77777777" w:rsidR="00355112" w:rsidRPr="00373DDB" w:rsidRDefault="00355112" w:rsidP="00F327B8">
            <w:pPr>
              <w:spacing w:before="20" w:after="20" w:line="264" w:lineRule="auto"/>
              <w:rPr>
                <w:rFonts w:ascii="Arial Narrow" w:hAnsi="Arial Narrow" w:cs="Arial"/>
                <w:bCs/>
                <w:color w:val="000000"/>
                <w:sz w:val="18"/>
                <w:szCs w:val="18"/>
              </w:rPr>
            </w:pPr>
            <w:r w:rsidRPr="00373DDB">
              <w:rPr>
                <w:rFonts w:ascii="Arial Narrow" w:hAnsi="Arial Narrow" w:cs="Arial"/>
                <w:bCs/>
                <w:color w:val="000000"/>
                <w:sz w:val="18"/>
                <w:szCs w:val="18"/>
              </w:rPr>
              <w:t>Caucasian—non-Hispanic</w:t>
            </w:r>
          </w:p>
        </w:tc>
        <w:tc>
          <w:tcPr>
            <w:tcW w:w="689" w:type="dxa"/>
            <w:noWrap/>
            <w:hideMark/>
          </w:tcPr>
          <w:p w14:paraId="7A241AF1"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58</w:t>
            </w:r>
          </w:p>
        </w:tc>
        <w:tc>
          <w:tcPr>
            <w:tcW w:w="584" w:type="dxa"/>
            <w:tcBorders>
              <w:right w:val="single" w:sz="12" w:space="0" w:color="4B697A"/>
            </w:tcBorders>
            <w:hideMark/>
          </w:tcPr>
          <w:p w14:paraId="562A8975"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7%</w:t>
            </w:r>
          </w:p>
        </w:tc>
        <w:tc>
          <w:tcPr>
            <w:tcW w:w="564" w:type="dxa"/>
            <w:tcBorders>
              <w:left w:val="single" w:sz="12" w:space="0" w:color="4B697A"/>
            </w:tcBorders>
            <w:hideMark/>
          </w:tcPr>
          <w:p w14:paraId="38E83BB9"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14</w:t>
            </w:r>
          </w:p>
        </w:tc>
        <w:tc>
          <w:tcPr>
            <w:tcW w:w="598" w:type="dxa"/>
            <w:hideMark/>
          </w:tcPr>
          <w:p w14:paraId="40480977"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5%</w:t>
            </w:r>
          </w:p>
        </w:tc>
        <w:tc>
          <w:tcPr>
            <w:tcW w:w="607" w:type="dxa"/>
            <w:hideMark/>
          </w:tcPr>
          <w:p w14:paraId="269FEB3B"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4</w:t>
            </w:r>
          </w:p>
        </w:tc>
        <w:tc>
          <w:tcPr>
            <w:tcW w:w="617" w:type="dxa"/>
            <w:hideMark/>
          </w:tcPr>
          <w:p w14:paraId="600FF778"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4%</w:t>
            </w:r>
          </w:p>
        </w:tc>
        <w:tc>
          <w:tcPr>
            <w:tcW w:w="607" w:type="dxa"/>
            <w:hideMark/>
          </w:tcPr>
          <w:p w14:paraId="5F95A9E8"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w:t>
            </w:r>
          </w:p>
        </w:tc>
        <w:tc>
          <w:tcPr>
            <w:tcW w:w="617" w:type="dxa"/>
            <w:hideMark/>
          </w:tcPr>
          <w:p w14:paraId="0BA41807"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w:t>
            </w:r>
          </w:p>
        </w:tc>
        <w:tc>
          <w:tcPr>
            <w:tcW w:w="577" w:type="dxa"/>
            <w:hideMark/>
          </w:tcPr>
          <w:p w14:paraId="313A89DA"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34</w:t>
            </w:r>
          </w:p>
        </w:tc>
        <w:tc>
          <w:tcPr>
            <w:tcW w:w="607" w:type="dxa"/>
            <w:hideMark/>
          </w:tcPr>
          <w:p w14:paraId="2DC74AB6"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22%</w:t>
            </w:r>
          </w:p>
        </w:tc>
        <w:tc>
          <w:tcPr>
            <w:tcW w:w="607" w:type="dxa"/>
            <w:hideMark/>
          </w:tcPr>
          <w:p w14:paraId="5189EBC7"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Pr>
                <w:rFonts w:ascii="Arial Narrow" w:hAnsi="Arial Narrow" w:cs="Arial"/>
                <w:bCs/>
                <w:color w:val="000000"/>
                <w:sz w:val="18"/>
                <w:szCs w:val="18"/>
              </w:rPr>
              <w:t>8</w:t>
            </w:r>
          </w:p>
        </w:tc>
        <w:tc>
          <w:tcPr>
            <w:tcW w:w="607" w:type="dxa"/>
            <w:hideMark/>
          </w:tcPr>
          <w:p w14:paraId="33270BF5"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Pr>
                <w:rFonts w:ascii="Arial Narrow" w:hAnsi="Arial Narrow" w:cs="Arial"/>
                <w:bCs/>
                <w:color w:val="000000"/>
                <w:sz w:val="18"/>
                <w:szCs w:val="18"/>
              </w:rPr>
              <w:t>4</w:t>
            </w:r>
            <w:r w:rsidRPr="00373DDB">
              <w:rPr>
                <w:rFonts w:ascii="Arial Narrow" w:hAnsi="Arial Narrow" w:cs="Arial"/>
                <w:bCs/>
                <w:color w:val="000000"/>
                <w:sz w:val="18"/>
                <w:szCs w:val="18"/>
              </w:rPr>
              <w:t>%</w:t>
            </w:r>
          </w:p>
        </w:tc>
      </w:tr>
      <w:tr w:rsidR="00355112" w:rsidRPr="00373DDB" w14:paraId="0FEBFF79" w14:textId="77777777" w:rsidTr="00F327B8">
        <w:trPr>
          <w:cantSplit/>
        </w:trPr>
        <w:tc>
          <w:tcPr>
            <w:tcW w:w="2079" w:type="dxa"/>
            <w:noWrap/>
            <w:hideMark/>
          </w:tcPr>
          <w:p w14:paraId="0818F15F" w14:textId="77777777" w:rsidR="00355112" w:rsidRPr="00373DDB" w:rsidRDefault="00355112" w:rsidP="00F327B8">
            <w:pPr>
              <w:spacing w:before="20" w:after="20" w:line="264" w:lineRule="auto"/>
              <w:rPr>
                <w:rFonts w:ascii="Arial Narrow" w:hAnsi="Arial Narrow" w:cs="Arial"/>
                <w:bCs/>
                <w:color w:val="000000"/>
                <w:sz w:val="18"/>
                <w:szCs w:val="18"/>
              </w:rPr>
            </w:pPr>
            <w:r w:rsidRPr="00373DDB">
              <w:rPr>
                <w:rFonts w:ascii="Arial Narrow" w:hAnsi="Arial Narrow" w:cs="Arial"/>
                <w:bCs/>
                <w:color w:val="000000"/>
                <w:sz w:val="18"/>
                <w:szCs w:val="18"/>
              </w:rPr>
              <w:t>Asian-American</w:t>
            </w:r>
          </w:p>
        </w:tc>
        <w:tc>
          <w:tcPr>
            <w:tcW w:w="689" w:type="dxa"/>
            <w:noWrap/>
            <w:hideMark/>
          </w:tcPr>
          <w:p w14:paraId="3FF0757F"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34</w:t>
            </w:r>
          </w:p>
        </w:tc>
        <w:tc>
          <w:tcPr>
            <w:tcW w:w="584" w:type="dxa"/>
            <w:tcBorders>
              <w:right w:val="single" w:sz="12" w:space="0" w:color="4B697A"/>
            </w:tcBorders>
            <w:hideMark/>
          </w:tcPr>
          <w:p w14:paraId="06D85485"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4%</w:t>
            </w:r>
          </w:p>
        </w:tc>
        <w:tc>
          <w:tcPr>
            <w:tcW w:w="564" w:type="dxa"/>
            <w:tcBorders>
              <w:left w:val="single" w:sz="12" w:space="0" w:color="4B697A"/>
            </w:tcBorders>
            <w:hideMark/>
          </w:tcPr>
          <w:p w14:paraId="342F1B74"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w:t>
            </w:r>
          </w:p>
        </w:tc>
        <w:tc>
          <w:tcPr>
            <w:tcW w:w="598" w:type="dxa"/>
            <w:hideMark/>
          </w:tcPr>
          <w:p w14:paraId="0E3D0045"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w:t>
            </w:r>
          </w:p>
        </w:tc>
        <w:tc>
          <w:tcPr>
            <w:tcW w:w="607" w:type="dxa"/>
            <w:hideMark/>
          </w:tcPr>
          <w:p w14:paraId="55400359"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17" w:type="dxa"/>
            <w:hideMark/>
          </w:tcPr>
          <w:p w14:paraId="13CD5496"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07" w:type="dxa"/>
            <w:hideMark/>
          </w:tcPr>
          <w:p w14:paraId="4732BD82"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17" w:type="dxa"/>
            <w:hideMark/>
          </w:tcPr>
          <w:p w14:paraId="009CF4DB"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577" w:type="dxa"/>
            <w:hideMark/>
          </w:tcPr>
          <w:p w14:paraId="206A13C2"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30</w:t>
            </w:r>
          </w:p>
        </w:tc>
        <w:tc>
          <w:tcPr>
            <w:tcW w:w="607" w:type="dxa"/>
            <w:hideMark/>
          </w:tcPr>
          <w:p w14:paraId="2084B4AC"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19%</w:t>
            </w:r>
          </w:p>
        </w:tc>
        <w:tc>
          <w:tcPr>
            <w:tcW w:w="607" w:type="dxa"/>
            <w:hideMark/>
          </w:tcPr>
          <w:p w14:paraId="1E13FC7F"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Pr>
                <w:rFonts w:ascii="Arial Narrow" w:hAnsi="Arial Narrow" w:cs="Arial"/>
                <w:bCs/>
                <w:color w:val="000000"/>
                <w:sz w:val="18"/>
                <w:szCs w:val="18"/>
              </w:rPr>
              <w:t>2</w:t>
            </w:r>
          </w:p>
        </w:tc>
        <w:tc>
          <w:tcPr>
            <w:tcW w:w="607" w:type="dxa"/>
            <w:hideMark/>
          </w:tcPr>
          <w:p w14:paraId="7FCA5356"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Pr>
                <w:rFonts w:ascii="Arial Narrow" w:hAnsi="Arial Narrow" w:cs="Arial"/>
                <w:bCs/>
                <w:color w:val="000000"/>
                <w:sz w:val="18"/>
                <w:szCs w:val="18"/>
              </w:rPr>
              <w:t>1</w:t>
            </w:r>
            <w:r w:rsidRPr="00373DDB">
              <w:rPr>
                <w:rFonts w:ascii="Arial Narrow" w:hAnsi="Arial Narrow" w:cs="Arial"/>
                <w:bCs/>
                <w:color w:val="000000"/>
                <w:sz w:val="18"/>
                <w:szCs w:val="18"/>
              </w:rPr>
              <w:t>%</w:t>
            </w:r>
          </w:p>
        </w:tc>
      </w:tr>
      <w:tr w:rsidR="00355112" w:rsidRPr="00373DDB" w14:paraId="2F71FF71" w14:textId="77777777" w:rsidTr="00F327B8">
        <w:trPr>
          <w:cnfStyle w:val="000000010000" w:firstRow="0" w:lastRow="0" w:firstColumn="0" w:lastColumn="0" w:oddVBand="0" w:evenVBand="0" w:oddHBand="0" w:evenHBand="1" w:firstRowFirstColumn="0" w:firstRowLastColumn="0" w:lastRowFirstColumn="0" w:lastRowLastColumn="0"/>
          <w:cantSplit/>
        </w:trPr>
        <w:tc>
          <w:tcPr>
            <w:tcW w:w="2079" w:type="dxa"/>
            <w:noWrap/>
            <w:hideMark/>
          </w:tcPr>
          <w:p w14:paraId="6BB46C24" w14:textId="77777777" w:rsidR="00355112" w:rsidRPr="00373DDB" w:rsidRDefault="00355112" w:rsidP="00F327B8">
            <w:pPr>
              <w:spacing w:before="20" w:after="20" w:line="264" w:lineRule="auto"/>
              <w:rPr>
                <w:rFonts w:ascii="Arial Narrow" w:hAnsi="Arial Narrow" w:cs="Arial"/>
                <w:bCs/>
                <w:color w:val="000000"/>
                <w:sz w:val="18"/>
                <w:szCs w:val="18"/>
              </w:rPr>
            </w:pPr>
            <w:r w:rsidRPr="00373DDB">
              <w:rPr>
                <w:rFonts w:ascii="Arial Narrow" w:hAnsi="Arial Narrow" w:cs="Arial"/>
                <w:bCs/>
                <w:color w:val="000000"/>
                <w:sz w:val="18"/>
                <w:szCs w:val="18"/>
              </w:rPr>
              <w:t>Two or more races</w:t>
            </w:r>
          </w:p>
        </w:tc>
        <w:tc>
          <w:tcPr>
            <w:tcW w:w="689" w:type="dxa"/>
            <w:noWrap/>
            <w:hideMark/>
          </w:tcPr>
          <w:p w14:paraId="03A5A136"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22</w:t>
            </w:r>
          </w:p>
        </w:tc>
        <w:tc>
          <w:tcPr>
            <w:tcW w:w="584" w:type="dxa"/>
            <w:tcBorders>
              <w:right w:val="single" w:sz="12" w:space="0" w:color="4B697A"/>
            </w:tcBorders>
            <w:hideMark/>
          </w:tcPr>
          <w:p w14:paraId="0426391C"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w:t>
            </w:r>
          </w:p>
        </w:tc>
        <w:tc>
          <w:tcPr>
            <w:tcW w:w="564" w:type="dxa"/>
            <w:tcBorders>
              <w:left w:val="single" w:sz="12" w:space="0" w:color="4B697A"/>
            </w:tcBorders>
            <w:hideMark/>
          </w:tcPr>
          <w:p w14:paraId="4969AC41"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14</w:t>
            </w:r>
          </w:p>
        </w:tc>
        <w:tc>
          <w:tcPr>
            <w:tcW w:w="598" w:type="dxa"/>
            <w:hideMark/>
          </w:tcPr>
          <w:p w14:paraId="76022595"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5%</w:t>
            </w:r>
          </w:p>
        </w:tc>
        <w:tc>
          <w:tcPr>
            <w:tcW w:w="607" w:type="dxa"/>
            <w:hideMark/>
          </w:tcPr>
          <w:p w14:paraId="4B68BB84"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w:t>
            </w:r>
          </w:p>
        </w:tc>
        <w:tc>
          <w:tcPr>
            <w:tcW w:w="617" w:type="dxa"/>
            <w:hideMark/>
          </w:tcPr>
          <w:p w14:paraId="0BEE907F"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w:t>
            </w:r>
          </w:p>
        </w:tc>
        <w:tc>
          <w:tcPr>
            <w:tcW w:w="607" w:type="dxa"/>
            <w:hideMark/>
          </w:tcPr>
          <w:p w14:paraId="5A2A0DEF"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w:t>
            </w:r>
          </w:p>
        </w:tc>
        <w:tc>
          <w:tcPr>
            <w:tcW w:w="617" w:type="dxa"/>
            <w:hideMark/>
          </w:tcPr>
          <w:p w14:paraId="1A6573B3"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0.7%</w:t>
            </w:r>
          </w:p>
        </w:tc>
        <w:tc>
          <w:tcPr>
            <w:tcW w:w="577" w:type="dxa"/>
            <w:hideMark/>
          </w:tcPr>
          <w:p w14:paraId="411466C1"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w:t>
            </w:r>
          </w:p>
        </w:tc>
        <w:tc>
          <w:tcPr>
            <w:tcW w:w="607" w:type="dxa"/>
            <w:hideMark/>
          </w:tcPr>
          <w:p w14:paraId="46B6D3F4"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w:t>
            </w:r>
          </w:p>
        </w:tc>
        <w:tc>
          <w:tcPr>
            <w:tcW w:w="607" w:type="dxa"/>
            <w:hideMark/>
          </w:tcPr>
          <w:p w14:paraId="6EEE094F"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w:t>
            </w:r>
          </w:p>
        </w:tc>
        <w:tc>
          <w:tcPr>
            <w:tcW w:w="607" w:type="dxa"/>
            <w:hideMark/>
          </w:tcPr>
          <w:p w14:paraId="3CE81B74"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w:t>
            </w:r>
          </w:p>
        </w:tc>
      </w:tr>
      <w:tr w:rsidR="00355112" w:rsidRPr="00373DDB" w14:paraId="66E8155A" w14:textId="77777777" w:rsidTr="00F327B8">
        <w:trPr>
          <w:cantSplit/>
        </w:trPr>
        <w:tc>
          <w:tcPr>
            <w:tcW w:w="2079" w:type="dxa"/>
            <w:noWrap/>
            <w:hideMark/>
          </w:tcPr>
          <w:p w14:paraId="436164C6" w14:textId="77777777" w:rsidR="00355112" w:rsidRPr="00373DDB" w:rsidRDefault="00355112" w:rsidP="00F327B8">
            <w:pPr>
              <w:spacing w:before="20" w:after="20" w:line="264" w:lineRule="auto"/>
              <w:rPr>
                <w:rFonts w:ascii="Arial Narrow" w:hAnsi="Arial Narrow" w:cs="Arial"/>
                <w:bCs/>
                <w:color w:val="000000"/>
                <w:sz w:val="18"/>
                <w:szCs w:val="18"/>
              </w:rPr>
            </w:pPr>
            <w:r w:rsidRPr="00373DDB">
              <w:rPr>
                <w:rFonts w:ascii="Arial Narrow" w:hAnsi="Arial Narrow" w:cs="Arial"/>
                <w:bCs/>
                <w:color w:val="000000"/>
                <w:sz w:val="18"/>
                <w:szCs w:val="18"/>
              </w:rPr>
              <w:t>American Native</w:t>
            </w:r>
          </w:p>
        </w:tc>
        <w:tc>
          <w:tcPr>
            <w:tcW w:w="689" w:type="dxa"/>
            <w:noWrap/>
            <w:hideMark/>
          </w:tcPr>
          <w:p w14:paraId="0A63C7CA"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w:t>
            </w:r>
          </w:p>
        </w:tc>
        <w:tc>
          <w:tcPr>
            <w:tcW w:w="584" w:type="dxa"/>
            <w:tcBorders>
              <w:right w:val="single" w:sz="12" w:space="0" w:color="4B697A"/>
            </w:tcBorders>
            <w:hideMark/>
          </w:tcPr>
          <w:p w14:paraId="30F44B47"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0.1%</w:t>
            </w:r>
          </w:p>
        </w:tc>
        <w:tc>
          <w:tcPr>
            <w:tcW w:w="564" w:type="dxa"/>
            <w:tcBorders>
              <w:left w:val="single" w:sz="12" w:space="0" w:color="4B697A"/>
            </w:tcBorders>
            <w:hideMark/>
          </w:tcPr>
          <w:p w14:paraId="26F8B3CB"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w:t>
            </w:r>
          </w:p>
        </w:tc>
        <w:tc>
          <w:tcPr>
            <w:tcW w:w="598" w:type="dxa"/>
            <w:hideMark/>
          </w:tcPr>
          <w:p w14:paraId="2E1633C9"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0.4%</w:t>
            </w:r>
          </w:p>
        </w:tc>
        <w:tc>
          <w:tcPr>
            <w:tcW w:w="607" w:type="dxa"/>
            <w:hideMark/>
          </w:tcPr>
          <w:p w14:paraId="24CD72F9"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17" w:type="dxa"/>
            <w:hideMark/>
          </w:tcPr>
          <w:p w14:paraId="78C082D6"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07" w:type="dxa"/>
            <w:hideMark/>
          </w:tcPr>
          <w:p w14:paraId="0C68376B"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17" w:type="dxa"/>
            <w:hideMark/>
          </w:tcPr>
          <w:p w14:paraId="1522B819"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577" w:type="dxa"/>
            <w:hideMark/>
          </w:tcPr>
          <w:p w14:paraId="6FFD61B5"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07" w:type="dxa"/>
            <w:hideMark/>
          </w:tcPr>
          <w:p w14:paraId="669A59A8"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07" w:type="dxa"/>
            <w:hideMark/>
          </w:tcPr>
          <w:p w14:paraId="4A6E7A71"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07" w:type="dxa"/>
            <w:hideMark/>
          </w:tcPr>
          <w:p w14:paraId="0B5C16EC"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r>
      <w:tr w:rsidR="00355112" w:rsidRPr="00373DDB" w14:paraId="0E78FB14" w14:textId="77777777" w:rsidTr="00F327B8">
        <w:trPr>
          <w:cnfStyle w:val="000000010000" w:firstRow="0" w:lastRow="0" w:firstColumn="0" w:lastColumn="0" w:oddVBand="0" w:evenVBand="0" w:oddHBand="0" w:evenHBand="1" w:firstRowFirstColumn="0" w:firstRowLastColumn="0" w:lastRowFirstColumn="0" w:lastRowLastColumn="0"/>
          <w:cantSplit/>
        </w:trPr>
        <w:tc>
          <w:tcPr>
            <w:tcW w:w="2079" w:type="dxa"/>
            <w:shd w:val="clear" w:color="auto" w:fill="4B697A"/>
            <w:noWrap/>
          </w:tcPr>
          <w:p w14:paraId="708811AF" w14:textId="77777777" w:rsidR="00355112" w:rsidRPr="00373DDB" w:rsidRDefault="00355112" w:rsidP="00F327B8">
            <w:pPr>
              <w:spacing w:before="20" w:after="20" w:line="264" w:lineRule="auto"/>
              <w:rPr>
                <w:rFonts w:ascii="Arial Narrow" w:hAnsi="Arial Narrow" w:cs="Arial"/>
                <w:b/>
                <w:color w:val="F8F8F8"/>
                <w:sz w:val="18"/>
                <w:szCs w:val="18"/>
              </w:rPr>
            </w:pPr>
            <w:r w:rsidRPr="00373DDB">
              <w:rPr>
                <w:rFonts w:ascii="Arial Narrow" w:hAnsi="Arial Narrow" w:cs="Arial"/>
                <w:b/>
                <w:color w:val="F8F8F8"/>
                <w:sz w:val="18"/>
                <w:szCs w:val="18"/>
              </w:rPr>
              <w:t>Primary Home Language</w:t>
            </w:r>
          </w:p>
        </w:tc>
        <w:tc>
          <w:tcPr>
            <w:tcW w:w="689" w:type="dxa"/>
            <w:shd w:val="clear" w:color="auto" w:fill="4B697A"/>
            <w:noWrap/>
          </w:tcPr>
          <w:p w14:paraId="2F1B474F"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584" w:type="dxa"/>
            <w:tcBorders>
              <w:right w:val="single" w:sz="12" w:space="0" w:color="4B697A"/>
            </w:tcBorders>
            <w:shd w:val="clear" w:color="auto" w:fill="4B697A"/>
          </w:tcPr>
          <w:p w14:paraId="448B685B"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564" w:type="dxa"/>
            <w:tcBorders>
              <w:left w:val="single" w:sz="12" w:space="0" w:color="4B697A"/>
            </w:tcBorders>
            <w:shd w:val="clear" w:color="auto" w:fill="4B697A"/>
          </w:tcPr>
          <w:p w14:paraId="332F4FEA"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598" w:type="dxa"/>
            <w:shd w:val="clear" w:color="auto" w:fill="4B697A"/>
          </w:tcPr>
          <w:p w14:paraId="39198A37"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07" w:type="dxa"/>
            <w:shd w:val="clear" w:color="auto" w:fill="4B697A"/>
          </w:tcPr>
          <w:p w14:paraId="23D84164"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17" w:type="dxa"/>
            <w:shd w:val="clear" w:color="auto" w:fill="4B697A"/>
          </w:tcPr>
          <w:p w14:paraId="3A5151E6"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07" w:type="dxa"/>
            <w:shd w:val="clear" w:color="auto" w:fill="4B697A"/>
          </w:tcPr>
          <w:p w14:paraId="5CBFC3B6"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17" w:type="dxa"/>
            <w:shd w:val="clear" w:color="auto" w:fill="4B697A"/>
          </w:tcPr>
          <w:p w14:paraId="43C4112E"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577" w:type="dxa"/>
            <w:shd w:val="clear" w:color="auto" w:fill="4B697A"/>
          </w:tcPr>
          <w:p w14:paraId="53D3F969"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07" w:type="dxa"/>
            <w:shd w:val="clear" w:color="auto" w:fill="4B697A"/>
          </w:tcPr>
          <w:p w14:paraId="061419F9"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07" w:type="dxa"/>
            <w:shd w:val="clear" w:color="auto" w:fill="4B697A"/>
          </w:tcPr>
          <w:p w14:paraId="4C351D5A" w14:textId="77777777" w:rsidR="00355112" w:rsidRPr="00373DDB" w:rsidRDefault="00355112" w:rsidP="00F327B8">
            <w:pPr>
              <w:spacing w:before="20" w:after="20" w:line="264" w:lineRule="auto"/>
              <w:rPr>
                <w:rFonts w:ascii="Arial Narrow" w:hAnsi="Arial Narrow" w:cs="Arial"/>
                <w:b/>
                <w:color w:val="F8F8F8"/>
                <w:sz w:val="18"/>
                <w:szCs w:val="18"/>
              </w:rPr>
            </w:pPr>
          </w:p>
        </w:tc>
        <w:tc>
          <w:tcPr>
            <w:tcW w:w="607" w:type="dxa"/>
            <w:shd w:val="clear" w:color="auto" w:fill="4B697A"/>
          </w:tcPr>
          <w:p w14:paraId="2CB3F2DE" w14:textId="77777777" w:rsidR="00355112" w:rsidRPr="00373DDB" w:rsidRDefault="00355112" w:rsidP="00F327B8">
            <w:pPr>
              <w:spacing w:before="20" w:after="20" w:line="264" w:lineRule="auto"/>
              <w:rPr>
                <w:rFonts w:ascii="Arial Narrow" w:hAnsi="Arial Narrow" w:cs="Arial"/>
                <w:b/>
                <w:color w:val="F8F8F8"/>
                <w:sz w:val="18"/>
                <w:szCs w:val="18"/>
              </w:rPr>
            </w:pPr>
          </w:p>
        </w:tc>
      </w:tr>
      <w:tr w:rsidR="00355112" w:rsidRPr="00373DDB" w14:paraId="5FC387D4" w14:textId="77777777" w:rsidTr="00F327B8">
        <w:trPr>
          <w:cantSplit/>
        </w:trPr>
        <w:tc>
          <w:tcPr>
            <w:tcW w:w="2079" w:type="dxa"/>
            <w:noWrap/>
            <w:hideMark/>
          </w:tcPr>
          <w:p w14:paraId="5244EC3B" w14:textId="77777777" w:rsidR="00355112" w:rsidRPr="00373DDB" w:rsidRDefault="00355112" w:rsidP="00F327B8">
            <w:pPr>
              <w:spacing w:before="20" w:after="20" w:line="264" w:lineRule="auto"/>
              <w:rPr>
                <w:rFonts w:ascii="Arial Narrow" w:hAnsi="Arial Narrow" w:cs="Arial"/>
                <w:bCs/>
                <w:color w:val="000000"/>
                <w:sz w:val="18"/>
                <w:szCs w:val="18"/>
              </w:rPr>
            </w:pPr>
            <w:r w:rsidRPr="00373DDB">
              <w:rPr>
                <w:rFonts w:ascii="Arial Narrow" w:hAnsi="Arial Narrow" w:cs="Arial"/>
                <w:bCs/>
                <w:color w:val="000000"/>
                <w:sz w:val="18"/>
                <w:szCs w:val="18"/>
              </w:rPr>
              <w:t>English</w:t>
            </w:r>
          </w:p>
        </w:tc>
        <w:tc>
          <w:tcPr>
            <w:tcW w:w="689" w:type="dxa"/>
            <w:noWrap/>
            <w:hideMark/>
          </w:tcPr>
          <w:p w14:paraId="39277597"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516</w:t>
            </w:r>
          </w:p>
        </w:tc>
        <w:tc>
          <w:tcPr>
            <w:tcW w:w="584" w:type="dxa"/>
            <w:tcBorders>
              <w:right w:val="single" w:sz="12" w:space="0" w:color="4B697A"/>
            </w:tcBorders>
            <w:hideMark/>
          </w:tcPr>
          <w:p w14:paraId="39D6F9BF"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60%</w:t>
            </w:r>
          </w:p>
        </w:tc>
        <w:tc>
          <w:tcPr>
            <w:tcW w:w="564" w:type="dxa"/>
            <w:tcBorders>
              <w:left w:val="single" w:sz="12" w:space="0" w:color="4B697A"/>
            </w:tcBorders>
            <w:hideMark/>
          </w:tcPr>
          <w:p w14:paraId="0737F0B4"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204</w:t>
            </w:r>
          </w:p>
        </w:tc>
        <w:tc>
          <w:tcPr>
            <w:tcW w:w="598" w:type="dxa"/>
            <w:hideMark/>
          </w:tcPr>
          <w:p w14:paraId="0819D47A"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73%</w:t>
            </w:r>
          </w:p>
        </w:tc>
        <w:tc>
          <w:tcPr>
            <w:tcW w:w="607" w:type="dxa"/>
            <w:hideMark/>
          </w:tcPr>
          <w:p w14:paraId="61F910CE"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84</w:t>
            </w:r>
          </w:p>
        </w:tc>
        <w:tc>
          <w:tcPr>
            <w:tcW w:w="617" w:type="dxa"/>
            <w:hideMark/>
          </w:tcPr>
          <w:p w14:paraId="2B06896D"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81%</w:t>
            </w:r>
          </w:p>
        </w:tc>
        <w:tc>
          <w:tcPr>
            <w:tcW w:w="607" w:type="dxa"/>
            <w:hideMark/>
          </w:tcPr>
          <w:p w14:paraId="34D2E53A"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38</w:t>
            </w:r>
          </w:p>
        </w:tc>
        <w:tc>
          <w:tcPr>
            <w:tcW w:w="617" w:type="dxa"/>
            <w:hideMark/>
          </w:tcPr>
          <w:p w14:paraId="19B0B89D"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27%</w:t>
            </w:r>
          </w:p>
        </w:tc>
        <w:tc>
          <w:tcPr>
            <w:tcW w:w="577" w:type="dxa"/>
            <w:hideMark/>
          </w:tcPr>
          <w:p w14:paraId="2BA73102"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86</w:t>
            </w:r>
          </w:p>
        </w:tc>
        <w:tc>
          <w:tcPr>
            <w:tcW w:w="607" w:type="dxa"/>
            <w:hideMark/>
          </w:tcPr>
          <w:p w14:paraId="480FE8A0"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54%</w:t>
            </w:r>
          </w:p>
        </w:tc>
        <w:tc>
          <w:tcPr>
            <w:tcW w:w="607" w:type="dxa"/>
            <w:hideMark/>
          </w:tcPr>
          <w:p w14:paraId="255C263B"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w:t>
            </w:r>
            <w:r>
              <w:rPr>
                <w:rFonts w:ascii="Arial Narrow" w:hAnsi="Arial Narrow" w:cs="Arial"/>
                <w:bCs/>
                <w:color w:val="000000"/>
                <w:sz w:val="18"/>
                <w:szCs w:val="18"/>
              </w:rPr>
              <w:t>58</w:t>
            </w:r>
          </w:p>
        </w:tc>
        <w:tc>
          <w:tcPr>
            <w:tcW w:w="607" w:type="dxa"/>
            <w:hideMark/>
          </w:tcPr>
          <w:p w14:paraId="5B3372AF"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Pr>
                <w:rFonts w:ascii="Arial Narrow" w:hAnsi="Arial Narrow" w:cs="Arial"/>
                <w:bCs/>
                <w:color w:val="000000"/>
                <w:sz w:val="18"/>
                <w:szCs w:val="18"/>
              </w:rPr>
              <w:t>84</w:t>
            </w:r>
            <w:r w:rsidRPr="00373DDB">
              <w:rPr>
                <w:rFonts w:ascii="Arial Narrow" w:hAnsi="Arial Narrow" w:cs="Arial"/>
                <w:bCs/>
                <w:color w:val="000000"/>
                <w:sz w:val="18"/>
                <w:szCs w:val="18"/>
              </w:rPr>
              <w:t>%</w:t>
            </w:r>
          </w:p>
        </w:tc>
      </w:tr>
      <w:tr w:rsidR="00355112" w:rsidRPr="00373DDB" w14:paraId="3845C816" w14:textId="77777777" w:rsidTr="00F327B8">
        <w:trPr>
          <w:cnfStyle w:val="000000010000" w:firstRow="0" w:lastRow="0" w:firstColumn="0" w:lastColumn="0" w:oddVBand="0" w:evenVBand="0" w:oddHBand="0" w:evenHBand="1" w:firstRowFirstColumn="0" w:firstRowLastColumn="0" w:lastRowFirstColumn="0" w:lastRowLastColumn="0"/>
          <w:cantSplit/>
        </w:trPr>
        <w:tc>
          <w:tcPr>
            <w:tcW w:w="2079" w:type="dxa"/>
            <w:noWrap/>
            <w:hideMark/>
          </w:tcPr>
          <w:p w14:paraId="6B3EAB33" w14:textId="77777777" w:rsidR="00355112" w:rsidRPr="00373DDB" w:rsidRDefault="00355112" w:rsidP="00F327B8">
            <w:pPr>
              <w:spacing w:before="20" w:after="20" w:line="264" w:lineRule="auto"/>
              <w:rPr>
                <w:rFonts w:ascii="Arial Narrow" w:hAnsi="Arial Narrow" w:cs="Arial"/>
                <w:bCs/>
                <w:color w:val="000000"/>
                <w:sz w:val="18"/>
                <w:szCs w:val="18"/>
              </w:rPr>
            </w:pPr>
            <w:r w:rsidRPr="00373DDB">
              <w:rPr>
                <w:rFonts w:ascii="Arial Narrow" w:hAnsi="Arial Narrow" w:cs="Arial"/>
                <w:bCs/>
                <w:color w:val="000000"/>
                <w:sz w:val="18"/>
                <w:szCs w:val="18"/>
              </w:rPr>
              <w:t>Spanish</w:t>
            </w:r>
          </w:p>
        </w:tc>
        <w:tc>
          <w:tcPr>
            <w:tcW w:w="689" w:type="dxa"/>
            <w:noWrap/>
            <w:hideMark/>
          </w:tcPr>
          <w:p w14:paraId="5E3AC5E7"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249</w:t>
            </w:r>
          </w:p>
        </w:tc>
        <w:tc>
          <w:tcPr>
            <w:tcW w:w="584" w:type="dxa"/>
            <w:tcBorders>
              <w:right w:val="single" w:sz="12" w:space="0" w:color="4B697A"/>
            </w:tcBorders>
            <w:hideMark/>
          </w:tcPr>
          <w:p w14:paraId="0FC70ADC"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29%</w:t>
            </w:r>
          </w:p>
        </w:tc>
        <w:tc>
          <w:tcPr>
            <w:tcW w:w="564" w:type="dxa"/>
            <w:tcBorders>
              <w:left w:val="single" w:sz="12" w:space="0" w:color="4B697A"/>
            </w:tcBorders>
            <w:hideMark/>
          </w:tcPr>
          <w:p w14:paraId="61F84887"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56</w:t>
            </w:r>
          </w:p>
        </w:tc>
        <w:tc>
          <w:tcPr>
            <w:tcW w:w="598" w:type="dxa"/>
            <w:hideMark/>
          </w:tcPr>
          <w:p w14:paraId="0D033C23"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20%</w:t>
            </w:r>
          </w:p>
        </w:tc>
        <w:tc>
          <w:tcPr>
            <w:tcW w:w="607" w:type="dxa"/>
            <w:hideMark/>
          </w:tcPr>
          <w:p w14:paraId="5026BD11"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20</w:t>
            </w:r>
          </w:p>
        </w:tc>
        <w:tc>
          <w:tcPr>
            <w:tcW w:w="617" w:type="dxa"/>
            <w:hideMark/>
          </w:tcPr>
          <w:p w14:paraId="79301169"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19%</w:t>
            </w:r>
          </w:p>
        </w:tc>
        <w:tc>
          <w:tcPr>
            <w:tcW w:w="607" w:type="dxa"/>
            <w:hideMark/>
          </w:tcPr>
          <w:p w14:paraId="4418D9FD"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104</w:t>
            </w:r>
          </w:p>
        </w:tc>
        <w:tc>
          <w:tcPr>
            <w:tcW w:w="617" w:type="dxa"/>
            <w:hideMark/>
          </w:tcPr>
          <w:p w14:paraId="086F87AB"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73%</w:t>
            </w:r>
          </w:p>
        </w:tc>
        <w:tc>
          <w:tcPr>
            <w:tcW w:w="577" w:type="dxa"/>
            <w:hideMark/>
          </w:tcPr>
          <w:p w14:paraId="39B46CE9"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31</w:t>
            </w:r>
          </w:p>
        </w:tc>
        <w:tc>
          <w:tcPr>
            <w:tcW w:w="607" w:type="dxa"/>
            <w:hideMark/>
          </w:tcPr>
          <w:p w14:paraId="59C2EC8D"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20%</w:t>
            </w:r>
          </w:p>
        </w:tc>
        <w:tc>
          <w:tcPr>
            <w:tcW w:w="607" w:type="dxa"/>
            <w:hideMark/>
          </w:tcPr>
          <w:p w14:paraId="25F9C91F"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38</w:t>
            </w:r>
          </w:p>
        </w:tc>
        <w:tc>
          <w:tcPr>
            <w:tcW w:w="607" w:type="dxa"/>
            <w:hideMark/>
          </w:tcPr>
          <w:p w14:paraId="7AA57350"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28%</w:t>
            </w:r>
          </w:p>
        </w:tc>
      </w:tr>
      <w:tr w:rsidR="00355112" w:rsidRPr="00373DDB" w14:paraId="333885E2" w14:textId="77777777" w:rsidTr="00F327B8">
        <w:trPr>
          <w:cantSplit/>
        </w:trPr>
        <w:tc>
          <w:tcPr>
            <w:tcW w:w="2079" w:type="dxa"/>
            <w:noWrap/>
            <w:hideMark/>
          </w:tcPr>
          <w:p w14:paraId="6819CFED" w14:textId="77777777" w:rsidR="00355112" w:rsidRPr="00373DDB" w:rsidRDefault="00355112" w:rsidP="00F327B8">
            <w:pPr>
              <w:spacing w:before="20" w:after="20" w:line="264" w:lineRule="auto"/>
              <w:rPr>
                <w:rFonts w:ascii="Arial Narrow" w:hAnsi="Arial Narrow" w:cs="Arial"/>
                <w:bCs/>
                <w:color w:val="000000"/>
                <w:sz w:val="18"/>
                <w:szCs w:val="18"/>
              </w:rPr>
            </w:pPr>
            <w:r>
              <w:rPr>
                <w:rFonts w:ascii="Arial Narrow" w:hAnsi="Arial Narrow" w:cs="Arial"/>
                <w:bCs/>
                <w:color w:val="000000"/>
                <w:sz w:val="18"/>
                <w:szCs w:val="18"/>
              </w:rPr>
              <w:t xml:space="preserve">Haitian - </w:t>
            </w:r>
            <w:r w:rsidRPr="00373DDB">
              <w:rPr>
                <w:rFonts w:ascii="Arial Narrow" w:hAnsi="Arial Narrow" w:cs="Arial"/>
                <w:bCs/>
                <w:color w:val="000000"/>
                <w:sz w:val="18"/>
                <w:szCs w:val="18"/>
              </w:rPr>
              <w:t>Creole</w:t>
            </w:r>
          </w:p>
        </w:tc>
        <w:tc>
          <w:tcPr>
            <w:tcW w:w="689" w:type="dxa"/>
            <w:noWrap/>
            <w:hideMark/>
          </w:tcPr>
          <w:p w14:paraId="414AB26E"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19</w:t>
            </w:r>
          </w:p>
        </w:tc>
        <w:tc>
          <w:tcPr>
            <w:tcW w:w="584" w:type="dxa"/>
            <w:tcBorders>
              <w:right w:val="single" w:sz="12" w:space="0" w:color="4B697A"/>
            </w:tcBorders>
            <w:hideMark/>
          </w:tcPr>
          <w:p w14:paraId="69ABFF0C"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w:t>
            </w:r>
          </w:p>
        </w:tc>
        <w:tc>
          <w:tcPr>
            <w:tcW w:w="564" w:type="dxa"/>
            <w:tcBorders>
              <w:left w:val="single" w:sz="12" w:space="0" w:color="4B697A"/>
            </w:tcBorders>
            <w:hideMark/>
          </w:tcPr>
          <w:p w14:paraId="06646E71"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17</w:t>
            </w:r>
          </w:p>
        </w:tc>
        <w:tc>
          <w:tcPr>
            <w:tcW w:w="598" w:type="dxa"/>
            <w:hideMark/>
          </w:tcPr>
          <w:p w14:paraId="55ED9AEC"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6%</w:t>
            </w:r>
          </w:p>
        </w:tc>
        <w:tc>
          <w:tcPr>
            <w:tcW w:w="607" w:type="dxa"/>
            <w:hideMark/>
          </w:tcPr>
          <w:p w14:paraId="175D4094"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17" w:type="dxa"/>
            <w:hideMark/>
          </w:tcPr>
          <w:p w14:paraId="6F83365E"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07" w:type="dxa"/>
            <w:hideMark/>
          </w:tcPr>
          <w:p w14:paraId="17C9B4BA"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1</w:t>
            </w:r>
          </w:p>
        </w:tc>
        <w:tc>
          <w:tcPr>
            <w:tcW w:w="617" w:type="dxa"/>
            <w:hideMark/>
          </w:tcPr>
          <w:p w14:paraId="302711B9"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0.7%</w:t>
            </w:r>
          </w:p>
        </w:tc>
        <w:tc>
          <w:tcPr>
            <w:tcW w:w="577" w:type="dxa"/>
            <w:hideMark/>
          </w:tcPr>
          <w:p w14:paraId="65DFAAFD"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07" w:type="dxa"/>
            <w:hideMark/>
          </w:tcPr>
          <w:p w14:paraId="50AFA25F"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07" w:type="dxa"/>
            <w:hideMark/>
          </w:tcPr>
          <w:p w14:paraId="7CF4F704"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Pr>
                <w:rFonts w:ascii="Arial Narrow" w:hAnsi="Arial Narrow" w:cs="Arial"/>
                <w:bCs/>
                <w:color w:val="000000"/>
                <w:sz w:val="18"/>
                <w:szCs w:val="18"/>
              </w:rPr>
              <w:t>0</w:t>
            </w:r>
          </w:p>
        </w:tc>
        <w:tc>
          <w:tcPr>
            <w:tcW w:w="607" w:type="dxa"/>
            <w:hideMark/>
          </w:tcPr>
          <w:p w14:paraId="5CB552DB"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Pr>
                <w:rFonts w:ascii="Arial Narrow" w:hAnsi="Arial Narrow" w:cs="Arial"/>
                <w:bCs/>
                <w:color w:val="000000"/>
                <w:sz w:val="18"/>
                <w:szCs w:val="18"/>
              </w:rPr>
              <w:t>0</w:t>
            </w:r>
            <w:r w:rsidRPr="00373DDB">
              <w:rPr>
                <w:rFonts w:ascii="Arial Narrow" w:hAnsi="Arial Narrow" w:cs="Arial"/>
                <w:bCs/>
                <w:color w:val="000000"/>
                <w:sz w:val="18"/>
                <w:szCs w:val="18"/>
              </w:rPr>
              <w:t>%</w:t>
            </w:r>
          </w:p>
        </w:tc>
      </w:tr>
      <w:tr w:rsidR="00355112" w:rsidRPr="00373DDB" w14:paraId="2D2849C5" w14:textId="77777777" w:rsidTr="00F327B8">
        <w:trPr>
          <w:cnfStyle w:val="000000010000" w:firstRow="0" w:lastRow="0" w:firstColumn="0" w:lastColumn="0" w:oddVBand="0" w:evenVBand="0" w:oddHBand="0" w:evenHBand="1" w:firstRowFirstColumn="0" w:firstRowLastColumn="0" w:lastRowFirstColumn="0" w:lastRowLastColumn="0"/>
          <w:cantSplit/>
        </w:trPr>
        <w:tc>
          <w:tcPr>
            <w:tcW w:w="2079" w:type="dxa"/>
            <w:noWrap/>
            <w:hideMark/>
          </w:tcPr>
          <w:p w14:paraId="1A74FF47" w14:textId="77777777" w:rsidR="00355112" w:rsidRPr="00373DDB" w:rsidRDefault="00355112" w:rsidP="00F327B8">
            <w:pPr>
              <w:spacing w:before="20" w:after="20" w:line="264" w:lineRule="auto"/>
              <w:rPr>
                <w:rFonts w:ascii="Arial Narrow" w:hAnsi="Arial Narrow" w:cs="Arial"/>
                <w:bCs/>
                <w:color w:val="000000"/>
                <w:sz w:val="18"/>
                <w:szCs w:val="18"/>
                <w:vertAlign w:val="superscript"/>
              </w:rPr>
            </w:pPr>
            <w:proofErr w:type="spellStart"/>
            <w:r w:rsidRPr="00373DDB">
              <w:rPr>
                <w:rFonts w:ascii="Arial Narrow" w:hAnsi="Arial Narrow" w:cs="Arial"/>
                <w:bCs/>
                <w:color w:val="000000"/>
                <w:sz w:val="18"/>
                <w:szCs w:val="18"/>
              </w:rPr>
              <w:t>Other</w:t>
            </w:r>
            <w:r w:rsidRPr="00373DDB">
              <w:rPr>
                <w:rFonts w:ascii="Arial Narrow" w:hAnsi="Arial Narrow" w:cs="Arial"/>
                <w:bCs/>
                <w:color w:val="000000"/>
                <w:sz w:val="18"/>
                <w:szCs w:val="18"/>
                <w:vertAlign w:val="superscript"/>
              </w:rPr>
              <w:t>a</w:t>
            </w:r>
            <w:proofErr w:type="spellEnd"/>
          </w:p>
        </w:tc>
        <w:tc>
          <w:tcPr>
            <w:tcW w:w="689" w:type="dxa"/>
            <w:noWrap/>
            <w:hideMark/>
          </w:tcPr>
          <w:p w14:paraId="157207E9"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71</w:t>
            </w:r>
          </w:p>
        </w:tc>
        <w:tc>
          <w:tcPr>
            <w:tcW w:w="584" w:type="dxa"/>
            <w:tcBorders>
              <w:right w:val="single" w:sz="12" w:space="0" w:color="4B697A"/>
            </w:tcBorders>
            <w:hideMark/>
          </w:tcPr>
          <w:p w14:paraId="52A62333"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8%</w:t>
            </w:r>
          </w:p>
        </w:tc>
        <w:tc>
          <w:tcPr>
            <w:tcW w:w="564" w:type="dxa"/>
            <w:tcBorders>
              <w:left w:val="single" w:sz="12" w:space="0" w:color="4B697A"/>
              <w:bottom w:val="single" w:sz="4" w:space="0" w:color="4B697A"/>
            </w:tcBorders>
            <w:hideMark/>
          </w:tcPr>
          <w:p w14:paraId="4AA14626"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26</w:t>
            </w:r>
          </w:p>
        </w:tc>
        <w:tc>
          <w:tcPr>
            <w:tcW w:w="598" w:type="dxa"/>
            <w:hideMark/>
          </w:tcPr>
          <w:p w14:paraId="280D0BDA"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9%</w:t>
            </w:r>
          </w:p>
        </w:tc>
        <w:tc>
          <w:tcPr>
            <w:tcW w:w="607" w:type="dxa"/>
            <w:hideMark/>
          </w:tcPr>
          <w:p w14:paraId="178C8131"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w:t>
            </w:r>
          </w:p>
        </w:tc>
        <w:tc>
          <w:tcPr>
            <w:tcW w:w="617" w:type="dxa"/>
            <w:hideMark/>
          </w:tcPr>
          <w:p w14:paraId="0444E3DC"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w:t>
            </w:r>
          </w:p>
        </w:tc>
        <w:tc>
          <w:tcPr>
            <w:tcW w:w="607" w:type="dxa"/>
            <w:hideMark/>
          </w:tcPr>
          <w:p w14:paraId="61E62518"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617" w:type="dxa"/>
            <w:hideMark/>
          </w:tcPr>
          <w:p w14:paraId="5529F012"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0%</w:t>
            </w:r>
          </w:p>
        </w:tc>
        <w:tc>
          <w:tcPr>
            <w:tcW w:w="577" w:type="dxa"/>
            <w:hideMark/>
          </w:tcPr>
          <w:p w14:paraId="44EBC106"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41</w:t>
            </w:r>
          </w:p>
        </w:tc>
        <w:tc>
          <w:tcPr>
            <w:tcW w:w="607" w:type="dxa"/>
            <w:hideMark/>
          </w:tcPr>
          <w:p w14:paraId="2358DEE5"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26%</w:t>
            </w:r>
          </w:p>
        </w:tc>
        <w:tc>
          <w:tcPr>
            <w:tcW w:w="607" w:type="dxa"/>
            <w:hideMark/>
          </w:tcPr>
          <w:p w14:paraId="236BB742"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w:t>
            </w:r>
          </w:p>
        </w:tc>
        <w:tc>
          <w:tcPr>
            <w:tcW w:w="607" w:type="dxa"/>
            <w:hideMark/>
          </w:tcPr>
          <w:p w14:paraId="76621E10" w14:textId="77777777" w:rsidR="00355112" w:rsidRPr="00373DDB" w:rsidRDefault="00355112" w:rsidP="00F327B8">
            <w:pPr>
              <w:spacing w:before="20" w:after="20" w:line="264" w:lineRule="auto"/>
              <w:jc w:val="right"/>
              <w:rPr>
                <w:rFonts w:ascii="Arial Narrow" w:hAnsi="Arial Narrow" w:cs="Arial"/>
                <w:bCs/>
                <w:color w:val="000000"/>
                <w:sz w:val="18"/>
                <w:szCs w:val="18"/>
              </w:rPr>
            </w:pPr>
            <w:r w:rsidRPr="00373DDB">
              <w:rPr>
                <w:rFonts w:ascii="Arial Narrow" w:hAnsi="Arial Narrow" w:cs="Arial"/>
                <w:bCs/>
                <w:color w:val="000000"/>
                <w:sz w:val="18"/>
                <w:szCs w:val="18"/>
              </w:rPr>
              <w:t>2%</w:t>
            </w:r>
          </w:p>
        </w:tc>
      </w:tr>
    </w:tbl>
    <w:p w14:paraId="7DA2CB14" w14:textId="77777777" w:rsidR="00355112" w:rsidRPr="00373DDB" w:rsidRDefault="00355112" w:rsidP="00355112">
      <w:pPr>
        <w:spacing w:after="240" w:line="264" w:lineRule="auto"/>
        <w:contextualSpacing/>
        <w:rPr>
          <w:rFonts w:ascii="Arial Narrow" w:eastAsia="Times New Roman" w:hAnsi="Arial Narrow" w:cs="Arial"/>
        </w:rPr>
      </w:pPr>
      <w:proofErr w:type="spellStart"/>
      <w:r w:rsidRPr="00373DDB">
        <w:rPr>
          <w:rFonts w:ascii="Arial Narrow" w:eastAsia="Times New Roman" w:hAnsi="Arial Narrow" w:cs="Arial"/>
          <w:sz w:val="18"/>
          <w:szCs w:val="20"/>
          <w:vertAlign w:val="superscript"/>
        </w:rPr>
        <w:t>a</w:t>
      </w:r>
      <w:r w:rsidRPr="00373DDB">
        <w:rPr>
          <w:rFonts w:ascii="Arial Narrow" w:eastAsia="Times New Roman" w:hAnsi="Arial Narrow" w:cs="Arial"/>
          <w:sz w:val="18"/>
          <w:szCs w:val="20"/>
        </w:rPr>
        <w:t>Other</w:t>
      </w:r>
      <w:proofErr w:type="spellEnd"/>
      <w:r w:rsidRPr="00373DDB">
        <w:rPr>
          <w:rFonts w:ascii="Arial Narrow" w:eastAsia="Times New Roman" w:hAnsi="Arial Narrow" w:cs="Arial"/>
          <w:sz w:val="18"/>
          <w:szCs w:val="20"/>
        </w:rPr>
        <w:t xml:space="preserve"> common languages included Portuguese, Khmer, and Chinese; the most common other language was Portuguese.</w:t>
      </w:r>
    </w:p>
    <w:p w14:paraId="6955A72A" w14:textId="77777777" w:rsidR="00355112" w:rsidRPr="00373DDB" w:rsidRDefault="00355112" w:rsidP="00355112">
      <w:pPr>
        <w:spacing w:after="240" w:line="264" w:lineRule="auto"/>
        <w:contextualSpacing/>
        <w:rPr>
          <w:rFonts w:ascii="Arial Narrow" w:eastAsia="Times New Roman" w:hAnsi="Arial Narrow" w:cs="Arial"/>
          <w:sz w:val="18"/>
          <w:szCs w:val="20"/>
        </w:rPr>
      </w:pPr>
      <w:r w:rsidRPr="00373DDB">
        <w:rPr>
          <w:rFonts w:ascii="Arial Narrow" w:eastAsia="Times New Roman" w:hAnsi="Arial Narrow" w:cs="Arial"/>
          <w:b/>
          <w:sz w:val="18"/>
          <w:szCs w:val="20"/>
        </w:rPr>
        <w:t>Notes:</w:t>
      </w:r>
      <w:r w:rsidRPr="00373DDB">
        <w:rPr>
          <w:rFonts w:ascii="Arial Narrow" w:eastAsia="Times New Roman" w:hAnsi="Arial Narrow" w:cs="Arial"/>
          <w:sz w:val="18"/>
          <w:szCs w:val="20"/>
        </w:rPr>
        <w:t xml:space="preserve"> Percentages may not add up to 100 because numbers are rounded to the nearest whole, except when they are between 0 and 1%.</w:t>
      </w:r>
    </w:p>
    <w:p w14:paraId="0FFA8955" w14:textId="77777777" w:rsidR="00060DAD" w:rsidRDefault="00060DAD" w:rsidP="00060DAD">
      <w:pPr>
        <w:spacing w:after="0" w:line="240" w:lineRule="auto"/>
      </w:pPr>
    </w:p>
    <w:p w14:paraId="53C30D18" w14:textId="47A06912" w:rsidR="008D7353" w:rsidRDefault="005F0287" w:rsidP="00373DDB">
      <w:r>
        <w:t xml:space="preserve">At </w:t>
      </w:r>
      <w:r w:rsidR="004D70DC">
        <w:t xml:space="preserve">the same time, PEG programs </w:t>
      </w:r>
      <w:r>
        <w:t>report</w:t>
      </w:r>
      <w:r w:rsidR="004D70DC">
        <w:t>ed</w:t>
      </w:r>
      <w:r>
        <w:t xml:space="preserve"> some significant challenges in </w:t>
      </w:r>
      <w:r w:rsidR="009F612E">
        <w:t>recruiting</w:t>
      </w:r>
      <w:r>
        <w:t xml:space="preserve"> the "hard to reach" families that the PEG grant mandated they target.  </w:t>
      </w:r>
      <w:r w:rsidR="00B03DDB">
        <w:t>Filling the program with children</w:t>
      </w:r>
      <w:r>
        <w:t xml:space="preserve"> who had never </w:t>
      </w:r>
      <w:r w:rsidR="00B03DDB">
        <w:t>received any</w:t>
      </w:r>
      <w:r>
        <w:t xml:space="preserve"> formal early ed</w:t>
      </w:r>
      <w:r w:rsidR="008413FE">
        <w:t>ucation services was difficult</w:t>
      </w:r>
      <w:r>
        <w:t xml:space="preserve"> in three of the five communities</w:t>
      </w:r>
      <w:r w:rsidR="003B564A">
        <w:t>, as enrollment was slow</w:t>
      </w:r>
      <w:r>
        <w:t xml:space="preserve"> in H</w:t>
      </w:r>
      <w:r w:rsidR="003B564A">
        <w:t>olyoke, Springfield and Lowell. I</w:t>
      </w:r>
      <w:r>
        <w:t>n January, EEC made the decision to open enrollment to children with prior early education experience</w:t>
      </w:r>
      <w:r w:rsidR="003B564A">
        <w:t xml:space="preserve"> to fill </w:t>
      </w:r>
      <w:r w:rsidR="003B564A">
        <w:lastRenderedPageBreak/>
        <w:t>these classrooms</w:t>
      </w:r>
      <w:r>
        <w:t>.  Families were also of</w:t>
      </w:r>
      <w:r w:rsidR="00432D56">
        <w:t xml:space="preserve">ten transient; programs report they </w:t>
      </w:r>
      <w:r w:rsidR="00B03DDB">
        <w:t>frequently</w:t>
      </w:r>
      <w:r w:rsidR="00432D56">
        <w:t xml:space="preserve"> lost as many </w:t>
      </w:r>
      <w:r w:rsidR="00B03DDB">
        <w:t>children</w:t>
      </w:r>
      <w:r w:rsidR="00432D56">
        <w:t xml:space="preserve"> as they </w:t>
      </w:r>
      <w:r w:rsidR="00B03DDB">
        <w:t>enrolled</w:t>
      </w:r>
      <w:r w:rsidR="00432D56">
        <w:t xml:space="preserve"> in any given month</w:t>
      </w:r>
      <w:r>
        <w:t xml:space="preserve">.  Enrollment data submitted to EEC in May confirms this pattern.  </w:t>
      </w:r>
      <w:r w:rsidR="008A1082">
        <w:t xml:space="preserve">Only one community reported stable enrollment and four of the five never reached full capacity in the first year of operation.  </w:t>
      </w:r>
      <w:r w:rsidR="00355112">
        <w:t xml:space="preserve">EEC will continue to pay close attention to </w:t>
      </w:r>
      <w:r w:rsidR="003B564A">
        <w:t>the</w:t>
      </w:r>
      <w:r w:rsidR="00355112">
        <w:t xml:space="preserve"> challenges programs </w:t>
      </w:r>
      <w:r w:rsidR="003B564A">
        <w:t>report</w:t>
      </w:r>
      <w:r w:rsidR="00355112">
        <w:t xml:space="preserve"> in enrolling eligible children, but </w:t>
      </w:r>
      <w:r w:rsidR="003222E6">
        <w:t>began year 2 with the expectation that children with prior early education experience would remain ineligible in the four communities originally adhering to this requirement</w:t>
      </w:r>
      <w:r w:rsidR="00355112">
        <w:t>.</w:t>
      </w:r>
      <w:r w:rsidR="003222E6">
        <w:t xml:space="preserve">  Continued challenges with enrollment in two of these communities has since led to the decision to allow 20 percent of openings to be filled with children with prior preschool experience, as long as they were not enrolled in another program at the time of application to the PEG program.</w:t>
      </w:r>
      <w:r w:rsidR="00355112">
        <w:t xml:space="preserve"> </w:t>
      </w:r>
    </w:p>
    <w:p w14:paraId="7CDA44E1" w14:textId="77777777" w:rsidR="008D7353" w:rsidRDefault="008D7353" w:rsidP="00373DDB">
      <w:r>
        <w:t>Attendance was also a challenge, with absentee rates of 14 percent on average</w:t>
      </w:r>
      <w:r w:rsidR="00355112">
        <w:t xml:space="preserve"> across all communities</w:t>
      </w:r>
      <w:r>
        <w:t xml:space="preserve">.  </w:t>
      </w:r>
      <w:r w:rsidR="008413FE">
        <w:t>S</w:t>
      </w:r>
      <w:r>
        <w:t xml:space="preserve">ince the program runs year round, these numbers include </w:t>
      </w:r>
      <w:r w:rsidR="008413FE">
        <w:t xml:space="preserve">any </w:t>
      </w:r>
      <w:r>
        <w:t xml:space="preserve">vacations that families </w:t>
      </w:r>
      <w:r w:rsidR="008413FE">
        <w:t>chose</w:t>
      </w:r>
      <w:r>
        <w:t xml:space="preserve"> to take</w:t>
      </w:r>
      <w:r w:rsidR="003B564A">
        <w:t>; when two weeks of vacation were discounted, absentee rates fell to 8 percent</w:t>
      </w:r>
      <w:r>
        <w:t>.  In particular, attendance tended to drop during school vacation weeks, when families often opted to keep younger children home with older siblings.  In the summer, programs reported that these rates</w:t>
      </w:r>
      <w:r w:rsidR="003B564A">
        <w:t xml:space="preserve"> worsened, as many families cho</w:t>
      </w:r>
      <w:r>
        <w:t>se to take vacation during this time, or simply relaxed their efforts to get children to school every day.  Programs continue to message the importance of consistent attendance through communications from teachers and from family engagement staff</w:t>
      </w:r>
      <w:r w:rsidR="009F612E">
        <w:t xml:space="preserve"> and EEC plans </w:t>
      </w:r>
      <w:r w:rsidR="008413FE">
        <w:t>to monitor attendance closely</w:t>
      </w:r>
      <w:r w:rsidR="009F612E">
        <w:t xml:space="preserve"> in the second year</w:t>
      </w:r>
      <w:r>
        <w:t xml:space="preserve">. </w:t>
      </w:r>
    </w:p>
    <w:p w14:paraId="5C9172E8" w14:textId="77777777" w:rsidR="00373DDB" w:rsidRDefault="00016F21" w:rsidP="00016F21">
      <w:pPr>
        <w:pStyle w:val="Heading2"/>
      </w:pPr>
      <w:bookmarkStart w:id="23" w:name="_Toc467591100"/>
      <w:r>
        <w:t>Supports for Families</w:t>
      </w:r>
      <w:bookmarkEnd w:id="23"/>
    </w:p>
    <w:p w14:paraId="52F22232" w14:textId="77777777" w:rsidR="00F15025" w:rsidRDefault="00F15025" w:rsidP="00016F21">
      <w:pPr>
        <w:pStyle w:val="BodyText"/>
      </w:pPr>
      <w:r>
        <w:t xml:space="preserve">A primary requirement of the PEG funding </w:t>
      </w:r>
      <w:r w:rsidR="00F327B8">
        <w:t>was attention to efforts</w:t>
      </w:r>
      <w:r w:rsidR="009F612E">
        <w:t xml:space="preserve"> to engage with families</w:t>
      </w:r>
      <w:r w:rsidR="00F327B8">
        <w:t xml:space="preserve"> and </w:t>
      </w:r>
      <w:r w:rsidR="009F612E">
        <w:t>provide</w:t>
      </w:r>
      <w:r w:rsidR="00F327B8">
        <w:t xml:space="preserve"> comprehensive services</w:t>
      </w:r>
      <w:r>
        <w:t xml:space="preserve">.  </w:t>
      </w:r>
      <w:r w:rsidR="0094273E">
        <w:t>Although programs varied in the ways they provided these services,</w:t>
      </w:r>
      <w:r>
        <w:t xml:space="preserve"> the evidence from interviews, focus groups and surveys with parents, teac</w:t>
      </w:r>
      <w:r w:rsidR="00544858">
        <w:t>hers and administrators suggests</w:t>
      </w:r>
      <w:r>
        <w:t xml:space="preserve"> that programs were very successful at connecting with families and moderately successful at meeting families' needs</w:t>
      </w:r>
      <w:r w:rsidR="00A350B3">
        <w:t xml:space="preserve"> through comprehensive services</w:t>
      </w:r>
      <w:r>
        <w:t>.</w:t>
      </w:r>
    </w:p>
    <w:p w14:paraId="2E16B1EE" w14:textId="700015B1" w:rsidR="0094273E" w:rsidRDefault="004C7E3B" w:rsidP="0094273E">
      <w:pPr>
        <w:pStyle w:val="BodyText"/>
      </w:pPr>
      <w:r>
        <w:t>The majority of PEG centers (21 out of 28 centers</w:t>
      </w:r>
      <w:r w:rsidR="003B564A">
        <w:t xml:space="preserve"> - in Boston some smaller programs did not include this position</w:t>
      </w:r>
      <w:r>
        <w:t xml:space="preserve">) had a family </w:t>
      </w:r>
      <w:r w:rsidR="00A7347B">
        <w:t>support</w:t>
      </w:r>
      <w:r>
        <w:t xml:space="preserve"> coordinator who organized group parent engagement activities and provide</w:t>
      </w:r>
      <w:r w:rsidR="00A32F34">
        <w:t>d</w:t>
      </w:r>
      <w:r>
        <w:t xml:space="preserve"> case management to PEG families. The center-wide activities included family potlucks, field trips, holiday parties, outdoor activities and field trips, and multicultural nights. According to center directors, the majority of programs (17) held monthly parent events;</w:t>
      </w:r>
      <w:r w:rsidR="0094273E">
        <w:t xml:space="preserve"> although</w:t>
      </w:r>
      <w:r>
        <w:t xml:space="preserve"> in the other programs, parent activities were less frequent. Also, almost all centers (26) sent home a parent newsletter on a regular basis. About 70 percent of programs (19) had interpreters to help communicate with parents who spoke another language, either available at the site on a daily or weekly basis (7) or as needed (12).  </w:t>
      </w:r>
      <w:r w:rsidR="0094273E">
        <w:t xml:space="preserve">Teachers were also actively involved in efforts to connect with and communicate with families. A substantial majority of PEG lead teachers (87 percent) reported holding regularly scheduled parent-teacher conferences. Teachers generally were comfortable communicating with parents/guardians and maintaining home-school connections; over 80 percent of surveyed lead teachers felt very confident in their ability to speak with parents about student progress and behavior, communicate through paper classroom </w:t>
      </w:r>
      <w:r w:rsidR="0094273E">
        <w:lastRenderedPageBreak/>
        <w:t>newsletters, and describe classroom activities to parents. Slightly less than half of lead teachers (41%) reported involvement in making home visits, and were often accompanied by the family support coordinator</w:t>
      </w:r>
      <w:r w:rsidR="00162A2B">
        <w:t xml:space="preserve"> when they did visits</w:t>
      </w:r>
      <w:r w:rsidR="0094273E">
        <w:t>. In these centers, home visits were scheduled as often as a few times per year, while others reported conducting visits on an annual or as-needed basis. Home visits were designed to support connection building between teachers and families when conducted by the teacher, and as opportunities for case management work when conducted by the family support coordinator.</w:t>
      </w:r>
    </w:p>
    <w:p w14:paraId="37B4C22A" w14:textId="77777777" w:rsidR="00926A98" w:rsidRDefault="0094273E" w:rsidP="004C7E3B">
      <w:pPr>
        <w:pStyle w:val="BodyText"/>
      </w:pPr>
      <w:r>
        <w:t>In general, PEG programs' efforts to engage families appear to have been successful. Of center directors interviewed, 15 of 28 (54 percent) reported that more than three-quarters of PEG families were engaged in the program.</w:t>
      </w:r>
      <w:r w:rsidRPr="00926A98">
        <w:t xml:space="preserve"> </w:t>
      </w:r>
      <w:r>
        <w:t>Overwhelmingly, surveyed parents expressed broad satisfaction with the program. Nearly all parents (94 percent) indicated that they felt welcome at their children’s schools. Families also expressed satisfaction with the quality and intensity of their communication with teachers; 91 percent indicated that teachers kept them informed them about their child’s progress in school and 95 percent felt that teachers were interested in their children and cooperative with their families. The vast majority of PEG parents (89 percent) reported that they felt “very connected” or “somewhat connected” to the program</w:t>
      </w:r>
      <w:r w:rsidR="005342CB">
        <w:t>; none felt "very disconnected</w:t>
      </w:r>
      <w:r>
        <w:t>.</w:t>
      </w:r>
      <w:r w:rsidR="005342CB">
        <w:t>"</w:t>
      </w:r>
      <w:r>
        <w:t xml:space="preserve"> The level of perceived connection seemed to vary by center, ranging from centers where 90 percent of parents reported being very connected to centers where 66 percent of parents reported feeling very connected.  </w:t>
      </w:r>
    </w:p>
    <w:p w14:paraId="2C89A2C5" w14:textId="77777777" w:rsidR="00782F50" w:rsidRDefault="004C7E3B" w:rsidP="00782F50">
      <w:pPr>
        <w:pStyle w:val="BodyText"/>
      </w:pPr>
      <w:r>
        <w:t>All programs provided referrals to a variety of services (in additional to referrals for special education services), mostly targeting children’s needs, such as medical, dental and mental health services. Centers less frequently referred families to adult-focused services such as GED prep</w:t>
      </w:r>
      <w:r w:rsidR="00FA5158">
        <w:t>aration/adult literacy programs</w:t>
      </w:r>
      <w:r>
        <w:t xml:space="preserve"> or </w:t>
      </w:r>
      <w:r w:rsidRPr="00F26315">
        <w:t>i</w:t>
      </w:r>
      <w:r w:rsidR="00A350B3">
        <w:t>mmigration services</w:t>
      </w:r>
      <w:r w:rsidRPr="00F26315">
        <w:t>.</w:t>
      </w:r>
      <w:r>
        <w:t xml:space="preserve"> </w:t>
      </w:r>
      <w:r w:rsidR="00926A98">
        <w:t>While some centers appeared to have a clear system in place for identifying family needs and referring families to services, many centers provided less guidance and support, perhaps leading to mixed levels of parent satisfaction. About half of PEG centers (12 of 28) systematically collected relevant information on family needs using parent surveys/needs assessments. Most centers (24)</w:t>
      </w:r>
      <w:r w:rsidR="00A350B3">
        <w:t xml:space="preserve"> also</w:t>
      </w:r>
      <w:r w:rsidR="00926A98">
        <w:t xml:space="preserve"> collected information through more informal discussion with parents, at the time of enrollment and/or during the school year.</w:t>
      </w:r>
      <w:r w:rsidR="00782F50">
        <w:t xml:space="preserve"> The proportion of families within programs referred for comprehensive services varied by program. About half of PEG programs (12 of 28) programs reported that few families (10 percent or less) had received comprehensive services either directly from the PEG program or through referrals, and in five programs, the majority of parents (more than 75 percent) received services through the program. </w:t>
      </w:r>
    </w:p>
    <w:p w14:paraId="37362D6B" w14:textId="77777777" w:rsidR="004C7E3B" w:rsidRDefault="00782F50" w:rsidP="004C7E3B">
      <w:pPr>
        <w:pStyle w:val="BodyText"/>
      </w:pPr>
      <w:r>
        <w:t xml:space="preserve">Parents reported varying levels of agreement across </w:t>
      </w:r>
      <w:r w:rsidRPr="00F26315">
        <w:t>communities regarding the sufficiency of comprehensive</w:t>
      </w:r>
      <w:r>
        <w:t xml:space="preserve"> service referrals</w:t>
      </w:r>
      <w:r w:rsidRPr="00F26315">
        <w:t>.</w:t>
      </w:r>
      <w:r>
        <w:t xml:space="preserve">  Overall, 54 percent of parents "strongly agreed" that they were referred to services they needed (and 12 percent "agreed slightly"), while 9 percent "disagreed" slightly or strongly.  </w:t>
      </w:r>
      <w:r w:rsidRPr="00F26315">
        <w:t>Furthermore, a</w:t>
      </w:r>
      <w:r>
        <w:t xml:space="preserve"> significant proportion of parents (44 percent) reported that they had not received any comprehensive services through the PEG program.  The percent of parents who indicated agreement that they were referred to services they need</w:t>
      </w:r>
      <w:r w:rsidR="0094273E">
        <w:t>ed</w:t>
      </w:r>
      <w:r>
        <w:t xml:space="preserve"> (either strongly or slightly) ranged from 51 percent to 81 percent across the communities.</w:t>
      </w:r>
    </w:p>
    <w:p w14:paraId="34793125" w14:textId="0651D529" w:rsidR="00C27D4C" w:rsidRDefault="00D61FD5" w:rsidP="00926A98">
      <w:pPr>
        <w:pStyle w:val="BodyText"/>
      </w:pPr>
      <w:r>
        <w:lastRenderedPageBreak/>
        <w:t>In reflecting on the first year</w:t>
      </w:r>
      <w:r w:rsidR="00C27D4C">
        <w:t xml:space="preserve"> of impl</w:t>
      </w:r>
      <w:r>
        <w:t>ementation, all PEG communities</w:t>
      </w:r>
      <w:r w:rsidR="00C27D4C">
        <w:t xml:space="preserve"> noticed </w:t>
      </w:r>
      <w:r>
        <w:t xml:space="preserve">the </w:t>
      </w:r>
      <w:r w:rsidR="00C27D4C">
        <w:t>challenges they faced in fully understanding and addressing the</w:t>
      </w:r>
      <w:r>
        <w:t xml:space="preserve"> needs of families and children</w:t>
      </w:r>
      <w:r w:rsidR="00FA5158">
        <w:t>,</w:t>
      </w:r>
      <w:r>
        <w:t xml:space="preserve"> and committed themselves to addressing these issues in year 2.</w:t>
      </w:r>
      <w:r w:rsidR="00C27D4C">
        <w:t xml:space="preserve">  Program staff dedicated to working with families continue to be part of the budgets of each community. </w:t>
      </w:r>
      <w:r w:rsidR="00FB3942">
        <w:t xml:space="preserve"> These family engagement staff </w:t>
      </w:r>
      <w:r w:rsidR="00B5603B">
        <w:t>will continue to run</w:t>
      </w:r>
      <w:r w:rsidR="00FB3942">
        <w:t xml:space="preserve"> family events, </w:t>
      </w:r>
      <w:r w:rsidR="00B5603B">
        <w:t>help</w:t>
      </w:r>
      <w:r w:rsidR="00FB3942">
        <w:t xml:space="preserve"> with enrollment outreach efforts,</w:t>
      </w:r>
      <w:r w:rsidR="00FB3942" w:rsidRPr="00FB3942">
        <w:t xml:space="preserve"> </w:t>
      </w:r>
      <w:r w:rsidR="00B5603B">
        <w:t>conduct</w:t>
      </w:r>
      <w:r w:rsidR="00FB3942">
        <w:t xml:space="preserve"> home visits</w:t>
      </w:r>
      <w:r w:rsidR="00B5603B">
        <w:t xml:space="preserve"> and provide</w:t>
      </w:r>
      <w:r w:rsidR="00FB3942">
        <w:t xml:space="preserve"> case management and referrals to families.</w:t>
      </w:r>
      <w:r w:rsidR="00C27D4C">
        <w:t xml:space="preserve"> Supplementary staff have also been included in the budgets of many communities, including speech and occupational therapists hired by the school districts to consult with PEG teachers and behavioral support and mental health specialists hired by many programs work closely with teachers.</w:t>
      </w:r>
      <w:r w:rsidR="00A7006D">
        <w:t xml:space="preserve">  </w:t>
      </w:r>
    </w:p>
    <w:p w14:paraId="285F3907" w14:textId="77777777" w:rsidR="00A7006D" w:rsidRDefault="00A7006D" w:rsidP="00A7006D">
      <w:pPr>
        <w:pStyle w:val="Heading2"/>
      </w:pPr>
      <w:bookmarkStart w:id="24" w:name="_Toc467591101"/>
      <w:r>
        <w:t>Special Education Referrals</w:t>
      </w:r>
      <w:bookmarkEnd w:id="24"/>
    </w:p>
    <w:p w14:paraId="681B7A30" w14:textId="77777777" w:rsidR="00A7006D" w:rsidRDefault="00A7006D" w:rsidP="00A7006D">
      <w:pPr>
        <w:pStyle w:val="BodyText"/>
      </w:pPr>
      <w:r>
        <w:t>Coordinating special education referrals is an area of the grant where programs have faced more challenges.  The grant requires that PEG programs serve the same percentage of four year olds with</w:t>
      </w:r>
      <w:r w:rsidR="008153DA">
        <w:t xml:space="preserve"> special education needs</w:t>
      </w:r>
      <w:r>
        <w:t xml:space="preserve"> as the state average (6.9 percent in Massachusetts). However, in a context where strong efforts have been in place for years to identify and serve </w:t>
      </w:r>
      <w:r w:rsidR="00FA5158">
        <w:t>three and four year olds</w:t>
      </w:r>
      <w:r>
        <w:t xml:space="preserve"> with special needs through inclusive </w:t>
      </w:r>
      <w:r w:rsidR="00FA5158">
        <w:t>preschool</w:t>
      </w:r>
      <w:r>
        <w:t xml:space="preserve"> classrooms, the requirement in four communities that </w:t>
      </w:r>
      <w:r w:rsidR="00FA5158">
        <w:t>disqualified children with</w:t>
      </w:r>
      <w:r>
        <w:t xml:space="preserve"> prior preschool experiences has impeded efforts to ensure equal representation of </w:t>
      </w:r>
      <w:r w:rsidR="008153DA">
        <w:t>the special education</w:t>
      </w:r>
      <w:r>
        <w:t xml:space="preserve"> population in PEG classrooms.  </w:t>
      </w:r>
      <w:r w:rsidR="000E0D73">
        <w:t>Therefore, the numbers of children with IEPs in these programs</w:t>
      </w:r>
      <w:r w:rsidR="00FA5158">
        <w:t xml:space="preserve"> largely</w:t>
      </w:r>
      <w:r w:rsidR="000E0D73">
        <w:t xml:space="preserve"> reflects children who were identified and referred during the PEG prekindergarten year.  Programs were reluctant to refer children without taking time to fully understand the child's needs and acknowledged that the process could be slow once a referral was made.</w:t>
      </w:r>
    </w:p>
    <w:p w14:paraId="012B6992" w14:textId="77777777" w:rsidR="000E0D73" w:rsidRDefault="000E0D73" w:rsidP="00A7006D">
      <w:pPr>
        <w:pStyle w:val="BodyText"/>
      </w:pPr>
      <w:r>
        <w:t>Ultimately, l</w:t>
      </w:r>
      <w:r w:rsidR="00A7006D">
        <w:t>ess than half of the PEG centers (12 of 28 centers) reported that they helped families obtain services for children with Individualized Education Plans (IEPs). Less than one-tenth of parents surveyed (8 percent) reported that their child was actually referred for special education services. Of the parents who received IEP-related services, 70 percent were very or somewhat satisfied, 13 percent were neutral, and 17 percent were somewhat or very dissatisfied with the services that they received.</w:t>
      </w:r>
    </w:p>
    <w:p w14:paraId="797DA941" w14:textId="77777777" w:rsidR="00926A98" w:rsidRDefault="000E0D73" w:rsidP="00016F21">
      <w:pPr>
        <w:pStyle w:val="BodyText"/>
      </w:pPr>
      <w:r>
        <w:t>The referral process could also be challenging.  Center directors</w:t>
      </w:r>
      <w:r w:rsidR="00A7006D">
        <w:t xml:space="preserve"> identified </w:t>
      </w:r>
      <w:r>
        <w:t>a</w:t>
      </w:r>
      <w:r w:rsidR="00A7006D">
        <w:t xml:space="preserve"> shortage of LEA special education staff and the high demand for services as barriers</w:t>
      </w:r>
      <w:r w:rsidR="00FA5158">
        <w:t xml:space="preserve"> to a quick referral process</w:t>
      </w:r>
      <w:r w:rsidR="00A7006D">
        <w:t xml:space="preserve">. The teachers </w:t>
      </w:r>
      <w:r>
        <w:t>felt that</w:t>
      </w:r>
      <w:r w:rsidR="00A7006D">
        <w:t xml:space="preserve"> public school teachers had more resources </w:t>
      </w:r>
      <w:r w:rsidR="00FA5158">
        <w:t>for working with</w:t>
      </w:r>
      <w:r w:rsidR="00A7006D">
        <w:t xml:space="preserve"> children with special education needs</w:t>
      </w:r>
      <w:r>
        <w:t>, such as support for determining when to refer and in implementing accommodations in a child's IEP</w:t>
      </w:r>
      <w:r w:rsidR="00A7006D">
        <w:t xml:space="preserve">. Coordination with parents during the IEP process was another challenge that multiple center directors discussed during interviews. They noted that parents were sometimes distrustful of the IEP process or did not agree that their child might have a developmental delay or disability. </w:t>
      </w:r>
    </w:p>
    <w:p w14:paraId="64D30AB0" w14:textId="77777777" w:rsidR="000E0D73" w:rsidRDefault="000E0D73" w:rsidP="00016F21">
      <w:pPr>
        <w:pStyle w:val="BodyText"/>
      </w:pPr>
      <w:r>
        <w:t xml:space="preserve">In recognition of these challenges, public school coordinators have made efforts to bring special education staff to PEG leadership meetings and ensure that time is given to discussing the </w:t>
      </w:r>
      <w:r w:rsidR="00FA5158">
        <w:t>problems</w:t>
      </w:r>
      <w:r>
        <w:t xml:space="preserve"> programs are facing.  These efforts will continue in the second year of the program and communities have also been encouraged to consider ways PEG programs may be used to provide </w:t>
      </w:r>
      <w:r>
        <w:lastRenderedPageBreak/>
        <w:t>supplemental programming for children with IEPs, if appropriate, when the inclusion classrooms are only half day programs.</w:t>
      </w:r>
      <w:r w:rsidR="00146648">
        <w:t xml:space="preserve">  EEC is also collaborating with special education staff from DESE to provide a series of professional learning communities focused on collaborations with community-based programs around the provision of special education services.</w:t>
      </w:r>
    </w:p>
    <w:p w14:paraId="0F4DF2DC" w14:textId="77777777" w:rsidR="00016F21" w:rsidRDefault="001837A8" w:rsidP="001837A8">
      <w:pPr>
        <w:pStyle w:val="Heading2"/>
      </w:pPr>
      <w:bookmarkStart w:id="25" w:name="_Toc467591102"/>
      <w:r>
        <w:t>Parent Attitudes</w:t>
      </w:r>
      <w:bookmarkEnd w:id="25"/>
    </w:p>
    <w:p w14:paraId="3C6A8B22" w14:textId="77777777" w:rsidR="001837A8" w:rsidRDefault="001837A8" w:rsidP="001837A8">
      <w:pPr>
        <w:pStyle w:val="BodyText"/>
        <w:rPr>
          <w:rFonts w:ascii="Arial Narrow" w:hAnsi="Arial Narrow" w:cs="Arial"/>
        </w:rPr>
      </w:pPr>
      <w:r>
        <w:t xml:space="preserve">One of the central goals of PEG is to promote family self-efficacy in terms of supporting their child’s </w:t>
      </w:r>
      <w:r w:rsidRPr="00F26315">
        <w:t>education</w:t>
      </w:r>
      <w:r w:rsidR="00A7006D">
        <w:t xml:space="preserve"> and the results of parent surveys suggest that programs have been consistently successful in this effort</w:t>
      </w:r>
      <w:r w:rsidRPr="00F26315">
        <w:t xml:space="preserve">. </w:t>
      </w:r>
      <w:r>
        <w:t xml:space="preserve">Over 90 percent of parents were confident </w:t>
      </w:r>
      <w:r w:rsidR="00FA5158">
        <w:t>in</w:t>
      </w:r>
      <w:r>
        <w:t xml:space="preserve"> their ability to communicate with their child’s teacher, their ability to communicate effectively with their child about the school day, their knowledge of what their child was learning, and their ability to help their children continue their learning at home. A slightly lower proportion of parents reported that they had the skills to help out at the</w:t>
      </w:r>
      <w:r w:rsidR="00A7006D">
        <w:t xml:space="preserve">ir child’s program (83 percent). </w:t>
      </w:r>
      <w:r>
        <w:t>These perceptions were generally consistent across PEG communities</w:t>
      </w:r>
      <w:r>
        <w:rPr>
          <w:rFonts w:ascii="Arial Narrow" w:hAnsi="Arial Narrow" w:cs="Arial"/>
        </w:rPr>
        <w:t>.</w:t>
      </w:r>
    </w:p>
    <w:p w14:paraId="5E686D71" w14:textId="77777777" w:rsidR="001837A8" w:rsidRDefault="001837A8" w:rsidP="00C1676B">
      <w:pPr>
        <w:pStyle w:val="BodyText"/>
        <w:ind w:right="-180"/>
      </w:pPr>
      <w:r>
        <w:t xml:space="preserve">PEG parents also reported high levels of engagement with their children in home activities that are supportive of children’s development and learning. Parents were asked about their involvement with their </w:t>
      </w:r>
      <w:r w:rsidRPr="00F26315">
        <w:t>child in a variety of different t</w:t>
      </w:r>
      <w:r w:rsidR="00782F50">
        <w:t>ypes of activities</w:t>
      </w:r>
      <w:r w:rsidRPr="00F26315">
        <w:t>. The most frequent activity parents reported</w:t>
      </w:r>
      <w:r>
        <w:t xml:space="preserve"> engaging in was talking with children about school, which 93 percent of parents reported doing every day. About one-third of parents (35 percent) reported reading to their child every day. Notably, the proportion of PEG families who reported reading to their child daily is very similar to responses from low-income families in a national sample</w:t>
      </w:r>
      <w:r w:rsidR="00782F50">
        <w:rPr>
          <w:rStyle w:val="FootnoteReference"/>
        </w:rPr>
        <w:footnoteReference w:id="2"/>
      </w:r>
      <w:r>
        <w:t>. The frequencies of home activities reported by parents were similar across the five PEG communities.</w:t>
      </w:r>
    </w:p>
    <w:p w14:paraId="673B7CF0" w14:textId="77777777" w:rsidR="00161541" w:rsidRDefault="00061B81" w:rsidP="00061B81">
      <w:pPr>
        <w:pStyle w:val="Heading2"/>
      </w:pPr>
      <w:bookmarkStart w:id="26" w:name="_Toc467591103"/>
      <w:r>
        <w:t>Kindergarten Readiness</w:t>
      </w:r>
      <w:bookmarkEnd w:id="26"/>
    </w:p>
    <w:p w14:paraId="7034EAD0" w14:textId="77777777" w:rsidR="00F3415D" w:rsidRDefault="00865031" w:rsidP="001513F3">
      <w:pPr>
        <w:pStyle w:val="BodyText"/>
      </w:pPr>
      <w:r>
        <w:t>A</w:t>
      </w:r>
      <w:r w:rsidR="00B11D39">
        <w:t xml:space="preserve"> central goal of the PEG program is to support Kindergarten readiness in all children.  The decision to target programming to children without any prior early education experience was made, in part, to address the challenges public schools in the five communities have reported in serving high numbers of children without any prior preschool experience and with associated limitations in their school readiness.  </w:t>
      </w:r>
      <w:r w:rsidR="001513F3">
        <w:t>Toward the end of the first year of PEG implementation (June-July 2016), the research team measured academic performance</w:t>
      </w:r>
      <w:r w:rsidR="00CF3461">
        <w:t>, using three nationally normed assessments to understand children's letter-word recognition skills, math understandings, and expressive vocabulary development just prior to entering Kindergarten.</w:t>
      </w:r>
      <w:r w:rsidR="00F3415D">
        <w:t xml:space="preserve"> Teacher reports of children's social-emotional development at the end of the year through their ratings in the Gold</w:t>
      </w:r>
      <w:r w:rsidRPr="00571840">
        <w:rPr>
          <w:bCs/>
        </w:rPr>
        <w:t>®</w:t>
      </w:r>
      <w:r w:rsidR="00F3415D">
        <w:t xml:space="preserve"> tool by Teaching Strategies were also examined.</w:t>
      </w:r>
      <w:r w:rsidR="00CF3461">
        <w:t xml:space="preserve">  Although it is impossible to identify the </w:t>
      </w:r>
      <w:r w:rsidR="00F25020">
        <w:t xml:space="preserve">contribution of </w:t>
      </w:r>
      <w:r w:rsidR="00CF3461">
        <w:t xml:space="preserve">PEG programs </w:t>
      </w:r>
      <w:r w:rsidR="00F25020">
        <w:t>to children's skills</w:t>
      </w:r>
      <w:r w:rsidR="00CF3461">
        <w:t xml:space="preserve">, without having assessed these skills at the </w:t>
      </w:r>
      <w:r w:rsidR="00CF3461">
        <w:lastRenderedPageBreak/>
        <w:t xml:space="preserve">beginning of the PEG program, these assessment results provide an important window into the school readiness of the </w:t>
      </w:r>
      <w:r w:rsidR="00F25020">
        <w:t>first cohort of children in PEG</w:t>
      </w:r>
      <w:r w:rsidR="00CF3461">
        <w:t xml:space="preserve">.  </w:t>
      </w:r>
    </w:p>
    <w:p w14:paraId="39210F6B" w14:textId="77777777" w:rsidR="00BB2C72" w:rsidRDefault="00CF3461" w:rsidP="00D1703D">
      <w:pPr>
        <w:pStyle w:val="BodyText"/>
      </w:pPr>
      <w:r>
        <w:t>Overall, the results were positive, with children showing age appropriate skills, on average, in math and letter-word recognition.</w:t>
      </w:r>
      <w:r w:rsidR="00A41B74">
        <w:t xml:space="preserve">  Given the gap in achievement expected for children from low-income homes and the extent to which early literacy</w:t>
      </w:r>
      <w:r w:rsidR="00D564EC">
        <w:t xml:space="preserve"> and math</w:t>
      </w:r>
      <w:r w:rsidR="00A41B74">
        <w:t xml:space="preserve"> skills</w:t>
      </w:r>
      <w:r w:rsidR="00053B05">
        <w:t xml:space="preserve"> </w:t>
      </w:r>
      <w:r w:rsidR="00D564EC">
        <w:t>predict later school achievement</w:t>
      </w:r>
      <w:r w:rsidR="00F25020">
        <w:rPr>
          <w:rStyle w:val="FootnoteReference"/>
        </w:rPr>
        <w:footnoteReference w:id="3"/>
      </w:r>
      <w:r w:rsidR="00A41B74">
        <w:t xml:space="preserve">, </w:t>
      </w:r>
      <w:r w:rsidR="00D1703D">
        <w:t>the fact that children in PEG classrooms have achieved normative levels of skill development in these areas is an important accomplishment.</w:t>
      </w:r>
      <w:r>
        <w:t xml:space="preserve">  The results for vocabulary were a more mixed, as the overall averages were lower </w:t>
      </w:r>
      <w:r w:rsidR="00E55F1B">
        <w:t>than national norms.  T</w:t>
      </w:r>
      <w:r w:rsidR="00C000DA">
        <w:t>hese results seemed to be driven, in part, by</w:t>
      </w:r>
      <w:r>
        <w:t xml:space="preserve"> the high numbers of children served for whom English was not their first language.  </w:t>
      </w:r>
      <w:r w:rsidR="0033446B">
        <w:t>Children's social-emotional development was also rated by teachers as largely meeting age expectations, although children's ability to solve social problems</w:t>
      </w:r>
      <w:r w:rsidR="000A5D6D">
        <w:t xml:space="preserve"> was the least developed of the skills assessed</w:t>
      </w:r>
      <w:r w:rsidR="0033446B">
        <w:t>.</w:t>
      </w:r>
      <w:r w:rsidR="00BB2C72">
        <w:t xml:space="preserve"> </w:t>
      </w:r>
    </w:p>
    <w:p w14:paraId="44595E67" w14:textId="77777777" w:rsidR="001513F3" w:rsidRDefault="001513F3" w:rsidP="001513F3">
      <w:pPr>
        <w:pStyle w:val="BodyText"/>
      </w:pPr>
      <w:r>
        <w:t xml:space="preserve">Data collectors trained by the evaluation team conducted individual assessments using standardized measures of early math, early literacy, and vocabulary. Each of the standardized tests of academic skills is normed such that a standard score of 100 represents the performance of an average student at this age (based on a national sample of children from all socioeconomic groups). </w:t>
      </w:r>
      <w:r w:rsidR="003F711E">
        <w:t>T</w:t>
      </w:r>
      <w:r>
        <w:t>he standardized assessment measures included:</w:t>
      </w:r>
    </w:p>
    <w:p w14:paraId="338769CA" w14:textId="77777777" w:rsidR="001513F3" w:rsidRDefault="001513F3" w:rsidP="001513F3">
      <w:pPr>
        <w:pStyle w:val="Bullets"/>
      </w:pPr>
      <w:r>
        <w:rPr>
          <w:b/>
        </w:rPr>
        <w:t>Early Math</w:t>
      </w:r>
      <w:r>
        <w:t xml:space="preserve">: Woodcock-Johnson III Tests of Cognitive Abilities: Applied Problems Subtest; </w:t>
      </w:r>
    </w:p>
    <w:p w14:paraId="6CF23216" w14:textId="77777777" w:rsidR="001513F3" w:rsidRDefault="001513F3" w:rsidP="001513F3">
      <w:pPr>
        <w:pStyle w:val="Bullets"/>
      </w:pPr>
      <w:r>
        <w:rPr>
          <w:b/>
        </w:rPr>
        <w:t>Early Literacy</w:t>
      </w:r>
      <w:r>
        <w:t>: Woodcock-Johnson III Tests of Cognitive Abilities:  Letter-Word Identification Subtest; and</w:t>
      </w:r>
    </w:p>
    <w:p w14:paraId="22786FAE" w14:textId="77777777" w:rsidR="001513F3" w:rsidRDefault="001513F3" w:rsidP="001513F3">
      <w:pPr>
        <w:pStyle w:val="Bullets"/>
      </w:pPr>
      <w:r>
        <w:rPr>
          <w:b/>
        </w:rPr>
        <w:t>Vocabulary Comprehension</w:t>
      </w:r>
      <w:r>
        <w:t xml:space="preserve">: The Expressive One-Word Picture Vocabulary Test. </w:t>
      </w:r>
    </w:p>
    <w:p w14:paraId="01611917" w14:textId="77777777" w:rsidR="00937DBC" w:rsidRDefault="001513F3" w:rsidP="002664A7">
      <w:pPr>
        <w:ind w:right="-90"/>
      </w:pPr>
      <w:r>
        <w:t xml:space="preserve">Prior to beginning the assessments, children who were identified as coming from non-English speaking homes were screened on their understanding of English. The </w:t>
      </w:r>
      <w:proofErr w:type="spellStart"/>
      <w:r w:rsidRPr="0055564C">
        <w:rPr>
          <w:i/>
        </w:rPr>
        <w:t>preLAS</w:t>
      </w:r>
      <w:proofErr w:type="spellEnd"/>
      <w:r>
        <w:t xml:space="preserve"> was used as a screening measure to confirm whether the child could appropriately be tested in English or should be tested in Spanish. All but five of the 331 children in the sample passed the English language screener and were tested in English.</w:t>
      </w:r>
      <w:r w:rsidR="003F711E">
        <w:t xml:space="preserve"> </w:t>
      </w:r>
      <w:r w:rsidR="00937DBC">
        <w:t xml:space="preserve">The remaining five children were assessed in Spanish with the two Woodcock Johnson subtests and with a bilingual version of the vocabulary assessment. </w:t>
      </w:r>
    </w:p>
    <w:p w14:paraId="050C47A6" w14:textId="6AD3BE05" w:rsidR="00937DBC" w:rsidRDefault="00937DBC" w:rsidP="00937DBC">
      <w:pPr>
        <w:pStyle w:val="BodyText"/>
      </w:pPr>
      <w:r w:rsidRPr="00F26315">
        <w:t>Average standard scores for the three academ</w:t>
      </w:r>
      <w:r w:rsidR="00A41B74">
        <w:t xml:space="preserve">ic content areas are show in </w:t>
      </w:r>
      <w:r w:rsidR="00865031">
        <w:t>Table 5</w:t>
      </w:r>
      <w:r w:rsidRPr="00F26315">
        <w:t xml:space="preserve"> below. On </w:t>
      </w:r>
      <w:r w:rsidR="00E80502">
        <w:t>two of the</w:t>
      </w:r>
      <w:r>
        <w:t xml:space="preserve"> measures, the average scores were close to the expected standard score for their age (score of 100). </w:t>
      </w:r>
      <w:r w:rsidR="00953821">
        <w:t>When the range of scores was considered, a greater percentage of PEG children fell in the expected or above expected range than the national norm sample for math skills and letter recognition.  However, only 65 percent of the sample fell in this range for vocabulary knowledge.</w:t>
      </w:r>
    </w:p>
    <w:p w14:paraId="432558F0" w14:textId="77777777" w:rsidR="00ED0C0E" w:rsidRDefault="00F25020" w:rsidP="00ED0C0E">
      <w:pPr>
        <w:pStyle w:val="Caption"/>
      </w:pPr>
      <w:bookmarkStart w:id="27" w:name="_Toc461612659"/>
      <w:bookmarkStart w:id="28" w:name="_Toc461618608"/>
      <w:r>
        <w:lastRenderedPageBreak/>
        <w:t>Table 5</w:t>
      </w:r>
      <w:r w:rsidR="00F948AC">
        <w:t>.</w:t>
      </w:r>
      <w:r w:rsidR="00ED0C0E">
        <w:t xml:space="preserve"> Overall PEG Early Academic Skill Scores</w:t>
      </w:r>
      <w:bookmarkEnd w:id="27"/>
      <w:bookmarkEnd w:id="28"/>
    </w:p>
    <w:tbl>
      <w:tblPr>
        <w:tblStyle w:val="MAPEG"/>
        <w:tblW w:w="9360" w:type="dxa"/>
        <w:tblLayout w:type="fixed"/>
        <w:tblLook w:val="04A0" w:firstRow="1" w:lastRow="0" w:firstColumn="1" w:lastColumn="0" w:noHBand="0" w:noVBand="1"/>
      </w:tblPr>
      <w:tblGrid>
        <w:gridCol w:w="4887"/>
        <w:gridCol w:w="1491"/>
        <w:gridCol w:w="1491"/>
        <w:gridCol w:w="1491"/>
      </w:tblGrid>
      <w:tr w:rsidR="00ED0C0E" w:rsidRPr="00970800" w14:paraId="6F662046" w14:textId="77777777" w:rsidTr="00B80EC6">
        <w:trPr>
          <w:cnfStyle w:val="100000000000" w:firstRow="1" w:lastRow="0" w:firstColumn="0" w:lastColumn="0" w:oddVBand="0" w:evenVBand="0" w:oddHBand="0" w:evenHBand="0" w:firstRowFirstColumn="0" w:firstRowLastColumn="0" w:lastRowFirstColumn="0" w:lastRowLastColumn="0"/>
          <w:cantSplit/>
          <w:tblHeader/>
        </w:trPr>
        <w:tc>
          <w:tcPr>
            <w:tcW w:w="3778" w:type="dxa"/>
            <w:hideMark/>
          </w:tcPr>
          <w:p w14:paraId="0AD1C5EA" w14:textId="77777777" w:rsidR="00ED0C0E" w:rsidRPr="00970800" w:rsidRDefault="00ED0C0E" w:rsidP="00B80EC6">
            <w:pPr>
              <w:pStyle w:val="ExhibitColumnHeader"/>
              <w:jc w:val="left"/>
            </w:pPr>
            <w:r w:rsidRPr="00970800">
              <w:t>Construct</w:t>
            </w:r>
          </w:p>
        </w:tc>
        <w:tc>
          <w:tcPr>
            <w:tcW w:w="1152" w:type="dxa"/>
            <w:hideMark/>
          </w:tcPr>
          <w:p w14:paraId="2CA26A9D" w14:textId="77777777" w:rsidR="00ED0C0E" w:rsidRPr="00970800" w:rsidRDefault="00ED0C0E" w:rsidP="00B80EC6">
            <w:pPr>
              <w:pStyle w:val="ExhibitColumnHeader"/>
            </w:pPr>
            <w:r w:rsidRPr="00970800">
              <w:t>Mean</w:t>
            </w:r>
          </w:p>
        </w:tc>
        <w:tc>
          <w:tcPr>
            <w:tcW w:w="1152" w:type="dxa"/>
            <w:hideMark/>
          </w:tcPr>
          <w:p w14:paraId="6DE0E33F" w14:textId="77777777" w:rsidR="00ED0C0E" w:rsidRPr="00970800" w:rsidRDefault="00ED0C0E" w:rsidP="00B80EC6">
            <w:pPr>
              <w:pStyle w:val="ExhibitColumnHeader"/>
            </w:pPr>
            <w:r w:rsidRPr="00970800">
              <w:t>Standard Deviation</w:t>
            </w:r>
          </w:p>
        </w:tc>
        <w:tc>
          <w:tcPr>
            <w:tcW w:w="1152" w:type="dxa"/>
            <w:hideMark/>
          </w:tcPr>
          <w:p w14:paraId="677ADC66" w14:textId="77777777" w:rsidR="00ED0C0E" w:rsidRPr="00970800" w:rsidRDefault="00ED0C0E" w:rsidP="00B80EC6">
            <w:pPr>
              <w:pStyle w:val="ExhibitColumnHeader"/>
            </w:pPr>
            <w:r w:rsidRPr="00970800">
              <w:t>Range</w:t>
            </w:r>
          </w:p>
        </w:tc>
      </w:tr>
      <w:tr w:rsidR="00ED0C0E" w:rsidRPr="00833E5B" w14:paraId="59B32DB5" w14:textId="77777777" w:rsidTr="00B80EC6">
        <w:trPr>
          <w:cantSplit/>
        </w:trPr>
        <w:tc>
          <w:tcPr>
            <w:tcW w:w="3778" w:type="dxa"/>
            <w:hideMark/>
          </w:tcPr>
          <w:p w14:paraId="3BF11ADC" w14:textId="77777777" w:rsidR="00ED0C0E" w:rsidRPr="00833E5B" w:rsidRDefault="00ED0C0E" w:rsidP="00B80EC6">
            <w:pPr>
              <w:pStyle w:val="ExhibitText"/>
            </w:pPr>
            <w:r w:rsidRPr="00833E5B">
              <w:t xml:space="preserve">Early Math </w:t>
            </w:r>
          </w:p>
        </w:tc>
        <w:tc>
          <w:tcPr>
            <w:tcW w:w="1152" w:type="dxa"/>
            <w:hideMark/>
          </w:tcPr>
          <w:p w14:paraId="2BA04676" w14:textId="77777777" w:rsidR="00ED0C0E" w:rsidRPr="00833E5B" w:rsidRDefault="00ED0C0E" w:rsidP="00B80EC6">
            <w:pPr>
              <w:pStyle w:val="ExhibitText"/>
              <w:jc w:val="center"/>
            </w:pPr>
            <w:r w:rsidRPr="00833E5B">
              <w:t>98.13</w:t>
            </w:r>
          </w:p>
        </w:tc>
        <w:tc>
          <w:tcPr>
            <w:tcW w:w="1152" w:type="dxa"/>
            <w:hideMark/>
          </w:tcPr>
          <w:p w14:paraId="3EBBDCDB" w14:textId="77777777" w:rsidR="00ED0C0E" w:rsidRPr="00833E5B" w:rsidRDefault="00ED0C0E" w:rsidP="00B80EC6">
            <w:pPr>
              <w:pStyle w:val="ExhibitText"/>
              <w:jc w:val="center"/>
            </w:pPr>
            <w:r w:rsidRPr="00833E5B">
              <w:t>12.56</w:t>
            </w:r>
          </w:p>
        </w:tc>
        <w:tc>
          <w:tcPr>
            <w:tcW w:w="1152" w:type="dxa"/>
            <w:hideMark/>
          </w:tcPr>
          <w:p w14:paraId="48149C0B" w14:textId="77777777" w:rsidR="00ED0C0E" w:rsidRPr="00833E5B" w:rsidRDefault="00ED0C0E" w:rsidP="00B80EC6">
            <w:pPr>
              <w:pStyle w:val="ExhibitText"/>
              <w:jc w:val="center"/>
            </w:pPr>
            <w:r w:rsidRPr="00833E5B">
              <w:t>59</w:t>
            </w:r>
            <w:r>
              <w:t>–1</w:t>
            </w:r>
            <w:r w:rsidRPr="00833E5B">
              <w:t>33</w:t>
            </w:r>
          </w:p>
        </w:tc>
      </w:tr>
      <w:tr w:rsidR="00ED0C0E" w:rsidRPr="00833E5B" w14:paraId="2FDD3AC9" w14:textId="77777777" w:rsidTr="00B80EC6">
        <w:trPr>
          <w:cnfStyle w:val="000000010000" w:firstRow="0" w:lastRow="0" w:firstColumn="0" w:lastColumn="0" w:oddVBand="0" w:evenVBand="0" w:oddHBand="0" w:evenHBand="1" w:firstRowFirstColumn="0" w:firstRowLastColumn="0" w:lastRowFirstColumn="0" w:lastRowLastColumn="0"/>
          <w:cantSplit/>
        </w:trPr>
        <w:tc>
          <w:tcPr>
            <w:tcW w:w="3778" w:type="dxa"/>
            <w:hideMark/>
          </w:tcPr>
          <w:p w14:paraId="49ED5F2E" w14:textId="77777777" w:rsidR="00ED0C0E" w:rsidRPr="00833E5B" w:rsidRDefault="00ED0C0E" w:rsidP="00B80EC6">
            <w:pPr>
              <w:pStyle w:val="ExhibitText"/>
            </w:pPr>
            <w:r w:rsidRPr="00833E5B">
              <w:t xml:space="preserve">Early Literacy </w:t>
            </w:r>
          </w:p>
        </w:tc>
        <w:tc>
          <w:tcPr>
            <w:tcW w:w="1152" w:type="dxa"/>
            <w:hideMark/>
          </w:tcPr>
          <w:p w14:paraId="32694D2A" w14:textId="77777777" w:rsidR="00ED0C0E" w:rsidRPr="00833E5B" w:rsidRDefault="00ED0C0E" w:rsidP="00B80EC6">
            <w:pPr>
              <w:pStyle w:val="ExhibitText"/>
              <w:jc w:val="center"/>
            </w:pPr>
            <w:r w:rsidRPr="00833E5B">
              <w:t>99.40</w:t>
            </w:r>
          </w:p>
        </w:tc>
        <w:tc>
          <w:tcPr>
            <w:tcW w:w="1152" w:type="dxa"/>
            <w:hideMark/>
          </w:tcPr>
          <w:p w14:paraId="0CC21BDA" w14:textId="77777777" w:rsidR="00ED0C0E" w:rsidRPr="00833E5B" w:rsidRDefault="00ED0C0E" w:rsidP="00B80EC6">
            <w:pPr>
              <w:pStyle w:val="ExhibitText"/>
              <w:jc w:val="center"/>
            </w:pPr>
            <w:r w:rsidRPr="00833E5B">
              <w:t>13.46</w:t>
            </w:r>
          </w:p>
        </w:tc>
        <w:tc>
          <w:tcPr>
            <w:tcW w:w="1152" w:type="dxa"/>
            <w:hideMark/>
          </w:tcPr>
          <w:p w14:paraId="0DB33AA3" w14:textId="77777777" w:rsidR="00ED0C0E" w:rsidRPr="00833E5B" w:rsidRDefault="00ED0C0E" w:rsidP="00B80EC6">
            <w:pPr>
              <w:pStyle w:val="ExhibitText"/>
              <w:jc w:val="center"/>
            </w:pPr>
            <w:r w:rsidRPr="00833E5B">
              <w:t>60</w:t>
            </w:r>
            <w:r>
              <w:t>–1</w:t>
            </w:r>
            <w:r w:rsidRPr="00833E5B">
              <w:t>55</w:t>
            </w:r>
          </w:p>
        </w:tc>
      </w:tr>
      <w:tr w:rsidR="00ED0C0E" w:rsidRPr="00833E5B" w14:paraId="0ED018C4" w14:textId="77777777" w:rsidTr="00B80EC6">
        <w:trPr>
          <w:cantSplit/>
        </w:trPr>
        <w:tc>
          <w:tcPr>
            <w:tcW w:w="3778" w:type="dxa"/>
            <w:hideMark/>
          </w:tcPr>
          <w:p w14:paraId="5524F401" w14:textId="77777777" w:rsidR="00ED0C0E" w:rsidRPr="00833E5B" w:rsidRDefault="00ED0C0E" w:rsidP="00B80EC6">
            <w:pPr>
              <w:pStyle w:val="ExhibitText"/>
            </w:pPr>
            <w:r w:rsidRPr="00833E5B">
              <w:t>Vocabulary</w:t>
            </w:r>
          </w:p>
        </w:tc>
        <w:tc>
          <w:tcPr>
            <w:tcW w:w="1152" w:type="dxa"/>
            <w:hideMark/>
          </w:tcPr>
          <w:p w14:paraId="05B1B30B" w14:textId="77777777" w:rsidR="00ED0C0E" w:rsidRPr="00833E5B" w:rsidRDefault="00ED0C0E" w:rsidP="00B80EC6">
            <w:pPr>
              <w:pStyle w:val="ExhibitText"/>
              <w:jc w:val="center"/>
            </w:pPr>
            <w:r w:rsidRPr="00833E5B">
              <w:t>90.64</w:t>
            </w:r>
          </w:p>
        </w:tc>
        <w:tc>
          <w:tcPr>
            <w:tcW w:w="1152" w:type="dxa"/>
            <w:hideMark/>
          </w:tcPr>
          <w:p w14:paraId="0D2E56F6" w14:textId="77777777" w:rsidR="00ED0C0E" w:rsidRPr="00833E5B" w:rsidRDefault="00ED0C0E" w:rsidP="00B80EC6">
            <w:pPr>
              <w:pStyle w:val="ExhibitText"/>
              <w:jc w:val="center"/>
            </w:pPr>
            <w:r w:rsidRPr="00833E5B">
              <w:t>15.71</w:t>
            </w:r>
          </w:p>
        </w:tc>
        <w:tc>
          <w:tcPr>
            <w:tcW w:w="1152" w:type="dxa"/>
            <w:hideMark/>
          </w:tcPr>
          <w:p w14:paraId="45CAC40E" w14:textId="77777777" w:rsidR="00ED0C0E" w:rsidRPr="00833E5B" w:rsidRDefault="00ED0C0E" w:rsidP="00B80EC6">
            <w:pPr>
              <w:pStyle w:val="ExhibitText"/>
              <w:jc w:val="center"/>
            </w:pPr>
            <w:r w:rsidRPr="00833E5B">
              <w:t>50</w:t>
            </w:r>
            <w:r>
              <w:t>–1</w:t>
            </w:r>
            <w:r w:rsidRPr="00833E5B">
              <w:t>31</w:t>
            </w:r>
          </w:p>
        </w:tc>
      </w:tr>
    </w:tbl>
    <w:p w14:paraId="6052DC36" w14:textId="77777777" w:rsidR="00ED0C0E" w:rsidRPr="00970800" w:rsidRDefault="00ED0C0E" w:rsidP="00ED0C0E">
      <w:pPr>
        <w:pStyle w:val="ExhibitSource"/>
      </w:pPr>
      <w:r w:rsidRPr="000562A3">
        <w:rPr>
          <w:b/>
        </w:rPr>
        <w:t>READS AS:</w:t>
      </w:r>
      <w:r w:rsidRPr="00970800">
        <w:t xml:space="preserve"> PEG children scored a mean of 98.13 on the early math construct, with a standard deviation of 12.56. Scores ranged from 59</w:t>
      </w:r>
      <w:r>
        <w:t>–1</w:t>
      </w:r>
      <w:r w:rsidRPr="00970800">
        <w:t>33.</w:t>
      </w:r>
    </w:p>
    <w:p w14:paraId="65D6E89E" w14:textId="77777777" w:rsidR="00ED0C0E" w:rsidRPr="00970800" w:rsidRDefault="00ED0C0E" w:rsidP="00ED0C0E">
      <w:pPr>
        <w:pStyle w:val="ExhibitSource"/>
      </w:pPr>
      <w:r w:rsidRPr="000562A3">
        <w:rPr>
          <w:b/>
        </w:rPr>
        <w:t xml:space="preserve">SAMPLE: </w:t>
      </w:r>
      <w:r w:rsidRPr="00970800">
        <w:t>N=324</w:t>
      </w:r>
      <w:r>
        <w:t>–3</w:t>
      </w:r>
      <w:r w:rsidRPr="00970800">
        <w:t>26.</w:t>
      </w:r>
    </w:p>
    <w:p w14:paraId="00A6EFE9" w14:textId="77777777" w:rsidR="00ED0C0E" w:rsidRPr="00970800" w:rsidRDefault="00ED0C0E" w:rsidP="00ED0C0E">
      <w:pPr>
        <w:pStyle w:val="ExhibitSource"/>
      </w:pPr>
      <w:r w:rsidRPr="000562A3">
        <w:rPr>
          <w:b/>
        </w:rPr>
        <w:t>SOURCE:</w:t>
      </w:r>
      <w:r w:rsidRPr="00970800">
        <w:t xml:space="preserve"> PEG Child Assessment Data(Summer 2016) using the Woodcock-Johnson III Tests of Cognitive Abilities: Applied Problems Subtest for early math skills, the Woodcock-Johnson III Tests of Cognitive Abilities: Letter-Word Identification Subtest for early literacy skills and the Expressive One-Word Picture Vocabulary Test for vocabulary skills.</w:t>
      </w:r>
    </w:p>
    <w:p w14:paraId="1F4E7073" w14:textId="77777777" w:rsidR="001837A8" w:rsidRPr="007D3411" w:rsidRDefault="001837A8" w:rsidP="001837A8">
      <w:pPr>
        <w:pStyle w:val="Heading2"/>
        <w:rPr>
          <w:sz w:val="4"/>
          <w:szCs w:val="4"/>
        </w:rPr>
      </w:pPr>
    </w:p>
    <w:p w14:paraId="4BA518C8" w14:textId="77777777" w:rsidR="00C73112" w:rsidRDefault="00C73112" w:rsidP="00C73112">
      <w:pPr>
        <w:pStyle w:val="BodyText"/>
      </w:pPr>
      <w:r>
        <w:t xml:space="preserve">The study team examined whether the achievement scores were different for the children from homes where the primary spoken language was not English. In the sample of PEG children selected for the assessments, </w:t>
      </w:r>
      <w:r w:rsidR="00865031">
        <w:t>40 percent</w:t>
      </w:r>
      <w:r>
        <w:t xml:space="preserve"> lived in homes in which English was not the primary spoken language. Spanish was the predominant home language (other than English), and there were smaller numbers of children from homes where other languages were spoken, including Chinese, </w:t>
      </w:r>
      <w:r w:rsidR="004A530C">
        <w:t xml:space="preserve">Haitian </w:t>
      </w:r>
      <w:r>
        <w:t xml:space="preserve">Creole, Khmer, and Portuguese. Just over 30 percent of the sample of 331 children (104) were administered the </w:t>
      </w:r>
      <w:proofErr w:type="spellStart"/>
      <w:r w:rsidRPr="00814E9A">
        <w:rPr>
          <w:i/>
        </w:rPr>
        <w:t>preLAS</w:t>
      </w:r>
      <w:proofErr w:type="spellEnd"/>
      <w:r>
        <w:t xml:space="preserve"> screener for English proficiency based on parent identification of home language and/or teacher identification. Yet, only five children failed the screener and received the Spanish or bilingual version of the assessments.</w:t>
      </w:r>
    </w:p>
    <w:p w14:paraId="17B48CD2" w14:textId="33497F5B" w:rsidR="000C2523" w:rsidRDefault="00C73112" w:rsidP="00C73112">
      <w:r>
        <w:t>The average difference between</w:t>
      </w:r>
      <w:r w:rsidR="009D4F05">
        <w:t xml:space="preserve"> the home language</w:t>
      </w:r>
      <w:r>
        <w:t xml:space="preserve"> groups was most pronounced for the vocabulary assessment</w:t>
      </w:r>
      <w:r w:rsidR="00E32625">
        <w:t xml:space="preserve">, </w:t>
      </w:r>
      <w:r w:rsidR="00F25020">
        <w:t>and</w:t>
      </w:r>
      <w:r w:rsidR="00E32625">
        <w:t xml:space="preserve"> dual language learners scored </w:t>
      </w:r>
      <w:r w:rsidR="00865031">
        <w:t xml:space="preserve">substantially </w:t>
      </w:r>
      <w:r w:rsidR="00E32625">
        <w:t xml:space="preserve">lower on the test of vocabulary </w:t>
      </w:r>
      <w:r>
        <w:t>than children from homes where English was the primary language.</w:t>
      </w:r>
      <w:r w:rsidR="00E32625">
        <w:t xml:space="preserve"> </w:t>
      </w:r>
      <w:r w:rsidR="00F25020">
        <w:t>English speaking children  performed near the norm for math and letter recognition, but also slightly lower for vocabulary.</w:t>
      </w:r>
      <w:r>
        <w:t xml:space="preserve"> </w:t>
      </w:r>
    </w:p>
    <w:p w14:paraId="3C7A0370" w14:textId="77777777" w:rsidR="00346C23" w:rsidRPr="00C20D71" w:rsidRDefault="00346C23" w:rsidP="00C20D71">
      <w:pPr>
        <w:pStyle w:val="BodyText"/>
        <w:spacing w:after="0"/>
        <w:rPr>
          <w:sz w:val="16"/>
          <w:szCs w:val="16"/>
        </w:rPr>
      </w:pPr>
    </w:p>
    <w:p w14:paraId="2FE2AB71" w14:textId="77777777" w:rsidR="0034056A" w:rsidRDefault="0034056A" w:rsidP="0034056A">
      <w:pPr>
        <w:pStyle w:val="BodyText"/>
      </w:pPr>
      <w:r>
        <w:t>In addition to academic achievement outcomes, there is currently ever-increasing importance placed on non-cognitive skills by researchers, practitioners, and policy makers. PEG teachers rated children’s socio-emotional skills using the Teaching Strategies GOLD</w:t>
      </w:r>
      <w:r w:rsidR="00161253" w:rsidRPr="00571840">
        <w:rPr>
          <w:bCs/>
        </w:rPr>
        <w:t>®</w:t>
      </w:r>
      <w:r>
        <w:t xml:space="preserve"> (TS GOLD) at least once during the 2015–16 school year. The Social-Emotional section of the TS GOLD that was used in the PEG programs includes nine skills grouped into three primary Objectives: 1) self-regulation of emotions and behaviors; 2) positive relationships; and 3) participation in group situations. For each of the nine skills, a student is rated on a scale from 1 to 9. Individual skill scores are then averaged into the appropriate Objectives. </w:t>
      </w:r>
    </w:p>
    <w:p w14:paraId="25D7DA08" w14:textId="77777777" w:rsidR="0034056A" w:rsidRDefault="0034056A" w:rsidP="0034056A">
      <w:pPr>
        <w:pStyle w:val="BodyText"/>
      </w:pPr>
      <w:r>
        <w:t xml:space="preserve">The study team examined teacher ratings from spring of the 2015–16 preschool year for 606 students </w:t>
      </w:r>
      <w:r w:rsidRPr="00F26315">
        <w:t>from 40 PEG classrooms</w:t>
      </w:r>
      <w:r w:rsidRPr="00F26315">
        <w:rPr>
          <w:rStyle w:val="FootnoteReference"/>
        </w:rPr>
        <w:footnoteReference w:id="4"/>
      </w:r>
      <w:r w:rsidRPr="00F26315">
        <w:t xml:space="preserve"> (see Exhibit 10.7). Average scores for all three Objectives were moderate</w:t>
      </w:r>
      <w:r w:rsidR="001B644F">
        <w:t xml:space="preserve"> (age expectations differ slightly for each objective, but scores of 6 or above generally met expectations)</w:t>
      </w:r>
      <w:r w:rsidRPr="00F26315">
        <w:t xml:space="preserve">. Scores were lowest for </w:t>
      </w:r>
      <w:r w:rsidRPr="00F26315">
        <w:rPr>
          <w:i/>
        </w:rPr>
        <w:t>Participation in Group Situations</w:t>
      </w:r>
      <w:r w:rsidRPr="00F26315">
        <w:t xml:space="preserve"> and </w:t>
      </w:r>
      <w:r w:rsidRPr="00F26315">
        <w:lastRenderedPageBreak/>
        <w:t xml:space="preserve">highest for </w:t>
      </w:r>
      <w:r w:rsidRPr="00F26315">
        <w:rPr>
          <w:i/>
        </w:rPr>
        <w:t>Positive Relationships</w:t>
      </w:r>
      <w:r w:rsidRPr="00F26315">
        <w:t xml:space="preserve">. </w:t>
      </w:r>
      <w:r w:rsidR="00E62F5F">
        <w:t xml:space="preserve">In all rated objectives except for </w:t>
      </w:r>
      <w:r w:rsidR="001B644F">
        <w:t>"</w:t>
      </w:r>
      <w:r w:rsidR="00E62F5F">
        <w:t>solving social problems</w:t>
      </w:r>
      <w:r w:rsidR="001B644F">
        <w:t>"</w:t>
      </w:r>
      <w:r w:rsidR="00E62F5F">
        <w:t>, at least 85 percent of the children were scored as falling into or above the expected range of scores.  Only 80 percent of children were in the e</w:t>
      </w:r>
      <w:r w:rsidR="001B644F">
        <w:t>xpected range for "solving social problems" (one component of the "Participation in group situations" scale</w:t>
      </w:r>
      <w:r w:rsidR="00E62F5F">
        <w:t>.</w:t>
      </w:r>
    </w:p>
    <w:p w14:paraId="64D41F6C" w14:textId="77777777" w:rsidR="0034056A" w:rsidRDefault="0034056A" w:rsidP="0034056A">
      <w:pPr>
        <w:pStyle w:val="BodyText"/>
      </w:pPr>
    </w:p>
    <w:p w14:paraId="38C66D1E" w14:textId="77777777" w:rsidR="0034056A" w:rsidRDefault="00F948AC" w:rsidP="0034056A">
      <w:pPr>
        <w:pStyle w:val="Caption"/>
      </w:pPr>
      <w:bookmarkStart w:id="29" w:name="_Toc461612664"/>
      <w:bookmarkStart w:id="30" w:name="_Toc461618614"/>
      <w:r>
        <w:t>Table 5.</w:t>
      </w:r>
      <w:r w:rsidR="0034056A">
        <w:t xml:space="preserve"> Teaching Strategies GOLD</w:t>
      </w:r>
      <w:r w:rsidR="00161253" w:rsidRPr="00571840">
        <w:rPr>
          <w:bCs w:val="0"/>
        </w:rPr>
        <w:t>®</w:t>
      </w:r>
      <w:r w:rsidR="0034056A">
        <w:t xml:space="preserve"> Ratings for Overall PEG</w:t>
      </w:r>
      <w:bookmarkEnd w:id="29"/>
      <w:bookmarkEnd w:id="30"/>
    </w:p>
    <w:tbl>
      <w:tblPr>
        <w:tblStyle w:val="MAPEG"/>
        <w:tblW w:w="9360" w:type="dxa"/>
        <w:tblInd w:w="115" w:type="dxa"/>
        <w:tblLayout w:type="fixed"/>
        <w:tblCellMar>
          <w:left w:w="115" w:type="dxa"/>
          <w:right w:w="115" w:type="dxa"/>
        </w:tblCellMar>
        <w:tblLook w:val="04A0" w:firstRow="1" w:lastRow="0" w:firstColumn="1" w:lastColumn="0" w:noHBand="0" w:noVBand="1"/>
      </w:tblPr>
      <w:tblGrid>
        <w:gridCol w:w="5235"/>
        <w:gridCol w:w="1375"/>
        <w:gridCol w:w="1375"/>
        <w:gridCol w:w="1375"/>
      </w:tblGrid>
      <w:tr w:rsidR="0034056A" w14:paraId="4CE19856" w14:textId="77777777" w:rsidTr="00B80EC6">
        <w:trPr>
          <w:cnfStyle w:val="100000000000" w:firstRow="1" w:lastRow="0" w:firstColumn="0" w:lastColumn="0" w:oddVBand="0" w:evenVBand="0" w:oddHBand="0" w:evenHBand="0" w:firstRowFirstColumn="0" w:firstRowLastColumn="0" w:lastRowFirstColumn="0" w:lastRowLastColumn="0"/>
          <w:cantSplit/>
          <w:tblHeader/>
        </w:trPr>
        <w:tc>
          <w:tcPr>
            <w:tcW w:w="4251" w:type="dxa"/>
            <w:hideMark/>
          </w:tcPr>
          <w:p w14:paraId="2F54ED8B" w14:textId="77777777" w:rsidR="0034056A" w:rsidRPr="006C1A90" w:rsidRDefault="0034056A" w:rsidP="00B80EC6">
            <w:pPr>
              <w:pStyle w:val="ExhibitColumnHeader"/>
            </w:pPr>
            <w:r w:rsidRPr="006C1A90">
              <w:t>Objective</w:t>
            </w:r>
          </w:p>
        </w:tc>
        <w:tc>
          <w:tcPr>
            <w:tcW w:w="1116" w:type="dxa"/>
            <w:hideMark/>
          </w:tcPr>
          <w:p w14:paraId="6829B892" w14:textId="77777777" w:rsidR="0034056A" w:rsidRPr="006C1A90" w:rsidRDefault="0034056A" w:rsidP="00B80EC6">
            <w:pPr>
              <w:pStyle w:val="ExhibitColumnHeader"/>
            </w:pPr>
            <w:r w:rsidRPr="006C1A90">
              <w:t>Mean</w:t>
            </w:r>
          </w:p>
        </w:tc>
        <w:tc>
          <w:tcPr>
            <w:tcW w:w="1116" w:type="dxa"/>
            <w:hideMark/>
          </w:tcPr>
          <w:p w14:paraId="239AB965" w14:textId="77777777" w:rsidR="0034056A" w:rsidRPr="006C1A90" w:rsidRDefault="0034056A" w:rsidP="00B80EC6">
            <w:pPr>
              <w:pStyle w:val="ExhibitColumnHeader"/>
            </w:pPr>
            <w:r w:rsidRPr="006C1A90">
              <w:t>Standard Deviation</w:t>
            </w:r>
          </w:p>
        </w:tc>
        <w:tc>
          <w:tcPr>
            <w:tcW w:w="1116" w:type="dxa"/>
            <w:hideMark/>
          </w:tcPr>
          <w:p w14:paraId="01C710F1" w14:textId="77777777" w:rsidR="0034056A" w:rsidRPr="006C1A90" w:rsidRDefault="0034056A" w:rsidP="00B80EC6">
            <w:pPr>
              <w:pStyle w:val="ExhibitColumnHeader"/>
            </w:pPr>
            <w:r w:rsidRPr="006C1A90">
              <w:t>Range</w:t>
            </w:r>
          </w:p>
        </w:tc>
      </w:tr>
      <w:tr w:rsidR="0034056A" w14:paraId="1C6F0997" w14:textId="77777777" w:rsidTr="00B80EC6">
        <w:trPr>
          <w:cantSplit/>
        </w:trPr>
        <w:tc>
          <w:tcPr>
            <w:tcW w:w="4251" w:type="dxa"/>
            <w:hideMark/>
          </w:tcPr>
          <w:p w14:paraId="059DEA39" w14:textId="77777777" w:rsidR="0034056A" w:rsidRPr="006C1A90" w:rsidRDefault="0034056A" w:rsidP="00B80EC6">
            <w:pPr>
              <w:pStyle w:val="ExhibitText"/>
              <w:rPr>
                <w:b/>
              </w:rPr>
            </w:pPr>
            <w:r w:rsidRPr="006C1A90">
              <w:t>1. Self-regulation of emotions and behaviors</w:t>
            </w:r>
          </w:p>
        </w:tc>
        <w:tc>
          <w:tcPr>
            <w:tcW w:w="1116" w:type="dxa"/>
            <w:hideMark/>
          </w:tcPr>
          <w:p w14:paraId="162F420F" w14:textId="77777777" w:rsidR="0034056A" w:rsidRPr="006C1A90" w:rsidRDefault="0034056A" w:rsidP="00B80EC6">
            <w:pPr>
              <w:pStyle w:val="ExhibitText"/>
              <w:jc w:val="center"/>
            </w:pPr>
            <w:r w:rsidRPr="006C1A90">
              <w:t>6.26</w:t>
            </w:r>
          </w:p>
        </w:tc>
        <w:tc>
          <w:tcPr>
            <w:tcW w:w="1116" w:type="dxa"/>
            <w:hideMark/>
          </w:tcPr>
          <w:p w14:paraId="2E05F984" w14:textId="77777777" w:rsidR="0034056A" w:rsidRPr="006C1A90" w:rsidRDefault="0034056A" w:rsidP="00B80EC6">
            <w:pPr>
              <w:pStyle w:val="ExhibitText"/>
              <w:jc w:val="center"/>
            </w:pPr>
            <w:r w:rsidRPr="006C1A90">
              <w:t>1.12</w:t>
            </w:r>
          </w:p>
        </w:tc>
        <w:tc>
          <w:tcPr>
            <w:tcW w:w="1116" w:type="dxa"/>
            <w:hideMark/>
          </w:tcPr>
          <w:p w14:paraId="3641FC0B" w14:textId="77777777" w:rsidR="0034056A" w:rsidRPr="006C1A90" w:rsidRDefault="0034056A" w:rsidP="00B80EC6">
            <w:pPr>
              <w:pStyle w:val="ExhibitText"/>
              <w:jc w:val="center"/>
            </w:pPr>
            <w:r w:rsidRPr="006C1A90">
              <w:t>1.3</w:t>
            </w:r>
            <w:r>
              <w:t>–9</w:t>
            </w:r>
            <w:r w:rsidRPr="006C1A90">
              <w:t>.0</w:t>
            </w:r>
          </w:p>
        </w:tc>
      </w:tr>
      <w:tr w:rsidR="0034056A" w14:paraId="1099A4D3" w14:textId="77777777" w:rsidTr="00B80EC6">
        <w:trPr>
          <w:cnfStyle w:val="000000010000" w:firstRow="0" w:lastRow="0" w:firstColumn="0" w:lastColumn="0" w:oddVBand="0" w:evenVBand="0" w:oddHBand="0" w:evenHBand="1" w:firstRowFirstColumn="0" w:firstRowLastColumn="0" w:lastRowFirstColumn="0" w:lastRowLastColumn="0"/>
          <w:cantSplit/>
        </w:trPr>
        <w:tc>
          <w:tcPr>
            <w:tcW w:w="4251" w:type="dxa"/>
            <w:hideMark/>
          </w:tcPr>
          <w:p w14:paraId="6ACFA64B" w14:textId="77777777" w:rsidR="0034056A" w:rsidRPr="006C1A90" w:rsidRDefault="0034056A" w:rsidP="00B80EC6">
            <w:pPr>
              <w:pStyle w:val="ExhibitText"/>
              <w:rPr>
                <w:b/>
              </w:rPr>
            </w:pPr>
            <w:r w:rsidRPr="006C1A90">
              <w:t>2. Positive relationships</w:t>
            </w:r>
          </w:p>
        </w:tc>
        <w:tc>
          <w:tcPr>
            <w:tcW w:w="1116" w:type="dxa"/>
            <w:hideMark/>
          </w:tcPr>
          <w:p w14:paraId="3B2B6D2E" w14:textId="77777777" w:rsidR="0034056A" w:rsidRPr="006C1A90" w:rsidRDefault="0034056A" w:rsidP="00B80EC6">
            <w:pPr>
              <w:pStyle w:val="ExhibitText"/>
              <w:jc w:val="center"/>
            </w:pPr>
            <w:r w:rsidRPr="006C1A90">
              <w:t>6.44</w:t>
            </w:r>
          </w:p>
        </w:tc>
        <w:tc>
          <w:tcPr>
            <w:tcW w:w="1116" w:type="dxa"/>
            <w:hideMark/>
          </w:tcPr>
          <w:p w14:paraId="0C0840C6" w14:textId="77777777" w:rsidR="0034056A" w:rsidRPr="006C1A90" w:rsidRDefault="0034056A" w:rsidP="00B80EC6">
            <w:pPr>
              <w:pStyle w:val="ExhibitText"/>
              <w:jc w:val="center"/>
            </w:pPr>
            <w:r w:rsidRPr="006C1A90">
              <w:t>1.15</w:t>
            </w:r>
          </w:p>
        </w:tc>
        <w:tc>
          <w:tcPr>
            <w:tcW w:w="1116" w:type="dxa"/>
            <w:hideMark/>
          </w:tcPr>
          <w:p w14:paraId="33A9B536" w14:textId="77777777" w:rsidR="0034056A" w:rsidRPr="006C1A90" w:rsidRDefault="0034056A" w:rsidP="00B80EC6">
            <w:pPr>
              <w:pStyle w:val="ExhibitText"/>
              <w:jc w:val="center"/>
            </w:pPr>
            <w:r w:rsidRPr="006C1A90">
              <w:t>2.0</w:t>
            </w:r>
            <w:r>
              <w:t>–9</w:t>
            </w:r>
            <w:r w:rsidRPr="006C1A90">
              <w:t>.0</w:t>
            </w:r>
          </w:p>
        </w:tc>
      </w:tr>
      <w:tr w:rsidR="0034056A" w14:paraId="10CCF064" w14:textId="77777777" w:rsidTr="00B80EC6">
        <w:trPr>
          <w:cantSplit/>
        </w:trPr>
        <w:tc>
          <w:tcPr>
            <w:tcW w:w="4251" w:type="dxa"/>
            <w:hideMark/>
          </w:tcPr>
          <w:p w14:paraId="7154DBB6" w14:textId="77777777" w:rsidR="0034056A" w:rsidRPr="006C1A90" w:rsidRDefault="0034056A" w:rsidP="00B80EC6">
            <w:pPr>
              <w:pStyle w:val="ExhibitText"/>
              <w:rPr>
                <w:b/>
              </w:rPr>
            </w:pPr>
            <w:r w:rsidRPr="006C1A90">
              <w:t>3. Participation in group situations</w:t>
            </w:r>
          </w:p>
        </w:tc>
        <w:tc>
          <w:tcPr>
            <w:tcW w:w="1116" w:type="dxa"/>
            <w:hideMark/>
          </w:tcPr>
          <w:p w14:paraId="5F7DC3A3" w14:textId="77777777" w:rsidR="0034056A" w:rsidRPr="006C1A90" w:rsidRDefault="0034056A" w:rsidP="00B80EC6">
            <w:pPr>
              <w:pStyle w:val="ExhibitText"/>
              <w:jc w:val="center"/>
            </w:pPr>
            <w:r w:rsidRPr="006C1A90">
              <w:t>5.77</w:t>
            </w:r>
          </w:p>
        </w:tc>
        <w:tc>
          <w:tcPr>
            <w:tcW w:w="1116" w:type="dxa"/>
            <w:hideMark/>
          </w:tcPr>
          <w:p w14:paraId="76C71B0E" w14:textId="77777777" w:rsidR="0034056A" w:rsidRPr="006C1A90" w:rsidRDefault="0034056A" w:rsidP="00B80EC6">
            <w:pPr>
              <w:pStyle w:val="ExhibitText"/>
              <w:jc w:val="center"/>
            </w:pPr>
            <w:r w:rsidRPr="006C1A90">
              <w:t>1.25</w:t>
            </w:r>
          </w:p>
        </w:tc>
        <w:tc>
          <w:tcPr>
            <w:tcW w:w="1116" w:type="dxa"/>
            <w:hideMark/>
          </w:tcPr>
          <w:p w14:paraId="4F65D5EE" w14:textId="77777777" w:rsidR="0034056A" w:rsidRPr="006C1A90" w:rsidRDefault="0034056A" w:rsidP="00B80EC6">
            <w:pPr>
              <w:pStyle w:val="ExhibitText"/>
              <w:jc w:val="center"/>
            </w:pPr>
            <w:r w:rsidRPr="006C1A90">
              <w:t>1.0</w:t>
            </w:r>
            <w:r>
              <w:t>–9</w:t>
            </w:r>
            <w:r w:rsidRPr="006C1A90">
              <w:t>.0</w:t>
            </w:r>
          </w:p>
        </w:tc>
      </w:tr>
    </w:tbl>
    <w:p w14:paraId="212EF982" w14:textId="77777777" w:rsidR="0034056A" w:rsidRDefault="0034056A" w:rsidP="0034056A">
      <w:pPr>
        <w:pStyle w:val="ExhibitSource"/>
      </w:pPr>
      <w:r>
        <w:rPr>
          <w:b/>
        </w:rPr>
        <w:t xml:space="preserve">READS AS: </w:t>
      </w:r>
      <w:r>
        <w:t>PEG teachers gave their students a mean score of 6.26 for self-regulation of emotions and behaviors, with a standard deviation of 1.12 and a range of 1.3–9.0.</w:t>
      </w:r>
    </w:p>
    <w:p w14:paraId="2226A727" w14:textId="77777777" w:rsidR="0034056A" w:rsidRPr="006B7998" w:rsidRDefault="0034056A" w:rsidP="0034056A">
      <w:pPr>
        <w:pStyle w:val="ExhibitSource"/>
      </w:pPr>
      <w:r w:rsidRPr="006B7998">
        <w:rPr>
          <w:b/>
        </w:rPr>
        <w:t>SAMPLE</w:t>
      </w:r>
      <w:r>
        <w:t>: N=606.</w:t>
      </w:r>
    </w:p>
    <w:p w14:paraId="3FE73C1D" w14:textId="77777777" w:rsidR="0034056A" w:rsidRDefault="0034056A" w:rsidP="00E62F5F">
      <w:pPr>
        <w:pStyle w:val="ExhibitSource"/>
      </w:pPr>
      <w:r w:rsidRPr="00AF679A">
        <w:rPr>
          <w:b/>
        </w:rPr>
        <w:t>SOURCE</w:t>
      </w:r>
      <w:r w:rsidRPr="00331B3B">
        <w:rPr>
          <w:b/>
        </w:rPr>
        <w:t>:</w:t>
      </w:r>
      <w:r w:rsidRPr="00331B3B">
        <w:t xml:space="preserve"> </w:t>
      </w:r>
      <w:r>
        <w:t>PEG Child Socio-emotional Skills Assessment (Summer 2016) using TS Gold</w:t>
      </w:r>
      <w:r w:rsidR="00E62F5F">
        <w:t>.</w:t>
      </w:r>
    </w:p>
    <w:p w14:paraId="24FA002D" w14:textId="77777777" w:rsidR="004B2A80" w:rsidRDefault="000A5D6D" w:rsidP="00C73112">
      <w:r>
        <w:t>These results show the strengths and continued challenges for the cohort of children attending PEG-funded programs in Massachusetts</w:t>
      </w:r>
      <w:r w:rsidR="00346C23">
        <w:t>.</w:t>
      </w:r>
      <w:r>
        <w:t xml:space="preserve">  These children showed normative levels of development in critical literacy, math and social-emotional skills</w:t>
      </w:r>
      <w:r w:rsidR="00E32625">
        <w:t>,</w:t>
      </w:r>
      <w:r>
        <w:t xml:space="preserve"> skills </w:t>
      </w:r>
      <w:r w:rsidR="00E32625">
        <w:t>that are</w:t>
      </w:r>
      <w:r>
        <w:t xml:space="preserve"> important predictors of school success</w:t>
      </w:r>
      <w:r>
        <w:rPr>
          <w:rStyle w:val="FootnoteReference"/>
        </w:rPr>
        <w:footnoteReference w:id="5"/>
      </w:r>
      <w:r w:rsidR="00E32625">
        <w:t>.</w:t>
      </w:r>
      <w:r w:rsidR="00053B05">
        <w:t xml:space="preserve">  Growth</w:t>
      </w:r>
      <w:r w:rsidR="00865031">
        <w:t xml:space="preserve"> in these skills</w:t>
      </w:r>
      <w:r w:rsidR="00053B05">
        <w:t xml:space="preserve"> tends to be stable or even diverge</w:t>
      </w:r>
      <w:r w:rsidR="00865031">
        <w:t xml:space="preserve"> over the years. C</w:t>
      </w:r>
      <w:r w:rsidR="00053B05">
        <w:t>hildren who are on the low end of the distribution tend to remain on the low end of the distribution or increasingly get left behind throughout school, and face repeated challenges as the result of these gaps</w:t>
      </w:r>
      <w:r w:rsidR="00053B05">
        <w:rPr>
          <w:rStyle w:val="FootnoteReference"/>
        </w:rPr>
        <w:footnoteReference w:id="6"/>
      </w:r>
      <w:r w:rsidR="004B2A80">
        <w:t>.  S</w:t>
      </w:r>
      <w:r w:rsidR="00053B05">
        <w:t>tarting Kindergarten with normative skills in math and</w:t>
      </w:r>
      <w:r w:rsidR="004B2A80">
        <w:t xml:space="preserve"> early literacy is, therefore, </w:t>
      </w:r>
      <w:r w:rsidR="00053B05">
        <w:t>very important for later school success.</w:t>
      </w:r>
      <w:r>
        <w:t xml:space="preserve"> </w:t>
      </w:r>
      <w:r w:rsidR="00346C23">
        <w:t xml:space="preserve"> </w:t>
      </w:r>
    </w:p>
    <w:p w14:paraId="25E57772" w14:textId="77777777" w:rsidR="00A26A70" w:rsidRDefault="00346C23" w:rsidP="00C73112">
      <w:r>
        <w:t>The results for vocabulary</w:t>
      </w:r>
      <w:r w:rsidR="004B2A80">
        <w:t xml:space="preserve"> abilities</w:t>
      </w:r>
      <w:r>
        <w:t xml:space="preserve"> </w:t>
      </w:r>
      <w:r w:rsidR="00E32625">
        <w:t xml:space="preserve">were a little more mixed.  Although children from English speaking homes scored close, albeit slightly below, the national norms, dual language learners who passed the English language screener scored significantly lower. Vocabulary skills play an important role in later reading comprehension and are </w:t>
      </w:r>
      <w:r w:rsidR="004B2A80">
        <w:t>even</w:t>
      </w:r>
      <w:r w:rsidR="00E32625">
        <w:t xml:space="preserve"> more likely to be stable through elementary school</w:t>
      </w:r>
      <w:r w:rsidR="004B2A80">
        <w:t xml:space="preserve"> than other skills, such a letter recognition</w:t>
      </w:r>
      <w:r w:rsidR="00E32625">
        <w:t xml:space="preserve">, so these limitations should be taken </w:t>
      </w:r>
      <w:r w:rsidR="00E32625">
        <w:lastRenderedPageBreak/>
        <w:t>seriously</w:t>
      </w:r>
      <w:r w:rsidR="00E32625">
        <w:rPr>
          <w:rStyle w:val="FootnoteReference"/>
        </w:rPr>
        <w:footnoteReference w:id="7"/>
      </w:r>
      <w:r w:rsidR="00E32625">
        <w:t>.</w:t>
      </w:r>
      <w:r w:rsidR="00353336">
        <w:t xml:space="preserve"> </w:t>
      </w:r>
      <w:r w:rsidR="00E97EC7">
        <w:t xml:space="preserve">At the same time, it is important to acknowledge that children from non-English speaking homes (particularly those with no prior preschool experience) may have started the year </w:t>
      </w:r>
      <w:r w:rsidR="002C19FA">
        <w:t xml:space="preserve">with very little knowledge of English as compared to their peers; </w:t>
      </w:r>
      <w:r w:rsidR="00E97EC7">
        <w:t>it cannot be known from these data whether those children made greater gains throughout the year despite scoring below their peers in the spring</w:t>
      </w:r>
      <w:r w:rsidR="00E97EC7">
        <w:rPr>
          <w:rStyle w:val="FootnoteReference"/>
        </w:rPr>
        <w:footnoteReference w:id="8"/>
      </w:r>
      <w:r w:rsidR="002C19FA">
        <w:t>.</w:t>
      </w:r>
      <w:r w:rsidR="00E97EC7">
        <w:t xml:space="preserve"> </w:t>
      </w:r>
      <w:r w:rsidR="002C19FA">
        <w:t>Child assessment</w:t>
      </w:r>
      <w:r w:rsidR="004B2A80">
        <w:t>s</w:t>
      </w:r>
      <w:r w:rsidR="002C19FA">
        <w:t xml:space="preserve"> will be conducted </w:t>
      </w:r>
      <w:r w:rsidR="004B2A80">
        <w:t xml:space="preserve">at the beginning and end of the </w:t>
      </w:r>
      <w:r w:rsidR="002C19FA">
        <w:t xml:space="preserve">second year of the evaluation, allowing us to </w:t>
      </w:r>
      <w:r w:rsidR="004B2A80">
        <w:t>identify the growth in skills during the PEG year</w:t>
      </w:r>
      <w:r w:rsidR="002C19FA">
        <w:t>.</w:t>
      </w:r>
      <w:r w:rsidR="0025555C">
        <w:t xml:space="preserve">  </w:t>
      </w:r>
      <w:r w:rsidR="00452822">
        <w:t>It will be</w:t>
      </w:r>
      <w:r w:rsidR="002C19FA">
        <w:t xml:space="preserve"> essential in the second year </w:t>
      </w:r>
      <w:r w:rsidR="004B2A80">
        <w:t xml:space="preserve">that PEG programs </w:t>
      </w:r>
      <w:r w:rsidR="002C19FA">
        <w:t xml:space="preserve">support teachers in using effective practices to build children's vocabulary and associated language skills. </w:t>
      </w:r>
      <w:r w:rsidR="00353336">
        <w:t>Similarly, the lower than expected results for children's ability to solve social problems highlights an</w:t>
      </w:r>
      <w:r w:rsidR="002C19FA">
        <w:t>other</w:t>
      </w:r>
      <w:r w:rsidR="00353336">
        <w:t xml:space="preserve"> area of</w:t>
      </w:r>
      <w:r w:rsidR="002C19FA">
        <w:t xml:space="preserve"> development </w:t>
      </w:r>
      <w:r w:rsidR="00F1048E">
        <w:t>to which</w:t>
      </w:r>
      <w:r w:rsidR="002C19FA">
        <w:t xml:space="preserve"> PEG programs sh</w:t>
      </w:r>
      <w:r w:rsidR="00F1048E">
        <w:t>ould attend</w:t>
      </w:r>
      <w:r w:rsidR="00353336">
        <w:t xml:space="preserve"> in year two.</w:t>
      </w:r>
    </w:p>
    <w:p w14:paraId="6F24139F" w14:textId="77777777" w:rsidR="002C4A73" w:rsidRPr="002C4A73" w:rsidRDefault="002C4A73" w:rsidP="002C4A73">
      <w:pPr>
        <w:pStyle w:val="Heading1"/>
      </w:pPr>
      <w:bookmarkStart w:id="31" w:name="_Toc467591104"/>
      <w:r>
        <w:t>V</w:t>
      </w:r>
      <w:r w:rsidR="0081424C">
        <w:t>I</w:t>
      </w:r>
      <w:r>
        <w:t xml:space="preserve">. </w:t>
      </w:r>
      <w:r w:rsidR="00824C70">
        <w:t>Teachers and Teacher Supports</w:t>
      </w:r>
      <w:bookmarkEnd w:id="31"/>
    </w:p>
    <w:p w14:paraId="5611B857" w14:textId="77777777" w:rsidR="00824C70" w:rsidRPr="004A6D6D" w:rsidRDefault="00DA30A9" w:rsidP="00DA30A9">
      <w:pPr>
        <w:pStyle w:val="Heading2"/>
      </w:pPr>
      <w:bookmarkStart w:id="32" w:name="_Toc467591105"/>
      <w:r w:rsidRPr="004A6D6D">
        <w:t>Teaching Staff</w:t>
      </w:r>
      <w:bookmarkEnd w:id="32"/>
    </w:p>
    <w:p w14:paraId="00D9CBEF" w14:textId="77777777" w:rsidR="005F68C1" w:rsidRDefault="00B3095B" w:rsidP="00AB2F35">
      <w:r w:rsidRPr="004A6D6D">
        <w:t>The teachers working in PEG classroom</w:t>
      </w:r>
      <w:r w:rsidR="000A5031" w:rsidRPr="004A6D6D">
        <w:t>s were relatively well-educated</w:t>
      </w:r>
      <w:r w:rsidRPr="004A6D6D">
        <w:t xml:space="preserve"> and </w:t>
      </w:r>
      <w:r w:rsidR="000A5031" w:rsidRPr="004A6D6D">
        <w:t>well</w:t>
      </w:r>
      <w:r w:rsidRPr="004A6D6D">
        <w:t xml:space="preserve"> compensated (as required by the grant).  Across the five PEG communities, the lead teacher salaries ranged from $54,000 to $71,000, with an average of $54,246</w:t>
      </w:r>
      <w:r w:rsidR="000D2113" w:rsidRPr="004A6D6D">
        <w:t>.  Assistant teacher's sal</w:t>
      </w:r>
      <w:r w:rsidR="00311BFD" w:rsidRPr="004A6D6D">
        <w:t>aries averaged $43,248.</w:t>
      </w:r>
      <w:r w:rsidR="00092DD4">
        <w:t xml:space="preserve"> PEG classrooms generally were staffed with one lead teacher and two assistants, or an assistant and an aide.</w:t>
      </w:r>
      <w:r w:rsidR="00311BFD" w:rsidRPr="004A6D6D">
        <w:t xml:space="preserve">  Fo</w:t>
      </w:r>
      <w:r w:rsidR="000D2113" w:rsidRPr="004A6D6D">
        <w:t>r comparison, in Massachusetts, Head Start teachers are paid $28,078 on average, and child care teachers $24,980, while Kindergarten teachers average $67,170</w:t>
      </w:r>
      <w:r w:rsidR="004A6D6D">
        <w:rPr>
          <w:rStyle w:val="FootnoteReference"/>
        </w:rPr>
        <w:footnoteReference w:id="9"/>
      </w:r>
      <w:r w:rsidR="000D2113" w:rsidRPr="004A6D6D">
        <w:t>. These salaries bring PEG teachers' compensation more in line with compensation of public school teachers and, unlike Head Start and childcare teachers, raises salaries above the levels likely to make them eligible for public assistance benefits (i.e. SNAP income eligibilit</w:t>
      </w:r>
      <w:r w:rsidR="004A6D6D">
        <w:t>y for a family of three is $26,</w:t>
      </w:r>
      <w:r w:rsidR="000D2113" w:rsidRPr="004A6D6D">
        <w:t>124/ year).</w:t>
      </w:r>
      <w:r w:rsidR="00311BFD" w:rsidRPr="004A6D6D">
        <w:t xml:space="preserve"> </w:t>
      </w:r>
    </w:p>
    <w:p w14:paraId="441A2687" w14:textId="77777777" w:rsidR="00C20D71" w:rsidRDefault="00C20D71" w:rsidP="00AB2F35"/>
    <w:p w14:paraId="642FFCBA" w14:textId="77777777" w:rsidR="00487B6D" w:rsidRDefault="00487B6D" w:rsidP="00AB2F35"/>
    <w:p w14:paraId="1FFF4BB5" w14:textId="77777777" w:rsidR="00487B6D" w:rsidRDefault="00487B6D" w:rsidP="00AB2F35"/>
    <w:p w14:paraId="3E7139A2" w14:textId="77777777" w:rsidR="00311BFD" w:rsidRPr="00931A11" w:rsidRDefault="00F948AC" w:rsidP="00311BFD">
      <w:pPr>
        <w:pStyle w:val="Caption"/>
        <w:rPr>
          <w:rFonts w:ascii="Calibri" w:hAnsi="Calibri"/>
          <w:sz w:val="18"/>
          <w:szCs w:val="18"/>
        </w:rPr>
      </w:pPr>
      <w:bookmarkStart w:id="33" w:name="_Toc461612627"/>
      <w:bookmarkStart w:id="34" w:name="_Toc461618576"/>
      <w:r>
        <w:lastRenderedPageBreak/>
        <w:t>Table 6</w:t>
      </w:r>
      <w:r w:rsidR="00311BFD" w:rsidRPr="003E0050">
        <w:t xml:space="preserve">. Characteristics of PEG Teachers, </w:t>
      </w:r>
      <w:r w:rsidR="00311BFD">
        <w:t>2015–16</w:t>
      </w:r>
      <w:bookmarkEnd w:id="33"/>
      <w:bookmarkEnd w:id="34"/>
    </w:p>
    <w:tbl>
      <w:tblPr>
        <w:tblStyle w:val="MAPEG"/>
        <w:tblW w:w="9360" w:type="dxa"/>
        <w:tblLayout w:type="fixed"/>
        <w:tblLook w:val="04A0" w:firstRow="1" w:lastRow="0" w:firstColumn="1" w:lastColumn="0" w:noHBand="0" w:noVBand="1"/>
      </w:tblPr>
      <w:tblGrid>
        <w:gridCol w:w="5135"/>
        <w:gridCol w:w="1057"/>
        <w:gridCol w:w="1056"/>
        <w:gridCol w:w="1056"/>
        <w:gridCol w:w="1056"/>
      </w:tblGrid>
      <w:tr w:rsidR="00311BFD" w:rsidRPr="00931A11" w14:paraId="0608FE3C" w14:textId="77777777" w:rsidTr="001C288E">
        <w:trPr>
          <w:cnfStyle w:val="100000000000" w:firstRow="1" w:lastRow="0" w:firstColumn="0" w:lastColumn="0" w:oddVBand="0" w:evenVBand="0" w:oddHBand="0" w:evenHBand="0" w:firstRowFirstColumn="0" w:firstRowLastColumn="0" w:lastRowFirstColumn="0" w:lastRowLastColumn="0"/>
          <w:cantSplit/>
          <w:tblHeader/>
        </w:trPr>
        <w:tc>
          <w:tcPr>
            <w:tcW w:w="5135" w:type="dxa"/>
            <w:vMerge w:val="restart"/>
            <w:hideMark/>
          </w:tcPr>
          <w:p w14:paraId="18BCE355" w14:textId="77777777" w:rsidR="00311BFD" w:rsidRPr="00931A11" w:rsidRDefault="00311BFD" w:rsidP="00311BFD">
            <w:pPr>
              <w:pStyle w:val="ExhibitColumnHeader"/>
              <w:jc w:val="left"/>
            </w:pPr>
          </w:p>
        </w:tc>
        <w:tc>
          <w:tcPr>
            <w:tcW w:w="2113" w:type="dxa"/>
            <w:gridSpan w:val="2"/>
            <w:hideMark/>
          </w:tcPr>
          <w:p w14:paraId="2169ECE7" w14:textId="77777777" w:rsidR="00311BFD" w:rsidRPr="00931A11" w:rsidRDefault="00311BFD" w:rsidP="00311BFD">
            <w:pPr>
              <w:pStyle w:val="ExhibitColumnHeader"/>
              <w:jc w:val="left"/>
            </w:pPr>
            <w:r w:rsidRPr="00931A11">
              <w:t>Lead Teachers</w:t>
            </w:r>
          </w:p>
        </w:tc>
        <w:tc>
          <w:tcPr>
            <w:tcW w:w="2112" w:type="dxa"/>
            <w:gridSpan w:val="2"/>
            <w:hideMark/>
          </w:tcPr>
          <w:p w14:paraId="77B21628" w14:textId="77777777" w:rsidR="00311BFD" w:rsidRPr="00931A11" w:rsidRDefault="00311BFD" w:rsidP="00311BFD">
            <w:pPr>
              <w:pStyle w:val="ExhibitColumnHeader"/>
              <w:jc w:val="left"/>
            </w:pPr>
            <w:r w:rsidRPr="00931A11">
              <w:t>Asst. Teachers</w:t>
            </w:r>
          </w:p>
        </w:tc>
      </w:tr>
      <w:tr w:rsidR="00311BFD" w:rsidRPr="00931A11" w14:paraId="13BDBC9B" w14:textId="77777777" w:rsidTr="001C288E">
        <w:trPr>
          <w:cnfStyle w:val="100000000000" w:firstRow="1" w:lastRow="0" w:firstColumn="0" w:lastColumn="0" w:oddVBand="0" w:evenVBand="0" w:oddHBand="0" w:evenHBand="0" w:firstRowFirstColumn="0" w:firstRowLastColumn="0" w:lastRowFirstColumn="0" w:lastRowLastColumn="0"/>
          <w:cantSplit/>
          <w:tblHeader/>
        </w:trPr>
        <w:tc>
          <w:tcPr>
            <w:tcW w:w="5135" w:type="dxa"/>
            <w:vMerge/>
            <w:hideMark/>
          </w:tcPr>
          <w:p w14:paraId="220E0776" w14:textId="77777777" w:rsidR="00311BFD" w:rsidRPr="00931A11" w:rsidRDefault="00311BFD" w:rsidP="00311BFD">
            <w:pPr>
              <w:pStyle w:val="ExhibitColumnHeader"/>
              <w:jc w:val="left"/>
            </w:pPr>
          </w:p>
        </w:tc>
        <w:tc>
          <w:tcPr>
            <w:tcW w:w="1057" w:type="dxa"/>
            <w:hideMark/>
          </w:tcPr>
          <w:p w14:paraId="0F40EE2C" w14:textId="77777777" w:rsidR="00311BFD" w:rsidRPr="00931A11" w:rsidRDefault="00311BFD" w:rsidP="00311BFD">
            <w:pPr>
              <w:pStyle w:val="ExhibitColumnHeader"/>
              <w:jc w:val="left"/>
            </w:pPr>
            <w:r w:rsidRPr="00931A11">
              <w:t>n</w:t>
            </w:r>
          </w:p>
        </w:tc>
        <w:tc>
          <w:tcPr>
            <w:tcW w:w="1056" w:type="dxa"/>
            <w:hideMark/>
          </w:tcPr>
          <w:p w14:paraId="48FDB938" w14:textId="77777777" w:rsidR="00311BFD" w:rsidRPr="00931A11" w:rsidRDefault="00311BFD" w:rsidP="00311BFD">
            <w:pPr>
              <w:pStyle w:val="ExhibitColumnHeader"/>
              <w:jc w:val="left"/>
            </w:pPr>
            <w:r w:rsidRPr="00931A11">
              <w:t>%</w:t>
            </w:r>
          </w:p>
        </w:tc>
        <w:tc>
          <w:tcPr>
            <w:tcW w:w="1056" w:type="dxa"/>
            <w:hideMark/>
          </w:tcPr>
          <w:p w14:paraId="48B76BC4" w14:textId="77777777" w:rsidR="00311BFD" w:rsidRPr="00931A11" w:rsidRDefault="00311BFD" w:rsidP="00311BFD">
            <w:pPr>
              <w:pStyle w:val="ExhibitColumnHeader"/>
              <w:jc w:val="left"/>
            </w:pPr>
            <w:r w:rsidRPr="00931A11">
              <w:t>n</w:t>
            </w:r>
          </w:p>
        </w:tc>
        <w:tc>
          <w:tcPr>
            <w:tcW w:w="1056" w:type="dxa"/>
            <w:hideMark/>
          </w:tcPr>
          <w:p w14:paraId="3FAE108D" w14:textId="77777777" w:rsidR="00311BFD" w:rsidRPr="00931A11" w:rsidRDefault="00311BFD" w:rsidP="00311BFD">
            <w:pPr>
              <w:pStyle w:val="ExhibitColumnHeader"/>
              <w:jc w:val="left"/>
            </w:pPr>
            <w:r w:rsidRPr="00931A11">
              <w:t>%</w:t>
            </w:r>
          </w:p>
        </w:tc>
      </w:tr>
      <w:tr w:rsidR="00311BFD" w:rsidRPr="00931A11" w14:paraId="229DF78A" w14:textId="77777777" w:rsidTr="001C288E">
        <w:trPr>
          <w:cantSplit/>
        </w:trPr>
        <w:tc>
          <w:tcPr>
            <w:tcW w:w="9360" w:type="dxa"/>
            <w:gridSpan w:val="5"/>
            <w:shd w:val="clear" w:color="auto" w:fill="808080" w:themeFill="background1" w:themeFillShade="80"/>
            <w:hideMark/>
          </w:tcPr>
          <w:p w14:paraId="70F92F71" w14:textId="77777777" w:rsidR="00311BFD" w:rsidRPr="00931A11" w:rsidRDefault="00311BFD" w:rsidP="00A44016">
            <w:pPr>
              <w:pStyle w:val="ExhibitRowHeader"/>
            </w:pPr>
            <w:r w:rsidRPr="00931A11">
              <w:t>Education</w:t>
            </w:r>
          </w:p>
        </w:tc>
      </w:tr>
      <w:tr w:rsidR="00311BFD" w:rsidRPr="00931A11" w14:paraId="2643BA82" w14:textId="77777777" w:rsidTr="001C288E">
        <w:trPr>
          <w:cnfStyle w:val="000000010000" w:firstRow="0" w:lastRow="0" w:firstColumn="0" w:lastColumn="0" w:oddVBand="0" w:evenVBand="0" w:oddHBand="0" w:evenHBand="1" w:firstRowFirstColumn="0" w:firstRowLastColumn="0" w:lastRowFirstColumn="0" w:lastRowLastColumn="0"/>
          <w:cantSplit/>
        </w:trPr>
        <w:tc>
          <w:tcPr>
            <w:tcW w:w="5135" w:type="dxa"/>
            <w:noWrap/>
            <w:hideMark/>
          </w:tcPr>
          <w:p w14:paraId="212E3BC8" w14:textId="77777777" w:rsidR="00311BFD" w:rsidRPr="00931A11" w:rsidRDefault="00311BFD" w:rsidP="00A44016">
            <w:pPr>
              <w:pStyle w:val="ExhibitText"/>
            </w:pPr>
            <w:r w:rsidRPr="00931A11">
              <w:t>High school diploma or GED</w:t>
            </w:r>
          </w:p>
        </w:tc>
        <w:tc>
          <w:tcPr>
            <w:tcW w:w="1057" w:type="dxa"/>
            <w:noWrap/>
            <w:hideMark/>
          </w:tcPr>
          <w:p w14:paraId="05B8288C" w14:textId="77777777" w:rsidR="00311BFD" w:rsidRPr="00931A11" w:rsidRDefault="00311BFD" w:rsidP="00A44016">
            <w:pPr>
              <w:pStyle w:val="ExhibitText"/>
            </w:pPr>
            <w:r w:rsidRPr="00931A11">
              <w:t>0</w:t>
            </w:r>
          </w:p>
        </w:tc>
        <w:tc>
          <w:tcPr>
            <w:tcW w:w="1056" w:type="dxa"/>
            <w:noWrap/>
            <w:hideMark/>
          </w:tcPr>
          <w:p w14:paraId="04F841E1" w14:textId="77777777" w:rsidR="00311BFD" w:rsidRPr="00931A11" w:rsidRDefault="00311BFD" w:rsidP="00A44016">
            <w:pPr>
              <w:pStyle w:val="ExhibitText"/>
            </w:pPr>
            <w:r w:rsidRPr="00931A11">
              <w:t>0</w:t>
            </w:r>
            <w:r>
              <w:t>%</w:t>
            </w:r>
          </w:p>
        </w:tc>
        <w:tc>
          <w:tcPr>
            <w:tcW w:w="1056" w:type="dxa"/>
            <w:noWrap/>
            <w:hideMark/>
          </w:tcPr>
          <w:p w14:paraId="4303FEFF" w14:textId="77777777" w:rsidR="00311BFD" w:rsidRPr="00931A11" w:rsidRDefault="00311BFD" w:rsidP="00A44016">
            <w:pPr>
              <w:pStyle w:val="ExhibitText"/>
            </w:pPr>
            <w:r w:rsidRPr="00931A11">
              <w:t>10</w:t>
            </w:r>
          </w:p>
        </w:tc>
        <w:tc>
          <w:tcPr>
            <w:tcW w:w="1056" w:type="dxa"/>
            <w:noWrap/>
            <w:hideMark/>
          </w:tcPr>
          <w:p w14:paraId="0B5A6790" w14:textId="77777777" w:rsidR="00311BFD" w:rsidRPr="00931A11" w:rsidRDefault="00311BFD" w:rsidP="00A44016">
            <w:pPr>
              <w:pStyle w:val="ExhibitText"/>
            </w:pPr>
            <w:r>
              <w:t>31%</w:t>
            </w:r>
          </w:p>
        </w:tc>
      </w:tr>
      <w:tr w:rsidR="00311BFD" w:rsidRPr="00931A11" w14:paraId="49FEEDF5" w14:textId="77777777" w:rsidTr="001C288E">
        <w:trPr>
          <w:cantSplit/>
        </w:trPr>
        <w:tc>
          <w:tcPr>
            <w:tcW w:w="5135" w:type="dxa"/>
            <w:noWrap/>
            <w:hideMark/>
          </w:tcPr>
          <w:p w14:paraId="0F56D3BD" w14:textId="77777777" w:rsidR="00311BFD" w:rsidRPr="00931A11" w:rsidRDefault="00311BFD" w:rsidP="00A44016">
            <w:pPr>
              <w:pStyle w:val="ExhibitText"/>
            </w:pPr>
            <w:r w:rsidRPr="00931A11">
              <w:t>Associate’s/Technical/Vocational Degree</w:t>
            </w:r>
          </w:p>
        </w:tc>
        <w:tc>
          <w:tcPr>
            <w:tcW w:w="1057" w:type="dxa"/>
            <w:noWrap/>
            <w:hideMark/>
          </w:tcPr>
          <w:p w14:paraId="1105AA38" w14:textId="77777777" w:rsidR="00311BFD" w:rsidRPr="00931A11" w:rsidRDefault="00311BFD" w:rsidP="00A44016">
            <w:pPr>
              <w:pStyle w:val="ExhibitText"/>
            </w:pPr>
            <w:r w:rsidRPr="00931A11">
              <w:t>0</w:t>
            </w:r>
          </w:p>
        </w:tc>
        <w:tc>
          <w:tcPr>
            <w:tcW w:w="1056" w:type="dxa"/>
            <w:noWrap/>
            <w:hideMark/>
          </w:tcPr>
          <w:p w14:paraId="215FCE6F" w14:textId="77777777" w:rsidR="00311BFD" w:rsidRPr="00931A11" w:rsidRDefault="00311BFD" w:rsidP="00A44016">
            <w:pPr>
              <w:pStyle w:val="ExhibitText"/>
            </w:pPr>
            <w:r w:rsidRPr="00931A11">
              <w:t>0</w:t>
            </w:r>
          </w:p>
        </w:tc>
        <w:tc>
          <w:tcPr>
            <w:tcW w:w="1056" w:type="dxa"/>
            <w:noWrap/>
            <w:hideMark/>
          </w:tcPr>
          <w:p w14:paraId="737F329E" w14:textId="77777777" w:rsidR="00311BFD" w:rsidRPr="00931A11" w:rsidRDefault="00311BFD" w:rsidP="00A44016">
            <w:pPr>
              <w:pStyle w:val="ExhibitText"/>
            </w:pPr>
            <w:r w:rsidRPr="00931A11">
              <w:t>16</w:t>
            </w:r>
          </w:p>
        </w:tc>
        <w:tc>
          <w:tcPr>
            <w:tcW w:w="1056" w:type="dxa"/>
            <w:noWrap/>
            <w:hideMark/>
          </w:tcPr>
          <w:p w14:paraId="71C5BD60" w14:textId="77777777" w:rsidR="00311BFD" w:rsidRPr="00931A11" w:rsidRDefault="00311BFD" w:rsidP="00A44016">
            <w:pPr>
              <w:pStyle w:val="ExhibitText"/>
            </w:pPr>
            <w:r>
              <w:t>50</w:t>
            </w:r>
          </w:p>
        </w:tc>
      </w:tr>
      <w:tr w:rsidR="00311BFD" w:rsidRPr="00931A11" w14:paraId="460664E7" w14:textId="77777777" w:rsidTr="001C288E">
        <w:trPr>
          <w:cnfStyle w:val="000000010000" w:firstRow="0" w:lastRow="0" w:firstColumn="0" w:lastColumn="0" w:oddVBand="0" w:evenVBand="0" w:oddHBand="0" w:evenHBand="1" w:firstRowFirstColumn="0" w:firstRowLastColumn="0" w:lastRowFirstColumn="0" w:lastRowLastColumn="0"/>
          <w:cantSplit/>
        </w:trPr>
        <w:tc>
          <w:tcPr>
            <w:tcW w:w="5135" w:type="dxa"/>
            <w:noWrap/>
            <w:hideMark/>
          </w:tcPr>
          <w:p w14:paraId="53FBA100" w14:textId="77777777" w:rsidR="00311BFD" w:rsidRPr="00931A11" w:rsidRDefault="00311BFD" w:rsidP="00A44016">
            <w:pPr>
              <w:pStyle w:val="ExhibitText"/>
            </w:pPr>
            <w:r w:rsidRPr="00931A11">
              <w:t>Bachelor’s degree</w:t>
            </w:r>
          </w:p>
        </w:tc>
        <w:tc>
          <w:tcPr>
            <w:tcW w:w="1057" w:type="dxa"/>
            <w:noWrap/>
            <w:hideMark/>
          </w:tcPr>
          <w:p w14:paraId="775C6466" w14:textId="77777777" w:rsidR="00311BFD" w:rsidRPr="00931A11" w:rsidRDefault="00311BFD" w:rsidP="00A44016">
            <w:pPr>
              <w:pStyle w:val="ExhibitText"/>
            </w:pPr>
            <w:r>
              <w:t>30</w:t>
            </w:r>
          </w:p>
        </w:tc>
        <w:tc>
          <w:tcPr>
            <w:tcW w:w="1056" w:type="dxa"/>
            <w:noWrap/>
            <w:hideMark/>
          </w:tcPr>
          <w:p w14:paraId="2E84905F" w14:textId="77777777" w:rsidR="00311BFD" w:rsidRPr="00931A11" w:rsidRDefault="00311BFD" w:rsidP="00A44016">
            <w:pPr>
              <w:pStyle w:val="ExhibitText"/>
            </w:pPr>
            <w:r>
              <w:t>77</w:t>
            </w:r>
          </w:p>
        </w:tc>
        <w:tc>
          <w:tcPr>
            <w:tcW w:w="1056" w:type="dxa"/>
            <w:noWrap/>
            <w:hideMark/>
          </w:tcPr>
          <w:p w14:paraId="2EA354F8" w14:textId="77777777" w:rsidR="00311BFD" w:rsidRPr="00931A11" w:rsidRDefault="00311BFD" w:rsidP="00A44016">
            <w:pPr>
              <w:pStyle w:val="ExhibitText"/>
            </w:pPr>
            <w:r>
              <w:t>5</w:t>
            </w:r>
          </w:p>
        </w:tc>
        <w:tc>
          <w:tcPr>
            <w:tcW w:w="1056" w:type="dxa"/>
            <w:noWrap/>
            <w:hideMark/>
          </w:tcPr>
          <w:p w14:paraId="4AFF7A5F" w14:textId="77777777" w:rsidR="00311BFD" w:rsidRPr="00931A11" w:rsidRDefault="00311BFD" w:rsidP="00A44016">
            <w:pPr>
              <w:pStyle w:val="ExhibitText"/>
            </w:pPr>
            <w:r>
              <w:t>16</w:t>
            </w:r>
          </w:p>
        </w:tc>
      </w:tr>
      <w:tr w:rsidR="00311BFD" w:rsidRPr="00931A11" w14:paraId="0B902223" w14:textId="77777777" w:rsidTr="001C288E">
        <w:trPr>
          <w:cantSplit/>
        </w:trPr>
        <w:tc>
          <w:tcPr>
            <w:tcW w:w="5135" w:type="dxa"/>
            <w:noWrap/>
            <w:hideMark/>
          </w:tcPr>
          <w:p w14:paraId="7E59DC50" w14:textId="77777777" w:rsidR="00311BFD" w:rsidRPr="00931A11" w:rsidRDefault="00311BFD" w:rsidP="00A44016">
            <w:pPr>
              <w:pStyle w:val="ExhibitText"/>
            </w:pPr>
            <w:r w:rsidRPr="00931A11">
              <w:t>Master’s degree</w:t>
            </w:r>
          </w:p>
        </w:tc>
        <w:tc>
          <w:tcPr>
            <w:tcW w:w="1057" w:type="dxa"/>
            <w:noWrap/>
            <w:hideMark/>
          </w:tcPr>
          <w:p w14:paraId="5865E691" w14:textId="77777777" w:rsidR="00311BFD" w:rsidRPr="00931A11" w:rsidRDefault="00311BFD" w:rsidP="00A44016">
            <w:pPr>
              <w:pStyle w:val="ExhibitText"/>
            </w:pPr>
            <w:r w:rsidRPr="00931A11">
              <w:t>9</w:t>
            </w:r>
          </w:p>
        </w:tc>
        <w:tc>
          <w:tcPr>
            <w:tcW w:w="1056" w:type="dxa"/>
            <w:noWrap/>
            <w:hideMark/>
          </w:tcPr>
          <w:p w14:paraId="584B2C1B" w14:textId="77777777" w:rsidR="00311BFD" w:rsidRPr="00931A11" w:rsidRDefault="00311BFD" w:rsidP="00A44016">
            <w:pPr>
              <w:pStyle w:val="ExhibitText"/>
            </w:pPr>
            <w:r>
              <w:t>23</w:t>
            </w:r>
          </w:p>
        </w:tc>
        <w:tc>
          <w:tcPr>
            <w:tcW w:w="1056" w:type="dxa"/>
            <w:noWrap/>
            <w:hideMark/>
          </w:tcPr>
          <w:p w14:paraId="56E7E312" w14:textId="77777777" w:rsidR="00311BFD" w:rsidRPr="00931A11" w:rsidRDefault="00311BFD" w:rsidP="00A44016">
            <w:pPr>
              <w:pStyle w:val="ExhibitText"/>
            </w:pPr>
            <w:r w:rsidRPr="00931A11">
              <w:t>1</w:t>
            </w:r>
          </w:p>
        </w:tc>
        <w:tc>
          <w:tcPr>
            <w:tcW w:w="1056" w:type="dxa"/>
            <w:noWrap/>
            <w:hideMark/>
          </w:tcPr>
          <w:p w14:paraId="18FF0C86" w14:textId="77777777" w:rsidR="00311BFD" w:rsidRPr="00931A11" w:rsidRDefault="00311BFD" w:rsidP="00A44016">
            <w:pPr>
              <w:pStyle w:val="ExhibitText"/>
            </w:pPr>
            <w:r w:rsidRPr="00931A11">
              <w:t>3</w:t>
            </w:r>
          </w:p>
        </w:tc>
      </w:tr>
      <w:tr w:rsidR="00311BFD" w:rsidRPr="00931A11" w14:paraId="751D4D3B" w14:textId="77777777" w:rsidTr="001C288E">
        <w:trPr>
          <w:cnfStyle w:val="000000010000" w:firstRow="0" w:lastRow="0" w:firstColumn="0" w:lastColumn="0" w:oddVBand="0" w:evenVBand="0" w:oddHBand="0" w:evenHBand="1" w:firstRowFirstColumn="0" w:firstRowLastColumn="0" w:lastRowFirstColumn="0" w:lastRowLastColumn="0"/>
          <w:cantSplit/>
        </w:trPr>
        <w:tc>
          <w:tcPr>
            <w:tcW w:w="9360" w:type="dxa"/>
            <w:gridSpan w:val="5"/>
            <w:shd w:val="clear" w:color="auto" w:fill="808080" w:themeFill="background1" w:themeFillShade="80"/>
            <w:noWrap/>
            <w:hideMark/>
          </w:tcPr>
          <w:p w14:paraId="337A47B2" w14:textId="77777777" w:rsidR="00311BFD" w:rsidRPr="00931A11" w:rsidRDefault="00311BFD" w:rsidP="00A44016">
            <w:pPr>
              <w:pStyle w:val="ExhibitRowHeader"/>
            </w:pPr>
            <w:r w:rsidRPr="00931A11">
              <w:t>Experience</w:t>
            </w:r>
          </w:p>
        </w:tc>
      </w:tr>
      <w:tr w:rsidR="00311BFD" w:rsidRPr="00931A11" w14:paraId="65BF476A" w14:textId="77777777" w:rsidTr="001C288E">
        <w:trPr>
          <w:cantSplit/>
        </w:trPr>
        <w:tc>
          <w:tcPr>
            <w:tcW w:w="5135" w:type="dxa"/>
            <w:noWrap/>
            <w:hideMark/>
          </w:tcPr>
          <w:p w14:paraId="0028BAE9" w14:textId="77777777" w:rsidR="00311BFD" w:rsidRPr="00931A11" w:rsidRDefault="00311BFD" w:rsidP="00A44016">
            <w:pPr>
              <w:pStyle w:val="ExhibitText"/>
            </w:pPr>
            <w:r w:rsidRPr="00931A11">
              <w:t>1 year</w:t>
            </w:r>
          </w:p>
        </w:tc>
        <w:tc>
          <w:tcPr>
            <w:tcW w:w="1057" w:type="dxa"/>
            <w:noWrap/>
            <w:hideMark/>
          </w:tcPr>
          <w:p w14:paraId="35973478" w14:textId="77777777" w:rsidR="00311BFD" w:rsidRPr="00931A11" w:rsidRDefault="00311BFD" w:rsidP="00A44016">
            <w:pPr>
              <w:pStyle w:val="ExhibitText"/>
            </w:pPr>
            <w:r w:rsidRPr="00931A11">
              <w:t>3</w:t>
            </w:r>
          </w:p>
        </w:tc>
        <w:tc>
          <w:tcPr>
            <w:tcW w:w="1056" w:type="dxa"/>
            <w:noWrap/>
            <w:hideMark/>
          </w:tcPr>
          <w:p w14:paraId="04C49F70" w14:textId="77777777" w:rsidR="00311BFD" w:rsidRPr="00931A11" w:rsidRDefault="00311BFD" w:rsidP="00A44016">
            <w:pPr>
              <w:pStyle w:val="ExhibitText"/>
            </w:pPr>
            <w:r>
              <w:t>8%</w:t>
            </w:r>
          </w:p>
        </w:tc>
        <w:tc>
          <w:tcPr>
            <w:tcW w:w="1056" w:type="dxa"/>
            <w:noWrap/>
            <w:hideMark/>
          </w:tcPr>
          <w:p w14:paraId="06254443" w14:textId="77777777" w:rsidR="00311BFD" w:rsidRPr="00931A11" w:rsidRDefault="00311BFD" w:rsidP="00A44016">
            <w:pPr>
              <w:pStyle w:val="ExhibitText"/>
            </w:pPr>
            <w:r w:rsidRPr="00931A11">
              <w:t>7</w:t>
            </w:r>
          </w:p>
        </w:tc>
        <w:tc>
          <w:tcPr>
            <w:tcW w:w="1056" w:type="dxa"/>
            <w:noWrap/>
            <w:hideMark/>
          </w:tcPr>
          <w:p w14:paraId="5EB87722" w14:textId="77777777" w:rsidR="00311BFD" w:rsidRPr="00931A11" w:rsidRDefault="00311BFD" w:rsidP="00A44016">
            <w:pPr>
              <w:pStyle w:val="ExhibitText"/>
            </w:pPr>
            <w:r>
              <w:t>21%</w:t>
            </w:r>
          </w:p>
        </w:tc>
      </w:tr>
      <w:tr w:rsidR="00311BFD" w:rsidRPr="00931A11" w14:paraId="4056484C" w14:textId="77777777" w:rsidTr="001C288E">
        <w:trPr>
          <w:cnfStyle w:val="000000010000" w:firstRow="0" w:lastRow="0" w:firstColumn="0" w:lastColumn="0" w:oddVBand="0" w:evenVBand="0" w:oddHBand="0" w:evenHBand="1" w:firstRowFirstColumn="0" w:firstRowLastColumn="0" w:lastRowFirstColumn="0" w:lastRowLastColumn="0"/>
          <w:cantSplit/>
        </w:trPr>
        <w:tc>
          <w:tcPr>
            <w:tcW w:w="5135" w:type="dxa"/>
            <w:noWrap/>
            <w:hideMark/>
          </w:tcPr>
          <w:p w14:paraId="76239535" w14:textId="77777777" w:rsidR="00311BFD" w:rsidRPr="00931A11" w:rsidRDefault="00311BFD" w:rsidP="00A44016">
            <w:pPr>
              <w:pStyle w:val="ExhibitText"/>
            </w:pPr>
            <w:r w:rsidRPr="00931A11">
              <w:t>2</w:t>
            </w:r>
            <w:r>
              <w:t>–5</w:t>
            </w:r>
            <w:r w:rsidRPr="00931A11">
              <w:t xml:space="preserve"> years</w:t>
            </w:r>
          </w:p>
        </w:tc>
        <w:tc>
          <w:tcPr>
            <w:tcW w:w="1057" w:type="dxa"/>
            <w:noWrap/>
            <w:hideMark/>
          </w:tcPr>
          <w:p w14:paraId="4E1FFB14" w14:textId="77777777" w:rsidR="00311BFD" w:rsidRPr="00931A11" w:rsidRDefault="00311BFD" w:rsidP="00A44016">
            <w:pPr>
              <w:pStyle w:val="ExhibitText"/>
            </w:pPr>
            <w:r>
              <w:t>12</w:t>
            </w:r>
          </w:p>
        </w:tc>
        <w:tc>
          <w:tcPr>
            <w:tcW w:w="1056" w:type="dxa"/>
            <w:noWrap/>
            <w:hideMark/>
          </w:tcPr>
          <w:p w14:paraId="3BF00C9A" w14:textId="77777777" w:rsidR="00311BFD" w:rsidRPr="00931A11" w:rsidRDefault="00311BFD" w:rsidP="00A44016">
            <w:pPr>
              <w:pStyle w:val="ExhibitText"/>
            </w:pPr>
            <w:r w:rsidRPr="00931A11">
              <w:t>31</w:t>
            </w:r>
          </w:p>
        </w:tc>
        <w:tc>
          <w:tcPr>
            <w:tcW w:w="1056" w:type="dxa"/>
            <w:noWrap/>
            <w:hideMark/>
          </w:tcPr>
          <w:p w14:paraId="03203DBA" w14:textId="77777777" w:rsidR="00311BFD" w:rsidRPr="00931A11" w:rsidRDefault="00311BFD" w:rsidP="00A44016">
            <w:pPr>
              <w:pStyle w:val="ExhibitText"/>
            </w:pPr>
            <w:r>
              <w:t>14</w:t>
            </w:r>
          </w:p>
        </w:tc>
        <w:tc>
          <w:tcPr>
            <w:tcW w:w="1056" w:type="dxa"/>
            <w:noWrap/>
            <w:hideMark/>
          </w:tcPr>
          <w:p w14:paraId="06ECAA84" w14:textId="77777777" w:rsidR="00311BFD" w:rsidRPr="00931A11" w:rsidRDefault="00311BFD" w:rsidP="00A44016">
            <w:pPr>
              <w:pStyle w:val="ExhibitText"/>
            </w:pPr>
            <w:r>
              <w:t>42</w:t>
            </w:r>
          </w:p>
        </w:tc>
      </w:tr>
      <w:tr w:rsidR="00311BFD" w:rsidRPr="00931A11" w14:paraId="56286189" w14:textId="77777777" w:rsidTr="001C288E">
        <w:trPr>
          <w:cantSplit/>
        </w:trPr>
        <w:tc>
          <w:tcPr>
            <w:tcW w:w="5135" w:type="dxa"/>
            <w:noWrap/>
            <w:hideMark/>
          </w:tcPr>
          <w:p w14:paraId="49205AE0" w14:textId="77777777" w:rsidR="00311BFD" w:rsidRPr="00931A11" w:rsidRDefault="00311BFD" w:rsidP="00A44016">
            <w:pPr>
              <w:pStyle w:val="ExhibitText"/>
            </w:pPr>
            <w:r w:rsidRPr="00931A11">
              <w:t>6</w:t>
            </w:r>
            <w:r>
              <w:t>–1</w:t>
            </w:r>
            <w:r w:rsidRPr="00931A11">
              <w:t>0 years</w:t>
            </w:r>
          </w:p>
        </w:tc>
        <w:tc>
          <w:tcPr>
            <w:tcW w:w="1057" w:type="dxa"/>
            <w:noWrap/>
            <w:hideMark/>
          </w:tcPr>
          <w:p w14:paraId="794B14AB" w14:textId="77777777" w:rsidR="00311BFD" w:rsidRPr="00931A11" w:rsidRDefault="00311BFD" w:rsidP="00A44016">
            <w:pPr>
              <w:pStyle w:val="ExhibitText"/>
            </w:pPr>
            <w:r>
              <w:t>12</w:t>
            </w:r>
          </w:p>
        </w:tc>
        <w:tc>
          <w:tcPr>
            <w:tcW w:w="1056" w:type="dxa"/>
            <w:noWrap/>
            <w:hideMark/>
          </w:tcPr>
          <w:p w14:paraId="5064E765" w14:textId="77777777" w:rsidR="00311BFD" w:rsidRPr="00931A11" w:rsidRDefault="00311BFD" w:rsidP="00A44016">
            <w:pPr>
              <w:pStyle w:val="ExhibitText"/>
            </w:pPr>
            <w:r w:rsidRPr="00931A11">
              <w:t>31</w:t>
            </w:r>
          </w:p>
        </w:tc>
        <w:tc>
          <w:tcPr>
            <w:tcW w:w="1056" w:type="dxa"/>
            <w:noWrap/>
            <w:hideMark/>
          </w:tcPr>
          <w:p w14:paraId="4A0DF086" w14:textId="77777777" w:rsidR="00311BFD" w:rsidRPr="00931A11" w:rsidRDefault="00311BFD" w:rsidP="00A44016">
            <w:pPr>
              <w:pStyle w:val="ExhibitText"/>
            </w:pPr>
            <w:r>
              <w:t>5</w:t>
            </w:r>
          </w:p>
        </w:tc>
        <w:tc>
          <w:tcPr>
            <w:tcW w:w="1056" w:type="dxa"/>
            <w:noWrap/>
            <w:hideMark/>
          </w:tcPr>
          <w:p w14:paraId="13D10E90" w14:textId="77777777" w:rsidR="00311BFD" w:rsidRPr="00931A11" w:rsidRDefault="00311BFD" w:rsidP="00A44016">
            <w:pPr>
              <w:pStyle w:val="ExhibitText"/>
            </w:pPr>
            <w:r>
              <w:t>15</w:t>
            </w:r>
          </w:p>
        </w:tc>
      </w:tr>
      <w:tr w:rsidR="00311BFD" w:rsidRPr="00931A11" w14:paraId="1DFAB891" w14:textId="77777777" w:rsidTr="001C288E">
        <w:trPr>
          <w:cnfStyle w:val="000000010000" w:firstRow="0" w:lastRow="0" w:firstColumn="0" w:lastColumn="0" w:oddVBand="0" w:evenVBand="0" w:oddHBand="0" w:evenHBand="1" w:firstRowFirstColumn="0" w:firstRowLastColumn="0" w:lastRowFirstColumn="0" w:lastRowLastColumn="0"/>
          <w:cantSplit/>
        </w:trPr>
        <w:tc>
          <w:tcPr>
            <w:tcW w:w="5135" w:type="dxa"/>
            <w:noWrap/>
            <w:hideMark/>
          </w:tcPr>
          <w:p w14:paraId="66329996" w14:textId="77777777" w:rsidR="00311BFD" w:rsidRPr="00931A11" w:rsidRDefault="00311BFD" w:rsidP="00A44016">
            <w:pPr>
              <w:pStyle w:val="ExhibitText"/>
            </w:pPr>
            <w:r w:rsidRPr="00931A11">
              <w:t>More than 10 years</w:t>
            </w:r>
          </w:p>
        </w:tc>
        <w:tc>
          <w:tcPr>
            <w:tcW w:w="1057" w:type="dxa"/>
            <w:noWrap/>
            <w:hideMark/>
          </w:tcPr>
          <w:p w14:paraId="3E3B0102" w14:textId="77777777" w:rsidR="00311BFD" w:rsidRPr="00931A11" w:rsidRDefault="00311BFD" w:rsidP="00A44016">
            <w:pPr>
              <w:pStyle w:val="ExhibitText"/>
            </w:pPr>
            <w:r>
              <w:t>12</w:t>
            </w:r>
          </w:p>
        </w:tc>
        <w:tc>
          <w:tcPr>
            <w:tcW w:w="1056" w:type="dxa"/>
            <w:noWrap/>
            <w:hideMark/>
          </w:tcPr>
          <w:p w14:paraId="78A28AAE" w14:textId="77777777" w:rsidR="00311BFD" w:rsidRPr="00931A11" w:rsidRDefault="00311BFD" w:rsidP="00A44016">
            <w:pPr>
              <w:pStyle w:val="ExhibitText"/>
            </w:pPr>
            <w:r>
              <w:t>31</w:t>
            </w:r>
          </w:p>
        </w:tc>
        <w:tc>
          <w:tcPr>
            <w:tcW w:w="1056" w:type="dxa"/>
            <w:noWrap/>
            <w:hideMark/>
          </w:tcPr>
          <w:p w14:paraId="0EAF3711" w14:textId="77777777" w:rsidR="00311BFD" w:rsidRPr="00931A11" w:rsidRDefault="00311BFD" w:rsidP="00A44016">
            <w:pPr>
              <w:pStyle w:val="ExhibitText"/>
            </w:pPr>
            <w:r>
              <w:t>7</w:t>
            </w:r>
          </w:p>
        </w:tc>
        <w:tc>
          <w:tcPr>
            <w:tcW w:w="1056" w:type="dxa"/>
            <w:noWrap/>
            <w:hideMark/>
          </w:tcPr>
          <w:p w14:paraId="72E03268" w14:textId="77777777" w:rsidR="00311BFD" w:rsidRPr="00931A11" w:rsidRDefault="00311BFD" w:rsidP="00A44016">
            <w:pPr>
              <w:pStyle w:val="ExhibitText"/>
            </w:pPr>
            <w:r>
              <w:t>21</w:t>
            </w:r>
          </w:p>
        </w:tc>
      </w:tr>
      <w:tr w:rsidR="00311BFD" w:rsidRPr="00931A11" w14:paraId="033B6290" w14:textId="77777777" w:rsidTr="001C288E">
        <w:trPr>
          <w:cantSplit/>
        </w:trPr>
        <w:tc>
          <w:tcPr>
            <w:tcW w:w="9360" w:type="dxa"/>
            <w:gridSpan w:val="5"/>
            <w:shd w:val="clear" w:color="auto" w:fill="808080" w:themeFill="background1" w:themeFillShade="80"/>
            <w:noWrap/>
            <w:hideMark/>
          </w:tcPr>
          <w:p w14:paraId="36876506" w14:textId="77777777" w:rsidR="00311BFD" w:rsidRPr="00931A11" w:rsidRDefault="00311BFD" w:rsidP="00A44016">
            <w:pPr>
              <w:pStyle w:val="ExhibitRowHeader"/>
            </w:pPr>
            <w:r w:rsidRPr="00931A11">
              <w:t>Language</w:t>
            </w:r>
            <w:r>
              <w:t>s Spoken</w:t>
            </w:r>
          </w:p>
        </w:tc>
      </w:tr>
      <w:tr w:rsidR="00311BFD" w:rsidRPr="00931A11" w14:paraId="25ED722D" w14:textId="77777777" w:rsidTr="001C288E">
        <w:trPr>
          <w:cnfStyle w:val="000000010000" w:firstRow="0" w:lastRow="0" w:firstColumn="0" w:lastColumn="0" w:oddVBand="0" w:evenVBand="0" w:oddHBand="0" w:evenHBand="1" w:firstRowFirstColumn="0" w:firstRowLastColumn="0" w:lastRowFirstColumn="0" w:lastRowLastColumn="0"/>
          <w:cantSplit/>
        </w:trPr>
        <w:tc>
          <w:tcPr>
            <w:tcW w:w="5135" w:type="dxa"/>
            <w:noWrap/>
            <w:hideMark/>
          </w:tcPr>
          <w:p w14:paraId="1840D773" w14:textId="77777777" w:rsidR="00311BFD" w:rsidRPr="00931A11" w:rsidRDefault="00311BFD" w:rsidP="00A44016">
            <w:pPr>
              <w:pStyle w:val="ExhibitText"/>
            </w:pPr>
            <w:r w:rsidRPr="00931A11">
              <w:t>English</w:t>
            </w:r>
          </w:p>
        </w:tc>
        <w:tc>
          <w:tcPr>
            <w:tcW w:w="1057" w:type="dxa"/>
            <w:noWrap/>
            <w:hideMark/>
          </w:tcPr>
          <w:p w14:paraId="0A9625E8" w14:textId="77777777" w:rsidR="00311BFD" w:rsidRPr="00931A11" w:rsidRDefault="00311BFD" w:rsidP="00A44016">
            <w:pPr>
              <w:pStyle w:val="ExhibitText"/>
            </w:pPr>
            <w:r>
              <w:t>39</w:t>
            </w:r>
          </w:p>
        </w:tc>
        <w:tc>
          <w:tcPr>
            <w:tcW w:w="1056" w:type="dxa"/>
            <w:noWrap/>
            <w:hideMark/>
          </w:tcPr>
          <w:p w14:paraId="3D38F891" w14:textId="77777777" w:rsidR="00311BFD" w:rsidRPr="00931A11" w:rsidRDefault="00311BFD" w:rsidP="00A44016">
            <w:pPr>
              <w:pStyle w:val="ExhibitText"/>
            </w:pPr>
            <w:r w:rsidRPr="00931A11">
              <w:t>100</w:t>
            </w:r>
            <w:r>
              <w:t>%</w:t>
            </w:r>
          </w:p>
        </w:tc>
        <w:tc>
          <w:tcPr>
            <w:tcW w:w="1056" w:type="dxa"/>
            <w:noWrap/>
            <w:hideMark/>
          </w:tcPr>
          <w:p w14:paraId="4DA4B0DC" w14:textId="77777777" w:rsidR="00311BFD" w:rsidRPr="00931A11" w:rsidRDefault="00311BFD" w:rsidP="00A44016">
            <w:pPr>
              <w:pStyle w:val="ExhibitText"/>
            </w:pPr>
            <w:r>
              <w:t>32</w:t>
            </w:r>
          </w:p>
        </w:tc>
        <w:tc>
          <w:tcPr>
            <w:tcW w:w="1056" w:type="dxa"/>
            <w:noWrap/>
            <w:hideMark/>
          </w:tcPr>
          <w:p w14:paraId="4221CE20" w14:textId="77777777" w:rsidR="00311BFD" w:rsidRPr="00931A11" w:rsidRDefault="00311BFD" w:rsidP="00A44016">
            <w:pPr>
              <w:pStyle w:val="ExhibitText"/>
            </w:pPr>
            <w:r w:rsidRPr="00931A11">
              <w:t>97</w:t>
            </w:r>
            <w:r>
              <w:t>%</w:t>
            </w:r>
          </w:p>
        </w:tc>
      </w:tr>
      <w:tr w:rsidR="00311BFD" w:rsidRPr="00931A11" w14:paraId="2F1AB3B7" w14:textId="77777777" w:rsidTr="001C288E">
        <w:trPr>
          <w:cantSplit/>
        </w:trPr>
        <w:tc>
          <w:tcPr>
            <w:tcW w:w="5135" w:type="dxa"/>
            <w:noWrap/>
            <w:hideMark/>
          </w:tcPr>
          <w:p w14:paraId="2141E5F1" w14:textId="77777777" w:rsidR="00311BFD" w:rsidRPr="00931A11" w:rsidRDefault="00311BFD" w:rsidP="00A44016">
            <w:pPr>
              <w:pStyle w:val="ExhibitText"/>
            </w:pPr>
            <w:r w:rsidRPr="00931A11">
              <w:t>Spanish</w:t>
            </w:r>
          </w:p>
        </w:tc>
        <w:tc>
          <w:tcPr>
            <w:tcW w:w="1057" w:type="dxa"/>
            <w:noWrap/>
            <w:hideMark/>
          </w:tcPr>
          <w:p w14:paraId="781F0DDD" w14:textId="77777777" w:rsidR="00311BFD" w:rsidRPr="00931A11" w:rsidRDefault="00311BFD" w:rsidP="00A44016">
            <w:pPr>
              <w:pStyle w:val="ExhibitText"/>
            </w:pPr>
            <w:r>
              <w:t>10</w:t>
            </w:r>
          </w:p>
        </w:tc>
        <w:tc>
          <w:tcPr>
            <w:tcW w:w="1056" w:type="dxa"/>
            <w:noWrap/>
            <w:hideMark/>
          </w:tcPr>
          <w:p w14:paraId="5A63C3C8" w14:textId="77777777" w:rsidR="00311BFD" w:rsidRPr="00931A11" w:rsidRDefault="00311BFD" w:rsidP="00A44016">
            <w:pPr>
              <w:pStyle w:val="ExhibitText"/>
            </w:pPr>
            <w:r w:rsidRPr="00931A11">
              <w:t>26</w:t>
            </w:r>
          </w:p>
        </w:tc>
        <w:tc>
          <w:tcPr>
            <w:tcW w:w="1056" w:type="dxa"/>
            <w:noWrap/>
            <w:hideMark/>
          </w:tcPr>
          <w:p w14:paraId="405AAA18" w14:textId="77777777" w:rsidR="00311BFD" w:rsidRPr="00931A11" w:rsidRDefault="00311BFD" w:rsidP="00A44016">
            <w:pPr>
              <w:pStyle w:val="ExhibitText"/>
            </w:pPr>
            <w:r>
              <w:t>15</w:t>
            </w:r>
          </w:p>
        </w:tc>
        <w:tc>
          <w:tcPr>
            <w:tcW w:w="1056" w:type="dxa"/>
            <w:noWrap/>
            <w:hideMark/>
          </w:tcPr>
          <w:p w14:paraId="713C3DC5" w14:textId="77777777" w:rsidR="00311BFD" w:rsidRPr="00931A11" w:rsidRDefault="00311BFD" w:rsidP="00A44016">
            <w:pPr>
              <w:pStyle w:val="ExhibitText"/>
            </w:pPr>
            <w:r>
              <w:t>45</w:t>
            </w:r>
          </w:p>
        </w:tc>
      </w:tr>
      <w:tr w:rsidR="00311BFD" w:rsidRPr="00931A11" w14:paraId="3F86F696" w14:textId="77777777" w:rsidTr="001C288E">
        <w:trPr>
          <w:cnfStyle w:val="000000010000" w:firstRow="0" w:lastRow="0" w:firstColumn="0" w:lastColumn="0" w:oddVBand="0" w:evenVBand="0" w:oddHBand="0" w:evenHBand="1" w:firstRowFirstColumn="0" w:firstRowLastColumn="0" w:lastRowFirstColumn="0" w:lastRowLastColumn="0"/>
          <w:cantSplit/>
        </w:trPr>
        <w:tc>
          <w:tcPr>
            <w:tcW w:w="5135" w:type="dxa"/>
            <w:noWrap/>
            <w:hideMark/>
          </w:tcPr>
          <w:p w14:paraId="2E6D44C7" w14:textId="77777777" w:rsidR="00311BFD" w:rsidRPr="00931A11" w:rsidRDefault="0040414D" w:rsidP="000A5031">
            <w:pPr>
              <w:pStyle w:val="ExhibitText"/>
            </w:pPr>
            <w:r>
              <w:t>Haitian</w:t>
            </w:r>
            <w:r w:rsidR="000A5031">
              <w:t xml:space="preserve"> </w:t>
            </w:r>
            <w:r w:rsidR="00311BFD" w:rsidRPr="00931A11">
              <w:t>Creole</w:t>
            </w:r>
          </w:p>
        </w:tc>
        <w:tc>
          <w:tcPr>
            <w:tcW w:w="1057" w:type="dxa"/>
            <w:noWrap/>
            <w:hideMark/>
          </w:tcPr>
          <w:p w14:paraId="30F46335" w14:textId="77777777" w:rsidR="00311BFD" w:rsidRPr="00931A11" w:rsidRDefault="001C288E" w:rsidP="00A44016">
            <w:pPr>
              <w:pStyle w:val="ExhibitText"/>
            </w:pPr>
            <w:r>
              <w:t>3</w:t>
            </w:r>
          </w:p>
        </w:tc>
        <w:tc>
          <w:tcPr>
            <w:tcW w:w="1056" w:type="dxa"/>
            <w:noWrap/>
            <w:hideMark/>
          </w:tcPr>
          <w:p w14:paraId="2A8EA4B9" w14:textId="77777777" w:rsidR="00311BFD" w:rsidRPr="00931A11" w:rsidRDefault="001C288E" w:rsidP="00A44016">
            <w:pPr>
              <w:pStyle w:val="ExhibitText"/>
            </w:pPr>
            <w:r>
              <w:t>8</w:t>
            </w:r>
          </w:p>
        </w:tc>
        <w:tc>
          <w:tcPr>
            <w:tcW w:w="1056" w:type="dxa"/>
            <w:noWrap/>
            <w:hideMark/>
          </w:tcPr>
          <w:p w14:paraId="3D521716" w14:textId="77777777" w:rsidR="00311BFD" w:rsidRPr="00931A11" w:rsidRDefault="00311BFD" w:rsidP="00A44016">
            <w:pPr>
              <w:pStyle w:val="ExhibitText"/>
            </w:pPr>
            <w:r w:rsidRPr="00931A11">
              <w:t>0</w:t>
            </w:r>
          </w:p>
        </w:tc>
        <w:tc>
          <w:tcPr>
            <w:tcW w:w="1056" w:type="dxa"/>
            <w:noWrap/>
            <w:hideMark/>
          </w:tcPr>
          <w:p w14:paraId="114C8495" w14:textId="77777777" w:rsidR="00311BFD" w:rsidRPr="00931A11" w:rsidRDefault="00311BFD" w:rsidP="00A44016">
            <w:pPr>
              <w:pStyle w:val="ExhibitText"/>
            </w:pPr>
            <w:r w:rsidRPr="00931A11">
              <w:t>0</w:t>
            </w:r>
          </w:p>
        </w:tc>
      </w:tr>
      <w:tr w:rsidR="00311BFD" w:rsidRPr="00931A11" w14:paraId="11884009" w14:textId="77777777" w:rsidTr="001C288E">
        <w:trPr>
          <w:cantSplit/>
        </w:trPr>
        <w:tc>
          <w:tcPr>
            <w:tcW w:w="5135" w:type="dxa"/>
            <w:noWrap/>
            <w:hideMark/>
          </w:tcPr>
          <w:p w14:paraId="37AEA3A5" w14:textId="77777777" w:rsidR="00311BFD" w:rsidRPr="00931A11" w:rsidRDefault="00311BFD" w:rsidP="00A44016">
            <w:pPr>
              <w:pStyle w:val="ExhibitText"/>
            </w:pPr>
            <w:r w:rsidRPr="00931A11">
              <w:t>French</w:t>
            </w:r>
          </w:p>
        </w:tc>
        <w:tc>
          <w:tcPr>
            <w:tcW w:w="1057" w:type="dxa"/>
            <w:noWrap/>
            <w:hideMark/>
          </w:tcPr>
          <w:p w14:paraId="41C8D1E6" w14:textId="77777777" w:rsidR="00311BFD" w:rsidRPr="00931A11" w:rsidRDefault="00311BFD" w:rsidP="00A44016">
            <w:pPr>
              <w:pStyle w:val="ExhibitText"/>
            </w:pPr>
            <w:r w:rsidRPr="00931A11">
              <w:t>1</w:t>
            </w:r>
          </w:p>
        </w:tc>
        <w:tc>
          <w:tcPr>
            <w:tcW w:w="1056" w:type="dxa"/>
            <w:noWrap/>
            <w:hideMark/>
          </w:tcPr>
          <w:p w14:paraId="5029400B" w14:textId="77777777" w:rsidR="00311BFD" w:rsidRPr="00931A11" w:rsidRDefault="00311BFD" w:rsidP="00A44016">
            <w:pPr>
              <w:pStyle w:val="ExhibitText"/>
            </w:pPr>
            <w:r w:rsidRPr="00931A11">
              <w:t>3</w:t>
            </w:r>
          </w:p>
        </w:tc>
        <w:tc>
          <w:tcPr>
            <w:tcW w:w="1056" w:type="dxa"/>
            <w:noWrap/>
            <w:hideMark/>
          </w:tcPr>
          <w:p w14:paraId="598AB784" w14:textId="77777777" w:rsidR="00311BFD" w:rsidRPr="00931A11" w:rsidRDefault="00311BFD" w:rsidP="00A44016">
            <w:pPr>
              <w:pStyle w:val="ExhibitText"/>
            </w:pPr>
            <w:r w:rsidRPr="00931A11">
              <w:t>0</w:t>
            </w:r>
          </w:p>
        </w:tc>
        <w:tc>
          <w:tcPr>
            <w:tcW w:w="1056" w:type="dxa"/>
            <w:noWrap/>
            <w:hideMark/>
          </w:tcPr>
          <w:p w14:paraId="39AF34C5" w14:textId="77777777" w:rsidR="00311BFD" w:rsidRPr="00931A11" w:rsidRDefault="00311BFD" w:rsidP="00A44016">
            <w:pPr>
              <w:pStyle w:val="ExhibitText"/>
            </w:pPr>
            <w:r w:rsidRPr="00931A11">
              <w:t>0</w:t>
            </w:r>
          </w:p>
        </w:tc>
      </w:tr>
      <w:tr w:rsidR="00311BFD" w:rsidRPr="00931A11" w14:paraId="5B4E1644" w14:textId="77777777" w:rsidTr="001C288E">
        <w:trPr>
          <w:cnfStyle w:val="000000010000" w:firstRow="0" w:lastRow="0" w:firstColumn="0" w:lastColumn="0" w:oddVBand="0" w:evenVBand="0" w:oddHBand="0" w:evenHBand="1" w:firstRowFirstColumn="0" w:firstRowLastColumn="0" w:lastRowFirstColumn="0" w:lastRowLastColumn="0"/>
          <w:cantSplit/>
        </w:trPr>
        <w:tc>
          <w:tcPr>
            <w:tcW w:w="5135" w:type="dxa"/>
            <w:noWrap/>
            <w:hideMark/>
          </w:tcPr>
          <w:p w14:paraId="330D6446" w14:textId="77777777" w:rsidR="00311BFD" w:rsidRPr="00931A11" w:rsidRDefault="00311BFD" w:rsidP="00A44016">
            <w:pPr>
              <w:pStyle w:val="ExhibitText"/>
            </w:pPr>
            <w:r w:rsidRPr="00931A11">
              <w:t>Other</w:t>
            </w:r>
          </w:p>
        </w:tc>
        <w:tc>
          <w:tcPr>
            <w:tcW w:w="1057" w:type="dxa"/>
            <w:noWrap/>
            <w:hideMark/>
          </w:tcPr>
          <w:p w14:paraId="23CCA474" w14:textId="77777777" w:rsidR="00311BFD" w:rsidRPr="00931A11" w:rsidRDefault="00311BFD" w:rsidP="00A44016">
            <w:pPr>
              <w:pStyle w:val="ExhibitText"/>
            </w:pPr>
            <w:r>
              <w:t>3</w:t>
            </w:r>
          </w:p>
        </w:tc>
        <w:tc>
          <w:tcPr>
            <w:tcW w:w="1056" w:type="dxa"/>
            <w:noWrap/>
            <w:hideMark/>
          </w:tcPr>
          <w:p w14:paraId="7CCDB381" w14:textId="77777777" w:rsidR="00311BFD" w:rsidRPr="00931A11" w:rsidRDefault="00311BFD" w:rsidP="00A44016">
            <w:pPr>
              <w:pStyle w:val="ExhibitText"/>
            </w:pPr>
            <w:r>
              <w:t>8</w:t>
            </w:r>
          </w:p>
        </w:tc>
        <w:tc>
          <w:tcPr>
            <w:tcW w:w="1056" w:type="dxa"/>
            <w:noWrap/>
            <w:hideMark/>
          </w:tcPr>
          <w:p w14:paraId="7A6C52FF" w14:textId="77777777" w:rsidR="00311BFD" w:rsidRPr="00931A11" w:rsidRDefault="00311BFD" w:rsidP="00A44016">
            <w:pPr>
              <w:pStyle w:val="ExhibitText"/>
            </w:pPr>
            <w:r>
              <w:t>1</w:t>
            </w:r>
          </w:p>
        </w:tc>
        <w:tc>
          <w:tcPr>
            <w:tcW w:w="1056" w:type="dxa"/>
            <w:noWrap/>
            <w:hideMark/>
          </w:tcPr>
          <w:p w14:paraId="28B8F9A6" w14:textId="77777777" w:rsidR="00311BFD" w:rsidRPr="00931A11" w:rsidRDefault="00311BFD" w:rsidP="00A44016">
            <w:pPr>
              <w:pStyle w:val="ExhibitText"/>
            </w:pPr>
            <w:r>
              <w:t>3</w:t>
            </w:r>
          </w:p>
        </w:tc>
      </w:tr>
      <w:tr w:rsidR="00311BFD" w:rsidRPr="00931A11" w14:paraId="214F8E3A" w14:textId="77777777" w:rsidTr="001C288E">
        <w:trPr>
          <w:cantSplit/>
        </w:trPr>
        <w:tc>
          <w:tcPr>
            <w:tcW w:w="9360" w:type="dxa"/>
            <w:gridSpan w:val="5"/>
            <w:shd w:val="clear" w:color="auto" w:fill="808080" w:themeFill="background1" w:themeFillShade="80"/>
            <w:noWrap/>
            <w:hideMark/>
          </w:tcPr>
          <w:p w14:paraId="5DB91B0C" w14:textId="77777777" w:rsidR="00311BFD" w:rsidRPr="00931A11" w:rsidRDefault="00311BFD" w:rsidP="00A44016">
            <w:pPr>
              <w:pStyle w:val="ExhibitRowHeader"/>
            </w:pPr>
            <w:r w:rsidRPr="00931A11">
              <w:t>Other Work</w:t>
            </w:r>
          </w:p>
        </w:tc>
      </w:tr>
      <w:tr w:rsidR="00311BFD" w:rsidRPr="00931A11" w14:paraId="74ED71BE" w14:textId="77777777" w:rsidTr="001C288E">
        <w:trPr>
          <w:cnfStyle w:val="000000010000" w:firstRow="0" w:lastRow="0" w:firstColumn="0" w:lastColumn="0" w:oddVBand="0" w:evenVBand="0" w:oddHBand="0" w:evenHBand="1" w:firstRowFirstColumn="0" w:firstRowLastColumn="0" w:lastRowFirstColumn="0" w:lastRowLastColumn="0"/>
          <w:cantSplit/>
        </w:trPr>
        <w:tc>
          <w:tcPr>
            <w:tcW w:w="5135" w:type="dxa"/>
            <w:noWrap/>
            <w:hideMark/>
          </w:tcPr>
          <w:p w14:paraId="04100C02" w14:textId="77777777" w:rsidR="00311BFD" w:rsidRPr="00931A11" w:rsidRDefault="00311BFD" w:rsidP="00A44016">
            <w:pPr>
              <w:pStyle w:val="ExhibitText"/>
            </w:pPr>
            <w:r w:rsidRPr="00931A11">
              <w:t>Externally Employed (Part- or Full-Time)</w:t>
            </w:r>
          </w:p>
        </w:tc>
        <w:tc>
          <w:tcPr>
            <w:tcW w:w="1057" w:type="dxa"/>
            <w:noWrap/>
            <w:hideMark/>
          </w:tcPr>
          <w:p w14:paraId="76A96065" w14:textId="77777777" w:rsidR="00311BFD" w:rsidRPr="00931A11" w:rsidRDefault="00311BFD" w:rsidP="00A44016">
            <w:pPr>
              <w:pStyle w:val="ExhibitText"/>
            </w:pPr>
            <w:r>
              <w:t>8</w:t>
            </w:r>
          </w:p>
        </w:tc>
        <w:tc>
          <w:tcPr>
            <w:tcW w:w="1056" w:type="dxa"/>
            <w:noWrap/>
            <w:hideMark/>
          </w:tcPr>
          <w:p w14:paraId="5AE40152" w14:textId="77777777" w:rsidR="00311BFD" w:rsidRPr="00931A11" w:rsidRDefault="00311BFD" w:rsidP="00A44016">
            <w:pPr>
              <w:pStyle w:val="ExhibitText"/>
            </w:pPr>
            <w:r>
              <w:t>21%</w:t>
            </w:r>
          </w:p>
        </w:tc>
        <w:tc>
          <w:tcPr>
            <w:tcW w:w="1056" w:type="dxa"/>
            <w:noWrap/>
            <w:hideMark/>
          </w:tcPr>
          <w:p w14:paraId="78137FBA" w14:textId="77777777" w:rsidR="00311BFD" w:rsidRPr="00931A11" w:rsidRDefault="00311BFD" w:rsidP="00A44016">
            <w:pPr>
              <w:pStyle w:val="ExhibitText"/>
            </w:pPr>
            <w:r>
              <w:t>5</w:t>
            </w:r>
          </w:p>
        </w:tc>
        <w:tc>
          <w:tcPr>
            <w:tcW w:w="1056" w:type="dxa"/>
            <w:noWrap/>
            <w:hideMark/>
          </w:tcPr>
          <w:p w14:paraId="1F17F3B7" w14:textId="77777777" w:rsidR="00311BFD" w:rsidRPr="00931A11" w:rsidRDefault="00311BFD" w:rsidP="00A44016">
            <w:pPr>
              <w:pStyle w:val="ExhibitText"/>
            </w:pPr>
            <w:r>
              <w:t>16%</w:t>
            </w:r>
          </w:p>
        </w:tc>
      </w:tr>
      <w:tr w:rsidR="00311BFD" w:rsidRPr="00931A11" w14:paraId="0AA3D4A5" w14:textId="77777777" w:rsidTr="001C288E">
        <w:trPr>
          <w:cantSplit/>
        </w:trPr>
        <w:tc>
          <w:tcPr>
            <w:tcW w:w="9360" w:type="dxa"/>
            <w:gridSpan w:val="5"/>
            <w:shd w:val="clear" w:color="auto" w:fill="808080" w:themeFill="background1" w:themeFillShade="80"/>
            <w:noWrap/>
            <w:hideMark/>
          </w:tcPr>
          <w:p w14:paraId="5431840D" w14:textId="77777777" w:rsidR="00311BFD" w:rsidRPr="00931A11" w:rsidRDefault="00311BFD" w:rsidP="00A44016">
            <w:pPr>
              <w:pStyle w:val="ExhibitRowHeader"/>
            </w:pPr>
            <w:r w:rsidRPr="00931A11">
              <w:t>Other Education</w:t>
            </w:r>
          </w:p>
        </w:tc>
      </w:tr>
      <w:tr w:rsidR="00311BFD" w:rsidRPr="00931A11" w14:paraId="6A417812" w14:textId="77777777" w:rsidTr="001C288E">
        <w:trPr>
          <w:cnfStyle w:val="000000010000" w:firstRow="0" w:lastRow="0" w:firstColumn="0" w:lastColumn="0" w:oddVBand="0" w:evenVBand="0" w:oddHBand="0" w:evenHBand="1" w:firstRowFirstColumn="0" w:firstRowLastColumn="0" w:lastRowFirstColumn="0" w:lastRowLastColumn="0"/>
          <w:cantSplit/>
        </w:trPr>
        <w:tc>
          <w:tcPr>
            <w:tcW w:w="5135" w:type="dxa"/>
            <w:noWrap/>
            <w:hideMark/>
          </w:tcPr>
          <w:p w14:paraId="4A218353" w14:textId="77777777" w:rsidR="00311BFD" w:rsidRPr="00931A11" w:rsidRDefault="00311BFD" w:rsidP="00A44016">
            <w:pPr>
              <w:pStyle w:val="ExhibitText"/>
            </w:pPr>
            <w:r w:rsidRPr="00931A11">
              <w:t>Currently in School as a Student</w:t>
            </w:r>
          </w:p>
        </w:tc>
        <w:tc>
          <w:tcPr>
            <w:tcW w:w="1057" w:type="dxa"/>
            <w:noWrap/>
            <w:hideMark/>
          </w:tcPr>
          <w:p w14:paraId="02B7E8A3" w14:textId="77777777" w:rsidR="00311BFD" w:rsidRPr="00931A11" w:rsidRDefault="00311BFD" w:rsidP="00A44016">
            <w:pPr>
              <w:pStyle w:val="ExhibitText"/>
            </w:pPr>
            <w:r>
              <w:t>8</w:t>
            </w:r>
          </w:p>
        </w:tc>
        <w:tc>
          <w:tcPr>
            <w:tcW w:w="1056" w:type="dxa"/>
            <w:noWrap/>
            <w:hideMark/>
          </w:tcPr>
          <w:p w14:paraId="646474C1" w14:textId="77777777" w:rsidR="00311BFD" w:rsidRPr="00931A11" w:rsidRDefault="00311BFD" w:rsidP="00A44016">
            <w:pPr>
              <w:pStyle w:val="ExhibitText"/>
            </w:pPr>
            <w:r>
              <w:t>21%</w:t>
            </w:r>
          </w:p>
        </w:tc>
        <w:tc>
          <w:tcPr>
            <w:tcW w:w="1056" w:type="dxa"/>
            <w:noWrap/>
            <w:hideMark/>
          </w:tcPr>
          <w:p w14:paraId="7CDFEB26" w14:textId="77777777" w:rsidR="00311BFD" w:rsidRPr="00931A11" w:rsidRDefault="00311BFD" w:rsidP="00A44016">
            <w:pPr>
              <w:pStyle w:val="ExhibitText"/>
            </w:pPr>
            <w:r>
              <w:t>13</w:t>
            </w:r>
          </w:p>
        </w:tc>
        <w:tc>
          <w:tcPr>
            <w:tcW w:w="1056" w:type="dxa"/>
            <w:noWrap/>
            <w:hideMark/>
          </w:tcPr>
          <w:p w14:paraId="354D1C3F" w14:textId="77777777" w:rsidR="00311BFD" w:rsidRPr="00931A11" w:rsidRDefault="00311BFD" w:rsidP="00A44016">
            <w:pPr>
              <w:pStyle w:val="ExhibitText"/>
            </w:pPr>
            <w:r>
              <w:t>41%</w:t>
            </w:r>
          </w:p>
        </w:tc>
      </w:tr>
    </w:tbl>
    <w:p w14:paraId="6CA84CE9" w14:textId="77777777" w:rsidR="00311BFD" w:rsidRPr="00FE4F0F" w:rsidRDefault="00311BFD" w:rsidP="00311BFD">
      <w:pPr>
        <w:pStyle w:val="ExhibitSource"/>
        <w:numPr>
          <w:ilvl w:val="0"/>
          <w:numId w:val="3"/>
        </w:numPr>
      </w:pPr>
      <w:r w:rsidRPr="00FE4F0F">
        <w:rPr>
          <w:b/>
        </w:rPr>
        <w:t>READS AS:</w:t>
      </w:r>
      <w:r w:rsidRPr="00FE4F0F">
        <w:t xml:space="preserve"> Zero lead teachers and 10 assistant teachers (or</w:t>
      </w:r>
      <w:r>
        <w:t xml:space="preserve"> 31% of assistant teachers) held </w:t>
      </w:r>
      <w:r w:rsidRPr="00FE4F0F">
        <w:t>a high school diploma or a GED</w:t>
      </w:r>
      <w:r>
        <w:t xml:space="preserve"> as their highest level of education</w:t>
      </w:r>
      <w:r w:rsidRPr="00FE4F0F">
        <w:t xml:space="preserve">. </w:t>
      </w:r>
    </w:p>
    <w:p w14:paraId="0F9B88F3" w14:textId="77777777" w:rsidR="00311BFD" w:rsidRPr="00FE4F0F" w:rsidRDefault="00311BFD" w:rsidP="00311BFD">
      <w:pPr>
        <w:pStyle w:val="ExhibitSource"/>
        <w:numPr>
          <w:ilvl w:val="0"/>
          <w:numId w:val="3"/>
        </w:numPr>
      </w:pPr>
      <w:r w:rsidRPr="00FE4F0F">
        <w:rPr>
          <w:b/>
        </w:rPr>
        <w:t>NOTES:</w:t>
      </w:r>
      <w:r w:rsidRPr="00FE4F0F">
        <w:t xml:space="preserve"> Percentages were rounded to the nearest whole number; Responses for “Language Spoken” do not sum to 100 percent because multiple responses were permitted.</w:t>
      </w:r>
    </w:p>
    <w:p w14:paraId="5CE180F5" w14:textId="77777777" w:rsidR="00311BFD" w:rsidRPr="00FE4F0F" w:rsidRDefault="00311BFD" w:rsidP="00311BFD">
      <w:pPr>
        <w:pStyle w:val="ExhibitSource"/>
        <w:numPr>
          <w:ilvl w:val="0"/>
          <w:numId w:val="3"/>
        </w:numPr>
      </w:pPr>
      <w:r w:rsidRPr="00FE4F0F">
        <w:rPr>
          <w:b/>
        </w:rPr>
        <w:t>SAMPLE:</w:t>
      </w:r>
      <w:r>
        <w:t xml:space="preserve"> For lead teachers, N=38–39, missing=0–1. For assistant teachers, N=32–33, missing=0–1. For all teachers, N=71–72, missing=0–1.</w:t>
      </w:r>
    </w:p>
    <w:p w14:paraId="521D1710" w14:textId="77777777" w:rsidR="000D2113" w:rsidRPr="00311BFD" w:rsidRDefault="00311BFD" w:rsidP="00311BFD">
      <w:pPr>
        <w:pStyle w:val="ExhibitSource"/>
        <w:numPr>
          <w:ilvl w:val="0"/>
          <w:numId w:val="3"/>
        </w:numPr>
      </w:pPr>
      <w:r w:rsidRPr="00FE4F0F">
        <w:rPr>
          <w:b/>
        </w:rPr>
        <w:t>SOURCE:</w:t>
      </w:r>
      <w:r w:rsidRPr="00FE4F0F">
        <w:t xml:space="preserve"> PEG Teacher Survey </w:t>
      </w:r>
      <w:r>
        <w:rPr>
          <w:szCs w:val="18"/>
        </w:rPr>
        <w:t>(Spring 2016).</w:t>
      </w:r>
    </w:p>
    <w:p w14:paraId="4E129364" w14:textId="70E6463F" w:rsidR="00A142C9" w:rsidRDefault="00311BFD" w:rsidP="00311BFD">
      <w:pPr>
        <w:pStyle w:val="NoSpacing"/>
        <w:spacing w:after="200" w:line="276" w:lineRule="auto"/>
        <w:rPr>
          <w:rFonts w:ascii="Times New Roman" w:hAnsi="Times New Roman"/>
          <w:sz w:val="24"/>
          <w:szCs w:val="24"/>
        </w:rPr>
      </w:pPr>
      <w:r w:rsidRPr="00311BFD">
        <w:rPr>
          <w:rFonts w:ascii="Times New Roman" w:hAnsi="Times New Roman"/>
          <w:sz w:val="24"/>
          <w:szCs w:val="24"/>
        </w:rPr>
        <w:t xml:space="preserve">The level of education of PEG lead teachers </w:t>
      </w:r>
      <w:r w:rsidR="00275E20">
        <w:rPr>
          <w:rFonts w:ascii="Times New Roman" w:hAnsi="Times New Roman"/>
          <w:sz w:val="24"/>
          <w:szCs w:val="24"/>
        </w:rPr>
        <w:t xml:space="preserve">is higher than </w:t>
      </w:r>
      <w:r w:rsidR="003065C2">
        <w:rPr>
          <w:rFonts w:ascii="Times New Roman" w:hAnsi="Times New Roman"/>
          <w:sz w:val="24"/>
          <w:szCs w:val="24"/>
        </w:rPr>
        <w:t>that</w:t>
      </w:r>
      <w:r w:rsidRPr="00311BFD">
        <w:rPr>
          <w:rFonts w:ascii="Times New Roman" w:hAnsi="Times New Roman"/>
          <w:sz w:val="24"/>
          <w:szCs w:val="24"/>
        </w:rPr>
        <w:t xml:space="preserve"> reported nationally for programs serving disadvantaged preschool children; nationally 45 percent of center-based teachers and caregivers serving children ages 3–5 had a bachelor’s degree or higher</w:t>
      </w:r>
      <w:r w:rsidR="00275E20">
        <w:rPr>
          <w:rStyle w:val="FootnoteReference"/>
          <w:rFonts w:ascii="Times New Roman" w:hAnsi="Times New Roman"/>
          <w:sz w:val="24"/>
          <w:szCs w:val="24"/>
        </w:rPr>
        <w:footnoteReference w:id="10"/>
      </w:r>
      <w:r w:rsidR="00275E20">
        <w:rPr>
          <w:rFonts w:ascii="Times New Roman" w:hAnsi="Times New Roman"/>
          <w:sz w:val="24"/>
          <w:szCs w:val="24"/>
        </w:rPr>
        <w:t xml:space="preserve">. </w:t>
      </w:r>
      <w:r w:rsidRPr="00311BFD">
        <w:rPr>
          <w:rFonts w:ascii="Times New Roman" w:hAnsi="Times New Roman"/>
          <w:sz w:val="24"/>
          <w:szCs w:val="24"/>
        </w:rPr>
        <w:t>It is also higher than the 30 percent that was recently reported for center-based teachers in Massachusetts</w:t>
      </w:r>
      <w:r w:rsidR="004A6D6D">
        <w:rPr>
          <w:rStyle w:val="FootnoteReference"/>
          <w:rFonts w:ascii="Times New Roman" w:hAnsi="Times New Roman"/>
          <w:sz w:val="24"/>
          <w:szCs w:val="24"/>
        </w:rPr>
        <w:footnoteReference w:id="11"/>
      </w:r>
      <w:r w:rsidR="00275E20">
        <w:rPr>
          <w:rFonts w:ascii="Times New Roman" w:hAnsi="Times New Roman"/>
          <w:sz w:val="24"/>
          <w:szCs w:val="24"/>
        </w:rPr>
        <w:t>.</w:t>
      </w:r>
      <w:r w:rsidR="002C7105">
        <w:rPr>
          <w:rFonts w:ascii="Times New Roman" w:hAnsi="Times New Roman"/>
          <w:sz w:val="24"/>
          <w:szCs w:val="24"/>
        </w:rPr>
        <w:t xml:space="preserve">  </w:t>
      </w:r>
      <w:r w:rsidR="00A142C9">
        <w:rPr>
          <w:rFonts w:ascii="Times New Roman" w:hAnsi="Times New Roman"/>
          <w:sz w:val="24"/>
          <w:szCs w:val="24"/>
        </w:rPr>
        <w:t xml:space="preserve">In general, PEG programs were able to hire lead teachers quickly, drawing in some cases from teachers who had been working in other programs run by the same agency.  </w:t>
      </w:r>
      <w:r w:rsidR="00AB2F35">
        <w:rPr>
          <w:rFonts w:ascii="Times New Roman" w:hAnsi="Times New Roman"/>
          <w:sz w:val="24"/>
          <w:szCs w:val="24"/>
        </w:rPr>
        <w:t>Difficulties in hiring</w:t>
      </w:r>
      <w:r w:rsidR="00A142C9">
        <w:rPr>
          <w:rFonts w:ascii="Times New Roman" w:hAnsi="Times New Roman"/>
          <w:sz w:val="24"/>
          <w:szCs w:val="24"/>
        </w:rPr>
        <w:t xml:space="preserve"> were </w:t>
      </w:r>
      <w:r w:rsidR="00804C46">
        <w:rPr>
          <w:rFonts w:ascii="Times New Roman" w:hAnsi="Times New Roman"/>
          <w:sz w:val="24"/>
          <w:szCs w:val="24"/>
        </w:rPr>
        <w:t xml:space="preserve">generally </w:t>
      </w:r>
      <w:r w:rsidR="00574731">
        <w:rPr>
          <w:rFonts w:ascii="Times New Roman" w:hAnsi="Times New Roman"/>
          <w:sz w:val="24"/>
          <w:szCs w:val="24"/>
        </w:rPr>
        <w:t xml:space="preserve">only </w:t>
      </w:r>
      <w:r w:rsidR="00A142C9">
        <w:rPr>
          <w:rFonts w:ascii="Times New Roman" w:hAnsi="Times New Roman"/>
          <w:sz w:val="24"/>
          <w:szCs w:val="24"/>
        </w:rPr>
        <w:t xml:space="preserve">reported </w:t>
      </w:r>
      <w:r w:rsidR="00AB2F35">
        <w:rPr>
          <w:rFonts w:ascii="Times New Roman" w:hAnsi="Times New Roman"/>
          <w:sz w:val="24"/>
          <w:szCs w:val="24"/>
        </w:rPr>
        <w:t>for</w:t>
      </w:r>
      <w:r w:rsidR="00A142C9">
        <w:rPr>
          <w:rFonts w:ascii="Times New Roman" w:hAnsi="Times New Roman"/>
          <w:sz w:val="24"/>
          <w:szCs w:val="24"/>
        </w:rPr>
        <w:t xml:space="preserve"> the third teacher</w:t>
      </w:r>
      <w:r w:rsidR="00AB2F35">
        <w:rPr>
          <w:rFonts w:ascii="Times New Roman" w:hAnsi="Times New Roman"/>
          <w:sz w:val="24"/>
          <w:szCs w:val="24"/>
        </w:rPr>
        <w:t xml:space="preserve"> and floater positions</w:t>
      </w:r>
      <w:r w:rsidR="00A142C9">
        <w:rPr>
          <w:rFonts w:ascii="Times New Roman" w:hAnsi="Times New Roman"/>
          <w:sz w:val="24"/>
          <w:szCs w:val="24"/>
        </w:rPr>
        <w:t xml:space="preserve">, the lowest paid </w:t>
      </w:r>
      <w:r w:rsidR="00AB2F35">
        <w:rPr>
          <w:rFonts w:ascii="Times New Roman" w:hAnsi="Times New Roman"/>
          <w:sz w:val="24"/>
          <w:szCs w:val="24"/>
        </w:rPr>
        <w:t xml:space="preserve">of the </w:t>
      </w:r>
      <w:r w:rsidR="00AB2F35">
        <w:rPr>
          <w:rFonts w:ascii="Times New Roman" w:hAnsi="Times New Roman"/>
          <w:sz w:val="24"/>
          <w:szCs w:val="24"/>
        </w:rPr>
        <w:lastRenderedPageBreak/>
        <w:t xml:space="preserve">teaching </w:t>
      </w:r>
      <w:r w:rsidR="00A142C9">
        <w:rPr>
          <w:rFonts w:ascii="Times New Roman" w:hAnsi="Times New Roman"/>
          <w:sz w:val="24"/>
          <w:szCs w:val="24"/>
        </w:rPr>
        <w:t>position</w:t>
      </w:r>
      <w:r w:rsidR="00AB2F35">
        <w:rPr>
          <w:rFonts w:ascii="Times New Roman" w:hAnsi="Times New Roman"/>
          <w:sz w:val="24"/>
          <w:szCs w:val="24"/>
        </w:rPr>
        <w:t>s</w:t>
      </w:r>
      <w:r w:rsidR="00A142C9">
        <w:rPr>
          <w:rFonts w:ascii="Times New Roman" w:hAnsi="Times New Roman"/>
          <w:sz w:val="24"/>
          <w:szCs w:val="24"/>
        </w:rPr>
        <w:t>.  Additionally, ELPs reported difficulty in filling open positions in other agency programs created when teachers moved to the PEG program</w:t>
      </w:r>
      <w:r w:rsidR="00065644">
        <w:rPr>
          <w:rFonts w:ascii="Times New Roman" w:hAnsi="Times New Roman"/>
          <w:sz w:val="24"/>
          <w:szCs w:val="24"/>
        </w:rPr>
        <w:t xml:space="preserve">, which reflects a larger concern in the field that </w:t>
      </w:r>
      <w:r w:rsidR="00245D56">
        <w:rPr>
          <w:rFonts w:ascii="Times New Roman" w:hAnsi="Times New Roman"/>
          <w:sz w:val="24"/>
          <w:szCs w:val="24"/>
        </w:rPr>
        <w:t>hiring</w:t>
      </w:r>
      <w:r w:rsidR="00065644">
        <w:rPr>
          <w:rFonts w:ascii="Times New Roman" w:hAnsi="Times New Roman"/>
          <w:sz w:val="24"/>
          <w:szCs w:val="24"/>
        </w:rPr>
        <w:t xml:space="preserve"> and retain</w:t>
      </w:r>
      <w:r w:rsidR="00245D56">
        <w:rPr>
          <w:rFonts w:ascii="Times New Roman" w:hAnsi="Times New Roman"/>
          <w:sz w:val="24"/>
          <w:szCs w:val="24"/>
        </w:rPr>
        <w:t>ing</w:t>
      </w:r>
      <w:r w:rsidR="00065644">
        <w:rPr>
          <w:rFonts w:ascii="Times New Roman" w:hAnsi="Times New Roman"/>
          <w:sz w:val="24"/>
          <w:szCs w:val="24"/>
        </w:rPr>
        <w:t xml:space="preserve"> qualified staff</w:t>
      </w:r>
      <w:r w:rsidR="00245D56">
        <w:rPr>
          <w:rFonts w:ascii="Times New Roman" w:hAnsi="Times New Roman"/>
          <w:sz w:val="24"/>
          <w:szCs w:val="24"/>
        </w:rPr>
        <w:t xml:space="preserve"> have </w:t>
      </w:r>
      <w:r w:rsidR="00574731">
        <w:rPr>
          <w:rFonts w:ascii="Times New Roman" w:hAnsi="Times New Roman"/>
          <w:sz w:val="24"/>
          <w:szCs w:val="24"/>
        </w:rPr>
        <w:t>become much harder</w:t>
      </w:r>
      <w:r w:rsidR="00245D56">
        <w:rPr>
          <w:rFonts w:ascii="Times New Roman" w:hAnsi="Times New Roman"/>
          <w:sz w:val="24"/>
          <w:szCs w:val="24"/>
        </w:rPr>
        <w:t xml:space="preserve"> in recent years</w:t>
      </w:r>
      <w:r w:rsidR="00065644">
        <w:rPr>
          <w:rStyle w:val="FootnoteReference"/>
          <w:rFonts w:ascii="Times New Roman" w:hAnsi="Times New Roman"/>
          <w:sz w:val="24"/>
          <w:szCs w:val="24"/>
        </w:rPr>
        <w:footnoteReference w:id="12"/>
      </w:r>
      <w:r w:rsidR="00A142C9">
        <w:rPr>
          <w:rFonts w:ascii="Times New Roman" w:hAnsi="Times New Roman"/>
          <w:sz w:val="24"/>
          <w:szCs w:val="24"/>
        </w:rPr>
        <w:t>.  Overall, the evidence to date suggests that the salaries being offered were effective at enticing qualified teachers to the PEG program</w:t>
      </w:r>
      <w:r w:rsidR="00065644">
        <w:rPr>
          <w:rFonts w:ascii="Times New Roman" w:hAnsi="Times New Roman"/>
          <w:sz w:val="24"/>
          <w:szCs w:val="24"/>
        </w:rPr>
        <w:t>, at least for the lead teacher positions</w:t>
      </w:r>
      <w:r w:rsidR="00A142C9">
        <w:rPr>
          <w:rFonts w:ascii="Times New Roman" w:hAnsi="Times New Roman"/>
          <w:sz w:val="24"/>
          <w:szCs w:val="24"/>
        </w:rPr>
        <w:t xml:space="preserve">.  </w:t>
      </w:r>
      <w:r w:rsidR="00E60753">
        <w:rPr>
          <w:rFonts w:ascii="Times New Roman" w:hAnsi="Times New Roman"/>
          <w:sz w:val="24"/>
          <w:szCs w:val="24"/>
        </w:rPr>
        <w:t xml:space="preserve">At the same time, </w:t>
      </w:r>
      <w:r w:rsidR="00AB2F35">
        <w:rPr>
          <w:rFonts w:ascii="Times New Roman" w:hAnsi="Times New Roman"/>
          <w:sz w:val="24"/>
          <w:szCs w:val="24"/>
        </w:rPr>
        <w:t>programs are concerned</w:t>
      </w:r>
      <w:r w:rsidR="00A142C9">
        <w:rPr>
          <w:rFonts w:ascii="Times New Roman" w:hAnsi="Times New Roman"/>
          <w:sz w:val="24"/>
          <w:szCs w:val="24"/>
        </w:rPr>
        <w:t xml:space="preserve"> that </w:t>
      </w:r>
      <w:r w:rsidR="00DA42EE">
        <w:rPr>
          <w:rFonts w:ascii="Times New Roman" w:hAnsi="Times New Roman"/>
          <w:sz w:val="24"/>
          <w:szCs w:val="24"/>
        </w:rPr>
        <w:t xml:space="preserve">PEG teachers </w:t>
      </w:r>
      <w:r w:rsidR="00E60753">
        <w:rPr>
          <w:rFonts w:ascii="Times New Roman" w:hAnsi="Times New Roman"/>
          <w:sz w:val="24"/>
          <w:szCs w:val="24"/>
        </w:rPr>
        <w:t xml:space="preserve">may </w:t>
      </w:r>
      <w:r w:rsidR="00DA42EE">
        <w:rPr>
          <w:rFonts w:ascii="Times New Roman" w:hAnsi="Times New Roman"/>
          <w:sz w:val="24"/>
          <w:szCs w:val="24"/>
        </w:rPr>
        <w:t>recognize</w:t>
      </w:r>
      <w:r w:rsidR="00A142C9">
        <w:rPr>
          <w:rFonts w:ascii="Times New Roman" w:hAnsi="Times New Roman"/>
          <w:sz w:val="24"/>
          <w:szCs w:val="24"/>
        </w:rPr>
        <w:t xml:space="preserve"> public school staff work shorter days and a shorter year for similar salaries</w:t>
      </w:r>
      <w:r w:rsidR="00872C20">
        <w:rPr>
          <w:rFonts w:ascii="Times New Roman" w:hAnsi="Times New Roman"/>
          <w:sz w:val="24"/>
          <w:szCs w:val="24"/>
        </w:rPr>
        <w:t xml:space="preserve"> </w:t>
      </w:r>
      <w:r w:rsidR="00DA42EE">
        <w:rPr>
          <w:rFonts w:ascii="Times New Roman" w:hAnsi="Times New Roman"/>
          <w:sz w:val="24"/>
          <w:szCs w:val="24"/>
        </w:rPr>
        <w:t xml:space="preserve">and </w:t>
      </w:r>
      <w:r w:rsidR="00E60753">
        <w:rPr>
          <w:rFonts w:ascii="Times New Roman" w:hAnsi="Times New Roman"/>
          <w:sz w:val="24"/>
          <w:szCs w:val="24"/>
        </w:rPr>
        <w:t>leave for jobs in the public schools. T</w:t>
      </w:r>
      <w:r w:rsidR="00DA42EE">
        <w:rPr>
          <w:rFonts w:ascii="Times New Roman" w:hAnsi="Times New Roman"/>
          <w:sz w:val="24"/>
          <w:szCs w:val="24"/>
        </w:rPr>
        <w:t>eacher reports of their satisfaction with their salaries were also mixed (</w:t>
      </w:r>
      <w:r w:rsidR="00AB2F35">
        <w:rPr>
          <w:rFonts w:ascii="Times New Roman" w:hAnsi="Times New Roman"/>
          <w:sz w:val="24"/>
          <w:szCs w:val="24"/>
        </w:rPr>
        <w:t xml:space="preserve">only </w:t>
      </w:r>
      <w:r w:rsidR="00DA42EE">
        <w:rPr>
          <w:rFonts w:ascii="Times New Roman" w:hAnsi="Times New Roman"/>
          <w:sz w:val="24"/>
          <w:szCs w:val="24"/>
        </w:rPr>
        <w:t>64 percent of lead teachers and 45 percent of assistant teachers were satisfied), supporting this concern.</w:t>
      </w:r>
      <w:r w:rsidR="00E60753">
        <w:rPr>
          <w:rFonts w:ascii="Times New Roman" w:hAnsi="Times New Roman"/>
          <w:sz w:val="24"/>
          <w:szCs w:val="24"/>
        </w:rPr>
        <w:t xml:space="preserve"> In future years, teacher retention will be considered to understand the extent to which these salaries and associated supports for teachers encourage teachers to remain in PEG programs.  </w:t>
      </w:r>
    </w:p>
    <w:p w14:paraId="39AD50A6" w14:textId="77777777" w:rsidR="00FE320D" w:rsidRDefault="00FE320D" w:rsidP="00FE320D">
      <w:pPr>
        <w:pStyle w:val="Heading2"/>
      </w:pPr>
      <w:bookmarkStart w:id="35" w:name="_Toc467591106"/>
      <w:r>
        <w:t>Teacher Attitudes</w:t>
      </w:r>
      <w:bookmarkEnd w:id="35"/>
    </w:p>
    <w:p w14:paraId="48FBCAAB" w14:textId="77777777" w:rsidR="00FE320D" w:rsidRDefault="00FE320D" w:rsidP="00FE320D">
      <w:pPr>
        <w:pStyle w:val="BodyText"/>
      </w:pPr>
      <w:r>
        <w:t>In general, PEG teachers were satisfied with their jobs</w:t>
      </w:r>
      <w:r w:rsidR="00E60753">
        <w:t xml:space="preserve"> (93 percent were "very satisfied" or "somewhat satisfied")</w:t>
      </w:r>
      <w:r>
        <w:t xml:space="preserve"> and felt confident in their teaching abilities.  Ultimately, it is expected that teachers who feel more positively about their jobs and their own competen</w:t>
      </w:r>
      <w:r w:rsidR="00B96505">
        <w:t xml:space="preserve">cies will remain in the program and be more </w:t>
      </w:r>
      <w:r w:rsidR="00AB2F35">
        <w:t>likely to embrace opportunities to develop</w:t>
      </w:r>
      <w:r w:rsidR="00B96505">
        <w:t xml:space="preserve"> their practice</w:t>
      </w:r>
      <w:r w:rsidR="00E60753">
        <w:t>,</w:t>
      </w:r>
      <w:r>
        <w:t xml:space="preserve"> thereby providing the </w:t>
      </w:r>
      <w:r w:rsidR="00B96505">
        <w:t>program with a stable and increasingly skilled workforce.</w:t>
      </w:r>
      <w:r>
        <w:t xml:space="preserve"> </w:t>
      </w:r>
    </w:p>
    <w:p w14:paraId="7E9ADE34" w14:textId="77777777" w:rsidR="00FE320D" w:rsidRDefault="00B96505" w:rsidP="00FE320D">
      <w:pPr>
        <w:pStyle w:val="BodyText"/>
      </w:pPr>
      <w:r>
        <w:t>More than half of lead teachers surveyed (60 percent) reported that ELP and center directors were “very supportive” in helping them manage their classrooms effectively, while another 23 percent of teachers characterized their leadership as “somewhat supportive.” Teachers were similarly positive in focus groups; most teachers reported that they generally felt supported by their ELP and center directors.</w:t>
      </w:r>
    </w:p>
    <w:p w14:paraId="164B7A2A" w14:textId="77777777" w:rsidR="00FE320D" w:rsidRDefault="00FE320D" w:rsidP="00FE320D">
      <w:pPr>
        <w:pStyle w:val="BodyText"/>
      </w:pPr>
      <w:r>
        <w:t>PEG teachers expressed a high level of confidence in their ability</w:t>
      </w:r>
      <w:r w:rsidR="00EE1323">
        <w:t xml:space="preserve"> to work with students</w:t>
      </w:r>
      <w:r w:rsidRPr="006C48E3">
        <w:t>.</w:t>
      </w:r>
      <w:r>
        <w:t xml:space="preserve"> </w:t>
      </w:r>
      <w:r w:rsidR="00EE1323">
        <w:t>All teachers agreed</w:t>
      </w:r>
      <w:r>
        <w:t xml:space="preserve"> they made a significant difference in students’ lives and that they were successful at reaching even the most difficult students</w:t>
      </w:r>
      <w:r w:rsidR="00EE1323">
        <w:t xml:space="preserve"> (97 and 90 percent respectively agreed "very strongly")</w:t>
      </w:r>
      <w:r>
        <w:t>. Teachers were less confident about their influence on their students’ achievement and motivation, relative to the influence of their home environments and peers.</w:t>
      </w:r>
      <w:r w:rsidR="00EE1323">
        <w:t xml:space="preserve"> Only 70 percent disagreed with the statement, </w:t>
      </w:r>
      <w:r w:rsidR="00E60753">
        <w:t>"</w:t>
      </w:r>
      <w:r w:rsidR="00EE1323" w:rsidRPr="00427192">
        <w:t>Most of a student's motivation depends on the home environment, so I have limited influence.</w:t>
      </w:r>
      <w:r w:rsidR="00EE1323">
        <w:t>"</w:t>
      </w:r>
      <w:r>
        <w:t xml:space="preserve"> However, teachers were highly confident in their ability to communicate with parents and guardians; on average, teachers rated their ability to communicate with parents about various topics as above 4.6 on a 5-point scale. </w:t>
      </w:r>
    </w:p>
    <w:p w14:paraId="689A47BD" w14:textId="77777777" w:rsidR="00FE320D" w:rsidRDefault="00B96505" w:rsidP="00B96505">
      <w:pPr>
        <w:pStyle w:val="Heading2"/>
        <w:rPr>
          <w:szCs w:val="24"/>
        </w:rPr>
      </w:pPr>
      <w:bookmarkStart w:id="36" w:name="_Toc467591107"/>
      <w:r>
        <w:rPr>
          <w:szCs w:val="24"/>
        </w:rPr>
        <w:t>Professional Development</w:t>
      </w:r>
      <w:bookmarkEnd w:id="36"/>
    </w:p>
    <w:p w14:paraId="01BF1D7E" w14:textId="77777777" w:rsidR="00B96505" w:rsidRPr="00B96505" w:rsidRDefault="00B96505" w:rsidP="00B96505">
      <w:r w:rsidRPr="00B96505">
        <w:t xml:space="preserve">A primary </w:t>
      </w:r>
      <w:r w:rsidR="00E60753">
        <w:t xml:space="preserve">set of </w:t>
      </w:r>
      <w:r w:rsidRPr="00B96505">
        <w:t>support</w:t>
      </w:r>
      <w:r w:rsidR="00E60753">
        <w:t>s</w:t>
      </w:r>
      <w:r w:rsidRPr="00B96505">
        <w:t xml:space="preserve"> provided to teachers in the first year of PEG </w:t>
      </w:r>
      <w:r w:rsidR="00E60753">
        <w:t>were</w:t>
      </w:r>
      <w:r w:rsidRPr="00B96505">
        <w:t xml:space="preserve"> professional development</w:t>
      </w:r>
      <w:r w:rsidR="00E60753">
        <w:t xml:space="preserve"> opportunities</w:t>
      </w:r>
      <w:r w:rsidRPr="00B96505">
        <w:t>. PEG districts and programs were allowed to design their own professional development programs, which could vary in intensity and topics covered. At the same time, PEG</w:t>
      </w:r>
      <w:r>
        <w:t xml:space="preserve"> communities were encouraged to collaborate in and align professional development activities and approaches across all participating agencies</w:t>
      </w:r>
      <w:r w:rsidRPr="00B96505">
        <w:t xml:space="preserve">. Most center directors </w:t>
      </w:r>
      <w:r w:rsidRPr="00B96505">
        <w:lastRenderedPageBreak/>
        <w:t>(75 percent) reported that professional development to teachers was provided primarily by school district staff. Less often, ELP and center staff delivered the professional development</w:t>
      </w:r>
      <w:r>
        <w:t>.</w:t>
      </w:r>
      <w:r w:rsidR="008B605A">
        <w:t xml:space="preserve">  The most common forms of professional development supports were group training, coaching and support for planning time</w:t>
      </w:r>
      <w:r w:rsidR="00006120">
        <w:t>, although only four of the five communities provided coaching in the first year</w:t>
      </w:r>
      <w:r w:rsidR="008B605A">
        <w:t>.</w:t>
      </w:r>
    </w:p>
    <w:p w14:paraId="1BDB199B" w14:textId="0B94475B" w:rsidR="00311BFD" w:rsidRDefault="00293A85" w:rsidP="00060DAD">
      <w:pPr>
        <w:pStyle w:val="BodyText"/>
        <w:ind w:right="-450"/>
      </w:pPr>
      <w:r>
        <w:t>On average, PEG lead teachers reported attending 23 hours of professional development during 2015–16. However, there was substantial variation among teachers in the amount of professional development received, ranging from a few to 50 hours. Assistant teachers reported receiving, on average, 61 percent of the hours of professional develop</w:t>
      </w:r>
      <w:r w:rsidR="00252204">
        <w:t>ment received by lead teachers</w:t>
      </w:r>
      <w:r>
        <w:t xml:space="preserve">. </w:t>
      </w:r>
    </w:p>
    <w:p w14:paraId="16E6FEE9" w14:textId="52822C79" w:rsidR="008E055D" w:rsidRDefault="008E055D" w:rsidP="008E055D">
      <w:pPr>
        <w:spacing w:after="0" w:line="240" w:lineRule="auto"/>
      </w:pPr>
    </w:p>
    <w:p w14:paraId="47E8B933" w14:textId="2EE5C52E" w:rsidR="00D5408D" w:rsidRDefault="00580D7A" w:rsidP="00D5408D">
      <w:pPr>
        <w:pStyle w:val="BodyText"/>
      </w:pPr>
      <w:r>
        <w:t xml:space="preserve">Coaching was encouraged but not required and </w:t>
      </w:r>
      <w:r w:rsidR="00D5408D">
        <w:t>PEG communities</w:t>
      </w:r>
      <w:r>
        <w:t xml:space="preserve"> including this  support</w:t>
      </w:r>
      <w:r w:rsidR="00D5408D">
        <w:t xml:space="preserve"> were </w:t>
      </w:r>
      <w:r>
        <w:t>free</w:t>
      </w:r>
      <w:r w:rsidR="00D5408D">
        <w:t xml:space="preserve"> to design their own coaching model in terms of content, dosage, and strategies. Coaches met with individual PEG teachers or teaching teams to </w:t>
      </w:r>
      <w:r w:rsidR="00DA0CAE">
        <w:t>support teachers in thinking more intentionally about their practice</w:t>
      </w:r>
      <w:r w:rsidR="0001611E">
        <w:t>, using</w:t>
      </w:r>
      <w:r w:rsidR="00DA0CAE">
        <w:t xml:space="preserve"> par</w:t>
      </w:r>
      <w:r w:rsidR="0001611E">
        <w:t>ticular curriculum and developing</w:t>
      </w:r>
      <w:r w:rsidR="00DA0CAE">
        <w:t xml:space="preserve"> </w:t>
      </w:r>
      <w:r w:rsidR="0001611E">
        <w:t xml:space="preserve">particular skills in interacting with children </w:t>
      </w:r>
      <w:r w:rsidR="001B0C9B">
        <w:t>to support</w:t>
      </w:r>
      <w:r w:rsidR="0001611E">
        <w:t xml:space="preserve"> different areas of development</w:t>
      </w:r>
      <w:r w:rsidR="00DA0CAE">
        <w:t>.</w:t>
      </w:r>
      <w:r w:rsidR="00D5408D">
        <w:t xml:space="preserve"> </w:t>
      </w:r>
      <w:r w:rsidR="00AE3A8A">
        <w:t>Coaching dosages varied among teachers bot</w:t>
      </w:r>
      <w:r w:rsidR="00487B6D">
        <w:t>h within and across communities</w:t>
      </w:r>
      <w:r w:rsidR="00AE3A8A">
        <w:t xml:space="preserve">. </w:t>
      </w:r>
      <w:r w:rsidR="00D5408D">
        <w:t>While</w:t>
      </w:r>
      <w:r w:rsidR="00AB2F35">
        <w:t xml:space="preserve"> programs in</w:t>
      </w:r>
      <w:r w:rsidR="00D5408D">
        <w:t xml:space="preserve"> </w:t>
      </w:r>
      <w:r w:rsidR="00AB2F35">
        <w:t>Lawrence did not provide coaching</w:t>
      </w:r>
      <w:r w:rsidR="00D5408D">
        <w:t>, at least one of the center directors offered instructional support to the PEG teachers in her building</w:t>
      </w:r>
      <w:r w:rsidR="0001611E">
        <w:t xml:space="preserve"> and the</w:t>
      </w:r>
      <w:r w:rsidR="00AB2F35">
        <w:t xml:space="preserve"> recently hired</w:t>
      </w:r>
      <w:r w:rsidR="0001611E">
        <w:t xml:space="preserve"> Early Childhood Coordinator at </w:t>
      </w:r>
      <w:r w:rsidR="00AB2F35">
        <w:t>LPS</w:t>
      </w:r>
      <w:r w:rsidR="0001611E">
        <w:t xml:space="preserve"> will provide coaching in year 2.</w:t>
      </w:r>
    </w:p>
    <w:p w14:paraId="4615C3B3" w14:textId="77777777" w:rsidR="00D5408D" w:rsidRDefault="00D5408D" w:rsidP="00D5408D">
      <w:pPr>
        <w:pStyle w:val="BodyText"/>
      </w:pPr>
      <w:r>
        <w:t xml:space="preserve">In the four communities with PEG coaches, the coaches were hired by the school district. All of the coaches had expertise in early childhood education and development. With one exception, coaches were former early childhood teachers. In three communities, PEG coaches were hired from an existing pool of district coaches or experienced district teachers. </w:t>
      </w:r>
    </w:p>
    <w:p w14:paraId="69BC61E0" w14:textId="6D78D9EC" w:rsidR="002448F8" w:rsidRDefault="002448F8" w:rsidP="002448F8">
      <w:pPr>
        <w:pStyle w:val="BodyText"/>
      </w:pPr>
      <w:r>
        <w:t>The PEG model did not include a requirement that teachers have paid time for planning, but EEC encouraged PEG programs to provide this support as a strategy for developing high-quality programming for children. About half of the lead teachers (53 percent) reported receiving 1–5 hours per week of formal release time for planning, while a smaller proportion (8 percent) received 6 or more hours of planning time.</w:t>
      </w:r>
      <w:r w:rsidR="00F83273">
        <w:t xml:space="preserve"> In one community, teachers were hired as teacher-directors and had substantial periods of time scheduled for the associated administrative tasks; in this community teachers also report 11-20 hours a week of planning time.</w:t>
      </w:r>
      <w:r>
        <w:t xml:space="preserve"> Approximately one-third of lead teachers (39 percent) received no formal</w:t>
      </w:r>
      <w:r w:rsidR="00487B6D">
        <w:t xml:space="preserve"> release time per week</w:t>
      </w:r>
      <w:r>
        <w:t xml:space="preserve">. Assistant teachers reported similar hours of paid planning time. </w:t>
      </w:r>
    </w:p>
    <w:p w14:paraId="4F216BBC" w14:textId="77777777" w:rsidR="00FE5170" w:rsidRDefault="00FE5170" w:rsidP="00087E48">
      <w:pPr>
        <w:pStyle w:val="Heading2"/>
      </w:pPr>
      <w:bookmarkStart w:id="37" w:name="_Toc467591108"/>
      <w:r>
        <w:t>Curriculum</w:t>
      </w:r>
      <w:r w:rsidR="0061708C">
        <w:t xml:space="preserve"> and Assessment</w:t>
      </w:r>
      <w:bookmarkEnd w:id="37"/>
    </w:p>
    <w:p w14:paraId="502EFE03" w14:textId="77777777" w:rsidR="00FE5170" w:rsidRDefault="00FE5170" w:rsidP="00FE5170">
      <w:r>
        <w:t>All PEG classrooms were required to use an evidence-based curriculum aligned with state standards and all reported doing so; the</w:t>
      </w:r>
      <w:r w:rsidR="00912AA0">
        <w:t xml:space="preserve"> primary</w:t>
      </w:r>
      <w:r>
        <w:t xml:space="preserve"> curricula in use were Opening the World of Learning, Building Blocks (math), Creative Curriculum, Big Day for </w:t>
      </w:r>
      <w:proofErr w:type="spellStart"/>
      <w:r>
        <w:t>Prek</w:t>
      </w:r>
      <w:proofErr w:type="spellEnd"/>
      <w:r>
        <w:t xml:space="preserve"> and Splash Into </w:t>
      </w:r>
      <w:proofErr w:type="spellStart"/>
      <w:r>
        <w:t>Prek</w:t>
      </w:r>
      <w:proofErr w:type="spellEnd"/>
      <w:r w:rsidR="00912AA0">
        <w:t xml:space="preserve">, with Frog Street, </w:t>
      </w:r>
      <w:proofErr w:type="spellStart"/>
      <w:r w:rsidR="00912AA0">
        <w:t>Fundat</w:t>
      </w:r>
      <w:r w:rsidR="004D70DC">
        <w:t>ions</w:t>
      </w:r>
      <w:proofErr w:type="spellEnd"/>
      <w:r w:rsidR="004D70DC">
        <w:t>, Everyday Math and program-developed curricula</w:t>
      </w:r>
      <w:r w:rsidR="00912AA0">
        <w:t xml:space="preserve"> reported as secondary resources.</w:t>
      </w:r>
      <w:r w:rsidR="00CB2ADF">
        <w:t xml:space="preserve">  Communities varied in the extent to which all programs in the community used the same curriculum and the extent to which the curricula were aligned with public school Kindergarten curricula.  In Boston and Springfield, the public school took the lead in identifying </w:t>
      </w:r>
      <w:r w:rsidR="00CB2ADF">
        <w:lastRenderedPageBreak/>
        <w:t xml:space="preserve">curricula for all partners that is aligned with Kindergarten curricula and provided supporting professional development.  In the other three communities, decisions about curricula were made by individual agencies, although during planning for year 2, </w:t>
      </w:r>
      <w:r w:rsidR="005352EE">
        <w:t>two communities</w:t>
      </w:r>
      <w:r w:rsidR="00CB2ADF">
        <w:t xml:space="preserve"> </w:t>
      </w:r>
      <w:r w:rsidR="005352EE">
        <w:t xml:space="preserve">have decided to use the same curricula in both programs </w:t>
      </w:r>
      <w:r w:rsidR="00CB2ADF">
        <w:t>and two are discussing ways to ensure alignment with Kindergarten expectations.</w:t>
      </w:r>
      <w:r w:rsidR="00D34131">
        <w:t xml:space="preserve">  The biggest challenge reported by teachers in using curricula is the extent to which they have received support in individualizing instruction to meet student needs.  Although the vast majority of teachers (90 percent) were "very" or "somewhat satisfied" with effectiveness of their school's curriculum, 13 percent were "dissatisfied" with the support it provided </w:t>
      </w:r>
      <w:r w:rsidR="004D70DC">
        <w:t xml:space="preserve">for </w:t>
      </w:r>
      <w:r w:rsidR="00D34131">
        <w:t xml:space="preserve">individualization of instruction and another 21 percent were "neutral" on this topic.  Forty-eight </w:t>
      </w:r>
      <w:r w:rsidR="005E057D">
        <w:t>percent of teachers also disagreed</w:t>
      </w:r>
      <w:r w:rsidR="00842126">
        <w:t xml:space="preserve"> with the statement "I am</w:t>
      </w:r>
      <w:r w:rsidR="00D34131">
        <w:t xml:space="preserve"> given support I need to teach students with special needs."</w:t>
      </w:r>
    </w:p>
    <w:p w14:paraId="35D39674" w14:textId="77777777" w:rsidR="000804EC" w:rsidRDefault="000804EC" w:rsidP="000804EC">
      <w:pPr>
        <w:pStyle w:val="BodyText"/>
      </w:pPr>
      <w:r w:rsidRPr="001A06D5">
        <w:t xml:space="preserve">All PEG programs conducted screening and assessments of children at enrollment and throughout the </w:t>
      </w:r>
      <w:r>
        <w:t xml:space="preserve">2015–16 </w:t>
      </w:r>
      <w:r w:rsidRPr="001A06D5">
        <w:t>year. As required by PEG, all lead teachers who responded to the survey (38) reported using TS</w:t>
      </w:r>
      <w:r>
        <w:t xml:space="preserve"> GOLD</w:t>
      </w:r>
      <w:r w:rsidRPr="001A06D5">
        <w:t xml:space="preserve"> to assess children’s progress across multiple developmental domains.</w:t>
      </w:r>
      <w:r>
        <w:t xml:space="preserve"> Surveyed teachers reported using additional screening/assessment tools i</w:t>
      </w:r>
      <w:r w:rsidRPr="001A06D5">
        <w:t xml:space="preserve">n </w:t>
      </w:r>
      <w:r>
        <w:t xml:space="preserve">just over </w:t>
      </w:r>
      <w:r w:rsidRPr="00F26315">
        <w:t>half of the classrooms (20 of 38)</w:t>
      </w:r>
      <w:r>
        <w:t>.</w:t>
      </w:r>
      <w:r w:rsidRPr="00F26315">
        <w:t xml:space="preserve"> </w:t>
      </w:r>
      <w:r w:rsidRPr="001A06D5">
        <w:t>The Ages &amp; Stages Questionnaire (ASQ) -</w:t>
      </w:r>
      <w:r>
        <w:t xml:space="preserve"> </w:t>
      </w:r>
      <w:r w:rsidRPr="001A06D5">
        <w:t>a</w:t>
      </w:r>
      <w:r>
        <w:t xml:space="preserve"> </w:t>
      </w:r>
      <w:r w:rsidRPr="001A06D5">
        <w:t>screening tool that measures children’s</w:t>
      </w:r>
      <w:r>
        <w:t xml:space="preserve"> </w:t>
      </w:r>
      <w:r w:rsidRPr="001A06D5">
        <w:t>progress toward developmental</w:t>
      </w:r>
      <w:r>
        <w:t xml:space="preserve"> </w:t>
      </w:r>
      <w:r w:rsidRPr="001A06D5">
        <w:t>milestones</w:t>
      </w:r>
      <w:r>
        <w:t xml:space="preserve"> </w:t>
      </w:r>
      <w:r w:rsidRPr="001A06D5">
        <w:t>- was the most common additional assessment used in PEG classrooms</w:t>
      </w:r>
      <w:r>
        <w:t xml:space="preserve"> (17 of 38 classrooms), followed by the</w:t>
      </w:r>
      <w:r w:rsidRPr="001A06D5">
        <w:t xml:space="preserve"> DIAL </w:t>
      </w:r>
      <w:r>
        <w:t>(6), the PPVT (3), the Brigance (2) and PELI (2). Two English language proficiency screeners were u</w:t>
      </w:r>
      <w:r w:rsidR="00F22E3E">
        <w:t>sed in some of the PEG programs, t</w:t>
      </w:r>
      <w:r>
        <w:t xml:space="preserve">he WIDA </w:t>
      </w:r>
      <w:r w:rsidR="00F22E3E">
        <w:t>(4)</w:t>
      </w:r>
      <w:r>
        <w:t xml:space="preserve"> and the </w:t>
      </w:r>
      <w:proofErr w:type="spellStart"/>
      <w:r>
        <w:t>preLAS</w:t>
      </w:r>
      <w:proofErr w:type="spellEnd"/>
      <w:r>
        <w:t xml:space="preserve"> </w:t>
      </w:r>
      <w:r w:rsidR="00F22E3E">
        <w:t>(1).</w:t>
      </w:r>
      <w:r w:rsidR="00B33161">
        <w:t xml:space="preserve">  The most common uses of this information was to provide information to parents and support individualization of instruction and lesson planning (83 percent each), suggesting that teachers have information they can use to support differentiation of instruction, but may not be confident in their ability to know what to do for particular children. </w:t>
      </w:r>
    </w:p>
    <w:p w14:paraId="113FA00F" w14:textId="77777777" w:rsidR="005352EE" w:rsidRPr="00FE5170" w:rsidRDefault="005352EE" w:rsidP="00FE5170">
      <w:r>
        <w:t xml:space="preserve">EEC will continue to provide support in year 2 to communities in assessing their curricular choices, considering alignment across the community and ensuring teachers understand how to differentiate instruction effectively, </w:t>
      </w:r>
      <w:r w:rsidR="00B33161">
        <w:t>integrating the supports provided by the curriculum with the assessment data they have for particular children.</w:t>
      </w:r>
    </w:p>
    <w:p w14:paraId="50EC109A" w14:textId="77777777" w:rsidR="008768B8" w:rsidRDefault="00087E48" w:rsidP="00087E48">
      <w:pPr>
        <w:pStyle w:val="Heading2"/>
      </w:pPr>
      <w:bookmarkStart w:id="38" w:name="_Toc467591109"/>
      <w:r>
        <w:t>Classroom Quality</w:t>
      </w:r>
      <w:bookmarkEnd w:id="38"/>
    </w:p>
    <w:p w14:paraId="0B45C3C8" w14:textId="77777777" w:rsidR="00C12AFD" w:rsidRDefault="00C12AFD" w:rsidP="00060DAD">
      <w:pPr>
        <w:pStyle w:val="BodyText"/>
        <w:ind w:right="-180"/>
      </w:pPr>
      <w:r>
        <w:t>A primary mechanism by which PEG programs are expected to support children's school readine</w:t>
      </w:r>
      <w:r w:rsidR="00F03F60">
        <w:t>ss is through the quality of teacher-child</w:t>
      </w:r>
      <w:r>
        <w:t xml:space="preserve"> interactions and supports for children's development</w:t>
      </w:r>
      <w:r w:rsidR="00F03F60">
        <w:t xml:space="preserve"> that exist</w:t>
      </w:r>
      <w:r w:rsidR="005352EE">
        <w:t xml:space="preserve"> in the classroom</w:t>
      </w:r>
      <w:r>
        <w:t>.  By hiring well-trained teachers and providing extensive professional development, six months after opening, PEG classrooms have demonstrated moderate to high levels of classroom quality as observed using four differen</w:t>
      </w:r>
      <w:r w:rsidR="005352EE">
        <w:t>t standardized assessment tools.</w:t>
      </w:r>
    </w:p>
    <w:p w14:paraId="0E748F59" w14:textId="77777777" w:rsidR="00087E48" w:rsidRDefault="00087E48" w:rsidP="00087E48">
      <w:pPr>
        <w:pStyle w:val="BodyText"/>
      </w:pPr>
      <w:r w:rsidRPr="008C1CF4">
        <w:t xml:space="preserve">The </w:t>
      </w:r>
      <w:r>
        <w:t>study</w:t>
      </w:r>
      <w:r w:rsidRPr="008C1CF4">
        <w:t xml:space="preserve"> team conducted </w:t>
      </w:r>
      <w:r>
        <w:t xml:space="preserve">two-day </w:t>
      </w:r>
      <w:r w:rsidRPr="008C1CF4">
        <w:t xml:space="preserve">classroom observations in February </w:t>
      </w:r>
      <w:r>
        <w:t>and</w:t>
      </w:r>
      <w:r w:rsidRPr="008C1CF4">
        <w:t xml:space="preserve"> March 2016</w:t>
      </w:r>
      <w:r>
        <w:t xml:space="preserve"> in all 48 PEG classrooms</w:t>
      </w:r>
      <w:r w:rsidRPr="008C1CF4">
        <w:t>.</w:t>
      </w:r>
      <w:r>
        <w:t xml:space="preserve"> Trained and reliable o</w:t>
      </w:r>
      <w:r w:rsidRPr="008C1CF4">
        <w:t>bservers were in the classroom from the start of the school day until children began naptime (generally 8 a.m. – 1 p.m.), and used four structured observation measures (two on each day).</w:t>
      </w:r>
      <w:r>
        <w:t xml:space="preserve"> </w:t>
      </w:r>
    </w:p>
    <w:p w14:paraId="28AC0BF2" w14:textId="77777777" w:rsidR="00087E48" w:rsidRPr="008C1CF4" w:rsidRDefault="00087E48" w:rsidP="00087E48">
      <w:pPr>
        <w:pStyle w:val="BodyText"/>
      </w:pPr>
      <w:r w:rsidRPr="008C1CF4">
        <w:lastRenderedPageBreak/>
        <w:t>The</w:t>
      </w:r>
      <w:r>
        <w:t xml:space="preserve"> structured observation</w:t>
      </w:r>
      <w:r w:rsidRPr="008C1CF4">
        <w:t xml:space="preserve"> measures </w:t>
      </w:r>
      <w:r>
        <w:t>included</w:t>
      </w:r>
      <w:r w:rsidRPr="008C1CF4">
        <w:t xml:space="preserve">: </w:t>
      </w:r>
    </w:p>
    <w:p w14:paraId="6B5308BF" w14:textId="77777777" w:rsidR="00087E48" w:rsidRPr="00311389" w:rsidRDefault="00087E48" w:rsidP="00087E48">
      <w:pPr>
        <w:pStyle w:val="Bullets"/>
      </w:pPr>
      <w:r w:rsidRPr="00311389">
        <w:rPr>
          <w:b/>
        </w:rPr>
        <w:t xml:space="preserve">Classroom Assessment Scoring System for Pre-K (CLASS; </w:t>
      </w:r>
      <w:proofErr w:type="spellStart"/>
      <w:r>
        <w:t>Pianta</w:t>
      </w:r>
      <w:proofErr w:type="spellEnd"/>
      <w:r>
        <w:t xml:space="preserve">, La Paro, &amp; </w:t>
      </w:r>
      <w:proofErr w:type="spellStart"/>
      <w:r>
        <w:t>Hamre</w:t>
      </w:r>
      <w:proofErr w:type="spellEnd"/>
      <w:r w:rsidRPr="009557E1">
        <w:t>, 20</w:t>
      </w:r>
      <w:r>
        <w:t>08</w:t>
      </w:r>
      <w:r w:rsidRPr="00311389">
        <w:t>)</w:t>
      </w:r>
      <w:r>
        <w:t xml:space="preserve">. </w:t>
      </w:r>
      <w:r w:rsidRPr="00311389">
        <w:t xml:space="preserve">The CLASS measures overall instructional quality with a focus on interactions among teachers and students in the classroom. Each </w:t>
      </w:r>
      <w:r>
        <w:t xml:space="preserve">item </w:t>
      </w:r>
      <w:r w:rsidRPr="00311389">
        <w:t>score ranges from 1 to 7. A score of 1</w:t>
      </w:r>
      <w:r>
        <w:t>–2</w:t>
      </w:r>
      <w:r w:rsidRPr="00311389">
        <w:t xml:space="preserve"> is described as “low” quality in that aspect of teacher-child interaction. Scores of 3</w:t>
      </w:r>
      <w:r>
        <w:t>–5</w:t>
      </w:r>
      <w:r w:rsidRPr="00311389">
        <w:t xml:space="preserve"> are described as “moderate,” and scores of 6</w:t>
      </w:r>
      <w:r>
        <w:t>–7</w:t>
      </w:r>
      <w:r w:rsidRPr="00311389">
        <w:t xml:space="preserve"> are described as “high” quality.</w:t>
      </w:r>
    </w:p>
    <w:p w14:paraId="6B836C50" w14:textId="77777777" w:rsidR="00087E48" w:rsidRPr="0095683F" w:rsidRDefault="00087E48" w:rsidP="00087E48">
      <w:pPr>
        <w:pStyle w:val="Bullets"/>
      </w:pPr>
      <w:r w:rsidRPr="00311389">
        <w:rPr>
          <w:b/>
        </w:rPr>
        <w:t>Early Language and Literacy Classroom Observation Pre-K (ELLCO</w:t>
      </w:r>
      <w:r w:rsidRPr="00311389">
        <w:t xml:space="preserve">; </w:t>
      </w:r>
      <w:r w:rsidRPr="00B46373">
        <w:t>Smith</w:t>
      </w:r>
      <w:r w:rsidRPr="009557E1">
        <w:t xml:space="preserve">, </w:t>
      </w:r>
      <w:r w:rsidRPr="00B46373">
        <w:t xml:space="preserve">Brady, &amp; </w:t>
      </w:r>
      <w:proofErr w:type="spellStart"/>
      <w:r>
        <w:t>Anastasopoulos</w:t>
      </w:r>
      <w:proofErr w:type="spellEnd"/>
      <w:r>
        <w:t>,</w:t>
      </w:r>
      <w:r w:rsidRPr="00B46373">
        <w:t xml:space="preserve"> </w:t>
      </w:r>
      <w:r w:rsidRPr="009557E1">
        <w:t>2008</w:t>
      </w:r>
      <w:r w:rsidRPr="00311389">
        <w:t>)</w:t>
      </w:r>
      <w:r>
        <w:t xml:space="preserve">. </w:t>
      </w:r>
      <w:r w:rsidRPr="00311389">
        <w:t xml:space="preserve">The ELLCO captures more in-depth information on the quality of support for language and literacy development, including support for diversity of languages, abilities, and cultures. Each </w:t>
      </w:r>
      <w:r>
        <w:t xml:space="preserve">item </w:t>
      </w:r>
      <w:r w:rsidRPr="00311389">
        <w:t>score ranges from 1 to 5</w:t>
      </w:r>
      <w:r>
        <w:t>,</w:t>
      </w:r>
      <w:r w:rsidRPr="00311389">
        <w:t xml:space="preserve"> with the highest scores described as “exemplary.”</w:t>
      </w:r>
    </w:p>
    <w:p w14:paraId="2BDF2CAE" w14:textId="77777777" w:rsidR="00087E48" w:rsidRDefault="00087E48" w:rsidP="00087E48">
      <w:pPr>
        <w:pStyle w:val="Bullets"/>
        <w:rPr>
          <w:color w:val="000000"/>
        </w:rPr>
      </w:pPr>
      <w:r w:rsidRPr="00311389">
        <w:rPr>
          <w:b/>
          <w:bCs/>
          <w:color w:val="000000"/>
        </w:rPr>
        <w:t>Classroom Observation of Early Mathematics – Environment and Teaching, version 3 (COEMET</w:t>
      </w:r>
      <w:r>
        <w:rPr>
          <w:bCs/>
          <w:color w:val="000000"/>
        </w:rPr>
        <w:t xml:space="preserve">; </w:t>
      </w:r>
      <w:proofErr w:type="spellStart"/>
      <w:r>
        <w:rPr>
          <w:bCs/>
          <w:color w:val="000000"/>
        </w:rPr>
        <w:t>Sarama</w:t>
      </w:r>
      <w:proofErr w:type="spellEnd"/>
      <w:r>
        <w:rPr>
          <w:bCs/>
          <w:color w:val="000000"/>
        </w:rPr>
        <w:t xml:space="preserve"> &amp; Clements, 2007</w:t>
      </w:r>
      <w:r w:rsidRPr="00311389">
        <w:rPr>
          <w:b/>
          <w:bCs/>
          <w:color w:val="000000"/>
        </w:rPr>
        <w:t>)</w:t>
      </w:r>
      <w:r>
        <w:rPr>
          <w:b/>
          <w:bCs/>
          <w:color w:val="000000"/>
        </w:rPr>
        <w:t xml:space="preserve">. </w:t>
      </w:r>
      <w:r w:rsidRPr="00311389">
        <w:rPr>
          <w:color w:val="000000"/>
        </w:rPr>
        <w:t xml:space="preserve">The COEMET focuses on the </w:t>
      </w:r>
      <w:r w:rsidRPr="00311389">
        <w:rPr>
          <w:bCs/>
          <w:color w:val="000000"/>
        </w:rPr>
        <w:t>quality and quantity of mathematics</w:t>
      </w:r>
      <w:r w:rsidRPr="00311389">
        <w:rPr>
          <w:b/>
          <w:bCs/>
          <w:color w:val="000000"/>
        </w:rPr>
        <w:t xml:space="preserve"> </w:t>
      </w:r>
      <w:r w:rsidRPr="00311389">
        <w:rPr>
          <w:bCs/>
          <w:color w:val="000000"/>
        </w:rPr>
        <w:t>instruction</w:t>
      </w:r>
      <w:r w:rsidRPr="00311389">
        <w:rPr>
          <w:b/>
          <w:bCs/>
          <w:color w:val="000000"/>
        </w:rPr>
        <w:t xml:space="preserve"> </w:t>
      </w:r>
      <w:r w:rsidRPr="00311389">
        <w:rPr>
          <w:color w:val="000000"/>
        </w:rPr>
        <w:t xml:space="preserve">and measures the richness of the math environment in the classroom. The overall instructional environment is rated </w:t>
      </w:r>
      <w:r>
        <w:rPr>
          <w:color w:val="000000"/>
        </w:rPr>
        <w:t xml:space="preserve">(1–5 scale) </w:t>
      </w:r>
      <w:r w:rsidRPr="00311389">
        <w:rPr>
          <w:color w:val="000000"/>
        </w:rPr>
        <w:t>along with a count and rating</w:t>
      </w:r>
      <w:r>
        <w:rPr>
          <w:color w:val="000000"/>
        </w:rPr>
        <w:t xml:space="preserve"> (1–5 scale)</w:t>
      </w:r>
      <w:r w:rsidRPr="00311389">
        <w:rPr>
          <w:color w:val="000000"/>
        </w:rPr>
        <w:t xml:space="preserve"> of specific math activities (SMAs) and a count of mini math activities (“minis”)– those that are brief and/or do not involve teachers or assistants but which nevertheless include mathematics content. </w:t>
      </w:r>
    </w:p>
    <w:p w14:paraId="2BC1CD2E" w14:textId="77777777" w:rsidR="00087E48" w:rsidRDefault="00087E48" w:rsidP="00087E48">
      <w:pPr>
        <w:pStyle w:val="Bullets"/>
        <w:rPr>
          <w:color w:val="000000"/>
        </w:rPr>
      </w:pPr>
      <w:r w:rsidRPr="00FA5354">
        <w:rPr>
          <w:b/>
          <w:color w:val="000000"/>
        </w:rPr>
        <w:t>Observation Measures of Language and Literacy Instruction in Early Childhood Education Classrooms - Snapshot of Classroom Activities (</w:t>
      </w:r>
      <w:r w:rsidRPr="00FA5354">
        <w:rPr>
          <w:b/>
          <w:bCs/>
          <w:iCs/>
          <w:color w:val="000000"/>
        </w:rPr>
        <w:t>OMLIT</w:t>
      </w:r>
      <w:r w:rsidRPr="00FA5354">
        <w:rPr>
          <w:b/>
          <w:color w:val="000000"/>
        </w:rPr>
        <w:t>;</w:t>
      </w:r>
      <w:r w:rsidRPr="00FA5354">
        <w:rPr>
          <w:color w:val="000000"/>
        </w:rPr>
        <w:t xml:space="preserve"> Goodson, </w:t>
      </w:r>
      <w:proofErr w:type="spellStart"/>
      <w:r w:rsidRPr="00FA5354">
        <w:rPr>
          <w:color w:val="000000"/>
        </w:rPr>
        <w:t>L</w:t>
      </w:r>
      <w:r>
        <w:rPr>
          <w:color w:val="000000"/>
        </w:rPr>
        <w:t>ayzer</w:t>
      </w:r>
      <w:proofErr w:type="spellEnd"/>
      <w:r>
        <w:rPr>
          <w:color w:val="000000"/>
        </w:rPr>
        <w:t xml:space="preserve">, Smith, &amp; </w:t>
      </w:r>
      <w:proofErr w:type="spellStart"/>
      <w:r>
        <w:rPr>
          <w:color w:val="000000"/>
        </w:rPr>
        <w:t>Rimdzius</w:t>
      </w:r>
      <w:proofErr w:type="spellEnd"/>
      <w:r>
        <w:rPr>
          <w:color w:val="000000"/>
        </w:rPr>
        <w:t xml:space="preserve">, 2005). </w:t>
      </w:r>
      <w:r w:rsidRPr="00FA5354">
        <w:rPr>
          <w:color w:val="000000"/>
        </w:rPr>
        <w:t xml:space="preserve">The Snapshot </w:t>
      </w:r>
      <w:r>
        <w:rPr>
          <w:color w:val="000000"/>
        </w:rPr>
        <w:t xml:space="preserve">portion of the OMLIT </w:t>
      </w:r>
      <w:r w:rsidRPr="00FA5354">
        <w:rPr>
          <w:color w:val="000000"/>
        </w:rPr>
        <w:t>measures classroom configurations and activities for each child and staff member in the classroom. The Snapshot provides a perspective on what a classroom looks like, based on how children spend their time—the activities they participate in and whom they are interacting with (i.e., number of other children, staff). In the Snapshot, 15 types</w:t>
      </w:r>
      <w:r>
        <w:rPr>
          <w:color w:val="000000"/>
        </w:rPr>
        <w:t xml:space="preserve"> of activities are coded</w:t>
      </w:r>
      <w:r w:rsidRPr="00FA5354">
        <w:rPr>
          <w:color w:val="000000"/>
        </w:rPr>
        <w:t xml:space="preserve">, for example, time spent in reading, math, or science, and, within each activity that is occurring, the size of the child instructional grouping (whole group, small group, or individual activity) and how much of the time children are with adults. </w:t>
      </w:r>
    </w:p>
    <w:p w14:paraId="44E91981" w14:textId="77777777" w:rsidR="00087E48" w:rsidRDefault="00087E48" w:rsidP="00087E48">
      <w:pPr>
        <w:pStyle w:val="BodyText"/>
      </w:pPr>
      <w:r>
        <w:t>The CLASS and the ELLCO were administered simultaneously during the first day, and the COEMET and the Snapshot were administered together during the second day.</w:t>
      </w:r>
    </w:p>
    <w:p w14:paraId="3D8441C1" w14:textId="25515D96" w:rsidR="00BB41BA" w:rsidRPr="00B62AFC" w:rsidRDefault="009877BB" w:rsidP="00BB41BA">
      <w:pPr>
        <w:pStyle w:val="BodyText"/>
      </w:pPr>
      <w:r>
        <w:t xml:space="preserve">The results of the Snapshot show that children spent 63 percent of their time in activities </w:t>
      </w:r>
      <w:r w:rsidR="001254CD">
        <w:t>with the potential</w:t>
      </w:r>
      <w:r>
        <w:t xml:space="preserve"> to support development in different domains.  </w:t>
      </w:r>
      <w:r w:rsidR="00456696">
        <w:t xml:space="preserve">Thirty-nine percent of time was spent in teacher-directed activities in the classroom.  </w:t>
      </w:r>
      <w:r>
        <w:t xml:space="preserve">Twenty-three percent of this time involved activities that explicitly targeted academic skills, although circle time and creative activities </w:t>
      </w:r>
      <w:r w:rsidR="001254CD">
        <w:t xml:space="preserve">can </w:t>
      </w:r>
      <w:r w:rsidR="005E057D">
        <w:t xml:space="preserve">integrate </w:t>
      </w:r>
      <w:r>
        <w:t xml:space="preserve">support </w:t>
      </w:r>
      <w:r w:rsidR="005E057D">
        <w:t>for</w:t>
      </w:r>
      <w:r>
        <w:t xml:space="preserve"> math, science, social studies and literacy development</w:t>
      </w:r>
      <w:r w:rsidR="00F03F60">
        <w:t>,</w:t>
      </w:r>
      <w:r w:rsidR="001640BE">
        <w:t xml:space="preserve"> and gross motor activities are important for physical development</w:t>
      </w:r>
      <w:r>
        <w:t>.</w:t>
      </w:r>
      <w:r w:rsidR="008C6FF1">
        <w:t xml:space="preserve"> </w:t>
      </w:r>
      <w:r w:rsidR="0005145E">
        <w:t>Adult</w:t>
      </w:r>
      <w:r>
        <w:t>-child conversations</w:t>
      </w:r>
      <w:r w:rsidR="0005145E">
        <w:t xml:space="preserve"> </w:t>
      </w:r>
      <w:r w:rsidR="00F03F60">
        <w:t>are also</w:t>
      </w:r>
      <w:r w:rsidR="0005145E">
        <w:t xml:space="preserve"> </w:t>
      </w:r>
      <w:r w:rsidR="001640BE">
        <w:t xml:space="preserve">important </w:t>
      </w:r>
      <w:r w:rsidR="00F03F60">
        <w:t>in scaffolding</w:t>
      </w:r>
      <w:r w:rsidR="0005145E">
        <w:t xml:space="preserve"> children's language development</w:t>
      </w:r>
      <w:r w:rsidR="0005145E">
        <w:rPr>
          <w:rStyle w:val="FootnoteReference"/>
        </w:rPr>
        <w:footnoteReference w:id="13"/>
      </w:r>
      <w:r w:rsidR="0005145E">
        <w:t>. These conversations can occur during any type of activity</w:t>
      </w:r>
      <w:r w:rsidR="001640BE">
        <w:t>,</w:t>
      </w:r>
      <w:r>
        <w:t xml:space="preserve"> and children spent 86 percent of their time</w:t>
      </w:r>
      <w:r w:rsidR="00F03F60">
        <w:t xml:space="preserve"> throughout the day</w:t>
      </w:r>
      <w:r>
        <w:t xml:space="preserve"> in interactions with adults. Although c</w:t>
      </w:r>
      <w:r w:rsidR="00BB41BA" w:rsidRPr="00B62AFC">
        <w:t>hildren in PEG classroom</w:t>
      </w:r>
      <w:r w:rsidR="00BB41BA">
        <w:t>s</w:t>
      </w:r>
      <w:r w:rsidR="00BB41BA" w:rsidRPr="00B62AFC">
        <w:t xml:space="preserve"> spent</w:t>
      </w:r>
      <w:r w:rsidR="00BB41BA">
        <w:t>, on average, nearly one and a half hours</w:t>
      </w:r>
      <w:r w:rsidR="0020065F">
        <w:t xml:space="preserve"> during a one day, 6 hour observation</w:t>
      </w:r>
      <w:r w:rsidR="00BB41BA">
        <w:t xml:space="preserve"> (37 percent of </w:t>
      </w:r>
      <w:r w:rsidR="0020065F">
        <w:t xml:space="preserve">observed </w:t>
      </w:r>
      <w:r w:rsidR="00BB41BA">
        <w:t xml:space="preserve">classroom time) </w:t>
      </w:r>
      <w:r w:rsidR="00BB41BA" w:rsidRPr="006F2A1A">
        <w:t>engaging in m</w:t>
      </w:r>
      <w:r w:rsidR="00CA58DA">
        <w:t>eals, ro</w:t>
      </w:r>
      <w:r w:rsidR="00F03F60">
        <w:t xml:space="preserve">utines and </w:t>
      </w:r>
      <w:r w:rsidR="00F03F60">
        <w:lastRenderedPageBreak/>
        <w:t>transitions,</w:t>
      </w:r>
      <w:r>
        <w:t xml:space="preserve"> i</w:t>
      </w:r>
      <w:r w:rsidR="00BB41BA" w:rsidRPr="00B62AFC">
        <w:t>n abo</w:t>
      </w:r>
      <w:r w:rsidR="00BB41BA">
        <w:t>ut one-</w:t>
      </w:r>
      <w:r w:rsidR="00BB41BA" w:rsidRPr="00B62AFC">
        <w:t>quarter of the classrooms (1</w:t>
      </w:r>
      <w:r w:rsidR="00F03F60">
        <w:t>3 of 48 classrooms</w:t>
      </w:r>
      <w:r w:rsidR="00BB41BA" w:rsidRPr="00B62AFC">
        <w:t>), teachers used these transition times as an opportunity for</w:t>
      </w:r>
      <w:r>
        <w:t xml:space="preserve"> language and</w:t>
      </w:r>
      <w:r w:rsidR="00BB41BA" w:rsidRPr="00B62AFC">
        <w:t xml:space="preserve"> literacy-related activities</w:t>
      </w:r>
      <w:r w:rsidR="00BB41BA">
        <w:t xml:space="preserve">. </w:t>
      </w:r>
      <w:r w:rsidR="00BB41BA" w:rsidRPr="00B62AFC">
        <w:t>For example, in one classroom, teachers used index cards to practice phonics</w:t>
      </w:r>
      <w:r w:rsidR="00BB41BA">
        <w:t xml:space="preserve"> or played rhyming games</w:t>
      </w:r>
      <w:r w:rsidR="00BB41BA" w:rsidRPr="00B62AFC">
        <w:t xml:space="preserve"> with the children as they waited in line, and in another classroom, teachers read books to children during transition times</w:t>
      </w:r>
      <w:r w:rsidR="00BB41BA">
        <w:t xml:space="preserve">. </w:t>
      </w:r>
    </w:p>
    <w:p w14:paraId="412860CF" w14:textId="6789D345" w:rsidR="00F03F60" w:rsidRPr="00F03F60" w:rsidRDefault="008C6FF1" w:rsidP="00060DAD">
      <w:pPr>
        <w:pStyle w:val="BodyText"/>
        <w:ind w:right="-180"/>
      </w:pPr>
      <w:r>
        <w:t>When the results of observations that focus on the quality of teacher-child interactions and supports for particular domains of development</w:t>
      </w:r>
      <w:r w:rsidR="00F13855">
        <w:t xml:space="preserve"> were considered</w:t>
      </w:r>
      <w:r>
        <w:t>, t</w:t>
      </w:r>
      <w:r w:rsidR="00712427" w:rsidRPr="006F2A1A">
        <w:t>he ratings of PEG classrooms, on average, represented a mod</w:t>
      </w:r>
      <w:r w:rsidR="00487B6D">
        <w:t>erate to high level of quality</w:t>
      </w:r>
      <w:r w:rsidR="00712427" w:rsidRPr="006F2A1A">
        <w:t>. The average CLASS rating for overall classroom quality in PEG classrooms was 4.7 out of 7 points. The average ELLCO rating was 3.6 out of 5 points. The average COEMET ratings for the quality of the math environment and instruction were, respectively, 3.9 and 3.5 out of 5. There was substantial variation across PEG classrooms on each of the classroom quality measures. Ratings of</w:t>
      </w:r>
      <w:r w:rsidR="00712427" w:rsidRPr="003B50A7">
        <w:t xml:space="preserve"> the PEG classrooms represented nearly the full range of values, from the lowest to the highest possible values on each subscale. </w:t>
      </w:r>
      <w:r w:rsidR="00F03F60">
        <w:t xml:space="preserve"> For most dimensions, the vast majority of PEG classrooms fell in the moderate to</w:t>
      </w:r>
      <w:r w:rsidR="00487B6D">
        <w:t xml:space="preserve"> high quality end of the scale</w:t>
      </w:r>
      <w:r w:rsidR="00F03F60">
        <w:t>.  However, m</w:t>
      </w:r>
      <w:r w:rsidR="00F03F60" w:rsidRPr="00F03F60">
        <w:t>easures of the quality of particular interactions between teachers and chi</w:t>
      </w:r>
      <w:r w:rsidR="00553276">
        <w:t>ldren known to support language,</w:t>
      </w:r>
      <w:r w:rsidR="00F03F60" w:rsidRPr="00F03F60">
        <w:t xml:space="preserve"> literacy and</w:t>
      </w:r>
      <w:r w:rsidR="00553276">
        <w:t xml:space="preserve"> conceptual development</w:t>
      </w:r>
      <w:r w:rsidR="00F03F60" w:rsidRPr="00F03F60">
        <w:t xml:space="preserve">, showed far fewer instances of very high quality interactions </w:t>
      </w:r>
      <w:r w:rsidR="00F03F60">
        <w:t>and more instances of low quality, suggesting some important ar</w:t>
      </w:r>
      <w:r w:rsidR="00172C04">
        <w:t>eas for improvement</w:t>
      </w:r>
      <w:r w:rsidR="00553276">
        <w:t>.</w:t>
      </w:r>
      <w:r w:rsidR="00853D69">
        <w:t xml:space="preserve"> </w:t>
      </w:r>
      <w:r w:rsidR="00553276">
        <w:t>To put these findings in context, we note that these</w:t>
      </w:r>
      <w:r w:rsidR="00853D69">
        <w:t xml:space="preserve"> </w:t>
      </w:r>
      <w:r w:rsidR="00677252">
        <w:t>types of interactions</w:t>
      </w:r>
      <w:r w:rsidR="00853D69">
        <w:t xml:space="preserve"> </w:t>
      </w:r>
      <w:r w:rsidR="00677252">
        <w:t xml:space="preserve">tend to be </w:t>
      </w:r>
      <w:r w:rsidR="00853D69">
        <w:t>more challenging for teachers to master</w:t>
      </w:r>
      <w:r w:rsidR="00677252">
        <w:t xml:space="preserve"> and often yield lower scores </w:t>
      </w:r>
      <w:r w:rsidR="00553276">
        <w:t>(see Figure 10 for comparisons</w:t>
      </w:r>
      <w:r w:rsidR="00677252">
        <w:t xml:space="preserve"> from other programs</w:t>
      </w:r>
      <w:r w:rsidR="009A6EEC">
        <w:t>).</w:t>
      </w:r>
      <w:r w:rsidR="00553276">
        <w:t xml:space="preserve"> </w:t>
      </w:r>
      <w:r w:rsidR="009A6EEC">
        <w:t>At the same time,</w:t>
      </w:r>
      <w:r w:rsidR="00553276">
        <w:t xml:space="preserve"> the concerns raised </w:t>
      </w:r>
      <w:r w:rsidR="00677252">
        <w:t>by the assessment data about</w:t>
      </w:r>
      <w:r w:rsidR="00553276">
        <w:t xml:space="preserve"> children's language development heighten the need for PEG programs to address these common issues; </w:t>
      </w:r>
      <w:r w:rsidR="00677252">
        <w:t>the</w:t>
      </w:r>
      <w:r w:rsidR="00553276">
        <w:t xml:space="preserve"> interactions</w:t>
      </w:r>
      <w:r w:rsidR="00677252">
        <w:t xml:space="preserve"> measured by these scales</w:t>
      </w:r>
      <w:r w:rsidR="00553276">
        <w:t xml:space="preserve"> are the ones most likely to improve children's language skills.</w:t>
      </w:r>
    </w:p>
    <w:p w14:paraId="4516B72C" w14:textId="77777777" w:rsidR="00712427" w:rsidRPr="002C7105" w:rsidRDefault="00712427" w:rsidP="00F03F60">
      <w:pPr>
        <w:ind w:left="360"/>
        <w:rPr>
          <w:sz w:val="4"/>
          <w:szCs w:val="4"/>
        </w:rPr>
      </w:pPr>
    </w:p>
    <w:p w14:paraId="3C7A51CD" w14:textId="77777777" w:rsidR="008F6269" w:rsidRDefault="008F6269" w:rsidP="008F6269">
      <w:pPr>
        <w:pStyle w:val="BodyText"/>
      </w:pPr>
      <w:r w:rsidRPr="004A65B4">
        <w:t xml:space="preserve">The quality of instruction in PEG classrooms, on average, is comparable to quality </w:t>
      </w:r>
      <w:r>
        <w:t xml:space="preserve">recently </w:t>
      </w:r>
      <w:r w:rsidRPr="004A65B4">
        <w:t xml:space="preserve">reported for other preschool programs serving low-income children in Massachusetts. Two recent studies of preschool classrooms in Massachusetts also examined classroom quality using the CLASS and ELLCO. One study reported on 115 observations of preschool classrooms that served four year old children </w:t>
      </w:r>
      <w:r w:rsidRPr="004B0CC4">
        <w:t>and participated in the Massachusetts</w:t>
      </w:r>
      <w:r w:rsidR="000B522C">
        <w:rPr>
          <w:rStyle w:val="FootnoteReference"/>
        </w:rPr>
        <w:footnoteReference w:id="14"/>
      </w:r>
      <w:r w:rsidRPr="004B0CC4">
        <w:t xml:space="preserve"> </w:t>
      </w:r>
      <w:r>
        <w:t>QRIS</w:t>
      </w:r>
      <w:r w:rsidRPr="004B0CC4">
        <w:t>. A second study examined</w:t>
      </w:r>
      <w:r w:rsidRPr="004A65B4">
        <w:t xml:space="preserve"> public school and community-based preschool programs that participated in the Boston </w:t>
      </w:r>
      <w:r w:rsidR="001640BE">
        <w:t>K1DS</w:t>
      </w:r>
      <w:r w:rsidRPr="004A65B4">
        <w:t xml:space="preserve"> </w:t>
      </w:r>
      <w:r>
        <w:t>program, the predecessor to PEG</w:t>
      </w:r>
      <w:r w:rsidR="001640BE">
        <w:t xml:space="preserve"> in Boston</w:t>
      </w:r>
      <w:r w:rsidR="00FF0AC5">
        <w:rPr>
          <w:rStyle w:val="FootnoteReference"/>
        </w:rPr>
        <w:footnoteReference w:id="15"/>
      </w:r>
      <w:r w:rsidRPr="006516CE">
        <w:t xml:space="preserve">. </w:t>
      </w:r>
    </w:p>
    <w:p w14:paraId="3BA0E743" w14:textId="501761EF" w:rsidR="008F6269" w:rsidRDefault="008F6269" w:rsidP="008F6269">
      <w:pPr>
        <w:pStyle w:val="BodyText"/>
      </w:pPr>
      <w:r w:rsidRPr="006516CE">
        <w:t xml:space="preserve">Average scores in the PEG classrooms were higher than the average scores reported for both the samples of QRIS </w:t>
      </w:r>
      <w:r>
        <w:t>programs and the K1DS community-</w:t>
      </w:r>
      <w:r w:rsidRPr="006516CE">
        <w:t>based classrooms</w:t>
      </w:r>
      <w:r w:rsidR="00A12353">
        <w:t xml:space="preserve"> (this community-based sample include</w:t>
      </w:r>
      <w:r w:rsidR="00107ADE">
        <w:t>d</w:t>
      </w:r>
      <w:r w:rsidR="00A12353">
        <w:t xml:space="preserve"> most of the programs currently funded by PEG in Boston)</w:t>
      </w:r>
      <w:r>
        <w:t>. Compared to the</w:t>
      </w:r>
      <w:r w:rsidR="00A12353">
        <w:t xml:space="preserve"> </w:t>
      </w:r>
      <w:r w:rsidR="00A12353">
        <w:lastRenderedPageBreak/>
        <w:t xml:space="preserve">BPS </w:t>
      </w:r>
      <w:proofErr w:type="spellStart"/>
      <w:r w:rsidR="00A12353">
        <w:t>Prek</w:t>
      </w:r>
      <w:proofErr w:type="spellEnd"/>
      <w:r>
        <w:t xml:space="preserve"> classrooms</w:t>
      </w:r>
      <w:r w:rsidR="00A12353">
        <w:t xml:space="preserve"> assessed as part of the K1DS evaluation</w:t>
      </w:r>
      <w:r w:rsidRPr="006516CE">
        <w:t xml:space="preserve">, </w:t>
      </w:r>
      <w:r>
        <w:t>PEG classrooms</w:t>
      </w:r>
      <w:r w:rsidRPr="006516CE">
        <w:t xml:space="preserve"> received higher average scores </w:t>
      </w:r>
      <w:r>
        <w:t xml:space="preserve">on ELLCO Classroom Environment and </w:t>
      </w:r>
      <w:r w:rsidRPr="006516CE">
        <w:t xml:space="preserve">lower average scores on CLASS Instructional Support and CLASS Classroom Organization. Average scores on the ELLCO Language &amp; Literacy Subscale and CLASS </w:t>
      </w:r>
      <w:r w:rsidR="00A12353">
        <w:t>Emotional Support were similar</w:t>
      </w:r>
      <w:r w:rsidRPr="006C48E3">
        <w:t>.</w:t>
      </w:r>
      <w:r w:rsidR="008C6FF1">
        <w:t xml:space="preserve">  Additionally, when PEG CLASS scores are compared to those most recently reported by Head Start (in 2015 Emotional Support - 6.03, Classroom Organization - 5.82, Instructional Support - 2.88), PEG classrooms are comparable although slightly lower on Emotional Support and Classroom Organization, but higher on Instructional Support</w:t>
      </w:r>
      <w:r w:rsidR="00E42A1B">
        <w:rPr>
          <w:rStyle w:val="FootnoteReference"/>
        </w:rPr>
        <w:footnoteReference w:id="16"/>
      </w:r>
      <w:r w:rsidR="008C6FF1">
        <w:t>.</w:t>
      </w:r>
    </w:p>
    <w:p w14:paraId="5D88057A" w14:textId="77777777" w:rsidR="00EF6BFB" w:rsidRPr="00060DAD" w:rsidRDefault="00EF6BFB" w:rsidP="00EF6BFB">
      <w:pPr>
        <w:rPr>
          <w:sz w:val="4"/>
          <w:szCs w:val="4"/>
        </w:rPr>
      </w:pPr>
    </w:p>
    <w:p w14:paraId="4646FAA7" w14:textId="77777777" w:rsidR="002A54DB" w:rsidRDefault="00EF6BFB" w:rsidP="002664A7">
      <w:pPr>
        <w:ind w:right="-360"/>
      </w:pPr>
      <w:r>
        <w:t xml:space="preserve">Overall, PEG classrooms have achieved good levels of quality, comparable to other high quality programs, during only one year of operation.  With continued professional development and a stable workforce, the expectation is that this quality will continue to improve, particularly around supports for language development and instructional quality.  </w:t>
      </w:r>
      <w:r w:rsidR="009B7C80">
        <w:t xml:space="preserve">The extent to which low-income children being served in these programs are leaving with skills on par with the standardized </w:t>
      </w:r>
      <w:r w:rsidR="002A54DB">
        <w:t>expectations for this age group is likely reflective of the levels of quality achieved in these classrooms.  As the PEG programs look ahead to year two of implementation, focus can now be placed on concentrated efforts to improve on this baseline of quality, particular around the supports for Dual Language Learners</w:t>
      </w:r>
      <w:r w:rsidR="00D34131">
        <w:t>, students with special needs</w:t>
      </w:r>
      <w:r w:rsidR="002A54DB">
        <w:t xml:space="preserve"> and vocabulary development for all students.</w:t>
      </w:r>
      <w:r w:rsidR="00D34131">
        <w:t xml:space="preserve">  </w:t>
      </w:r>
    </w:p>
    <w:p w14:paraId="2C0AB0A3" w14:textId="77777777" w:rsidR="00075C17" w:rsidRDefault="007D26BD" w:rsidP="00954F9F">
      <w:pPr>
        <w:pStyle w:val="Heading1"/>
        <w:spacing w:before="360"/>
      </w:pPr>
      <w:bookmarkStart w:id="39" w:name="_Toc467591110"/>
      <w:r>
        <w:t>VI</w:t>
      </w:r>
      <w:r w:rsidR="0081424C">
        <w:t>I</w:t>
      </w:r>
      <w:r>
        <w:t>. Expected Costs</w:t>
      </w:r>
      <w:bookmarkEnd w:id="39"/>
    </w:p>
    <w:p w14:paraId="31271A22" w14:textId="052B64DC" w:rsidR="00D94654" w:rsidRDefault="00D94654" w:rsidP="00462135">
      <w:r>
        <w:t xml:space="preserve">The amount of PEG funds granted to each of the five communities </w:t>
      </w:r>
      <w:r>
        <w:rPr>
          <w:rFonts w:eastAsia="Times New Roman"/>
        </w:rPr>
        <w:t>was based on a per-student allocation anchored to the Commonwealth’s K-12 Chapter 70 educat</w:t>
      </w:r>
      <w:r w:rsidR="00AD342E">
        <w:rPr>
          <w:rFonts w:eastAsia="Times New Roman"/>
        </w:rPr>
        <w:t>ion foundation grant amount. T</w:t>
      </w:r>
      <w:r>
        <w:rPr>
          <w:rFonts w:eastAsia="Times New Roman"/>
        </w:rPr>
        <w:t xml:space="preserve">his unit cost approach </w:t>
      </w:r>
      <w:r w:rsidR="00AD342E">
        <w:rPr>
          <w:rFonts w:eastAsia="Times New Roman"/>
        </w:rPr>
        <w:t xml:space="preserve">was enhanced </w:t>
      </w:r>
      <w:r>
        <w:rPr>
          <w:rFonts w:eastAsia="Times New Roman"/>
        </w:rPr>
        <w:t>to account for expanded hours (eight vs. six hours per day) and weeks (full year vs. school year), set a floor level to assure a minimum investment for the smallest community, Holyoke, and a ceiling for the</w:t>
      </w:r>
      <w:r>
        <w:rPr>
          <w:rFonts w:eastAsia="Times New Roman"/>
          <w:color w:val="1C4587"/>
        </w:rPr>
        <w:t xml:space="preserve"> </w:t>
      </w:r>
      <w:r>
        <w:rPr>
          <w:rFonts w:eastAsia="Times New Roman"/>
        </w:rPr>
        <w:t xml:space="preserve">largest community, Boston, </w:t>
      </w:r>
      <w:r w:rsidR="00AD342E">
        <w:rPr>
          <w:rFonts w:eastAsia="Times New Roman"/>
        </w:rPr>
        <w:t>adjusted</w:t>
      </w:r>
      <w:r>
        <w:rPr>
          <w:rFonts w:eastAsia="Times New Roman"/>
        </w:rPr>
        <w:t xml:space="preserve"> to account for the highe</w:t>
      </w:r>
      <w:r w:rsidR="00331192">
        <w:rPr>
          <w:rFonts w:eastAsia="Times New Roman"/>
        </w:rPr>
        <w:t>r</w:t>
      </w:r>
      <w:r>
        <w:rPr>
          <w:rFonts w:eastAsia="Times New Roman"/>
        </w:rPr>
        <w:t xml:space="preserve"> cost of living in that community. </w:t>
      </w:r>
      <w:r>
        <w:t xml:space="preserve">Funds were awarded based on the number of students each community agreed to serve and each community </w:t>
      </w:r>
      <w:r w:rsidR="00AD342E">
        <w:t>provided</w:t>
      </w:r>
      <w:r>
        <w:t xml:space="preserve"> a budget </w:t>
      </w:r>
      <w:r w:rsidR="00AD342E">
        <w:t>to EEC indicating</w:t>
      </w:r>
      <w:r>
        <w:t xml:space="preserve"> how these funds would be </w:t>
      </w:r>
      <w:r w:rsidR="00F3161F">
        <w:t>allocated</w:t>
      </w:r>
      <w:r>
        <w:t xml:space="preserve"> to cover the costs of full-day, full-year programming including all required elemen</w:t>
      </w:r>
      <w:r w:rsidR="00AD342E">
        <w:t>ts of high-quality early educati</w:t>
      </w:r>
      <w:r>
        <w:t>on.</w:t>
      </w:r>
    </w:p>
    <w:p w14:paraId="442257AD" w14:textId="7851B38E" w:rsidR="007D26BD" w:rsidRPr="007D26BD" w:rsidRDefault="00462135" w:rsidP="002664A7">
      <w:pPr>
        <w:ind w:right="-450"/>
      </w:pPr>
      <w:r w:rsidRPr="00462135">
        <w:t xml:space="preserve">In order to take a preliminary look at </w:t>
      </w:r>
      <w:r w:rsidR="00D94654">
        <w:t>how programs used the available</w:t>
      </w:r>
      <w:r>
        <w:t xml:space="preserve"> PEG</w:t>
      </w:r>
      <w:r w:rsidR="00D94654">
        <w:t xml:space="preserve"> funds</w:t>
      </w:r>
      <w:r>
        <w:t xml:space="preserve">, </w:t>
      </w:r>
      <w:r w:rsidR="00AD342E">
        <w:t xml:space="preserve">the </w:t>
      </w:r>
      <w:proofErr w:type="spellStart"/>
      <w:r w:rsidR="006151E6">
        <w:t>Abt</w:t>
      </w:r>
      <w:proofErr w:type="spellEnd"/>
      <w:r w:rsidR="00AD342E">
        <w:t xml:space="preserve"> team</w:t>
      </w:r>
      <w:r w:rsidR="006151E6">
        <w:t xml:space="preserve"> reviewed the PEG</w:t>
      </w:r>
      <w:r w:rsidRPr="00462135">
        <w:t xml:space="preserve"> budgets, </w:t>
      </w:r>
      <w:r w:rsidRPr="00462135">
        <w:rPr>
          <w:i/>
          <w:iCs/>
        </w:rPr>
        <w:t>as projected</w:t>
      </w:r>
      <w:r w:rsidRPr="00462135">
        <w:t>, for the 2015-16</w:t>
      </w:r>
      <w:r>
        <w:t xml:space="preserve"> </w:t>
      </w:r>
      <w:r w:rsidRPr="00462135">
        <w:t>school year. Using a combination of the Local Education Agency (LEA) and Early Learning Provider</w:t>
      </w:r>
      <w:r>
        <w:t xml:space="preserve"> </w:t>
      </w:r>
      <w:r w:rsidRPr="00462135">
        <w:t>(ELP) budgets along with the documented state-level contributions, the average cost per</w:t>
      </w:r>
      <w:r>
        <w:t xml:space="preserve"> </w:t>
      </w:r>
      <w:r w:rsidRPr="00462135">
        <w:t xml:space="preserve">PEG classroom </w:t>
      </w:r>
      <w:r w:rsidR="00D94654">
        <w:t xml:space="preserve">was calculated </w:t>
      </w:r>
      <w:r w:rsidRPr="00462135">
        <w:t>by key PEG component (Coaching, Professional Development, Family</w:t>
      </w:r>
      <w:r>
        <w:t xml:space="preserve"> </w:t>
      </w:r>
      <w:r w:rsidRPr="00462135">
        <w:t>Engagement/Comprehensive Services, Teacher Salaries, Other Expenses, and In-Kind Contributions).</w:t>
      </w:r>
      <w:r w:rsidR="006151E6">
        <w:t xml:space="preserve">  </w:t>
      </w:r>
    </w:p>
    <w:p w14:paraId="748A7311" w14:textId="77777777" w:rsidR="00212E62" w:rsidRPr="00FB6956" w:rsidRDefault="00212E62" w:rsidP="002857CB">
      <w:pPr>
        <w:pStyle w:val="Heading2"/>
      </w:pPr>
      <w:bookmarkStart w:id="40" w:name="_Toc467591111"/>
      <w:r w:rsidRPr="00FB6956">
        <w:lastRenderedPageBreak/>
        <w:t>Average Projected Cost per PEG Classroom Statewide, 2015-16</w:t>
      </w:r>
      <w:r w:rsidRPr="00FB6956">
        <w:rPr>
          <w:rStyle w:val="FootnoteReference"/>
          <w:b w:val="0"/>
          <w:sz w:val="28"/>
          <w:szCs w:val="28"/>
        </w:rPr>
        <w:footnoteReference w:id="17"/>
      </w:r>
      <w:bookmarkEnd w:id="40"/>
    </w:p>
    <w:p w14:paraId="7E6D509A" w14:textId="77777777" w:rsidR="00212E62" w:rsidRPr="002A583C" w:rsidRDefault="00212E62" w:rsidP="00212E62">
      <w:pPr>
        <w:pStyle w:val="Subtitle"/>
        <w:spacing w:after="0" w:line="240" w:lineRule="auto"/>
        <w:jc w:val="center"/>
        <w:rPr>
          <w:rFonts w:ascii="Times New Roman" w:hAnsi="Times New Roman" w:cs="Times New Roman"/>
          <w:b/>
          <w:sz w:val="10"/>
          <w:szCs w:val="10"/>
        </w:rPr>
      </w:pPr>
    </w:p>
    <w:p w14:paraId="42BA26D8" w14:textId="4E890CAB" w:rsidR="002857CB" w:rsidRDefault="00212E62" w:rsidP="00466CDF">
      <w:r>
        <w:t xml:space="preserve">Overall, </w:t>
      </w:r>
      <w:r w:rsidRPr="00257BC2">
        <w:rPr>
          <w:b/>
        </w:rPr>
        <w:t>$</w:t>
      </w:r>
      <w:r>
        <w:rPr>
          <w:b/>
        </w:rPr>
        <w:t>315,818.98</w:t>
      </w:r>
      <w:r>
        <w:t xml:space="preserve"> was budgeted per classroom across the state for 2015-16 operating costs.  The large bulk of those funds were budgeted towards teacher salaries ($129,828.74) and ‘Other’ costs ($125,976.46), described in detail </w:t>
      </w:r>
      <w:r w:rsidR="00331192">
        <w:t>below</w:t>
      </w:r>
      <w:r>
        <w:t xml:space="preserve">.  Relatively small percentages of funds were budgeted for family services ($41,216.96), coaching ($12,094.35), and professional development ($6,702.48).  </w:t>
      </w:r>
      <w:r w:rsidR="00B53D96">
        <w:t xml:space="preserve">In terms of </w:t>
      </w:r>
      <w:r w:rsidR="00E37E9A" w:rsidRPr="00566D38">
        <w:t>the average budgeted amount per classroom organized by the primary PEG components (</w:t>
      </w:r>
      <w:r w:rsidR="00E37E9A" w:rsidRPr="00566D38">
        <w:rPr>
          <w:i/>
          <w:u w:val="single"/>
        </w:rPr>
        <w:t>excluding the ‘Other’ category</w:t>
      </w:r>
      <w:r w:rsidR="00E37E9A" w:rsidRPr="00566D38">
        <w:t>) for each of the five PEG communities</w:t>
      </w:r>
      <w:r w:rsidR="00B53D96">
        <w:t>, t</w:t>
      </w:r>
      <w:r w:rsidR="00466CDF">
        <w:t>he large bulk of those funds were budgeted towards teacher salaries ($129,828.74) and ‘Other’ costs ($125,976.46), described in detail later in this memo. Relatively small percentages of funds were budgeted for family services ($41,216.96), coaching ($12,094.35), and professional development ($6,702.48).</w:t>
      </w:r>
      <w:r w:rsidR="00566D38">
        <w:t xml:space="preserve">  </w:t>
      </w:r>
      <w:r w:rsidR="00AD342E">
        <w:t>The cost of the evaluation was not included in these analyses.</w:t>
      </w:r>
      <w:r w:rsidR="00E37E9A" w:rsidRPr="00094769">
        <w:t xml:space="preserve">  Of note, there were no PEG coaches in Lawrence, so no costs were budgeted.  </w:t>
      </w:r>
      <w:r w:rsidR="00E37E9A">
        <w:t xml:space="preserve">And Boston costs look slightly different from the other communities, in part due to the fact that they have blended PEG funding with subsidy and Head Start funding.  </w:t>
      </w:r>
      <w:r w:rsidRPr="00EB4BD1">
        <w:t xml:space="preserve">Overall, the average cost </w:t>
      </w:r>
      <w:r w:rsidRPr="00EB4BD1">
        <w:rPr>
          <w:i/>
        </w:rPr>
        <w:t>per child</w:t>
      </w:r>
      <w:r w:rsidRPr="00EB4BD1">
        <w:t xml:space="preserve"> in PEG programs in Massachusetts was </w:t>
      </w:r>
      <w:r w:rsidRPr="00EB4BD1">
        <w:rPr>
          <w:b/>
        </w:rPr>
        <w:t>$</w:t>
      </w:r>
      <w:r>
        <w:rPr>
          <w:b/>
        </w:rPr>
        <w:t>18,075.09</w:t>
      </w:r>
      <w:r w:rsidR="00D94654">
        <w:rPr>
          <w:b/>
        </w:rPr>
        <w:t xml:space="preserve"> </w:t>
      </w:r>
      <w:r w:rsidR="00D94654">
        <w:t>(which includes budgeted state and local costs)</w:t>
      </w:r>
      <w:r w:rsidRPr="00EB4BD1">
        <w:t xml:space="preserve">, though this ranged </w:t>
      </w:r>
      <w:r>
        <w:t>somewhat</w:t>
      </w:r>
      <w:r w:rsidRPr="00EB4BD1">
        <w:t xml:space="preserve"> across</w:t>
      </w:r>
      <w:r>
        <w:t xml:space="preserve"> communities</w:t>
      </w:r>
      <w:r w:rsidRPr="00EB4BD1">
        <w:t xml:space="preserve"> ($</w:t>
      </w:r>
      <w:r>
        <w:t>17,745.00</w:t>
      </w:r>
      <w:r w:rsidRPr="00EB4BD1">
        <w:t xml:space="preserve"> - $18,</w:t>
      </w:r>
      <w:r>
        <w:t>430.91</w:t>
      </w:r>
      <w:r w:rsidRPr="00EB4BD1">
        <w:t>)</w:t>
      </w:r>
      <w:r>
        <w:rPr>
          <w:vertAlign w:val="superscript"/>
        </w:rPr>
        <w:t>1</w:t>
      </w:r>
      <w:r w:rsidR="00D94654">
        <w:rPr>
          <w:vertAlign w:val="superscript"/>
        </w:rPr>
        <w:t>3</w:t>
      </w:r>
      <w:r w:rsidRPr="00EB4BD1">
        <w:t>.</w:t>
      </w:r>
      <w:r>
        <w:t xml:space="preserve">  </w:t>
      </w:r>
    </w:p>
    <w:p w14:paraId="7A7112E4" w14:textId="76FD85B4" w:rsidR="00212E62" w:rsidRDefault="00B53D96" w:rsidP="00FC0FE1">
      <w:pPr>
        <w:ind w:right="-180"/>
      </w:pPr>
      <w:r>
        <w:t>T</w:t>
      </w:r>
      <w:r w:rsidR="00212E62" w:rsidRPr="0042157B">
        <w:t xml:space="preserve">he average budgeted amount per classroom </w:t>
      </w:r>
      <w:r w:rsidR="00212E62" w:rsidRPr="0042157B">
        <w:rPr>
          <w:i/>
          <w:u w:val="single"/>
        </w:rPr>
        <w:t>in the ‘Other’ category</w:t>
      </w:r>
      <w:r w:rsidR="00212E62" w:rsidRPr="0042157B">
        <w:t xml:space="preserve"> for each </w:t>
      </w:r>
      <w:r w:rsidR="00566D38" w:rsidRPr="0042157B">
        <w:t>PEG community varied greatly</w:t>
      </w:r>
      <w:r w:rsidR="0042157B" w:rsidRPr="0042157B">
        <w:t xml:space="preserve"> by community</w:t>
      </w:r>
      <w:r w:rsidR="00566D38" w:rsidRPr="0042157B">
        <w:t xml:space="preserve"> (from $80,359</w:t>
      </w:r>
      <w:r w:rsidR="00566D38">
        <w:t>.91 to $159,030.59)</w:t>
      </w:r>
      <w:r w:rsidR="00212E62" w:rsidRPr="00094769">
        <w:t>.</w:t>
      </w:r>
      <w:r w:rsidR="00212E62">
        <w:t xml:space="preserve">  </w:t>
      </w:r>
      <w:r w:rsidR="00271D10" w:rsidRPr="00B53D96">
        <w:t>Some variation in these</w:t>
      </w:r>
      <w:r w:rsidR="00271D10">
        <w:t xml:space="preserve"> costs results from differences in the in-kind contributions of LEAs and ELPs</w:t>
      </w:r>
      <w:r w:rsidR="00212E62">
        <w:t xml:space="preserve">.  </w:t>
      </w:r>
      <w:r w:rsidR="002857CB">
        <w:t xml:space="preserve">All communities included </w:t>
      </w:r>
      <w:r w:rsidR="00F3161F">
        <w:t xml:space="preserve">some </w:t>
      </w:r>
      <w:r w:rsidR="002857CB">
        <w:t xml:space="preserve">LEA and ELP administrative staff time as an in-kind contribution, while in Holyoke the public schools </w:t>
      </w:r>
      <w:r w:rsidR="00271D10">
        <w:t xml:space="preserve">also </w:t>
      </w:r>
      <w:r w:rsidR="002857CB">
        <w:t xml:space="preserve">provided the space and custodial staff.  </w:t>
      </w:r>
      <w:r w:rsidR="003640E3">
        <w:t>In Boston, the blending of PEG funds with subsidy and H</w:t>
      </w:r>
      <w:r w:rsidR="00AD342E">
        <w:t>ead Start funds results in cost</w:t>
      </w:r>
      <w:r w:rsidR="003640E3">
        <w:t xml:space="preserve"> estimates that do not reflect the full cost of the program.  </w:t>
      </w:r>
      <w:r w:rsidR="00212E62">
        <w:t xml:space="preserve">Administrative costs (personnel/fringe for staff positions like Program Coordinators, Executive Directors, Center Directors, Fiscal Officers, etc.) that were included in the budgets and are counted here in the ‘Other’ category make up over 1/3 of the entire category costs (average of $43,215) per community, and that percentage ranges from 22% to almost </w:t>
      </w:r>
      <w:bookmarkStart w:id="41" w:name="_GoBack"/>
      <w:bookmarkEnd w:id="41"/>
      <w:r w:rsidR="00212E62">
        <w:t>50% across communities.  The bulk of these funds were budgeted at the individual ELP level (average of 66%), while smaller percentages of these administrative costs came from the LEA budgets (22%) and from state contributions (12%).</w:t>
      </w:r>
    </w:p>
    <w:p w14:paraId="5EEEC0A5" w14:textId="73265E50" w:rsidR="008029C9" w:rsidRDefault="00E37E9A" w:rsidP="00670AA7">
      <w:r>
        <w:t xml:space="preserve">Not surprisingly, the costs of teacher salaries </w:t>
      </w:r>
      <w:r w:rsidR="00AD342E">
        <w:t>are</w:t>
      </w:r>
      <w:r>
        <w:t xml:space="preserve"> a substantial component of the costs of </w:t>
      </w:r>
      <w:r w:rsidR="00AD342E">
        <w:t>the PEG program</w:t>
      </w:r>
      <w:r>
        <w:t>, with administrative and operational costs coming second.  The requirement that PEG teachers receive a salary commensurate with that of public school teachers is reflected in a per child cost that is much higher than what is typically</w:t>
      </w:r>
      <w:r w:rsidR="00985BF2">
        <w:t xml:space="preserve"> provided through EEC subsidies.  However, when the costs of this program are compared to the typical costs of public school classrooms, which only run 6 hou</w:t>
      </w:r>
      <w:r w:rsidR="0063643C">
        <w:t xml:space="preserve">rs a day, 180 days a year, they are commensurate.  On average, </w:t>
      </w:r>
      <w:r w:rsidR="0063643C">
        <w:lastRenderedPageBreak/>
        <w:t xml:space="preserve">Massachusetts public school classrooms spent </w:t>
      </w:r>
      <w:r w:rsidR="001B3078">
        <w:t>$</w:t>
      </w:r>
      <w:r w:rsidR="0063643C">
        <w:t>14,936 per pupil in FY15</w:t>
      </w:r>
      <w:r w:rsidR="0063643C">
        <w:rPr>
          <w:rStyle w:val="FootnoteReference"/>
        </w:rPr>
        <w:footnoteReference w:id="18"/>
      </w:r>
      <w:r w:rsidR="00557159">
        <w:t xml:space="preserve">; PEG programs cost an additional $3000/ child more; </w:t>
      </w:r>
      <w:r w:rsidR="00BE121D">
        <w:t xml:space="preserve">a </w:t>
      </w:r>
      <w:r w:rsidR="00557159">
        <w:t xml:space="preserve">20 percent </w:t>
      </w:r>
      <w:r w:rsidR="00BE121D">
        <w:t>additional</w:t>
      </w:r>
      <w:r w:rsidR="00557159">
        <w:t xml:space="preserve"> cost </w:t>
      </w:r>
      <w:r w:rsidR="00DA42EE">
        <w:t>for</w:t>
      </w:r>
      <w:r w:rsidR="00BE121D">
        <w:t xml:space="preserve"> 30 percent more time</w:t>
      </w:r>
      <w:r w:rsidR="00DA42EE">
        <w:t xml:space="preserve"> during the school year</w:t>
      </w:r>
      <w:r w:rsidR="00BE121D">
        <w:t xml:space="preserve"> and </w:t>
      </w:r>
      <w:r w:rsidR="00DA42EE">
        <w:t>two additional months in the summer</w:t>
      </w:r>
      <w:r w:rsidR="00BE121D">
        <w:t>.</w:t>
      </w:r>
      <w:r w:rsidR="00DA42EE">
        <w:t xml:space="preserve"> Additionally, PEG costs are not out of line with the costs of two well-known programs from the </w:t>
      </w:r>
      <w:r w:rsidR="001B3078">
        <w:t>19</w:t>
      </w:r>
      <w:r w:rsidR="00DA42EE">
        <w:t xml:space="preserve">60's and </w:t>
      </w:r>
      <w:r w:rsidR="001B3078">
        <w:t>19</w:t>
      </w:r>
      <w:r w:rsidR="00DA42EE">
        <w:t>70's that have provided the strongest evidence to date of the cost effectiveness of preschool</w:t>
      </w:r>
      <w:r w:rsidR="0051548E">
        <w:rPr>
          <w:rStyle w:val="FootnoteReference"/>
        </w:rPr>
        <w:footnoteReference w:id="19"/>
      </w:r>
      <w:r w:rsidR="00BE121D">
        <w:t>.  The Perry Preschool program</w:t>
      </w:r>
      <w:r w:rsidR="00D37814">
        <w:t>, which</w:t>
      </w:r>
      <w:r w:rsidR="00BE121D">
        <w:t xml:space="preserve"> </w:t>
      </w:r>
      <w:r w:rsidR="00D37814">
        <w:t>provided</w:t>
      </w:r>
      <w:r w:rsidR="00BE121D">
        <w:t xml:space="preserve"> part</w:t>
      </w:r>
      <w:r w:rsidR="0051548E">
        <w:t>-</w:t>
      </w:r>
      <w:r w:rsidR="00BE121D">
        <w:t>day preschool to children aged 3 and 4 and included extensive family support services</w:t>
      </w:r>
      <w:r w:rsidR="00D37814">
        <w:t>,</w:t>
      </w:r>
      <w:r w:rsidR="00BE121D">
        <w:t xml:space="preserve"> cost $15,166/child </w:t>
      </w:r>
      <w:r w:rsidR="00D37814">
        <w:t>and demonstrated</w:t>
      </w:r>
      <w:r w:rsidR="00AD342E">
        <w:t xml:space="preserve"> a </w:t>
      </w:r>
      <w:r w:rsidR="00F3161F">
        <w:t xml:space="preserve">very high </w:t>
      </w:r>
      <w:r w:rsidR="00AD342E">
        <w:t>cost-benefit ratio of 17</w:t>
      </w:r>
      <w:r w:rsidR="00BE121D">
        <w:t>:1</w:t>
      </w:r>
      <w:r w:rsidR="00D37814">
        <w:t xml:space="preserve"> when adult outcomes were taken into account</w:t>
      </w:r>
      <w:r w:rsidR="00BE121D">
        <w:t xml:space="preserve">.  </w:t>
      </w:r>
      <w:r w:rsidR="0051548E">
        <w:t>The Abecedarian program</w:t>
      </w:r>
      <w:r w:rsidR="00D37814">
        <w:t xml:space="preserve"> provided full-</w:t>
      </w:r>
      <w:r w:rsidR="0051548E">
        <w:t>day early education to children from infancy through five</w:t>
      </w:r>
      <w:r w:rsidR="003C0565">
        <w:t>,</w:t>
      </w:r>
      <w:r w:rsidR="008466D5">
        <w:t xml:space="preserve"> </w:t>
      </w:r>
      <w:r w:rsidR="003C0565">
        <w:t>with</w:t>
      </w:r>
      <w:r w:rsidR="008466D5">
        <w:t xml:space="preserve"> some case management and referrals as needed</w:t>
      </w:r>
      <w:r w:rsidR="0051548E">
        <w:t xml:space="preserve">, but did not include the extensive family engagement efforts of Perry.  Returns were smaller, but still sizable, of 2.5:1 on an investment of </w:t>
      </w:r>
      <w:r w:rsidR="00F13855">
        <w:t>$</w:t>
      </w:r>
      <w:r w:rsidR="0051548E">
        <w:t>63,473 per child o</w:t>
      </w:r>
      <w:r w:rsidR="008029C9">
        <w:t>ver five years (</w:t>
      </w:r>
      <w:r w:rsidR="00F13855">
        <w:t>$</w:t>
      </w:r>
      <w:r w:rsidR="008029C9">
        <w:t xml:space="preserve">12,695/ year). </w:t>
      </w:r>
      <w:r w:rsidR="0051548E">
        <w:t>PEG costs are similar to these programs when the difference in dosage and family support services is accounted for, suggesting that the costs of PEG are reasonable for the quality the programs have achieved, and achieving high levels of quality creates a strong potential for positive returns on the investment.</w:t>
      </w:r>
    </w:p>
    <w:p w14:paraId="0C77FEA6" w14:textId="5C47E508" w:rsidR="00A31141" w:rsidRDefault="00AD342E" w:rsidP="002C7105">
      <w:pPr>
        <w:ind w:right="-270"/>
      </w:pPr>
      <w:r>
        <w:t>At the same time</w:t>
      </w:r>
      <w:r w:rsidR="009E7CA1">
        <w:t>,</w:t>
      </w:r>
      <w:r>
        <w:t xml:space="preserve"> in absolute terms, PEG is more expensive than other programs, and</w:t>
      </w:r>
      <w:r w:rsidR="009E7CA1">
        <w:t xml:space="preserve"> </w:t>
      </w:r>
      <w:r>
        <w:t>it is important to consider the necessity of all costs involved</w:t>
      </w:r>
      <w:r w:rsidR="00F214FA">
        <w:t>.</w:t>
      </w:r>
      <w:r w:rsidR="009E7CA1">
        <w:t xml:space="preserve">  Understanding the contribution of each quality component of the program is challenging, and there is always a risk that reducing costs might also reduce returns to a level that undermines the cost-effectiveness of the program.  However, there are some aspects of the PEG program that have a strong influence on costs and are worth discussing.  </w:t>
      </w:r>
    </w:p>
    <w:p w14:paraId="6CEFAFE1" w14:textId="77777777" w:rsidR="00A31141" w:rsidRDefault="009E7CA1" w:rsidP="002664A7">
      <w:pPr>
        <w:ind w:right="-180"/>
      </w:pPr>
      <w:r>
        <w:t>The first is the investment in supportive services to teachers and parents through professional development, particularly coaching, and family engagement staff.  These services play an important role in the programs</w:t>
      </w:r>
      <w:r w:rsidR="00F3161F">
        <w:t>'</w:t>
      </w:r>
      <w:r>
        <w:t xml:space="preserve"> efforts to improve the quality of the classrooms and ensure strong support from parents of their child's education.  Although, these services collectively add</w:t>
      </w:r>
      <w:r w:rsidR="00F3161F">
        <w:t xml:space="preserve"> about</w:t>
      </w:r>
      <w:r>
        <w:t xml:space="preserve"> $60,000/ classroom to the cost of the program, they are all hypothesized</w:t>
      </w:r>
      <w:r w:rsidR="005C516F">
        <w:t xml:space="preserve"> based on recent research</w:t>
      </w:r>
      <w:r w:rsidR="008805D2">
        <w:rPr>
          <w:rStyle w:val="FootnoteReference"/>
        </w:rPr>
        <w:footnoteReference w:id="20"/>
      </w:r>
      <w:r>
        <w:t xml:space="preserve"> to play a central role in maximizing impacts and </w:t>
      </w:r>
      <w:r w:rsidR="00F214FA">
        <w:t xml:space="preserve">likely are </w:t>
      </w:r>
      <w:r>
        <w:t xml:space="preserve">essential elements of the PEG model.  </w:t>
      </w:r>
    </w:p>
    <w:p w14:paraId="4BC4C75D" w14:textId="7B15B139" w:rsidR="00421B7F" w:rsidRDefault="00802938" w:rsidP="00670AA7">
      <w:r>
        <w:t>The high dosage of the PEG programming</w:t>
      </w:r>
      <w:r w:rsidR="009E7CA1">
        <w:t xml:space="preserve"> also</w:t>
      </w:r>
      <w:r>
        <w:t xml:space="preserve"> has the potential to yield greater impacts, but increases staff costs</w:t>
      </w:r>
      <w:r w:rsidR="00F214FA">
        <w:t xml:space="preserve"> su</w:t>
      </w:r>
      <w:r w:rsidR="00AD342E">
        <w:t>bstantially. To run an 8 hour day,</w:t>
      </w:r>
      <w:r>
        <w:t xml:space="preserve"> three teachers are necessary to ensure adequate ch</w:t>
      </w:r>
      <w:r w:rsidR="0003261A">
        <w:t>ild-teacher ratios at all times</w:t>
      </w:r>
      <w:r>
        <w:t xml:space="preserve">.  To have time for planning, meetings with coaches or group trainings, teachers working an 8 hour day  need coverage in the classroom, while the 6 hour day of a public school provides time for this work before and after children arrive and </w:t>
      </w:r>
      <w:r>
        <w:lastRenderedPageBreak/>
        <w:t>depart.</w:t>
      </w:r>
      <w:r w:rsidR="002A3262">
        <w:t xml:space="preserve">  Although there is evidence that full day programs are more effective than half day programs</w:t>
      </w:r>
      <w:r w:rsidR="005C516F">
        <w:rPr>
          <w:rStyle w:val="FootnoteReference"/>
        </w:rPr>
        <w:footnoteReference w:id="21"/>
      </w:r>
      <w:r w:rsidR="002A3262">
        <w:t>, i</w:t>
      </w:r>
      <w:r w:rsidR="00AD342E">
        <w:t>t is not clear whether the</w:t>
      </w:r>
      <w:r w:rsidR="00421B7F">
        <w:t xml:space="preserve"> smaller addition of</w:t>
      </w:r>
      <w:r w:rsidR="00AD342E">
        <w:t xml:space="preserve"> </w:t>
      </w:r>
      <w:r w:rsidR="0003261A">
        <w:t xml:space="preserve">2 </w:t>
      </w:r>
      <w:r w:rsidR="00AD342E">
        <w:t>hours</w:t>
      </w:r>
      <w:r w:rsidR="00421B7F">
        <w:t xml:space="preserve"> beyond the full 6 hour day</w:t>
      </w:r>
      <w:r w:rsidR="00AD342E">
        <w:t xml:space="preserve"> </w:t>
      </w:r>
      <w:r w:rsidR="002A3262">
        <w:t xml:space="preserve">will </w:t>
      </w:r>
      <w:r w:rsidR="00AD342E">
        <w:t xml:space="preserve">lead to </w:t>
      </w:r>
      <w:r w:rsidR="0003261A">
        <w:t>better</w:t>
      </w:r>
      <w:r w:rsidR="009A6EEC">
        <w:t xml:space="preserve"> outcomes for children (</w:t>
      </w:r>
      <w:r w:rsidR="00421B7F">
        <w:t xml:space="preserve">although </w:t>
      </w:r>
      <w:r w:rsidR="00AD342E">
        <w:t>they are essential for working parents</w:t>
      </w:r>
      <w:r w:rsidR="009A6EEC">
        <w:t>)</w:t>
      </w:r>
      <w:r w:rsidR="00AD342E">
        <w:t>.</w:t>
      </w:r>
      <w:r w:rsidR="008521C3">
        <w:t xml:space="preserve">  </w:t>
      </w:r>
      <w:r w:rsidR="00F214FA">
        <w:t>Summer hours also increase costs</w:t>
      </w:r>
      <w:r w:rsidR="009777E5">
        <w:t>,</w:t>
      </w:r>
      <w:r w:rsidR="00F214FA">
        <w:t xml:space="preserve"> not just through the need to hire teachers to work for a full year, but also </w:t>
      </w:r>
      <w:r w:rsidR="009777E5">
        <w:t>due to</w:t>
      </w:r>
      <w:r w:rsidR="00F214FA">
        <w:t xml:space="preserve"> costs for rent, utilities and maintenance of the space during summer months.  </w:t>
      </w:r>
      <w:r w:rsidR="00817753">
        <w:t>"Summer reading loss" has long been a documented challenge for low income children, a risk that services during the summer have the potential to counter</w:t>
      </w:r>
      <w:r w:rsidR="00817753">
        <w:rPr>
          <w:rStyle w:val="FootnoteReference"/>
        </w:rPr>
        <w:footnoteReference w:id="22"/>
      </w:r>
      <w:r w:rsidR="00FB4D1E">
        <w:t>.  However, the extent of this loss in the early childhood years and the effectiveness of summer programming for younger children is unclear. Additionally,</w:t>
      </w:r>
      <w:r>
        <w:t xml:space="preserve"> </w:t>
      </w:r>
      <w:r w:rsidR="00FB4D1E">
        <w:t>programs report particularly low attendance during the summer, suggesting that</w:t>
      </w:r>
      <w:r w:rsidR="009777E5">
        <w:t xml:space="preserve"> children may not reap the full benefit regardless</w:t>
      </w:r>
      <w:r w:rsidR="00FB4D1E">
        <w:t xml:space="preserve"> of effectiveness and that many parents do not value this additional time (at least </w:t>
      </w:r>
      <w:r w:rsidR="001B7AA2">
        <w:t xml:space="preserve">among </w:t>
      </w:r>
      <w:r w:rsidR="00FB4D1E">
        <w:t xml:space="preserve">those </w:t>
      </w:r>
      <w:r w:rsidR="001B7AA2">
        <w:t xml:space="preserve">parents </w:t>
      </w:r>
      <w:r w:rsidR="00FB4D1E">
        <w:t>not working)</w:t>
      </w:r>
      <w:r>
        <w:t>.</w:t>
      </w:r>
      <w:r w:rsidR="00686E1F">
        <w:t xml:space="preserve">  </w:t>
      </w:r>
    </w:p>
    <w:p w14:paraId="086151B0" w14:textId="57210749" w:rsidR="00686E1F" w:rsidRDefault="00686E1F" w:rsidP="00670AA7">
      <w:r>
        <w:t>Class sizes also play a role in shaping the per child</w:t>
      </w:r>
      <w:r w:rsidR="009777E5">
        <w:t xml:space="preserve"> costs</w:t>
      </w:r>
      <w:r>
        <w:t>.  Most programs ran classrooms at or near the required limit of 20 children per classrooms, but when classrooms were smaller, the costs per child tended to be higher.</w:t>
      </w:r>
      <w:r w:rsidR="00E37CFB">
        <w:t xml:space="preserve">  Evidence on the impacts of smaller classes and lower child-teacher ratios is mixed, but recent work suggests that unless class sizes and ratios are very small (i.e. two teachers in a class of 15 children), the impacts of any differences are minimal</w:t>
      </w:r>
      <w:r w:rsidR="00961158">
        <w:rPr>
          <w:rStyle w:val="FootnoteReference"/>
        </w:rPr>
        <w:footnoteReference w:id="23"/>
      </w:r>
      <w:r w:rsidR="00E37CFB">
        <w:t xml:space="preserve">. </w:t>
      </w:r>
      <w:r>
        <w:t xml:space="preserve"> </w:t>
      </w:r>
      <w:r w:rsidR="00F214FA">
        <w:t>It remains an open question as to the extent that each of these components is essential to the PEG model and one that will be explored</w:t>
      </w:r>
      <w:r w:rsidR="009777E5">
        <w:t xml:space="preserve"> qualitatively</w:t>
      </w:r>
      <w:r w:rsidR="00F214FA">
        <w:t xml:space="preserve"> in future years of the evaluation.</w:t>
      </w:r>
    </w:p>
    <w:p w14:paraId="188774F4" w14:textId="77777777" w:rsidR="00802938" w:rsidRDefault="00802938" w:rsidP="002C7105">
      <w:pPr>
        <w:ind w:right="-90"/>
        <w:sectPr w:rsidR="00802938" w:rsidSect="00C20D7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296" w:right="1440" w:bottom="1440" w:left="1440" w:header="720" w:footer="576" w:gutter="0"/>
          <w:cols w:space="720"/>
          <w:docGrid w:linePitch="360"/>
        </w:sectPr>
      </w:pPr>
      <w:r>
        <w:t xml:space="preserve">The administrative costs </w:t>
      </w:r>
      <w:r w:rsidR="00686E1F">
        <w:t>were</w:t>
      </w:r>
      <w:r>
        <w:t xml:space="preserve"> also high, which may be reflective of the pilot status of this program.  Large amounts of EEC, LEA and ELP staff's time have been spent planning and coordinating PEG services.  The time needed </w:t>
      </w:r>
      <w:r w:rsidR="004A0BF7">
        <w:t>resulted</w:t>
      </w:r>
      <w:r w:rsidR="00224CE5">
        <w:t>,</w:t>
      </w:r>
      <w:r>
        <w:t xml:space="preserve"> in part</w:t>
      </w:r>
      <w:r w:rsidR="004A0BF7">
        <w:t>, from the planning</w:t>
      </w:r>
      <w:r>
        <w:t xml:space="preserve"> efforts</w:t>
      </w:r>
      <w:r w:rsidR="004A0BF7">
        <w:t xml:space="preserve"> and early intense coordination</w:t>
      </w:r>
      <w:r>
        <w:t xml:space="preserve"> required to get a new program off the ground, but also </w:t>
      </w:r>
      <w:r w:rsidR="00224CE5">
        <w:t>from the extensive monitoring required of both EEC and LEA staff</w:t>
      </w:r>
      <w:r w:rsidR="004A0BF7">
        <w:t xml:space="preserve"> in the two levels of oversight (EEC to LEA and LEA to ELP) built into the design of the grant</w:t>
      </w:r>
      <w:r w:rsidR="00224CE5">
        <w:t xml:space="preserve">.  Administrative costs </w:t>
      </w:r>
      <w:r>
        <w:t xml:space="preserve">might be mitigated over time if the program were to expand without needing additional administrative staff.  </w:t>
      </w:r>
      <w:r w:rsidR="00F214FA">
        <w:t>The contribution of administrative costs to the budget is an area that will also be examined closely in future years, to better understand the extent to which these costs are essential to the operation of the program.</w:t>
      </w:r>
    </w:p>
    <w:p w14:paraId="39853144" w14:textId="77777777" w:rsidR="00212E62" w:rsidRDefault="006529FD" w:rsidP="006529FD">
      <w:pPr>
        <w:pStyle w:val="Heading1"/>
      </w:pPr>
      <w:bookmarkStart w:id="42" w:name="_Toc467591112"/>
      <w:r>
        <w:lastRenderedPageBreak/>
        <w:t>VII</w:t>
      </w:r>
      <w:r w:rsidR="0081424C">
        <w:t>I</w:t>
      </w:r>
      <w:r>
        <w:t>. Conclusions</w:t>
      </w:r>
      <w:bookmarkEnd w:id="42"/>
    </w:p>
    <w:p w14:paraId="45BFCBC7" w14:textId="77777777" w:rsidR="00111433" w:rsidRDefault="006529FD" w:rsidP="006529FD">
      <w:r>
        <w:t xml:space="preserve">The first year of the PEG program has shown that </w:t>
      </w:r>
      <w:r w:rsidR="00111433">
        <w:t xml:space="preserve">collaborations between public school districts and EEC-licensed early education providers can be effective at designing and implementing high-quality prekindergarten programs in a relatively short period of time. </w:t>
      </w:r>
    </w:p>
    <w:p w14:paraId="69F97578" w14:textId="77777777" w:rsidR="00111433" w:rsidRDefault="00111433" w:rsidP="00753F48">
      <w:pPr>
        <w:pStyle w:val="ListParagraph"/>
      </w:pPr>
      <w:r w:rsidRPr="00111433">
        <w:t xml:space="preserve">Despite opening their doors six months before classroom observations were conducted, most PEG classrooms were rated by </w:t>
      </w:r>
      <w:r w:rsidR="003E3050">
        <w:t xml:space="preserve">external </w:t>
      </w:r>
      <w:r w:rsidRPr="00111433">
        <w:t xml:space="preserve">observers as demonstrating moderate to high levels of quality across three different measures of important dimensions of classroom quality.  </w:t>
      </w:r>
    </w:p>
    <w:p w14:paraId="221C772E" w14:textId="77777777" w:rsidR="00111433" w:rsidRDefault="00111433" w:rsidP="00753F48">
      <w:pPr>
        <w:pStyle w:val="ListParagraph"/>
      </w:pPr>
      <w:r>
        <w:t>The majority of f</w:t>
      </w:r>
      <w:r w:rsidRPr="00111433">
        <w:t>amilies</w:t>
      </w:r>
      <w:r>
        <w:t xml:space="preserve"> surveyed</w:t>
      </w:r>
      <w:r w:rsidRPr="00111433">
        <w:t xml:space="preserve"> report </w:t>
      </w:r>
      <w:r>
        <w:t xml:space="preserve">feeling </w:t>
      </w:r>
      <w:r w:rsidR="00B85729">
        <w:t xml:space="preserve">well informed and </w:t>
      </w:r>
      <w:r w:rsidR="00753F48">
        <w:t>connected to the program and confident in their ability to communicate with their child's teacher.</w:t>
      </w:r>
    </w:p>
    <w:p w14:paraId="3914D97B" w14:textId="64193BF7" w:rsidR="00753F48" w:rsidRDefault="00753F48" w:rsidP="00753F48">
      <w:pPr>
        <w:pStyle w:val="ListParagraph"/>
      </w:pPr>
      <w:r>
        <w:t xml:space="preserve">PEG teachers were </w:t>
      </w:r>
      <w:r w:rsidR="00604FA3">
        <w:t xml:space="preserve">relatively </w:t>
      </w:r>
      <w:r>
        <w:t xml:space="preserve">well compensated, </w:t>
      </w:r>
      <w:proofErr w:type="spellStart"/>
      <w:r>
        <w:t>well educated</w:t>
      </w:r>
      <w:proofErr w:type="spellEnd"/>
      <w:r>
        <w:t xml:space="preserve"> and generally satisfied with their jobs.  </w:t>
      </w:r>
    </w:p>
    <w:p w14:paraId="6FE81F3E" w14:textId="77777777" w:rsidR="00BE7A83" w:rsidRDefault="00BE7A83" w:rsidP="00753F48">
      <w:pPr>
        <w:pStyle w:val="ListParagraph"/>
      </w:pPr>
      <w:r>
        <w:t>PEG programs successfully enrolled low-income and diverse groups of children</w:t>
      </w:r>
      <w:r w:rsidR="00BA17F6">
        <w:t>, the majority of whom had never</w:t>
      </w:r>
      <w:r w:rsidR="00DB4138">
        <w:t xml:space="preserve"> before</w:t>
      </w:r>
      <w:r w:rsidR="00BA17F6">
        <w:t xml:space="preserve"> enrolled in any formal early education</w:t>
      </w:r>
      <w:r>
        <w:t>.</w:t>
      </w:r>
    </w:p>
    <w:p w14:paraId="37038C61" w14:textId="77777777" w:rsidR="00753F48" w:rsidRPr="00111433" w:rsidRDefault="00753F48" w:rsidP="00753F48">
      <w:pPr>
        <w:pStyle w:val="ListParagraph"/>
      </w:pPr>
      <w:r>
        <w:t xml:space="preserve">At the end of their year in the PEG program, the low-income children enrolled demonstrated age appropriate skills in math, letter-word recognition, </w:t>
      </w:r>
      <w:proofErr w:type="spellStart"/>
      <w:r>
        <w:t>self regulation</w:t>
      </w:r>
      <w:proofErr w:type="spellEnd"/>
      <w:r>
        <w:t xml:space="preserve"> and the ability to develop positive relationships.</w:t>
      </w:r>
    </w:p>
    <w:p w14:paraId="1E2D2CA6" w14:textId="77777777" w:rsidR="00753F48" w:rsidRDefault="00753F48" w:rsidP="006529FD">
      <w:r>
        <w:t xml:space="preserve">At the same time, some quality components remained only partially implemented or at levels lower than desired, suggesting </w:t>
      </w:r>
      <w:r w:rsidR="004C0A27">
        <w:t>areas of focus for the second year of implementation</w:t>
      </w:r>
      <w:r>
        <w:t>.</w:t>
      </w:r>
    </w:p>
    <w:p w14:paraId="461693C0" w14:textId="578501CF" w:rsidR="003E3050" w:rsidRDefault="00421B7F" w:rsidP="003E3050">
      <w:pPr>
        <w:pStyle w:val="ListParagraph"/>
      </w:pPr>
      <w:r>
        <w:t>M</w:t>
      </w:r>
      <w:r w:rsidR="00753F48">
        <w:t>easures of particular interactions between teachers and children known to support language, literacy and</w:t>
      </w:r>
      <w:r w:rsidR="00DC775F">
        <w:t xml:space="preserve"> </w:t>
      </w:r>
      <w:r w:rsidR="00280809">
        <w:t>conceptual understandings</w:t>
      </w:r>
      <w:r w:rsidR="00DC775F">
        <w:t xml:space="preserve">, </w:t>
      </w:r>
      <w:r w:rsidR="00280809">
        <w:t>identified</w:t>
      </w:r>
      <w:r w:rsidR="00622C78">
        <w:t xml:space="preserve"> </w:t>
      </w:r>
      <w:r w:rsidR="00B54822">
        <w:t>very few</w:t>
      </w:r>
      <w:r w:rsidR="00622C78">
        <w:t xml:space="preserve"> </w:t>
      </w:r>
      <w:r w:rsidR="00B54822">
        <w:t>classrooms demonstrating</w:t>
      </w:r>
      <w:r w:rsidR="00753F48">
        <w:t xml:space="preserve"> very high quality</w:t>
      </w:r>
      <w:r w:rsidR="00DC775F">
        <w:t xml:space="preserve"> interactions</w:t>
      </w:r>
      <w:r w:rsidR="00B54822">
        <w:t xml:space="preserve"> and some demonstrating low quality.</w:t>
      </w:r>
    </w:p>
    <w:p w14:paraId="6B2F1679" w14:textId="77777777" w:rsidR="003E3050" w:rsidRDefault="003E3050" w:rsidP="003E3050">
      <w:pPr>
        <w:pStyle w:val="ListParagraph"/>
      </w:pPr>
      <w:r>
        <w:t>At the end of the PEG program, the children enrolled demonstrate</w:t>
      </w:r>
      <w:r w:rsidR="0027687E">
        <w:t>d</w:t>
      </w:r>
      <w:r>
        <w:t xml:space="preserve"> vocabulary skills that were lower than expected based on a national sample, although the biggest differences were observed among dual language learners.</w:t>
      </w:r>
    </w:p>
    <w:p w14:paraId="087E051D" w14:textId="77777777" w:rsidR="00622C78" w:rsidRDefault="00622C78" w:rsidP="00753F48">
      <w:pPr>
        <w:pStyle w:val="ListParagraph"/>
      </w:pPr>
      <w:r>
        <w:t xml:space="preserve">Comprehensive services were not systematically provided across all programs and many parents were not aware of such supports. </w:t>
      </w:r>
    </w:p>
    <w:p w14:paraId="6596E567" w14:textId="77777777" w:rsidR="00622C78" w:rsidRDefault="00622C78" w:rsidP="00753F48">
      <w:pPr>
        <w:pStyle w:val="ListParagraph"/>
      </w:pPr>
      <w:r>
        <w:t>Professional development opportunities varied widely across programs in both type and dosage.</w:t>
      </w:r>
    </w:p>
    <w:p w14:paraId="68EB7F46" w14:textId="77777777" w:rsidR="00622C78" w:rsidRDefault="00622C78" w:rsidP="00753F48">
      <w:pPr>
        <w:pStyle w:val="ListParagraph"/>
      </w:pPr>
      <w:r>
        <w:t xml:space="preserve">Efforts to coordinate with public school programs, such as coordinating with special education staff and supporting children's transition to Kindergarten </w:t>
      </w:r>
      <w:r w:rsidR="00B54822">
        <w:t>are</w:t>
      </w:r>
      <w:r>
        <w:t xml:space="preserve"> still being developed in many communities.</w:t>
      </w:r>
    </w:p>
    <w:p w14:paraId="2D7E9EFC" w14:textId="215B3538" w:rsidR="00E00EB1" w:rsidRDefault="00BE7A83" w:rsidP="00622C78">
      <w:pPr>
        <w:pStyle w:val="ListParagraph"/>
      </w:pPr>
      <w:r>
        <w:t>Efforts to fully enroll PEG classroo</w:t>
      </w:r>
      <w:r w:rsidR="00B54822">
        <w:t>ms in the first year fell short of targets.</w:t>
      </w:r>
      <w:r w:rsidR="003E3050">
        <w:t xml:space="preserve"> </w:t>
      </w:r>
      <w:r w:rsidR="00421B7F">
        <w:t>Only one of the five communities reached full enrollment and enrollment peaked across the state at 94 percent in March.</w:t>
      </w:r>
    </w:p>
    <w:p w14:paraId="6DA5FB5E" w14:textId="51C7E1D9" w:rsidR="00AB7830" w:rsidRDefault="005D262D" w:rsidP="00E00EB1">
      <w:r>
        <w:lastRenderedPageBreak/>
        <w:t xml:space="preserve">Despite achieving moderate levels of quality fairly quickly, PEG programs still have substantial areas of growth that will provide a focus of quality improvement efforts in future years. </w:t>
      </w:r>
      <w:r w:rsidR="00622C78">
        <w:t xml:space="preserve">The collaboration between ELPs and LEAs </w:t>
      </w:r>
      <w:r>
        <w:t xml:space="preserve">have </w:t>
      </w:r>
      <w:r w:rsidR="00622C78">
        <w:t xml:space="preserve">provided an opportunity to build a more systematic approach to creating quality early education in these communities, </w:t>
      </w:r>
      <w:r>
        <w:t>and</w:t>
      </w:r>
      <w:r w:rsidR="00622C78">
        <w:t xml:space="preserve"> also allowed programs to share expertise and build programmatic capacity across </w:t>
      </w:r>
      <w:r>
        <w:t>the community.  In this context,</w:t>
      </w:r>
      <w:r w:rsidR="00622C78">
        <w:t xml:space="preserve"> an important opportunity exists </w:t>
      </w:r>
      <w:r>
        <w:t xml:space="preserve">to develop </w:t>
      </w:r>
      <w:r w:rsidR="00622C78">
        <w:t>coordinated and sustained supports</w:t>
      </w:r>
      <w:r w:rsidR="00265F2C">
        <w:t xml:space="preserve"> for program improvement</w:t>
      </w:r>
      <w:r w:rsidR="00622C78">
        <w:t xml:space="preserve"> focused on </w:t>
      </w:r>
      <w:r w:rsidR="00B54822">
        <w:t>the issues identified</w:t>
      </w:r>
      <w:r w:rsidR="00E00EB1">
        <w:t xml:space="preserve"> in this report</w:t>
      </w:r>
      <w:r w:rsidR="00622C78">
        <w:t xml:space="preserve"> and informed by the data collected during the implementation evaluation.</w:t>
      </w:r>
      <w:r w:rsidR="00265F2C">
        <w:t xml:space="preserve"> </w:t>
      </w:r>
      <w:r w:rsidR="00367331">
        <w:t>Capacity building</w:t>
      </w:r>
      <w:r w:rsidR="00903D74">
        <w:t xml:space="preserve"> at all level</w:t>
      </w:r>
      <w:r w:rsidR="0013216C">
        <w:t>s</w:t>
      </w:r>
      <w:r w:rsidR="00903D74">
        <w:t xml:space="preserve"> of the system will be important in future years, from supports for program leadership to the coaching and other on-going professional development available to teachers.  </w:t>
      </w:r>
    </w:p>
    <w:p w14:paraId="13A92C7A" w14:textId="77777777" w:rsidR="009F0B3E" w:rsidRDefault="009F0B3E" w:rsidP="00622C78">
      <w:r>
        <w:t xml:space="preserve">Collaboration </w:t>
      </w:r>
      <w:r w:rsidR="00AB7830">
        <w:t>across agencies within communities</w:t>
      </w:r>
      <w:r w:rsidR="008F409A">
        <w:t>, although appreciated as essential to local systems building,</w:t>
      </w:r>
      <w:r w:rsidR="00AB7830">
        <w:t xml:space="preserve"> has been</w:t>
      </w:r>
      <w:r>
        <w:t xml:space="preserve"> challenging.  </w:t>
      </w:r>
      <w:r w:rsidR="00280809">
        <w:t xml:space="preserve">Time and effort </w:t>
      </w:r>
      <w:r w:rsidR="00AB7830">
        <w:t>has been</w:t>
      </w:r>
      <w:r w:rsidR="00280809">
        <w:t xml:space="preserve"> required to understand </w:t>
      </w:r>
      <w:r>
        <w:t xml:space="preserve">the policies and procedures of other organizations, and </w:t>
      </w:r>
      <w:r w:rsidR="00280809">
        <w:t>to problem solve</w:t>
      </w:r>
      <w:r>
        <w:t xml:space="preserve"> legal road blocks to simple tasks (i.e. sharing a staff across different agencies). </w:t>
      </w:r>
      <w:r w:rsidR="00280809">
        <w:t>Ongoing participation of staff with decision making authority from the agencies responsible for policies and regulations (EEC and the public schools in particular) have been important in supporting efforts to resolve issues quickly as they arise.</w:t>
      </w:r>
    </w:p>
    <w:p w14:paraId="5C1C0A60" w14:textId="77777777" w:rsidR="00753F48" w:rsidRDefault="00341B03" w:rsidP="006529FD">
      <w:r>
        <w:t xml:space="preserve">EEC will continue to support communities through participation in management meetings and technical assistance </w:t>
      </w:r>
      <w:r w:rsidR="00803DF9">
        <w:t>provided</w:t>
      </w:r>
      <w:r>
        <w:t xml:space="preserve"> both directly and through state-wide meetings.  </w:t>
      </w:r>
      <w:r w:rsidR="00803DF9">
        <w:t>In year 2, t</w:t>
      </w:r>
      <w:r>
        <w:t xml:space="preserve">hese </w:t>
      </w:r>
      <w:r w:rsidR="00803DF9">
        <w:t>efforts</w:t>
      </w:r>
      <w:r>
        <w:t xml:space="preserve"> will </w:t>
      </w:r>
      <w:r w:rsidR="00803DF9">
        <w:t>target</w:t>
      </w:r>
      <w:r>
        <w:t xml:space="preserve"> the areas of development highlighted by the year 1 evaluation findings.  In particular, attention will be given to alignment of professional development supports, continued attention to improving classroom quality particula</w:t>
      </w:r>
      <w:r w:rsidR="00803DF9">
        <w:t>rly around children's</w:t>
      </w:r>
      <w:r>
        <w:t xml:space="preserve"> language development, improved collaboration for inclusion, and more consistent provision of comprehensive services.</w:t>
      </w:r>
    </w:p>
    <w:p w14:paraId="3AC6FEB6" w14:textId="77777777" w:rsidR="006529FD" w:rsidRPr="006529FD" w:rsidRDefault="006529FD" w:rsidP="006529FD"/>
    <w:sectPr w:rsidR="006529FD" w:rsidRPr="006529FD" w:rsidSect="00226E3A">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CFF53" w14:textId="77777777" w:rsidR="009E490D" w:rsidRDefault="009E490D" w:rsidP="00B96505">
      <w:pPr>
        <w:spacing w:after="0" w:line="240" w:lineRule="auto"/>
      </w:pPr>
      <w:r>
        <w:separator/>
      </w:r>
    </w:p>
  </w:endnote>
  <w:endnote w:type="continuationSeparator" w:id="0">
    <w:p w14:paraId="410EE767" w14:textId="77777777" w:rsidR="009E490D" w:rsidRDefault="009E490D" w:rsidP="00B9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58774" w14:textId="77777777" w:rsidR="0042157B" w:rsidRDefault="004215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864406"/>
      <w:docPartObj>
        <w:docPartGallery w:val="Page Numbers (Bottom of Page)"/>
        <w:docPartUnique/>
      </w:docPartObj>
    </w:sdtPr>
    <w:sdtEndPr/>
    <w:sdtContent>
      <w:p w14:paraId="509A5399" w14:textId="77777777" w:rsidR="0042157B" w:rsidRDefault="0042157B">
        <w:pPr>
          <w:pStyle w:val="Footer"/>
          <w:jc w:val="center"/>
        </w:pPr>
        <w:r>
          <w:fldChar w:fldCharType="begin"/>
        </w:r>
        <w:r>
          <w:instrText xml:space="preserve"> PAGE   \* MERGEFORMAT </w:instrText>
        </w:r>
        <w:r>
          <w:fldChar w:fldCharType="separate"/>
        </w:r>
        <w:r w:rsidR="00B53D96">
          <w:rPr>
            <w:noProof/>
          </w:rPr>
          <w:t>32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4F4B5" w14:textId="77777777" w:rsidR="0042157B" w:rsidRDefault="00421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A7364" w14:textId="77777777" w:rsidR="009E490D" w:rsidRDefault="009E490D" w:rsidP="00B96505">
      <w:pPr>
        <w:spacing w:after="0" w:line="240" w:lineRule="auto"/>
      </w:pPr>
      <w:r>
        <w:separator/>
      </w:r>
    </w:p>
  </w:footnote>
  <w:footnote w:type="continuationSeparator" w:id="0">
    <w:p w14:paraId="0E02E49C" w14:textId="77777777" w:rsidR="009E490D" w:rsidRDefault="009E490D" w:rsidP="00B96505">
      <w:pPr>
        <w:spacing w:after="0" w:line="240" w:lineRule="auto"/>
      </w:pPr>
      <w:r>
        <w:continuationSeparator/>
      </w:r>
    </w:p>
  </w:footnote>
  <w:footnote w:id="1">
    <w:p w14:paraId="01B58B90" w14:textId="1AEEF3BA" w:rsidR="0042157B" w:rsidRDefault="0042157B" w:rsidP="008F76F7">
      <w:pPr>
        <w:pStyle w:val="FootnoteText"/>
      </w:pPr>
      <w:r>
        <w:rPr>
          <w:rStyle w:val="FootnoteReference"/>
        </w:rPr>
        <w:footnoteRef/>
      </w:r>
      <w:proofErr w:type="spellStart"/>
      <w:r>
        <w:t>Checkoway</w:t>
      </w:r>
      <w:proofErr w:type="spellEnd"/>
      <w:r>
        <w:t xml:space="preserve">, A., Goodson, B., </w:t>
      </w:r>
      <w:proofErr w:type="spellStart"/>
      <w:r>
        <w:t>Grindal</w:t>
      </w:r>
      <w:proofErr w:type="spellEnd"/>
      <w:r>
        <w:t xml:space="preserve">, T., Hofer, K., </w:t>
      </w:r>
      <w:proofErr w:type="spellStart"/>
      <w:r>
        <w:t>Lamoreau</w:t>
      </w:r>
      <w:proofErr w:type="spellEnd"/>
      <w:r>
        <w:t>, R.</w:t>
      </w:r>
      <w:proofErr w:type="gramStart"/>
      <w:r>
        <w:t>,</w:t>
      </w:r>
      <w:proofErr w:type="spellStart"/>
      <w:r>
        <w:t>Sarna</w:t>
      </w:r>
      <w:proofErr w:type="spellEnd"/>
      <w:proofErr w:type="gramEnd"/>
      <w:r>
        <w:t xml:space="preserve">, M., Watt, R., </w:t>
      </w:r>
      <w:proofErr w:type="spellStart"/>
      <w:r>
        <w:t>Yudron</w:t>
      </w:r>
      <w:proofErr w:type="spellEnd"/>
      <w:r>
        <w:t xml:space="preserve">, M. &amp; Douglass, A.. (2016). Year 1 Massachusetts Preschool Expansion Grant (PEG) Evaluation Report. </w:t>
      </w:r>
      <w:proofErr w:type="spellStart"/>
      <w:r>
        <w:t>Abt</w:t>
      </w:r>
      <w:proofErr w:type="spellEnd"/>
      <w:r>
        <w:t xml:space="preserve"> Associates: Cambridge, MA.</w:t>
      </w:r>
    </w:p>
  </w:footnote>
  <w:footnote w:id="2">
    <w:p w14:paraId="73CA4232" w14:textId="77777777" w:rsidR="0042157B" w:rsidRDefault="0042157B">
      <w:pPr>
        <w:pStyle w:val="FootnoteText"/>
      </w:pPr>
      <w:r>
        <w:rPr>
          <w:rStyle w:val="FootnoteReference"/>
        </w:rPr>
        <w:footnoteRef/>
      </w:r>
      <w:r>
        <w:t xml:space="preserve"> </w:t>
      </w:r>
      <w:r w:rsidRPr="006434EB">
        <w:t>In 2007, 40 percent of poor 3- to 5-year-olds were read to every day, compared with 50 percent of children in families at 100</w:t>
      </w:r>
      <w:r>
        <w:t>–1</w:t>
      </w:r>
      <w:r w:rsidRPr="006434EB">
        <w:t>99% of poverty, and 64 percent of children in familie</w:t>
      </w:r>
      <w:r>
        <w:t xml:space="preserve">s at 200% of poverty and above. </w:t>
      </w:r>
      <w:r w:rsidRPr="006434EB">
        <w:t>Source: Federal Interagency Forum on Child and Family Statistics.</w:t>
      </w:r>
      <w:r>
        <w:t xml:space="preserve"> </w:t>
      </w:r>
      <w:r w:rsidRPr="006434EB">
        <w:t>America's Children: Key national indicators of well-being, 2009. Federal Interagency Forum on Child and Family Statistics, Washington, DC: U.S. Government Printing Office. Based on National Household Education Survey analysis. </w:t>
      </w:r>
    </w:p>
  </w:footnote>
  <w:footnote w:id="3">
    <w:p w14:paraId="770A9CFE" w14:textId="066EB7C3" w:rsidR="0042157B" w:rsidRDefault="0042157B">
      <w:pPr>
        <w:pStyle w:val="FootnoteText"/>
      </w:pPr>
      <w:r>
        <w:rPr>
          <w:rStyle w:val="FootnoteReference"/>
        </w:rPr>
        <w:footnoteRef/>
      </w:r>
      <w:r>
        <w:t xml:space="preserve"> </w:t>
      </w:r>
      <w:r w:rsidRPr="00161253">
        <w:t xml:space="preserve">See </w:t>
      </w:r>
      <w:r w:rsidRPr="00161253">
        <w:rPr>
          <w:rFonts w:ascii="Times-Roman" w:hAnsi="Times-Roman" w:cs="Times-Roman"/>
        </w:rPr>
        <w:t xml:space="preserve">Duncan, G.J., </w:t>
      </w:r>
      <w:proofErr w:type="spellStart"/>
      <w:r w:rsidRPr="00161253">
        <w:rPr>
          <w:rFonts w:ascii="Times-Roman" w:hAnsi="Times-Roman" w:cs="Times-Roman"/>
        </w:rPr>
        <w:t>Dowsett</w:t>
      </w:r>
      <w:proofErr w:type="spellEnd"/>
      <w:r w:rsidRPr="00161253">
        <w:rPr>
          <w:rFonts w:ascii="Times-Roman" w:hAnsi="Times-Roman" w:cs="Times-Roman"/>
        </w:rPr>
        <w:t xml:space="preserve">, C.J., </w:t>
      </w:r>
      <w:proofErr w:type="spellStart"/>
      <w:r w:rsidRPr="00161253">
        <w:rPr>
          <w:rFonts w:ascii="Times-Roman" w:hAnsi="Times-Roman" w:cs="Times-Roman"/>
        </w:rPr>
        <w:t>Claessens</w:t>
      </w:r>
      <w:proofErr w:type="spellEnd"/>
      <w:r w:rsidRPr="00161253">
        <w:rPr>
          <w:rFonts w:ascii="Times-Roman" w:hAnsi="Times-Roman" w:cs="Times-Roman"/>
        </w:rPr>
        <w:t>, A., Magnuson, K., Huston, A.C. et al. (2007)</w:t>
      </w:r>
      <w:r>
        <w:rPr>
          <w:rFonts w:ascii="Times-Roman" w:hAnsi="Times-Roman" w:cs="Times-Roman"/>
        </w:rPr>
        <w:t>.</w:t>
      </w:r>
      <w:r w:rsidRPr="00161253">
        <w:rPr>
          <w:rFonts w:ascii="Times-Roman" w:hAnsi="Times-Roman" w:cs="Times-Roman"/>
        </w:rPr>
        <w:t xml:space="preserve"> School readiness</w:t>
      </w:r>
      <w:r>
        <w:rPr>
          <w:rFonts w:ascii="Times-Roman" w:hAnsi="Times-Roman" w:cs="Times-Roman"/>
        </w:rPr>
        <w:t xml:space="preserve"> and later achievement.  </w:t>
      </w:r>
      <w:r>
        <w:rPr>
          <w:rFonts w:ascii="Times-Roman" w:hAnsi="Times-Roman" w:cs="Times-Roman"/>
          <w:i/>
        </w:rPr>
        <w:t>Developmental Psychology,</w:t>
      </w:r>
      <w:r>
        <w:rPr>
          <w:rFonts w:ascii="Times-Roman" w:hAnsi="Times-Roman" w:cs="Times-Roman"/>
        </w:rPr>
        <w:t xml:space="preserve"> </w:t>
      </w:r>
      <w:r>
        <w:rPr>
          <w:rFonts w:ascii="Times-Roman" w:hAnsi="Times-Roman" w:cs="Times-Roman"/>
          <w:i/>
        </w:rPr>
        <w:t>43</w:t>
      </w:r>
      <w:r>
        <w:rPr>
          <w:rFonts w:ascii="Times-Roman" w:hAnsi="Times-Roman" w:cs="Times-Roman"/>
        </w:rPr>
        <w:t>(6), 1428-1446.</w:t>
      </w:r>
      <w:r w:rsidRPr="00161253">
        <w:rPr>
          <w:rFonts w:ascii="Times-Roman" w:hAnsi="Times-Roman" w:cs="Times-Roman"/>
        </w:rPr>
        <w:t xml:space="preserve"> </w:t>
      </w:r>
      <w:r w:rsidRPr="00161253">
        <w:t xml:space="preserve"> </w:t>
      </w:r>
      <w:proofErr w:type="spellStart"/>
      <w:r w:rsidRPr="00161253">
        <w:t>Storch</w:t>
      </w:r>
      <w:proofErr w:type="spellEnd"/>
      <w:r>
        <w:t>, S.A.</w:t>
      </w:r>
      <w:r w:rsidRPr="00161253">
        <w:t xml:space="preserve"> &amp; Whitehurst</w:t>
      </w:r>
      <w:r>
        <w:t>, G.J. (2002).</w:t>
      </w:r>
      <w:r w:rsidRPr="00161253">
        <w:rPr>
          <w:sz w:val="32"/>
          <w:szCs w:val="32"/>
        </w:rPr>
        <w:t xml:space="preserve"> </w:t>
      </w:r>
      <w:r>
        <w:t xml:space="preserve">Oral language and code-related precursors to reading: </w:t>
      </w:r>
      <w:r w:rsidRPr="00161253">
        <w:t>Eviden</w:t>
      </w:r>
      <w:r>
        <w:t>ce from a longitudinal structural m</w:t>
      </w:r>
      <w:r w:rsidRPr="00161253">
        <w:t>odel</w:t>
      </w:r>
      <w:r>
        <w:t xml:space="preserve">. </w:t>
      </w:r>
      <w:r>
        <w:rPr>
          <w:i/>
        </w:rPr>
        <w:t>Developmental Psychology, 38</w:t>
      </w:r>
      <w:r>
        <w:t xml:space="preserve">(6), 934-947. </w:t>
      </w:r>
      <w:r w:rsidRPr="00161253">
        <w:t xml:space="preserve"> </w:t>
      </w:r>
      <w:r w:rsidRPr="00775FF2">
        <w:t>U.S. Department of Health and Human Services, Administration for Children and Families, (May</w:t>
      </w:r>
      <w:r>
        <w:t xml:space="preserve"> </w:t>
      </w:r>
      <w:r w:rsidRPr="00775FF2">
        <w:t>2003). Head Start FACES 2000. Washington, DC.</w:t>
      </w:r>
    </w:p>
  </w:footnote>
  <w:footnote w:id="4">
    <w:p w14:paraId="6D35B7E7" w14:textId="77777777" w:rsidR="0042157B" w:rsidRDefault="0042157B" w:rsidP="0034056A">
      <w:pPr>
        <w:pStyle w:val="FootnoteText"/>
      </w:pPr>
      <w:r>
        <w:rPr>
          <w:rStyle w:val="FootnoteReference"/>
        </w:rPr>
        <w:footnoteRef/>
      </w:r>
      <w:r>
        <w:t>Data provided by EEC included 40 of the 48 PEG classrooms.</w:t>
      </w:r>
    </w:p>
  </w:footnote>
  <w:footnote w:id="5">
    <w:p w14:paraId="40DD0E08" w14:textId="77777777" w:rsidR="0042157B" w:rsidRPr="00161253" w:rsidRDefault="0042157B" w:rsidP="00161253">
      <w:pPr>
        <w:autoSpaceDE w:val="0"/>
        <w:autoSpaceDN w:val="0"/>
        <w:adjustRightInd w:val="0"/>
        <w:spacing w:after="0" w:line="240" w:lineRule="auto"/>
        <w:rPr>
          <w:sz w:val="20"/>
          <w:szCs w:val="20"/>
        </w:rPr>
      </w:pPr>
      <w:r>
        <w:rPr>
          <w:rStyle w:val="FootnoteReference"/>
        </w:rPr>
        <w:footnoteRef/>
      </w:r>
      <w:r>
        <w:t xml:space="preserve"> </w:t>
      </w:r>
      <w:r w:rsidRPr="00161253">
        <w:rPr>
          <w:sz w:val="20"/>
          <w:szCs w:val="20"/>
        </w:rPr>
        <w:t xml:space="preserve">Longitudinal studies such have consistently demonstrated that early math, letter recognition, language and </w:t>
      </w:r>
      <w:proofErr w:type="spellStart"/>
      <w:r w:rsidRPr="00161253">
        <w:rPr>
          <w:sz w:val="20"/>
          <w:szCs w:val="20"/>
        </w:rPr>
        <w:t>self regulation</w:t>
      </w:r>
      <w:proofErr w:type="spellEnd"/>
      <w:r w:rsidRPr="00161253">
        <w:rPr>
          <w:sz w:val="20"/>
          <w:szCs w:val="20"/>
        </w:rPr>
        <w:t xml:space="preserve"> skills predict the same skills later in elementary and all contribute to children's school success. See </w:t>
      </w:r>
      <w:r w:rsidRPr="00161253">
        <w:rPr>
          <w:rFonts w:ascii="Times-Roman" w:hAnsi="Times-Roman" w:cs="Times-Roman"/>
          <w:sz w:val="20"/>
          <w:szCs w:val="20"/>
        </w:rPr>
        <w:t xml:space="preserve">Duncan, G.J., </w:t>
      </w:r>
      <w:proofErr w:type="spellStart"/>
      <w:r w:rsidRPr="00161253">
        <w:rPr>
          <w:rFonts w:ascii="Times-Roman" w:hAnsi="Times-Roman" w:cs="Times-Roman"/>
          <w:sz w:val="20"/>
          <w:szCs w:val="20"/>
        </w:rPr>
        <w:t>Dowsett</w:t>
      </w:r>
      <w:proofErr w:type="spellEnd"/>
      <w:r w:rsidRPr="00161253">
        <w:rPr>
          <w:rFonts w:ascii="Times-Roman" w:hAnsi="Times-Roman" w:cs="Times-Roman"/>
          <w:sz w:val="20"/>
          <w:szCs w:val="20"/>
        </w:rPr>
        <w:t xml:space="preserve">, C.J., </w:t>
      </w:r>
      <w:proofErr w:type="spellStart"/>
      <w:r w:rsidRPr="00161253">
        <w:rPr>
          <w:rFonts w:ascii="Times-Roman" w:hAnsi="Times-Roman" w:cs="Times-Roman"/>
          <w:sz w:val="20"/>
          <w:szCs w:val="20"/>
        </w:rPr>
        <w:t>Claessens</w:t>
      </w:r>
      <w:proofErr w:type="spellEnd"/>
      <w:r w:rsidRPr="00161253">
        <w:rPr>
          <w:rFonts w:ascii="Times-Roman" w:hAnsi="Times-Roman" w:cs="Times-Roman"/>
          <w:sz w:val="20"/>
          <w:szCs w:val="20"/>
        </w:rPr>
        <w:t>, A., Magnuson, K., Huston, A.C. et al. (2007)</w:t>
      </w:r>
      <w:r>
        <w:rPr>
          <w:rFonts w:ascii="Times-Roman" w:hAnsi="Times-Roman" w:cs="Times-Roman"/>
          <w:sz w:val="20"/>
          <w:szCs w:val="20"/>
        </w:rPr>
        <w:t>.</w:t>
      </w:r>
      <w:r w:rsidRPr="00161253">
        <w:rPr>
          <w:rFonts w:ascii="Times-Roman" w:hAnsi="Times-Roman" w:cs="Times-Roman"/>
          <w:sz w:val="20"/>
          <w:szCs w:val="20"/>
        </w:rPr>
        <w:t xml:space="preserve"> School readiness</w:t>
      </w:r>
      <w:r>
        <w:rPr>
          <w:rFonts w:ascii="Times-Roman" w:hAnsi="Times-Roman" w:cs="Times-Roman"/>
          <w:sz w:val="20"/>
          <w:szCs w:val="20"/>
        </w:rPr>
        <w:t xml:space="preserve"> and later achievement.  </w:t>
      </w:r>
      <w:r>
        <w:rPr>
          <w:rFonts w:ascii="Times-Roman" w:hAnsi="Times-Roman" w:cs="Times-Roman"/>
          <w:i/>
          <w:sz w:val="20"/>
          <w:szCs w:val="20"/>
        </w:rPr>
        <w:t>Developmental Psychology,</w:t>
      </w:r>
      <w:r>
        <w:rPr>
          <w:rFonts w:ascii="Times-Roman" w:hAnsi="Times-Roman" w:cs="Times-Roman"/>
          <w:sz w:val="20"/>
          <w:szCs w:val="20"/>
        </w:rPr>
        <w:t xml:space="preserve"> </w:t>
      </w:r>
      <w:r>
        <w:rPr>
          <w:rFonts w:ascii="Times-Roman" w:hAnsi="Times-Roman" w:cs="Times-Roman"/>
          <w:i/>
          <w:sz w:val="20"/>
          <w:szCs w:val="20"/>
        </w:rPr>
        <w:t>43</w:t>
      </w:r>
      <w:r>
        <w:rPr>
          <w:rFonts w:ascii="Times-Roman" w:hAnsi="Times-Roman" w:cs="Times-Roman"/>
          <w:sz w:val="20"/>
          <w:szCs w:val="20"/>
        </w:rPr>
        <w:t>(6), 1428-1446.</w:t>
      </w:r>
      <w:r w:rsidRPr="00161253">
        <w:rPr>
          <w:rFonts w:ascii="Times-Roman" w:hAnsi="Times-Roman" w:cs="Times-Roman"/>
          <w:sz w:val="20"/>
          <w:szCs w:val="20"/>
        </w:rPr>
        <w:t xml:space="preserve"> </w:t>
      </w:r>
      <w:r w:rsidRPr="00161253">
        <w:rPr>
          <w:sz w:val="20"/>
          <w:szCs w:val="20"/>
        </w:rPr>
        <w:t xml:space="preserve"> </w:t>
      </w:r>
      <w:proofErr w:type="spellStart"/>
      <w:r w:rsidRPr="00161253">
        <w:rPr>
          <w:sz w:val="20"/>
          <w:szCs w:val="20"/>
        </w:rPr>
        <w:t>Storch</w:t>
      </w:r>
      <w:proofErr w:type="spellEnd"/>
      <w:r>
        <w:rPr>
          <w:sz w:val="20"/>
          <w:szCs w:val="20"/>
        </w:rPr>
        <w:t>, S.A.</w:t>
      </w:r>
      <w:r w:rsidRPr="00161253">
        <w:rPr>
          <w:sz w:val="20"/>
          <w:szCs w:val="20"/>
        </w:rPr>
        <w:t xml:space="preserve"> &amp; Whitehurst</w:t>
      </w:r>
      <w:r>
        <w:rPr>
          <w:sz w:val="20"/>
          <w:szCs w:val="20"/>
        </w:rPr>
        <w:t>, G.J. (2002).</w:t>
      </w:r>
      <w:r w:rsidRPr="00161253">
        <w:rPr>
          <w:sz w:val="32"/>
          <w:szCs w:val="32"/>
        </w:rPr>
        <w:t xml:space="preserve"> </w:t>
      </w:r>
      <w:r>
        <w:rPr>
          <w:sz w:val="20"/>
          <w:szCs w:val="20"/>
        </w:rPr>
        <w:t xml:space="preserve">Oral language and code-related precursors to reading: </w:t>
      </w:r>
      <w:r w:rsidRPr="00161253">
        <w:rPr>
          <w:sz w:val="20"/>
          <w:szCs w:val="20"/>
        </w:rPr>
        <w:t>Eviden</w:t>
      </w:r>
      <w:r>
        <w:rPr>
          <w:sz w:val="20"/>
          <w:szCs w:val="20"/>
        </w:rPr>
        <w:t>ce from a longitudinal structural m</w:t>
      </w:r>
      <w:r w:rsidRPr="00161253">
        <w:rPr>
          <w:sz w:val="20"/>
          <w:szCs w:val="20"/>
        </w:rPr>
        <w:t>odel</w:t>
      </w:r>
      <w:r>
        <w:rPr>
          <w:sz w:val="20"/>
          <w:szCs w:val="20"/>
        </w:rPr>
        <w:t xml:space="preserve">. </w:t>
      </w:r>
      <w:r>
        <w:rPr>
          <w:i/>
          <w:sz w:val="20"/>
          <w:szCs w:val="20"/>
        </w:rPr>
        <w:t>Developmental Psychology, 38</w:t>
      </w:r>
      <w:r>
        <w:rPr>
          <w:sz w:val="20"/>
          <w:szCs w:val="20"/>
        </w:rPr>
        <w:t xml:space="preserve">(6), 934-947. </w:t>
      </w:r>
      <w:r w:rsidRPr="00161253">
        <w:rPr>
          <w:sz w:val="20"/>
          <w:szCs w:val="20"/>
        </w:rPr>
        <w:t xml:space="preserve"> NICHD Early Child Care Research Network</w:t>
      </w:r>
      <w:r>
        <w:rPr>
          <w:sz w:val="20"/>
          <w:szCs w:val="20"/>
        </w:rPr>
        <w:t>.</w:t>
      </w:r>
      <w:r w:rsidRPr="00161253">
        <w:rPr>
          <w:sz w:val="20"/>
          <w:szCs w:val="20"/>
        </w:rPr>
        <w:t xml:space="preserve"> (2005)</w:t>
      </w:r>
      <w:r>
        <w:rPr>
          <w:sz w:val="20"/>
          <w:szCs w:val="20"/>
        </w:rPr>
        <w:t xml:space="preserve">.Pathways to reading: The role of oral language in the transition to reading.  </w:t>
      </w:r>
      <w:r>
        <w:rPr>
          <w:i/>
          <w:sz w:val="20"/>
          <w:szCs w:val="20"/>
        </w:rPr>
        <w:t>Developmental Psychology, 41</w:t>
      </w:r>
      <w:r>
        <w:rPr>
          <w:sz w:val="20"/>
          <w:szCs w:val="20"/>
        </w:rPr>
        <w:t xml:space="preserve">(2), 428-442. </w:t>
      </w:r>
    </w:p>
  </w:footnote>
  <w:footnote w:id="6">
    <w:p w14:paraId="7B701F25" w14:textId="77777777" w:rsidR="0042157B" w:rsidRDefault="0042157B">
      <w:pPr>
        <w:pStyle w:val="FootnoteText"/>
      </w:pPr>
      <w:r>
        <w:rPr>
          <w:rStyle w:val="FootnoteReference"/>
        </w:rPr>
        <w:footnoteRef/>
      </w:r>
      <w:r>
        <w:t xml:space="preserve">Jordan NC, Levine SC. (2009). Socioeconomic variation, number competence, and mathematics learning difficulties in young children. </w:t>
      </w:r>
      <w:r>
        <w:rPr>
          <w:rStyle w:val="Emphasis"/>
        </w:rPr>
        <w:t>Developmental Disabilities Research Reviews</w:t>
      </w:r>
      <w:proofErr w:type="gramStart"/>
      <w:r>
        <w:t>,15:60</w:t>
      </w:r>
      <w:proofErr w:type="gramEnd"/>
      <w:r>
        <w:t xml:space="preserve">-68; </w:t>
      </w:r>
      <w:proofErr w:type="spellStart"/>
      <w:r w:rsidRPr="00053B05">
        <w:t>Layzer</w:t>
      </w:r>
      <w:proofErr w:type="spellEnd"/>
      <w:r w:rsidRPr="00053B05">
        <w:t xml:space="preserve">, J. and Price, C. (2008). Closing the gap in the school readiness of low-income children.  Paper for panel, </w:t>
      </w:r>
      <w:r w:rsidRPr="00053B05">
        <w:rPr>
          <w:i/>
        </w:rPr>
        <w:t>Approaches to Measuring and Narrowing the School Readiness Gap.</w:t>
      </w:r>
      <w:r>
        <w:t xml:space="preserve"> Washington, DC; </w:t>
      </w:r>
      <w:proofErr w:type="spellStart"/>
      <w:r w:rsidRPr="00053B05">
        <w:t>Lonigan</w:t>
      </w:r>
      <w:proofErr w:type="spellEnd"/>
      <w:r w:rsidRPr="00053B05">
        <w:t>, C.J. and Shanahan, T. (2008). Developing early literacy: Report of the National Early Literacy Panel. A scientific synthesis of early literacy development and implications for intervention. National Institute for Literacy, Washington, D.C.</w:t>
      </w:r>
    </w:p>
  </w:footnote>
  <w:footnote w:id="7">
    <w:p w14:paraId="1767D145" w14:textId="594F2261" w:rsidR="0042157B" w:rsidRDefault="0042157B">
      <w:pPr>
        <w:pStyle w:val="FootnoteText"/>
      </w:pPr>
      <w:r>
        <w:rPr>
          <w:rStyle w:val="FootnoteReference"/>
        </w:rPr>
        <w:footnoteRef/>
      </w:r>
      <w:r>
        <w:t xml:space="preserve"> It has been shown that although elementary school has influence on reading and math skills, no unique school effects could be found for vocabulary knowledge. Christian, K., Morrison, F.J., Frasier, J.A., &amp; </w:t>
      </w:r>
      <w:proofErr w:type="spellStart"/>
      <w:r>
        <w:t>Massetti</w:t>
      </w:r>
      <w:proofErr w:type="spellEnd"/>
      <w:r>
        <w:t xml:space="preserve">, G.  (2000). Specificity in nature and timing of cognitive growth in kindergarten and first grade. </w:t>
      </w:r>
    </w:p>
  </w:footnote>
  <w:footnote w:id="8">
    <w:p w14:paraId="53A6D757" w14:textId="02E1DF34" w:rsidR="0042157B" w:rsidRPr="00F23303" w:rsidRDefault="0042157B" w:rsidP="00E97EC7">
      <w:pPr>
        <w:pStyle w:val="FootnoteText"/>
      </w:pPr>
      <w:r>
        <w:rPr>
          <w:rStyle w:val="FootnoteReference"/>
        </w:rPr>
        <w:footnoteRef/>
      </w:r>
      <w:r>
        <w:t xml:space="preserve"> In the evaluation of the Tennessee public pre-k program, researchers reported that English language learners started lower than their peers at the beginning of pre-k but made greater gains during the year on a composite of measures including early math, early literacy, and vocabulary, even though they still finished the year scoring lower than English-speaking children. </w:t>
      </w:r>
      <w:proofErr w:type="spellStart"/>
      <w:r w:rsidRPr="00C76EBB">
        <w:t>Lipsey</w:t>
      </w:r>
      <w:proofErr w:type="spellEnd"/>
      <w:r w:rsidRPr="00C76EBB">
        <w:t xml:space="preserve">, M. W., </w:t>
      </w:r>
      <w:proofErr w:type="spellStart"/>
      <w:r w:rsidRPr="00C76EBB">
        <w:t>Farran</w:t>
      </w:r>
      <w:proofErr w:type="spellEnd"/>
      <w:r w:rsidRPr="00C76EBB">
        <w:t xml:space="preserve">, D. C., &amp; Hofer, K. G. (2015).  </w:t>
      </w:r>
      <w:r w:rsidRPr="00C76EBB">
        <w:rPr>
          <w:i/>
        </w:rPr>
        <w:t xml:space="preserve">A randomized control trial of the effects of a statewide voluntary prekindergarten program on children’s skills and behaviors through third grade </w:t>
      </w:r>
      <w:r w:rsidRPr="00C76EBB">
        <w:t>(Research Report).  Nashville, TN:  Vanderbilt Universi</w:t>
      </w:r>
      <w:r>
        <w:t>ty, Peabody Research Institute.</w:t>
      </w:r>
    </w:p>
  </w:footnote>
  <w:footnote w:id="9">
    <w:p w14:paraId="0DEE78BB" w14:textId="606A19C6" w:rsidR="0042157B" w:rsidRDefault="0042157B">
      <w:pPr>
        <w:pStyle w:val="FootnoteText"/>
      </w:pPr>
      <w:r>
        <w:rPr>
          <w:rStyle w:val="FootnoteReference"/>
        </w:rPr>
        <w:footnoteRef/>
      </w:r>
      <w:r>
        <w:t xml:space="preserve"> </w:t>
      </w:r>
      <w:r w:rsidRPr="004A6D6D">
        <w:t xml:space="preserve">U. S. Department of Education (2016).  </w:t>
      </w:r>
      <w:r w:rsidRPr="004A6D6D">
        <w:rPr>
          <w:i/>
        </w:rPr>
        <w:t xml:space="preserve">Troubling pay gap for early childhood teachers </w:t>
      </w:r>
      <w:r w:rsidRPr="004A6D6D">
        <w:t>[Fact sheet].  Retrieved from http://www.ed.gov/news/press-releases/fact-sheet-troubling-p</w:t>
      </w:r>
      <w:r>
        <w:t>ay-gap-early-childhood-teachers</w:t>
      </w:r>
    </w:p>
  </w:footnote>
  <w:footnote w:id="10">
    <w:p w14:paraId="109A443A" w14:textId="77777777" w:rsidR="0042157B" w:rsidRPr="00275E20" w:rsidRDefault="0042157B" w:rsidP="001358B6">
      <w:pPr>
        <w:pStyle w:val="BodyText"/>
        <w:spacing w:after="0" w:line="240" w:lineRule="auto"/>
        <w:rPr>
          <w:rFonts w:eastAsia="Times New Roman" w:cs="Arial"/>
          <w:sz w:val="22"/>
          <w:szCs w:val="20"/>
        </w:rPr>
      </w:pPr>
      <w:r>
        <w:rPr>
          <w:rStyle w:val="FootnoteReference"/>
        </w:rPr>
        <w:footnoteRef/>
      </w:r>
      <w:r>
        <w:t xml:space="preserve"> </w:t>
      </w:r>
      <w:r w:rsidRPr="00275E20">
        <w:rPr>
          <w:rFonts w:eastAsia="Times New Roman" w:cs="Arial"/>
          <w:bCs/>
          <w:sz w:val="20"/>
          <w:szCs w:val="20"/>
        </w:rPr>
        <w:t>National Survey of Early Care and Education Project Team. (2013).</w:t>
      </w:r>
      <w:r w:rsidRPr="00275E20">
        <w:rPr>
          <w:rFonts w:eastAsia="Times New Roman" w:cs="Arial"/>
          <w:b/>
          <w:bCs/>
          <w:sz w:val="20"/>
          <w:szCs w:val="20"/>
        </w:rPr>
        <w:t xml:space="preserve"> </w:t>
      </w:r>
      <w:r w:rsidRPr="00275E20">
        <w:rPr>
          <w:rFonts w:eastAsia="Times New Roman" w:cs="Arial"/>
          <w:i/>
          <w:sz w:val="20"/>
          <w:szCs w:val="20"/>
        </w:rPr>
        <w:t xml:space="preserve">Number and characteristics of early care and education (ECE) teachers and caregivers: Initial findings from the National Survey of Early Care and Education (NSECE). </w:t>
      </w:r>
      <w:r w:rsidRPr="00275E20">
        <w:rPr>
          <w:rFonts w:eastAsia="Times New Roman" w:cs="Arial"/>
          <w:sz w:val="20"/>
          <w:szCs w:val="20"/>
        </w:rPr>
        <w:t>OPRE Report #2013-3.</w:t>
      </w:r>
      <w:r w:rsidRPr="00275E20">
        <w:rPr>
          <w:rFonts w:eastAsia="Times New Roman" w:cs="Arial"/>
          <w:i/>
          <w:sz w:val="20"/>
          <w:szCs w:val="20"/>
        </w:rPr>
        <w:t xml:space="preserve"> </w:t>
      </w:r>
      <w:r w:rsidRPr="00275E20">
        <w:rPr>
          <w:rFonts w:eastAsia="Times New Roman" w:cs="Arial"/>
          <w:sz w:val="20"/>
          <w:szCs w:val="20"/>
        </w:rPr>
        <w:t>Washington DC: Office of Planning, Research and Evaluation, Administration for Children and Families, U.S. Department of Health and Human Services.</w:t>
      </w:r>
    </w:p>
  </w:footnote>
  <w:footnote w:id="11">
    <w:p w14:paraId="09381195" w14:textId="77777777" w:rsidR="0042157B" w:rsidRPr="004A6D6D" w:rsidRDefault="0042157B" w:rsidP="001358B6">
      <w:pPr>
        <w:pStyle w:val="FootnoteText"/>
      </w:pPr>
      <w:r>
        <w:rPr>
          <w:rStyle w:val="FootnoteReference"/>
        </w:rPr>
        <w:footnoteRef/>
      </w:r>
      <w:r>
        <w:t xml:space="preserve"> </w:t>
      </w:r>
      <w:r w:rsidRPr="004A6D6D">
        <w:t xml:space="preserve">Marshall, N. L., </w:t>
      </w:r>
      <w:proofErr w:type="spellStart"/>
      <w:r w:rsidRPr="004A6D6D">
        <w:t>Dennehy</w:t>
      </w:r>
      <w:proofErr w:type="spellEnd"/>
      <w:r w:rsidRPr="004A6D6D">
        <w:t>, J., Johnson-</w:t>
      </w:r>
      <w:proofErr w:type="spellStart"/>
      <w:r w:rsidRPr="004A6D6D">
        <w:t>Staub</w:t>
      </w:r>
      <w:proofErr w:type="spellEnd"/>
      <w:r w:rsidRPr="004A6D6D">
        <w:t>, C., &amp; Wagner-Robeson, W. (2005</w:t>
      </w:r>
      <w:r w:rsidRPr="004A6D6D">
        <w:rPr>
          <w:i/>
        </w:rPr>
        <w:t>). Massachusetts Capacity Study: Characteristics of the current early education and care workforce serving 3-5 year olds</w:t>
      </w:r>
      <w:r w:rsidRPr="004A6D6D">
        <w:t xml:space="preserve">. Wellesley, MA: Center for Research on Women, Wellesley College. </w:t>
      </w:r>
    </w:p>
    <w:p w14:paraId="4707308F" w14:textId="77777777" w:rsidR="0042157B" w:rsidRPr="001358B6" w:rsidRDefault="0042157B" w:rsidP="001358B6">
      <w:pPr>
        <w:pStyle w:val="FootnoteText"/>
        <w:rPr>
          <w:sz w:val="2"/>
          <w:szCs w:val="2"/>
        </w:rPr>
      </w:pPr>
    </w:p>
  </w:footnote>
  <w:footnote w:id="12">
    <w:p w14:paraId="79DEB6F6" w14:textId="77777777" w:rsidR="0042157B" w:rsidRDefault="0042157B">
      <w:pPr>
        <w:pStyle w:val="FootnoteText"/>
      </w:pPr>
      <w:r>
        <w:rPr>
          <w:rStyle w:val="FootnoteReference"/>
        </w:rPr>
        <w:footnoteRef/>
      </w:r>
      <w:r>
        <w:t xml:space="preserve"> This issue was raised during public comment at the EEC Board meeting on December 8, 2015.</w:t>
      </w:r>
    </w:p>
  </w:footnote>
  <w:footnote w:id="13">
    <w:p w14:paraId="701DF37A" w14:textId="77777777" w:rsidR="0042157B" w:rsidRPr="0005145E" w:rsidRDefault="0042157B" w:rsidP="0005145E">
      <w:pPr>
        <w:pStyle w:val="FootnoteText"/>
      </w:pPr>
      <w:r>
        <w:rPr>
          <w:rStyle w:val="FootnoteReference"/>
        </w:rPr>
        <w:footnoteRef/>
      </w:r>
      <w:r>
        <w:t xml:space="preserve"> </w:t>
      </w:r>
      <w:r w:rsidRPr="0005145E">
        <w:t xml:space="preserve">Bond, M.A. &amp; </w:t>
      </w:r>
      <w:proofErr w:type="spellStart"/>
      <w:r w:rsidRPr="0005145E">
        <w:t>Wasik</w:t>
      </w:r>
      <w:proofErr w:type="spellEnd"/>
      <w:r w:rsidRPr="0005145E">
        <w:t xml:space="preserve">, B.A. (2009). Conversation stations: Promoting language development in young children. </w:t>
      </w:r>
      <w:r w:rsidRPr="0005145E">
        <w:rPr>
          <w:i/>
        </w:rPr>
        <w:t>Early Childhood Education Journal, 36</w:t>
      </w:r>
      <w:r w:rsidRPr="0005145E">
        <w:t>(6)</w:t>
      </w:r>
      <w:r w:rsidRPr="0005145E">
        <w:rPr>
          <w:i/>
        </w:rPr>
        <w:t xml:space="preserve">, </w:t>
      </w:r>
      <w:r w:rsidRPr="0005145E">
        <w:t xml:space="preserve">467-473. </w:t>
      </w:r>
      <w:hyperlink r:id="rId1" w:history="1">
        <w:r w:rsidRPr="0005145E">
          <w:rPr>
            <w:rStyle w:val="Hyperlink"/>
          </w:rPr>
          <w:t xml:space="preserve">http://dx.doi.org/10.1007/s10643-009-0310-7 </w:t>
        </w:r>
      </w:hyperlink>
      <w:r w:rsidRPr="0005145E">
        <w:rPr>
          <w:rFonts w:eastAsia="MS Mincho"/>
          <w:color w:val="000000"/>
          <w:lang w:eastAsia="ja-JP"/>
        </w:rPr>
        <w:t xml:space="preserve"> </w:t>
      </w:r>
      <w:r w:rsidRPr="0005145E">
        <w:t xml:space="preserve">Bowers, E.P. &amp; </w:t>
      </w:r>
      <w:proofErr w:type="spellStart"/>
      <w:r w:rsidRPr="0005145E">
        <w:t>Vasilyeva</w:t>
      </w:r>
      <w:proofErr w:type="spellEnd"/>
      <w:r w:rsidRPr="0005145E">
        <w:t xml:space="preserve">, M. (2011). The relation between teacher input and the lexical growth of preschoolers. </w:t>
      </w:r>
      <w:r w:rsidRPr="0005145E">
        <w:rPr>
          <w:i/>
        </w:rPr>
        <w:t>Applied Psycholinguistics, 32</w:t>
      </w:r>
      <w:r w:rsidRPr="0005145E">
        <w:t>(1)</w:t>
      </w:r>
      <w:r w:rsidRPr="0005145E">
        <w:rPr>
          <w:i/>
        </w:rPr>
        <w:t xml:space="preserve">, </w:t>
      </w:r>
      <w:r w:rsidRPr="0005145E">
        <w:t xml:space="preserve">221-247. </w:t>
      </w:r>
      <w:hyperlink r:id="rId2" w:history="1">
        <w:r w:rsidRPr="0005145E">
          <w:rPr>
            <w:rStyle w:val="Hyperlink"/>
          </w:rPr>
          <w:t xml:space="preserve">http://dx.doi.org/10.1017/s0142716410000354 </w:t>
        </w:r>
      </w:hyperlink>
      <w:r w:rsidRPr="0005145E">
        <w:rPr>
          <w:rFonts w:eastAsia="MS Mincho"/>
          <w:lang w:eastAsia="ja-JP"/>
        </w:rPr>
        <w:t xml:space="preserve"> </w:t>
      </w:r>
      <w:r w:rsidRPr="0005145E">
        <w:t xml:space="preserve">Hoff, E. (2006). How social contexts support and shape language development. </w:t>
      </w:r>
      <w:r w:rsidRPr="0005145E">
        <w:rPr>
          <w:i/>
        </w:rPr>
        <w:t>Developmental Review, 26</w:t>
      </w:r>
      <w:r w:rsidRPr="0005145E">
        <w:t>(1)</w:t>
      </w:r>
      <w:r w:rsidRPr="0005145E">
        <w:rPr>
          <w:i/>
        </w:rPr>
        <w:t xml:space="preserve">, </w:t>
      </w:r>
      <w:r w:rsidRPr="0005145E">
        <w:t xml:space="preserve">55-88. </w:t>
      </w:r>
      <w:hyperlink r:id="rId3" w:history="1">
        <w:r w:rsidRPr="0005145E">
          <w:rPr>
            <w:rStyle w:val="Hyperlink"/>
          </w:rPr>
          <w:t xml:space="preserve">http://dx.doi.org/10.1016/j.dr.2005.11.002 </w:t>
        </w:r>
      </w:hyperlink>
    </w:p>
    <w:p w14:paraId="48126FC1" w14:textId="77777777" w:rsidR="0042157B" w:rsidRPr="001358B6" w:rsidRDefault="0042157B">
      <w:pPr>
        <w:pStyle w:val="FootnoteText"/>
        <w:rPr>
          <w:sz w:val="2"/>
          <w:szCs w:val="2"/>
        </w:rPr>
      </w:pPr>
    </w:p>
  </w:footnote>
  <w:footnote w:id="14">
    <w:p w14:paraId="06561044" w14:textId="77777777" w:rsidR="0042157B" w:rsidRPr="00FF0AC5" w:rsidRDefault="0042157B" w:rsidP="001358B6">
      <w:pPr>
        <w:pStyle w:val="BodyText"/>
        <w:spacing w:after="0" w:line="240" w:lineRule="auto"/>
        <w:rPr>
          <w:rFonts w:eastAsia="Times New Roman"/>
          <w:color w:val="000000"/>
          <w:sz w:val="22"/>
          <w:szCs w:val="20"/>
        </w:rPr>
      </w:pPr>
      <w:r>
        <w:rPr>
          <w:rStyle w:val="FootnoteReference"/>
        </w:rPr>
        <w:footnoteRef/>
      </w:r>
      <w:r>
        <w:t xml:space="preserve"> </w:t>
      </w:r>
      <w:proofErr w:type="spellStart"/>
      <w:r w:rsidRPr="000B522C">
        <w:rPr>
          <w:rFonts w:eastAsia="Times New Roman"/>
          <w:color w:val="000000"/>
          <w:sz w:val="20"/>
          <w:szCs w:val="20"/>
        </w:rPr>
        <w:t>Dahlke</w:t>
      </w:r>
      <w:proofErr w:type="spellEnd"/>
      <w:r w:rsidRPr="000B522C">
        <w:rPr>
          <w:rFonts w:eastAsia="Times New Roman"/>
          <w:color w:val="000000"/>
          <w:sz w:val="20"/>
          <w:szCs w:val="20"/>
        </w:rPr>
        <w:t xml:space="preserve">, K., Tucker, N., Weinberg, N., Reese, K., </w:t>
      </w:r>
      <w:proofErr w:type="spellStart"/>
      <w:r w:rsidRPr="000B522C">
        <w:rPr>
          <w:rFonts w:eastAsia="Times New Roman"/>
          <w:color w:val="000000"/>
          <w:sz w:val="20"/>
          <w:szCs w:val="20"/>
        </w:rPr>
        <w:t>Chernoff</w:t>
      </w:r>
      <w:proofErr w:type="spellEnd"/>
      <w:r w:rsidRPr="000B522C">
        <w:rPr>
          <w:rFonts w:eastAsia="Times New Roman"/>
          <w:color w:val="000000"/>
          <w:sz w:val="20"/>
          <w:szCs w:val="20"/>
        </w:rPr>
        <w:t>, J., Chamorro, A</w:t>
      </w:r>
      <w:proofErr w:type="gramStart"/>
      <w:r w:rsidRPr="000B522C">
        <w:rPr>
          <w:rFonts w:eastAsia="Times New Roman"/>
          <w:color w:val="000000"/>
          <w:sz w:val="20"/>
          <w:szCs w:val="20"/>
        </w:rPr>
        <w:t>., ...</w:t>
      </w:r>
      <w:proofErr w:type="gramEnd"/>
      <w:r w:rsidRPr="000B522C">
        <w:rPr>
          <w:rFonts w:eastAsia="Times New Roman"/>
          <w:color w:val="000000"/>
          <w:sz w:val="20"/>
          <w:szCs w:val="20"/>
        </w:rPr>
        <w:t xml:space="preserve">  Flanagan, K. (2014). </w:t>
      </w:r>
      <w:r w:rsidRPr="000B522C">
        <w:rPr>
          <w:rFonts w:eastAsia="Times New Roman"/>
          <w:i/>
          <w:color w:val="000000"/>
          <w:sz w:val="20"/>
          <w:szCs w:val="20"/>
        </w:rPr>
        <w:t xml:space="preserve">Race to the Top—Early Learning Challenge Grant: Validation of Educator Competency Study 2014 Annual Report. </w:t>
      </w:r>
      <w:r w:rsidRPr="000B522C">
        <w:rPr>
          <w:rFonts w:eastAsia="Times New Roman"/>
          <w:color w:val="000000"/>
          <w:sz w:val="20"/>
          <w:szCs w:val="20"/>
        </w:rPr>
        <w:t>Massachusetts Department of Early Education and Care.</w:t>
      </w:r>
    </w:p>
  </w:footnote>
  <w:footnote w:id="15">
    <w:p w14:paraId="2EBAA951" w14:textId="77777777" w:rsidR="0042157B" w:rsidRPr="00FF0AC5" w:rsidRDefault="0042157B" w:rsidP="001358B6">
      <w:pPr>
        <w:pStyle w:val="FootnoteText"/>
        <w:rPr>
          <w:u w:val="single"/>
        </w:rPr>
      </w:pPr>
      <w:r>
        <w:rPr>
          <w:rStyle w:val="FootnoteReference"/>
        </w:rPr>
        <w:footnoteRef/>
      </w:r>
      <w:r>
        <w:t xml:space="preserve"> </w:t>
      </w:r>
      <w:proofErr w:type="spellStart"/>
      <w:r w:rsidRPr="00FF0AC5">
        <w:t>Yudron</w:t>
      </w:r>
      <w:proofErr w:type="gramStart"/>
      <w:r w:rsidRPr="00FF0AC5">
        <w:t>,M</w:t>
      </w:r>
      <w:proofErr w:type="spellEnd"/>
      <w:proofErr w:type="gramEnd"/>
      <w:r w:rsidRPr="00FF0AC5">
        <w:t xml:space="preserve">., &amp; </w:t>
      </w:r>
      <w:proofErr w:type="spellStart"/>
      <w:r w:rsidRPr="00FF0AC5">
        <w:t>Weiland,C</w:t>
      </w:r>
      <w:proofErr w:type="spellEnd"/>
      <w:r w:rsidRPr="00FF0AC5">
        <w:t xml:space="preserve">. (2016). </w:t>
      </w:r>
      <w:r w:rsidRPr="00FF0AC5">
        <w:rPr>
          <w:i/>
        </w:rPr>
        <w:t xml:space="preserve">BPS K1DS: Piloting the Boston Public Schools’ prekindergarten model in community-based organizations. </w:t>
      </w:r>
      <w:r w:rsidRPr="00FF0AC5">
        <w:t>Retrieved from: http://bpsearlychildhood.weebly.com/uploads/1/0/1/3/10131776/bpsk1ds_final_report_feb2016_11.pdf</w:t>
      </w:r>
    </w:p>
    <w:p w14:paraId="49FE4D22" w14:textId="77777777" w:rsidR="0042157B" w:rsidRPr="001358B6" w:rsidRDefault="0042157B" w:rsidP="001358B6">
      <w:pPr>
        <w:pStyle w:val="FootnoteText"/>
        <w:rPr>
          <w:sz w:val="2"/>
          <w:szCs w:val="2"/>
        </w:rPr>
      </w:pPr>
    </w:p>
  </w:footnote>
  <w:footnote w:id="16">
    <w:p w14:paraId="3BE200D8" w14:textId="77777777" w:rsidR="0042157B" w:rsidRDefault="0042157B" w:rsidP="001358B6">
      <w:pPr>
        <w:pStyle w:val="FootnoteText"/>
      </w:pPr>
      <w:r>
        <w:rPr>
          <w:rStyle w:val="FootnoteReference"/>
        </w:rPr>
        <w:footnoteRef/>
      </w:r>
      <w:r>
        <w:t xml:space="preserve"> Head Start Early Childhood Learning and Knowledge Center. (2016). A national overview of grantee CLASS scores in 2015. Retrieved from </w:t>
      </w:r>
      <w:r w:rsidRPr="00E42A1B">
        <w:t>https://eclkc.ohs.acf.hhs.gov/hslc/data/class-reports/class-data-2015.html</w:t>
      </w:r>
    </w:p>
  </w:footnote>
  <w:footnote w:id="17">
    <w:p w14:paraId="68474318" w14:textId="77777777" w:rsidR="0042157B" w:rsidRDefault="0042157B" w:rsidP="00212E62">
      <w:pPr>
        <w:pStyle w:val="FootnoteText"/>
      </w:pPr>
      <w:r>
        <w:rPr>
          <w:rStyle w:val="FootnoteReference"/>
        </w:rPr>
        <w:footnoteRef/>
      </w:r>
      <w:r>
        <w:t>These state average numbers do not include Boston.  Boston numbers reflect a blended model which depicts the cost of quality added on top of what is already subsidized but not the true cost of running an independent PEG program. In Boston, the average per-classroom cost across sites was $256,210.59 ($13,910.42 per child).</w:t>
      </w:r>
    </w:p>
  </w:footnote>
  <w:footnote w:id="18">
    <w:p w14:paraId="10E5EDC0" w14:textId="77777777" w:rsidR="0042157B" w:rsidRDefault="0042157B" w:rsidP="003B32DB">
      <w:pPr>
        <w:spacing w:after="0" w:line="240" w:lineRule="auto"/>
      </w:pPr>
      <w:r>
        <w:rPr>
          <w:rStyle w:val="FootnoteReference"/>
        </w:rPr>
        <w:footnoteRef/>
      </w:r>
      <w:r>
        <w:t xml:space="preserve"> </w:t>
      </w:r>
      <w:r>
        <w:rPr>
          <w:sz w:val="20"/>
          <w:szCs w:val="20"/>
        </w:rPr>
        <w:t xml:space="preserve">“ FY16 expenditures per pupil,” and accompanying explanation, </w:t>
      </w:r>
      <w:r>
        <w:rPr>
          <w:i/>
          <w:iCs/>
          <w:sz w:val="20"/>
          <w:szCs w:val="20"/>
        </w:rPr>
        <w:t xml:space="preserve">Massachusetts Department of Elementary and Secondary Education, </w:t>
      </w:r>
      <w:r>
        <w:rPr>
          <w:sz w:val="20"/>
          <w:szCs w:val="20"/>
        </w:rPr>
        <w:t xml:space="preserve">accessed on September 26, 2016, </w:t>
      </w:r>
      <w:r w:rsidRPr="00F07024">
        <w:rPr>
          <w:sz w:val="20"/>
          <w:szCs w:val="20"/>
        </w:rPr>
        <w:t>http://www.doe.mass.edu/finance/statistics/ppx15.html</w:t>
      </w:r>
    </w:p>
  </w:footnote>
  <w:footnote w:id="19">
    <w:p w14:paraId="5FDEA628" w14:textId="77777777" w:rsidR="0042157B" w:rsidRDefault="0042157B" w:rsidP="003B32DB">
      <w:pPr>
        <w:pStyle w:val="FootnoteText"/>
      </w:pPr>
      <w:r>
        <w:rPr>
          <w:rStyle w:val="FootnoteReference"/>
        </w:rPr>
        <w:footnoteRef/>
      </w:r>
      <w:r>
        <w:t xml:space="preserve"> Wat, A. (2007). </w:t>
      </w:r>
      <w:r>
        <w:rPr>
          <w:i/>
        </w:rPr>
        <w:t>Dollars and sense: A review of economic analyses of Pre-K.</w:t>
      </w:r>
      <w:r>
        <w:t xml:space="preserve"> </w:t>
      </w:r>
      <w:proofErr w:type="spellStart"/>
      <w:r>
        <w:t>PreK</w:t>
      </w:r>
      <w:proofErr w:type="spellEnd"/>
      <w:r>
        <w:t xml:space="preserve"> Now Research Series.</w:t>
      </w:r>
    </w:p>
  </w:footnote>
  <w:footnote w:id="20">
    <w:p w14:paraId="7B992A57" w14:textId="77777777" w:rsidR="0042157B" w:rsidRDefault="0042157B" w:rsidP="008805D2">
      <w:pPr>
        <w:pStyle w:val="FootnoteText"/>
      </w:pPr>
      <w:r>
        <w:rPr>
          <w:rStyle w:val="FootnoteReference"/>
        </w:rPr>
        <w:footnoteRef/>
      </w:r>
      <w:r>
        <w:t xml:space="preserve"> </w:t>
      </w:r>
      <w:proofErr w:type="spellStart"/>
      <w:r w:rsidRPr="00E47AC0">
        <w:t>Burchinal</w:t>
      </w:r>
      <w:proofErr w:type="spellEnd"/>
      <w:r w:rsidRPr="00E47AC0">
        <w:t>, M., Cryer, D., Clifford, R</w:t>
      </w:r>
      <w:proofErr w:type="gramStart"/>
      <w:r w:rsidRPr="00E47AC0">
        <w:t>,.</w:t>
      </w:r>
      <w:proofErr w:type="gramEnd"/>
      <w:r w:rsidRPr="00E47AC0">
        <w:t xml:space="preserve"> &amp; Howes, C. (2002). Caregiver training and classroom quality in child care centers. </w:t>
      </w:r>
      <w:r w:rsidRPr="00E47AC0">
        <w:rPr>
          <w:i/>
        </w:rPr>
        <w:t>Applied Developmental Sciences, 6(</w:t>
      </w:r>
      <w:r w:rsidRPr="00E47AC0">
        <w:t>1), 2-11.</w:t>
      </w:r>
      <w:r>
        <w:t xml:space="preserve">; </w:t>
      </w:r>
      <w:r>
        <w:rPr>
          <w:rStyle w:val="Emphasis"/>
          <w:i w:val="0"/>
        </w:rPr>
        <w:t xml:space="preserve">Henderson, A.T. &amp; Mapp, K.L. </w:t>
      </w:r>
      <w:r>
        <w:rPr>
          <w:rStyle w:val="Emphasis"/>
        </w:rPr>
        <w:t xml:space="preserve">A </w:t>
      </w:r>
      <w:proofErr w:type="gramStart"/>
      <w:r>
        <w:rPr>
          <w:rStyle w:val="Emphasis"/>
        </w:rPr>
        <w:t>New Wave</w:t>
      </w:r>
      <w:proofErr w:type="gramEnd"/>
      <w:r>
        <w:rPr>
          <w:rStyle w:val="Emphasis"/>
        </w:rPr>
        <w:t xml:space="preserve"> of Evidence</w:t>
      </w:r>
      <w:r>
        <w:rPr>
          <w:rStyle w:val="st"/>
        </w:rPr>
        <w:t xml:space="preserve">. The Impact of School, Family, and Community. Connections on Student Achievement. Annual Synthesis 2002. </w:t>
      </w:r>
      <w:r w:rsidRPr="005C516F">
        <w:t>National Center for Family and Com</w:t>
      </w:r>
      <w:r>
        <w:t xml:space="preserve">munity Connections with Schools SEDL: Austin, </w:t>
      </w:r>
      <w:proofErr w:type="gramStart"/>
      <w:r>
        <w:t>TX.;</w:t>
      </w:r>
      <w:proofErr w:type="gramEnd"/>
      <w:r>
        <w:t xml:space="preserve"> </w:t>
      </w:r>
      <w:r w:rsidRPr="00E47AC0">
        <w:t xml:space="preserve">Tout, K., </w:t>
      </w:r>
      <w:proofErr w:type="spellStart"/>
      <w:r w:rsidRPr="00E47AC0">
        <w:t>Zaslow</w:t>
      </w:r>
      <w:proofErr w:type="spellEnd"/>
      <w:r w:rsidRPr="00E47AC0">
        <w:t xml:space="preserve">, M., and Berry, D. (2006). Quality and qualifications: Links between professional development and quality in early care and education settings. </w:t>
      </w:r>
      <w:r w:rsidRPr="00E47AC0">
        <w:rPr>
          <w:i/>
        </w:rPr>
        <w:t>Critical Issues in Early Childhood Professional Development</w:t>
      </w:r>
      <w:r w:rsidRPr="00E47AC0">
        <w:t xml:space="preserve">, Baltimore, </w:t>
      </w:r>
      <w:proofErr w:type="gramStart"/>
      <w:r w:rsidRPr="00E47AC0">
        <w:t>Md</w:t>
      </w:r>
      <w:proofErr w:type="gramEnd"/>
      <w:r w:rsidRPr="00E47AC0">
        <w:t>.: Brookes.</w:t>
      </w:r>
    </w:p>
  </w:footnote>
  <w:footnote w:id="21">
    <w:p w14:paraId="3DFA3554" w14:textId="77777777" w:rsidR="0042157B" w:rsidRDefault="0042157B" w:rsidP="005C516F">
      <w:pPr>
        <w:pStyle w:val="FootnoteText"/>
      </w:pPr>
      <w:r>
        <w:rPr>
          <w:rStyle w:val="FootnoteReference"/>
        </w:rPr>
        <w:footnoteRef/>
      </w:r>
      <w:r>
        <w:t xml:space="preserve"> </w:t>
      </w:r>
      <w:r w:rsidRPr="002A3262">
        <w:t xml:space="preserve">Robin, K.B., </w:t>
      </w:r>
      <w:proofErr w:type="spellStart"/>
      <w:r w:rsidRPr="002A3262">
        <w:t>Fre</w:t>
      </w:r>
      <w:r>
        <w:t>de</w:t>
      </w:r>
      <w:proofErr w:type="spellEnd"/>
      <w:r>
        <w:t xml:space="preserve">, E.C., Barnett, W.S. (2006). </w:t>
      </w:r>
      <w:r w:rsidRPr="002A3262">
        <w:t xml:space="preserve">Is </w:t>
      </w:r>
      <w:proofErr w:type="gramStart"/>
      <w:r w:rsidRPr="002A3262">
        <w:t>More Better</w:t>
      </w:r>
      <w:proofErr w:type="gramEnd"/>
      <w:r w:rsidRPr="002A3262">
        <w:t>? The E</w:t>
      </w:r>
      <w:r>
        <w:t xml:space="preserve">ffects of Full-Day vs. Half-Day </w:t>
      </w:r>
      <w:r w:rsidRPr="002A3262">
        <w:t xml:space="preserve">Preschool on Early School Achievement. </w:t>
      </w:r>
      <w:r w:rsidRPr="002A3262">
        <w:rPr>
          <w:i/>
          <w:iCs/>
        </w:rPr>
        <w:t>NIEER</w:t>
      </w:r>
      <w:r>
        <w:t xml:space="preserve"> </w:t>
      </w:r>
      <w:r w:rsidRPr="002A3262">
        <w:rPr>
          <w:i/>
          <w:iCs/>
        </w:rPr>
        <w:t>Working Paper.</w:t>
      </w:r>
    </w:p>
  </w:footnote>
  <w:footnote w:id="22">
    <w:p w14:paraId="42DCBCBE" w14:textId="77777777" w:rsidR="0042157B" w:rsidRPr="00817753" w:rsidRDefault="0042157B">
      <w:pPr>
        <w:pStyle w:val="FootnoteText"/>
      </w:pPr>
      <w:r>
        <w:rPr>
          <w:rStyle w:val="FootnoteReference"/>
        </w:rPr>
        <w:footnoteRef/>
      </w:r>
      <w:r>
        <w:t xml:space="preserve">McCombs, J.S., Augustine, C.H., Schwartz, H.L., </w:t>
      </w:r>
      <w:proofErr w:type="spellStart"/>
      <w:r>
        <w:t>Bodilly</w:t>
      </w:r>
      <w:proofErr w:type="spellEnd"/>
      <w:r>
        <w:t xml:space="preserve">, S.J., McInnis, B., </w:t>
      </w:r>
      <w:proofErr w:type="spellStart"/>
      <w:r>
        <w:t>Lichter</w:t>
      </w:r>
      <w:proofErr w:type="spellEnd"/>
      <w:r>
        <w:t xml:space="preserve">, D.S. &amp; Cross, A.B. (2011). </w:t>
      </w:r>
      <w:r>
        <w:rPr>
          <w:i/>
        </w:rPr>
        <w:t xml:space="preserve">Making summer count: How summer programs can boost children's learning. </w:t>
      </w:r>
      <w:r>
        <w:t xml:space="preserve">RAND Corporation: Santa Monica, CA. Retrieved from </w:t>
      </w:r>
      <w:r w:rsidRPr="00817753">
        <w:t>http://www.rand.org/content/dam/rand/pubs/monographs/2011/RAND_MG1120.pdf</w:t>
      </w:r>
    </w:p>
  </w:footnote>
  <w:footnote w:id="23">
    <w:p w14:paraId="57BFDBB4" w14:textId="2477B414" w:rsidR="0042157B" w:rsidRDefault="0042157B">
      <w:pPr>
        <w:pStyle w:val="FootnoteText"/>
      </w:pPr>
      <w:r>
        <w:rPr>
          <w:rStyle w:val="FootnoteReference"/>
        </w:rPr>
        <w:footnoteRef/>
      </w:r>
      <w:r>
        <w:t xml:space="preserve"> Bowne, J.B., Magnuson, K., Schindler, H., Duncan, G.J. &amp; Yoshikawa, H. (2016). </w:t>
      </w:r>
      <w:r w:rsidRPr="00961158">
        <w:t>A Meta-Analysis of Class Sizes and Ratios in Early Childhood Education Programs: Are Thresholds of Quality Associated with Greater Impacts on Cognitive, Achievement, and Social-Emotional Outcomes?</w:t>
      </w:r>
      <w:r>
        <w:t xml:space="preserve"> </w:t>
      </w:r>
      <w:r>
        <w:rPr>
          <w:i/>
        </w:rPr>
        <w:t>Under review.</w:t>
      </w:r>
      <w:r w:rsidRPr="0004391A">
        <w:rPr>
          <w:rFonts w:eastAsia="MS Mincho"/>
          <w:lang w:eastAsia="ja-JP"/>
        </w:rPr>
        <w:t xml:space="preserve"> </w:t>
      </w:r>
      <w:proofErr w:type="spellStart"/>
      <w:r w:rsidRPr="0004391A">
        <w:rPr>
          <w:i/>
        </w:rPr>
        <w:t>Mashburn</w:t>
      </w:r>
      <w:proofErr w:type="spellEnd"/>
      <w:r w:rsidRPr="0004391A">
        <w:rPr>
          <w:i/>
        </w:rPr>
        <w:t xml:space="preserve">, A.J., </w:t>
      </w:r>
      <w:proofErr w:type="spellStart"/>
      <w:r w:rsidRPr="0004391A">
        <w:rPr>
          <w:i/>
        </w:rPr>
        <w:t>Pianta</w:t>
      </w:r>
      <w:proofErr w:type="spellEnd"/>
      <w:r w:rsidRPr="0004391A">
        <w:rPr>
          <w:i/>
        </w:rPr>
        <w:t xml:space="preserve">, R.C., </w:t>
      </w:r>
      <w:proofErr w:type="spellStart"/>
      <w:r w:rsidRPr="0004391A">
        <w:rPr>
          <w:i/>
        </w:rPr>
        <w:t>Hamre</w:t>
      </w:r>
      <w:proofErr w:type="spellEnd"/>
      <w:r w:rsidRPr="0004391A">
        <w:rPr>
          <w:i/>
        </w:rPr>
        <w:t xml:space="preserve">, B.K., Downer, J.T., </w:t>
      </w:r>
      <w:proofErr w:type="spellStart"/>
      <w:r w:rsidRPr="0004391A">
        <w:rPr>
          <w:i/>
        </w:rPr>
        <w:t>Barbarin</w:t>
      </w:r>
      <w:proofErr w:type="spellEnd"/>
      <w:r w:rsidRPr="0004391A">
        <w:rPr>
          <w:i/>
        </w:rPr>
        <w:t xml:space="preserve">, O., Bryant, D., … Howes, C. (2008). Measures of classroom quality in prekindergarten and children’s development of academic, language, and social skills. </w:t>
      </w:r>
      <w:r w:rsidRPr="0004391A">
        <w:rPr>
          <w:i/>
          <w:iCs/>
        </w:rPr>
        <w:t>Child development</w:t>
      </w:r>
      <w:r w:rsidRPr="0004391A">
        <w:rPr>
          <w:i/>
        </w:rPr>
        <w:t xml:space="preserve">, </w:t>
      </w:r>
      <w:r w:rsidRPr="0004391A">
        <w:rPr>
          <w:i/>
          <w:iCs/>
        </w:rPr>
        <w:t>79</w:t>
      </w:r>
      <w:r w:rsidRPr="0004391A">
        <w:rPr>
          <w:i/>
        </w:rPr>
        <w:t xml:space="preserve">(3), 732–49. </w:t>
      </w:r>
      <w:proofErr w:type="spellStart"/>
      <w:r w:rsidRPr="0004391A">
        <w:rPr>
          <w:i/>
        </w:rPr>
        <w:t>Pianta</w:t>
      </w:r>
      <w:proofErr w:type="spellEnd"/>
      <w:r w:rsidRPr="0004391A">
        <w:rPr>
          <w:i/>
        </w:rPr>
        <w:t xml:space="preserve">, R., Howes, C., </w:t>
      </w:r>
      <w:proofErr w:type="spellStart"/>
      <w:r w:rsidRPr="0004391A">
        <w:rPr>
          <w:i/>
        </w:rPr>
        <w:t>Burchinal</w:t>
      </w:r>
      <w:proofErr w:type="spellEnd"/>
      <w:r w:rsidRPr="0004391A">
        <w:rPr>
          <w:i/>
        </w:rPr>
        <w:t xml:space="preserve">, M., Bryant, D., Clifford, R., Early, D., &amp; </w:t>
      </w:r>
      <w:proofErr w:type="spellStart"/>
      <w:r w:rsidRPr="0004391A">
        <w:rPr>
          <w:i/>
        </w:rPr>
        <w:t>Barbarin</w:t>
      </w:r>
      <w:proofErr w:type="spellEnd"/>
      <w:r w:rsidRPr="0004391A">
        <w:rPr>
          <w:i/>
        </w:rPr>
        <w:t xml:space="preserve">, O. (2005). Features of Pre-Kindergarten programs, classrooms, and teachers: Do they predict observed classroom quality and child-teacher interactions? </w:t>
      </w:r>
      <w:r w:rsidRPr="0004391A">
        <w:rPr>
          <w:i/>
          <w:iCs/>
        </w:rPr>
        <w:t>Developmental Science</w:t>
      </w:r>
      <w:r w:rsidRPr="0004391A">
        <w:rPr>
          <w:i/>
        </w:rPr>
        <w:t xml:space="preserve">, </w:t>
      </w:r>
      <w:r w:rsidRPr="0004391A">
        <w:rPr>
          <w:i/>
          <w:iCs/>
        </w:rPr>
        <w:t>9</w:t>
      </w:r>
      <w:r w:rsidRPr="0004391A">
        <w:rPr>
          <w:i/>
        </w:rPr>
        <w:t>(3), 144–159.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6CE4B" w14:textId="0B5AC482" w:rsidR="0042157B" w:rsidRDefault="00B53D96">
    <w:pPr>
      <w:pStyle w:val="Header"/>
    </w:pPr>
    <w:r>
      <w:rPr>
        <w:noProof/>
      </w:rPr>
      <w:pict w14:anchorId="19D7E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295866" o:spid="_x0000_s2050" type="#_x0000_t136" style="position:absolute;margin-left:0;margin-top:0;width:614.15pt;height:45.45pt;rotation:315;z-index:-251655168;mso-position-horizontal:center;mso-position-horizontal-relative:margin;mso-position-vertical:center;mso-position-vertical-relative:margin" o:allowincell="f" fillcolor="silver" stroked="f">
          <v:fill opacity=".5"/>
          <v:textpath style="font-family:&quot;Times New Roman&quot;;font-size:1pt" string="Unofficial Abbreviat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17B4" w14:textId="5DF65E4D" w:rsidR="0042157B" w:rsidRDefault="00B53D96">
    <w:pPr>
      <w:pStyle w:val="Header"/>
    </w:pPr>
    <w:r>
      <w:rPr>
        <w:noProof/>
      </w:rPr>
      <w:pict w14:anchorId="30E50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295867" o:spid="_x0000_s2051" type="#_x0000_t136" style="position:absolute;margin-left:0;margin-top:0;width:614.15pt;height:45.45pt;rotation:315;z-index:-251653120;mso-position-horizontal:center;mso-position-horizontal-relative:margin;mso-position-vertical:center;mso-position-vertical-relative:margin" o:allowincell="f" fillcolor="silver" stroked="f">
          <v:fill opacity=".5"/>
          <v:textpath style="font-family:&quot;Times New Roman&quot;;font-size:1pt" string="Unofficial Abbreviated Cop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7B90" w14:textId="027EA746" w:rsidR="0042157B" w:rsidRDefault="00B53D96">
    <w:pPr>
      <w:pStyle w:val="Header"/>
    </w:pPr>
    <w:r>
      <w:rPr>
        <w:noProof/>
      </w:rPr>
      <w:pict w14:anchorId="7F83E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295865" o:spid="_x0000_s2049" type="#_x0000_t136" style="position:absolute;margin-left:0;margin-top:0;width:614.15pt;height:45.45pt;rotation:315;z-index:-251657216;mso-position-horizontal:center;mso-position-horizontal-relative:margin;mso-position-vertical:center;mso-position-vertical-relative:margin" o:allowincell="f" fillcolor="silver" stroked="f">
          <v:fill opacity=".5"/>
          <v:textpath style="font-family:&quot;Times New Roman&quot;;font-size:1pt" string="Unofficial Abbreviat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4E42"/>
    <w:multiLevelType w:val="hybridMultilevel"/>
    <w:tmpl w:val="E806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692E"/>
    <w:multiLevelType w:val="hybridMultilevel"/>
    <w:tmpl w:val="D676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15535"/>
    <w:multiLevelType w:val="hybridMultilevel"/>
    <w:tmpl w:val="3A4E287C"/>
    <w:lvl w:ilvl="0" w:tplc="EF8C5B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186280"/>
    <w:multiLevelType w:val="hybridMultilevel"/>
    <w:tmpl w:val="3D4A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727907"/>
    <w:multiLevelType w:val="multilevel"/>
    <w:tmpl w:val="040221BE"/>
    <w:lvl w:ilvl="0">
      <w:start w:val="1"/>
      <w:numFmt w:val="bullet"/>
      <w:pStyle w:val="ExhibitBullets"/>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6137C6E"/>
    <w:multiLevelType w:val="hybridMultilevel"/>
    <w:tmpl w:val="170C7B46"/>
    <w:lvl w:ilvl="0" w:tplc="90022F1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835C8B"/>
    <w:multiLevelType w:val="hybridMultilevel"/>
    <w:tmpl w:val="061E2B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76EA5033"/>
    <w:multiLevelType w:val="hybridMultilevel"/>
    <w:tmpl w:val="17B8580A"/>
    <w:lvl w:ilvl="0" w:tplc="0409000F">
      <w:start w:val="1"/>
      <w:numFmt w:val="bullet"/>
      <w:lvlText w:val="•"/>
      <w:lvlJc w:val="left"/>
      <w:pPr>
        <w:tabs>
          <w:tab w:val="num" w:pos="720"/>
        </w:tabs>
        <w:ind w:left="720" w:hanging="360"/>
      </w:pPr>
      <w:rPr>
        <w:rFonts w:ascii="Times New Roman" w:hAnsi="Times New Roman" w:hint="default"/>
      </w:rPr>
    </w:lvl>
    <w:lvl w:ilvl="1" w:tplc="04090019"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AD63DA6"/>
    <w:multiLevelType w:val="singleLevel"/>
    <w:tmpl w:val="22A8FC06"/>
    <w:lvl w:ilvl="0">
      <w:start w:val="1"/>
      <w:numFmt w:val="bullet"/>
      <w:pStyle w:val="Bullets"/>
      <w:lvlText w:val=""/>
      <w:lvlJc w:val="left"/>
      <w:pPr>
        <w:ind w:left="360" w:hanging="360"/>
      </w:pPr>
      <w:rPr>
        <w:rFonts w:ascii="Symbol" w:hAnsi="Symbol" w:hint="default"/>
        <w:color w:val="DA291C"/>
        <w:sz w:val="22"/>
      </w:rPr>
    </w:lvl>
  </w:abstractNum>
  <w:abstractNum w:abstractNumId="9" w15:restartNumberingAfterBreak="0">
    <w:nsid w:val="7CC618C3"/>
    <w:multiLevelType w:val="hybridMultilevel"/>
    <w:tmpl w:val="5214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8"/>
  </w:num>
  <w:num w:numId="5">
    <w:abstractNumId w:val="4"/>
  </w:num>
  <w:num w:numId="6">
    <w:abstractNumId w:val="9"/>
  </w:num>
  <w:num w:numId="7">
    <w:abstractNumId w:val="5"/>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61"/>
    <w:rsid w:val="00004AAA"/>
    <w:rsid w:val="00005B97"/>
    <w:rsid w:val="00006120"/>
    <w:rsid w:val="0001051F"/>
    <w:rsid w:val="0001611E"/>
    <w:rsid w:val="00016F21"/>
    <w:rsid w:val="0003261A"/>
    <w:rsid w:val="0004391A"/>
    <w:rsid w:val="0005145E"/>
    <w:rsid w:val="00053B05"/>
    <w:rsid w:val="00060DAD"/>
    <w:rsid w:val="00061B81"/>
    <w:rsid w:val="00063467"/>
    <w:rsid w:val="00065644"/>
    <w:rsid w:val="000659DD"/>
    <w:rsid w:val="00075C17"/>
    <w:rsid w:val="000804EC"/>
    <w:rsid w:val="00080CA8"/>
    <w:rsid w:val="000824F4"/>
    <w:rsid w:val="00087E48"/>
    <w:rsid w:val="00092DD4"/>
    <w:rsid w:val="000A5031"/>
    <w:rsid w:val="000A5D6D"/>
    <w:rsid w:val="000A6B2C"/>
    <w:rsid w:val="000B522C"/>
    <w:rsid w:val="000C0EC0"/>
    <w:rsid w:val="000C2523"/>
    <w:rsid w:val="000C7989"/>
    <w:rsid w:val="000D2113"/>
    <w:rsid w:val="000E0D73"/>
    <w:rsid w:val="0010348F"/>
    <w:rsid w:val="00107ADE"/>
    <w:rsid w:val="00111433"/>
    <w:rsid w:val="001254CD"/>
    <w:rsid w:val="0013185E"/>
    <w:rsid w:val="0013216C"/>
    <w:rsid w:val="001323CE"/>
    <w:rsid w:val="001358B6"/>
    <w:rsid w:val="0013744C"/>
    <w:rsid w:val="001429D6"/>
    <w:rsid w:val="00146648"/>
    <w:rsid w:val="001513F3"/>
    <w:rsid w:val="00156BC5"/>
    <w:rsid w:val="00156F11"/>
    <w:rsid w:val="00161253"/>
    <w:rsid w:val="00161541"/>
    <w:rsid w:val="00161644"/>
    <w:rsid w:val="00162A2B"/>
    <w:rsid w:val="001640BE"/>
    <w:rsid w:val="00172C04"/>
    <w:rsid w:val="001837A8"/>
    <w:rsid w:val="00192FB7"/>
    <w:rsid w:val="001A5EAF"/>
    <w:rsid w:val="001B0C9B"/>
    <w:rsid w:val="001B3078"/>
    <w:rsid w:val="001B644F"/>
    <w:rsid w:val="001B688E"/>
    <w:rsid w:val="001B7AA2"/>
    <w:rsid w:val="001C288E"/>
    <w:rsid w:val="001C3C33"/>
    <w:rsid w:val="001C4CA2"/>
    <w:rsid w:val="001C744E"/>
    <w:rsid w:val="001D598B"/>
    <w:rsid w:val="001E0A11"/>
    <w:rsid w:val="001E7638"/>
    <w:rsid w:val="001E7A4E"/>
    <w:rsid w:val="001F1CEB"/>
    <w:rsid w:val="001F69E6"/>
    <w:rsid w:val="0020065F"/>
    <w:rsid w:val="00212E62"/>
    <w:rsid w:val="00213323"/>
    <w:rsid w:val="002149B8"/>
    <w:rsid w:val="00223977"/>
    <w:rsid w:val="00224CE5"/>
    <w:rsid w:val="00226E3A"/>
    <w:rsid w:val="002270B6"/>
    <w:rsid w:val="00232E57"/>
    <w:rsid w:val="00234856"/>
    <w:rsid w:val="002448F8"/>
    <w:rsid w:val="00245D56"/>
    <w:rsid w:val="00252204"/>
    <w:rsid w:val="0025555C"/>
    <w:rsid w:val="00265F2C"/>
    <w:rsid w:val="002664A7"/>
    <w:rsid w:val="00271D10"/>
    <w:rsid w:val="00275E20"/>
    <w:rsid w:val="0027687E"/>
    <w:rsid w:val="00280809"/>
    <w:rsid w:val="002857CB"/>
    <w:rsid w:val="00292DFD"/>
    <w:rsid w:val="00293A85"/>
    <w:rsid w:val="002A19D9"/>
    <w:rsid w:val="002A3262"/>
    <w:rsid w:val="002A441D"/>
    <w:rsid w:val="002A54DB"/>
    <w:rsid w:val="002A72C9"/>
    <w:rsid w:val="002B3E30"/>
    <w:rsid w:val="002B6CE4"/>
    <w:rsid w:val="002C19FA"/>
    <w:rsid w:val="002C4A73"/>
    <w:rsid w:val="002C7105"/>
    <w:rsid w:val="002E4939"/>
    <w:rsid w:val="002F314F"/>
    <w:rsid w:val="003065C2"/>
    <w:rsid w:val="00311BFD"/>
    <w:rsid w:val="00314216"/>
    <w:rsid w:val="003147EB"/>
    <w:rsid w:val="00317E68"/>
    <w:rsid w:val="003222E6"/>
    <w:rsid w:val="00323AF5"/>
    <w:rsid w:val="00331192"/>
    <w:rsid w:val="0033446B"/>
    <w:rsid w:val="00336DB8"/>
    <w:rsid w:val="0034056A"/>
    <w:rsid w:val="00341B03"/>
    <w:rsid w:val="00346C23"/>
    <w:rsid w:val="003478E8"/>
    <w:rsid w:val="00351BB1"/>
    <w:rsid w:val="00353336"/>
    <w:rsid w:val="00355112"/>
    <w:rsid w:val="003634AC"/>
    <w:rsid w:val="00363FF8"/>
    <w:rsid w:val="003640E3"/>
    <w:rsid w:val="003645B2"/>
    <w:rsid w:val="00367331"/>
    <w:rsid w:val="00373DDB"/>
    <w:rsid w:val="003A2023"/>
    <w:rsid w:val="003B32DB"/>
    <w:rsid w:val="003B4816"/>
    <w:rsid w:val="003B564A"/>
    <w:rsid w:val="003C0565"/>
    <w:rsid w:val="003D232F"/>
    <w:rsid w:val="003E0929"/>
    <w:rsid w:val="003E3050"/>
    <w:rsid w:val="003F507D"/>
    <w:rsid w:val="003F69A8"/>
    <w:rsid w:val="003F711E"/>
    <w:rsid w:val="0040414D"/>
    <w:rsid w:val="00404979"/>
    <w:rsid w:val="0040545B"/>
    <w:rsid w:val="00407C78"/>
    <w:rsid w:val="00414E7E"/>
    <w:rsid w:val="0042157B"/>
    <w:rsid w:val="00421B7F"/>
    <w:rsid w:val="00424402"/>
    <w:rsid w:val="00432D56"/>
    <w:rsid w:val="004378CF"/>
    <w:rsid w:val="00444306"/>
    <w:rsid w:val="004452B0"/>
    <w:rsid w:val="00445D88"/>
    <w:rsid w:val="00452822"/>
    <w:rsid w:val="00456696"/>
    <w:rsid w:val="00462135"/>
    <w:rsid w:val="00466CDF"/>
    <w:rsid w:val="00487B6D"/>
    <w:rsid w:val="004958C8"/>
    <w:rsid w:val="00496431"/>
    <w:rsid w:val="004A0BF7"/>
    <w:rsid w:val="004A3CB8"/>
    <w:rsid w:val="004A530C"/>
    <w:rsid w:val="004A6D6D"/>
    <w:rsid w:val="004B2A80"/>
    <w:rsid w:val="004B54E1"/>
    <w:rsid w:val="004C0A27"/>
    <w:rsid w:val="004C5A8E"/>
    <w:rsid w:val="004C7E3B"/>
    <w:rsid w:val="004D1C6E"/>
    <w:rsid w:val="004D70DC"/>
    <w:rsid w:val="004E1F93"/>
    <w:rsid w:val="0051548E"/>
    <w:rsid w:val="005342CB"/>
    <w:rsid w:val="005352EE"/>
    <w:rsid w:val="005352F9"/>
    <w:rsid w:val="0053715D"/>
    <w:rsid w:val="00544858"/>
    <w:rsid w:val="0054590B"/>
    <w:rsid w:val="005462F5"/>
    <w:rsid w:val="00553276"/>
    <w:rsid w:val="00557159"/>
    <w:rsid w:val="00566D38"/>
    <w:rsid w:val="00567CE1"/>
    <w:rsid w:val="00571332"/>
    <w:rsid w:val="00572C47"/>
    <w:rsid w:val="00574731"/>
    <w:rsid w:val="00580D7A"/>
    <w:rsid w:val="005C0CA5"/>
    <w:rsid w:val="005C516F"/>
    <w:rsid w:val="005D262D"/>
    <w:rsid w:val="005E057D"/>
    <w:rsid w:val="005F0287"/>
    <w:rsid w:val="005F210F"/>
    <w:rsid w:val="005F4A18"/>
    <w:rsid w:val="005F68C1"/>
    <w:rsid w:val="00604FA3"/>
    <w:rsid w:val="00605425"/>
    <w:rsid w:val="006151E6"/>
    <w:rsid w:val="0061708C"/>
    <w:rsid w:val="0061756D"/>
    <w:rsid w:val="00622C78"/>
    <w:rsid w:val="00625FE0"/>
    <w:rsid w:val="0063643C"/>
    <w:rsid w:val="006529FD"/>
    <w:rsid w:val="00660782"/>
    <w:rsid w:val="00670AA7"/>
    <w:rsid w:val="00670C91"/>
    <w:rsid w:val="00671BEE"/>
    <w:rsid w:val="00672247"/>
    <w:rsid w:val="006755A3"/>
    <w:rsid w:val="00677252"/>
    <w:rsid w:val="006832B8"/>
    <w:rsid w:val="00686E1F"/>
    <w:rsid w:val="0068799D"/>
    <w:rsid w:val="006C28EF"/>
    <w:rsid w:val="006D7964"/>
    <w:rsid w:val="006F6508"/>
    <w:rsid w:val="00705E09"/>
    <w:rsid w:val="00712427"/>
    <w:rsid w:val="00714CC3"/>
    <w:rsid w:val="00726197"/>
    <w:rsid w:val="00726EB7"/>
    <w:rsid w:val="007270C3"/>
    <w:rsid w:val="00753F48"/>
    <w:rsid w:val="00775FF2"/>
    <w:rsid w:val="00782F50"/>
    <w:rsid w:val="007966A9"/>
    <w:rsid w:val="007A1AF9"/>
    <w:rsid w:val="007A57C7"/>
    <w:rsid w:val="007A6870"/>
    <w:rsid w:val="007D26BD"/>
    <w:rsid w:val="007D3411"/>
    <w:rsid w:val="00802938"/>
    <w:rsid w:val="008029C9"/>
    <w:rsid w:val="00803DF9"/>
    <w:rsid w:val="00804C46"/>
    <w:rsid w:val="0081424C"/>
    <w:rsid w:val="008153DA"/>
    <w:rsid w:val="00817753"/>
    <w:rsid w:val="00817EC6"/>
    <w:rsid w:val="00820975"/>
    <w:rsid w:val="00822969"/>
    <w:rsid w:val="00824C70"/>
    <w:rsid w:val="008413FE"/>
    <w:rsid w:val="00842126"/>
    <w:rsid w:val="008466D5"/>
    <w:rsid w:val="008521C3"/>
    <w:rsid w:val="00853D69"/>
    <w:rsid w:val="008553B1"/>
    <w:rsid w:val="00865031"/>
    <w:rsid w:val="00866FAD"/>
    <w:rsid w:val="00872C20"/>
    <w:rsid w:val="008768B8"/>
    <w:rsid w:val="008805D2"/>
    <w:rsid w:val="008A1082"/>
    <w:rsid w:val="008B462E"/>
    <w:rsid w:val="008B605A"/>
    <w:rsid w:val="008C6FF1"/>
    <w:rsid w:val="008D7353"/>
    <w:rsid w:val="008D73DB"/>
    <w:rsid w:val="008E055D"/>
    <w:rsid w:val="008E16A4"/>
    <w:rsid w:val="008E5204"/>
    <w:rsid w:val="008F37C5"/>
    <w:rsid w:val="008F409A"/>
    <w:rsid w:val="008F6269"/>
    <w:rsid w:val="008F76F7"/>
    <w:rsid w:val="00903D74"/>
    <w:rsid w:val="00912AA0"/>
    <w:rsid w:val="00926A98"/>
    <w:rsid w:val="00937DBC"/>
    <w:rsid w:val="0094273E"/>
    <w:rsid w:val="009458C0"/>
    <w:rsid w:val="00945979"/>
    <w:rsid w:val="00953821"/>
    <w:rsid w:val="00954F9F"/>
    <w:rsid w:val="00961158"/>
    <w:rsid w:val="009634AD"/>
    <w:rsid w:val="009720DE"/>
    <w:rsid w:val="009747FB"/>
    <w:rsid w:val="009777E5"/>
    <w:rsid w:val="0098148E"/>
    <w:rsid w:val="009855A1"/>
    <w:rsid w:val="00985BF2"/>
    <w:rsid w:val="009877BB"/>
    <w:rsid w:val="009A57E0"/>
    <w:rsid w:val="009A6EEC"/>
    <w:rsid w:val="009B7C80"/>
    <w:rsid w:val="009C0924"/>
    <w:rsid w:val="009D4F05"/>
    <w:rsid w:val="009E490D"/>
    <w:rsid w:val="009E7CA1"/>
    <w:rsid w:val="009F0B3E"/>
    <w:rsid w:val="009F612E"/>
    <w:rsid w:val="00A12353"/>
    <w:rsid w:val="00A142C9"/>
    <w:rsid w:val="00A17C98"/>
    <w:rsid w:val="00A231CC"/>
    <w:rsid w:val="00A26A70"/>
    <w:rsid w:val="00A31141"/>
    <w:rsid w:val="00A32F34"/>
    <w:rsid w:val="00A350B3"/>
    <w:rsid w:val="00A373F4"/>
    <w:rsid w:val="00A41B74"/>
    <w:rsid w:val="00A43AE7"/>
    <w:rsid w:val="00A44016"/>
    <w:rsid w:val="00A5172E"/>
    <w:rsid w:val="00A52446"/>
    <w:rsid w:val="00A621C9"/>
    <w:rsid w:val="00A7006D"/>
    <w:rsid w:val="00A7347B"/>
    <w:rsid w:val="00A75A3D"/>
    <w:rsid w:val="00AA5B0D"/>
    <w:rsid w:val="00AB2F35"/>
    <w:rsid w:val="00AB7830"/>
    <w:rsid w:val="00AC1490"/>
    <w:rsid w:val="00AD342E"/>
    <w:rsid w:val="00AE3A8A"/>
    <w:rsid w:val="00AE438F"/>
    <w:rsid w:val="00AE713B"/>
    <w:rsid w:val="00AF0F82"/>
    <w:rsid w:val="00B03DDB"/>
    <w:rsid w:val="00B0429B"/>
    <w:rsid w:val="00B11D39"/>
    <w:rsid w:val="00B27C37"/>
    <w:rsid w:val="00B3095B"/>
    <w:rsid w:val="00B30987"/>
    <w:rsid w:val="00B33161"/>
    <w:rsid w:val="00B51116"/>
    <w:rsid w:val="00B53D96"/>
    <w:rsid w:val="00B54822"/>
    <w:rsid w:val="00B5603B"/>
    <w:rsid w:val="00B5782A"/>
    <w:rsid w:val="00B80EC6"/>
    <w:rsid w:val="00B812B6"/>
    <w:rsid w:val="00B85729"/>
    <w:rsid w:val="00B85FE6"/>
    <w:rsid w:val="00B93B01"/>
    <w:rsid w:val="00B945F8"/>
    <w:rsid w:val="00B96505"/>
    <w:rsid w:val="00B978A9"/>
    <w:rsid w:val="00BA17F6"/>
    <w:rsid w:val="00BA3D3E"/>
    <w:rsid w:val="00BA4E2E"/>
    <w:rsid w:val="00BA670D"/>
    <w:rsid w:val="00BB2C72"/>
    <w:rsid w:val="00BB307B"/>
    <w:rsid w:val="00BB41BA"/>
    <w:rsid w:val="00BB42D8"/>
    <w:rsid w:val="00BC2A55"/>
    <w:rsid w:val="00BC31A0"/>
    <w:rsid w:val="00BD4902"/>
    <w:rsid w:val="00BE121D"/>
    <w:rsid w:val="00BE7A83"/>
    <w:rsid w:val="00C000DA"/>
    <w:rsid w:val="00C05765"/>
    <w:rsid w:val="00C07D1D"/>
    <w:rsid w:val="00C12AFD"/>
    <w:rsid w:val="00C1676B"/>
    <w:rsid w:val="00C20D71"/>
    <w:rsid w:val="00C27D4C"/>
    <w:rsid w:val="00C325D6"/>
    <w:rsid w:val="00C73112"/>
    <w:rsid w:val="00C76EBB"/>
    <w:rsid w:val="00C93D1C"/>
    <w:rsid w:val="00CA58DA"/>
    <w:rsid w:val="00CA6471"/>
    <w:rsid w:val="00CA6C2E"/>
    <w:rsid w:val="00CA78CC"/>
    <w:rsid w:val="00CB166C"/>
    <w:rsid w:val="00CB2ADF"/>
    <w:rsid w:val="00CC550C"/>
    <w:rsid w:val="00CE54A9"/>
    <w:rsid w:val="00CE5BD0"/>
    <w:rsid w:val="00CF3461"/>
    <w:rsid w:val="00CF429E"/>
    <w:rsid w:val="00CF6CC0"/>
    <w:rsid w:val="00D11BDD"/>
    <w:rsid w:val="00D1703D"/>
    <w:rsid w:val="00D24894"/>
    <w:rsid w:val="00D2500B"/>
    <w:rsid w:val="00D318D8"/>
    <w:rsid w:val="00D34131"/>
    <w:rsid w:val="00D37814"/>
    <w:rsid w:val="00D52A8B"/>
    <w:rsid w:val="00D5408D"/>
    <w:rsid w:val="00D564EC"/>
    <w:rsid w:val="00D6095D"/>
    <w:rsid w:val="00D61FD5"/>
    <w:rsid w:val="00D752A2"/>
    <w:rsid w:val="00D845C1"/>
    <w:rsid w:val="00D94654"/>
    <w:rsid w:val="00D9473C"/>
    <w:rsid w:val="00DA0CAE"/>
    <w:rsid w:val="00DA30A9"/>
    <w:rsid w:val="00DA42EE"/>
    <w:rsid w:val="00DB4138"/>
    <w:rsid w:val="00DB4777"/>
    <w:rsid w:val="00DC15AA"/>
    <w:rsid w:val="00DC4882"/>
    <w:rsid w:val="00DC775F"/>
    <w:rsid w:val="00DD4411"/>
    <w:rsid w:val="00DF2727"/>
    <w:rsid w:val="00DF31E5"/>
    <w:rsid w:val="00E00EB1"/>
    <w:rsid w:val="00E17149"/>
    <w:rsid w:val="00E20839"/>
    <w:rsid w:val="00E2397A"/>
    <w:rsid w:val="00E25DBB"/>
    <w:rsid w:val="00E32625"/>
    <w:rsid w:val="00E37CFB"/>
    <w:rsid w:val="00E37E9A"/>
    <w:rsid w:val="00E427F9"/>
    <w:rsid w:val="00E42A1B"/>
    <w:rsid w:val="00E443E1"/>
    <w:rsid w:val="00E47AC0"/>
    <w:rsid w:val="00E509D6"/>
    <w:rsid w:val="00E50DA1"/>
    <w:rsid w:val="00E55F1B"/>
    <w:rsid w:val="00E60753"/>
    <w:rsid w:val="00E62F5F"/>
    <w:rsid w:val="00E73A5B"/>
    <w:rsid w:val="00E80502"/>
    <w:rsid w:val="00E82B92"/>
    <w:rsid w:val="00E856E8"/>
    <w:rsid w:val="00E87E06"/>
    <w:rsid w:val="00E97EC7"/>
    <w:rsid w:val="00EC5A42"/>
    <w:rsid w:val="00ED0C0E"/>
    <w:rsid w:val="00ED3A17"/>
    <w:rsid w:val="00EE1323"/>
    <w:rsid w:val="00EF6BFB"/>
    <w:rsid w:val="00F01C53"/>
    <w:rsid w:val="00F03F60"/>
    <w:rsid w:val="00F1048E"/>
    <w:rsid w:val="00F13855"/>
    <w:rsid w:val="00F15025"/>
    <w:rsid w:val="00F214FA"/>
    <w:rsid w:val="00F21D23"/>
    <w:rsid w:val="00F22E3E"/>
    <w:rsid w:val="00F24761"/>
    <w:rsid w:val="00F25020"/>
    <w:rsid w:val="00F3161F"/>
    <w:rsid w:val="00F327B8"/>
    <w:rsid w:val="00F32991"/>
    <w:rsid w:val="00F3415D"/>
    <w:rsid w:val="00F35E1A"/>
    <w:rsid w:val="00F54A24"/>
    <w:rsid w:val="00F55ACC"/>
    <w:rsid w:val="00F83273"/>
    <w:rsid w:val="00F948AC"/>
    <w:rsid w:val="00FA5158"/>
    <w:rsid w:val="00FB3942"/>
    <w:rsid w:val="00FB4D1E"/>
    <w:rsid w:val="00FC0FE1"/>
    <w:rsid w:val="00FD0132"/>
    <w:rsid w:val="00FD2825"/>
    <w:rsid w:val="00FD2C90"/>
    <w:rsid w:val="00FE320D"/>
    <w:rsid w:val="00FE5170"/>
    <w:rsid w:val="00FE6293"/>
    <w:rsid w:val="00FF0AC5"/>
    <w:rsid w:val="00FF0D23"/>
    <w:rsid w:val="00FF50BF"/>
    <w:rsid w:val="00FF5BC8"/>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14:docId w14:val="29CA2603"/>
  <w15:docId w15:val="{08DD2FC9-6717-4865-BE4B-13308EF0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AA7"/>
    <w:rPr>
      <w:rFonts w:ascii="Times New Roman" w:hAnsi="Times New Roman" w:cs="Times New Roman"/>
      <w:sz w:val="24"/>
      <w:szCs w:val="24"/>
    </w:rPr>
  </w:style>
  <w:style w:type="paragraph" w:styleId="Heading1">
    <w:name w:val="heading 1"/>
    <w:basedOn w:val="Normal"/>
    <w:next w:val="Normal"/>
    <w:link w:val="Heading1Char"/>
    <w:uiPriority w:val="9"/>
    <w:qFormat/>
    <w:rsid w:val="00670AA7"/>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5F210F"/>
    <w:pPr>
      <w:keepNext/>
      <w:keepLines/>
      <w:spacing w:before="200" w:after="0"/>
      <w:outlineLvl w:val="1"/>
    </w:pPr>
    <w:rPr>
      <w:rFonts w:eastAsiaTheme="majorEastAsia"/>
      <w:b/>
      <w:bCs/>
      <w:color w:val="4F81BD" w:themeColor="accent1"/>
      <w:sz w:val="26"/>
      <w:szCs w:val="26"/>
    </w:rPr>
  </w:style>
  <w:style w:type="paragraph" w:styleId="Heading5">
    <w:name w:val="heading 5"/>
    <w:basedOn w:val="Normal"/>
    <w:next w:val="Normal"/>
    <w:link w:val="Heading5Char"/>
    <w:uiPriority w:val="9"/>
    <w:semiHidden/>
    <w:unhideWhenUsed/>
    <w:qFormat/>
    <w:rsid w:val="00212E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F68C1"/>
    <w:pPr>
      <w:spacing w:after="0" w:line="240" w:lineRule="auto"/>
    </w:pPr>
    <w:rPr>
      <w:rFonts w:ascii="Cambria" w:eastAsia="Times New Roman" w:hAnsi="Cambria" w:cs="Times New Roman"/>
    </w:rPr>
  </w:style>
  <w:style w:type="character" w:customStyle="1" w:styleId="Heading1Char">
    <w:name w:val="Heading 1 Char"/>
    <w:basedOn w:val="DefaultParagraphFont"/>
    <w:link w:val="Heading1"/>
    <w:uiPriority w:val="9"/>
    <w:rsid w:val="00670AA7"/>
    <w:rPr>
      <w:rFonts w:ascii="Times New Roman" w:eastAsiaTheme="majorEastAsia" w:hAnsi="Times New Roman" w:cs="Times New Roman"/>
      <w:b/>
      <w:bCs/>
      <w:color w:val="365F91" w:themeColor="accent1" w:themeShade="BF"/>
      <w:sz w:val="28"/>
      <w:szCs w:val="28"/>
    </w:rPr>
  </w:style>
  <w:style w:type="paragraph" w:styleId="ListParagraph">
    <w:name w:val="List Paragraph"/>
    <w:basedOn w:val="Normal"/>
    <w:link w:val="ListParagraphChar"/>
    <w:uiPriority w:val="99"/>
    <w:qFormat/>
    <w:rsid w:val="00753F48"/>
    <w:pPr>
      <w:numPr>
        <w:numId w:val="7"/>
      </w:numPr>
      <w:contextualSpacing/>
    </w:pPr>
    <w:rPr>
      <w:rFonts w:eastAsia="Calibri"/>
    </w:rPr>
  </w:style>
  <w:style w:type="character" w:customStyle="1" w:styleId="ListParagraphChar">
    <w:name w:val="List Paragraph Char"/>
    <w:link w:val="ListParagraph"/>
    <w:uiPriority w:val="99"/>
    <w:locked/>
    <w:rsid w:val="00753F48"/>
    <w:rPr>
      <w:rFonts w:ascii="Times New Roman" w:eastAsia="Calibri" w:hAnsi="Times New Roman" w:cs="Times New Roman"/>
      <w:sz w:val="24"/>
      <w:szCs w:val="24"/>
    </w:rPr>
  </w:style>
  <w:style w:type="character" w:styleId="Hyperlink">
    <w:name w:val="Hyperlink"/>
    <w:basedOn w:val="DefaultParagraphFont"/>
    <w:uiPriority w:val="99"/>
    <w:rsid w:val="00A17C98"/>
    <w:rPr>
      <w:rFonts w:cs="Times New Roman"/>
      <w:color w:val="0000FF"/>
      <w:u w:val="single"/>
    </w:rPr>
  </w:style>
  <w:style w:type="character" w:styleId="FollowedHyperlink">
    <w:name w:val="FollowedHyperlink"/>
    <w:basedOn w:val="DefaultParagraphFont"/>
    <w:uiPriority w:val="99"/>
    <w:semiHidden/>
    <w:unhideWhenUsed/>
    <w:rsid w:val="00A17C98"/>
    <w:rPr>
      <w:color w:val="800080" w:themeColor="followedHyperlink"/>
      <w:u w:val="single"/>
    </w:rPr>
  </w:style>
  <w:style w:type="paragraph" w:styleId="BodyText">
    <w:name w:val="Body Text"/>
    <w:basedOn w:val="Normal"/>
    <w:link w:val="BodyTextChar"/>
    <w:uiPriority w:val="99"/>
    <w:unhideWhenUsed/>
    <w:rsid w:val="00A17C98"/>
    <w:pPr>
      <w:spacing w:after="120"/>
    </w:pPr>
  </w:style>
  <w:style w:type="character" w:customStyle="1" w:styleId="BodyTextChar">
    <w:name w:val="Body Text Char"/>
    <w:basedOn w:val="DefaultParagraphFont"/>
    <w:link w:val="BodyText"/>
    <w:uiPriority w:val="99"/>
    <w:rsid w:val="00A17C98"/>
    <w:rPr>
      <w:rFonts w:ascii="Times New Roman" w:hAnsi="Times New Roman" w:cs="Times New Roman"/>
      <w:sz w:val="24"/>
      <w:szCs w:val="24"/>
    </w:rPr>
  </w:style>
  <w:style w:type="character" w:customStyle="1" w:styleId="Heading2Char">
    <w:name w:val="Heading 2 Char"/>
    <w:basedOn w:val="DefaultParagraphFont"/>
    <w:link w:val="Heading2"/>
    <w:uiPriority w:val="9"/>
    <w:rsid w:val="005F210F"/>
    <w:rPr>
      <w:rFonts w:ascii="Times New Roman" w:eastAsiaTheme="majorEastAsia" w:hAnsi="Times New Roman" w:cs="Times New Roman"/>
      <w:b/>
      <w:bCs/>
      <w:color w:val="4F81BD" w:themeColor="accent1"/>
      <w:sz w:val="26"/>
      <w:szCs w:val="26"/>
    </w:rPr>
  </w:style>
  <w:style w:type="character" w:styleId="CommentReference">
    <w:name w:val="annotation reference"/>
    <w:basedOn w:val="DefaultParagraphFont"/>
    <w:semiHidden/>
    <w:rsid w:val="00B3095B"/>
    <w:rPr>
      <w:sz w:val="16"/>
    </w:rPr>
  </w:style>
  <w:style w:type="paragraph" w:styleId="CommentText">
    <w:name w:val="annotation text"/>
    <w:basedOn w:val="Normal"/>
    <w:link w:val="CommentTextChar"/>
    <w:uiPriority w:val="99"/>
    <w:semiHidden/>
    <w:rsid w:val="00B3095B"/>
    <w:pPr>
      <w:spacing w:after="180" w:line="264"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B309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0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95B"/>
    <w:rPr>
      <w:rFonts w:ascii="Tahoma" w:hAnsi="Tahoma" w:cs="Tahoma"/>
      <w:sz w:val="16"/>
      <w:szCs w:val="16"/>
    </w:rPr>
  </w:style>
  <w:style w:type="paragraph" w:customStyle="1" w:styleId="ExhibitRowHeader">
    <w:name w:val="Exhibit Row Header"/>
    <w:basedOn w:val="BodyText"/>
    <w:rsid w:val="00311BFD"/>
    <w:pPr>
      <w:spacing w:before="20" w:after="20" w:line="264" w:lineRule="auto"/>
    </w:pPr>
    <w:rPr>
      <w:rFonts w:ascii="Arial Narrow" w:eastAsia="Times New Roman" w:hAnsi="Arial Narrow" w:cs="Arial"/>
      <w:b/>
      <w:color w:val="F8F8F8"/>
      <w:sz w:val="20"/>
      <w:szCs w:val="20"/>
    </w:rPr>
  </w:style>
  <w:style w:type="paragraph" w:styleId="Caption">
    <w:name w:val="caption"/>
    <w:basedOn w:val="Normal"/>
    <w:next w:val="Normal"/>
    <w:qFormat/>
    <w:rsid w:val="00311BFD"/>
    <w:pPr>
      <w:keepNext/>
      <w:keepLines/>
      <w:widowControl w:val="0"/>
      <w:tabs>
        <w:tab w:val="left" w:pos="1440"/>
      </w:tabs>
      <w:spacing w:after="120" w:line="264" w:lineRule="auto"/>
    </w:pPr>
    <w:rPr>
      <w:rFonts w:ascii="Arial" w:eastAsia="Calibri" w:hAnsi="Arial"/>
      <w:b/>
      <w:bCs/>
      <w:sz w:val="20"/>
      <w:szCs w:val="20"/>
    </w:rPr>
  </w:style>
  <w:style w:type="paragraph" w:customStyle="1" w:styleId="ExhibitSource">
    <w:name w:val="Exhibit Source"/>
    <w:basedOn w:val="Normal"/>
    <w:qFormat/>
    <w:rsid w:val="00311BFD"/>
    <w:pPr>
      <w:spacing w:after="240" w:line="264" w:lineRule="auto"/>
      <w:contextualSpacing/>
    </w:pPr>
    <w:rPr>
      <w:rFonts w:ascii="Arial Narrow" w:eastAsia="Times New Roman" w:hAnsi="Arial Narrow" w:cs="Arial"/>
      <w:sz w:val="18"/>
      <w:szCs w:val="20"/>
    </w:rPr>
  </w:style>
  <w:style w:type="paragraph" w:customStyle="1" w:styleId="ExhibitText">
    <w:name w:val="Exhibit Text"/>
    <w:basedOn w:val="Normal"/>
    <w:qFormat/>
    <w:rsid w:val="00311BFD"/>
    <w:pPr>
      <w:spacing w:before="20" w:after="20" w:line="264" w:lineRule="auto"/>
    </w:pPr>
    <w:rPr>
      <w:rFonts w:ascii="Arial Narrow" w:eastAsia="Times New Roman" w:hAnsi="Arial Narrow" w:cs="Arial"/>
      <w:bCs/>
      <w:color w:val="000000"/>
      <w:sz w:val="20"/>
      <w:szCs w:val="20"/>
    </w:rPr>
  </w:style>
  <w:style w:type="paragraph" w:customStyle="1" w:styleId="ExhibitColumnHeader">
    <w:name w:val="Exhibit Column Header"/>
    <w:basedOn w:val="ExhibitRowHeader"/>
    <w:qFormat/>
    <w:rsid w:val="00311BFD"/>
    <w:pPr>
      <w:keepNext/>
      <w:jc w:val="center"/>
    </w:pPr>
    <w:rPr>
      <w:rFonts w:eastAsiaTheme="minorHAnsi"/>
      <w:bCs/>
      <w:color w:val="000000" w:themeColor="text1"/>
      <w:szCs w:val="22"/>
    </w:rPr>
  </w:style>
  <w:style w:type="table" w:customStyle="1" w:styleId="MAPEG">
    <w:name w:val="MA PEG"/>
    <w:basedOn w:val="TableNormal"/>
    <w:uiPriority w:val="99"/>
    <w:rsid w:val="00311BFD"/>
    <w:pPr>
      <w:spacing w:after="0" w:line="240" w:lineRule="auto"/>
    </w:pPr>
    <w:rPr>
      <w:rFonts w:ascii="Times New Roman" w:eastAsia="Times New Roman" w:hAnsi="Times New Roman" w:cs="Times New Roman"/>
      <w:sz w:val="20"/>
      <w:szCs w:val="20"/>
    </w:rPr>
    <w:tblPr>
      <w:tblStyleRowBandSize w:val="1"/>
      <w:tblBorders>
        <w:top w:val="single" w:sz="4" w:space="0" w:color="808080" w:themeColor="background1" w:themeShade="80"/>
        <w:bottom w:val="single" w:sz="4" w:space="0" w:color="808080" w:themeColor="background1" w:themeShade="80"/>
      </w:tblBorders>
    </w:tblPr>
    <w:tblStylePr w:type="firstRow">
      <w:pPr>
        <w:jc w:val="center"/>
      </w:pPr>
      <w:tblPr/>
      <w:tcPr>
        <w:tcBorders>
          <w:bottom w:val="single" w:sz="4" w:space="0" w:color="808080" w:themeColor="background1" w:themeShade="80"/>
        </w:tcBorders>
        <w:shd w:val="clear" w:color="auto" w:fill="FFFFFF" w:themeFill="background1"/>
        <w:vAlign w:val="bottom"/>
      </w:tcPr>
    </w:tblStylePr>
    <w:tblStylePr w:type="band2Horz">
      <w:tblPr/>
      <w:tcPr>
        <w:shd w:val="clear" w:color="auto" w:fill="FFFFFF" w:themeFill="background1" w:themeFillTint="66"/>
      </w:tcPr>
    </w:tblStylePr>
  </w:style>
  <w:style w:type="paragraph" w:styleId="FootnoteText">
    <w:name w:val="footnote text"/>
    <w:basedOn w:val="Normal"/>
    <w:link w:val="FootnoteTextChar"/>
    <w:unhideWhenUsed/>
    <w:rsid w:val="00B96505"/>
    <w:pPr>
      <w:spacing w:after="0" w:line="240" w:lineRule="auto"/>
    </w:pPr>
    <w:rPr>
      <w:sz w:val="20"/>
      <w:szCs w:val="20"/>
    </w:rPr>
  </w:style>
  <w:style w:type="character" w:customStyle="1" w:styleId="FootnoteTextChar">
    <w:name w:val="Footnote Text Char"/>
    <w:basedOn w:val="DefaultParagraphFont"/>
    <w:link w:val="FootnoteText"/>
    <w:rsid w:val="00B96505"/>
    <w:rPr>
      <w:rFonts w:ascii="Times New Roman" w:hAnsi="Times New Roman" w:cs="Times New Roman"/>
      <w:sz w:val="20"/>
      <w:szCs w:val="20"/>
    </w:rPr>
  </w:style>
  <w:style w:type="character" w:styleId="FootnoteReference">
    <w:name w:val="footnote reference"/>
    <w:basedOn w:val="DefaultParagraphFont"/>
    <w:rsid w:val="00B96505"/>
    <w:rPr>
      <w:vertAlign w:val="superscript"/>
    </w:rPr>
  </w:style>
  <w:style w:type="table" w:customStyle="1" w:styleId="MAPEG1">
    <w:name w:val="MA PEG1"/>
    <w:basedOn w:val="TableNormal"/>
    <w:uiPriority w:val="99"/>
    <w:rsid w:val="00373DDB"/>
    <w:pPr>
      <w:spacing w:after="0" w:line="240" w:lineRule="auto"/>
    </w:pPr>
    <w:rPr>
      <w:rFonts w:ascii="Times New Roman" w:eastAsia="Times New Roman" w:hAnsi="Times New Roman" w:cs="Times New Roman"/>
      <w:sz w:val="20"/>
      <w:szCs w:val="20"/>
    </w:rPr>
    <w:tblPr>
      <w:tblStyleRowBandSize w:val="1"/>
      <w:tblBorders>
        <w:top w:val="single" w:sz="4" w:space="0" w:color="4B697A"/>
        <w:bottom w:val="single" w:sz="4" w:space="0" w:color="4B697A"/>
      </w:tblBorders>
    </w:tblPr>
    <w:tblStylePr w:type="firstRow">
      <w:pPr>
        <w:jc w:val="center"/>
      </w:pPr>
      <w:tblPr/>
      <w:tcPr>
        <w:tcBorders>
          <w:bottom w:val="single" w:sz="4" w:space="0" w:color="4B697A"/>
        </w:tcBorders>
        <w:shd w:val="clear" w:color="auto" w:fill="B7C9D3"/>
        <w:vAlign w:val="bottom"/>
      </w:tcPr>
    </w:tblStylePr>
    <w:tblStylePr w:type="band2Horz">
      <w:tblPr/>
      <w:tcPr>
        <w:shd w:val="clear" w:color="auto" w:fill="E2E9ED"/>
      </w:tcPr>
    </w:tblStylePr>
  </w:style>
  <w:style w:type="paragraph" w:styleId="CommentSubject">
    <w:name w:val="annotation subject"/>
    <w:basedOn w:val="CommentText"/>
    <w:next w:val="CommentText"/>
    <w:link w:val="CommentSubjectChar"/>
    <w:uiPriority w:val="99"/>
    <w:semiHidden/>
    <w:unhideWhenUsed/>
    <w:rsid w:val="00CB166C"/>
    <w:pPr>
      <w:spacing w:after="200" w:line="240" w:lineRule="auto"/>
    </w:pPr>
    <w:rPr>
      <w:rFonts w:eastAsiaTheme="minorHAnsi"/>
      <w:b/>
      <w:bCs/>
    </w:rPr>
  </w:style>
  <w:style w:type="character" w:customStyle="1" w:styleId="CommentSubjectChar">
    <w:name w:val="Comment Subject Char"/>
    <w:basedOn w:val="CommentTextChar"/>
    <w:link w:val="CommentSubject"/>
    <w:uiPriority w:val="99"/>
    <w:semiHidden/>
    <w:rsid w:val="00CB166C"/>
    <w:rPr>
      <w:rFonts w:ascii="Times New Roman" w:eastAsia="Times New Roman" w:hAnsi="Times New Roman" w:cs="Times New Roman"/>
      <w:b/>
      <w:bCs/>
      <w:sz w:val="20"/>
      <w:szCs w:val="20"/>
    </w:rPr>
  </w:style>
  <w:style w:type="paragraph" w:customStyle="1" w:styleId="Bullets">
    <w:name w:val="Bullets"/>
    <w:basedOn w:val="BodyText"/>
    <w:rsid w:val="001513F3"/>
    <w:pPr>
      <w:numPr>
        <w:numId w:val="4"/>
      </w:numPr>
      <w:spacing w:after="180" w:line="264" w:lineRule="auto"/>
      <w:contextualSpacing/>
    </w:pPr>
    <w:rPr>
      <w:rFonts w:eastAsia="Calibri"/>
      <w:sz w:val="22"/>
      <w:szCs w:val="20"/>
    </w:rPr>
  </w:style>
  <w:style w:type="paragraph" w:customStyle="1" w:styleId="BulletsLast">
    <w:name w:val="BulletsLast"/>
    <w:basedOn w:val="Bullets"/>
    <w:rsid w:val="00926A98"/>
    <w:pPr>
      <w:numPr>
        <w:numId w:val="0"/>
      </w:numPr>
    </w:pPr>
  </w:style>
  <w:style w:type="paragraph" w:styleId="EndnoteText">
    <w:name w:val="endnote text"/>
    <w:basedOn w:val="Normal"/>
    <w:link w:val="EndnoteTextChar"/>
    <w:uiPriority w:val="99"/>
    <w:semiHidden/>
    <w:unhideWhenUsed/>
    <w:rsid w:val="000A5D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5D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0A5D6D"/>
    <w:rPr>
      <w:vertAlign w:val="superscript"/>
    </w:rPr>
  </w:style>
  <w:style w:type="paragraph" w:styleId="TOCHeading">
    <w:name w:val="TOC Heading"/>
    <w:basedOn w:val="Heading1"/>
    <w:next w:val="Normal"/>
    <w:uiPriority w:val="39"/>
    <w:semiHidden/>
    <w:unhideWhenUsed/>
    <w:qFormat/>
    <w:rsid w:val="007966A9"/>
    <w:pPr>
      <w:outlineLvl w:val="9"/>
    </w:pPr>
    <w:rPr>
      <w:rFonts w:asciiTheme="majorHAnsi" w:hAnsiTheme="majorHAnsi" w:cstheme="majorBidi"/>
    </w:rPr>
  </w:style>
  <w:style w:type="paragraph" w:styleId="TOC1">
    <w:name w:val="toc 1"/>
    <w:basedOn w:val="Normal"/>
    <w:next w:val="Normal"/>
    <w:autoRedefine/>
    <w:uiPriority w:val="39"/>
    <w:unhideWhenUsed/>
    <w:rsid w:val="007966A9"/>
    <w:pPr>
      <w:spacing w:after="100"/>
    </w:pPr>
  </w:style>
  <w:style w:type="paragraph" w:styleId="TOC2">
    <w:name w:val="toc 2"/>
    <w:basedOn w:val="Normal"/>
    <w:next w:val="Normal"/>
    <w:autoRedefine/>
    <w:uiPriority w:val="39"/>
    <w:unhideWhenUsed/>
    <w:rsid w:val="007966A9"/>
    <w:pPr>
      <w:spacing w:after="100"/>
      <w:ind w:left="240"/>
    </w:pPr>
  </w:style>
  <w:style w:type="character" w:customStyle="1" w:styleId="Heading5Char">
    <w:name w:val="Heading 5 Char"/>
    <w:basedOn w:val="DefaultParagraphFont"/>
    <w:link w:val="Heading5"/>
    <w:uiPriority w:val="9"/>
    <w:semiHidden/>
    <w:rsid w:val="00212E62"/>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212E6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12E62"/>
    <w:rPr>
      <w:rFonts w:asciiTheme="majorHAnsi" w:eastAsiaTheme="majorEastAsia" w:hAnsiTheme="majorHAnsi" w:cstheme="majorBidi"/>
      <w:i/>
      <w:iCs/>
      <w:color w:val="4F81BD" w:themeColor="accent1"/>
      <w:spacing w:val="15"/>
      <w:sz w:val="24"/>
      <w:szCs w:val="24"/>
    </w:rPr>
  </w:style>
  <w:style w:type="character" w:customStyle="1" w:styleId="A5">
    <w:name w:val="A5"/>
    <w:uiPriority w:val="99"/>
    <w:rsid w:val="008521C3"/>
    <w:rPr>
      <w:rFonts w:cs="Garamond Premr Pro"/>
      <w:color w:val="000000"/>
      <w:sz w:val="18"/>
      <w:szCs w:val="18"/>
    </w:rPr>
  </w:style>
  <w:style w:type="paragraph" w:customStyle="1" w:styleId="ExhibitBullets">
    <w:name w:val="Exhibit Bullets"/>
    <w:basedOn w:val="ExhibitText"/>
    <w:qFormat/>
    <w:rsid w:val="00E20839"/>
    <w:pPr>
      <w:numPr>
        <w:numId w:val="5"/>
      </w:numPr>
    </w:pPr>
  </w:style>
  <w:style w:type="character" w:styleId="Emphasis">
    <w:name w:val="Emphasis"/>
    <w:basedOn w:val="DefaultParagraphFont"/>
    <w:uiPriority w:val="20"/>
    <w:qFormat/>
    <w:rsid w:val="00053B05"/>
    <w:rPr>
      <w:i/>
      <w:iCs/>
    </w:rPr>
  </w:style>
  <w:style w:type="paragraph" w:styleId="NormalWeb">
    <w:name w:val="Normal (Web)"/>
    <w:basedOn w:val="Normal"/>
    <w:uiPriority w:val="99"/>
    <w:semiHidden/>
    <w:unhideWhenUsed/>
    <w:rsid w:val="0004391A"/>
  </w:style>
  <w:style w:type="character" w:customStyle="1" w:styleId="st">
    <w:name w:val="st"/>
    <w:basedOn w:val="DefaultParagraphFont"/>
    <w:rsid w:val="005C516F"/>
  </w:style>
  <w:style w:type="paragraph" w:styleId="Header">
    <w:name w:val="header"/>
    <w:basedOn w:val="Normal"/>
    <w:link w:val="HeaderChar"/>
    <w:uiPriority w:val="99"/>
    <w:unhideWhenUsed/>
    <w:rsid w:val="0008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CA8"/>
    <w:rPr>
      <w:rFonts w:ascii="Times New Roman" w:hAnsi="Times New Roman" w:cs="Times New Roman"/>
      <w:sz w:val="24"/>
      <w:szCs w:val="24"/>
    </w:rPr>
  </w:style>
  <w:style w:type="paragraph" w:styleId="Footer">
    <w:name w:val="footer"/>
    <w:basedOn w:val="Normal"/>
    <w:link w:val="FooterChar"/>
    <w:uiPriority w:val="99"/>
    <w:unhideWhenUsed/>
    <w:rsid w:val="0008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C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748378">
      <w:bodyDiv w:val="1"/>
      <w:marLeft w:val="0"/>
      <w:marRight w:val="0"/>
      <w:marTop w:val="0"/>
      <w:marBottom w:val="0"/>
      <w:divBdr>
        <w:top w:val="none" w:sz="0" w:space="0" w:color="auto"/>
        <w:left w:val="none" w:sz="0" w:space="0" w:color="auto"/>
        <w:bottom w:val="none" w:sz="0" w:space="0" w:color="auto"/>
        <w:right w:val="none" w:sz="0" w:space="0" w:color="auto"/>
      </w:divBdr>
    </w:div>
    <w:div w:id="220487935">
      <w:bodyDiv w:val="1"/>
      <w:marLeft w:val="0"/>
      <w:marRight w:val="0"/>
      <w:marTop w:val="0"/>
      <w:marBottom w:val="0"/>
      <w:divBdr>
        <w:top w:val="none" w:sz="0" w:space="0" w:color="auto"/>
        <w:left w:val="none" w:sz="0" w:space="0" w:color="auto"/>
        <w:bottom w:val="none" w:sz="0" w:space="0" w:color="auto"/>
        <w:right w:val="none" w:sz="0" w:space="0" w:color="auto"/>
      </w:divBdr>
    </w:div>
    <w:div w:id="484274543">
      <w:bodyDiv w:val="1"/>
      <w:marLeft w:val="0"/>
      <w:marRight w:val="0"/>
      <w:marTop w:val="0"/>
      <w:marBottom w:val="0"/>
      <w:divBdr>
        <w:top w:val="none" w:sz="0" w:space="0" w:color="auto"/>
        <w:left w:val="none" w:sz="0" w:space="0" w:color="auto"/>
        <w:bottom w:val="none" w:sz="0" w:space="0" w:color="auto"/>
        <w:right w:val="none" w:sz="0" w:space="0" w:color="auto"/>
      </w:divBdr>
      <w:divsChild>
        <w:div w:id="1890920451">
          <w:marLeft w:val="0"/>
          <w:marRight w:val="0"/>
          <w:marTop w:val="0"/>
          <w:marBottom w:val="0"/>
          <w:divBdr>
            <w:top w:val="none" w:sz="0" w:space="0" w:color="auto"/>
            <w:left w:val="none" w:sz="0" w:space="0" w:color="auto"/>
            <w:bottom w:val="none" w:sz="0" w:space="0" w:color="auto"/>
            <w:right w:val="none" w:sz="0" w:space="0" w:color="auto"/>
          </w:divBdr>
          <w:divsChild>
            <w:div w:id="1044331377">
              <w:marLeft w:val="0"/>
              <w:marRight w:val="0"/>
              <w:marTop w:val="0"/>
              <w:marBottom w:val="0"/>
              <w:divBdr>
                <w:top w:val="none" w:sz="0" w:space="0" w:color="auto"/>
                <w:left w:val="none" w:sz="0" w:space="0" w:color="auto"/>
                <w:bottom w:val="none" w:sz="0" w:space="0" w:color="auto"/>
                <w:right w:val="none" w:sz="0" w:space="0" w:color="auto"/>
              </w:divBdr>
            </w:div>
            <w:div w:id="1691099354">
              <w:marLeft w:val="0"/>
              <w:marRight w:val="0"/>
              <w:marTop w:val="0"/>
              <w:marBottom w:val="0"/>
              <w:divBdr>
                <w:top w:val="none" w:sz="0" w:space="0" w:color="auto"/>
                <w:left w:val="none" w:sz="0" w:space="0" w:color="auto"/>
                <w:bottom w:val="none" w:sz="0" w:space="0" w:color="auto"/>
                <w:right w:val="none" w:sz="0" w:space="0" w:color="auto"/>
              </w:divBdr>
            </w:div>
            <w:div w:id="1416588808">
              <w:marLeft w:val="0"/>
              <w:marRight w:val="0"/>
              <w:marTop w:val="0"/>
              <w:marBottom w:val="0"/>
              <w:divBdr>
                <w:top w:val="none" w:sz="0" w:space="0" w:color="auto"/>
                <w:left w:val="none" w:sz="0" w:space="0" w:color="auto"/>
                <w:bottom w:val="none" w:sz="0" w:space="0" w:color="auto"/>
                <w:right w:val="none" w:sz="0" w:space="0" w:color="auto"/>
              </w:divBdr>
            </w:div>
            <w:div w:id="1472988963">
              <w:marLeft w:val="0"/>
              <w:marRight w:val="0"/>
              <w:marTop w:val="0"/>
              <w:marBottom w:val="0"/>
              <w:divBdr>
                <w:top w:val="none" w:sz="0" w:space="0" w:color="auto"/>
                <w:left w:val="none" w:sz="0" w:space="0" w:color="auto"/>
                <w:bottom w:val="none" w:sz="0" w:space="0" w:color="auto"/>
                <w:right w:val="none" w:sz="0" w:space="0" w:color="auto"/>
              </w:divBdr>
            </w:div>
            <w:div w:id="1416972330">
              <w:marLeft w:val="0"/>
              <w:marRight w:val="0"/>
              <w:marTop w:val="0"/>
              <w:marBottom w:val="0"/>
              <w:divBdr>
                <w:top w:val="none" w:sz="0" w:space="0" w:color="auto"/>
                <w:left w:val="none" w:sz="0" w:space="0" w:color="auto"/>
                <w:bottom w:val="none" w:sz="0" w:space="0" w:color="auto"/>
                <w:right w:val="none" w:sz="0" w:space="0" w:color="auto"/>
              </w:divBdr>
            </w:div>
            <w:div w:id="112133721">
              <w:marLeft w:val="0"/>
              <w:marRight w:val="0"/>
              <w:marTop w:val="0"/>
              <w:marBottom w:val="0"/>
              <w:divBdr>
                <w:top w:val="none" w:sz="0" w:space="0" w:color="auto"/>
                <w:left w:val="none" w:sz="0" w:space="0" w:color="auto"/>
                <w:bottom w:val="none" w:sz="0" w:space="0" w:color="auto"/>
                <w:right w:val="none" w:sz="0" w:space="0" w:color="auto"/>
              </w:divBdr>
            </w:div>
            <w:div w:id="502857760">
              <w:marLeft w:val="0"/>
              <w:marRight w:val="0"/>
              <w:marTop w:val="0"/>
              <w:marBottom w:val="0"/>
              <w:divBdr>
                <w:top w:val="none" w:sz="0" w:space="0" w:color="auto"/>
                <w:left w:val="none" w:sz="0" w:space="0" w:color="auto"/>
                <w:bottom w:val="none" w:sz="0" w:space="0" w:color="auto"/>
                <w:right w:val="none" w:sz="0" w:space="0" w:color="auto"/>
              </w:divBdr>
            </w:div>
            <w:div w:id="1271815623">
              <w:marLeft w:val="0"/>
              <w:marRight w:val="0"/>
              <w:marTop w:val="0"/>
              <w:marBottom w:val="0"/>
              <w:divBdr>
                <w:top w:val="none" w:sz="0" w:space="0" w:color="auto"/>
                <w:left w:val="none" w:sz="0" w:space="0" w:color="auto"/>
                <w:bottom w:val="none" w:sz="0" w:space="0" w:color="auto"/>
                <w:right w:val="none" w:sz="0" w:space="0" w:color="auto"/>
              </w:divBdr>
            </w:div>
            <w:div w:id="879509445">
              <w:marLeft w:val="0"/>
              <w:marRight w:val="0"/>
              <w:marTop w:val="0"/>
              <w:marBottom w:val="0"/>
              <w:divBdr>
                <w:top w:val="none" w:sz="0" w:space="0" w:color="auto"/>
                <w:left w:val="none" w:sz="0" w:space="0" w:color="auto"/>
                <w:bottom w:val="none" w:sz="0" w:space="0" w:color="auto"/>
                <w:right w:val="none" w:sz="0" w:space="0" w:color="auto"/>
              </w:divBdr>
            </w:div>
            <w:div w:id="1977027308">
              <w:marLeft w:val="0"/>
              <w:marRight w:val="0"/>
              <w:marTop w:val="0"/>
              <w:marBottom w:val="0"/>
              <w:divBdr>
                <w:top w:val="none" w:sz="0" w:space="0" w:color="auto"/>
                <w:left w:val="none" w:sz="0" w:space="0" w:color="auto"/>
                <w:bottom w:val="none" w:sz="0" w:space="0" w:color="auto"/>
                <w:right w:val="none" w:sz="0" w:space="0" w:color="auto"/>
              </w:divBdr>
            </w:div>
            <w:div w:id="2023699631">
              <w:marLeft w:val="0"/>
              <w:marRight w:val="0"/>
              <w:marTop w:val="0"/>
              <w:marBottom w:val="0"/>
              <w:divBdr>
                <w:top w:val="none" w:sz="0" w:space="0" w:color="auto"/>
                <w:left w:val="none" w:sz="0" w:space="0" w:color="auto"/>
                <w:bottom w:val="none" w:sz="0" w:space="0" w:color="auto"/>
                <w:right w:val="none" w:sz="0" w:space="0" w:color="auto"/>
              </w:divBdr>
            </w:div>
            <w:div w:id="1016999716">
              <w:marLeft w:val="0"/>
              <w:marRight w:val="0"/>
              <w:marTop w:val="0"/>
              <w:marBottom w:val="0"/>
              <w:divBdr>
                <w:top w:val="none" w:sz="0" w:space="0" w:color="auto"/>
                <w:left w:val="none" w:sz="0" w:space="0" w:color="auto"/>
                <w:bottom w:val="none" w:sz="0" w:space="0" w:color="auto"/>
                <w:right w:val="none" w:sz="0" w:space="0" w:color="auto"/>
              </w:divBdr>
            </w:div>
            <w:div w:id="285359936">
              <w:marLeft w:val="0"/>
              <w:marRight w:val="0"/>
              <w:marTop w:val="0"/>
              <w:marBottom w:val="0"/>
              <w:divBdr>
                <w:top w:val="none" w:sz="0" w:space="0" w:color="auto"/>
                <w:left w:val="none" w:sz="0" w:space="0" w:color="auto"/>
                <w:bottom w:val="none" w:sz="0" w:space="0" w:color="auto"/>
                <w:right w:val="none" w:sz="0" w:space="0" w:color="auto"/>
              </w:divBdr>
            </w:div>
            <w:div w:id="465122455">
              <w:marLeft w:val="0"/>
              <w:marRight w:val="0"/>
              <w:marTop w:val="0"/>
              <w:marBottom w:val="0"/>
              <w:divBdr>
                <w:top w:val="none" w:sz="0" w:space="0" w:color="auto"/>
                <w:left w:val="none" w:sz="0" w:space="0" w:color="auto"/>
                <w:bottom w:val="none" w:sz="0" w:space="0" w:color="auto"/>
                <w:right w:val="none" w:sz="0" w:space="0" w:color="auto"/>
              </w:divBdr>
            </w:div>
            <w:div w:id="726295429">
              <w:marLeft w:val="0"/>
              <w:marRight w:val="0"/>
              <w:marTop w:val="0"/>
              <w:marBottom w:val="0"/>
              <w:divBdr>
                <w:top w:val="none" w:sz="0" w:space="0" w:color="auto"/>
                <w:left w:val="none" w:sz="0" w:space="0" w:color="auto"/>
                <w:bottom w:val="none" w:sz="0" w:space="0" w:color="auto"/>
                <w:right w:val="none" w:sz="0" w:space="0" w:color="auto"/>
              </w:divBdr>
            </w:div>
            <w:div w:id="2138333967">
              <w:marLeft w:val="0"/>
              <w:marRight w:val="0"/>
              <w:marTop w:val="0"/>
              <w:marBottom w:val="0"/>
              <w:divBdr>
                <w:top w:val="none" w:sz="0" w:space="0" w:color="auto"/>
                <w:left w:val="none" w:sz="0" w:space="0" w:color="auto"/>
                <w:bottom w:val="none" w:sz="0" w:space="0" w:color="auto"/>
                <w:right w:val="none" w:sz="0" w:space="0" w:color="auto"/>
              </w:divBdr>
            </w:div>
            <w:div w:id="1359161375">
              <w:marLeft w:val="0"/>
              <w:marRight w:val="0"/>
              <w:marTop w:val="0"/>
              <w:marBottom w:val="0"/>
              <w:divBdr>
                <w:top w:val="none" w:sz="0" w:space="0" w:color="auto"/>
                <w:left w:val="none" w:sz="0" w:space="0" w:color="auto"/>
                <w:bottom w:val="none" w:sz="0" w:space="0" w:color="auto"/>
                <w:right w:val="none" w:sz="0" w:space="0" w:color="auto"/>
              </w:divBdr>
            </w:div>
            <w:div w:id="787546993">
              <w:marLeft w:val="0"/>
              <w:marRight w:val="0"/>
              <w:marTop w:val="0"/>
              <w:marBottom w:val="0"/>
              <w:divBdr>
                <w:top w:val="none" w:sz="0" w:space="0" w:color="auto"/>
                <w:left w:val="none" w:sz="0" w:space="0" w:color="auto"/>
                <w:bottom w:val="none" w:sz="0" w:space="0" w:color="auto"/>
                <w:right w:val="none" w:sz="0" w:space="0" w:color="auto"/>
              </w:divBdr>
            </w:div>
            <w:div w:id="404029616">
              <w:marLeft w:val="0"/>
              <w:marRight w:val="0"/>
              <w:marTop w:val="0"/>
              <w:marBottom w:val="0"/>
              <w:divBdr>
                <w:top w:val="none" w:sz="0" w:space="0" w:color="auto"/>
                <w:left w:val="none" w:sz="0" w:space="0" w:color="auto"/>
                <w:bottom w:val="none" w:sz="0" w:space="0" w:color="auto"/>
                <w:right w:val="none" w:sz="0" w:space="0" w:color="auto"/>
              </w:divBdr>
            </w:div>
            <w:div w:id="1468622287">
              <w:marLeft w:val="0"/>
              <w:marRight w:val="0"/>
              <w:marTop w:val="0"/>
              <w:marBottom w:val="0"/>
              <w:divBdr>
                <w:top w:val="none" w:sz="0" w:space="0" w:color="auto"/>
                <w:left w:val="none" w:sz="0" w:space="0" w:color="auto"/>
                <w:bottom w:val="none" w:sz="0" w:space="0" w:color="auto"/>
                <w:right w:val="none" w:sz="0" w:space="0" w:color="auto"/>
              </w:divBdr>
            </w:div>
            <w:div w:id="1490054096">
              <w:marLeft w:val="0"/>
              <w:marRight w:val="0"/>
              <w:marTop w:val="0"/>
              <w:marBottom w:val="0"/>
              <w:divBdr>
                <w:top w:val="none" w:sz="0" w:space="0" w:color="auto"/>
                <w:left w:val="none" w:sz="0" w:space="0" w:color="auto"/>
                <w:bottom w:val="none" w:sz="0" w:space="0" w:color="auto"/>
                <w:right w:val="none" w:sz="0" w:space="0" w:color="auto"/>
              </w:divBdr>
            </w:div>
            <w:div w:id="584270724">
              <w:marLeft w:val="0"/>
              <w:marRight w:val="0"/>
              <w:marTop w:val="0"/>
              <w:marBottom w:val="0"/>
              <w:divBdr>
                <w:top w:val="none" w:sz="0" w:space="0" w:color="auto"/>
                <w:left w:val="none" w:sz="0" w:space="0" w:color="auto"/>
                <w:bottom w:val="none" w:sz="0" w:space="0" w:color="auto"/>
                <w:right w:val="none" w:sz="0" w:space="0" w:color="auto"/>
              </w:divBdr>
            </w:div>
            <w:div w:id="1261375876">
              <w:marLeft w:val="0"/>
              <w:marRight w:val="0"/>
              <w:marTop w:val="0"/>
              <w:marBottom w:val="0"/>
              <w:divBdr>
                <w:top w:val="none" w:sz="0" w:space="0" w:color="auto"/>
                <w:left w:val="none" w:sz="0" w:space="0" w:color="auto"/>
                <w:bottom w:val="none" w:sz="0" w:space="0" w:color="auto"/>
                <w:right w:val="none" w:sz="0" w:space="0" w:color="auto"/>
              </w:divBdr>
            </w:div>
            <w:div w:id="148332680">
              <w:marLeft w:val="0"/>
              <w:marRight w:val="0"/>
              <w:marTop w:val="0"/>
              <w:marBottom w:val="0"/>
              <w:divBdr>
                <w:top w:val="none" w:sz="0" w:space="0" w:color="auto"/>
                <w:left w:val="none" w:sz="0" w:space="0" w:color="auto"/>
                <w:bottom w:val="none" w:sz="0" w:space="0" w:color="auto"/>
                <w:right w:val="none" w:sz="0" w:space="0" w:color="auto"/>
              </w:divBdr>
            </w:div>
            <w:div w:id="1732390711">
              <w:marLeft w:val="0"/>
              <w:marRight w:val="0"/>
              <w:marTop w:val="0"/>
              <w:marBottom w:val="0"/>
              <w:divBdr>
                <w:top w:val="none" w:sz="0" w:space="0" w:color="auto"/>
                <w:left w:val="none" w:sz="0" w:space="0" w:color="auto"/>
                <w:bottom w:val="none" w:sz="0" w:space="0" w:color="auto"/>
                <w:right w:val="none" w:sz="0" w:space="0" w:color="auto"/>
              </w:divBdr>
            </w:div>
            <w:div w:id="1650280959">
              <w:marLeft w:val="0"/>
              <w:marRight w:val="0"/>
              <w:marTop w:val="0"/>
              <w:marBottom w:val="0"/>
              <w:divBdr>
                <w:top w:val="none" w:sz="0" w:space="0" w:color="auto"/>
                <w:left w:val="none" w:sz="0" w:space="0" w:color="auto"/>
                <w:bottom w:val="none" w:sz="0" w:space="0" w:color="auto"/>
                <w:right w:val="none" w:sz="0" w:space="0" w:color="auto"/>
              </w:divBdr>
            </w:div>
            <w:div w:id="1553692953">
              <w:marLeft w:val="0"/>
              <w:marRight w:val="0"/>
              <w:marTop w:val="0"/>
              <w:marBottom w:val="0"/>
              <w:divBdr>
                <w:top w:val="none" w:sz="0" w:space="0" w:color="auto"/>
                <w:left w:val="none" w:sz="0" w:space="0" w:color="auto"/>
                <w:bottom w:val="none" w:sz="0" w:space="0" w:color="auto"/>
                <w:right w:val="none" w:sz="0" w:space="0" w:color="auto"/>
              </w:divBdr>
            </w:div>
            <w:div w:id="1551067798">
              <w:marLeft w:val="0"/>
              <w:marRight w:val="0"/>
              <w:marTop w:val="0"/>
              <w:marBottom w:val="0"/>
              <w:divBdr>
                <w:top w:val="none" w:sz="0" w:space="0" w:color="auto"/>
                <w:left w:val="none" w:sz="0" w:space="0" w:color="auto"/>
                <w:bottom w:val="none" w:sz="0" w:space="0" w:color="auto"/>
                <w:right w:val="none" w:sz="0" w:space="0" w:color="auto"/>
              </w:divBdr>
            </w:div>
            <w:div w:id="897594409">
              <w:marLeft w:val="0"/>
              <w:marRight w:val="0"/>
              <w:marTop w:val="0"/>
              <w:marBottom w:val="0"/>
              <w:divBdr>
                <w:top w:val="none" w:sz="0" w:space="0" w:color="auto"/>
                <w:left w:val="none" w:sz="0" w:space="0" w:color="auto"/>
                <w:bottom w:val="none" w:sz="0" w:space="0" w:color="auto"/>
                <w:right w:val="none" w:sz="0" w:space="0" w:color="auto"/>
              </w:divBdr>
            </w:div>
            <w:div w:id="414979335">
              <w:marLeft w:val="0"/>
              <w:marRight w:val="0"/>
              <w:marTop w:val="0"/>
              <w:marBottom w:val="0"/>
              <w:divBdr>
                <w:top w:val="none" w:sz="0" w:space="0" w:color="auto"/>
                <w:left w:val="none" w:sz="0" w:space="0" w:color="auto"/>
                <w:bottom w:val="none" w:sz="0" w:space="0" w:color="auto"/>
                <w:right w:val="none" w:sz="0" w:space="0" w:color="auto"/>
              </w:divBdr>
            </w:div>
            <w:div w:id="972750918">
              <w:marLeft w:val="0"/>
              <w:marRight w:val="0"/>
              <w:marTop w:val="0"/>
              <w:marBottom w:val="0"/>
              <w:divBdr>
                <w:top w:val="none" w:sz="0" w:space="0" w:color="auto"/>
                <w:left w:val="none" w:sz="0" w:space="0" w:color="auto"/>
                <w:bottom w:val="none" w:sz="0" w:space="0" w:color="auto"/>
                <w:right w:val="none" w:sz="0" w:space="0" w:color="auto"/>
              </w:divBdr>
            </w:div>
            <w:div w:id="301157241">
              <w:marLeft w:val="0"/>
              <w:marRight w:val="0"/>
              <w:marTop w:val="0"/>
              <w:marBottom w:val="0"/>
              <w:divBdr>
                <w:top w:val="none" w:sz="0" w:space="0" w:color="auto"/>
                <w:left w:val="none" w:sz="0" w:space="0" w:color="auto"/>
                <w:bottom w:val="none" w:sz="0" w:space="0" w:color="auto"/>
                <w:right w:val="none" w:sz="0" w:space="0" w:color="auto"/>
              </w:divBdr>
            </w:div>
            <w:div w:id="75127174">
              <w:marLeft w:val="0"/>
              <w:marRight w:val="0"/>
              <w:marTop w:val="0"/>
              <w:marBottom w:val="0"/>
              <w:divBdr>
                <w:top w:val="none" w:sz="0" w:space="0" w:color="auto"/>
                <w:left w:val="none" w:sz="0" w:space="0" w:color="auto"/>
                <w:bottom w:val="none" w:sz="0" w:space="0" w:color="auto"/>
                <w:right w:val="none" w:sz="0" w:space="0" w:color="auto"/>
              </w:divBdr>
            </w:div>
            <w:div w:id="378282944">
              <w:marLeft w:val="0"/>
              <w:marRight w:val="0"/>
              <w:marTop w:val="0"/>
              <w:marBottom w:val="0"/>
              <w:divBdr>
                <w:top w:val="none" w:sz="0" w:space="0" w:color="auto"/>
                <w:left w:val="none" w:sz="0" w:space="0" w:color="auto"/>
                <w:bottom w:val="none" w:sz="0" w:space="0" w:color="auto"/>
                <w:right w:val="none" w:sz="0" w:space="0" w:color="auto"/>
              </w:divBdr>
            </w:div>
            <w:div w:id="3939868">
              <w:marLeft w:val="0"/>
              <w:marRight w:val="0"/>
              <w:marTop w:val="0"/>
              <w:marBottom w:val="0"/>
              <w:divBdr>
                <w:top w:val="none" w:sz="0" w:space="0" w:color="auto"/>
                <w:left w:val="none" w:sz="0" w:space="0" w:color="auto"/>
                <w:bottom w:val="none" w:sz="0" w:space="0" w:color="auto"/>
                <w:right w:val="none" w:sz="0" w:space="0" w:color="auto"/>
              </w:divBdr>
            </w:div>
            <w:div w:id="7344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56534">
      <w:bodyDiv w:val="1"/>
      <w:marLeft w:val="0"/>
      <w:marRight w:val="0"/>
      <w:marTop w:val="0"/>
      <w:marBottom w:val="0"/>
      <w:divBdr>
        <w:top w:val="none" w:sz="0" w:space="0" w:color="auto"/>
        <w:left w:val="none" w:sz="0" w:space="0" w:color="auto"/>
        <w:bottom w:val="none" w:sz="0" w:space="0" w:color="auto"/>
        <w:right w:val="none" w:sz="0" w:space="0" w:color="auto"/>
      </w:divBdr>
      <w:divsChild>
        <w:div w:id="1718168120">
          <w:marLeft w:val="0"/>
          <w:marRight w:val="0"/>
          <w:marTop w:val="0"/>
          <w:marBottom w:val="0"/>
          <w:divBdr>
            <w:top w:val="none" w:sz="0" w:space="0" w:color="auto"/>
            <w:left w:val="none" w:sz="0" w:space="0" w:color="auto"/>
            <w:bottom w:val="none" w:sz="0" w:space="0" w:color="auto"/>
            <w:right w:val="none" w:sz="0" w:space="0" w:color="auto"/>
          </w:divBdr>
          <w:divsChild>
            <w:div w:id="467404214">
              <w:marLeft w:val="0"/>
              <w:marRight w:val="0"/>
              <w:marTop w:val="0"/>
              <w:marBottom w:val="0"/>
              <w:divBdr>
                <w:top w:val="none" w:sz="0" w:space="0" w:color="auto"/>
                <w:left w:val="none" w:sz="0" w:space="0" w:color="auto"/>
                <w:bottom w:val="none" w:sz="0" w:space="0" w:color="auto"/>
                <w:right w:val="none" w:sz="0" w:space="0" w:color="auto"/>
              </w:divBdr>
            </w:div>
            <w:div w:id="721832096">
              <w:marLeft w:val="0"/>
              <w:marRight w:val="0"/>
              <w:marTop w:val="0"/>
              <w:marBottom w:val="0"/>
              <w:divBdr>
                <w:top w:val="none" w:sz="0" w:space="0" w:color="auto"/>
                <w:left w:val="none" w:sz="0" w:space="0" w:color="auto"/>
                <w:bottom w:val="none" w:sz="0" w:space="0" w:color="auto"/>
                <w:right w:val="none" w:sz="0" w:space="0" w:color="auto"/>
              </w:divBdr>
            </w:div>
            <w:div w:id="1358313125">
              <w:marLeft w:val="0"/>
              <w:marRight w:val="0"/>
              <w:marTop w:val="0"/>
              <w:marBottom w:val="0"/>
              <w:divBdr>
                <w:top w:val="none" w:sz="0" w:space="0" w:color="auto"/>
                <w:left w:val="none" w:sz="0" w:space="0" w:color="auto"/>
                <w:bottom w:val="none" w:sz="0" w:space="0" w:color="auto"/>
                <w:right w:val="none" w:sz="0" w:space="0" w:color="auto"/>
              </w:divBdr>
            </w:div>
            <w:div w:id="1923946056">
              <w:marLeft w:val="0"/>
              <w:marRight w:val="0"/>
              <w:marTop w:val="0"/>
              <w:marBottom w:val="0"/>
              <w:divBdr>
                <w:top w:val="none" w:sz="0" w:space="0" w:color="auto"/>
                <w:left w:val="none" w:sz="0" w:space="0" w:color="auto"/>
                <w:bottom w:val="none" w:sz="0" w:space="0" w:color="auto"/>
                <w:right w:val="none" w:sz="0" w:space="0" w:color="auto"/>
              </w:divBdr>
            </w:div>
            <w:div w:id="1765178127">
              <w:marLeft w:val="0"/>
              <w:marRight w:val="0"/>
              <w:marTop w:val="0"/>
              <w:marBottom w:val="0"/>
              <w:divBdr>
                <w:top w:val="none" w:sz="0" w:space="0" w:color="auto"/>
                <w:left w:val="none" w:sz="0" w:space="0" w:color="auto"/>
                <w:bottom w:val="none" w:sz="0" w:space="0" w:color="auto"/>
                <w:right w:val="none" w:sz="0" w:space="0" w:color="auto"/>
              </w:divBdr>
            </w:div>
            <w:div w:id="266081953">
              <w:marLeft w:val="0"/>
              <w:marRight w:val="0"/>
              <w:marTop w:val="0"/>
              <w:marBottom w:val="0"/>
              <w:divBdr>
                <w:top w:val="none" w:sz="0" w:space="0" w:color="auto"/>
                <w:left w:val="none" w:sz="0" w:space="0" w:color="auto"/>
                <w:bottom w:val="none" w:sz="0" w:space="0" w:color="auto"/>
                <w:right w:val="none" w:sz="0" w:space="0" w:color="auto"/>
              </w:divBdr>
            </w:div>
            <w:div w:id="768041737">
              <w:marLeft w:val="0"/>
              <w:marRight w:val="0"/>
              <w:marTop w:val="0"/>
              <w:marBottom w:val="0"/>
              <w:divBdr>
                <w:top w:val="none" w:sz="0" w:space="0" w:color="auto"/>
                <w:left w:val="none" w:sz="0" w:space="0" w:color="auto"/>
                <w:bottom w:val="none" w:sz="0" w:space="0" w:color="auto"/>
                <w:right w:val="none" w:sz="0" w:space="0" w:color="auto"/>
              </w:divBdr>
            </w:div>
            <w:div w:id="1909152804">
              <w:marLeft w:val="0"/>
              <w:marRight w:val="0"/>
              <w:marTop w:val="0"/>
              <w:marBottom w:val="0"/>
              <w:divBdr>
                <w:top w:val="none" w:sz="0" w:space="0" w:color="auto"/>
                <w:left w:val="none" w:sz="0" w:space="0" w:color="auto"/>
                <w:bottom w:val="none" w:sz="0" w:space="0" w:color="auto"/>
                <w:right w:val="none" w:sz="0" w:space="0" w:color="auto"/>
              </w:divBdr>
            </w:div>
            <w:div w:id="1819758431">
              <w:marLeft w:val="0"/>
              <w:marRight w:val="0"/>
              <w:marTop w:val="0"/>
              <w:marBottom w:val="0"/>
              <w:divBdr>
                <w:top w:val="none" w:sz="0" w:space="0" w:color="auto"/>
                <w:left w:val="none" w:sz="0" w:space="0" w:color="auto"/>
                <w:bottom w:val="none" w:sz="0" w:space="0" w:color="auto"/>
                <w:right w:val="none" w:sz="0" w:space="0" w:color="auto"/>
              </w:divBdr>
            </w:div>
            <w:div w:id="79757383">
              <w:marLeft w:val="0"/>
              <w:marRight w:val="0"/>
              <w:marTop w:val="0"/>
              <w:marBottom w:val="0"/>
              <w:divBdr>
                <w:top w:val="none" w:sz="0" w:space="0" w:color="auto"/>
                <w:left w:val="none" w:sz="0" w:space="0" w:color="auto"/>
                <w:bottom w:val="none" w:sz="0" w:space="0" w:color="auto"/>
                <w:right w:val="none" w:sz="0" w:space="0" w:color="auto"/>
              </w:divBdr>
            </w:div>
            <w:div w:id="1014306453">
              <w:marLeft w:val="0"/>
              <w:marRight w:val="0"/>
              <w:marTop w:val="0"/>
              <w:marBottom w:val="0"/>
              <w:divBdr>
                <w:top w:val="none" w:sz="0" w:space="0" w:color="auto"/>
                <w:left w:val="none" w:sz="0" w:space="0" w:color="auto"/>
                <w:bottom w:val="none" w:sz="0" w:space="0" w:color="auto"/>
                <w:right w:val="none" w:sz="0" w:space="0" w:color="auto"/>
              </w:divBdr>
            </w:div>
            <w:div w:id="1310552271">
              <w:marLeft w:val="0"/>
              <w:marRight w:val="0"/>
              <w:marTop w:val="0"/>
              <w:marBottom w:val="0"/>
              <w:divBdr>
                <w:top w:val="none" w:sz="0" w:space="0" w:color="auto"/>
                <w:left w:val="none" w:sz="0" w:space="0" w:color="auto"/>
                <w:bottom w:val="none" w:sz="0" w:space="0" w:color="auto"/>
                <w:right w:val="none" w:sz="0" w:space="0" w:color="auto"/>
              </w:divBdr>
            </w:div>
            <w:div w:id="1467963588">
              <w:marLeft w:val="0"/>
              <w:marRight w:val="0"/>
              <w:marTop w:val="0"/>
              <w:marBottom w:val="0"/>
              <w:divBdr>
                <w:top w:val="none" w:sz="0" w:space="0" w:color="auto"/>
                <w:left w:val="none" w:sz="0" w:space="0" w:color="auto"/>
                <w:bottom w:val="none" w:sz="0" w:space="0" w:color="auto"/>
                <w:right w:val="none" w:sz="0" w:space="0" w:color="auto"/>
              </w:divBdr>
            </w:div>
            <w:div w:id="1882092593">
              <w:marLeft w:val="0"/>
              <w:marRight w:val="0"/>
              <w:marTop w:val="0"/>
              <w:marBottom w:val="0"/>
              <w:divBdr>
                <w:top w:val="none" w:sz="0" w:space="0" w:color="auto"/>
                <w:left w:val="none" w:sz="0" w:space="0" w:color="auto"/>
                <w:bottom w:val="none" w:sz="0" w:space="0" w:color="auto"/>
                <w:right w:val="none" w:sz="0" w:space="0" w:color="auto"/>
              </w:divBdr>
            </w:div>
            <w:div w:id="648940592">
              <w:marLeft w:val="0"/>
              <w:marRight w:val="0"/>
              <w:marTop w:val="0"/>
              <w:marBottom w:val="0"/>
              <w:divBdr>
                <w:top w:val="none" w:sz="0" w:space="0" w:color="auto"/>
                <w:left w:val="none" w:sz="0" w:space="0" w:color="auto"/>
                <w:bottom w:val="none" w:sz="0" w:space="0" w:color="auto"/>
                <w:right w:val="none" w:sz="0" w:space="0" w:color="auto"/>
              </w:divBdr>
            </w:div>
            <w:div w:id="141046441">
              <w:marLeft w:val="0"/>
              <w:marRight w:val="0"/>
              <w:marTop w:val="0"/>
              <w:marBottom w:val="0"/>
              <w:divBdr>
                <w:top w:val="none" w:sz="0" w:space="0" w:color="auto"/>
                <w:left w:val="none" w:sz="0" w:space="0" w:color="auto"/>
                <w:bottom w:val="none" w:sz="0" w:space="0" w:color="auto"/>
                <w:right w:val="none" w:sz="0" w:space="0" w:color="auto"/>
              </w:divBdr>
            </w:div>
            <w:div w:id="522977471">
              <w:marLeft w:val="0"/>
              <w:marRight w:val="0"/>
              <w:marTop w:val="0"/>
              <w:marBottom w:val="0"/>
              <w:divBdr>
                <w:top w:val="none" w:sz="0" w:space="0" w:color="auto"/>
                <w:left w:val="none" w:sz="0" w:space="0" w:color="auto"/>
                <w:bottom w:val="none" w:sz="0" w:space="0" w:color="auto"/>
                <w:right w:val="none" w:sz="0" w:space="0" w:color="auto"/>
              </w:divBdr>
            </w:div>
            <w:div w:id="878710836">
              <w:marLeft w:val="0"/>
              <w:marRight w:val="0"/>
              <w:marTop w:val="0"/>
              <w:marBottom w:val="0"/>
              <w:divBdr>
                <w:top w:val="none" w:sz="0" w:space="0" w:color="auto"/>
                <w:left w:val="none" w:sz="0" w:space="0" w:color="auto"/>
                <w:bottom w:val="none" w:sz="0" w:space="0" w:color="auto"/>
                <w:right w:val="none" w:sz="0" w:space="0" w:color="auto"/>
              </w:divBdr>
            </w:div>
            <w:div w:id="840969223">
              <w:marLeft w:val="0"/>
              <w:marRight w:val="0"/>
              <w:marTop w:val="0"/>
              <w:marBottom w:val="0"/>
              <w:divBdr>
                <w:top w:val="none" w:sz="0" w:space="0" w:color="auto"/>
                <w:left w:val="none" w:sz="0" w:space="0" w:color="auto"/>
                <w:bottom w:val="none" w:sz="0" w:space="0" w:color="auto"/>
                <w:right w:val="none" w:sz="0" w:space="0" w:color="auto"/>
              </w:divBdr>
            </w:div>
            <w:div w:id="189924449">
              <w:marLeft w:val="0"/>
              <w:marRight w:val="0"/>
              <w:marTop w:val="0"/>
              <w:marBottom w:val="0"/>
              <w:divBdr>
                <w:top w:val="none" w:sz="0" w:space="0" w:color="auto"/>
                <w:left w:val="none" w:sz="0" w:space="0" w:color="auto"/>
                <w:bottom w:val="none" w:sz="0" w:space="0" w:color="auto"/>
                <w:right w:val="none" w:sz="0" w:space="0" w:color="auto"/>
              </w:divBdr>
            </w:div>
            <w:div w:id="35088712">
              <w:marLeft w:val="0"/>
              <w:marRight w:val="0"/>
              <w:marTop w:val="0"/>
              <w:marBottom w:val="0"/>
              <w:divBdr>
                <w:top w:val="none" w:sz="0" w:space="0" w:color="auto"/>
                <w:left w:val="none" w:sz="0" w:space="0" w:color="auto"/>
                <w:bottom w:val="none" w:sz="0" w:space="0" w:color="auto"/>
                <w:right w:val="none" w:sz="0" w:space="0" w:color="auto"/>
              </w:divBdr>
            </w:div>
            <w:div w:id="240528779">
              <w:marLeft w:val="0"/>
              <w:marRight w:val="0"/>
              <w:marTop w:val="0"/>
              <w:marBottom w:val="0"/>
              <w:divBdr>
                <w:top w:val="none" w:sz="0" w:space="0" w:color="auto"/>
                <w:left w:val="none" w:sz="0" w:space="0" w:color="auto"/>
                <w:bottom w:val="none" w:sz="0" w:space="0" w:color="auto"/>
                <w:right w:val="none" w:sz="0" w:space="0" w:color="auto"/>
              </w:divBdr>
            </w:div>
            <w:div w:id="977106076">
              <w:marLeft w:val="0"/>
              <w:marRight w:val="0"/>
              <w:marTop w:val="0"/>
              <w:marBottom w:val="0"/>
              <w:divBdr>
                <w:top w:val="none" w:sz="0" w:space="0" w:color="auto"/>
                <w:left w:val="none" w:sz="0" w:space="0" w:color="auto"/>
                <w:bottom w:val="none" w:sz="0" w:space="0" w:color="auto"/>
                <w:right w:val="none" w:sz="0" w:space="0" w:color="auto"/>
              </w:divBdr>
            </w:div>
            <w:div w:id="832143208">
              <w:marLeft w:val="0"/>
              <w:marRight w:val="0"/>
              <w:marTop w:val="0"/>
              <w:marBottom w:val="0"/>
              <w:divBdr>
                <w:top w:val="none" w:sz="0" w:space="0" w:color="auto"/>
                <w:left w:val="none" w:sz="0" w:space="0" w:color="auto"/>
                <w:bottom w:val="none" w:sz="0" w:space="0" w:color="auto"/>
                <w:right w:val="none" w:sz="0" w:space="0" w:color="auto"/>
              </w:divBdr>
            </w:div>
            <w:div w:id="1698502642">
              <w:marLeft w:val="0"/>
              <w:marRight w:val="0"/>
              <w:marTop w:val="0"/>
              <w:marBottom w:val="0"/>
              <w:divBdr>
                <w:top w:val="none" w:sz="0" w:space="0" w:color="auto"/>
                <w:left w:val="none" w:sz="0" w:space="0" w:color="auto"/>
                <w:bottom w:val="none" w:sz="0" w:space="0" w:color="auto"/>
                <w:right w:val="none" w:sz="0" w:space="0" w:color="auto"/>
              </w:divBdr>
            </w:div>
            <w:div w:id="596475561">
              <w:marLeft w:val="0"/>
              <w:marRight w:val="0"/>
              <w:marTop w:val="0"/>
              <w:marBottom w:val="0"/>
              <w:divBdr>
                <w:top w:val="none" w:sz="0" w:space="0" w:color="auto"/>
                <w:left w:val="none" w:sz="0" w:space="0" w:color="auto"/>
                <w:bottom w:val="none" w:sz="0" w:space="0" w:color="auto"/>
                <w:right w:val="none" w:sz="0" w:space="0" w:color="auto"/>
              </w:divBdr>
            </w:div>
            <w:div w:id="1514800599">
              <w:marLeft w:val="0"/>
              <w:marRight w:val="0"/>
              <w:marTop w:val="0"/>
              <w:marBottom w:val="0"/>
              <w:divBdr>
                <w:top w:val="none" w:sz="0" w:space="0" w:color="auto"/>
                <w:left w:val="none" w:sz="0" w:space="0" w:color="auto"/>
                <w:bottom w:val="none" w:sz="0" w:space="0" w:color="auto"/>
                <w:right w:val="none" w:sz="0" w:space="0" w:color="auto"/>
              </w:divBdr>
            </w:div>
            <w:div w:id="297538336">
              <w:marLeft w:val="0"/>
              <w:marRight w:val="0"/>
              <w:marTop w:val="0"/>
              <w:marBottom w:val="0"/>
              <w:divBdr>
                <w:top w:val="none" w:sz="0" w:space="0" w:color="auto"/>
                <w:left w:val="none" w:sz="0" w:space="0" w:color="auto"/>
                <w:bottom w:val="none" w:sz="0" w:space="0" w:color="auto"/>
                <w:right w:val="none" w:sz="0" w:space="0" w:color="auto"/>
              </w:divBdr>
            </w:div>
            <w:div w:id="1076050575">
              <w:marLeft w:val="0"/>
              <w:marRight w:val="0"/>
              <w:marTop w:val="0"/>
              <w:marBottom w:val="0"/>
              <w:divBdr>
                <w:top w:val="none" w:sz="0" w:space="0" w:color="auto"/>
                <w:left w:val="none" w:sz="0" w:space="0" w:color="auto"/>
                <w:bottom w:val="none" w:sz="0" w:space="0" w:color="auto"/>
                <w:right w:val="none" w:sz="0" w:space="0" w:color="auto"/>
              </w:divBdr>
            </w:div>
            <w:div w:id="332148544">
              <w:marLeft w:val="0"/>
              <w:marRight w:val="0"/>
              <w:marTop w:val="0"/>
              <w:marBottom w:val="0"/>
              <w:divBdr>
                <w:top w:val="none" w:sz="0" w:space="0" w:color="auto"/>
                <w:left w:val="none" w:sz="0" w:space="0" w:color="auto"/>
                <w:bottom w:val="none" w:sz="0" w:space="0" w:color="auto"/>
                <w:right w:val="none" w:sz="0" w:space="0" w:color="auto"/>
              </w:divBdr>
            </w:div>
            <w:div w:id="1326392907">
              <w:marLeft w:val="0"/>
              <w:marRight w:val="0"/>
              <w:marTop w:val="0"/>
              <w:marBottom w:val="0"/>
              <w:divBdr>
                <w:top w:val="none" w:sz="0" w:space="0" w:color="auto"/>
                <w:left w:val="none" w:sz="0" w:space="0" w:color="auto"/>
                <w:bottom w:val="none" w:sz="0" w:space="0" w:color="auto"/>
                <w:right w:val="none" w:sz="0" w:space="0" w:color="auto"/>
              </w:divBdr>
            </w:div>
            <w:div w:id="537013829">
              <w:marLeft w:val="0"/>
              <w:marRight w:val="0"/>
              <w:marTop w:val="0"/>
              <w:marBottom w:val="0"/>
              <w:divBdr>
                <w:top w:val="none" w:sz="0" w:space="0" w:color="auto"/>
                <w:left w:val="none" w:sz="0" w:space="0" w:color="auto"/>
                <w:bottom w:val="none" w:sz="0" w:space="0" w:color="auto"/>
                <w:right w:val="none" w:sz="0" w:space="0" w:color="auto"/>
              </w:divBdr>
            </w:div>
            <w:div w:id="903757533">
              <w:marLeft w:val="0"/>
              <w:marRight w:val="0"/>
              <w:marTop w:val="0"/>
              <w:marBottom w:val="0"/>
              <w:divBdr>
                <w:top w:val="none" w:sz="0" w:space="0" w:color="auto"/>
                <w:left w:val="none" w:sz="0" w:space="0" w:color="auto"/>
                <w:bottom w:val="none" w:sz="0" w:space="0" w:color="auto"/>
                <w:right w:val="none" w:sz="0" w:space="0" w:color="auto"/>
              </w:divBdr>
            </w:div>
            <w:div w:id="1144465943">
              <w:marLeft w:val="0"/>
              <w:marRight w:val="0"/>
              <w:marTop w:val="0"/>
              <w:marBottom w:val="0"/>
              <w:divBdr>
                <w:top w:val="none" w:sz="0" w:space="0" w:color="auto"/>
                <w:left w:val="none" w:sz="0" w:space="0" w:color="auto"/>
                <w:bottom w:val="none" w:sz="0" w:space="0" w:color="auto"/>
                <w:right w:val="none" w:sz="0" w:space="0" w:color="auto"/>
              </w:divBdr>
            </w:div>
            <w:div w:id="1114903704">
              <w:marLeft w:val="0"/>
              <w:marRight w:val="0"/>
              <w:marTop w:val="0"/>
              <w:marBottom w:val="0"/>
              <w:divBdr>
                <w:top w:val="none" w:sz="0" w:space="0" w:color="auto"/>
                <w:left w:val="none" w:sz="0" w:space="0" w:color="auto"/>
                <w:bottom w:val="none" w:sz="0" w:space="0" w:color="auto"/>
                <w:right w:val="none" w:sz="0" w:space="0" w:color="auto"/>
              </w:divBdr>
            </w:div>
            <w:div w:id="36244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7979">
      <w:bodyDiv w:val="1"/>
      <w:marLeft w:val="0"/>
      <w:marRight w:val="0"/>
      <w:marTop w:val="0"/>
      <w:marBottom w:val="0"/>
      <w:divBdr>
        <w:top w:val="none" w:sz="0" w:space="0" w:color="auto"/>
        <w:left w:val="none" w:sz="0" w:space="0" w:color="auto"/>
        <w:bottom w:val="none" w:sz="0" w:space="0" w:color="auto"/>
        <w:right w:val="none" w:sz="0" w:space="0" w:color="auto"/>
      </w:divBdr>
    </w:div>
    <w:div w:id="1083407790">
      <w:bodyDiv w:val="1"/>
      <w:marLeft w:val="0"/>
      <w:marRight w:val="0"/>
      <w:marTop w:val="0"/>
      <w:marBottom w:val="0"/>
      <w:divBdr>
        <w:top w:val="none" w:sz="0" w:space="0" w:color="auto"/>
        <w:left w:val="none" w:sz="0" w:space="0" w:color="auto"/>
        <w:bottom w:val="none" w:sz="0" w:space="0" w:color="auto"/>
        <w:right w:val="none" w:sz="0" w:space="0" w:color="auto"/>
      </w:divBdr>
    </w:div>
    <w:div w:id="1114254532">
      <w:bodyDiv w:val="1"/>
      <w:marLeft w:val="0"/>
      <w:marRight w:val="0"/>
      <w:marTop w:val="0"/>
      <w:marBottom w:val="0"/>
      <w:divBdr>
        <w:top w:val="none" w:sz="0" w:space="0" w:color="auto"/>
        <w:left w:val="none" w:sz="0" w:space="0" w:color="auto"/>
        <w:bottom w:val="none" w:sz="0" w:space="0" w:color="auto"/>
        <w:right w:val="none" w:sz="0" w:space="0" w:color="auto"/>
      </w:divBdr>
    </w:div>
    <w:div w:id="1197087959">
      <w:bodyDiv w:val="1"/>
      <w:marLeft w:val="0"/>
      <w:marRight w:val="0"/>
      <w:marTop w:val="0"/>
      <w:marBottom w:val="0"/>
      <w:divBdr>
        <w:top w:val="none" w:sz="0" w:space="0" w:color="auto"/>
        <w:left w:val="none" w:sz="0" w:space="0" w:color="auto"/>
        <w:bottom w:val="none" w:sz="0" w:space="0" w:color="auto"/>
        <w:right w:val="none" w:sz="0" w:space="0" w:color="auto"/>
      </w:divBdr>
    </w:div>
    <w:div w:id="1405109871">
      <w:bodyDiv w:val="1"/>
      <w:marLeft w:val="0"/>
      <w:marRight w:val="0"/>
      <w:marTop w:val="0"/>
      <w:marBottom w:val="0"/>
      <w:divBdr>
        <w:top w:val="none" w:sz="0" w:space="0" w:color="auto"/>
        <w:left w:val="none" w:sz="0" w:space="0" w:color="auto"/>
        <w:bottom w:val="none" w:sz="0" w:space="0" w:color="auto"/>
        <w:right w:val="none" w:sz="0" w:space="0" w:color="auto"/>
      </w:divBdr>
    </w:div>
    <w:div w:id="1547334391">
      <w:bodyDiv w:val="1"/>
      <w:marLeft w:val="0"/>
      <w:marRight w:val="0"/>
      <w:marTop w:val="0"/>
      <w:marBottom w:val="0"/>
      <w:divBdr>
        <w:top w:val="none" w:sz="0" w:space="0" w:color="auto"/>
        <w:left w:val="none" w:sz="0" w:space="0" w:color="auto"/>
        <w:bottom w:val="none" w:sz="0" w:space="0" w:color="auto"/>
        <w:right w:val="none" w:sz="0" w:space="0" w:color="auto"/>
      </w:divBdr>
    </w:div>
    <w:div w:id="1573999193">
      <w:bodyDiv w:val="1"/>
      <w:marLeft w:val="0"/>
      <w:marRight w:val="0"/>
      <w:marTop w:val="0"/>
      <w:marBottom w:val="0"/>
      <w:divBdr>
        <w:top w:val="none" w:sz="0" w:space="0" w:color="auto"/>
        <w:left w:val="none" w:sz="0" w:space="0" w:color="auto"/>
        <w:bottom w:val="none" w:sz="0" w:space="0" w:color="auto"/>
        <w:right w:val="none" w:sz="0" w:space="0" w:color="auto"/>
      </w:divBdr>
    </w:div>
    <w:div w:id="1668050456">
      <w:bodyDiv w:val="1"/>
      <w:marLeft w:val="0"/>
      <w:marRight w:val="0"/>
      <w:marTop w:val="0"/>
      <w:marBottom w:val="0"/>
      <w:divBdr>
        <w:top w:val="none" w:sz="0" w:space="0" w:color="auto"/>
        <w:left w:val="none" w:sz="0" w:space="0" w:color="auto"/>
        <w:bottom w:val="none" w:sz="0" w:space="0" w:color="auto"/>
        <w:right w:val="none" w:sz="0" w:space="0" w:color="auto"/>
      </w:divBdr>
      <w:divsChild>
        <w:div w:id="925387116">
          <w:marLeft w:val="0"/>
          <w:marRight w:val="0"/>
          <w:marTop w:val="0"/>
          <w:marBottom w:val="0"/>
          <w:divBdr>
            <w:top w:val="none" w:sz="0" w:space="0" w:color="auto"/>
            <w:left w:val="none" w:sz="0" w:space="0" w:color="auto"/>
            <w:bottom w:val="none" w:sz="0" w:space="0" w:color="auto"/>
            <w:right w:val="none" w:sz="0" w:space="0" w:color="auto"/>
          </w:divBdr>
          <w:divsChild>
            <w:div w:id="1715159463">
              <w:marLeft w:val="0"/>
              <w:marRight w:val="0"/>
              <w:marTop w:val="0"/>
              <w:marBottom w:val="0"/>
              <w:divBdr>
                <w:top w:val="none" w:sz="0" w:space="0" w:color="auto"/>
                <w:left w:val="none" w:sz="0" w:space="0" w:color="auto"/>
                <w:bottom w:val="none" w:sz="0" w:space="0" w:color="auto"/>
                <w:right w:val="none" w:sz="0" w:space="0" w:color="auto"/>
              </w:divBdr>
            </w:div>
            <w:div w:id="1031301976">
              <w:marLeft w:val="0"/>
              <w:marRight w:val="0"/>
              <w:marTop w:val="0"/>
              <w:marBottom w:val="0"/>
              <w:divBdr>
                <w:top w:val="none" w:sz="0" w:space="0" w:color="auto"/>
                <w:left w:val="none" w:sz="0" w:space="0" w:color="auto"/>
                <w:bottom w:val="none" w:sz="0" w:space="0" w:color="auto"/>
                <w:right w:val="none" w:sz="0" w:space="0" w:color="auto"/>
              </w:divBdr>
            </w:div>
            <w:div w:id="602155546">
              <w:marLeft w:val="0"/>
              <w:marRight w:val="0"/>
              <w:marTop w:val="0"/>
              <w:marBottom w:val="0"/>
              <w:divBdr>
                <w:top w:val="none" w:sz="0" w:space="0" w:color="auto"/>
                <w:left w:val="none" w:sz="0" w:space="0" w:color="auto"/>
                <w:bottom w:val="none" w:sz="0" w:space="0" w:color="auto"/>
                <w:right w:val="none" w:sz="0" w:space="0" w:color="auto"/>
              </w:divBdr>
            </w:div>
            <w:div w:id="13025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88702">
      <w:bodyDiv w:val="1"/>
      <w:marLeft w:val="0"/>
      <w:marRight w:val="0"/>
      <w:marTop w:val="0"/>
      <w:marBottom w:val="0"/>
      <w:divBdr>
        <w:top w:val="none" w:sz="0" w:space="0" w:color="auto"/>
        <w:left w:val="none" w:sz="0" w:space="0" w:color="auto"/>
        <w:bottom w:val="none" w:sz="0" w:space="0" w:color="auto"/>
        <w:right w:val="none" w:sz="0" w:space="0" w:color="auto"/>
      </w:divBdr>
    </w:div>
    <w:div w:id="1756438708">
      <w:bodyDiv w:val="1"/>
      <w:marLeft w:val="0"/>
      <w:marRight w:val="0"/>
      <w:marTop w:val="0"/>
      <w:marBottom w:val="0"/>
      <w:divBdr>
        <w:top w:val="none" w:sz="0" w:space="0" w:color="auto"/>
        <w:left w:val="none" w:sz="0" w:space="0" w:color="auto"/>
        <w:bottom w:val="none" w:sz="0" w:space="0" w:color="auto"/>
        <w:right w:val="none" w:sz="0" w:space="0" w:color="auto"/>
      </w:divBdr>
      <w:divsChild>
        <w:div w:id="1307466844">
          <w:marLeft w:val="0"/>
          <w:marRight w:val="0"/>
          <w:marTop w:val="0"/>
          <w:marBottom w:val="0"/>
          <w:divBdr>
            <w:top w:val="none" w:sz="0" w:space="0" w:color="auto"/>
            <w:left w:val="none" w:sz="0" w:space="0" w:color="auto"/>
            <w:bottom w:val="none" w:sz="0" w:space="0" w:color="auto"/>
            <w:right w:val="none" w:sz="0" w:space="0" w:color="auto"/>
          </w:divBdr>
          <w:divsChild>
            <w:div w:id="1701474070">
              <w:marLeft w:val="0"/>
              <w:marRight w:val="0"/>
              <w:marTop w:val="0"/>
              <w:marBottom w:val="0"/>
              <w:divBdr>
                <w:top w:val="none" w:sz="0" w:space="0" w:color="auto"/>
                <w:left w:val="none" w:sz="0" w:space="0" w:color="auto"/>
                <w:bottom w:val="none" w:sz="0" w:space="0" w:color="auto"/>
                <w:right w:val="none" w:sz="0" w:space="0" w:color="auto"/>
              </w:divBdr>
            </w:div>
            <w:div w:id="1023943312">
              <w:marLeft w:val="0"/>
              <w:marRight w:val="0"/>
              <w:marTop w:val="0"/>
              <w:marBottom w:val="0"/>
              <w:divBdr>
                <w:top w:val="none" w:sz="0" w:space="0" w:color="auto"/>
                <w:left w:val="none" w:sz="0" w:space="0" w:color="auto"/>
                <w:bottom w:val="none" w:sz="0" w:space="0" w:color="auto"/>
                <w:right w:val="none" w:sz="0" w:space="0" w:color="auto"/>
              </w:divBdr>
            </w:div>
            <w:div w:id="5793570">
              <w:marLeft w:val="0"/>
              <w:marRight w:val="0"/>
              <w:marTop w:val="0"/>
              <w:marBottom w:val="0"/>
              <w:divBdr>
                <w:top w:val="none" w:sz="0" w:space="0" w:color="auto"/>
                <w:left w:val="none" w:sz="0" w:space="0" w:color="auto"/>
                <w:bottom w:val="none" w:sz="0" w:space="0" w:color="auto"/>
                <w:right w:val="none" w:sz="0" w:space="0" w:color="auto"/>
              </w:divBdr>
            </w:div>
            <w:div w:id="7006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09982">
      <w:bodyDiv w:val="1"/>
      <w:marLeft w:val="0"/>
      <w:marRight w:val="0"/>
      <w:marTop w:val="0"/>
      <w:marBottom w:val="0"/>
      <w:divBdr>
        <w:top w:val="none" w:sz="0" w:space="0" w:color="auto"/>
        <w:left w:val="none" w:sz="0" w:space="0" w:color="auto"/>
        <w:bottom w:val="none" w:sz="0" w:space="0" w:color="auto"/>
        <w:right w:val="none" w:sz="0" w:space="0" w:color="auto"/>
      </w:divBdr>
    </w:div>
    <w:div w:id="1787507682">
      <w:bodyDiv w:val="1"/>
      <w:marLeft w:val="0"/>
      <w:marRight w:val="0"/>
      <w:marTop w:val="0"/>
      <w:marBottom w:val="0"/>
      <w:divBdr>
        <w:top w:val="none" w:sz="0" w:space="0" w:color="auto"/>
        <w:left w:val="none" w:sz="0" w:space="0" w:color="auto"/>
        <w:bottom w:val="none" w:sz="0" w:space="0" w:color="auto"/>
        <w:right w:val="none" w:sz="0" w:space="0" w:color="auto"/>
      </w:divBdr>
    </w:div>
    <w:div w:id="211709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ec"/>
  <Relationship Id="rId11" Type="http://schemas.openxmlformats.org/officeDocument/2006/relationships/hyperlink" TargetMode="External" Target="http://www2.ed.gov/programs/preschooldevelopmentgrants/applications/maapplicationpdg2015.pdf"/>
  <Relationship Id="rId12" Type="http://schemas.openxmlformats.org/officeDocument/2006/relationships/hyperlink" TargetMode="External" Target="http://www.mass.gov/edu/researchers/early-education-and-care/"/>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png"/>
</Relationships>

</file>

<file path=word/_rels/footnotes.xml.rels><?xml version="1.0" encoding="UTF-8"?>

<Relationships xmlns="http://schemas.openxmlformats.org/package/2006/relationships">
  <Relationship Id="rId1" Type="http://schemas.openxmlformats.org/officeDocument/2006/relationships/hyperlink" TargetMode="External" Target="http://dx.doi.org/10.1007/s10643-009-0310-7"/>
  <Relationship Id="rId2" Type="http://schemas.openxmlformats.org/officeDocument/2006/relationships/hyperlink" TargetMode="External" Target="http://dx.doi.org/10.1017/s0142716410000354"/>
  <Relationship Id="rId3" Type="http://schemas.openxmlformats.org/officeDocument/2006/relationships/hyperlink" TargetMode="External" Target="http://dx.doi.org/10.1016/j.dr.2005.11.0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6D1CD-8D21-4C21-B99E-7C66BEE3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13870</Words>
  <Characters>79059</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92744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2017-02-03T22:58:00Z</dcterms:created>
  <dc:creator>EEC,</dc:creator>
  <lastModifiedBy>Hart, Kathleen (EEC)</lastModifiedBy>
  <dcterms:modified xsi:type="dcterms:W3CDTF">2017-02-06T15:43:00Z</dcterms:modified>
  <revision>7</revision>
</coreProperties>
</file>