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74" w:lineRule="exac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556221</wp:posOffset>
            </wp:positionH>
            <wp:positionV relativeFrom="paragraph">
              <wp:posOffset>129222</wp:posOffset>
            </wp:positionV>
            <wp:extent cx="980897" cy="1009980"/>
            <wp:effectExtent l="0" t="0" r="0" b="0"/>
            <wp:wrapNone/>
            <wp:docPr id="2" name="Image 2" descr="DPH-logo-B&amp;W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DPH-logo-B&amp;W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897" cy="1009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</w:rPr>
        <w:t>MA</w:t>
      </w:r>
      <w:r>
        <w:rPr>
          <w:color w:val="1F487C"/>
          <w:spacing w:val="-8"/>
        </w:rPr>
        <w:t> </w:t>
      </w:r>
      <w:r>
        <w:rPr>
          <w:color w:val="1F487C"/>
        </w:rPr>
        <w:t>Prescription</w:t>
      </w:r>
      <w:r>
        <w:rPr>
          <w:color w:val="1F487C"/>
          <w:spacing w:val="-5"/>
        </w:rPr>
        <w:t> </w:t>
      </w:r>
      <w:r>
        <w:rPr>
          <w:color w:val="1F487C"/>
        </w:rPr>
        <w:t>Monitoring</w:t>
      </w:r>
      <w:r>
        <w:rPr>
          <w:color w:val="1F487C"/>
          <w:spacing w:val="-5"/>
        </w:rPr>
        <w:t> </w:t>
      </w:r>
      <w:r>
        <w:rPr>
          <w:color w:val="1F487C"/>
        </w:rPr>
        <w:t>Program</w:t>
      </w:r>
      <w:r>
        <w:rPr>
          <w:color w:val="1F487C"/>
          <w:spacing w:val="-5"/>
        </w:rPr>
        <w:t> </w:t>
      </w:r>
      <w:r>
        <w:rPr>
          <w:color w:val="1F487C"/>
        </w:rPr>
        <w:t>County-Level</w:t>
      </w:r>
      <w:r>
        <w:rPr>
          <w:color w:val="1F487C"/>
          <w:spacing w:val="-4"/>
        </w:rPr>
        <w:t> Data</w:t>
      </w:r>
    </w:p>
    <w:p>
      <w:pPr>
        <w:pStyle w:val="Title"/>
        <w:ind w:right="1"/>
      </w:pPr>
      <w:r>
        <w:rPr>
          <w:color w:val="1F487C"/>
        </w:rPr>
        <w:t>Measures</w:t>
      </w:r>
      <w:r>
        <w:rPr>
          <w:color w:val="1F487C"/>
          <w:spacing w:val="-2"/>
        </w:rPr>
        <w:t> </w:t>
      </w:r>
      <w:r>
        <w:rPr>
          <w:color w:val="1F487C"/>
        </w:rPr>
        <w:t>(Calendar</w:t>
      </w:r>
      <w:r>
        <w:rPr>
          <w:color w:val="1F487C"/>
          <w:spacing w:val="-3"/>
        </w:rPr>
        <w:t> </w:t>
      </w:r>
      <w:r>
        <w:rPr>
          <w:color w:val="1F487C"/>
        </w:rPr>
        <w:t>Year</w:t>
      </w:r>
      <w:r>
        <w:rPr>
          <w:color w:val="1F487C"/>
          <w:spacing w:val="-3"/>
        </w:rPr>
        <w:t> </w:t>
      </w:r>
      <w:r>
        <w:rPr>
          <w:color w:val="1F487C"/>
        </w:rPr>
        <w:t>2023</w:t>
      </w:r>
      <w:r>
        <w:rPr>
          <w:color w:val="1F487C"/>
          <w:spacing w:val="-3"/>
        </w:rPr>
        <w:t> </w:t>
      </w:r>
      <w:r>
        <w:rPr>
          <w:color w:val="1F487C"/>
        </w:rPr>
        <w:t>Quarter</w:t>
      </w:r>
      <w:r>
        <w:rPr>
          <w:color w:val="1F487C"/>
          <w:spacing w:val="-2"/>
        </w:rPr>
        <w:t> </w:t>
      </w:r>
      <w:r>
        <w:rPr>
          <w:color w:val="1F487C"/>
        </w:rPr>
        <w:t>4</w:t>
      </w:r>
      <w:r>
        <w:rPr>
          <w:color w:val="1F487C"/>
          <w:spacing w:val="-3"/>
        </w:rPr>
        <w:t> </w:t>
      </w:r>
      <w:r>
        <w:rPr>
          <w:color w:val="1F487C"/>
        </w:rPr>
        <w:t>and</w:t>
      </w:r>
      <w:r>
        <w:rPr>
          <w:color w:val="1F487C"/>
          <w:spacing w:val="-3"/>
        </w:rPr>
        <w:t> </w:t>
      </w:r>
      <w:r>
        <w:rPr>
          <w:color w:val="1F487C"/>
        </w:rPr>
        <w:t>2024</w:t>
      </w:r>
      <w:r>
        <w:rPr>
          <w:color w:val="1F487C"/>
          <w:spacing w:val="-3"/>
        </w:rPr>
        <w:t> </w:t>
      </w:r>
      <w:r>
        <w:rPr>
          <w:color w:val="1F487C"/>
        </w:rPr>
        <w:t>Quarter</w:t>
      </w:r>
      <w:r>
        <w:rPr>
          <w:color w:val="1F487C"/>
          <w:spacing w:val="-2"/>
        </w:rPr>
        <w:t> </w:t>
      </w:r>
      <w:r>
        <w:rPr>
          <w:color w:val="1F487C"/>
          <w:spacing w:val="-5"/>
        </w:rPr>
        <w:t>1)</w:t>
      </w:r>
    </w:p>
    <w:p>
      <w:pPr>
        <w:spacing w:before="291"/>
        <w:ind w:left="3942" w:right="0" w:firstLine="0"/>
        <w:jc w:val="left"/>
        <w:rPr>
          <w:i/>
          <w:sz w:val="18"/>
        </w:rPr>
      </w:pPr>
      <w:r>
        <w:rPr>
          <w:i/>
          <w:sz w:val="18"/>
        </w:rPr>
        <w:t>Massachusetts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Department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Public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Health,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Bureau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Health</w:t>
      </w:r>
      <w:r>
        <w:rPr>
          <w:i/>
          <w:spacing w:val="-4"/>
          <w:sz w:val="18"/>
        </w:rPr>
        <w:t> </w:t>
      </w:r>
      <w:r>
        <w:rPr>
          <w:rFonts w:ascii="Calibri"/>
          <w:i/>
          <w:sz w:val="20"/>
        </w:rPr>
        <w:t>Professions</w:t>
      </w:r>
      <w:r>
        <w:rPr>
          <w:rFonts w:ascii="Calibri"/>
          <w:i/>
          <w:spacing w:val="-4"/>
          <w:sz w:val="20"/>
        </w:rPr>
        <w:t> </w:t>
      </w:r>
      <w:r>
        <w:rPr>
          <w:rFonts w:ascii="Calibri"/>
          <w:i/>
          <w:sz w:val="20"/>
        </w:rPr>
        <w:t>Licensure,</w:t>
      </w:r>
      <w:r>
        <w:rPr>
          <w:rFonts w:ascii="Calibri"/>
          <w:i/>
          <w:spacing w:val="-4"/>
          <w:sz w:val="20"/>
        </w:rPr>
        <w:t> </w:t>
      </w:r>
      <w:r>
        <w:rPr>
          <w:i/>
          <w:sz w:val="18"/>
        </w:rPr>
        <w:t>April</w:t>
      </w:r>
      <w:r>
        <w:rPr>
          <w:i/>
          <w:spacing w:val="-2"/>
          <w:sz w:val="18"/>
        </w:rPr>
        <w:t> </w:t>
      </w:r>
      <w:r>
        <w:rPr>
          <w:i/>
          <w:spacing w:val="-4"/>
          <w:sz w:val="18"/>
        </w:rPr>
        <w:t>2024</w:t>
      </w:r>
    </w:p>
    <w:p>
      <w:pPr>
        <w:spacing w:line="240" w:lineRule="auto" w:before="142"/>
        <w:rPr>
          <w:i/>
          <w:sz w:val="22"/>
        </w:rPr>
      </w:pPr>
    </w:p>
    <w:p>
      <w:pPr>
        <w:pStyle w:val="BodyText"/>
        <w:spacing w:before="1"/>
        <w:ind w:left="227" w:right="1106"/>
      </w:pPr>
      <w:r>
        <w:rPr/>
        <w:t>The Department of Public Health’s (DPH) Prescription Drug Monitoring Program (PMP) serves as a repository of data for all prescription drugs dispensed</w:t>
      </w:r>
      <w:r>
        <w:rPr>
          <w:spacing w:val="-2"/>
        </w:rPr>
        <w:t> </w:t>
      </w:r>
      <w:r>
        <w:rPr/>
        <w:t>statewide,</w:t>
      </w:r>
      <w:r>
        <w:rPr>
          <w:spacing w:val="-1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prescriptions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sought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illicit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non-medical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thus</w:t>
      </w:r>
      <w:r>
        <w:rPr>
          <w:spacing w:val="-3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highest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for abuse</w:t>
      </w:r>
      <w:r>
        <w:rPr>
          <w:spacing w:val="-1"/>
        </w:rPr>
        <w:t> </w:t>
      </w:r>
      <w:r>
        <w:rPr/>
        <w:t>(federal</w:t>
      </w:r>
      <w:r>
        <w:rPr>
          <w:spacing w:val="-1"/>
        </w:rPr>
        <w:t> </w:t>
      </w:r>
      <w:r>
        <w:rPr/>
        <w:t>Schedules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V, including</w:t>
      </w:r>
      <w:r>
        <w:rPr>
          <w:spacing w:val="-1"/>
        </w:rPr>
        <w:t> </w:t>
      </w:r>
      <w:r>
        <w:rPr/>
        <w:t>certain narcotics,</w:t>
      </w:r>
      <w:r>
        <w:rPr>
          <w:spacing w:val="-1"/>
        </w:rPr>
        <w:t> </w:t>
      </w:r>
      <w:r>
        <w:rPr/>
        <w:t>stimulants</w:t>
      </w:r>
      <w:r>
        <w:rPr>
          <w:spacing w:val="-1"/>
        </w:rPr>
        <w:t> </w:t>
      </w:r>
      <w:r>
        <w:rPr/>
        <w:t>and sedatives).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PMP</w:t>
      </w:r>
      <w:r>
        <w:rPr>
          <w:spacing w:val="-1"/>
        </w:rPr>
        <w:t> </w:t>
      </w:r>
      <w:r>
        <w:rPr/>
        <w:t>also enables</w:t>
      </w:r>
      <w:r>
        <w:rPr>
          <w:spacing w:val="-1"/>
        </w:rPr>
        <w:t> </w:t>
      </w:r>
      <w:r>
        <w:rPr/>
        <w:t>prescribers and</w:t>
      </w:r>
      <w:r>
        <w:rPr>
          <w:spacing w:val="-1"/>
        </w:rPr>
        <w:t> </w:t>
      </w:r>
      <w:r>
        <w:rPr/>
        <w:t>dispensers</w:t>
      </w:r>
      <w:r>
        <w:rPr>
          <w:spacing w:val="-1"/>
        </w:rPr>
        <w:t> </w:t>
      </w:r>
      <w:r>
        <w:rPr/>
        <w:t>to access</w:t>
      </w:r>
      <w:r>
        <w:rPr>
          <w:spacing w:val="-1"/>
        </w:rPr>
        <w:t> </w:t>
      </w:r>
      <w:r>
        <w:rPr/>
        <w:t>a patient’s prescription history and can be used as a clinical decision-making tool, allowing the provider to have a holistic view of the patient’s </w:t>
      </w:r>
      <w:r>
        <w:rPr>
          <w:spacing w:val="-2"/>
        </w:rPr>
        <w:t>medications.</w:t>
      </w:r>
    </w:p>
    <w:p>
      <w:pPr>
        <w:pStyle w:val="BodyText"/>
      </w:pPr>
    </w:p>
    <w:p>
      <w:pPr>
        <w:pStyle w:val="BodyText"/>
        <w:ind w:left="227" w:right="1106"/>
      </w:pPr>
      <w:r>
        <w:rPr/>
        <w:t>When interpreting PMP county-level data, it is important to emphasize that increases or decreases in a single measure may not indicate an increase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decrease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prescription</w:t>
      </w:r>
      <w:r>
        <w:rPr>
          <w:spacing w:val="-2"/>
        </w:rPr>
        <w:t> </w:t>
      </w:r>
      <w:r>
        <w:rPr/>
        <w:t>misuse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abuse.</w:t>
      </w:r>
      <w:r>
        <w:rPr>
          <w:spacing w:val="-3"/>
        </w:rPr>
        <w:t> </w:t>
      </w:r>
      <w:r>
        <w:rPr/>
        <w:t>Put</w:t>
      </w:r>
      <w:r>
        <w:rPr>
          <w:spacing w:val="-2"/>
        </w:rPr>
        <w:t> </w:t>
      </w:r>
      <w:r>
        <w:rPr/>
        <w:t>simply,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always</w:t>
      </w:r>
      <w:r>
        <w:rPr>
          <w:spacing w:val="-3"/>
        </w:rPr>
        <w:t> </w:t>
      </w:r>
      <w:r>
        <w:rPr/>
        <w:t>equate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abuse.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many</w:t>
      </w:r>
      <w:r>
        <w:rPr>
          <w:spacing w:val="-3"/>
        </w:rPr>
        <w:t> </w:t>
      </w:r>
      <w:r>
        <w:rPr/>
        <w:t>factors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</w:t>
      </w:r>
      <w:r>
        <w:rPr/>
        <w:t>explain an unusually high rate of prescribing in a given area. For instance, an area which contains a large number of residents in long-term care facilities may result in a high rate of opioid prescribing.</w:t>
      </w:r>
    </w:p>
    <w:p>
      <w:pPr>
        <w:pStyle w:val="BodyText"/>
      </w:pPr>
    </w:p>
    <w:p>
      <w:pPr>
        <w:pStyle w:val="BodyText"/>
        <w:ind w:left="227" w:right="1143"/>
      </w:pPr>
      <w:r>
        <w:rPr/>
        <w:t>These</w:t>
      </w:r>
      <w:r>
        <w:rPr>
          <w:spacing w:val="-2"/>
        </w:rPr>
        <w:t> </w:t>
      </w:r>
      <w:r>
        <w:rPr/>
        <w:t>datasets</w:t>
      </w:r>
      <w:r>
        <w:rPr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discussions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opioid</w:t>
      </w:r>
      <w:r>
        <w:rPr>
          <w:spacing w:val="-3"/>
        </w:rPr>
        <w:t> </w:t>
      </w:r>
      <w:r>
        <w:rPr/>
        <w:t>prescribing,</w:t>
      </w:r>
      <w:r>
        <w:rPr>
          <w:spacing w:val="-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baseline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better</w:t>
      </w:r>
      <w:r>
        <w:rPr>
          <w:spacing w:val="-3"/>
        </w:rPr>
        <w:t> </w:t>
      </w:r>
      <w:r>
        <w:rPr/>
        <w:t>inform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and allow the state and stakeholders to more meaningfully measure whether policy initiatives are effective.</w:t>
      </w:r>
    </w:p>
    <w:p>
      <w:pPr>
        <w:pStyle w:val="BodyText"/>
        <w:spacing w:before="268"/>
        <w:ind w:left="227" w:right="1106"/>
      </w:pPr>
      <w:r>
        <w:rPr/>
        <w:t>Effective</w:t>
      </w:r>
      <w:r>
        <w:rPr>
          <w:spacing w:val="-3"/>
        </w:rPr>
        <w:t> </w:t>
      </w:r>
      <w:r>
        <w:rPr/>
        <w:t>October</w:t>
      </w:r>
      <w:r>
        <w:rPr>
          <w:spacing w:val="-3"/>
        </w:rPr>
        <w:t> </w:t>
      </w:r>
      <w:r>
        <w:rPr/>
        <w:t>6,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hydrocodone</w:t>
      </w:r>
      <w:r>
        <w:rPr>
          <w:spacing w:val="-3"/>
        </w:rPr>
        <w:t> </w:t>
      </w:r>
      <w:r>
        <w:rPr/>
        <w:t>combination</w:t>
      </w:r>
      <w:r>
        <w:rPr>
          <w:spacing w:val="-3"/>
        </w:rPr>
        <w:t> </w:t>
      </w:r>
      <w:r>
        <w:rPr/>
        <w:t>drug</w:t>
      </w:r>
      <w:r>
        <w:rPr>
          <w:spacing w:val="-3"/>
        </w:rPr>
        <w:t> </w:t>
      </w:r>
      <w:r>
        <w:rPr/>
        <w:t>(HCD)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(e.g.,</w:t>
      </w:r>
      <w:r>
        <w:rPr>
          <w:spacing w:val="-3"/>
        </w:rPr>
        <w:t> </w:t>
      </w:r>
      <w:r>
        <w:rPr/>
        <w:t>Vicodin)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reclassified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II.</w:t>
      </w:r>
      <w:r>
        <w:rPr>
          <w:spacing w:val="40"/>
        </w:rPr>
        <w:t> </w:t>
      </w:r>
      <w:r>
        <w:rPr/>
        <w:t>This reclassification during the last quarter of 2014 makes comparisons over time difficult to interpret. Beginning with CY 2015 data, reports of Schedule II products will include all HCD prescriptions.</w:t>
      </w:r>
    </w:p>
    <w:p>
      <w:pPr>
        <w:pStyle w:val="BodyText"/>
      </w:pPr>
    </w:p>
    <w:p>
      <w:pPr>
        <w:pStyle w:val="BodyText"/>
        <w:ind w:left="228" w:right="1106" w:hanging="1"/>
      </w:pPr>
      <w:r>
        <w:rPr/>
        <w:t>Individuals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concern</w:t>
      </w:r>
      <w:r>
        <w:rPr>
          <w:spacing w:val="-1"/>
        </w:rPr>
        <w:t> </w:t>
      </w:r>
      <w:r>
        <w:rPr/>
        <w:t>"thresholds"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3-month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period.</w:t>
      </w:r>
      <w:r>
        <w:rPr>
          <w:spacing w:val="-2"/>
        </w:rPr>
        <w:t> </w:t>
      </w:r>
      <w:r>
        <w:rPr/>
        <w:t>MDPH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annual</w:t>
      </w:r>
      <w:r>
        <w:rPr>
          <w:spacing w:val="-1"/>
        </w:rPr>
        <w:t> </w:t>
      </w:r>
      <w:r>
        <w:rPr/>
        <w:t>county- level</w:t>
      </w:r>
      <w:r>
        <w:rPr>
          <w:spacing w:val="-3"/>
        </w:rPr>
        <w:t> </w:t>
      </w:r>
      <w:r>
        <w:rPr/>
        <w:t>reports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thresholds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12-month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period.</w:t>
      </w:r>
      <w:r>
        <w:rPr>
          <w:spacing w:val="-3"/>
        </w:rPr>
        <w:t> </w:t>
      </w:r>
      <w:r>
        <w:rPr/>
        <w:t>Although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numbers</w:t>
      </w:r>
      <w:r>
        <w:rPr>
          <w:spacing w:val="-3"/>
        </w:rPr>
        <w:t> </w:t>
      </w:r>
      <w:r>
        <w:rPr/>
        <w:t>(or</w:t>
      </w:r>
      <w:r>
        <w:rPr>
          <w:spacing w:val="-3"/>
        </w:rPr>
        <w:t> </w:t>
      </w:r>
      <w:r>
        <w:rPr/>
        <w:t>rates)</w:t>
      </w:r>
      <w:r>
        <w:rPr>
          <w:spacing w:val="-2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appear</w:t>
      </w:r>
      <w:r>
        <w:rPr>
          <w:spacing w:val="-3"/>
        </w:rPr>
        <w:t> </w:t>
      </w:r>
      <w:r>
        <w:rPr/>
        <w:t>to be</w:t>
      </w:r>
      <w:r>
        <w:rPr>
          <w:spacing w:val="-3"/>
        </w:rPr>
        <w:t> </w:t>
      </w:r>
      <w:r>
        <w:rPr/>
        <w:t>comparable, they represent different time periods and are </w:t>
      </w:r>
      <w:r>
        <w:rPr>
          <w:b/>
        </w:rPr>
        <w:t>NOT </w:t>
      </w:r>
      <w:r>
        <w:rPr/>
        <w:t>an apples-to-apples comparison. The results are only comparable when the thresholds (e.g., 4 different providers and 4 different pharmacies), time interval (e.g. over a three-month period), and drug products analyzed (e.g. Schedule II opioids) are the same. Meaning, the total number (or rates) of individuals who received Schedule II-V opioid prescriptions from 4 or more providers and had them filled at 4 or more pharmacies in a 3-month period cannot and should not be compared with the total number of individuals (or rates) who received Schedule II-V opioid prescriptions from 4 or more providers and had them filled at 4 or more pharmacies in a</w:t>
      </w:r>
    </w:p>
    <w:p>
      <w:pPr>
        <w:pStyle w:val="BodyText"/>
        <w:tabs>
          <w:tab w:pos="13455" w:val="left" w:leader="none"/>
        </w:tabs>
        <w:ind w:left="105"/>
      </w:pPr>
      <w:r>
        <w:rPr>
          <w:spacing w:val="74"/>
          <w:u w:val="single"/>
        </w:rPr>
        <w:t> </w:t>
      </w:r>
      <w:r>
        <w:rPr>
          <w:spacing w:val="-2"/>
          <w:u w:val="single"/>
        </w:rPr>
        <w:t>12-month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period.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20"/>
      </w:pPr>
      <w:r>
        <w:rPr/>
        <w:t>MA</w:t>
      </w:r>
      <w:r>
        <w:rPr>
          <w:spacing w:val="-9"/>
        </w:rPr>
        <w:t> </w:t>
      </w:r>
      <w:r>
        <w:rPr/>
        <w:t>Prescription</w:t>
      </w:r>
      <w:r>
        <w:rPr>
          <w:spacing w:val="-8"/>
        </w:rPr>
        <w:t> </w:t>
      </w:r>
      <w:r>
        <w:rPr/>
        <w:t>Monitoring</w:t>
      </w:r>
      <w:r>
        <w:rPr>
          <w:spacing w:val="-8"/>
        </w:rPr>
        <w:t> </w:t>
      </w:r>
      <w:r>
        <w:rPr/>
        <w:t>Program:</w:t>
      </w:r>
      <w:r>
        <w:rPr>
          <w:spacing w:val="-8"/>
        </w:rPr>
        <w:t> </w:t>
      </w:r>
      <w:r>
        <w:rPr/>
        <w:t>October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December</w:t>
      </w:r>
      <w:r>
        <w:rPr>
          <w:spacing w:val="-7"/>
        </w:rPr>
        <w:t> </w:t>
      </w:r>
      <w:r>
        <w:rPr/>
        <w:t>2023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January</w:t>
      </w:r>
      <w:r>
        <w:rPr>
          <w:spacing w:val="-7"/>
        </w:rPr>
        <w:t> </w:t>
      </w:r>
      <w:r>
        <w:rPr/>
        <w:t>–</w:t>
      </w:r>
      <w:r>
        <w:rPr>
          <w:spacing w:val="-9"/>
        </w:rPr>
        <w:t> </w:t>
      </w:r>
      <w:r>
        <w:rPr/>
        <w:t>March</w:t>
      </w:r>
      <w:r>
        <w:rPr>
          <w:spacing w:val="-7"/>
        </w:rPr>
        <w:t> </w:t>
      </w:r>
      <w:r>
        <w:rPr>
          <w:spacing w:val="-4"/>
        </w:rPr>
        <w:t>2024</w:t>
      </w:r>
    </w:p>
    <w:p>
      <w:pPr>
        <w:spacing w:after="0"/>
        <w:sectPr>
          <w:footerReference w:type="default" r:id="rId5"/>
          <w:type w:val="continuous"/>
          <w:pgSz w:w="15840" w:h="12240" w:orient="landscape"/>
          <w:pgMar w:header="0" w:footer="845" w:top="1220" w:bottom="1040" w:left="600" w:right="800"/>
          <w:pgNumType w:start="1"/>
        </w:sectPr>
      </w:pPr>
    </w:p>
    <w:p>
      <w:pPr>
        <w:spacing w:before="44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October</w:t>
      </w:r>
      <w:r>
        <w:rPr>
          <w:rFonts w:ascii="Calibri"/>
          <w:b/>
          <w:spacing w:val="-9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December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2023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(Quarter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5"/>
          <w:sz w:val="22"/>
        </w:rPr>
        <w:t>4)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1320"/>
        <w:gridCol w:w="1459"/>
        <w:gridCol w:w="2094"/>
        <w:gridCol w:w="1767"/>
        <w:gridCol w:w="1975"/>
        <w:gridCol w:w="1568"/>
        <w:gridCol w:w="1682"/>
      </w:tblGrid>
      <w:tr>
        <w:trPr>
          <w:trHeight w:val="1130" w:hRule="atLeast"/>
        </w:trPr>
        <w:tc>
          <w:tcPr>
            <w:tcW w:w="2223" w:type="dxa"/>
          </w:tcPr>
          <w:p>
            <w:pPr>
              <w:pStyle w:val="TableParagraph"/>
              <w:spacing w:line="240" w:lineRule="auto" w:before="168"/>
              <w:ind w:left="41"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  <w:p>
            <w:pPr>
              <w:pStyle w:val="TableParagraph"/>
              <w:spacing w:line="259" w:lineRule="auto" w:before="20"/>
              <w:ind w:left="109" w:right="76" w:firstLine="9"/>
              <w:rPr>
                <w:sz w:val="16"/>
              </w:rPr>
            </w:pPr>
            <w:r>
              <w:rPr>
                <w:spacing w:val="-2"/>
                <w:sz w:val="16"/>
              </w:rPr>
              <w:t>(County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classifications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by patient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zip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code;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state </w:t>
            </w:r>
            <w:r>
              <w:rPr>
                <w:sz w:val="16"/>
              </w:rPr>
              <w:t>must also = MA)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168" w:right="144" w:firstLine="1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Census Population*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66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Schedule II Opioid </w:t>
            </w:r>
            <w:r>
              <w:rPr>
                <w:b/>
                <w:spacing w:val="-2"/>
                <w:sz w:val="18"/>
              </w:rPr>
              <w:t>Prescriptions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227" w:right="216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Total Number of Schedule II Opioid Solid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Dosage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Units</w:t>
            </w:r>
          </w:p>
        </w:tc>
        <w:tc>
          <w:tcPr>
            <w:tcW w:w="1767" w:type="dxa"/>
          </w:tcPr>
          <w:p>
            <w:pPr>
              <w:pStyle w:val="TableParagraph"/>
              <w:spacing w:line="264" w:lineRule="auto" w:before="118"/>
              <w:ind w:left="98" w:right="78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Individuals Receiving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Opioid </w:t>
            </w:r>
            <w:r>
              <w:rPr>
                <w:b/>
                <w:spacing w:val="-2"/>
                <w:sz w:val="18"/>
              </w:rPr>
              <w:t>Prescription</w:t>
            </w:r>
          </w:p>
        </w:tc>
        <w:tc>
          <w:tcPr>
            <w:tcW w:w="1975" w:type="dxa"/>
          </w:tcPr>
          <w:p>
            <w:pPr>
              <w:pStyle w:val="TableParagraph"/>
              <w:spacing w:line="264" w:lineRule="auto" w:before="118"/>
              <w:ind w:left="48" w:right="28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% of Individuals Receiving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Schedule II Opioid Prescription (of total population)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Individuals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with Activity of </w:t>
            </w:r>
            <w:r>
              <w:rPr>
                <w:b/>
                <w:spacing w:val="-2"/>
                <w:sz w:val="18"/>
              </w:rPr>
              <w:t>Concern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4" w:lineRule="auto" w:before="118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Individuals with Activity of </w:t>
            </w:r>
            <w:r>
              <w:rPr>
                <w:b/>
                <w:spacing w:val="-2"/>
                <w:sz w:val="18"/>
              </w:rPr>
              <w:t>Concern</w:t>
            </w:r>
          </w:p>
          <w:p>
            <w:pPr>
              <w:pStyle w:val="TableParagraph"/>
              <w:spacing w:line="240" w:lineRule="auto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(per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1,000)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0"/>
              <w:rPr>
                <w:sz w:val="20"/>
              </w:rPr>
            </w:pP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228,996</w:t>
            </w:r>
          </w:p>
        </w:tc>
        <w:tc>
          <w:tcPr>
            <w:tcW w:w="1459" w:type="dxa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20,351</w:t>
            </w:r>
          </w:p>
        </w:tc>
        <w:tc>
          <w:tcPr>
            <w:tcW w:w="2094" w:type="dxa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925,764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8,914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68" w:type="dxa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Berkshire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129,026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10,514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541,631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4,629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7"/>
              <w:rPr>
                <w:sz w:val="20"/>
              </w:rPr>
            </w:pPr>
            <w:r>
              <w:rPr>
                <w:spacing w:val="-2"/>
                <w:sz w:val="20"/>
              </w:rPr>
              <w:t>Bristol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579,200</w:t>
            </w:r>
          </w:p>
        </w:tc>
        <w:tc>
          <w:tcPr>
            <w:tcW w:w="1459" w:type="dxa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49,508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2,856,971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2"/>
                <w:sz w:val="20"/>
              </w:rPr>
              <w:t>20,075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2"/>
              <w:rPr>
                <w:sz w:val="20"/>
              </w:rPr>
            </w:pPr>
            <w:r>
              <w:rPr>
                <w:spacing w:val="-2"/>
                <w:sz w:val="20"/>
              </w:rPr>
              <w:t>Dukes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20,600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73" w:right="54"/>
              <w:rPr>
                <w:sz w:val="20"/>
              </w:rPr>
            </w:pPr>
            <w:r>
              <w:rPr>
                <w:spacing w:val="-4"/>
                <w:sz w:val="20"/>
              </w:rPr>
              <w:t>1,162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58,327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Essex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809,829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49,907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2,373,506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23,267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5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71,029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73" w:right="54"/>
              <w:rPr>
                <w:sz w:val="20"/>
              </w:rPr>
            </w:pPr>
            <w:r>
              <w:rPr>
                <w:spacing w:val="-4"/>
                <w:sz w:val="20"/>
              </w:rPr>
              <w:t>6,713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390,648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2,752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Hampden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465,825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36,774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1,970,646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16,609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Hampshire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162,308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11,800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681,399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5,075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3"/>
              <w:rPr>
                <w:sz w:val="20"/>
              </w:rPr>
            </w:pPr>
            <w:r>
              <w:rPr>
                <w:spacing w:val="-2"/>
                <w:sz w:val="20"/>
              </w:rPr>
              <w:t>Middlesex</w:t>
            </w:r>
          </w:p>
        </w:tc>
        <w:tc>
          <w:tcPr>
            <w:tcW w:w="132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1,632,002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73,760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3,340,551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36,941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6"/>
              <w:rPr>
                <w:sz w:val="20"/>
              </w:rPr>
            </w:pPr>
            <w:r>
              <w:rPr>
                <w:spacing w:val="-2"/>
                <w:sz w:val="20"/>
              </w:rPr>
              <w:t>Nantucket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14,255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30,065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Norfolk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725,981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38,477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1,913,472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18,481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530,819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37,785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2,010,145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17,501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Suffolk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797,936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34,211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1,821,638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16,122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16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862,111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55,357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3,004,354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25,041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5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132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7,029,917</w:t>
            </w:r>
          </w:p>
        </w:tc>
        <w:tc>
          <w:tcPr>
            <w:tcW w:w="1459" w:type="dxa"/>
          </w:tcPr>
          <w:p>
            <w:pPr>
              <w:pStyle w:val="TableParagraph"/>
              <w:ind w:left="74" w:right="54"/>
              <w:rPr>
                <w:sz w:val="20"/>
              </w:rPr>
            </w:pPr>
            <w:r>
              <w:rPr>
                <w:spacing w:val="-2"/>
                <w:sz w:val="20"/>
              </w:rPr>
              <w:t>427,000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21,919,116</w:t>
            </w:r>
          </w:p>
        </w:tc>
        <w:tc>
          <w:tcPr>
            <w:tcW w:w="176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195,310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68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>
        <w:trPr>
          <w:trHeight w:val="3213" w:hRule="atLeast"/>
        </w:trPr>
        <w:tc>
          <w:tcPr>
            <w:tcW w:w="14088" w:type="dxa"/>
            <w:gridSpan w:val="8"/>
          </w:tcPr>
          <w:p>
            <w:pPr>
              <w:pStyle w:val="TableParagraph"/>
              <w:spacing w:line="259" w:lineRule="auto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"thresholds"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3-month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period;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CY2023-Q4 Note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2: Counts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greater than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but 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reported.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reported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(NR).</w:t>
            </w:r>
          </w:p>
          <w:p>
            <w:pPr>
              <w:pStyle w:val="TableParagraph"/>
              <w:spacing w:line="259" w:lineRule="auto" w:before="0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opioid prescriptions during the specified time period.</w:t>
            </w:r>
          </w:p>
          <w:p>
            <w:pPr>
              <w:pStyle w:val="TableParagraph"/>
              <w:spacing w:line="259" w:lineRule="auto" w:before="0"/>
              <w:ind w:left="39" w:right="1591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counties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exclude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assigned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inaccurate zip code/city town information reported to the program.</w:t>
            </w:r>
          </w:p>
          <w:p>
            <w:pPr>
              <w:pStyle w:val="TableParagraph"/>
              <w:spacing w:line="259" w:lineRule="auto" w:before="0"/>
              <w:ind w:left="39" w:right="711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"Number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Prescription"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slightly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presented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 state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counting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period.</w:t>
            </w:r>
          </w:p>
          <w:p>
            <w:pPr>
              <w:pStyle w:val="TableParagraph"/>
              <w:spacing w:line="259" w:lineRule="auto" w:before="0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PMP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preliminary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updates.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PMP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database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continuously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updated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correction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data submitted by pharmacies. This data were extracted 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4/10/2024; Release Date: Apr 2024.</w:t>
            </w:r>
          </w:p>
          <w:p>
            <w:pPr>
              <w:pStyle w:val="TableParagraph"/>
              <w:spacing w:line="229" w:lineRule="exact" w:before="0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7: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Beginning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quarter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2016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Veteran's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(VA)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submitting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PMP.</w:t>
            </w:r>
          </w:p>
          <w:p>
            <w:pPr>
              <w:pStyle w:val="TableParagraph"/>
              <w:spacing w:line="240" w:lineRule="atLeast" w:before="0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8: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Sex,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Municipality,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UMass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Donahue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2022 Note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9: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supressed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values.</w:t>
            </w:r>
          </w:p>
        </w:tc>
      </w:tr>
    </w:tbl>
    <w:p>
      <w:pPr>
        <w:spacing w:after="0" w:line="240" w:lineRule="atLeast"/>
        <w:jc w:val="left"/>
        <w:rPr>
          <w:sz w:val="20"/>
        </w:rPr>
        <w:sectPr>
          <w:pgSz w:w="15840" w:h="12240" w:orient="landscape"/>
          <w:pgMar w:header="0" w:footer="845" w:top="820" w:bottom="1060" w:left="600" w:right="800"/>
        </w:sectPr>
      </w:pPr>
    </w:p>
    <w:p>
      <w:pPr>
        <w:spacing w:before="44"/>
        <w:ind w:left="12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January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March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z w:val="22"/>
        </w:rPr>
        <w:t>2024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(Quarter</w:t>
      </w:r>
      <w:r>
        <w:rPr>
          <w:rFonts w:ascii="Calibri" w:hAnsi="Calibri"/>
          <w:b/>
          <w:spacing w:val="-8"/>
          <w:sz w:val="22"/>
        </w:rPr>
        <w:t> </w:t>
      </w:r>
      <w:r>
        <w:rPr>
          <w:rFonts w:ascii="Calibri" w:hAnsi="Calibri"/>
          <w:b/>
          <w:spacing w:val="-5"/>
          <w:sz w:val="22"/>
        </w:rPr>
        <w:t>1)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3"/>
        <w:gridCol w:w="1320"/>
        <w:gridCol w:w="1459"/>
        <w:gridCol w:w="2094"/>
        <w:gridCol w:w="1767"/>
        <w:gridCol w:w="1975"/>
        <w:gridCol w:w="1568"/>
        <w:gridCol w:w="1682"/>
      </w:tblGrid>
      <w:tr>
        <w:trPr>
          <w:trHeight w:val="1130" w:hRule="atLeast"/>
        </w:trPr>
        <w:tc>
          <w:tcPr>
            <w:tcW w:w="2223" w:type="dxa"/>
          </w:tcPr>
          <w:p>
            <w:pPr>
              <w:pStyle w:val="TableParagraph"/>
              <w:spacing w:line="240" w:lineRule="auto" w:before="168"/>
              <w:ind w:left="41"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  <w:p>
            <w:pPr>
              <w:pStyle w:val="TableParagraph"/>
              <w:spacing w:line="259" w:lineRule="auto" w:before="20"/>
              <w:ind w:left="109" w:right="76" w:firstLine="9"/>
              <w:rPr>
                <w:sz w:val="16"/>
              </w:rPr>
            </w:pPr>
            <w:r>
              <w:rPr>
                <w:spacing w:val="-2"/>
                <w:sz w:val="16"/>
              </w:rPr>
              <w:t>(County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classifications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are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by patient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zip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code;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patient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state </w:t>
            </w:r>
            <w:r>
              <w:rPr>
                <w:sz w:val="16"/>
              </w:rPr>
              <w:t>must also = MA)</w:t>
            </w:r>
          </w:p>
        </w:tc>
        <w:tc>
          <w:tcPr>
            <w:tcW w:w="1320" w:type="dxa"/>
          </w:tcPr>
          <w:p>
            <w:pPr>
              <w:pStyle w:val="TableParagraph"/>
              <w:spacing w:line="240" w:lineRule="auto" w:before="126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168" w:right="144" w:firstLine="1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Census Population*</w:t>
            </w:r>
          </w:p>
        </w:tc>
        <w:tc>
          <w:tcPr>
            <w:tcW w:w="1459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66"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Schedule II Opioid </w:t>
            </w:r>
            <w:r>
              <w:rPr>
                <w:b/>
                <w:spacing w:val="-2"/>
                <w:sz w:val="18"/>
              </w:rPr>
              <w:t>Prescriptions</w:t>
            </w:r>
          </w:p>
        </w:tc>
        <w:tc>
          <w:tcPr>
            <w:tcW w:w="2094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left="227" w:right="216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Total Number of Schedule II Opioid Solid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Dosage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Units</w:t>
            </w:r>
          </w:p>
        </w:tc>
        <w:tc>
          <w:tcPr>
            <w:tcW w:w="1767" w:type="dxa"/>
          </w:tcPr>
          <w:p>
            <w:pPr>
              <w:pStyle w:val="TableParagraph"/>
              <w:spacing w:line="264" w:lineRule="auto" w:before="118"/>
              <w:ind w:left="98" w:right="78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Individuals Receiving </w:t>
            </w:r>
            <w:r>
              <w:rPr>
                <w:b/>
                <w:sz w:val="18"/>
              </w:rPr>
              <w:t>Schedule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Opioid </w:t>
            </w:r>
            <w:r>
              <w:rPr>
                <w:b/>
                <w:spacing w:val="-2"/>
                <w:sz w:val="18"/>
              </w:rPr>
              <w:t>Prescription</w:t>
            </w:r>
          </w:p>
        </w:tc>
        <w:tc>
          <w:tcPr>
            <w:tcW w:w="1975" w:type="dxa"/>
          </w:tcPr>
          <w:p>
            <w:pPr>
              <w:pStyle w:val="TableParagraph"/>
              <w:spacing w:line="264" w:lineRule="auto" w:before="118"/>
              <w:ind w:left="48" w:right="28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% of Individuals Receiving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Schedule II Opioid Prescription (of total population)</w:t>
            </w:r>
          </w:p>
        </w:tc>
        <w:tc>
          <w:tcPr>
            <w:tcW w:w="1568" w:type="dxa"/>
          </w:tcPr>
          <w:p>
            <w:pPr>
              <w:pStyle w:val="TableParagraph"/>
              <w:spacing w:line="240" w:lineRule="auto" w:before="17"/>
              <w:ind w:left="0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line="264" w:lineRule="auto" w:before="1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Individuals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with Activity of </w:t>
            </w:r>
            <w:r>
              <w:rPr>
                <w:b/>
                <w:spacing w:val="-2"/>
                <w:sz w:val="18"/>
              </w:rPr>
              <w:t>Concern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4" w:lineRule="auto" w:before="118"/>
              <w:ind w:right="8"/>
              <w:rPr>
                <w:b/>
                <w:sz w:val="18"/>
              </w:rPr>
            </w:pPr>
            <w:r>
              <w:rPr>
                <w:b/>
                <w:sz w:val="18"/>
              </w:rPr>
              <w:t>Rate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Individuals with Activity of </w:t>
            </w:r>
            <w:r>
              <w:rPr>
                <w:b/>
                <w:spacing w:val="-2"/>
                <w:sz w:val="18"/>
              </w:rPr>
              <w:t>Concern</w:t>
            </w:r>
          </w:p>
          <w:p>
            <w:pPr>
              <w:pStyle w:val="TableParagraph"/>
              <w:spacing w:line="240" w:lineRule="auto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(per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1,000)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0"/>
              <w:rPr>
                <w:sz w:val="20"/>
              </w:rPr>
            </w:pPr>
            <w:r>
              <w:rPr>
                <w:spacing w:val="-2"/>
                <w:sz w:val="20"/>
              </w:rPr>
              <w:t>Barnstable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228,996</w:t>
            </w:r>
          </w:p>
        </w:tc>
        <w:tc>
          <w:tcPr>
            <w:tcW w:w="1459" w:type="dxa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20,108</w:t>
            </w:r>
          </w:p>
        </w:tc>
        <w:tc>
          <w:tcPr>
            <w:tcW w:w="2094" w:type="dxa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903,958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9,009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Berkshire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129,026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10,836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540,888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4,765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7"/>
              <w:rPr>
                <w:sz w:val="20"/>
              </w:rPr>
            </w:pPr>
            <w:r>
              <w:rPr>
                <w:spacing w:val="-2"/>
                <w:sz w:val="20"/>
              </w:rPr>
              <w:t>Bristol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1"/>
              <w:rPr>
                <w:sz w:val="20"/>
              </w:rPr>
            </w:pPr>
            <w:r>
              <w:rPr>
                <w:spacing w:val="-2"/>
                <w:sz w:val="20"/>
              </w:rPr>
              <w:t>579,200</w:t>
            </w:r>
          </w:p>
        </w:tc>
        <w:tc>
          <w:tcPr>
            <w:tcW w:w="1459" w:type="dxa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2"/>
                <w:sz w:val="20"/>
              </w:rPr>
              <w:t>48,911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2,774,298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2"/>
                <w:sz w:val="20"/>
              </w:rPr>
              <w:t>20,210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2"/>
              <w:rPr>
                <w:sz w:val="20"/>
              </w:rPr>
            </w:pPr>
            <w:r>
              <w:rPr>
                <w:spacing w:val="-2"/>
                <w:sz w:val="20"/>
              </w:rPr>
              <w:t>Dukes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20,600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73" w:right="54"/>
              <w:rPr>
                <w:sz w:val="20"/>
              </w:rPr>
            </w:pPr>
            <w:r>
              <w:rPr>
                <w:spacing w:val="-4"/>
                <w:sz w:val="20"/>
              </w:rPr>
              <w:t>1,158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58,119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Essex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809,829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51,020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2,340,954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24,100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5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71,029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73" w:right="54"/>
              <w:rPr>
                <w:sz w:val="20"/>
              </w:rPr>
            </w:pPr>
            <w:r>
              <w:rPr>
                <w:spacing w:val="-4"/>
                <w:sz w:val="20"/>
              </w:rPr>
              <w:t>6,650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372,048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2,728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&lt;5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21"/>
              <w:rPr>
                <w:sz w:val="20"/>
              </w:rPr>
            </w:pPr>
            <w:r>
              <w:rPr>
                <w:spacing w:val="-5"/>
                <w:sz w:val="20"/>
              </w:rPr>
              <w:t>NR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Hampden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465,825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37,234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1,922,763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16,866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0"/>
              <w:rPr>
                <w:sz w:val="20"/>
              </w:rPr>
            </w:pPr>
            <w:r>
              <w:rPr>
                <w:spacing w:val="-2"/>
                <w:sz w:val="20"/>
              </w:rPr>
              <w:t>Hampshire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162,308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12,190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69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668,507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"/>
              <w:rPr>
                <w:sz w:val="20"/>
              </w:rPr>
            </w:pPr>
            <w:r>
              <w:rPr>
                <w:spacing w:val="-4"/>
                <w:sz w:val="20"/>
              </w:rPr>
              <w:t>5,294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3"/>
              <w:rPr>
                <w:sz w:val="20"/>
              </w:rPr>
            </w:pPr>
            <w:r>
              <w:rPr>
                <w:spacing w:val="-2"/>
                <w:sz w:val="20"/>
              </w:rPr>
              <w:t>Middlesex</w:t>
            </w:r>
          </w:p>
        </w:tc>
        <w:tc>
          <w:tcPr>
            <w:tcW w:w="132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1,632,002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75,622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3,273,740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38,441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26"/>
              <w:rPr>
                <w:sz w:val="20"/>
              </w:rPr>
            </w:pPr>
            <w:r>
              <w:rPr>
                <w:spacing w:val="-2"/>
                <w:sz w:val="20"/>
              </w:rPr>
              <w:t>Nantucket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"/>
              <w:rPr>
                <w:sz w:val="20"/>
              </w:rPr>
            </w:pPr>
            <w:r>
              <w:rPr>
                <w:spacing w:val="-2"/>
                <w:sz w:val="20"/>
              </w:rPr>
              <w:t>14,255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3" w:right="54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27,591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1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2" w:type="dxa"/>
            <w:shd w:val="clear" w:color="auto" w:fill="C4BC96"/>
          </w:tcPr>
          <w:p>
            <w:pPr>
              <w:pStyle w:val="TableParagraph"/>
              <w:ind w:left="34" w:right="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Norfolk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725,981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39,013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1,878,166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18,864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530,819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37,507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1,953,455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17,477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12"/>
              <w:rPr>
                <w:sz w:val="20"/>
              </w:rPr>
            </w:pPr>
            <w:r>
              <w:rPr>
                <w:spacing w:val="-2"/>
                <w:sz w:val="20"/>
              </w:rPr>
              <w:t>Suffolk</w:t>
            </w:r>
          </w:p>
        </w:tc>
        <w:tc>
          <w:tcPr>
            <w:tcW w:w="1320" w:type="dxa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797,936</w:t>
            </w:r>
          </w:p>
        </w:tc>
        <w:tc>
          <w:tcPr>
            <w:tcW w:w="1459" w:type="dxa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34,976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1,809,481</w:t>
            </w:r>
          </w:p>
        </w:tc>
        <w:tc>
          <w:tcPr>
            <w:tcW w:w="1767" w:type="dxa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16,737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</w:tr>
      <w:tr>
        <w:trPr>
          <w:trHeight w:val="237" w:hRule="atLeast"/>
        </w:trPr>
        <w:tc>
          <w:tcPr>
            <w:tcW w:w="2223" w:type="dxa"/>
            <w:shd w:val="clear" w:color="auto" w:fill="C4BC96"/>
          </w:tcPr>
          <w:p>
            <w:pPr>
              <w:pStyle w:val="TableParagraph"/>
              <w:ind w:left="41" w:right="16"/>
              <w:rPr>
                <w:sz w:val="20"/>
              </w:rPr>
            </w:pPr>
            <w:r>
              <w:rPr>
                <w:spacing w:val="-2"/>
                <w:sz w:val="20"/>
              </w:rPr>
              <w:t>Worcester</w:t>
            </w:r>
          </w:p>
        </w:tc>
        <w:tc>
          <w:tcPr>
            <w:tcW w:w="1320" w:type="dxa"/>
            <w:shd w:val="clear" w:color="auto" w:fill="C4BC96"/>
          </w:tcPr>
          <w:p>
            <w:pPr>
              <w:pStyle w:val="TableParagraph"/>
              <w:ind w:left="30" w:right="10"/>
              <w:rPr>
                <w:sz w:val="20"/>
              </w:rPr>
            </w:pPr>
            <w:r>
              <w:rPr>
                <w:spacing w:val="-2"/>
                <w:sz w:val="20"/>
              </w:rPr>
              <w:t>862,111</w:t>
            </w:r>
          </w:p>
        </w:tc>
        <w:tc>
          <w:tcPr>
            <w:tcW w:w="1459" w:type="dxa"/>
            <w:shd w:val="clear" w:color="auto" w:fill="C4BC96"/>
          </w:tcPr>
          <w:p>
            <w:pPr>
              <w:pStyle w:val="TableParagraph"/>
              <w:ind w:left="84" w:right="54"/>
              <w:rPr>
                <w:sz w:val="20"/>
              </w:rPr>
            </w:pPr>
            <w:r>
              <w:rPr>
                <w:spacing w:val="-2"/>
                <w:sz w:val="20"/>
              </w:rPr>
              <w:t>56,591</w:t>
            </w:r>
          </w:p>
        </w:tc>
        <w:tc>
          <w:tcPr>
            <w:tcW w:w="2094" w:type="dxa"/>
            <w:shd w:val="clear" w:color="auto" w:fill="C4BC96"/>
          </w:tcPr>
          <w:p>
            <w:pPr>
              <w:pStyle w:val="TableParagraph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2,946,296</w:t>
            </w:r>
          </w:p>
        </w:tc>
        <w:tc>
          <w:tcPr>
            <w:tcW w:w="1767" w:type="dxa"/>
            <w:shd w:val="clear" w:color="auto" w:fill="C4BC96"/>
          </w:tcPr>
          <w:p>
            <w:pPr>
              <w:pStyle w:val="TableParagraph"/>
              <w:ind w:left="29" w:right="10"/>
              <w:rPr>
                <w:sz w:val="20"/>
              </w:rPr>
            </w:pPr>
            <w:r>
              <w:rPr>
                <w:spacing w:val="-2"/>
                <w:sz w:val="20"/>
              </w:rPr>
              <w:t>26,008</w:t>
            </w:r>
          </w:p>
        </w:tc>
        <w:tc>
          <w:tcPr>
            <w:tcW w:w="1975" w:type="dxa"/>
            <w:shd w:val="clear" w:color="auto" w:fill="C4BC9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68" w:type="dxa"/>
            <w:shd w:val="clear" w:color="auto" w:fill="C4BC96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682" w:type="dxa"/>
            <w:tcBorders>
              <w:right w:val="single" w:sz="8" w:space="0" w:color="000000"/>
            </w:tcBorders>
            <w:shd w:val="clear" w:color="auto" w:fill="C4BC96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</w:tr>
      <w:tr>
        <w:trPr>
          <w:trHeight w:val="237" w:hRule="atLeast"/>
        </w:trPr>
        <w:tc>
          <w:tcPr>
            <w:tcW w:w="2223" w:type="dxa"/>
          </w:tcPr>
          <w:p>
            <w:pPr>
              <w:pStyle w:val="TableParagraph"/>
              <w:ind w:left="41" w:right="5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1320" w:type="dxa"/>
          </w:tcPr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7,029,917</w:t>
            </w:r>
          </w:p>
        </w:tc>
        <w:tc>
          <w:tcPr>
            <w:tcW w:w="1459" w:type="dxa"/>
          </w:tcPr>
          <w:p>
            <w:pPr>
              <w:pStyle w:val="TableParagraph"/>
              <w:ind w:left="74" w:right="54"/>
              <w:rPr>
                <w:sz w:val="20"/>
              </w:rPr>
            </w:pPr>
            <w:r>
              <w:rPr>
                <w:spacing w:val="-2"/>
                <w:sz w:val="20"/>
              </w:rPr>
              <w:t>432,462</w:t>
            </w:r>
          </w:p>
        </w:tc>
        <w:tc>
          <w:tcPr>
            <w:tcW w:w="2094" w:type="dxa"/>
          </w:tcPr>
          <w:p>
            <w:pPr>
              <w:pStyle w:val="TableParagraph"/>
              <w:ind w:left="0" w:right="53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21,470,262</w:t>
            </w:r>
          </w:p>
        </w:tc>
        <w:tc>
          <w:tcPr>
            <w:tcW w:w="1767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200,333</w:t>
            </w:r>
          </w:p>
        </w:tc>
        <w:tc>
          <w:tcPr>
            <w:tcW w:w="1975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68" w:type="dxa"/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68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>
        <w:trPr>
          <w:trHeight w:val="3213" w:hRule="atLeast"/>
        </w:trPr>
        <w:tc>
          <w:tcPr>
            <w:tcW w:w="14088" w:type="dxa"/>
            <w:gridSpan w:val="8"/>
          </w:tcPr>
          <w:p>
            <w:pPr>
              <w:pStyle w:val="TableParagraph"/>
              <w:spacing w:line="259" w:lineRule="auto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"thresholds"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3-month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period;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page;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CY2024-Q1 Note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2: Counts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greater than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but 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reported.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 reported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(NR).</w:t>
            </w:r>
          </w:p>
          <w:p>
            <w:pPr>
              <w:pStyle w:val="TableParagraph"/>
              <w:spacing w:line="259" w:lineRule="auto" w:before="0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opioid prescriptions during the specified time period.</w:t>
            </w:r>
          </w:p>
          <w:p>
            <w:pPr>
              <w:pStyle w:val="TableParagraph"/>
              <w:spacing w:line="259" w:lineRule="auto" w:before="0"/>
              <w:ind w:left="39" w:right="1591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Totals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counties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combined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exclude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assigned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inaccurate zip code/city town information reported to the program.</w:t>
            </w:r>
          </w:p>
          <w:p>
            <w:pPr>
              <w:pStyle w:val="TableParagraph"/>
              <w:spacing w:line="259" w:lineRule="auto" w:before="0"/>
              <w:ind w:left="39" w:right="711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"Number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Opioid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Prescription"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slightly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presented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 state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counting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period.</w:t>
            </w:r>
          </w:p>
          <w:p>
            <w:pPr>
              <w:pStyle w:val="TableParagraph"/>
              <w:spacing w:line="259" w:lineRule="auto" w:before="0"/>
              <w:ind w:left="39" w:right="507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PMP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preliminary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updates.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PMP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database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continuously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updated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correction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data submitted by pharmacies. This data were extracted 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4/10/2024; Release Date: Apr 2024.</w:t>
            </w:r>
          </w:p>
          <w:p>
            <w:pPr>
              <w:pStyle w:val="TableParagraph"/>
              <w:spacing w:line="229" w:lineRule="exact" w:before="0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7: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Beginning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quarter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2016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Veteran's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(VA)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facilities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submitting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PMP.</w:t>
            </w:r>
          </w:p>
          <w:p>
            <w:pPr>
              <w:pStyle w:val="TableParagraph"/>
              <w:spacing w:line="240" w:lineRule="atLeast" w:before="0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8: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Sex,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Municipality,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UMass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Donahue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Population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Estimates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Program,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2022 Note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9: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concern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supressed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values.</w:t>
            </w:r>
          </w:p>
        </w:tc>
      </w:tr>
    </w:tbl>
    <w:sectPr>
      <w:pgSz w:w="15840" w:h="12240" w:orient="landscape"/>
      <w:pgMar w:header="0" w:footer="845" w:top="820" w:bottom="106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47008">
              <wp:simplePos x="0" y="0"/>
              <wp:positionH relativeFrom="page">
                <wp:posOffset>9506711</wp:posOffset>
              </wp:positionH>
              <wp:positionV relativeFrom="page">
                <wp:posOffset>7076642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8.559998pt;margin-top:557.215942pt;width:11.45pt;height:10.95pt;mso-position-horizontal-relative:page;mso-position-vertical-relative:page;z-index:-161694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985"/>
      <w:jc w:val="center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 w:line="207" w:lineRule="exact"/>
      <w:ind w:left="28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EF42CE426F246972F8C6E33C079FB" ma:contentTypeVersion="13" ma:contentTypeDescription="Create a new document." ma:contentTypeScope="" ma:versionID="0559ee0eaa31acef22dc91b4f383bdbe">
  <xsd:schema xmlns:xsd="http://www.w3.org/2001/XMLSchema" xmlns:xs="http://www.w3.org/2001/XMLSchema" xmlns:p="http://schemas.microsoft.com/office/2006/metadata/properties" xmlns:ns2="68fdd5f6-3ec2-4d24-bce5-3d62265da11c" xmlns:ns3="87d182fc-5378-4458-bf3f-fd0f2ba2bb8d" targetNamespace="http://schemas.microsoft.com/office/2006/metadata/properties" ma:root="true" ma:fieldsID="d70bc3ced548a011908b1118a15b994e" ns2:_="" ns3:_="">
    <xsd:import namespace="68fdd5f6-3ec2-4d24-bce5-3d62265da11c"/>
    <xsd:import namespace="87d182fc-5378-4458-bf3f-fd0f2ba2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d5f6-3ec2-4d24-bce5-3d62265d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82fc-5378-4458-bf3f-fd0f2ba2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a85a6e-6abd-4e0c-91fc-7f633e6cea06}" ma:internalName="TaxCatchAll" ma:showField="CatchAllData" ma:web="87d182fc-5378-4458-bf3f-fd0f2ba2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d182fc-5378-4458-bf3f-fd0f2ba2bb8d" xsi:nil="true"/>
    <lcf76f155ced4ddcb4097134ff3c332f xmlns="68fdd5f6-3ec2-4d24-bce5-3d62265da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61372-33C1-41B0-B2DD-AED839E6AEF5}"/>
</file>

<file path=customXml/itemProps2.xml><?xml version="1.0" encoding="utf-8"?>
<ds:datastoreItem xmlns:ds="http://schemas.openxmlformats.org/officeDocument/2006/customXml" ds:itemID="{BD65F188-81FE-4A86-8AFD-C2910D3422EF}"/>
</file>

<file path=customXml/itemProps3.xml><?xml version="1.0" encoding="utf-8"?>
<ds:datastoreItem xmlns:ds="http://schemas.openxmlformats.org/officeDocument/2006/customXml" ds:itemID="{B4A6BE9D-225B-4388-9E8F-408FB7AA3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2024-06-11T17:45:52Z</dcterms:created>
  <dcterms:modified xsi:type="dcterms:W3CDTF">2024-06-11T17:45:52Z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2024-06-11T00:00:00Z</vt:filetime>
  </property>
  <property fmtid="{D5CDD505-2E9C-101B-9397-08002B2CF9AE}" pid="5" name="Producer">
    <vt:lpwstr>Adobe PDF Library 24.2.23</vt:lpwstr>
  </property>
  <property fmtid="{D5CDD505-2E9C-101B-9397-08002B2CF9AE}" pid="6" name="ContentTypeId">
    <vt:lpwstr>0x0101005ADEF42CE426F246972F8C6E33C079FB</vt:lpwstr>
  </property>
</Properties>
</file>