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  <w:b/>
        </w:rPr>
        <w:t>Trauma Systems Committee</w:t>
      </w:r>
      <w:r w:rsidRPr="00301778">
        <w:rPr>
          <w:rFonts w:eastAsia="MS PGothic" w:cs="Calibri"/>
        </w:rPr>
        <w:br/>
      </w:r>
      <w:r w:rsidRPr="00301778">
        <w:rPr>
          <w:rFonts w:eastAsia="MS PGothic" w:cs="Calibri"/>
        </w:rPr>
        <w:br/>
        <w:t>Bureau of Health Care Safety and Quality</w:t>
      </w:r>
      <w:r w:rsidRPr="00301778">
        <w:rPr>
          <w:rFonts w:eastAsia="MS PGothic" w:cs="Calibri"/>
        </w:rPr>
        <w:br/>
        <w:t>Department of Public Health</w:t>
      </w:r>
      <w:r w:rsidRPr="00301778">
        <w:rPr>
          <w:rFonts w:eastAsia="MS PGothic" w:cs="Calibri"/>
        </w:rPr>
        <w:br/>
        <w:t>Wednesday, November 28, 2018</w:t>
      </w:r>
    </w:p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301778">
        <w:rPr>
          <w:rFonts w:eastAsia="MS PGothic" w:cs="Calibri"/>
          <w:b/>
        </w:rPr>
        <w:t>Agenda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Approval of Minutes from August 29, 2018</w:t>
      </w:r>
    </w:p>
    <w:p w:rsidR="00C4116A" w:rsidRPr="00301778" w:rsidRDefault="00C4116A" w:rsidP="0030177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Approval of Minutes from May 23, 2018 </w:t>
      </w:r>
    </w:p>
    <w:p w:rsidR="00C4116A" w:rsidRPr="00301778" w:rsidRDefault="00C4116A" w:rsidP="0030177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Department Update</w:t>
      </w:r>
    </w:p>
    <w:p w:rsidR="00C4116A" w:rsidRPr="00301778" w:rsidRDefault="00C4116A" w:rsidP="0030177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Injury Prevention and Surveillance Presentation</w:t>
      </w:r>
    </w:p>
    <w:p w:rsidR="00C4116A" w:rsidRPr="00301778" w:rsidRDefault="00C4116A" w:rsidP="0030177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Subcommittee Update</w:t>
      </w:r>
    </w:p>
    <w:p w:rsidR="00C4116A" w:rsidRPr="00301778" w:rsidRDefault="00C4116A" w:rsidP="0030177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Data Presentation </w:t>
      </w:r>
    </w:p>
    <w:p w:rsidR="00C4116A" w:rsidRPr="00301778" w:rsidRDefault="00C4116A" w:rsidP="0030177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Discussion of future agenda items</w:t>
      </w:r>
    </w:p>
    <w:p w:rsidR="00C4116A" w:rsidRPr="00301778" w:rsidRDefault="00C4116A" w:rsidP="0030177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Next Steps</w:t>
      </w:r>
    </w:p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u w:val="single"/>
        </w:rPr>
      </w:pPr>
    </w:p>
    <w:p w:rsidR="00301778" w:rsidRP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301778">
        <w:rPr>
          <w:rFonts w:eastAsia="MS PGothic" w:cs="Calibri"/>
          <w:b/>
        </w:rPr>
        <w:t>Open Meeting Law</w:t>
      </w:r>
      <w:r w:rsidR="00301778" w:rsidRPr="00301778">
        <w:rPr>
          <w:rFonts w:eastAsia="MS PGothic" w:cs="Calibri"/>
          <w:b/>
        </w:rPr>
        <w:t xml:space="preserve"> </w:t>
      </w:r>
      <w:r w:rsidRPr="00301778">
        <w:rPr>
          <w:rFonts w:eastAsia="MS PGothic" w:cs="Calibri"/>
          <w:b/>
        </w:rPr>
        <w:t>G.L. c. 30A, §§18-25</w:t>
      </w:r>
    </w:p>
    <w:p w:rsidR="00B779AD" w:rsidRPr="00301778" w:rsidRDefault="00944824" w:rsidP="0030177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The purpose of open meeting law (OML) is to ensure transparency in the deliberations on which public policy is based.  </w:t>
      </w:r>
    </w:p>
    <w:p w:rsidR="00B779AD" w:rsidRPr="00301778" w:rsidRDefault="00944824" w:rsidP="00301778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This requires that meetings of public bodies be open to the public.  </w:t>
      </w:r>
    </w:p>
    <w:p w:rsidR="00B779AD" w:rsidRPr="00301778" w:rsidRDefault="00944824" w:rsidP="0030177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All meetings of a public body must be open to the public.  </w:t>
      </w:r>
    </w:p>
    <w:p w:rsidR="00B779AD" w:rsidRPr="00301778" w:rsidRDefault="00944824" w:rsidP="00301778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A meeting is any deliberation by a public body with respect to any matter within the body’s jurisdiction.  </w:t>
      </w:r>
    </w:p>
    <w:p w:rsidR="00B779AD" w:rsidRPr="00301778" w:rsidRDefault="00944824" w:rsidP="00301778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A deliberation is a communication between </w:t>
      </w:r>
      <w:proofErr w:type="gramStart"/>
      <w:r w:rsidRPr="00301778">
        <w:rPr>
          <w:rFonts w:eastAsia="MS PGothic" w:cs="Calibri"/>
        </w:rPr>
        <w:t>members  among</w:t>
      </w:r>
      <w:proofErr w:type="gramEnd"/>
      <w:r w:rsidRPr="00301778">
        <w:rPr>
          <w:rFonts w:eastAsia="MS PGothic" w:cs="Calibri"/>
        </w:rPr>
        <w:t xml:space="preserve"> members of a public body.  </w:t>
      </w:r>
    </w:p>
    <w:p w:rsidR="00B779AD" w:rsidRPr="00301778" w:rsidRDefault="00944824" w:rsidP="0030177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A public body is any multi-member board, commission, committee or subcommittee within the executive or legislative branches (except the Legislature) of state government</w:t>
      </w:r>
    </w:p>
    <w:p w:rsidR="00B779AD" w:rsidRPr="00301778" w:rsidRDefault="00944824" w:rsidP="00301778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This includes </w:t>
      </w:r>
      <w:proofErr w:type="spellStart"/>
      <w:r w:rsidRPr="00301778">
        <w:rPr>
          <w:rFonts w:eastAsia="MS PGothic" w:cs="Calibri"/>
        </w:rPr>
        <w:t>any body</w:t>
      </w:r>
      <w:proofErr w:type="spellEnd"/>
      <w:r w:rsidRPr="00301778">
        <w:rPr>
          <w:rFonts w:eastAsia="MS PGothic" w:cs="Calibri"/>
        </w:rPr>
        <w:t xml:space="preserve"> created to advise or make recommendations </w:t>
      </w:r>
    </w:p>
    <w:p w:rsidR="00B779AD" w:rsidRPr="00301778" w:rsidRDefault="00944824" w:rsidP="0030177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Under OML the public is permitted to attend meetings.  </w:t>
      </w:r>
    </w:p>
    <w:p w:rsidR="00B779AD" w:rsidRPr="00301778" w:rsidRDefault="00944824" w:rsidP="00301778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Individuals in meetings may not address the public body without the permission of the chair.  </w:t>
      </w:r>
    </w:p>
    <w:p w:rsidR="00B779AD" w:rsidRPr="00301778" w:rsidRDefault="00944824" w:rsidP="00301778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Public participation is allowed at the discretion of the chair.  </w:t>
      </w:r>
    </w:p>
    <w:p w:rsidR="00B779AD" w:rsidRPr="00301778" w:rsidRDefault="00944824" w:rsidP="0030177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For more information on Open Meeting Law, please visit: </w:t>
      </w:r>
    </w:p>
    <w:p w:rsidR="00B779AD" w:rsidRPr="00301778" w:rsidRDefault="00944824" w:rsidP="00301778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https://www.mass.gov/the-open-meeting-law</w:t>
      </w:r>
    </w:p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301778" w:rsidRP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</w:t>
      </w:r>
    </w:p>
    <w:p w:rsidR="00301778" w:rsidRP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>
        <w:rPr>
          <w:rFonts w:eastAsia="MS PGothic" w:cs="Calibri"/>
          <w:b/>
        </w:rPr>
        <w:t>What is a Quorum?</w:t>
      </w:r>
    </w:p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A Quorum is defined as:</w:t>
      </w:r>
      <w:r w:rsidR="00301778">
        <w:rPr>
          <w:rFonts w:eastAsia="MS PGothic" w:cs="Calibri"/>
        </w:rPr>
        <w:t xml:space="preserve">  </w:t>
      </w:r>
    </w:p>
    <w:p w:rsidR="00301778" w:rsidRDefault="00C4116A" w:rsidP="0030177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A </w:t>
      </w:r>
      <w:r w:rsidRPr="00301778">
        <w:rPr>
          <w:rFonts w:eastAsia="MS PGothic" w:cs="Calibri"/>
          <w:b/>
          <w:bCs/>
        </w:rPr>
        <w:t xml:space="preserve">simple majority </w:t>
      </w:r>
      <w:r w:rsidRPr="00301778">
        <w:rPr>
          <w:rFonts w:eastAsia="MS PGothic" w:cs="Calibri"/>
        </w:rPr>
        <w:t>of the members of a public body, unless otherwise provided in a general or special law, executive order, or other authorizing provision.  G.L. c. 30A, § 18.</w:t>
      </w:r>
    </w:p>
    <w:p w:rsidR="00C4116A" w:rsidRPr="00301778" w:rsidRDefault="00C4116A" w:rsidP="0030177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  <w:b/>
          <w:bCs/>
        </w:rPr>
        <w:t xml:space="preserve">As applied to the Trauma Systems Committee—a quorum equals 10 members  (½ of 19 members + 1)  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301778">
        <w:rPr>
          <w:rFonts w:eastAsia="MS PGothic" w:cs="Calibri"/>
          <w:b/>
        </w:rPr>
        <w:t>Meeting Minutes Approval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t xml:space="preserve">Approval of Minutes from the August 29, 2018 Meeting </w:t>
      </w:r>
    </w:p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301778" w:rsidRP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6</w:t>
      </w:r>
    </w:p>
    <w:p w:rsidR="00301778" w:rsidRP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301778">
        <w:rPr>
          <w:rFonts w:eastAsia="MS PGothic" w:cs="Calibri"/>
          <w:b/>
        </w:rPr>
        <w:t>Meeting Minutes Approval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t xml:space="preserve">Approval of Minutes from the May 23, 2018 Meeting </w:t>
      </w:r>
    </w:p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301778" w:rsidRDefault="00301778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FE7A93" w:rsidRDefault="00FE7A93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7</w:t>
      </w:r>
    </w:p>
    <w:p w:rsidR="00C4116A" w:rsidRPr="00FE7A93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FE7A93">
        <w:rPr>
          <w:rFonts w:eastAsia="MS PGothic" w:cs="Calibri"/>
          <w:b/>
        </w:rPr>
        <w:t>Department Updates</w:t>
      </w:r>
    </w:p>
    <w:p w:rsidR="00C4116A" w:rsidRPr="00FE7A93" w:rsidRDefault="00C4116A" w:rsidP="00FE7A9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Public Health Response to Gas Leak in Andover, Lawrence and North Andover</w:t>
      </w:r>
    </w:p>
    <w:p w:rsidR="00C4116A" w:rsidRPr="00FE7A93" w:rsidRDefault="00C4116A" w:rsidP="00FE7A9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 xml:space="preserve">Competitive Grant Awarded to MA for Disaster Response </w:t>
      </w:r>
    </w:p>
    <w:p w:rsidR="00C4116A" w:rsidRPr="00FE7A93" w:rsidRDefault="00C4116A" w:rsidP="00FE7A9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Mobile Integrated Health</w:t>
      </w:r>
    </w:p>
    <w:p w:rsidR="00C4116A" w:rsidRPr="00FE7A93" w:rsidRDefault="00C4116A" w:rsidP="00FE7A9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Prevention Model Framework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FE7A93" w:rsidRPr="00FE7A93" w:rsidRDefault="00FE7A93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FE7A93">
        <w:rPr>
          <w:rFonts w:eastAsia="MS PGothic" w:cs="Calibri"/>
          <w:bCs/>
        </w:rPr>
        <w:t>Slide 8</w:t>
      </w:r>
    </w:p>
    <w:p w:rsidR="00C4116A" w:rsidRPr="00FE7A93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FE7A93">
        <w:rPr>
          <w:rFonts w:eastAsia="MS PGothic" w:cs="Calibri"/>
          <w:b/>
        </w:rPr>
        <w:t>Public Health Response to Gas Leak and Fires in Andover, Lawrence and North Andover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C4116A" w:rsidRPr="00FE7A93" w:rsidRDefault="00FE7A93" w:rsidP="00FE7A9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FE7A93">
        <w:rPr>
          <w:rFonts w:eastAsia="MS PGothic" w:cs="Calibri"/>
          <w:bCs/>
        </w:rPr>
        <w:t>Map of public health response to the gas leak and fires in Andover, Lawrence and North Andover.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jc w:val="right"/>
        <w:rPr>
          <w:rFonts w:eastAsia="MS PGothic" w:cs="Calibri"/>
          <w:b/>
          <w:bCs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jc w:val="right"/>
        <w:rPr>
          <w:rFonts w:eastAsia="MS PGothic" w:cs="Calibri"/>
          <w:b/>
          <w:bCs/>
        </w:rPr>
      </w:pPr>
    </w:p>
    <w:p w:rsidR="00C4116A" w:rsidRPr="00FE7A93" w:rsidRDefault="00FE7A93" w:rsidP="00FE7A9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>
        <w:rPr>
          <w:rFonts w:eastAsia="MS PGothic" w:cs="Calibri"/>
          <w:bCs/>
        </w:rPr>
        <w:t>Slide 9</w:t>
      </w:r>
    </w:p>
    <w:p w:rsidR="00C4116A" w:rsidRPr="00FE7A93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FE7A93">
        <w:rPr>
          <w:rFonts w:eastAsia="MS PGothic" w:cs="Calibri"/>
          <w:b/>
        </w:rPr>
        <w:t xml:space="preserve">Gas Leak: Response Activities </w:t>
      </w:r>
    </w:p>
    <w:p w:rsidR="00C4116A" w:rsidRPr="00FE7A93" w:rsidRDefault="00C4116A" w:rsidP="00FE7A9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Data Operations Command Activation</w:t>
      </w:r>
    </w:p>
    <w:p w:rsidR="00C4116A" w:rsidRPr="00FE7A93" w:rsidRDefault="00C4116A" w:rsidP="00FE7A9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 xml:space="preserve">Senior Management HHAN Alert </w:t>
      </w:r>
    </w:p>
    <w:p w:rsidR="00C4116A" w:rsidRPr="00FE7A93" w:rsidRDefault="00C4116A" w:rsidP="00FE7A9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Monitored Impacts</w:t>
      </w:r>
    </w:p>
    <w:p w:rsidR="00C4116A" w:rsidRPr="00FE7A93" w:rsidRDefault="00C4116A" w:rsidP="00FE7A93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EMS transports</w:t>
      </w:r>
    </w:p>
    <w:p w:rsidR="00C4116A" w:rsidRPr="00FE7A93" w:rsidRDefault="00C4116A" w:rsidP="00FE7A93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Patient distribution</w:t>
      </w:r>
    </w:p>
    <w:p w:rsidR="00C4116A" w:rsidRPr="00FE7A93" w:rsidRDefault="00C4116A" w:rsidP="00FE7A93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Long term care facility status</w:t>
      </w:r>
    </w:p>
    <w:p w:rsidR="00C4116A" w:rsidRPr="00FE7A93" w:rsidRDefault="00C4116A" w:rsidP="00FE7A93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Healthcare facility status</w:t>
      </w:r>
    </w:p>
    <w:p w:rsidR="00C4116A" w:rsidRPr="00FE7A93" w:rsidRDefault="00C4116A" w:rsidP="00FE7A93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Service delivery programs/group home</w:t>
      </w:r>
    </w:p>
    <w:p w:rsidR="00C4116A" w:rsidRPr="00FE7A93" w:rsidRDefault="00C4116A" w:rsidP="00FE7A9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Alerts &amp; Notifications</w:t>
      </w:r>
    </w:p>
    <w:p w:rsidR="00C4116A" w:rsidRPr="00FE7A93" w:rsidRDefault="00C4116A" w:rsidP="00FE7A93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Long term care facility bed reporting</w:t>
      </w:r>
    </w:p>
    <w:p w:rsidR="00C4116A" w:rsidRPr="00FE7A93" w:rsidRDefault="00C4116A" w:rsidP="00FE7A93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Alternate destination waiver</w:t>
      </w:r>
    </w:p>
    <w:p w:rsidR="00C4116A" w:rsidRPr="00FE7A93" w:rsidRDefault="00C4116A" w:rsidP="00FE7A93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Hospital pharmacy dispensing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FE7A93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10</w:t>
      </w:r>
    </w:p>
    <w:p w:rsidR="00C4116A" w:rsidRPr="00FE7A93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FE7A93">
        <w:rPr>
          <w:rFonts w:eastAsia="MS PGothic" w:cs="Calibri"/>
          <w:b/>
        </w:rPr>
        <w:t>Gas Leak: Recovery Activities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 xml:space="preserve">Establishing an incident management team </w:t>
      </w:r>
    </w:p>
    <w:p w:rsidR="00C4116A" w:rsidRPr="00FE7A93" w:rsidRDefault="00C4116A" w:rsidP="00FE7A93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Team is still reporting on recovery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lastRenderedPageBreak/>
        <w:t>Public health &amp; health care recovery activities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Gas service interruption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Monitoring impacted service delivery programs/group homes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Guidance to local health regarding housing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Retail food inspections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Vaccine replacement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Work Groups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Resource Recovery Centers</w:t>
      </w:r>
    </w:p>
    <w:p w:rsidR="00C4116A" w:rsidRPr="00FE7A93" w:rsidRDefault="00C4116A" w:rsidP="00FE7A9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FE7A93">
        <w:rPr>
          <w:rFonts w:eastAsia="MS PGothic" w:cs="Calibri"/>
        </w:rPr>
        <w:t>Routine Inspections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11</w:t>
      </w:r>
    </w:p>
    <w:p w:rsidR="00C4116A" w:rsidRPr="00AE28B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Competitive Federal Grant Awarded to MA</w:t>
      </w:r>
    </w:p>
    <w:p w:rsidR="00C4116A" w:rsidRPr="00AE28B4" w:rsidRDefault="00C4116A" w:rsidP="00AE28B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The U.S. Department of Health and Human Services’ Office of the Assistant Secretary for Preparedness and Response (ASPR) awarded one of two $3 million grants nationally to Massachusetts General Hospital Center for Disaster Medicine.</w:t>
      </w:r>
    </w:p>
    <w:p w:rsidR="00C4116A" w:rsidRPr="00AE28B4" w:rsidRDefault="00C4116A" w:rsidP="00AE28B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 xml:space="preserve">Paul </w:t>
      </w:r>
      <w:proofErr w:type="spellStart"/>
      <w:r w:rsidRPr="00AE28B4">
        <w:rPr>
          <w:rFonts w:eastAsia="MS PGothic" w:cs="Calibri"/>
        </w:rPr>
        <w:t>Biddinger</w:t>
      </w:r>
      <w:proofErr w:type="spellEnd"/>
      <w:r w:rsidRPr="00AE28B4">
        <w:rPr>
          <w:rFonts w:eastAsia="MS PGothic" w:cs="Calibri"/>
        </w:rPr>
        <w:t>, M.D. is serving as the Primary Investigator; and</w:t>
      </w:r>
    </w:p>
    <w:p w:rsidR="00C4116A" w:rsidRPr="00AE28B4" w:rsidRDefault="00C4116A" w:rsidP="00AE28B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DPH leaders, the Director of the Office of Preparedness and Emergency Management and the Director of the Office of Emergency Medical Services, are participating on the executive committee.</w:t>
      </w:r>
    </w:p>
    <w:p w:rsidR="00C4116A" w:rsidRPr="00AE28B4" w:rsidRDefault="00C4116A" w:rsidP="00AE28B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The purpose of the grant is to demonstrate how a new Regional Disaster Health Response System can meet the regional needs, including trauma, burn or other specialty care, during a national emergency and leading to more lives saved.</w:t>
      </w:r>
    </w:p>
    <w:p w:rsidR="00C4116A" w:rsidRPr="00AE28B4" w:rsidRDefault="00C4116A" w:rsidP="00AE28B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In demonstrating a Regional Disaster Health Response System, each pilot project must:</w:t>
      </w:r>
    </w:p>
    <w:p w:rsidR="00C4116A" w:rsidRPr="00AE28B4" w:rsidRDefault="00C4116A" w:rsidP="00AE28B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 xml:space="preserve">build a partnership for disaster health response to support clinical specialty care; </w:t>
      </w:r>
    </w:p>
    <w:p w:rsidR="00C4116A" w:rsidRPr="00AE28B4" w:rsidRDefault="00C4116A" w:rsidP="00AE28B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 xml:space="preserve">align plans, policies, and procedures for clinical excellence in disasters; </w:t>
      </w:r>
    </w:p>
    <w:p w:rsidR="00C4116A" w:rsidRPr="00AE28B4" w:rsidRDefault="00C4116A" w:rsidP="00AE28B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 xml:space="preserve">increase state-wide and regional medical surge capacity; </w:t>
      </w:r>
    </w:p>
    <w:p w:rsidR="00C4116A" w:rsidRPr="00AE28B4" w:rsidRDefault="00C4116A" w:rsidP="00AE28B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 xml:space="preserve">improve state-wide and regional situational awareness, such as the availability of hospital beds; and </w:t>
      </w:r>
    </w:p>
    <w:p w:rsidR="00C4116A" w:rsidRPr="00AE28B4" w:rsidRDefault="00C4116A" w:rsidP="00AE28B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proofErr w:type="gramStart"/>
      <w:r w:rsidRPr="00AE28B4">
        <w:rPr>
          <w:rFonts w:eastAsia="MS PGothic" w:cs="Calibri"/>
        </w:rPr>
        <w:t>develop</w:t>
      </w:r>
      <w:proofErr w:type="gramEnd"/>
      <w:r w:rsidRPr="00AE28B4">
        <w:rPr>
          <w:rFonts w:eastAsia="MS PGothic" w:cs="Calibri"/>
        </w:rPr>
        <w:t xml:space="preserve"> metrics and test the regional system’s capabilities. 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12</w:t>
      </w:r>
    </w:p>
    <w:p w:rsidR="00C4116A" w:rsidRPr="00AE28B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Mobile Integrated Health</w:t>
      </w:r>
    </w:p>
    <w:p w:rsidR="00C4116A" w:rsidRPr="00AE28B4" w:rsidRDefault="00C4116A" w:rsidP="00AE28B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Community Emergency Medical Services</w:t>
      </w:r>
    </w:p>
    <w:p w:rsidR="00C4116A" w:rsidRPr="00AE28B4" w:rsidRDefault="00C4116A" w:rsidP="00AE28B4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Program launched on October 1, 2018</w:t>
      </w:r>
    </w:p>
    <w:p w:rsidR="00C4116A" w:rsidRPr="00AE28B4" w:rsidRDefault="00C4116A" w:rsidP="00AE28B4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Received applications for innovative programs to meet community needs</w:t>
      </w:r>
    </w:p>
    <w:p w:rsidR="00C4116A" w:rsidRPr="00AE28B4" w:rsidRDefault="00C4116A" w:rsidP="00AE28B4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Vaccinations for high risk populations</w:t>
      </w:r>
    </w:p>
    <w:p w:rsidR="00C4116A" w:rsidRPr="00AE28B4" w:rsidRDefault="00C4116A" w:rsidP="00AE28B4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 xml:space="preserve">Sharps Awareness of safe disposal </w:t>
      </w:r>
    </w:p>
    <w:p w:rsidR="00C4116A" w:rsidRPr="00AE28B4" w:rsidRDefault="00C4116A" w:rsidP="00AE28B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Mobile Integrated Health (MIH) and Mobile Integrated Health with ED Avoidance</w:t>
      </w:r>
    </w:p>
    <w:p w:rsidR="00C4116A" w:rsidRPr="00AE28B4" w:rsidRDefault="00C4116A" w:rsidP="00AE28B4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Applications posted publicly on Monday, November 26, 2018</w:t>
      </w:r>
    </w:p>
    <w:p w:rsidR="00C4116A" w:rsidRPr="00AE28B4" w:rsidRDefault="00C4116A" w:rsidP="00AE28B4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DPH will begin reviewing applications on December 10, 2018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lastRenderedPageBreak/>
        <w:t>Slide 13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t>Framework for Public Health Approach to Trauma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>
        <w:rPr>
          <w:rFonts w:eastAsia="MS PGothic" w:cs="Calibri"/>
          <w:b/>
          <w:bCs/>
        </w:rPr>
        <w:t>Table with information related to prevention framework for public health approach to trauma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CC18C0" w:rsidRPr="00AE28B4" w:rsidRDefault="00944824" w:rsidP="00AE28B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AE28B4">
        <w:rPr>
          <w:rFonts w:eastAsia="MS PGothic" w:cs="Calibri"/>
          <w:bCs/>
        </w:rPr>
        <w:t>Seeking Trauma Systems Committee Input on its Preferred Role in this Framework</w:t>
      </w:r>
    </w:p>
    <w:p w:rsidR="00CC18C0" w:rsidRPr="00AE28B4" w:rsidRDefault="00944824" w:rsidP="00AE28B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AE28B4">
        <w:rPr>
          <w:rFonts w:eastAsia="MS PGothic" w:cs="Calibri"/>
          <w:bCs/>
        </w:rPr>
        <w:t>Will explore opportunities for sharing surveillance and programmatic information focusing on Primary Prevention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AE28B4" w:rsidRP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AE28B4">
        <w:rPr>
          <w:rFonts w:eastAsia="MS PGothic" w:cs="Calibri"/>
          <w:bCs/>
        </w:rPr>
        <w:t>Slide 14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t>Injury Prevention</w:t>
      </w:r>
      <w:r w:rsidR="00AE28B4">
        <w:rPr>
          <w:rFonts w:eastAsia="MS PGothic" w:cs="Calibri"/>
          <w:b/>
          <w:bCs/>
        </w:rPr>
        <w:t xml:space="preserve"> </w:t>
      </w:r>
      <w:proofErr w:type="gramStart"/>
      <w:r w:rsidRPr="00AE28B4">
        <w:rPr>
          <w:rFonts w:eastAsia="MS PGothic" w:cs="Calibri"/>
          <w:b/>
        </w:rPr>
        <w:t>And</w:t>
      </w:r>
      <w:proofErr w:type="gramEnd"/>
      <w:r w:rsidRPr="00AE28B4">
        <w:rPr>
          <w:rFonts w:eastAsia="MS PGothic" w:cs="Calibri"/>
          <w:b/>
        </w:rPr>
        <w:t xml:space="preserve"> the Trauma Systems Committee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Bekah Thomas, MPA, Director of Injury Prevention and Control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Jeanne Hathaway, MD MPH, Epidemiologist, Injury Surveillance Program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15</w:t>
      </w:r>
    </w:p>
    <w:p w:rsidR="00C4116A" w:rsidRPr="00AE28B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Overview</w:t>
      </w:r>
    </w:p>
    <w:p w:rsidR="00C4116A" w:rsidRPr="00AE28B4" w:rsidRDefault="00C4116A" w:rsidP="00AE28B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Introduction to Injury Prevention</w:t>
      </w:r>
    </w:p>
    <w:p w:rsidR="00C4116A" w:rsidRPr="00AE28B4" w:rsidRDefault="00C4116A" w:rsidP="00AE28B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Injury Data Sources and Findings</w:t>
      </w:r>
    </w:p>
    <w:p w:rsidR="00C4116A" w:rsidRPr="00AE28B4" w:rsidRDefault="00C4116A" w:rsidP="00AE28B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Programs and Partnerships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16</w:t>
      </w:r>
    </w:p>
    <w:p w:rsidR="00C4116A" w:rsidRPr="00AE28B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Introduction to Injury Prevention: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Definitions, Levels of Prevention, and the Injury Prevention and Control Program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17</w:t>
      </w:r>
    </w:p>
    <w:p w:rsidR="00C4116A" w:rsidRPr="00AE28B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 xml:space="preserve">Trauma </w:t>
      </w:r>
      <w:proofErr w:type="gramStart"/>
      <w:r w:rsidRPr="00AE28B4">
        <w:rPr>
          <w:rFonts w:eastAsia="MS PGothic" w:cs="Calibri"/>
          <w:b/>
        </w:rPr>
        <w:t>Versus</w:t>
      </w:r>
      <w:proofErr w:type="gramEnd"/>
      <w:r w:rsidRPr="00AE28B4">
        <w:rPr>
          <w:rFonts w:eastAsia="MS PGothic" w:cs="Calibri"/>
          <w:b/>
        </w:rPr>
        <w:t xml:space="preserve"> Injury: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Injury includes poisoning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18</w:t>
      </w:r>
    </w:p>
    <w:p w:rsidR="00C4116A" w:rsidRPr="00AE28B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Prevention Frameworks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Levels of Prevention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The Four E’s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The Spectrum of Prevention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Socio-Ecological Model</w:t>
      </w: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19</w:t>
      </w:r>
    </w:p>
    <w:p w:rsidR="00AE28B4" w:rsidRP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>
        <w:rPr>
          <w:rFonts w:eastAsia="MS PGothic" w:cs="Calibri"/>
          <w:b/>
        </w:rPr>
        <w:t>Levels of Prevention</w:t>
      </w: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P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AE28B4">
        <w:rPr>
          <w:rFonts w:eastAsia="MS PGothic" w:cs="Calibri"/>
          <w:bCs/>
        </w:rPr>
        <w:t>Image with information related to prevention framework for public health approach to trauma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Pr="00301778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20</w:t>
      </w:r>
    </w:p>
    <w:p w:rsidR="00AE28B4" w:rsidRP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Prevention Frameworks: The Four E’s</w:t>
      </w: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  <w:bCs/>
        </w:rPr>
        <w:t xml:space="preserve">Image with information related to </w:t>
      </w:r>
      <w:r>
        <w:rPr>
          <w:rFonts w:eastAsia="MS PGothic" w:cs="Calibri"/>
          <w:bCs/>
        </w:rPr>
        <w:t xml:space="preserve">the four E’s </w:t>
      </w:r>
      <w:r w:rsidRPr="00AE28B4">
        <w:rPr>
          <w:rFonts w:eastAsia="MS PGothic" w:cs="Calibri"/>
          <w:bCs/>
        </w:rPr>
        <w:t xml:space="preserve">prevention framework </w:t>
      </w:r>
    </w:p>
    <w:p w:rsidR="00C61959" w:rsidRDefault="00C61959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lastRenderedPageBreak/>
        <w:t>Slide 21</w:t>
      </w:r>
    </w:p>
    <w:p w:rsidR="00AE28B4" w:rsidRP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Prevention Frameworks: The Spectrum of Prevention</w:t>
      </w: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  <w:bCs/>
        </w:rPr>
        <w:t xml:space="preserve">Image with information related to </w:t>
      </w:r>
      <w:r>
        <w:rPr>
          <w:rFonts w:eastAsia="MS PGothic" w:cs="Calibri"/>
          <w:bCs/>
        </w:rPr>
        <w:t>the spectrum of prevention</w:t>
      </w:r>
      <w:r w:rsidRPr="00AE28B4">
        <w:rPr>
          <w:rFonts w:eastAsia="MS PGothic" w:cs="Calibri"/>
          <w:bCs/>
        </w:rPr>
        <w:t xml:space="preserve"> framework </w:t>
      </w: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22</w:t>
      </w:r>
    </w:p>
    <w:p w:rsidR="00AE28B4" w:rsidRP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Prevention Frameworks: Socio-Ecological Model</w:t>
      </w: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  <w:bCs/>
        </w:rPr>
        <w:t xml:space="preserve">Image with information related to </w:t>
      </w:r>
      <w:r>
        <w:rPr>
          <w:rFonts w:eastAsia="MS PGothic" w:cs="Calibri"/>
          <w:bCs/>
        </w:rPr>
        <w:t>the socio-ecological model prevention</w:t>
      </w:r>
      <w:r w:rsidRPr="00AE28B4">
        <w:rPr>
          <w:rFonts w:eastAsia="MS PGothic" w:cs="Calibri"/>
          <w:bCs/>
        </w:rPr>
        <w:t xml:space="preserve"> framework 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23</w:t>
      </w: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  <w:bCs/>
        </w:rPr>
        <w:t xml:space="preserve">Image </w:t>
      </w:r>
      <w:r>
        <w:rPr>
          <w:rFonts w:eastAsia="MS PGothic" w:cs="Calibri"/>
          <w:bCs/>
        </w:rPr>
        <w:t>with organization chart of Bureau of Community Health and Prevention</w:t>
      </w:r>
      <w:r w:rsidRPr="00AE28B4">
        <w:rPr>
          <w:rFonts w:eastAsia="MS PGothic" w:cs="Calibri"/>
          <w:bCs/>
        </w:rPr>
        <w:t xml:space="preserve"> 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24</w:t>
      </w:r>
    </w:p>
    <w:p w:rsidR="00C4116A" w:rsidRPr="00AE28B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Key Injury Mechanisms Covered by Injury Prevention and Control Program (IPCP)</w:t>
      </w:r>
    </w:p>
    <w:p w:rsidR="00AE28B4" w:rsidRDefault="00AE28B4" w:rsidP="00AE28B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  <w:bCs/>
        </w:rPr>
        <w:t xml:space="preserve">Image with information related to </w:t>
      </w:r>
      <w:r>
        <w:rPr>
          <w:rFonts w:eastAsia="MS PGothic" w:cs="Calibri"/>
          <w:bCs/>
        </w:rPr>
        <w:t>key injury mechanisms: falls, transportation, youth sports concussion, sleep-related infant deaths, and poison</w:t>
      </w:r>
      <w:r w:rsidRPr="00AE28B4">
        <w:rPr>
          <w:rFonts w:eastAsia="MS PGothic" w:cs="Calibri"/>
          <w:bCs/>
        </w:rPr>
        <w:t xml:space="preserve"> 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25</w:t>
      </w:r>
    </w:p>
    <w:p w:rsidR="00C4116A" w:rsidRPr="00AE28B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AE28B4">
        <w:rPr>
          <w:rFonts w:eastAsia="MS PGothic" w:cs="Calibri"/>
          <w:b/>
        </w:rPr>
        <w:t>Injury Data Sources and Findings</w:t>
      </w:r>
    </w:p>
    <w:p w:rsid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Pr="00301778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26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  <w:b/>
          <w:bCs/>
        </w:rPr>
        <w:t>Injury Data Sources</w:t>
      </w:r>
    </w:p>
    <w:p w:rsidR="00C4116A" w:rsidRPr="00AE28B4" w:rsidRDefault="00C4116A" w:rsidP="00AE28B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AE28B4">
        <w:rPr>
          <w:rFonts w:eastAsia="MS PGothic" w:cs="Calibri"/>
          <w:b/>
          <w:bCs/>
        </w:rPr>
        <w:t>Primary data sources</w:t>
      </w:r>
    </w:p>
    <w:p w:rsidR="00C4116A" w:rsidRPr="00AE28B4" w:rsidRDefault="00C4116A" w:rsidP="00AE28B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MA Violent Death Reporting System (MAVDRS)</w:t>
      </w:r>
    </w:p>
    <w:p w:rsidR="00C4116A" w:rsidRPr="00AE28B4" w:rsidRDefault="00C4116A" w:rsidP="00AE28B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Hospital Case-mix data</w:t>
      </w:r>
    </w:p>
    <w:p w:rsidR="00C4116A" w:rsidRPr="00AE28B4" w:rsidRDefault="00C4116A" w:rsidP="00AE28B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Vital Records and Statistics (death files)</w:t>
      </w:r>
    </w:p>
    <w:p w:rsidR="00C4116A" w:rsidRPr="00AE28B4" w:rsidRDefault="00C4116A" w:rsidP="00AE28B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State Health Surveys (BRFSS, YRBS, YHS)</w:t>
      </w:r>
    </w:p>
    <w:p w:rsidR="00C4116A" w:rsidRPr="00AE28B4" w:rsidRDefault="00C4116A" w:rsidP="00AE28B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AE28B4">
        <w:rPr>
          <w:rFonts w:eastAsia="MS PGothic" w:cs="Calibri"/>
          <w:b/>
          <w:bCs/>
        </w:rPr>
        <w:t xml:space="preserve">Diverse secondary/emerging injury data sources </w:t>
      </w:r>
    </w:p>
    <w:p w:rsidR="00C4116A" w:rsidRPr="00AE28B4" w:rsidRDefault="00C4116A" w:rsidP="00AE28B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MA Ambulance Trip Record Information System (MATRIS)</w:t>
      </w:r>
    </w:p>
    <w:p w:rsidR="00C4116A" w:rsidRPr="00AE28B4" w:rsidRDefault="00C4116A" w:rsidP="00AE28B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ED Syndromic Surveillance</w:t>
      </w:r>
    </w:p>
    <w:p w:rsidR="00C4116A" w:rsidRPr="00AE28B4" w:rsidRDefault="00C4116A" w:rsidP="00AE28B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>Linked Crash – Hospital Case-mix data</w:t>
      </w:r>
    </w:p>
    <w:p w:rsidR="00C4116A" w:rsidRPr="00AE28B4" w:rsidRDefault="00C4116A" w:rsidP="00AE28B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</w:rPr>
        <w:t xml:space="preserve">Trauma Registry 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i/>
          <w:iCs/>
        </w:rPr>
      </w:pPr>
    </w:p>
    <w:p w:rsidR="00C4116A" w:rsidRPr="00301778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27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t>Suicide and Homicide</w:t>
      </w:r>
    </w:p>
    <w:p w:rsidR="00C61959" w:rsidRPr="00C61959" w:rsidRDefault="00C61959" w:rsidP="00C61959">
      <w:pPr>
        <w:autoSpaceDE w:val="0"/>
        <w:autoSpaceDN w:val="0"/>
        <w:adjustRightInd w:val="0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C61959">
        <w:rPr>
          <w:rFonts w:eastAsia="MS PGothic" w:cs="Calibri"/>
          <w:bCs/>
        </w:rPr>
        <w:t xml:space="preserve">Suicides, Homicides and Motor Vehicle Fatalities, MA </w:t>
      </w:r>
      <w:proofErr w:type="spellStart"/>
      <w:r w:rsidRPr="00C61959">
        <w:rPr>
          <w:rFonts w:eastAsia="MS PGothic" w:cs="Calibri"/>
          <w:bCs/>
        </w:rPr>
        <w:t>Occurrent</w:t>
      </w:r>
      <w:proofErr w:type="spellEnd"/>
      <w:r w:rsidRPr="00C61959">
        <w:rPr>
          <w:rFonts w:eastAsia="MS PGothic" w:cs="Calibri"/>
          <w:bCs/>
        </w:rPr>
        <w:t>, 2005 - 2015</w:t>
      </w:r>
    </w:p>
    <w:p w:rsidR="00C61959" w:rsidRDefault="00C6195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AE28B4" w:rsidRP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28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t>Suicide Circumstance</w:t>
      </w:r>
    </w:p>
    <w:p w:rsidR="00C61959" w:rsidRPr="00C61959" w:rsidRDefault="00C61959" w:rsidP="00C61959">
      <w:pPr>
        <w:autoSpaceDE w:val="0"/>
        <w:autoSpaceDN w:val="0"/>
        <w:adjustRightInd w:val="0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>
        <w:rPr>
          <w:rFonts w:eastAsia="MS PGothic" w:cs="Calibri"/>
          <w:bCs/>
        </w:rPr>
        <w:t>Circumstances associated with suicide, Massachusetts, 2015</w:t>
      </w:r>
    </w:p>
    <w:p w:rsidR="00C61959" w:rsidRDefault="00C6195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AE28B4" w:rsidRP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29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t>Traumatic Brain Injury</w:t>
      </w:r>
    </w:p>
    <w:p w:rsidR="00C61959" w:rsidRPr="00C61959" w:rsidRDefault="00C61959" w:rsidP="00C61959">
      <w:pPr>
        <w:autoSpaceDE w:val="0"/>
        <w:autoSpaceDN w:val="0"/>
        <w:adjustRightInd w:val="0"/>
        <w:rPr>
          <w:rFonts w:eastAsia="MS PGothic" w:cs="Calibri"/>
        </w:rPr>
      </w:pPr>
      <w:r>
        <w:rPr>
          <w:rFonts w:eastAsia="MS PGothic" w:cs="Calibri"/>
        </w:rPr>
        <w:t xml:space="preserve">Graphs of </w:t>
      </w:r>
      <w:r w:rsidRPr="00C61959">
        <w:rPr>
          <w:rFonts w:eastAsia="MS PGothic" w:cs="Calibri"/>
          <w:bCs/>
        </w:rPr>
        <w:t>TBI-Related Deaths, Hospitalizations and ED Visits, by Injury Mechanism, MA Residents, 2015</w:t>
      </w:r>
    </w:p>
    <w:p w:rsidR="00C61959" w:rsidRDefault="00C6195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AE28B4" w:rsidRPr="00AE28B4" w:rsidRDefault="00AE28B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30</w:t>
      </w: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lastRenderedPageBreak/>
        <w:t xml:space="preserve">Falls </w:t>
      </w:r>
      <w:proofErr w:type="gramStart"/>
      <w:r w:rsidRPr="00301778">
        <w:rPr>
          <w:rFonts w:eastAsia="MS PGothic" w:cs="Calibri"/>
          <w:b/>
          <w:bCs/>
        </w:rPr>
        <w:t>Among</w:t>
      </w:r>
      <w:proofErr w:type="gramEnd"/>
      <w:r w:rsidRPr="00301778">
        <w:rPr>
          <w:rFonts w:eastAsia="MS PGothic" w:cs="Calibri"/>
          <w:b/>
          <w:bCs/>
        </w:rPr>
        <w:t xml:space="preserve"> Older Adults</w:t>
      </w:r>
    </w:p>
    <w:p w:rsidR="00C61959" w:rsidRPr="00C61959" w:rsidRDefault="00C61959" w:rsidP="00C61959">
      <w:pPr>
        <w:autoSpaceDE w:val="0"/>
        <w:autoSpaceDN w:val="0"/>
        <w:adjustRightInd w:val="0"/>
        <w:rPr>
          <w:rFonts w:eastAsia="MS PGothic" w:cs="Calibri"/>
        </w:rPr>
      </w:pPr>
      <w:r>
        <w:rPr>
          <w:rFonts w:eastAsia="MS PGothic" w:cs="Calibri"/>
        </w:rPr>
        <w:t xml:space="preserve">Graphs of </w:t>
      </w:r>
      <w:r w:rsidRPr="00C61959">
        <w:rPr>
          <w:rFonts w:eastAsia="MS PGothic" w:cs="Calibri"/>
          <w:bCs/>
        </w:rPr>
        <w:t>Fall Death Rate by Sex, Ages 65 and Older, MA Residents, 2006 - 2014</w:t>
      </w:r>
    </w:p>
    <w:p w:rsidR="00C61959" w:rsidRDefault="00C6195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C61959" w:rsidRPr="00C61959" w:rsidRDefault="00C6195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C61959">
        <w:rPr>
          <w:rFonts w:eastAsia="MS PGothic" w:cs="Calibri"/>
          <w:bCs/>
        </w:rPr>
        <w:t>Slide 31</w:t>
      </w: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t>Motor Vehicle Injuries</w:t>
      </w:r>
    </w:p>
    <w:p w:rsidR="00C61959" w:rsidRPr="00C61959" w:rsidRDefault="00C61959" w:rsidP="00C61959">
      <w:pPr>
        <w:autoSpaceDE w:val="0"/>
        <w:autoSpaceDN w:val="0"/>
        <w:adjustRightInd w:val="0"/>
        <w:rPr>
          <w:rFonts w:eastAsia="MS PGothic" w:cs="Calibri"/>
        </w:rPr>
      </w:pPr>
      <w:r>
        <w:rPr>
          <w:rFonts w:eastAsia="MS PGothic" w:cs="Calibri"/>
        </w:rPr>
        <w:t xml:space="preserve">Graphs of </w:t>
      </w:r>
      <w:r>
        <w:rPr>
          <w:rFonts w:eastAsia="MS PGothic" w:cs="Calibri"/>
          <w:bCs/>
        </w:rPr>
        <w:t>Hospital stays for MV injuries to young drivers</w:t>
      </w:r>
    </w:p>
    <w:p w:rsidR="00C61959" w:rsidRPr="00C61959" w:rsidRDefault="00C6195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>
        <w:rPr>
          <w:rFonts w:eastAsia="MS PGothic" w:cs="Calibri"/>
          <w:bCs/>
        </w:rPr>
        <w:t>Slide 32</w:t>
      </w: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301778">
        <w:rPr>
          <w:rFonts w:eastAsia="MS PGothic" w:cs="Calibri"/>
          <w:b/>
          <w:bCs/>
        </w:rPr>
        <w:t>Motor Vehicle Injuries</w:t>
      </w:r>
    </w:p>
    <w:p w:rsidR="00C61959" w:rsidRPr="00C61959" w:rsidRDefault="00C61959" w:rsidP="00C61959">
      <w:pPr>
        <w:autoSpaceDE w:val="0"/>
        <w:autoSpaceDN w:val="0"/>
        <w:adjustRightInd w:val="0"/>
        <w:rPr>
          <w:rFonts w:eastAsia="MS PGothic" w:cs="Calibri"/>
        </w:rPr>
      </w:pPr>
      <w:proofErr w:type="gramStart"/>
      <w:r>
        <w:rPr>
          <w:rFonts w:eastAsia="MS PGothic" w:cs="Calibri"/>
        </w:rPr>
        <w:t xml:space="preserve">Graphs of </w:t>
      </w:r>
      <w:r>
        <w:rPr>
          <w:rFonts w:eastAsia="MS PGothic" w:cs="Calibri"/>
          <w:bCs/>
        </w:rPr>
        <w:t>Hospital stays</w:t>
      </w:r>
      <w:proofErr w:type="gramEnd"/>
      <w:r>
        <w:rPr>
          <w:rFonts w:eastAsia="MS PGothic" w:cs="Calibri"/>
          <w:bCs/>
        </w:rPr>
        <w:t xml:space="preserve"> for MV driver injuries</w:t>
      </w:r>
    </w:p>
    <w:p w:rsidR="00C61959" w:rsidRP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944824">
        <w:rPr>
          <w:rFonts w:eastAsia="MS PGothic" w:cs="Calibri"/>
          <w:bCs/>
        </w:rPr>
        <w:t>Slide 33</w:t>
      </w:r>
    </w:p>
    <w:p w:rsidR="00C4116A" w:rsidRPr="0094482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44824">
        <w:rPr>
          <w:rFonts w:eastAsia="MS PGothic" w:cs="Calibri"/>
          <w:b/>
        </w:rPr>
        <w:t>Programs and Partnerships</w:t>
      </w: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34</w:t>
      </w:r>
    </w:p>
    <w:p w:rsidR="00C4116A" w:rsidRPr="0094482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44824">
        <w:rPr>
          <w:rFonts w:eastAsia="MS PGothic" w:cs="Calibri"/>
          <w:b/>
        </w:rPr>
        <w:t>Statutes and Statutory Bodies</w:t>
      </w:r>
    </w:p>
    <w:p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  <w:bCs/>
        </w:rPr>
        <w:t xml:space="preserve">Image with information related </w:t>
      </w:r>
      <w:r>
        <w:rPr>
          <w:rFonts w:eastAsia="MS PGothic" w:cs="Calibri"/>
          <w:bCs/>
        </w:rPr>
        <w:t>statutes and statutory bodies: falls prevention commission, spinal cord injury cure research fund, youth sports concussions, child fatality review, off-highway vehicle advisory committee, executive traffic records collection committee</w:t>
      </w: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35</w:t>
      </w:r>
    </w:p>
    <w:p w:rsidR="00C4116A" w:rsidRPr="0094482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44824">
        <w:rPr>
          <w:rFonts w:eastAsia="MS PGothic" w:cs="Calibri"/>
          <w:b/>
        </w:rPr>
        <w:t>Coalitions, Advisory Groups, and Committees</w:t>
      </w: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AE28B4">
        <w:rPr>
          <w:rFonts w:eastAsia="MS PGothic" w:cs="Calibri"/>
          <w:bCs/>
        </w:rPr>
        <w:t xml:space="preserve">Image with information related </w:t>
      </w:r>
      <w:r>
        <w:rPr>
          <w:rFonts w:eastAsia="MS PGothic" w:cs="Calibri"/>
          <w:bCs/>
        </w:rPr>
        <w:t>coalitions, advisory groups, and committees.</w:t>
      </w: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36</w:t>
      </w:r>
    </w:p>
    <w:p w:rsidR="00C4116A" w:rsidRPr="0094482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44824">
        <w:rPr>
          <w:rFonts w:eastAsia="MS PGothic" w:cs="Calibri"/>
          <w:b/>
        </w:rPr>
        <w:t>Sponsored Programs</w:t>
      </w:r>
    </w:p>
    <w:p w:rsidR="00C4116A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Image with information related to sponsored programs.</w:t>
      </w: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44824" w:rsidRPr="00301778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37</w:t>
      </w:r>
    </w:p>
    <w:p w:rsidR="00C4116A" w:rsidRPr="0094482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44824">
        <w:rPr>
          <w:rFonts w:eastAsia="MS PGothic" w:cs="Calibri"/>
          <w:b/>
        </w:rPr>
        <w:t>Sample Materials</w:t>
      </w:r>
    </w:p>
    <w:p w:rsidR="00944824" w:rsidRPr="00301778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Images of sample materials</w:t>
      </w: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44824" w:rsidRPr="00301778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38</w:t>
      </w:r>
    </w:p>
    <w:p w:rsidR="00C4116A" w:rsidRPr="0094482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44824">
        <w:rPr>
          <w:rFonts w:eastAsia="MS PGothic" w:cs="Calibri"/>
          <w:b/>
        </w:rPr>
        <w:t>Exciting New Opportunity</w:t>
      </w:r>
    </w:p>
    <w:p w:rsidR="00C4116A" w:rsidRPr="00944824" w:rsidRDefault="00C4116A" w:rsidP="0094482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44824">
        <w:rPr>
          <w:rFonts w:eastAsia="MS PGothic" w:cs="Calibri"/>
        </w:rPr>
        <w:t>$10 Million budget allocation for a gun and violent crime prevention program addressing out-of-school youth and young adults aged 17-24</w:t>
      </w:r>
    </w:p>
    <w:p w:rsidR="00C4116A" w:rsidRPr="00944824" w:rsidRDefault="00C4116A" w:rsidP="0094482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44824">
        <w:rPr>
          <w:rFonts w:eastAsia="MS PGothic" w:cs="Calibri"/>
        </w:rPr>
        <w:t>Currently gathering input from multi-sector stakeholders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proofErr w:type="gramStart"/>
      <w:r w:rsidRPr="00301778">
        <w:rPr>
          <w:rFonts w:eastAsia="MS PGothic" w:cs="Calibri"/>
          <w:b/>
          <w:bCs/>
        </w:rPr>
        <w:t>Questions?</w:t>
      </w:r>
      <w:proofErr w:type="gramEnd"/>
      <w:r w:rsidRPr="00301778">
        <w:rPr>
          <w:rFonts w:eastAsia="MS PGothic" w:cs="Calibri"/>
          <w:b/>
          <w:bCs/>
        </w:rPr>
        <w:t xml:space="preserve"> </w:t>
      </w: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Contact </w:t>
      </w:r>
      <w:proofErr w:type="spellStart"/>
      <w:r w:rsidRPr="00301778">
        <w:rPr>
          <w:rFonts w:eastAsia="MS PGothic" w:cs="Calibri"/>
        </w:rPr>
        <w:t>Babanina</w:t>
      </w:r>
      <w:proofErr w:type="spellEnd"/>
      <w:r w:rsidRPr="00301778">
        <w:rPr>
          <w:rFonts w:eastAsia="MS PGothic" w:cs="Calibri"/>
        </w:rPr>
        <w:t xml:space="preserve"> James, Director of Child and Youth Violence Prevention </w:t>
      </w:r>
      <w:r w:rsidRPr="00301778">
        <w:rPr>
          <w:rFonts w:eastAsia="MS PGothic" w:cs="Calibri"/>
          <w:u w:val="single"/>
        </w:rPr>
        <w:t>Babanina.James@MassMail.State.MA.US</w:t>
      </w:r>
      <w:r w:rsidRPr="00301778">
        <w:rPr>
          <w:rFonts w:eastAsia="MS PGothic" w:cs="Calibri"/>
        </w:rPr>
        <w:t xml:space="preserve"> </w:t>
      </w:r>
    </w:p>
    <w:p w:rsidR="00944824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44824" w:rsidRPr="00301778" w:rsidRDefault="00944824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39</w:t>
      </w:r>
    </w:p>
    <w:p w:rsidR="00C4116A" w:rsidRPr="00944824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44824">
        <w:rPr>
          <w:rFonts w:eastAsia="MS PGothic" w:cs="Calibri"/>
          <w:b/>
        </w:rPr>
        <w:t>Trauma Designated and Community Hospital Roles in Prevention</w:t>
      </w:r>
    </w:p>
    <w:p w:rsidR="00C4116A" w:rsidRPr="00944824" w:rsidRDefault="00C4116A" w:rsidP="0094482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44824">
        <w:rPr>
          <w:rFonts w:eastAsia="MS PGothic" w:cs="Calibri"/>
        </w:rPr>
        <w:t>Waiting room education</w:t>
      </w:r>
    </w:p>
    <w:p w:rsidR="00C4116A" w:rsidRPr="00944824" w:rsidRDefault="00C4116A" w:rsidP="0094482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44824">
        <w:rPr>
          <w:rFonts w:eastAsia="MS PGothic" w:cs="Calibri"/>
        </w:rPr>
        <w:t>Hospital-led safety device distribution and installation programs</w:t>
      </w:r>
    </w:p>
    <w:p w:rsidR="00C4116A" w:rsidRPr="00944824" w:rsidRDefault="00C4116A" w:rsidP="0094482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44824">
        <w:rPr>
          <w:rFonts w:eastAsia="MS PGothic" w:cs="Calibri"/>
        </w:rPr>
        <w:lastRenderedPageBreak/>
        <w:t>Hospital-based safe sleep modeling and education</w:t>
      </w:r>
    </w:p>
    <w:p w:rsidR="00C4116A" w:rsidRPr="00944824" w:rsidRDefault="00C4116A" w:rsidP="0094482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44824">
        <w:rPr>
          <w:rFonts w:eastAsia="MS PGothic" w:cs="Calibri"/>
        </w:rPr>
        <w:t>Social worker connections</w:t>
      </w:r>
    </w:p>
    <w:p w:rsidR="00C4116A" w:rsidRPr="00944824" w:rsidRDefault="00C4116A" w:rsidP="0094482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44824">
        <w:rPr>
          <w:rFonts w:eastAsia="MS PGothic" w:cs="Calibri"/>
        </w:rPr>
        <w:t>Screening, Brief Interventions, and Referral to Treatment (SBIRT)</w:t>
      </w:r>
    </w:p>
    <w:p w:rsidR="00C4116A" w:rsidRPr="00944824" w:rsidRDefault="00C4116A" w:rsidP="0094482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44824">
        <w:rPr>
          <w:rFonts w:eastAsia="MS PGothic" w:cs="Calibri"/>
        </w:rPr>
        <w:t>Physician reporting/referrals</w:t>
      </w:r>
    </w:p>
    <w:p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44824" w:rsidRDefault="00944824" w:rsidP="00944824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40</w:t>
      </w:r>
    </w:p>
    <w:p w:rsidR="00C4116A" w:rsidRPr="00944824" w:rsidRDefault="00C4116A" w:rsidP="0094482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44824">
        <w:rPr>
          <w:rFonts w:eastAsia="MS PGothic" w:cs="Calibri"/>
          <w:b/>
        </w:rPr>
        <w:t>Trauma Registry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</w:rPr>
      </w:pPr>
    </w:p>
    <w:p w:rsidR="00C4116A" w:rsidRPr="00944824" w:rsidRDefault="00C4116A" w:rsidP="0094482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944824">
        <w:rPr>
          <w:rFonts w:eastAsia="MS PGothic" w:cs="Calibri"/>
          <w:bCs/>
        </w:rPr>
        <w:t>Data Presentation</w:t>
      </w:r>
    </w:p>
    <w:p w:rsidR="00C4116A" w:rsidRPr="00944824" w:rsidRDefault="00C4116A" w:rsidP="0094482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944824">
        <w:rPr>
          <w:rFonts w:eastAsia="MS PGothic" w:cs="Calibri"/>
          <w:bCs/>
        </w:rPr>
        <w:t>Katherine T. Fillo, Ph.D., MPH, RN-BC</w:t>
      </w:r>
    </w:p>
    <w:p w:rsidR="00C4116A" w:rsidRPr="00944824" w:rsidRDefault="00C4116A" w:rsidP="0094482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944824">
        <w:rPr>
          <w:rFonts w:eastAsia="MS PGothic" w:cs="Calibri"/>
          <w:bCs/>
        </w:rPr>
        <w:t>Director, Division of Quality Improvement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br/>
        <w:t xml:space="preserve"> </w:t>
      </w:r>
    </w:p>
    <w:p w:rsidR="00C4116A" w:rsidRPr="00301778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41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 xml:space="preserve">Trauma Registry </w:t>
      </w:r>
    </w:p>
    <w:p w:rsidR="00C4116A" w:rsidRPr="00522BD9" w:rsidRDefault="00C4116A" w:rsidP="00522BD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Data Submission Update</w:t>
      </w:r>
    </w:p>
    <w:p w:rsidR="00C4116A" w:rsidRPr="00522BD9" w:rsidRDefault="00C4116A" w:rsidP="00522BD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Firearms Follow Up from Previous Meeting</w:t>
      </w:r>
    </w:p>
    <w:p w:rsidR="00C4116A" w:rsidRPr="00522BD9" w:rsidRDefault="00C4116A" w:rsidP="00522BD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Hospital Level All Cause Trauma Rates</w:t>
      </w:r>
    </w:p>
    <w:p w:rsidR="00C4116A" w:rsidRPr="00522BD9" w:rsidRDefault="00C4116A" w:rsidP="00522BD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Preliminary 2016 Trauma Data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42</w:t>
      </w:r>
    </w:p>
    <w:p w:rsidR="00522BD9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Trauma Data Submissions</w:t>
      </w:r>
      <w:r w:rsidR="00522BD9" w:rsidRPr="00522BD9">
        <w:rPr>
          <w:rFonts w:eastAsia="MS PGothic" w:cs="Calibri"/>
          <w:b/>
        </w:rPr>
        <w:t xml:space="preserve">: </w:t>
      </w:r>
      <w:r w:rsidRPr="00522BD9">
        <w:rPr>
          <w:rFonts w:eastAsia="MS PGothic" w:cs="Calibri"/>
          <w:b/>
        </w:rPr>
        <w:t>Designated Trauma Centers</w:t>
      </w:r>
    </w:p>
    <w:p w:rsidR="00000000" w:rsidRPr="00522BD9" w:rsidRDefault="00D358E2" w:rsidP="00522B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2016 submissions for designated trauma centers is nearly complete</w:t>
      </w:r>
    </w:p>
    <w:p w:rsidR="00000000" w:rsidRPr="00522BD9" w:rsidRDefault="00D358E2" w:rsidP="00522B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All programs have submitted a year or more of data from 2017-2</w:t>
      </w:r>
      <w:r w:rsidRPr="00522BD9">
        <w:rPr>
          <w:rFonts w:eastAsia="MS PGothic" w:cs="Calibri"/>
        </w:rPr>
        <w:t>018, though the quarters aren’t necessarily consecutive</w:t>
      </w:r>
    </w:p>
    <w:p w:rsidR="00000000" w:rsidRPr="00522BD9" w:rsidRDefault="00D358E2" w:rsidP="00522B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Ten trauma designated hospitals have completed data entry through FFY Q3-2018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Table with status of data submissions 2016-18 for trauma centers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43</w:t>
      </w:r>
    </w:p>
    <w:p w:rsidR="00522BD9" w:rsidRP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 xml:space="preserve">Trauma Data Submissions: </w:t>
      </w:r>
      <w:r>
        <w:rPr>
          <w:rFonts w:eastAsia="MS PGothic" w:cs="Calibri"/>
          <w:b/>
        </w:rPr>
        <w:t>Community Hospitals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522BD9" w:rsidRDefault="00C4116A" w:rsidP="0030177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Additional outreach continues with community hospitals to increase response rate</w:t>
      </w:r>
    </w:p>
    <w:p w:rsidR="00C4116A" w:rsidRPr="00522BD9" w:rsidRDefault="00C4116A" w:rsidP="0030177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Eight community hospitals have complete data through FFYQ3-2018</w:t>
      </w:r>
    </w:p>
    <w:p w:rsidR="00C4116A" w:rsidRPr="00522BD9" w:rsidRDefault="00C4116A" w:rsidP="00522BD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23 community hospitals have submitted no data between 2016 and 2018</w:t>
      </w: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Table with status of data submissions 2016-18 for </w:t>
      </w:r>
      <w:r>
        <w:rPr>
          <w:rFonts w:eastAsia="MS PGothic" w:cs="Calibri"/>
        </w:rPr>
        <w:t>community hospitals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Pr="00301778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44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Gun Shot Wound Follow Up Response</w:t>
      </w:r>
    </w:p>
    <w:p w:rsidR="00C4116A" w:rsidRPr="00522BD9" w:rsidRDefault="00C4116A" w:rsidP="00522BD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At the August 2018 meeting, members had questions about the low count of self-inflicted gunshot wounds in the Massachusetts Trauma Registry</w:t>
      </w:r>
    </w:p>
    <w:p w:rsidR="00C4116A" w:rsidRPr="00522BD9" w:rsidRDefault="00C4116A" w:rsidP="00522BD9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 xml:space="preserve">For 2011-2015 number of incidents reported: 130 </w:t>
      </w:r>
    </w:p>
    <w:p w:rsidR="00C4116A" w:rsidRPr="00522BD9" w:rsidRDefault="00C4116A" w:rsidP="00522BD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lastRenderedPageBreak/>
        <w:t>Attempted to validate Trauma Registry using MA Ambulance Trip Record Information System (MATRIS) Data</w:t>
      </w:r>
    </w:p>
    <w:p w:rsidR="00C4116A" w:rsidRPr="00522BD9" w:rsidRDefault="00C4116A" w:rsidP="00522BD9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Like the Trauma Registry, MATRIS doesn’t capture many self-inflicted gunshot wounds</w:t>
      </w:r>
    </w:p>
    <w:p w:rsidR="00C4116A" w:rsidRPr="00522BD9" w:rsidRDefault="00C4116A" w:rsidP="00522BD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Cases had to meet both requirements:</w:t>
      </w:r>
    </w:p>
    <w:p w:rsidR="00C4116A" w:rsidRPr="00522BD9" w:rsidRDefault="00C4116A" w:rsidP="00522BD9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Gun Shot Wound (firearm, rifle, shotgun, pistol, handgun included)</w:t>
      </w:r>
    </w:p>
    <w:p w:rsidR="00C4116A" w:rsidRPr="00522BD9" w:rsidRDefault="00C4116A" w:rsidP="00522BD9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proofErr w:type="spellStart"/>
      <w:r w:rsidRPr="00522BD9">
        <w:rPr>
          <w:rFonts w:eastAsia="MS PGothic" w:cs="Calibri"/>
        </w:rPr>
        <w:t>Self Inflicted</w:t>
      </w:r>
      <w:proofErr w:type="spellEnd"/>
      <w:r w:rsidRPr="00522BD9">
        <w:rPr>
          <w:rFonts w:eastAsia="MS PGothic" w:cs="Calibri"/>
        </w:rPr>
        <w:t>/Suicidal Intention*</w:t>
      </w: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Table with </w:t>
      </w:r>
      <w:proofErr w:type="spellStart"/>
      <w:r>
        <w:rPr>
          <w:rFonts w:eastAsia="MS PGothic" w:cs="Calibri"/>
        </w:rPr>
        <w:t>self inflicted</w:t>
      </w:r>
      <w:proofErr w:type="spellEnd"/>
      <w:r>
        <w:rPr>
          <w:rFonts w:eastAsia="MS PGothic" w:cs="Calibri"/>
        </w:rPr>
        <w:t xml:space="preserve"> intentional </w:t>
      </w:r>
      <w:proofErr w:type="spellStart"/>
      <w:r>
        <w:rPr>
          <w:rFonts w:eastAsia="MS PGothic" w:cs="Calibri"/>
        </w:rPr>
        <w:t>gsw</w:t>
      </w:r>
      <w:proofErr w:type="spellEnd"/>
      <w:r>
        <w:rPr>
          <w:rFonts w:eastAsia="MS PGothic" w:cs="Calibri"/>
        </w:rPr>
        <w:t xml:space="preserve"> data from 2015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P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Footnote: </w:t>
      </w:r>
      <w:r w:rsidRPr="00522BD9">
        <w:rPr>
          <w:rFonts w:eastAsia="MS PGothic" w:cs="Calibri"/>
        </w:rPr>
        <w:t xml:space="preserve">*Accidental/firearm cleaning injuries were excluded as suicidal ideation was necessary </w:t>
      </w:r>
    </w:p>
    <w:p w:rsidR="00522BD9" w:rsidRP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^6 unconfirmed cases where GSW was likely fatal but death was not called on scene</w:t>
      </w: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Data extracted from MATRIS on 6/7/2018</w:t>
      </w: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Pr="00301778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45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Trauma Rate, 2011-2015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Graph of MA overall trauma rate, 2011-2015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46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Trauma Rate and Count, 2011-2015</w:t>
      </w: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Graph of MA overall trauma</w:t>
      </w:r>
      <w:r>
        <w:rPr>
          <w:rFonts w:eastAsia="MS PGothic" w:cs="Calibri"/>
        </w:rPr>
        <w:t xml:space="preserve"> count and</w:t>
      </w:r>
      <w:r>
        <w:rPr>
          <w:rFonts w:eastAsia="MS PGothic" w:cs="Calibri"/>
        </w:rPr>
        <w:t xml:space="preserve"> rate, 2011-2015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47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Trauma Rate by Trauma Hospital Status, 2011-2015</w:t>
      </w: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MA </w:t>
      </w:r>
      <w:r>
        <w:rPr>
          <w:rFonts w:eastAsia="MS PGothic" w:cs="Calibri"/>
        </w:rPr>
        <w:t>trauma rate by trauma designation</w:t>
      </w:r>
      <w:r>
        <w:rPr>
          <w:rFonts w:eastAsia="MS PGothic" w:cs="Calibri"/>
        </w:rPr>
        <w:t>, 2011-2015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48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Trauma Rate by Teaching Status, 2011-2015</w:t>
      </w: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MA trauma rate by </w:t>
      </w:r>
      <w:r>
        <w:rPr>
          <w:rFonts w:eastAsia="MS PGothic" w:cs="Calibri"/>
        </w:rPr>
        <w:t>hospital teaching status</w:t>
      </w:r>
      <w:r>
        <w:rPr>
          <w:rFonts w:eastAsia="MS PGothic" w:cs="Calibri"/>
        </w:rPr>
        <w:t>, 2011-2015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49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Trauma Rate by Age, 2011-2015</w:t>
      </w: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MA trauma rate by </w:t>
      </w:r>
      <w:r>
        <w:rPr>
          <w:rFonts w:eastAsia="MS PGothic" w:cs="Calibri"/>
        </w:rPr>
        <w:t>age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50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Unintentional Trauma by Type-Firearm</w:t>
      </w: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>
        <w:rPr>
          <w:rFonts w:eastAsia="MS PGothic" w:cs="Calibri"/>
        </w:rPr>
        <w:t>preliminary firearm trauma count by intent, MA 2011-2015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51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Firearm Trauma by Type</w:t>
      </w: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Graph of preliminary firearm trauma count by intent</w:t>
      </w:r>
      <w:r>
        <w:rPr>
          <w:rFonts w:eastAsia="MS PGothic" w:cs="Calibri"/>
        </w:rPr>
        <w:t xml:space="preserve"> and trauma designation</w:t>
      </w:r>
      <w:r>
        <w:rPr>
          <w:rFonts w:eastAsia="MS PGothic" w:cs="Calibri"/>
        </w:rPr>
        <w:t>, MA 2011-2015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Pr="00301778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lastRenderedPageBreak/>
        <w:t>Slide 52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CY2016 Trauma Registry First Look</w:t>
      </w:r>
    </w:p>
    <w:p w:rsidR="00C4116A" w:rsidRPr="00522BD9" w:rsidRDefault="00C4116A" w:rsidP="00522BD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2016 submissions are still ongoing, these data are preliminary and subject to change</w:t>
      </w:r>
    </w:p>
    <w:p w:rsidR="00C4116A" w:rsidRPr="00522BD9" w:rsidRDefault="00C4116A" w:rsidP="00522BD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Additional data collection, review, cleaning, and validation of the data will be completed</w:t>
      </w:r>
    </w:p>
    <w:p w:rsidR="00C4116A" w:rsidRPr="00522BD9" w:rsidRDefault="00C4116A" w:rsidP="00522BD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22BD9">
        <w:rPr>
          <w:rFonts w:eastAsia="MS PGothic" w:cs="Calibri"/>
        </w:rPr>
        <w:t>43,096 unique traumas with an inpatient observation date in CY2016 have been reported to the registry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53</w:t>
      </w:r>
    </w:p>
    <w:p w:rsidR="00C4116A" w:rsidRPr="00D358E2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D358E2">
        <w:rPr>
          <w:rFonts w:eastAsia="MS PGothic" w:cs="Calibri"/>
          <w:b/>
        </w:rPr>
        <w:t>CY2016 Trauma Registry First Look</w:t>
      </w: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preliminary </w:t>
      </w:r>
      <w:r w:rsidR="00D358E2">
        <w:rPr>
          <w:rFonts w:eastAsia="MS PGothic" w:cs="Calibri"/>
        </w:rPr>
        <w:t>count of all cause trauma by MA hospital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54</w:t>
      </w:r>
    </w:p>
    <w:p w:rsidR="00522BD9" w:rsidRPr="00D358E2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D358E2">
        <w:rPr>
          <w:rFonts w:eastAsia="MS PGothic" w:cs="Calibri"/>
          <w:b/>
        </w:rPr>
        <w:t>CY2016 Trauma Registry First Look</w:t>
      </w:r>
    </w:p>
    <w:p w:rsidR="00D358E2" w:rsidRPr="00301778" w:rsidRDefault="00D358E2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>
        <w:rPr>
          <w:rFonts w:eastAsia="MS PGothic" w:cs="Calibri"/>
        </w:rPr>
        <w:t>MA overall trauma count, 2011-2016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D358E2" w:rsidRDefault="00D358E2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55</w:t>
      </w:r>
    </w:p>
    <w:p w:rsidR="00522BD9" w:rsidRPr="00D358E2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D358E2">
        <w:rPr>
          <w:rFonts w:eastAsia="MS PGothic" w:cs="Calibri"/>
          <w:b/>
        </w:rPr>
        <w:t>CY2016 Trauma Registry First Look</w:t>
      </w:r>
    </w:p>
    <w:p w:rsidR="00D358E2" w:rsidRPr="00D358E2" w:rsidRDefault="00D358E2" w:rsidP="00D358E2">
      <w:pPr>
        <w:autoSpaceDE w:val="0"/>
        <w:autoSpaceDN w:val="0"/>
        <w:adjustRightInd w:val="0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D358E2">
        <w:rPr>
          <w:rFonts w:eastAsia="MS PGothic" w:cs="Calibri"/>
        </w:rPr>
        <w:t>Alcohol Testing Among Massachusetts Traumas with Motor Vehicle Restraints Reported</w:t>
      </w:r>
    </w:p>
    <w:p w:rsidR="00D358E2" w:rsidRDefault="00D358E2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56</w:t>
      </w:r>
    </w:p>
    <w:p w:rsidR="00522BD9" w:rsidRPr="00D358E2" w:rsidRDefault="00522BD9" w:rsidP="00522BD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bookmarkStart w:id="0" w:name="_GoBack"/>
      <w:r w:rsidRPr="00D358E2">
        <w:rPr>
          <w:rFonts w:eastAsia="MS PGothic" w:cs="Calibri"/>
          <w:b/>
        </w:rPr>
        <w:t>CY2016 Trauma Registry First Look</w:t>
      </w:r>
    </w:p>
    <w:bookmarkEnd w:id="0"/>
    <w:p w:rsidR="00522BD9" w:rsidRDefault="00D358E2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 xml:space="preserve">Graph of </w:t>
      </w:r>
      <w:r w:rsidRPr="00D358E2">
        <w:rPr>
          <w:rFonts w:eastAsia="MS PGothic" w:cs="Calibri"/>
        </w:rPr>
        <w:t>Preliminary Percentage of Work-Related All Cause Trauma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57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Future Meetings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Meeting Schedule: </w:t>
      </w:r>
      <w:r w:rsidRPr="00301778">
        <w:rPr>
          <w:rFonts w:eastAsia="MS PGothic" w:cs="Calibri"/>
        </w:rPr>
        <w:br/>
        <w:t xml:space="preserve"> 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>Wednesday, February 27, 2019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t xml:space="preserve">All meetings will be held from 10:00am-12:00pm and are expected to be held at MEMA.  </w:t>
      </w: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22BD9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58</w:t>
      </w:r>
    </w:p>
    <w:p w:rsidR="00C4116A" w:rsidRPr="00522BD9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522BD9">
        <w:rPr>
          <w:rFonts w:eastAsia="MS PGothic" w:cs="Calibri"/>
          <w:b/>
        </w:rPr>
        <w:t>Additional Information</w:t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C4116A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u w:val="single"/>
        </w:rPr>
      </w:pPr>
      <w:r w:rsidRPr="00301778">
        <w:rPr>
          <w:rFonts w:eastAsia="MS PGothic" w:cs="Calibri"/>
        </w:rPr>
        <w:t xml:space="preserve">For more information, please visit: </w:t>
      </w:r>
      <w:hyperlink r:id="rId6" w:history="1">
        <w:r w:rsidR="00522BD9" w:rsidRPr="001E3911">
          <w:rPr>
            <w:rStyle w:val="Hyperlink"/>
            <w:rFonts w:eastAsia="MS PGothic" w:cs="Calibri"/>
          </w:rPr>
          <w:t>https://www.mass.gov/service-details/trauma-systems-committee</w:t>
        </w:r>
      </w:hyperlink>
    </w:p>
    <w:p w:rsidR="00522BD9" w:rsidRPr="00301778" w:rsidRDefault="00522BD9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u w:val="single"/>
        </w:rPr>
      </w:pP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301778">
        <w:rPr>
          <w:rFonts w:eastAsia="MS PGothic" w:cs="Calibri"/>
        </w:rPr>
        <w:br/>
      </w:r>
    </w:p>
    <w:p w:rsidR="00C4116A" w:rsidRPr="00301778" w:rsidRDefault="00C4116A" w:rsidP="0030177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1F380A" w:rsidRPr="00301778" w:rsidRDefault="001F380A" w:rsidP="00301778"/>
    <w:sectPr w:rsidR="001F380A" w:rsidRPr="00301778" w:rsidSect="000730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7A5682"/>
    <w:lvl w:ilvl="0">
      <w:numFmt w:val="bullet"/>
      <w:lvlText w:val="*"/>
      <w:lvlJc w:val="left"/>
    </w:lvl>
  </w:abstractNum>
  <w:abstractNum w:abstractNumId="1">
    <w:nsid w:val="06F47013"/>
    <w:multiLevelType w:val="hybridMultilevel"/>
    <w:tmpl w:val="D358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C3FEB"/>
    <w:multiLevelType w:val="hybridMultilevel"/>
    <w:tmpl w:val="C93E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A05B4"/>
    <w:multiLevelType w:val="hybridMultilevel"/>
    <w:tmpl w:val="10B8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70FE3"/>
    <w:multiLevelType w:val="hybridMultilevel"/>
    <w:tmpl w:val="98A6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955E3"/>
    <w:multiLevelType w:val="hybridMultilevel"/>
    <w:tmpl w:val="601E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70B1D"/>
    <w:multiLevelType w:val="hybridMultilevel"/>
    <w:tmpl w:val="0E9E0104"/>
    <w:lvl w:ilvl="0" w:tplc="4C48E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4E374">
      <w:start w:val="38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F86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22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C01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44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02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68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05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B7252FA"/>
    <w:multiLevelType w:val="hybridMultilevel"/>
    <w:tmpl w:val="EC1A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40A69"/>
    <w:multiLevelType w:val="hybridMultilevel"/>
    <w:tmpl w:val="0110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21595"/>
    <w:multiLevelType w:val="hybridMultilevel"/>
    <w:tmpl w:val="313C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57F30"/>
    <w:multiLevelType w:val="hybridMultilevel"/>
    <w:tmpl w:val="47EE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602F1"/>
    <w:multiLevelType w:val="hybridMultilevel"/>
    <w:tmpl w:val="F920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A45A5"/>
    <w:multiLevelType w:val="hybridMultilevel"/>
    <w:tmpl w:val="3974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6053D"/>
    <w:multiLevelType w:val="hybridMultilevel"/>
    <w:tmpl w:val="680C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E1986"/>
    <w:multiLevelType w:val="hybridMultilevel"/>
    <w:tmpl w:val="C83A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B5ECA"/>
    <w:multiLevelType w:val="hybridMultilevel"/>
    <w:tmpl w:val="91E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35FB4"/>
    <w:multiLevelType w:val="hybridMultilevel"/>
    <w:tmpl w:val="837CA102"/>
    <w:lvl w:ilvl="0" w:tplc="57B4F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27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2E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4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C5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8B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0E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A5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6F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D79187F"/>
    <w:multiLevelType w:val="hybridMultilevel"/>
    <w:tmpl w:val="DD66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C59CE"/>
    <w:multiLevelType w:val="hybridMultilevel"/>
    <w:tmpl w:val="F508FD70"/>
    <w:lvl w:ilvl="0" w:tplc="405EB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0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A7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85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6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E1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20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A9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A9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6915D7"/>
    <w:multiLevelType w:val="hybridMultilevel"/>
    <w:tmpl w:val="3DE8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9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10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1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16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6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64"/>
        </w:rPr>
      </w:lvl>
    </w:lvlOverride>
  </w:num>
  <w:num w:numId="1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alibri" w:hAnsi="Calibri" w:hint="default"/>
          <w:sz w:val="52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52"/>
        </w:rPr>
      </w:lvl>
    </w:lvlOverride>
  </w:num>
  <w:num w:numId="20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21">
    <w:abstractNumId w:val="2"/>
  </w:num>
  <w:num w:numId="22">
    <w:abstractNumId w:val="5"/>
  </w:num>
  <w:num w:numId="23">
    <w:abstractNumId w:val="6"/>
  </w:num>
  <w:num w:numId="24">
    <w:abstractNumId w:val="11"/>
  </w:num>
  <w:num w:numId="25">
    <w:abstractNumId w:val="8"/>
  </w:num>
  <w:num w:numId="26">
    <w:abstractNumId w:val="14"/>
  </w:num>
  <w:num w:numId="27">
    <w:abstractNumId w:val="19"/>
  </w:num>
  <w:num w:numId="28">
    <w:abstractNumId w:val="4"/>
  </w:num>
  <w:num w:numId="29">
    <w:abstractNumId w:val="15"/>
  </w:num>
  <w:num w:numId="30">
    <w:abstractNumId w:val="16"/>
  </w:num>
  <w:num w:numId="31">
    <w:abstractNumId w:val="1"/>
  </w:num>
  <w:num w:numId="32">
    <w:abstractNumId w:val="13"/>
  </w:num>
  <w:num w:numId="33">
    <w:abstractNumId w:val="12"/>
  </w:num>
  <w:num w:numId="34">
    <w:abstractNumId w:val="3"/>
  </w:num>
  <w:num w:numId="35">
    <w:abstractNumId w:val="17"/>
  </w:num>
  <w:num w:numId="36">
    <w:abstractNumId w:val="18"/>
  </w:num>
  <w:num w:numId="37">
    <w:abstractNumId w:val="10"/>
  </w:num>
  <w:num w:numId="38">
    <w:abstractNumId w:val="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6A"/>
    <w:rsid w:val="001F380A"/>
    <w:rsid w:val="00301778"/>
    <w:rsid w:val="004C4E60"/>
    <w:rsid w:val="00522BD9"/>
    <w:rsid w:val="00944824"/>
    <w:rsid w:val="00AE28B4"/>
    <w:rsid w:val="00B779AD"/>
    <w:rsid w:val="00C4116A"/>
    <w:rsid w:val="00C61959"/>
    <w:rsid w:val="00CC18C0"/>
    <w:rsid w:val="00D358E2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7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7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4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70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56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22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401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14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40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754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6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213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701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66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22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service-details/trauma-systems-committ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McCabe, Marybeth (DPH)</dc:creator>
  <cp:lastModifiedBy> </cp:lastModifiedBy>
  <cp:revision>6</cp:revision>
  <dcterms:created xsi:type="dcterms:W3CDTF">2018-12-10T17:53:00Z</dcterms:created>
  <dcterms:modified xsi:type="dcterms:W3CDTF">2018-12-17T15:34:00Z</dcterms:modified>
</cp:coreProperties>
</file>