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D45F" w14:textId="77777777"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695B048B" w14:textId="77777777" w:rsidR="00912080" w:rsidRDefault="00EA385B" w:rsidP="00EA385B">
      <w:pPr>
        <w:jc w:val="center"/>
      </w:pPr>
      <w:r w:rsidRPr="00113CDB">
        <w:t>BOARD OF REGISTRATION</w:t>
      </w:r>
      <w:r>
        <w:t xml:space="preserve"> </w:t>
      </w:r>
      <w:r w:rsidRPr="00113CDB">
        <w:t>IN MEDICINE</w:t>
      </w:r>
    </w:p>
    <w:p w14:paraId="63CA4600" w14:textId="77777777" w:rsidR="00EA385B" w:rsidRPr="00113CDB" w:rsidRDefault="00EA385B" w:rsidP="00EA385B">
      <w:pPr>
        <w:jc w:val="center"/>
      </w:pPr>
    </w:p>
    <w:p w14:paraId="61EC515A" w14:textId="77777777"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________</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14:paraId="41F9E45A" w14:textId="77777777" w:rsidR="00EA385B" w:rsidRDefault="00EA385B"/>
    <w:p w14:paraId="2ABA37CC" w14:textId="77777777" w:rsidR="00EA385B" w:rsidRPr="00113CDB" w:rsidRDefault="00EA385B">
      <w:pPr>
        <w:rPr>
          <w:bCs/>
        </w:rPr>
      </w:pPr>
      <w:r w:rsidRPr="00113CDB">
        <w:t>_______________</w:t>
      </w:r>
      <w:r>
        <w:t>__</w:t>
      </w:r>
      <w:r w:rsidRPr="00113CDB">
        <w:t>____</w:t>
      </w:r>
      <w:r>
        <w:t>___</w:t>
      </w:r>
    </w:p>
    <w:p w14:paraId="44FB648D" w14:textId="77777777"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14:paraId="7B4D4E16" w14:textId="77777777" w:rsidR="00912080" w:rsidRPr="00113CDB" w:rsidRDefault="00912080">
      <w:pPr>
        <w:rPr>
          <w:bCs/>
        </w:rPr>
      </w:pPr>
      <w:r w:rsidRPr="00113CDB">
        <w:rPr>
          <w:bCs/>
        </w:rPr>
        <w:t>In the Matter of</w:t>
      </w:r>
      <w:r w:rsidRPr="00113CDB">
        <w:rPr>
          <w:bCs/>
        </w:rPr>
        <w:tab/>
      </w:r>
      <w:r w:rsidRPr="00113CDB">
        <w:rPr>
          <w:bCs/>
        </w:rPr>
        <w:tab/>
        <w:t>)</w:t>
      </w:r>
    </w:p>
    <w:p w14:paraId="5FB98C2A" w14:textId="77777777" w:rsidR="00912080" w:rsidRPr="00113CDB" w:rsidRDefault="00912080">
      <w:pPr>
        <w:rPr>
          <w:bCs/>
        </w:rPr>
      </w:pPr>
      <w:r w:rsidRPr="00113CDB">
        <w:rPr>
          <w:bCs/>
        </w:rPr>
        <w:tab/>
      </w:r>
      <w:r w:rsidRPr="00113CDB">
        <w:rPr>
          <w:bCs/>
        </w:rPr>
        <w:tab/>
      </w:r>
      <w:r w:rsidRPr="00113CDB">
        <w:rPr>
          <w:bCs/>
        </w:rPr>
        <w:tab/>
      </w:r>
      <w:r w:rsidRPr="00113CDB">
        <w:rPr>
          <w:bCs/>
        </w:rPr>
        <w:tab/>
        <w:t>)</w:t>
      </w:r>
    </w:p>
    <w:p w14:paraId="6C430FEE" w14:textId="77777777" w:rsidR="00912080" w:rsidRPr="00113CDB" w:rsidRDefault="00F22321">
      <w:pPr>
        <w:rPr>
          <w:bCs/>
        </w:rPr>
      </w:pPr>
      <w:r>
        <w:rPr>
          <w:bCs/>
        </w:rPr>
        <w:t>SHANA N. COSHAL</w:t>
      </w:r>
      <w:r w:rsidR="00396332" w:rsidRPr="00113CDB">
        <w:rPr>
          <w:bCs/>
        </w:rPr>
        <w:t xml:space="preserve">, </w:t>
      </w:r>
      <w:r w:rsidR="00874352">
        <w:rPr>
          <w:bCs/>
        </w:rPr>
        <w:t xml:space="preserve">M.D. </w:t>
      </w:r>
      <w:r w:rsidR="00912080" w:rsidRPr="00113CDB">
        <w:rPr>
          <w:bCs/>
        </w:rPr>
        <w:t>)</w:t>
      </w:r>
    </w:p>
    <w:p w14:paraId="63C71425" w14:textId="77777777" w:rsidR="00912080" w:rsidRPr="00113CDB" w:rsidRDefault="006F3FBA">
      <w:pPr>
        <w:rPr>
          <w:bCs/>
        </w:rPr>
      </w:pPr>
      <w:r w:rsidRPr="00113CDB">
        <w:rPr>
          <w:bCs/>
        </w:rPr>
        <w:t>_____________________</w:t>
      </w:r>
      <w:r w:rsidR="00113CDB">
        <w:rPr>
          <w:bCs/>
        </w:rPr>
        <w:t>___</w:t>
      </w:r>
      <w:r w:rsidR="00912080" w:rsidRPr="00113CDB">
        <w:rPr>
          <w:bCs/>
        </w:rPr>
        <w:t>)</w:t>
      </w:r>
    </w:p>
    <w:p w14:paraId="675CC4DA" w14:textId="77777777" w:rsidR="00912080" w:rsidRPr="00113CDB" w:rsidRDefault="00912080"/>
    <w:p w14:paraId="6CF8D13C" w14:textId="77777777" w:rsidR="00912080" w:rsidRPr="00113CDB" w:rsidRDefault="00912080">
      <w:pPr>
        <w:pStyle w:val="Heading3"/>
        <w:rPr>
          <w:sz w:val="24"/>
          <w:szCs w:val="24"/>
        </w:rPr>
      </w:pPr>
    </w:p>
    <w:p w14:paraId="207FD62C" w14:textId="77777777" w:rsidR="00912080" w:rsidRPr="00113CDB" w:rsidRDefault="00912080">
      <w:pPr>
        <w:pStyle w:val="Heading3"/>
        <w:rPr>
          <w:sz w:val="24"/>
          <w:szCs w:val="24"/>
          <w:u w:val="single"/>
        </w:rPr>
      </w:pPr>
      <w:r w:rsidRPr="00113CDB">
        <w:rPr>
          <w:sz w:val="24"/>
          <w:szCs w:val="24"/>
          <w:u w:val="single"/>
        </w:rPr>
        <w:t>PROBATION AGREEMENT</w:t>
      </w:r>
    </w:p>
    <w:p w14:paraId="634814B3" w14:textId="77777777" w:rsidR="00912080" w:rsidRPr="00113CDB" w:rsidRDefault="00912080"/>
    <w:p w14:paraId="5F4EF223" w14:textId="77777777" w:rsidR="00912080" w:rsidRPr="00113CDB" w:rsidRDefault="00912080"/>
    <w:p w14:paraId="72AC241E" w14:textId="77777777"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50F29952" w14:textId="77777777"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14:paraId="05F0B389" w14:textId="77777777" w:rsidR="00912080" w:rsidRPr="00113CDB" w:rsidRDefault="00912080" w:rsidP="00874352">
      <w:pPr>
        <w:numPr>
          <w:ilvl w:val="0"/>
          <w:numId w:val="4"/>
        </w:numPr>
        <w:spacing w:line="480" w:lineRule="auto"/>
        <w:jc w:val="center"/>
        <w:rPr>
          <w:b/>
        </w:rPr>
      </w:pPr>
      <w:r w:rsidRPr="00113CDB">
        <w:rPr>
          <w:b/>
        </w:rPr>
        <w:t>PARTIES</w:t>
      </w:r>
    </w:p>
    <w:p w14:paraId="7E2452F3" w14:textId="77777777"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00F22321">
        <w:t xml:space="preserve"> Shana N. Coshal</w:t>
      </w:r>
      <w:r w:rsidR="008B25E4">
        <w:t xml:space="preserve">, </w:t>
      </w:r>
      <w:r w:rsidRPr="00113CDB">
        <w:t>M.D. (“</w:t>
      </w:r>
      <w:r w:rsidR="00845D95" w:rsidRPr="00113CDB">
        <w:t xml:space="preserve">the </w:t>
      </w:r>
      <w:r w:rsidRPr="00113CDB">
        <w:t>Respondent”).</w:t>
      </w:r>
    </w:p>
    <w:p w14:paraId="528F3FB8" w14:textId="77777777" w:rsidR="00C25ED7" w:rsidRDefault="00C25ED7" w:rsidP="00882BF7">
      <w:pPr>
        <w:spacing w:line="480" w:lineRule="auto"/>
      </w:pPr>
    </w:p>
    <w:p w14:paraId="5C8C5108" w14:textId="77777777" w:rsidR="00912080" w:rsidRPr="00113CDB" w:rsidRDefault="00912080" w:rsidP="00874352">
      <w:pPr>
        <w:numPr>
          <w:ilvl w:val="0"/>
          <w:numId w:val="4"/>
        </w:numPr>
        <w:spacing w:line="480" w:lineRule="auto"/>
        <w:jc w:val="center"/>
        <w:rPr>
          <w:b/>
        </w:rPr>
      </w:pPr>
      <w:r w:rsidRPr="00113CDB">
        <w:rPr>
          <w:b/>
        </w:rPr>
        <w:t>JURISDICTION</w:t>
      </w:r>
    </w:p>
    <w:p w14:paraId="0E0D7BEC"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lastRenderedPageBreak/>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14:paraId="3657C24F" w14:textId="77777777"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14:paraId="5FC625AB" w14:textId="77777777"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14:paraId="4F9FEA36" w14:textId="77777777" w:rsidR="00C22F32" w:rsidRPr="00C22F32" w:rsidRDefault="00912080" w:rsidP="00882BF7">
      <w:pPr>
        <w:pStyle w:val="BodyText2"/>
        <w:spacing w:line="48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t>The Respondent agrees to undergo monitori</w:t>
      </w:r>
      <w:r w:rsidR="00F25B9A" w:rsidRPr="00C22F32">
        <w:rPr>
          <w:rFonts w:ascii="Times New Roman" w:hAnsi="Times New Roman"/>
          <w:szCs w:val="24"/>
        </w:rPr>
        <w:t xml:space="preserve">ng by the Board </w:t>
      </w:r>
      <w:r w:rsidR="00166CDB">
        <w:rPr>
          <w:rFonts w:ascii="Times New Roman" w:hAnsi="Times New Roman"/>
          <w:szCs w:val="24"/>
        </w:rPr>
        <w:t xml:space="preserve">for </w:t>
      </w:r>
      <w:r w:rsidR="00F25B9A" w:rsidRPr="00C22F32">
        <w:rPr>
          <w:rFonts w:ascii="Times New Roman" w:hAnsi="Times New Roman"/>
          <w:szCs w:val="24"/>
        </w:rPr>
        <w:t xml:space="preserve">at least </w:t>
      </w:r>
      <w:r w:rsidR="00FD6A27" w:rsidRPr="00C22F32">
        <w:rPr>
          <w:rFonts w:ascii="Times New Roman" w:hAnsi="Times New Roman"/>
          <w:szCs w:val="24"/>
        </w:rPr>
        <w:t>five years from the date of the Board’s acceptance of this Agreement</w:t>
      </w:r>
      <w:r w:rsidRPr="00C22F32">
        <w:rPr>
          <w:rFonts w:ascii="Times New Roman" w:hAnsi="Times New Roman"/>
          <w:szCs w:val="24"/>
        </w:rPr>
        <w:t xml:space="preserve"> and for such further period thereafter as the Board shall for reasonable cause order.  </w:t>
      </w:r>
      <w:r w:rsidR="00D37A43">
        <w:rPr>
          <w:rFonts w:ascii="Times New Roman" w:hAnsi="Times New Roman"/>
          <w:szCs w:val="24"/>
        </w:rPr>
        <w:t xml:space="preserve">No </w:t>
      </w:r>
      <w:r w:rsidR="00CE26D5">
        <w:rPr>
          <w:rFonts w:ascii="Times New Roman" w:hAnsi="Times New Roman"/>
          <w:szCs w:val="24"/>
        </w:rPr>
        <w:t>early termination of the</w:t>
      </w:r>
      <w:r w:rsidR="00D37A43">
        <w:rPr>
          <w:rFonts w:ascii="Times New Roman" w:hAnsi="Times New Roman"/>
          <w:szCs w:val="24"/>
        </w:rPr>
        <w:t xml:space="preserve"> Agreement will be allowed</w:t>
      </w:r>
      <w:r w:rsidR="00CE26D5">
        <w:rPr>
          <w:rFonts w:ascii="Times New Roman" w:hAnsi="Times New Roman"/>
          <w:szCs w:val="24"/>
        </w:rPr>
        <w:t xml:space="preserve">.  </w:t>
      </w:r>
      <w:r w:rsidR="00506AEF">
        <w:rPr>
          <w:rFonts w:ascii="Times New Roman" w:hAnsi="Times New Roman"/>
          <w:szCs w:val="24"/>
        </w:rPr>
        <w:t>A</w:t>
      </w:r>
      <w:r w:rsidRPr="00C22F32">
        <w:rPr>
          <w:rFonts w:ascii="Times New Roman" w:hAnsi="Times New Roman"/>
          <w:szCs w:val="24"/>
        </w:rPr>
        <w:t>ny periods during which the Respon</w:t>
      </w:r>
      <w:r w:rsidR="00CE26D5">
        <w:rPr>
          <w:rFonts w:ascii="Times New Roman" w:hAnsi="Times New Roman"/>
          <w:szCs w:val="24"/>
        </w:rPr>
        <w:t>dent is not practicing medicine</w:t>
      </w:r>
      <w:r w:rsidRPr="00C22F32">
        <w:rPr>
          <w:rFonts w:ascii="Times New Roman" w:hAnsi="Times New Roman"/>
          <w:szCs w:val="24"/>
        </w:rPr>
        <w:t xml:space="preserve"> during the probationary period, </w:t>
      </w:r>
      <w:r w:rsidR="00717AE5" w:rsidRPr="008E60DE">
        <w:rPr>
          <w:rFonts w:ascii="Times New Roman" w:hAnsi="Times New Roman"/>
          <w:szCs w:val="24"/>
        </w:rPr>
        <w:t>shall</w:t>
      </w:r>
      <w:r w:rsidRPr="00C22F32">
        <w:rPr>
          <w:rFonts w:ascii="Times New Roman" w:hAnsi="Times New Roman"/>
          <w:szCs w:val="24"/>
        </w:rPr>
        <w:t xml:space="preserve"> extend the probationary period. </w:t>
      </w:r>
      <w:r w:rsidR="003934FF" w:rsidRPr="00C22F32">
        <w:rPr>
          <w:rFonts w:ascii="Times New Roman" w:hAnsi="Times New Roman"/>
          <w:szCs w:val="24"/>
        </w:rPr>
        <w:t xml:space="preserve"> </w:t>
      </w:r>
    </w:p>
    <w:p w14:paraId="44E8F255" w14:textId="77777777" w:rsidR="00916231" w:rsidRDefault="00CC71C1" w:rsidP="00882BF7">
      <w:pPr>
        <w:pStyle w:val="BodyText2"/>
        <w:spacing w:line="480" w:lineRule="auto"/>
        <w:rPr>
          <w:rFonts w:ascii="Times New Roman" w:hAnsi="Times New Roman"/>
        </w:rPr>
      </w:pPr>
      <w:r w:rsidRPr="00C22F32">
        <w:rPr>
          <w:rFonts w:ascii="Times New Roman" w:hAnsi="Times New Roman"/>
        </w:rPr>
        <w:t>B</w:t>
      </w:r>
      <w:r w:rsidR="00961337" w:rsidRPr="00C22F32">
        <w:rPr>
          <w:rFonts w:ascii="Times New Roman" w:hAnsi="Times New Roman"/>
        </w:rPr>
        <w:t>.</w:t>
      </w:r>
      <w:r w:rsidR="00961337" w:rsidRPr="00C22F32">
        <w:rPr>
          <w:rFonts w:ascii="Times New Roman" w:hAnsi="Times New Roman"/>
        </w:rPr>
        <w:tab/>
      </w:r>
      <w:r w:rsidR="00F22321">
        <w:rPr>
          <w:rFonts w:ascii="Times New Roman" w:hAnsi="Times New Roman"/>
        </w:rPr>
        <w:t xml:space="preserve">The Respondent has entered into a behavioral health monitoring contract, dated July 9, 2021, in a form acceptable to the Board, with Physician Health Services, Inc. (“PHS”) of the Massachusetts Medical Society.  The Respondent agrees to abide fully by all terms of this contract </w:t>
      </w:r>
      <w:r w:rsidR="00F22321" w:rsidRPr="002514EC">
        <w:rPr>
          <w:rFonts w:ascii="Times New Roman" w:hAnsi="Times New Roman"/>
        </w:rPr>
        <w:t>for the duration of this probationary period</w:t>
      </w:r>
      <w:r w:rsidR="00F22321">
        <w:rPr>
          <w:rFonts w:ascii="Times New Roman" w:hAnsi="Times New Roman"/>
        </w:rPr>
        <w:t>.  This contract includes a provision that PHS will immediately notify (within 24 hours)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14:paraId="37A5831E" w14:textId="77777777" w:rsidR="00EA3AB0" w:rsidRDefault="00C43C69" w:rsidP="00F22321">
      <w:pPr>
        <w:pStyle w:val="BodyText2"/>
        <w:spacing w:line="480" w:lineRule="auto"/>
      </w:pPr>
      <w:r>
        <w:rPr>
          <w:rFonts w:ascii="Times New Roman" w:hAnsi="Times New Roman"/>
        </w:rPr>
        <w:t>C.</w:t>
      </w:r>
      <w:r>
        <w:rPr>
          <w:rFonts w:ascii="Times New Roman" w:hAnsi="Times New Roman"/>
        </w:rPr>
        <w:tab/>
      </w:r>
      <w:r w:rsidR="00E95A3A" w:rsidRPr="00F22321">
        <w:rPr>
          <w:rFonts w:ascii="Times New Roman" w:hAnsi="Times New Roman"/>
        </w:rPr>
        <w:t xml:space="preserve">The Respondent shall be under the care of a </w:t>
      </w:r>
      <w:r w:rsidR="00717AE5" w:rsidRPr="00F22321">
        <w:rPr>
          <w:rFonts w:ascii="Times New Roman" w:hAnsi="Times New Roman"/>
        </w:rPr>
        <w:t xml:space="preserve">Board-approved </w:t>
      </w:r>
      <w:r w:rsidR="00E95A3A" w:rsidRPr="00F22321">
        <w:rPr>
          <w:rFonts w:ascii="Times New Roman" w:hAnsi="Times New Roman"/>
        </w:rPr>
        <w:t xml:space="preserve">licensed or certified health care professional experienced in the treatment of chemical dependency who shall submit written reports, including reports on all missed sessions, to the Board or its designee as often as the Board deems necessary but in any event at least once every three months.  Copies of these attendance </w:t>
      </w:r>
      <w:r w:rsidR="00E95A3A" w:rsidRPr="00F22321">
        <w:rPr>
          <w:rFonts w:ascii="Times New Roman" w:hAnsi="Times New Roman"/>
        </w:rPr>
        <w:lastRenderedPageBreak/>
        <w:t xml:space="preserve">reports shall be part of the quarterly report that PHS submits to the Board.  The health care professional shall immediately notify the Board by telephone whenever, in his or her 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from the health care provider concerning the Respondent.  The Respondent hereby waives any privileges concerning such information, reports, records and disclosures to the Board.  The health care professional shall confirm in writing, within ten (10) days of the Board’s accepting this </w:t>
      </w:r>
      <w:r w:rsidR="000E5378" w:rsidRPr="00F22321">
        <w:rPr>
          <w:rFonts w:ascii="Times New Roman" w:hAnsi="Times New Roman"/>
        </w:rPr>
        <w:t>A</w:t>
      </w:r>
      <w:r w:rsidR="00E95A3A" w:rsidRPr="00F22321">
        <w:rPr>
          <w:rFonts w:ascii="Times New Roman" w:hAnsi="Times New Roman"/>
        </w:rPr>
        <w:t>greement, his or her 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 without prior Board approval.  The Respondent has chosen</w:t>
      </w:r>
      <w:r w:rsidR="00D37A43" w:rsidRPr="00F22321">
        <w:rPr>
          <w:rFonts w:ascii="Times New Roman" w:hAnsi="Times New Roman"/>
        </w:rPr>
        <w:t xml:space="preserve"> </w:t>
      </w:r>
      <w:r w:rsidR="00426325">
        <w:rPr>
          <w:rFonts w:ascii="Times New Roman" w:hAnsi="Times New Roman"/>
        </w:rPr>
        <w:t>Linda Cahill, N.P.</w:t>
      </w:r>
      <w:r w:rsidR="008E60DE" w:rsidRPr="00F22321">
        <w:rPr>
          <w:rFonts w:ascii="Times New Roman" w:hAnsi="Times New Roman"/>
        </w:rPr>
        <w:t xml:space="preserve"> </w:t>
      </w:r>
      <w:r w:rsidR="00EA3AB0" w:rsidRPr="00F22321">
        <w:rPr>
          <w:rFonts w:ascii="Times New Roman" w:hAnsi="Times New Roman"/>
        </w:rPr>
        <w:t xml:space="preserve">as </w:t>
      </w:r>
      <w:r w:rsidR="000E5378" w:rsidRPr="00F22321">
        <w:rPr>
          <w:rFonts w:ascii="Times New Roman" w:hAnsi="Times New Roman"/>
        </w:rPr>
        <w:t xml:space="preserve">the </w:t>
      </w:r>
      <w:r w:rsidR="00EA3AB0" w:rsidRPr="00F22321">
        <w:rPr>
          <w:rFonts w:ascii="Times New Roman" w:hAnsi="Times New Roman"/>
        </w:rPr>
        <w:t xml:space="preserve">healthcare </w:t>
      </w:r>
      <w:r w:rsidR="000E5378" w:rsidRPr="00F22321">
        <w:rPr>
          <w:rFonts w:ascii="Times New Roman" w:hAnsi="Times New Roman"/>
        </w:rPr>
        <w:t>professional who shall fulfill the monitoring requirements of this paragraph</w:t>
      </w:r>
      <w:r w:rsidR="00EA3AB0" w:rsidRPr="00F22321">
        <w:rPr>
          <w:rFonts w:ascii="Times New Roman" w:hAnsi="Times New Roman"/>
        </w:rPr>
        <w:t>.</w:t>
      </w:r>
    </w:p>
    <w:p w14:paraId="63A3E060" w14:textId="77777777" w:rsidR="0031613E" w:rsidRDefault="00F22321" w:rsidP="00882BF7">
      <w:pPr>
        <w:spacing w:line="480" w:lineRule="auto"/>
        <w:jc w:val="both"/>
      </w:pPr>
      <w:r>
        <w:rPr>
          <w:szCs w:val="20"/>
        </w:rPr>
        <w:t>D</w:t>
      </w:r>
      <w:r w:rsidR="0031613E">
        <w:rPr>
          <w:szCs w:val="20"/>
        </w:rPr>
        <w:t>.</w:t>
      </w:r>
      <w:r w:rsidR="0031613E" w:rsidRPr="006B7098">
        <w:rPr>
          <w:szCs w:val="20"/>
        </w:rPr>
        <w:tab/>
        <w:t xml:space="preserve">The Respondent </w:t>
      </w:r>
      <w:r w:rsidR="00874352">
        <w:rPr>
          <w:szCs w:val="20"/>
        </w:rPr>
        <w:t>shall</w:t>
      </w:r>
      <w:r w:rsidR="0031613E" w:rsidRPr="006B7098">
        <w:rPr>
          <w:szCs w:val="20"/>
        </w:rPr>
        <w:t xml:space="preserve"> engage in the practice of medicine </w:t>
      </w:r>
      <w:r w:rsidR="00874352">
        <w:rPr>
          <w:szCs w:val="20"/>
        </w:rPr>
        <w:t xml:space="preserve">only </w:t>
      </w:r>
      <w:r w:rsidR="0031613E" w:rsidRPr="006B7098">
        <w:rPr>
          <w:szCs w:val="20"/>
        </w:rPr>
        <w:t>under such conditions as the Board may impose</w:t>
      </w:r>
      <w:r w:rsidR="00874352">
        <w:rPr>
          <w:szCs w:val="20"/>
        </w:rPr>
        <w:t xml:space="preserve"> and at a Board-approved worksite</w:t>
      </w:r>
      <w:r w:rsidR="0031613E" w:rsidRPr="006B7098">
        <w:rPr>
          <w:szCs w:val="20"/>
        </w:rPr>
        <w:t xml:space="preserve">. </w:t>
      </w:r>
      <w:r w:rsidR="0031613E" w:rsidRPr="008B20E5">
        <w:t>The Respondent</w:t>
      </w:r>
      <w:r w:rsidR="00166CDB">
        <w:t xml:space="preserve"> may only practice medicine at</w:t>
      </w:r>
      <w:r w:rsidR="00C36959">
        <w:t xml:space="preserve"> </w:t>
      </w:r>
      <w:r>
        <w:t>Fuller Hospital</w:t>
      </w:r>
      <w:r w:rsidR="0031613E" w:rsidRPr="008E60DE">
        <w:t>.</w:t>
      </w:r>
      <w:r w:rsidR="00166CDB" w:rsidRPr="008E60DE">
        <w:t xml:space="preserve"> </w:t>
      </w:r>
      <w:r w:rsidR="004E15AA">
        <w:t xml:space="preserve">The Respondent shall have a Board-approved worksite monitor. </w:t>
      </w:r>
      <w:r w:rsidR="00166CDB">
        <w:t>The Resp</w:t>
      </w:r>
      <w:r w:rsidR="00506AEF">
        <w:t>ondent</w:t>
      </w:r>
      <w:r w:rsidR="00D37A43">
        <w:t xml:space="preserve">’s practice of medicine will be </w:t>
      </w:r>
      <w:r w:rsidR="00166CDB">
        <w:t>monitored by</w:t>
      </w:r>
      <w:r w:rsidR="00DC26EC">
        <w:t xml:space="preserve"> </w:t>
      </w:r>
      <w:r w:rsidR="00426325">
        <w:t>Michele Casoli-Reardon</w:t>
      </w:r>
      <w:r w:rsidR="00166CDB">
        <w:t>, M.D., who shall file quarterly reports to the Board on a form provided by the Board.</w:t>
      </w:r>
    </w:p>
    <w:p w14:paraId="20E3B1D9" w14:textId="77777777" w:rsidR="00E95A3A" w:rsidRDefault="00F22321" w:rsidP="00882BF7">
      <w:pPr>
        <w:spacing w:line="480" w:lineRule="auto"/>
        <w:jc w:val="both"/>
        <w:rPr>
          <w:szCs w:val="20"/>
        </w:rPr>
      </w:pPr>
      <w:r>
        <w:rPr>
          <w:szCs w:val="20"/>
        </w:rPr>
        <w:t>E</w:t>
      </w:r>
      <w:r w:rsidR="00E95A3A" w:rsidRPr="006B7098">
        <w:rPr>
          <w:szCs w:val="20"/>
        </w:rPr>
        <w:t>.</w:t>
      </w:r>
      <w:r w:rsidR="00E95A3A" w:rsidRPr="006B7098">
        <w:rPr>
          <w:szCs w:val="20"/>
        </w:rPr>
        <w:tab/>
        <w:t xml:space="preserve">The Respondent shall file, within thirty (30) days of the execution of this Probation Agreement, written releases and authorizations sufficiently broad in scope so as to allow the Board </w:t>
      </w:r>
      <w:r w:rsidR="00E95A3A" w:rsidRPr="006B7098">
        <w:rPr>
          <w:szCs w:val="20"/>
        </w:rPr>
        <w:lastRenderedPageBreak/>
        <w:t>to obtain any and all medical and laboratory reports, treating physicians’ reports and records concerning the Respondent’s treatment d</w:t>
      </w:r>
      <w:r w:rsidR="00874352">
        <w:rPr>
          <w:szCs w:val="20"/>
        </w:rPr>
        <w:t>uring the probationary period</w:t>
      </w:r>
      <w:r w:rsidR="00E95A3A" w:rsidRPr="006B7098">
        <w:rPr>
          <w:szCs w:val="20"/>
        </w:rPr>
        <w:t>.</w:t>
      </w:r>
    </w:p>
    <w:p w14:paraId="5A2A85AE" w14:textId="77777777" w:rsidR="00E95A3A" w:rsidRDefault="00F22321" w:rsidP="000C47DE">
      <w:pPr>
        <w:spacing w:line="480" w:lineRule="auto"/>
        <w:jc w:val="both"/>
        <w:rPr>
          <w:szCs w:val="20"/>
        </w:rPr>
      </w:pPr>
      <w:r>
        <w:rPr>
          <w:szCs w:val="20"/>
        </w:rPr>
        <w:t>F</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14:paraId="2C5758BA" w14:textId="77777777" w:rsidR="0054217D" w:rsidRDefault="00F22321" w:rsidP="000C47DE">
      <w:pPr>
        <w:spacing w:line="480" w:lineRule="auto"/>
        <w:jc w:val="both"/>
        <w:rPr>
          <w:szCs w:val="20"/>
        </w:rPr>
      </w:pPr>
      <w:r>
        <w:rPr>
          <w:szCs w:val="20"/>
        </w:rPr>
        <w:t>G</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14:paraId="2DF39C5B" w14:textId="77777777" w:rsidR="00E95A3A" w:rsidRDefault="00F22321" w:rsidP="000C47DE">
      <w:pPr>
        <w:spacing w:line="480" w:lineRule="auto"/>
        <w:jc w:val="both"/>
        <w:rPr>
          <w:szCs w:val="20"/>
        </w:rPr>
      </w:pPr>
      <w:r>
        <w:rPr>
          <w:szCs w:val="20"/>
        </w:rPr>
        <w:t>H</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14:paraId="75C21F27" w14:textId="77777777" w:rsidR="00E95A3A" w:rsidRDefault="00F22321" w:rsidP="00BA7BB2">
      <w:pPr>
        <w:spacing w:line="480" w:lineRule="auto"/>
        <w:jc w:val="both"/>
        <w:rPr>
          <w:szCs w:val="20"/>
        </w:rPr>
      </w:pPr>
      <w:r>
        <w:rPr>
          <w:szCs w:val="20"/>
        </w:rPr>
        <w:lastRenderedPageBreak/>
        <w:t>I</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3332220A" w14:textId="77777777" w:rsidR="00EA3AB0" w:rsidRPr="006B7098" w:rsidRDefault="00F22321" w:rsidP="00EA3AB0">
      <w:pPr>
        <w:spacing w:line="480" w:lineRule="auto"/>
        <w:jc w:val="both"/>
        <w:rPr>
          <w:szCs w:val="20"/>
        </w:rPr>
      </w:pPr>
      <w:r>
        <w:rPr>
          <w:szCs w:val="20"/>
        </w:rPr>
        <w:t>J</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14:paraId="2550B1AD" w14:textId="77777777" w:rsidR="00EA3AB0" w:rsidRPr="006B7098" w:rsidRDefault="00F22321" w:rsidP="00EA3AB0">
      <w:pPr>
        <w:spacing w:line="480" w:lineRule="auto"/>
        <w:jc w:val="both"/>
        <w:rPr>
          <w:szCs w:val="20"/>
        </w:rPr>
      </w:pPr>
      <w:r>
        <w:rPr>
          <w:szCs w:val="20"/>
        </w:rPr>
        <w:t>K</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health care profes</w:t>
      </w:r>
      <w:r w:rsidR="00EA3AB0">
        <w:rPr>
          <w:szCs w:val="20"/>
        </w:rPr>
        <w:t>sional referenced in Paragraph</w:t>
      </w:r>
      <w:r w:rsidR="00874352">
        <w:rPr>
          <w:szCs w:val="20"/>
        </w:rPr>
        <w:t xml:space="preserve"> </w:t>
      </w:r>
      <w:r w:rsidR="006D3677">
        <w:rPr>
          <w:szCs w:val="20"/>
        </w:rPr>
        <w:t>C</w:t>
      </w:r>
      <w:r w:rsidR="00EA3AB0" w:rsidRPr="006B7098">
        <w:rPr>
          <w:szCs w:val="20"/>
        </w:rPr>
        <w:t>, and the Respondent's employment, the Respondent may make such a request not more than once in any one year period, nor any sooner than one year from the date of this Probation Agreement.</w:t>
      </w:r>
    </w:p>
    <w:p w14:paraId="23BCFDBC" w14:textId="77777777" w:rsidR="00E95A3A" w:rsidRDefault="00F22321" w:rsidP="00EA3AB0">
      <w:pPr>
        <w:autoSpaceDE w:val="0"/>
        <w:autoSpaceDN w:val="0"/>
        <w:adjustRightInd w:val="0"/>
        <w:spacing w:line="480" w:lineRule="auto"/>
        <w:jc w:val="both"/>
      </w:pPr>
      <w:r>
        <w:t>L</w:t>
      </w:r>
      <w:r w:rsidR="00EA3AB0">
        <w:t>.</w:t>
      </w:r>
      <w:r w:rsidR="00EA3AB0">
        <w:tab/>
      </w:r>
      <w:r w:rsidR="00E95A3A" w:rsidRPr="006B7098">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t>s</w:t>
      </w:r>
      <w:r w:rsidR="00E95A3A" w:rsidRPr="006B7098">
        <w:t xml:space="preserve">he practices medicine; any in- or out-of-state health maintenance organization with whom </w:t>
      </w:r>
      <w:r>
        <w:t>s</w:t>
      </w:r>
      <w:r w:rsidR="00E95A3A" w:rsidRPr="006B7098">
        <w:t xml:space="preserve">he has privileges or any other kind of association; any state agency, in- or out-of-state, with which </w:t>
      </w:r>
      <w:r>
        <w:t>s</w:t>
      </w:r>
      <w:r w:rsidR="00E95A3A" w:rsidRPr="006B7098">
        <w:t xml:space="preserve">he has a provider contract; any in- or out-of-state medical employer, whether or not </w:t>
      </w:r>
      <w:r>
        <w:t>s</w:t>
      </w:r>
      <w:r w:rsidR="00E95A3A" w:rsidRPr="006B7098">
        <w:t>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w:t>
      </w:r>
      <w:r>
        <w:t>s</w:t>
      </w:r>
      <w:r w:rsidR="00E95A3A" w:rsidRPr="006B7098">
        <w:t xml:space="preserve">he has any kind of license to practice medicine.  The Respondent shall also provide this notification to any such designated entities with which </w:t>
      </w:r>
      <w:r>
        <w:t>s</w:t>
      </w:r>
      <w:r w:rsidR="00E95A3A" w:rsidRPr="006B7098">
        <w:t xml:space="preserve">he becomes associated for the duration of this Agreement. The Respondent is further directed to certify to the Board within ten (10) days that </w:t>
      </w:r>
      <w:r w:rsidR="006D3677">
        <w:t>s</w:t>
      </w:r>
      <w:r w:rsidR="00E95A3A" w:rsidRPr="006B7098">
        <w:t xml:space="preserve">he has complied with this directive. The </w:t>
      </w:r>
      <w:r w:rsidR="00E95A3A" w:rsidRPr="006B7098">
        <w:lastRenderedPageBreak/>
        <w:t>Board expressly reserves the authority to independently notify, at any time, any of the entities designated above, or any other affected entity, of any action it has taken.</w:t>
      </w:r>
    </w:p>
    <w:p w14:paraId="245EDE81" w14:textId="77777777"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14:paraId="668AC018" w14:textId="77777777" w:rsidR="00E564FF" w:rsidRDefault="00E95A3A" w:rsidP="00E564FF">
      <w:pPr>
        <w:spacing w:line="480" w:lineRule="auto"/>
        <w:jc w:val="both"/>
        <w:rPr>
          <w:szCs w:val="20"/>
        </w:rPr>
      </w:pPr>
      <w:r w:rsidRPr="006B7098">
        <w:rPr>
          <w:szCs w:val="20"/>
        </w:rPr>
        <w:t xml:space="preserve">A.     If the Respondent complies with </w:t>
      </w:r>
      <w:r w:rsidR="00032D3A">
        <w:rPr>
          <w:szCs w:val="20"/>
        </w:rPr>
        <w:t xml:space="preserve">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14:paraId="73F852A0" w14:textId="77777777" w:rsidR="00E95A3A" w:rsidRPr="006B7098" w:rsidRDefault="00E95A3A" w:rsidP="00E564FF">
      <w:pPr>
        <w:spacing w:line="480" w:lineRule="auto"/>
        <w:jc w:val="both"/>
      </w:pPr>
      <w:r w:rsidRPr="006B7098">
        <w:t xml:space="preserve">B.     If the Respondent fails to comply with </w:t>
      </w:r>
      <w:r w:rsidR="00032D3A">
        <w:t xml:space="preserve">her </w:t>
      </w:r>
      <w:r w:rsidRPr="006B7098">
        <w:t xml:space="preserve">obligations as set forth above, </w:t>
      </w:r>
      <w:r w:rsidRPr="006B7098">
        <w:rPr>
          <w:szCs w:val="20"/>
        </w:rPr>
        <w:t>the Respondent's license to practice medicine may be immediately suspended, as agreed in Section I.</w:t>
      </w:r>
    </w:p>
    <w:p w14:paraId="1886B246" w14:textId="77777777" w:rsidR="00E564FF" w:rsidRDefault="00E564FF" w:rsidP="00E95A3A">
      <w:pPr>
        <w:spacing w:line="480" w:lineRule="atLeast"/>
        <w:jc w:val="both"/>
        <w:rPr>
          <w:szCs w:val="20"/>
        </w:rPr>
      </w:pPr>
    </w:p>
    <w:p w14:paraId="0271DB82" w14:textId="77777777" w:rsidR="00E564FF" w:rsidRDefault="00E564FF" w:rsidP="00E95A3A">
      <w:pPr>
        <w:jc w:val="both"/>
      </w:pPr>
    </w:p>
    <w:p w14:paraId="64FEC6EB" w14:textId="4704D316" w:rsidR="00E95A3A" w:rsidRPr="00B05483" w:rsidRDefault="00E95A3A" w:rsidP="00E95A3A">
      <w:pPr>
        <w:jc w:val="both"/>
        <w:rPr>
          <w:u w:val="single"/>
        </w:rPr>
      </w:pPr>
      <w:r w:rsidRPr="006B7098">
        <w:t>_</w:t>
      </w:r>
      <w:r w:rsidR="00B05483">
        <w:rPr>
          <w:u w:val="single"/>
        </w:rPr>
        <w:t>6/27/23</w:t>
      </w:r>
      <w:r w:rsidRPr="006B7098">
        <w:t>__________</w:t>
      </w:r>
      <w:r w:rsidRPr="006B7098">
        <w:tab/>
      </w:r>
      <w:r w:rsidRPr="006B7098">
        <w:tab/>
      </w:r>
      <w:r w:rsidRPr="006B7098">
        <w:tab/>
      </w:r>
      <w:r w:rsidRPr="006B7098">
        <w:tab/>
      </w:r>
      <w:r w:rsidRPr="006B7098">
        <w:tab/>
      </w:r>
      <w:r w:rsidR="00B05483">
        <w:rPr>
          <w:u w:val="single"/>
        </w:rPr>
        <w:t>Signed by Shana N. Coshal, M.D.</w:t>
      </w:r>
    </w:p>
    <w:p w14:paraId="1D220429"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14:paraId="3D065AC2" w14:textId="77777777" w:rsidR="00E95A3A" w:rsidRPr="006B7098" w:rsidRDefault="00E95A3A" w:rsidP="00E95A3A">
      <w:pPr>
        <w:jc w:val="both"/>
      </w:pPr>
      <w:r w:rsidRPr="006B7098">
        <w:tab/>
      </w:r>
      <w:r w:rsidRPr="006B7098">
        <w:tab/>
      </w:r>
      <w:r w:rsidRPr="006B7098">
        <w:tab/>
      </w:r>
      <w:r w:rsidRPr="006B7098">
        <w:tab/>
      </w:r>
      <w:r w:rsidRPr="006B7098">
        <w:tab/>
      </w:r>
    </w:p>
    <w:p w14:paraId="37D4915B" w14:textId="6B7A307A" w:rsidR="00E95A3A" w:rsidRPr="006B7098" w:rsidRDefault="00B05483" w:rsidP="00E95A3A">
      <w:pPr>
        <w:jc w:val="both"/>
      </w:pPr>
      <w:r>
        <w:rPr>
          <w:u w:val="single"/>
        </w:rPr>
        <w:t>6/28/23</w:t>
      </w:r>
      <w:r w:rsidR="00E95A3A" w:rsidRPr="006B7098">
        <w:t>________</w:t>
      </w:r>
      <w:r w:rsidR="00E95A3A" w:rsidRPr="006B7098">
        <w:tab/>
      </w:r>
      <w:r w:rsidR="00E95A3A" w:rsidRPr="006B7098">
        <w:tab/>
      </w:r>
      <w:r w:rsidR="00E95A3A" w:rsidRPr="006B7098">
        <w:tab/>
      </w:r>
      <w:r w:rsidR="00E95A3A" w:rsidRPr="006B7098">
        <w:tab/>
      </w:r>
      <w:r w:rsidR="00E95A3A" w:rsidRPr="006B7098">
        <w:tab/>
      </w:r>
      <w:r>
        <w:rPr>
          <w:u w:val="single"/>
        </w:rPr>
        <w:t>Signed by Paul Cirel</w:t>
      </w:r>
      <w:r>
        <w:rPr>
          <w:u w:val="single"/>
        </w:rPr>
        <w:tab/>
      </w:r>
      <w:r>
        <w:rPr>
          <w:u w:val="single"/>
        </w:rPr>
        <w:tab/>
      </w:r>
      <w:r>
        <w:rPr>
          <w:u w:val="single"/>
        </w:rPr>
        <w:tab/>
      </w:r>
    </w:p>
    <w:p w14:paraId="70D91178"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14:paraId="52801863" w14:textId="77777777" w:rsidR="00E95A3A" w:rsidRPr="006B7098" w:rsidRDefault="00E95A3A" w:rsidP="00E95A3A">
      <w:pPr>
        <w:jc w:val="both"/>
      </w:pPr>
    </w:p>
    <w:p w14:paraId="1734681B" w14:textId="77777777" w:rsidR="00E95A3A" w:rsidRPr="006B7098" w:rsidRDefault="00E95A3A" w:rsidP="00E95A3A">
      <w:pPr>
        <w:jc w:val="both"/>
      </w:pPr>
    </w:p>
    <w:p w14:paraId="508A9AFD" w14:textId="77777777" w:rsidR="00E95A3A" w:rsidRPr="006B7098" w:rsidRDefault="00E95A3A" w:rsidP="00E95A3A">
      <w:pPr>
        <w:jc w:val="both"/>
      </w:pPr>
    </w:p>
    <w:p w14:paraId="7068CB2D" w14:textId="77777777" w:rsidR="00E95A3A" w:rsidRPr="006B7098" w:rsidRDefault="00E95A3A" w:rsidP="00E95A3A">
      <w:pPr>
        <w:jc w:val="both"/>
      </w:pPr>
    </w:p>
    <w:p w14:paraId="7F47736E" w14:textId="542E6CD9" w:rsidR="00E95A3A" w:rsidRPr="006B7098" w:rsidRDefault="00E95A3A" w:rsidP="00E95A3A">
      <w:pPr>
        <w:jc w:val="both"/>
      </w:pPr>
      <w:r w:rsidRPr="006B7098">
        <w:tab/>
        <w:t xml:space="preserve">Accepted this </w:t>
      </w:r>
      <w:r w:rsidR="00B05483">
        <w:rPr>
          <w:u w:val="single"/>
        </w:rPr>
        <w:t>29th</w:t>
      </w:r>
      <w:r w:rsidRPr="006B7098">
        <w:t>_</w:t>
      </w:r>
      <w:r>
        <w:t>__ day of _</w:t>
      </w:r>
      <w:r w:rsidR="00B05483">
        <w:rPr>
          <w:u w:val="single"/>
        </w:rPr>
        <w:t>June</w:t>
      </w:r>
      <w:r>
        <w:t xml:space="preserve">________, </w:t>
      </w:r>
      <w:r w:rsidR="00874352">
        <w:t>20</w:t>
      </w:r>
      <w:r w:rsidR="00B05483">
        <w:rPr>
          <w:u w:val="single"/>
        </w:rPr>
        <w:t>23</w:t>
      </w:r>
      <w:r w:rsidRPr="006B7098">
        <w:t>, by the Board of Registration in Medicine.</w:t>
      </w:r>
    </w:p>
    <w:p w14:paraId="73244D5A" w14:textId="77777777" w:rsidR="00E95A3A" w:rsidRPr="006B7098" w:rsidRDefault="00E95A3A" w:rsidP="00E95A3A">
      <w:pPr>
        <w:jc w:val="both"/>
      </w:pPr>
    </w:p>
    <w:p w14:paraId="52B8626A" w14:textId="77777777" w:rsidR="00E95A3A" w:rsidRDefault="00E95A3A" w:rsidP="00E95A3A">
      <w:pPr>
        <w:jc w:val="both"/>
      </w:pPr>
    </w:p>
    <w:p w14:paraId="06A46BEE" w14:textId="77777777" w:rsidR="006B2473" w:rsidRPr="006B7098" w:rsidRDefault="006B2473" w:rsidP="00E95A3A">
      <w:pPr>
        <w:jc w:val="both"/>
      </w:pPr>
    </w:p>
    <w:p w14:paraId="6CCD40C1" w14:textId="11E2C3FF"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B05483">
        <w:rPr>
          <w:u w:val="single"/>
        </w:rPr>
        <w:t>Signed by Julian Robinson, M.D.</w:t>
      </w:r>
      <w:r w:rsidRPr="006B7098">
        <w:t>_________</w:t>
      </w:r>
    </w:p>
    <w:p w14:paraId="193A2E44" w14:textId="77777777"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6D3677">
        <w:t>Julian Robinson</w:t>
      </w:r>
      <w:r w:rsidRPr="006B7098">
        <w:t xml:space="preserve">, </w:t>
      </w:r>
      <w:r w:rsidR="007B0280">
        <w:t>M</w:t>
      </w:r>
      <w:r w:rsidRPr="006B7098">
        <w:t>.D.</w:t>
      </w:r>
    </w:p>
    <w:p w14:paraId="680DADCF" w14:textId="77777777"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1803" w14:textId="77777777" w:rsidR="002F4289" w:rsidRDefault="002F4289">
      <w:r>
        <w:separator/>
      </w:r>
    </w:p>
  </w:endnote>
  <w:endnote w:type="continuationSeparator" w:id="0">
    <w:p w14:paraId="67CED856" w14:textId="77777777" w:rsidR="002F4289" w:rsidRDefault="002F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EE47"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02247C" w14:textId="77777777" w:rsidR="0034425B" w:rsidRDefault="0034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01A8"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C77">
      <w:rPr>
        <w:rStyle w:val="PageNumber"/>
        <w:noProof/>
      </w:rPr>
      <w:t>7</w:t>
    </w:r>
    <w:r>
      <w:rPr>
        <w:rStyle w:val="PageNumber"/>
      </w:rPr>
      <w:fldChar w:fldCharType="end"/>
    </w:r>
  </w:p>
  <w:p w14:paraId="52B63BDC" w14:textId="77777777" w:rsidR="00874352" w:rsidRPr="007017DC" w:rsidRDefault="008A2785" w:rsidP="00874352">
    <w:pPr>
      <w:pStyle w:val="Footer"/>
      <w:rPr>
        <w:sz w:val="16"/>
        <w:szCs w:val="16"/>
      </w:rPr>
    </w:pPr>
    <w:r>
      <w:rPr>
        <w:sz w:val="16"/>
        <w:szCs w:val="16"/>
      </w:rPr>
      <w:t xml:space="preserve">Behavioral Health Monitoring PA - </w:t>
    </w:r>
    <w:r w:rsidR="00874352" w:rsidRPr="007017DC">
      <w:rPr>
        <w:sz w:val="16"/>
        <w:szCs w:val="16"/>
      </w:rPr>
      <w:t>R</w:t>
    </w:r>
    <w:r w:rsidR="00075C77">
      <w:rPr>
        <w:sz w:val="16"/>
        <w:szCs w:val="16"/>
      </w:rPr>
      <w:t>ev. 12.05.2018</w:t>
    </w:r>
  </w:p>
  <w:p w14:paraId="342338BF" w14:textId="77777777" w:rsidR="0034425B" w:rsidRDefault="0034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1AAD" w14:textId="77777777" w:rsidR="00825316" w:rsidRPr="007017DC" w:rsidRDefault="008A2785" w:rsidP="00825316">
    <w:pPr>
      <w:pStyle w:val="Footer"/>
      <w:rPr>
        <w:sz w:val="16"/>
        <w:szCs w:val="16"/>
      </w:rPr>
    </w:pPr>
    <w:r>
      <w:rPr>
        <w:sz w:val="16"/>
        <w:szCs w:val="16"/>
      </w:rPr>
      <w:t xml:space="preserve">Behavioral Health Monitoring PA - </w:t>
    </w:r>
    <w:r w:rsidR="00825316" w:rsidRPr="007017DC">
      <w:rPr>
        <w:sz w:val="16"/>
        <w:szCs w:val="16"/>
      </w:rPr>
      <w:t>R</w:t>
    </w:r>
    <w:r w:rsidR="00075C77">
      <w:rPr>
        <w:sz w:val="16"/>
        <w:szCs w:val="16"/>
      </w:rPr>
      <w:t>ev. 12.05.2018</w:t>
    </w:r>
  </w:p>
  <w:p w14:paraId="094951B7" w14:textId="77777777" w:rsidR="00825316" w:rsidRDefault="0082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B902" w14:textId="77777777" w:rsidR="002F4289" w:rsidRDefault="002F4289">
      <w:r>
        <w:separator/>
      </w:r>
    </w:p>
  </w:footnote>
  <w:footnote w:type="continuationSeparator" w:id="0">
    <w:p w14:paraId="3D3A4031" w14:textId="77777777" w:rsidR="002F4289" w:rsidRDefault="002F4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15:restartNumberingAfterBreak="0">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6772154">
    <w:abstractNumId w:val="1"/>
  </w:num>
  <w:num w:numId="2" w16cid:durableId="1943028656">
    <w:abstractNumId w:val="7"/>
  </w:num>
  <w:num w:numId="3" w16cid:durableId="2101101466">
    <w:abstractNumId w:val="3"/>
  </w:num>
  <w:num w:numId="4" w16cid:durableId="525562234">
    <w:abstractNumId w:val="15"/>
  </w:num>
  <w:num w:numId="5" w16cid:durableId="813909044">
    <w:abstractNumId w:val="12"/>
  </w:num>
  <w:num w:numId="6" w16cid:durableId="1374694133">
    <w:abstractNumId w:val="14"/>
  </w:num>
  <w:num w:numId="7" w16cid:durableId="579753075">
    <w:abstractNumId w:val="2"/>
  </w:num>
  <w:num w:numId="8" w16cid:durableId="194851912">
    <w:abstractNumId w:val="4"/>
  </w:num>
  <w:num w:numId="9" w16cid:durableId="1980262299">
    <w:abstractNumId w:val="16"/>
  </w:num>
  <w:num w:numId="10" w16cid:durableId="1889224769">
    <w:abstractNumId w:val="5"/>
  </w:num>
  <w:num w:numId="11" w16cid:durableId="387648944">
    <w:abstractNumId w:val="10"/>
  </w:num>
  <w:num w:numId="12" w16cid:durableId="1346861824">
    <w:abstractNumId w:val="8"/>
  </w:num>
  <w:num w:numId="13" w16cid:durableId="2026208040">
    <w:abstractNumId w:val="9"/>
  </w:num>
  <w:num w:numId="14" w16cid:durableId="174195121">
    <w:abstractNumId w:val="0"/>
  </w:num>
  <w:num w:numId="15" w16cid:durableId="149637833">
    <w:abstractNumId w:val="6"/>
  </w:num>
  <w:num w:numId="16" w16cid:durableId="1233077144">
    <w:abstractNumId w:val="13"/>
  </w:num>
  <w:num w:numId="17" w16cid:durableId="1553345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6E"/>
    <w:rsid w:val="000149D8"/>
    <w:rsid w:val="00016B22"/>
    <w:rsid w:val="00026AE5"/>
    <w:rsid w:val="0003213D"/>
    <w:rsid w:val="00032D3A"/>
    <w:rsid w:val="00055725"/>
    <w:rsid w:val="000600D5"/>
    <w:rsid w:val="00070B7B"/>
    <w:rsid w:val="00075C77"/>
    <w:rsid w:val="00092ED8"/>
    <w:rsid w:val="000B0204"/>
    <w:rsid w:val="000B1137"/>
    <w:rsid w:val="000B6025"/>
    <w:rsid w:val="000C4405"/>
    <w:rsid w:val="000C47DE"/>
    <w:rsid w:val="000C7D5B"/>
    <w:rsid w:val="000D0FA7"/>
    <w:rsid w:val="000E5378"/>
    <w:rsid w:val="000E6AC8"/>
    <w:rsid w:val="000F3AD9"/>
    <w:rsid w:val="00113CDB"/>
    <w:rsid w:val="00133917"/>
    <w:rsid w:val="001357D5"/>
    <w:rsid w:val="0014293F"/>
    <w:rsid w:val="0015739E"/>
    <w:rsid w:val="001650ED"/>
    <w:rsid w:val="00166CDB"/>
    <w:rsid w:val="00172985"/>
    <w:rsid w:val="00173206"/>
    <w:rsid w:val="00181491"/>
    <w:rsid w:val="00183B96"/>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F1AD7"/>
    <w:rsid w:val="002F4289"/>
    <w:rsid w:val="00304C6B"/>
    <w:rsid w:val="0031613E"/>
    <w:rsid w:val="003300CC"/>
    <w:rsid w:val="0033031B"/>
    <w:rsid w:val="003333B6"/>
    <w:rsid w:val="0034425B"/>
    <w:rsid w:val="003465F4"/>
    <w:rsid w:val="003537C1"/>
    <w:rsid w:val="003877D5"/>
    <w:rsid w:val="003934FF"/>
    <w:rsid w:val="00396332"/>
    <w:rsid w:val="003A7CD7"/>
    <w:rsid w:val="003E391C"/>
    <w:rsid w:val="003F3984"/>
    <w:rsid w:val="003F789B"/>
    <w:rsid w:val="00400BD0"/>
    <w:rsid w:val="004076AE"/>
    <w:rsid w:val="00412D15"/>
    <w:rsid w:val="00414BA3"/>
    <w:rsid w:val="0042573C"/>
    <w:rsid w:val="00426325"/>
    <w:rsid w:val="00426586"/>
    <w:rsid w:val="00427413"/>
    <w:rsid w:val="004435D8"/>
    <w:rsid w:val="00454EA6"/>
    <w:rsid w:val="00454FAF"/>
    <w:rsid w:val="00466631"/>
    <w:rsid w:val="00493110"/>
    <w:rsid w:val="004942A4"/>
    <w:rsid w:val="004E15AA"/>
    <w:rsid w:val="00506AEF"/>
    <w:rsid w:val="005142DD"/>
    <w:rsid w:val="00516F49"/>
    <w:rsid w:val="0054217D"/>
    <w:rsid w:val="00547BCD"/>
    <w:rsid w:val="0057686E"/>
    <w:rsid w:val="00584ED5"/>
    <w:rsid w:val="00591C45"/>
    <w:rsid w:val="005B4873"/>
    <w:rsid w:val="005C2079"/>
    <w:rsid w:val="005C3C70"/>
    <w:rsid w:val="00603046"/>
    <w:rsid w:val="006433F8"/>
    <w:rsid w:val="00673A09"/>
    <w:rsid w:val="00681CFA"/>
    <w:rsid w:val="006B2473"/>
    <w:rsid w:val="006C13AC"/>
    <w:rsid w:val="006C1F36"/>
    <w:rsid w:val="006C560F"/>
    <w:rsid w:val="006D1768"/>
    <w:rsid w:val="006D3677"/>
    <w:rsid w:val="006F3FBA"/>
    <w:rsid w:val="0071158C"/>
    <w:rsid w:val="00711611"/>
    <w:rsid w:val="00715D79"/>
    <w:rsid w:val="00717AE5"/>
    <w:rsid w:val="00727079"/>
    <w:rsid w:val="007377B3"/>
    <w:rsid w:val="00761675"/>
    <w:rsid w:val="007669AB"/>
    <w:rsid w:val="00771CEC"/>
    <w:rsid w:val="007739A5"/>
    <w:rsid w:val="0078194C"/>
    <w:rsid w:val="007827AA"/>
    <w:rsid w:val="007842F4"/>
    <w:rsid w:val="00793475"/>
    <w:rsid w:val="007A1FEC"/>
    <w:rsid w:val="007B0280"/>
    <w:rsid w:val="007D0928"/>
    <w:rsid w:val="007D44A9"/>
    <w:rsid w:val="007E2366"/>
    <w:rsid w:val="007E4A9C"/>
    <w:rsid w:val="007F1304"/>
    <w:rsid w:val="00803985"/>
    <w:rsid w:val="00825316"/>
    <w:rsid w:val="00826CA3"/>
    <w:rsid w:val="00845D95"/>
    <w:rsid w:val="00850BC3"/>
    <w:rsid w:val="00855DAA"/>
    <w:rsid w:val="00861962"/>
    <w:rsid w:val="00867296"/>
    <w:rsid w:val="00867CFE"/>
    <w:rsid w:val="008703E1"/>
    <w:rsid w:val="00874352"/>
    <w:rsid w:val="00882BF7"/>
    <w:rsid w:val="00895FA4"/>
    <w:rsid w:val="008A0833"/>
    <w:rsid w:val="008A2785"/>
    <w:rsid w:val="008B25E4"/>
    <w:rsid w:val="008C6E99"/>
    <w:rsid w:val="008D1DCA"/>
    <w:rsid w:val="008E60DE"/>
    <w:rsid w:val="008F09AF"/>
    <w:rsid w:val="008F3B8D"/>
    <w:rsid w:val="008F45F7"/>
    <w:rsid w:val="0090109B"/>
    <w:rsid w:val="00901A41"/>
    <w:rsid w:val="00912080"/>
    <w:rsid w:val="00916231"/>
    <w:rsid w:val="00934BA8"/>
    <w:rsid w:val="009368C5"/>
    <w:rsid w:val="00952534"/>
    <w:rsid w:val="00957A7A"/>
    <w:rsid w:val="009602FA"/>
    <w:rsid w:val="00961337"/>
    <w:rsid w:val="00997FBB"/>
    <w:rsid w:val="009A0634"/>
    <w:rsid w:val="009A314D"/>
    <w:rsid w:val="009C1F8B"/>
    <w:rsid w:val="00A07AD6"/>
    <w:rsid w:val="00A16974"/>
    <w:rsid w:val="00A26C61"/>
    <w:rsid w:val="00A37D2C"/>
    <w:rsid w:val="00A52702"/>
    <w:rsid w:val="00A532AC"/>
    <w:rsid w:val="00A53F0C"/>
    <w:rsid w:val="00AA4E08"/>
    <w:rsid w:val="00AE3416"/>
    <w:rsid w:val="00AE761C"/>
    <w:rsid w:val="00B05483"/>
    <w:rsid w:val="00B259DB"/>
    <w:rsid w:val="00B30788"/>
    <w:rsid w:val="00B43452"/>
    <w:rsid w:val="00B4457B"/>
    <w:rsid w:val="00B4642B"/>
    <w:rsid w:val="00B50516"/>
    <w:rsid w:val="00B54B16"/>
    <w:rsid w:val="00B72570"/>
    <w:rsid w:val="00B73F30"/>
    <w:rsid w:val="00B75016"/>
    <w:rsid w:val="00B75CD7"/>
    <w:rsid w:val="00B94200"/>
    <w:rsid w:val="00BA0FAE"/>
    <w:rsid w:val="00BA1C24"/>
    <w:rsid w:val="00BA7BB2"/>
    <w:rsid w:val="00BC36E3"/>
    <w:rsid w:val="00BC40A2"/>
    <w:rsid w:val="00BD1EA9"/>
    <w:rsid w:val="00BF23A0"/>
    <w:rsid w:val="00C0078B"/>
    <w:rsid w:val="00C02EFA"/>
    <w:rsid w:val="00C0473C"/>
    <w:rsid w:val="00C07844"/>
    <w:rsid w:val="00C12AA4"/>
    <w:rsid w:val="00C21BDC"/>
    <w:rsid w:val="00C2204B"/>
    <w:rsid w:val="00C22F32"/>
    <w:rsid w:val="00C25ED7"/>
    <w:rsid w:val="00C312E9"/>
    <w:rsid w:val="00C33E90"/>
    <w:rsid w:val="00C3482A"/>
    <w:rsid w:val="00C36959"/>
    <w:rsid w:val="00C43C69"/>
    <w:rsid w:val="00C574FA"/>
    <w:rsid w:val="00C940BD"/>
    <w:rsid w:val="00CA4030"/>
    <w:rsid w:val="00CA41A6"/>
    <w:rsid w:val="00CB503F"/>
    <w:rsid w:val="00CC71C1"/>
    <w:rsid w:val="00CD3440"/>
    <w:rsid w:val="00CD5046"/>
    <w:rsid w:val="00CE02F4"/>
    <w:rsid w:val="00CE26D5"/>
    <w:rsid w:val="00CE3F50"/>
    <w:rsid w:val="00CF0927"/>
    <w:rsid w:val="00D2547E"/>
    <w:rsid w:val="00D32027"/>
    <w:rsid w:val="00D336D7"/>
    <w:rsid w:val="00D3411B"/>
    <w:rsid w:val="00D37A43"/>
    <w:rsid w:val="00D44716"/>
    <w:rsid w:val="00D610B8"/>
    <w:rsid w:val="00D71594"/>
    <w:rsid w:val="00D85558"/>
    <w:rsid w:val="00D97060"/>
    <w:rsid w:val="00D97147"/>
    <w:rsid w:val="00DA26EE"/>
    <w:rsid w:val="00DC26EC"/>
    <w:rsid w:val="00DD11BD"/>
    <w:rsid w:val="00DD20C0"/>
    <w:rsid w:val="00DE461E"/>
    <w:rsid w:val="00DE4FFC"/>
    <w:rsid w:val="00E12918"/>
    <w:rsid w:val="00E12A64"/>
    <w:rsid w:val="00E23485"/>
    <w:rsid w:val="00E51256"/>
    <w:rsid w:val="00E55373"/>
    <w:rsid w:val="00E564FF"/>
    <w:rsid w:val="00E57700"/>
    <w:rsid w:val="00E825B7"/>
    <w:rsid w:val="00E907E5"/>
    <w:rsid w:val="00E95A3A"/>
    <w:rsid w:val="00EA385B"/>
    <w:rsid w:val="00EA3AB0"/>
    <w:rsid w:val="00EA5845"/>
    <w:rsid w:val="00EB2E80"/>
    <w:rsid w:val="00EC0FD0"/>
    <w:rsid w:val="00EC4A61"/>
    <w:rsid w:val="00EC55CA"/>
    <w:rsid w:val="00ED423D"/>
    <w:rsid w:val="00F00C24"/>
    <w:rsid w:val="00F01BB8"/>
    <w:rsid w:val="00F05F22"/>
    <w:rsid w:val="00F06146"/>
    <w:rsid w:val="00F22321"/>
    <w:rsid w:val="00F25B9A"/>
    <w:rsid w:val="00F76E14"/>
    <w:rsid w:val="00F8300C"/>
    <w:rsid w:val="00F83837"/>
    <w:rsid w:val="00F84A73"/>
    <w:rsid w:val="00F907F2"/>
    <w:rsid w:val="00F92128"/>
    <w:rsid w:val="00F9601E"/>
    <w:rsid w:val="00FB361D"/>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363A1"/>
  <w15:chartTrackingRefBased/>
  <w15:docId w15:val="{A30BBE4B-3EC4-499A-A36C-C3ADAAC7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1384D-91B2-4A30-AA91-C119910B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4</cp:revision>
  <cp:lastPrinted>2018-08-06T21:02:00Z</cp:lastPrinted>
  <dcterms:created xsi:type="dcterms:W3CDTF">2023-07-03T13:07:00Z</dcterms:created>
  <dcterms:modified xsi:type="dcterms:W3CDTF">2023-07-03T13:21:00Z</dcterms:modified>
</cp:coreProperties>
</file>