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6B35C9">
        <w:rPr>
          <w:u w:val="single"/>
        </w:rPr>
        <w:t>2019-056</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A93001">
      <w:pPr>
        <w:rPr>
          <w:bCs/>
        </w:rPr>
      </w:pPr>
      <w:r>
        <w:rPr>
          <w:bCs/>
        </w:rPr>
        <w:t>Zunair Zi</w:t>
      </w:r>
      <w:r w:rsidR="00F16A0E" w:rsidRPr="00113CDB">
        <w:rPr>
          <w:bCs/>
        </w:rPr>
        <w:t xml:space="preserve">, </w:t>
      </w:r>
      <w:r w:rsidR="00874352">
        <w:rPr>
          <w:bCs/>
        </w:rPr>
        <w:t>M.D.</w:t>
      </w:r>
      <w:r w:rsidR="00A74F77">
        <w:rPr>
          <w:bCs/>
        </w:rPr>
        <w:tab/>
      </w:r>
      <w:r w:rsidR="00A74F77">
        <w:rPr>
          <w:bCs/>
        </w:rPr>
        <w:tab/>
      </w:r>
      <w:r w:rsidR="00874352">
        <w:rPr>
          <w:bCs/>
        </w:rPr>
        <w:t xml:space="preserve"> </w:t>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AB11F2" w:rsidRDefault="00AB11F2" w:rsidP="00882BF7">
      <w:pPr>
        <w:pStyle w:val="BodyTextIndent3"/>
        <w:rPr>
          <w:rFonts w:ascii="Times New Roman" w:hAnsi="Times New Roman" w:cs="Times New Roman"/>
          <w:szCs w:val="24"/>
        </w:rPr>
      </w:pPr>
    </w:p>
    <w:p w:rsidR="00912080"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w:t>
      </w:r>
      <w:r w:rsidR="00BC48E0">
        <w:rPr>
          <w:rFonts w:ascii="Times New Roman" w:hAnsi="Times New Roman" w:cs="Times New Roman"/>
          <w:szCs w:val="24"/>
        </w:rPr>
        <w:t>will</w:t>
      </w:r>
      <w:r w:rsidRPr="00A74F77">
        <w:rPr>
          <w:rFonts w:ascii="Times New Roman" w:hAnsi="Times New Roman" w:cs="Times New Roman"/>
          <w:color w:val="FF0000"/>
          <w:szCs w:val="24"/>
        </w:rPr>
        <w:t xml:space="preserve"> </w:t>
      </w:r>
      <w:r w:rsidRPr="00113CDB">
        <w:rPr>
          <w:rFonts w:ascii="Times New Roman" w:hAnsi="Times New Roman" w:cs="Times New Roman"/>
          <w:szCs w:val="24"/>
        </w:rPr>
        <w:t>constitute sufficient grounds for the immediate suspension of the Respondent’s license to practice medicine. The Respondent hereby waives any claim or defense to any subsequent action by the Board to suspend the Respondent’s</w:t>
      </w:r>
      <w:r w:rsidR="00DD2428">
        <w:rPr>
          <w:rFonts w:ascii="Times New Roman" w:hAnsi="Times New Roman" w:cs="Times New Roman"/>
          <w:szCs w:val="24"/>
        </w:rPr>
        <w:t xml:space="preserve"> license</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AB11F2" w:rsidRPr="00113CDB" w:rsidRDefault="00AB11F2" w:rsidP="00882BF7">
      <w:pPr>
        <w:pStyle w:val="BodyTextIndent3"/>
        <w:rPr>
          <w:rFonts w:ascii="Times New Roman" w:hAnsi="Times New Roman" w:cs="Times New Roman"/>
          <w:szCs w:val="24"/>
        </w:rPr>
      </w:pP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BA7B1D">
        <w:t>Zunair Zi</w:t>
      </w:r>
      <w:r w:rsidR="00493805">
        <w:t xml:space="preserve">, </w:t>
      </w:r>
      <w:r w:rsidRPr="00113CDB">
        <w:t>M.D. (“</w:t>
      </w:r>
      <w:r w:rsidR="00845D95" w:rsidRPr="00113CDB">
        <w:t xml:space="preserve">the </w:t>
      </w:r>
      <w:r w:rsidRPr="00113CDB">
        <w:t>Respondent”).</w:t>
      </w:r>
    </w:p>
    <w:p w:rsidR="00AB11F2" w:rsidRDefault="00AB11F2" w:rsidP="00882BF7">
      <w:pPr>
        <w:spacing w:line="480" w:lineRule="auto"/>
      </w:pPr>
    </w:p>
    <w:p w:rsidR="00AB11F2" w:rsidRDefault="00AB11F2" w:rsidP="00882BF7">
      <w:pPr>
        <w:spacing w:line="480" w:lineRule="auto"/>
      </w:pP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AB11F2" w:rsidRDefault="00AB11F2" w:rsidP="00882BF7">
      <w:pPr>
        <w:pStyle w:val="BodyText2"/>
        <w:spacing w:line="480" w:lineRule="auto"/>
        <w:rPr>
          <w:rFonts w:ascii="Times New Roman" w:hAnsi="Times New Roman"/>
          <w:szCs w:val="24"/>
        </w:rPr>
      </w:pP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at least</w:t>
      </w:r>
      <w:r w:rsidR="00493805">
        <w:rPr>
          <w:rFonts w:ascii="Times New Roman" w:hAnsi="Times New Roman"/>
          <w:szCs w:val="24"/>
        </w:rPr>
        <w:t xml:space="preserve"> three</w:t>
      </w:r>
      <w:r w:rsidR="00493805" w:rsidRPr="00C22F32">
        <w:rPr>
          <w:rFonts w:ascii="Times New Roman" w:hAnsi="Times New Roman"/>
          <w:szCs w:val="24"/>
        </w:rPr>
        <w:t xml:space="preserve"> </w:t>
      </w:r>
      <w:r w:rsidR="00FD6A27" w:rsidRPr="00C22F32">
        <w:rPr>
          <w:rFonts w:ascii="Times New Roman" w:hAnsi="Times New Roman"/>
          <w:szCs w:val="24"/>
        </w:rPr>
        <w:t>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D37A43">
        <w:rPr>
          <w:rFonts w:ascii="Times New Roman" w:hAnsi="Times New Roman"/>
          <w:szCs w:val="24"/>
        </w:rPr>
        <w:t xml:space="preserve">No </w:t>
      </w:r>
      <w:r w:rsidR="00CE26D5">
        <w:rPr>
          <w:rFonts w:ascii="Times New Roman" w:hAnsi="Times New Roman"/>
          <w:szCs w:val="24"/>
        </w:rPr>
        <w:t>early termination of the</w:t>
      </w:r>
      <w:r w:rsidR="00D37A43">
        <w:rPr>
          <w:rFonts w:ascii="Times New Roman" w:hAnsi="Times New Roman"/>
          <w:szCs w:val="24"/>
        </w:rPr>
        <w:t xml:space="preserve"> Agreement will be allowed</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w:t>
      </w:r>
      <w:r w:rsidR="00BA7B1D">
        <w:rPr>
          <w:rFonts w:ascii="Times New Roman" w:hAnsi="Times New Roman"/>
          <w:szCs w:val="24"/>
        </w:rPr>
        <w:t xml:space="preserve"> clinical</w:t>
      </w:r>
      <w:r w:rsidR="00CE26D5">
        <w:rPr>
          <w:rFonts w:ascii="Times New Roman" w:hAnsi="Times New Roman"/>
          <w:szCs w:val="24"/>
        </w:rPr>
        <w:t xml:space="preserve">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  The Respondent shall immediately notify the Board in writing any time that any treating physician writes a prescription for the Respondent for a controlled substance in Schedules II through IV, inclusive.</w:t>
      </w:r>
    </w:p>
    <w:p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r>
      <w:r w:rsidR="00BA7B1D" w:rsidRPr="00BA7B1D">
        <w:rPr>
          <w:rFonts w:ascii="Times New Roman" w:eastAsia="Calibri" w:hAnsi="Times New Roman"/>
        </w:rPr>
        <w:t xml:space="preserve">The Respondent acknowledges that self-prescribing of controlled substances in Schedules II-IV inclusive is prohibited, and that prescribing controlled substances in Schedules II-IV to an </w:t>
      </w:r>
      <w:r w:rsidR="00BA7B1D" w:rsidRPr="00BA7B1D">
        <w:rPr>
          <w:rFonts w:ascii="Times New Roman" w:eastAsia="Calibri" w:hAnsi="Times New Roman"/>
        </w:rPr>
        <w:lastRenderedPageBreak/>
        <w:t xml:space="preserve">immediate family member is prohibited except in an emergency.  </w:t>
      </w:r>
      <w:r w:rsidR="00BA7B1D" w:rsidRPr="00BA7B1D">
        <w:rPr>
          <w:rFonts w:ascii="Times New Roman" w:eastAsia="Calibri" w:hAnsi="Times New Roman"/>
          <w:i/>
        </w:rPr>
        <w:t xml:space="preserve">See, </w:t>
      </w:r>
      <w:r w:rsidR="00BA7B1D" w:rsidRPr="00BA7B1D">
        <w:rPr>
          <w:rFonts w:ascii="Times New Roman" w:eastAsia="Calibri" w:hAnsi="Times New Roman"/>
        </w:rPr>
        <w:t>243 CMR 2.07 (19).  Should the Respondent prescribe any controlled substances to himself or any immediate family member, he shall immediately notify the Executive Director of the Board in writing, and shall immediately provide the Executive Director of the Board a written copy of any such prescription and a full and complete written explanation of the reasons for any such prescription</w:t>
      </w:r>
      <w:r w:rsidRPr="00BA7B1D">
        <w:rPr>
          <w:rFonts w:ascii="Times New Roman" w:hAnsi="Times New Roman"/>
        </w:rPr>
        <w:t>.</w:t>
      </w:r>
    </w:p>
    <w:p w:rsidR="00D97147" w:rsidRDefault="00D97147" w:rsidP="00882BF7">
      <w:pPr>
        <w:pStyle w:val="BodyText2"/>
        <w:spacing w:line="480" w:lineRule="auto"/>
        <w:rPr>
          <w:rFonts w:ascii="Times New Roman" w:hAnsi="Times New Roman"/>
        </w:rPr>
      </w:pPr>
      <w:r>
        <w:rPr>
          <w:rFonts w:ascii="Times New Roman" w:hAnsi="Times New Roman"/>
        </w:rPr>
        <w:t>D.</w:t>
      </w:r>
      <w:r>
        <w:rPr>
          <w:rFonts w:ascii="Times New Roman" w:hAnsi="Times New Roman"/>
        </w:rPr>
        <w:tab/>
        <w:t>The Respondent has entered into a substance use monitoring contract, dated</w:t>
      </w:r>
      <w:r w:rsidR="00BA7B1D">
        <w:rPr>
          <w:rFonts w:ascii="Times New Roman" w:hAnsi="Times New Roman"/>
        </w:rPr>
        <w:t xml:space="preserve"> August 11</w:t>
      </w:r>
      <w:r w:rsidR="00493805">
        <w:rPr>
          <w:rFonts w:ascii="Times New Roman" w:hAnsi="Times New Roman"/>
        </w:rPr>
        <w:t>, 201</w:t>
      </w:r>
      <w:r w:rsidR="00BA7B1D">
        <w:rPr>
          <w:rFonts w:ascii="Times New Roman" w:hAnsi="Times New Roman"/>
        </w:rPr>
        <w:t>7</w:t>
      </w:r>
      <w:r>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xml:space="preserve">.  This contract includes a provision that PHS will </w:t>
      </w:r>
      <w:r w:rsidR="00874352">
        <w:rPr>
          <w:rFonts w:ascii="Times New Roman" w:hAnsi="Times New Roman"/>
        </w:rPr>
        <w:t>immediately notify (within 24 hours)</w:t>
      </w:r>
      <w:r>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rsidR="00E95A3A" w:rsidRPr="006B7098" w:rsidRDefault="00E95A3A" w:rsidP="00882BF7">
      <w:pPr>
        <w:numPr>
          <w:ilvl w:val="0"/>
          <w:numId w:val="2"/>
        </w:numPr>
        <w:spacing w:line="480" w:lineRule="auto"/>
        <w:jc w:val="both"/>
      </w:pPr>
      <w:r w:rsidRPr="006B7098">
        <w:t xml:space="preserve">in the event that the Respondent misses any random bodily fluid test, </w:t>
      </w:r>
      <w:r w:rsidRPr="006B7098">
        <w:rPr>
          <w:szCs w:val="20"/>
        </w:rPr>
        <w:t>excluding an administrative or laboratory mistake beyond the Respondent’s control;</w:t>
      </w:r>
    </w:p>
    <w:p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rsidR="00032D3A"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rsidR="00EA3AB0" w:rsidRDefault="00874352" w:rsidP="00882BF7">
      <w:pPr>
        <w:spacing w:line="480" w:lineRule="auto"/>
        <w:jc w:val="both"/>
        <w:rPr>
          <w:szCs w:val="20"/>
        </w:rPr>
      </w:pPr>
      <w:r>
        <w:rPr>
          <w:szCs w:val="20"/>
        </w:rPr>
        <w:t>G</w:t>
      </w:r>
      <w:r w:rsidR="00E95A3A" w:rsidRPr="006B7098">
        <w:rPr>
          <w:szCs w:val="20"/>
        </w:rPr>
        <w:t>.</w:t>
      </w:r>
      <w:r w:rsidR="00E95A3A" w:rsidRPr="006B7098">
        <w:rPr>
          <w:szCs w:val="20"/>
        </w:rPr>
        <w:tab/>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substance use or substance abuse</w:t>
      </w:r>
      <w:r w:rsidR="00E95A3A" w:rsidRPr="006B7098">
        <w:rPr>
          <w:szCs w:val="20"/>
        </w:rPr>
        <w:t xml:space="preserv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w:t>
      </w:r>
      <w:r w:rsidR="00BA7B1D">
        <w:rPr>
          <w:szCs w:val="20"/>
        </w:rPr>
        <w:t xml:space="preserve">agrees to submit to the Board, within fifteen (15) days of the adoption of this Agreement, a proposed </w:t>
      </w:r>
      <w:r w:rsidR="00EA3AB0">
        <w:rPr>
          <w:szCs w:val="20"/>
        </w:rPr>
        <w:t xml:space="preserve">healthcare </w:t>
      </w:r>
      <w:r w:rsidR="000E5378">
        <w:rPr>
          <w:szCs w:val="20"/>
        </w:rPr>
        <w:t>professional who shall fulfill the monitoring requirements of this paragraph</w:t>
      </w:r>
      <w:r w:rsidR="00EA3AB0">
        <w:rPr>
          <w:szCs w:val="20"/>
        </w:rPr>
        <w:t>.</w:t>
      </w:r>
    </w:p>
    <w:p w:rsidR="0031613E" w:rsidRDefault="00874352" w:rsidP="00882BF7">
      <w:pPr>
        <w:spacing w:line="480" w:lineRule="auto"/>
        <w:jc w:val="both"/>
      </w:pPr>
      <w:r>
        <w:rPr>
          <w:szCs w:val="20"/>
        </w:rPr>
        <w:t>H</w:t>
      </w:r>
      <w:r w:rsidR="0031613E">
        <w:rPr>
          <w:szCs w:val="20"/>
        </w:rPr>
        <w:t>.</w:t>
      </w:r>
      <w:r w:rsidR="0031613E" w:rsidRPr="006B7098">
        <w:rPr>
          <w:szCs w:val="20"/>
        </w:rPr>
        <w:tab/>
      </w:r>
      <w:r w:rsidR="00493805">
        <w:rPr>
          <w:szCs w:val="20"/>
        </w:rPr>
        <w:t xml:space="preserve"> </w:t>
      </w:r>
      <w:r w:rsidR="00166CDB" w:rsidRPr="008E60DE">
        <w:t xml:space="preserve"> </w:t>
      </w:r>
      <w:r w:rsidR="00B4642B">
        <w:t xml:space="preserve"> </w:t>
      </w:r>
      <w:r w:rsidR="00BA7B1D">
        <w:t>The Respondent shall practice medicine only in conjunction with his pathology residency program at Beth Israel Deaconess Medical Center</w:t>
      </w:r>
      <w:r w:rsidR="00CA1396">
        <w:t xml:space="preserve">. </w:t>
      </w:r>
      <w:r w:rsidR="00166CDB">
        <w:t>The Resp</w:t>
      </w:r>
      <w:r w:rsidR="00506AEF">
        <w:t>ondent</w:t>
      </w:r>
      <w:r w:rsidR="000A508D">
        <w:t>’s practice of medicine will be monitored by Cynthia Hayne, M.D. Dr. Hayne or, any Board-approved successor, shall file quarterly reports with the Board</w:t>
      </w:r>
      <w:r w:rsidR="008E2F5E">
        <w:t>.</w:t>
      </w:r>
      <w:r w:rsidR="000A508D">
        <w:t xml:space="preserve"> The Respondent shall not change his monitor without the approval of the Board.</w:t>
      </w:r>
    </w:p>
    <w:p w:rsidR="00E95A3A" w:rsidRDefault="00874352" w:rsidP="00882BF7">
      <w:pPr>
        <w:spacing w:line="480" w:lineRule="auto"/>
        <w:jc w:val="both"/>
        <w:rPr>
          <w:szCs w:val="20"/>
        </w:rPr>
      </w:pPr>
      <w:r>
        <w:rPr>
          <w:szCs w:val="20"/>
        </w:rPr>
        <w:t>I</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Pr>
          <w:szCs w:val="20"/>
        </w:rPr>
        <w:t>uring the probationary period</w:t>
      </w:r>
      <w:r w:rsidR="00E95A3A" w:rsidRPr="006B7098">
        <w:rPr>
          <w:szCs w:val="20"/>
        </w:rPr>
        <w:t>.</w:t>
      </w:r>
    </w:p>
    <w:p w:rsidR="00E95A3A" w:rsidRDefault="00874352" w:rsidP="000C47DE">
      <w:pPr>
        <w:spacing w:line="480" w:lineRule="auto"/>
        <w:jc w:val="both"/>
        <w:rPr>
          <w:szCs w:val="20"/>
        </w:rPr>
      </w:pPr>
      <w:r>
        <w:rPr>
          <w:szCs w:val="20"/>
        </w:rPr>
        <w:t>J</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874352" w:rsidP="000C47DE">
      <w:pPr>
        <w:spacing w:line="480" w:lineRule="auto"/>
        <w:jc w:val="both"/>
        <w:rPr>
          <w:szCs w:val="20"/>
        </w:rPr>
      </w:pPr>
      <w:r>
        <w:rPr>
          <w:szCs w:val="20"/>
        </w:rPr>
        <w:t>K</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874352"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874352" w:rsidP="00BA7BB2">
      <w:pPr>
        <w:spacing w:line="480" w:lineRule="auto"/>
        <w:jc w:val="both"/>
        <w:rPr>
          <w:szCs w:val="20"/>
        </w:rPr>
      </w:pPr>
      <w:r>
        <w:rPr>
          <w:szCs w:val="20"/>
        </w:rPr>
        <w:t>M</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874352" w:rsidP="00EA3AB0">
      <w:pPr>
        <w:spacing w:line="480" w:lineRule="auto"/>
        <w:jc w:val="both"/>
        <w:rPr>
          <w:szCs w:val="20"/>
        </w:rPr>
      </w:pPr>
      <w:r>
        <w:rPr>
          <w:szCs w:val="20"/>
        </w:rPr>
        <w:t>N</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874352" w:rsidP="00EA3AB0">
      <w:pPr>
        <w:spacing w:line="480" w:lineRule="auto"/>
        <w:jc w:val="both"/>
        <w:rPr>
          <w:szCs w:val="20"/>
        </w:rPr>
      </w:pPr>
      <w:r>
        <w:rPr>
          <w:szCs w:val="20"/>
        </w:rPr>
        <w:t>O</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Pr>
          <w:szCs w:val="20"/>
        </w:rPr>
        <w:t xml:space="preserve"> G</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Default="00874352" w:rsidP="00EA3AB0">
      <w:pPr>
        <w:autoSpaceDE w:val="0"/>
        <w:autoSpaceDN w:val="0"/>
        <w:adjustRightInd w:val="0"/>
        <w:spacing w:line="480" w:lineRule="auto"/>
        <w:jc w:val="both"/>
      </w:pPr>
      <w:r>
        <w:t>P</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t>ere; the Drug Enforcement Administration</w:t>
      </w:r>
      <w:r w:rsidR="00E95A3A" w:rsidRPr="006B7098">
        <w:t>, Boston Diversion Gro</w:t>
      </w:r>
      <w:r>
        <w:t>up; Department of Public Health</w:t>
      </w:r>
      <w:r w:rsidR="00E95A3A" w:rsidRPr="006B7098">
        <w:t xml:space="preserve"> Drug Control Program</w:t>
      </w:r>
      <w:r>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 xml:space="preserve">obligations as set forth above, the Board, at the expiration of the </w:t>
      </w:r>
      <w:r w:rsidR="00493805">
        <w:rPr>
          <w:szCs w:val="20"/>
        </w:rPr>
        <w:t xml:space="preserve"> three-year</w:t>
      </w:r>
      <w:r w:rsidRPr="006B7098">
        <w:rPr>
          <w:szCs w:val="20"/>
        </w:rPr>
        <w:t xml:space="preserve">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6B7098" w:rsidRDefault="006B35C9" w:rsidP="00E95A3A">
      <w:pPr>
        <w:jc w:val="both"/>
      </w:pPr>
      <w:r>
        <w:rPr>
          <w:u w:val="single"/>
        </w:rPr>
        <w:t>11-7-19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Zunair Zi, M.D.</w:t>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E95A3A" w:rsidP="00E95A3A">
      <w:pPr>
        <w:jc w:val="both"/>
      </w:pPr>
      <w:r w:rsidRPr="006B7098">
        <w:t>________________</w:t>
      </w:r>
      <w:r w:rsidRPr="006B7098">
        <w:tab/>
      </w:r>
      <w:r w:rsidRPr="006B7098">
        <w:tab/>
      </w:r>
      <w:r w:rsidRPr="006B7098">
        <w:tab/>
      </w:r>
      <w:r w:rsidRPr="006B7098">
        <w:tab/>
      </w:r>
      <w:r w:rsidRPr="006B7098">
        <w:tab/>
        <w:t>__________________________</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A835AA">
        <w:rPr>
          <w:u w:val="single"/>
        </w:rPr>
        <w:t xml:space="preserve">7       </w:t>
      </w:r>
      <w:r>
        <w:t xml:space="preserve"> day of </w:t>
      </w:r>
      <w:r w:rsidR="00A835AA">
        <w:rPr>
          <w:u w:val="single"/>
        </w:rPr>
        <w:t xml:space="preserve">November   </w:t>
      </w:r>
      <w:r>
        <w:t xml:space="preserve">, </w:t>
      </w:r>
      <w:r w:rsidR="00874352">
        <w:t>20</w:t>
      </w:r>
      <w:r w:rsidR="00A835AA">
        <w:t>19</w:t>
      </w:r>
      <w:bookmarkStart w:id="0" w:name="_GoBack"/>
      <w:bookmarkEnd w:id="0"/>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6B35C9"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6B35C9">
        <w:rPr>
          <w:u w:val="single"/>
        </w:rPr>
        <w:t>Signed by Candace Lapidus Sloane, M.D.</w:t>
      </w:r>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0D" w:rsidRDefault="00C0460D">
      <w:r>
        <w:separator/>
      </w:r>
    </w:p>
  </w:endnote>
  <w:endnote w:type="continuationSeparator" w:id="0">
    <w:p w:rsidR="00C0460D" w:rsidRDefault="00C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0D" w:rsidRDefault="00C0460D">
      <w:r>
        <w:separator/>
      </w:r>
    </w:p>
  </w:footnote>
  <w:footnote w:type="continuationSeparator" w:id="0">
    <w:p w:rsidR="00C0460D" w:rsidRDefault="00C04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A508D"/>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009E"/>
    <w:rsid w:val="0034425B"/>
    <w:rsid w:val="003465F4"/>
    <w:rsid w:val="003537C1"/>
    <w:rsid w:val="00355BA6"/>
    <w:rsid w:val="0036189C"/>
    <w:rsid w:val="003877D5"/>
    <w:rsid w:val="003934FF"/>
    <w:rsid w:val="00396332"/>
    <w:rsid w:val="00397CCD"/>
    <w:rsid w:val="003A7627"/>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93110"/>
    <w:rsid w:val="00493805"/>
    <w:rsid w:val="004942A4"/>
    <w:rsid w:val="00506AEF"/>
    <w:rsid w:val="005142DD"/>
    <w:rsid w:val="00532968"/>
    <w:rsid w:val="0054217D"/>
    <w:rsid w:val="00547BCD"/>
    <w:rsid w:val="0057686E"/>
    <w:rsid w:val="00584ED5"/>
    <w:rsid w:val="00591C45"/>
    <w:rsid w:val="005B4873"/>
    <w:rsid w:val="005C2079"/>
    <w:rsid w:val="005C3C70"/>
    <w:rsid w:val="005E20F6"/>
    <w:rsid w:val="00603046"/>
    <w:rsid w:val="006433F8"/>
    <w:rsid w:val="00673A09"/>
    <w:rsid w:val="00681CFA"/>
    <w:rsid w:val="00691F9C"/>
    <w:rsid w:val="006B2473"/>
    <w:rsid w:val="006B35C9"/>
    <w:rsid w:val="006C13AC"/>
    <w:rsid w:val="006C1F36"/>
    <w:rsid w:val="006C560F"/>
    <w:rsid w:val="006C7E53"/>
    <w:rsid w:val="006D1768"/>
    <w:rsid w:val="006E4432"/>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7F69D2"/>
    <w:rsid w:val="00803985"/>
    <w:rsid w:val="00825316"/>
    <w:rsid w:val="00826CA3"/>
    <w:rsid w:val="00843DBE"/>
    <w:rsid w:val="00845D95"/>
    <w:rsid w:val="00850BC3"/>
    <w:rsid w:val="00855DAA"/>
    <w:rsid w:val="00861962"/>
    <w:rsid w:val="00867CFE"/>
    <w:rsid w:val="008703E1"/>
    <w:rsid w:val="00874352"/>
    <w:rsid w:val="00882BF7"/>
    <w:rsid w:val="00895FA4"/>
    <w:rsid w:val="008A0833"/>
    <w:rsid w:val="008B25E4"/>
    <w:rsid w:val="008C6E99"/>
    <w:rsid w:val="008D1DCA"/>
    <w:rsid w:val="008E2F5E"/>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A044BD"/>
    <w:rsid w:val="00A07AD6"/>
    <w:rsid w:val="00A16974"/>
    <w:rsid w:val="00A37D2C"/>
    <w:rsid w:val="00A52702"/>
    <w:rsid w:val="00A532AC"/>
    <w:rsid w:val="00A53F0C"/>
    <w:rsid w:val="00A74F77"/>
    <w:rsid w:val="00A835AA"/>
    <w:rsid w:val="00A93001"/>
    <w:rsid w:val="00AA4E08"/>
    <w:rsid w:val="00AB11F2"/>
    <w:rsid w:val="00AE761C"/>
    <w:rsid w:val="00B259DB"/>
    <w:rsid w:val="00B30788"/>
    <w:rsid w:val="00B410B9"/>
    <w:rsid w:val="00B43452"/>
    <w:rsid w:val="00B4457B"/>
    <w:rsid w:val="00B4642B"/>
    <w:rsid w:val="00B50516"/>
    <w:rsid w:val="00B54B16"/>
    <w:rsid w:val="00B72570"/>
    <w:rsid w:val="00B73F30"/>
    <w:rsid w:val="00B75016"/>
    <w:rsid w:val="00B75CD7"/>
    <w:rsid w:val="00B94200"/>
    <w:rsid w:val="00BA0FAE"/>
    <w:rsid w:val="00BA1C24"/>
    <w:rsid w:val="00BA7B1D"/>
    <w:rsid w:val="00BA7BB2"/>
    <w:rsid w:val="00BC36E3"/>
    <w:rsid w:val="00BC40A2"/>
    <w:rsid w:val="00BC48E0"/>
    <w:rsid w:val="00BD1EA9"/>
    <w:rsid w:val="00BF23A0"/>
    <w:rsid w:val="00C0078B"/>
    <w:rsid w:val="00C02EFA"/>
    <w:rsid w:val="00C0460D"/>
    <w:rsid w:val="00C0473C"/>
    <w:rsid w:val="00C07844"/>
    <w:rsid w:val="00C114BE"/>
    <w:rsid w:val="00C12AA4"/>
    <w:rsid w:val="00C21BDC"/>
    <w:rsid w:val="00C2204B"/>
    <w:rsid w:val="00C22F32"/>
    <w:rsid w:val="00C25ED7"/>
    <w:rsid w:val="00C312E9"/>
    <w:rsid w:val="00C33E90"/>
    <w:rsid w:val="00C3482A"/>
    <w:rsid w:val="00C36959"/>
    <w:rsid w:val="00C43C69"/>
    <w:rsid w:val="00C574FA"/>
    <w:rsid w:val="00C614BF"/>
    <w:rsid w:val="00C87570"/>
    <w:rsid w:val="00C940BD"/>
    <w:rsid w:val="00CA1396"/>
    <w:rsid w:val="00CA4030"/>
    <w:rsid w:val="00CA41A6"/>
    <w:rsid w:val="00CB503F"/>
    <w:rsid w:val="00CC71C1"/>
    <w:rsid w:val="00CD3440"/>
    <w:rsid w:val="00CD5046"/>
    <w:rsid w:val="00CE02F4"/>
    <w:rsid w:val="00CE26D5"/>
    <w:rsid w:val="00CE3F50"/>
    <w:rsid w:val="00CF0927"/>
    <w:rsid w:val="00CF234D"/>
    <w:rsid w:val="00D23829"/>
    <w:rsid w:val="00D2547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D2428"/>
    <w:rsid w:val="00DE461E"/>
    <w:rsid w:val="00DE4FFC"/>
    <w:rsid w:val="00E12918"/>
    <w:rsid w:val="00E12A64"/>
    <w:rsid w:val="00E23485"/>
    <w:rsid w:val="00E31BCB"/>
    <w:rsid w:val="00E51256"/>
    <w:rsid w:val="00E55373"/>
    <w:rsid w:val="00E564FF"/>
    <w:rsid w:val="00E57700"/>
    <w:rsid w:val="00E825B7"/>
    <w:rsid w:val="00E907E5"/>
    <w:rsid w:val="00E95A3A"/>
    <w:rsid w:val="00EA385B"/>
    <w:rsid w:val="00EA3AB0"/>
    <w:rsid w:val="00EA5845"/>
    <w:rsid w:val="00EB12FC"/>
    <w:rsid w:val="00EB2E80"/>
    <w:rsid w:val="00EC0FD0"/>
    <w:rsid w:val="00EC4A61"/>
    <w:rsid w:val="00EC55CA"/>
    <w:rsid w:val="00ED423D"/>
    <w:rsid w:val="00F00C24"/>
    <w:rsid w:val="00F01BB8"/>
    <w:rsid w:val="00F05F22"/>
    <w:rsid w:val="00F06146"/>
    <w:rsid w:val="00F16A0E"/>
    <w:rsid w:val="00F25B9A"/>
    <w:rsid w:val="00F4321F"/>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E823-D5D3-41AC-9698-6BDE7853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2019-03-26T20:19:00Z</cp:lastPrinted>
  <dcterms:created xsi:type="dcterms:W3CDTF">2019-11-18T18:36:00Z</dcterms:created>
  <dcterms:modified xsi:type="dcterms:W3CDTF">2019-11-18T18:44:00Z</dcterms:modified>
</cp:coreProperties>
</file>