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62892" w14:textId="00DD64A2" w:rsidR="00960460" w:rsidRDefault="004E6BAE">
      <w:pPr>
        <w:spacing w:line="276" w:lineRule="auto"/>
        <w:jc w:val="center"/>
        <w:rPr>
          <w:rFonts w:ascii="Avenir Next LT Pro" w:eastAsia="Arial" w:hAnsi="Avenir Next LT Pro"/>
          <w:color w:val="365F91" w:themeColor="accent1" w:themeShade="BF"/>
        </w:rPr>
      </w:pPr>
      <w:r>
        <w:rPr>
          <w:noProof/>
        </w:rPr>
        <w:drawing>
          <wp:anchor distT="0" distB="0" distL="114300" distR="114300" simplePos="0" relativeHeight="251658240" behindDoc="1" locked="0" layoutInCell="1" allowOverlap="1" wp14:anchorId="1AF727DA" wp14:editId="68690F2A">
            <wp:simplePos x="0" y="0"/>
            <wp:positionH relativeFrom="column">
              <wp:posOffset>-19050</wp:posOffset>
            </wp:positionH>
            <wp:positionV relativeFrom="paragraph">
              <wp:posOffset>-295275</wp:posOffset>
            </wp:positionV>
            <wp:extent cx="1146175" cy="640080"/>
            <wp:effectExtent l="0" t="0" r="0" b="7620"/>
            <wp:wrapNone/>
            <wp:docPr id="1002064891" name="Picture 1" descr="Official Logo for the Department of Public Health as of 2025 that depicts the letters D, P, and H with a border and small silhouette of the shape of Massachusetts top righthand cor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064891" name="Picture 1" descr="Official Logo for the Department of Public Health as of 2025 that depicts the letters D, P, and H with a border and small silhouette of the shape of Massachusetts top righthand corne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6175" cy="640080"/>
                    </a:xfrm>
                    <a:prstGeom prst="rect">
                      <a:avLst/>
                    </a:prstGeom>
                    <a:noFill/>
                  </pic:spPr>
                </pic:pic>
              </a:graphicData>
            </a:graphic>
          </wp:anchor>
        </w:drawing>
      </w:r>
      <w:r>
        <w:t xml:space="preserve">                                                </w:t>
      </w:r>
      <w:r>
        <w:rPr>
          <w:rFonts w:ascii="Avenir Next LT Pro" w:hAnsi="Avenir Next LT Pro"/>
          <w:color w:val="365F91" w:themeColor="accent1" w:themeShade="BF"/>
        </w:rPr>
        <w:t xml:space="preserve">  </w:t>
      </w:r>
    </w:p>
    <w:p w14:paraId="220F4B92" w14:textId="77777777" w:rsidR="00960460" w:rsidRDefault="004E6BAE">
      <w:pPr>
        <w:pStyle w:val="P68B1DB1-Normal1"/>
        <w:spacing w:line="276" w:lineRule="auto"/>
        <w:jc w:val="center"/>
      </w:pPr>
      <w:r>
        <w:t>Can thiệp Sớm Massachusetts</w:t>
      </w:r>
    </w:p>
    <w:p w14:paraId="2B6EB299" w14:textId="55F1C5AC" w:rsidR="00960460" w:rsidRDefault="004E6BAE">
      <w:pPr>
        <w:pStyle w:val="P68B1DB1-Normal1"/>
        <w:spacing w:line="276" w:lineRule="auto"/>
        <w:jc w:val="center"/>
      </w:pPr>
      <w:r>
        <w:t>Thông báo về các biện pháp bảo vệ theo thủ tục</w:t>
      </w:r>
    </w:p>
    <w:p w14:paraId="676A545F" w14:textId="77777777" w:rsidR="00960460" w:rsidRDefault="00960460">
      <w:pPr>
        <w:spacing w:line="276" w:lineRule="auto"/>
        <w:rPr>
          <w:rFonts w:ascii="Avenir Next LT Pro" w:eastAsia="Avenir Next LT Pro" w:hAnsi="Avenir Next LT Pro" w:cs="Avenir Next LT Pro"/>
          <w:sz w:val="24"/>
        </w:rPr>
      </w:pPr>
    </w:p>
    <w:p w14:paraId="09443A5D" w14:textId="6CF87108" w:rsidR="00960460" w:rsidRDefault="004E6BAE">
      <w:pPr>
        <w:pStyle w:val="P68B1DB1-Normal2"/>
        <w:jc w:val="both"/>
      </w:pPr>
      <w:r>
        <w:t>Các dịch vụ can thiệp sớm (EI) ở Massachusetts được cung cấp theo Phần C của Đạo luật Giáo dục cho Cá nhân Khuyết tật (IDEA), 20 U.S.C. §§1431 và tiếp theo, và các quy định thực hiện tại 34 CFR Phần 303. Bộ phận Can thiệp Sớm của Bộ Y tế (DPH) (Bộ phận Can thiệp Sớm) là Cơ quan Chủ trì được chỉ định theo 34 CFR §303.120, chịu trách nhiệm quản lý công tác Can thiệp Sớm theo Phần C tại Massachusetts và đảm bảo việc tuân thủ IDEA Phần C.</w:t>
      </w:r>
    </w:p>
    <w:p w14:paraId="772E71C4" w14:textId="77777777" w:rsidR="00960460" w:rsidRDefault="00960460">
      <w:pPr>
        <w:jc w:val="both"/>
        <w:rPr>
          <w:rFonts w:ascii="Avenir Next LT Pro" w:eastAsia="Avenir Next LT Pro" w:hAnsi="Avenir Next LT Pro" w:cs="Avenir Next LT Pro"/>
          <w:sz w:val="24"/>
        </w:rPr>
      </w:pPr>
    </w:p>
    <w:p w14:paraId="20E735E4" w14:textId="73220656" w:rsidR="00960460" w:rsidRDefault="004E6BAE">
      <w:pPr>
        <w:jc w:val="both"/>
        <w:rPr>
          <w:rFonts w:ascii="Avenir Next LT Pro" w:eastAsia="Avenir Next LT Pro" w:hAnsi="Avenir Next LT Pro" w:cs="Avenir Next LT Pro"/>
          <w:sz w:val="24"/>
        </w:rPr>
      </w:pPr>
      <w:r>
        <w:rPr>
          <w:rFonts w:ascii="Avenir Next LT Pro" w:eastAsia="Avenir Next LT Pro" w:hAnsi="Avenir Next LT Pro" w:cs="Avenir Next LT Pro"/>
          <w:sz w:val="24"/>
        </w:rPr>
        <w:t>Thông báo này giải thích các biện pháp bảo vệ theo thủ tục và các quyền có sẵn cho phụ huynh của trẻ sơ sinh và trẻ nhỏ đủ điều kiện. Những biện pháp bảo vệ này đảm bảo rằng phụ huynh tham gia có đầy đủ thông tin trong quá trình ra quyết định liên quan đến con của mình và rằng quyền của trẻ được bảo vệ từ khi trẻ được giới thiệu nhận dịch vụ can thiệp sớm theo IDEA Phần C cho đến khi cơ quan tham gia không còn nghĩa vụ lưu giữ hoặc không còn lưu giữ thông tin đó theo luật Liên bang và Tiểu bang hiện hành (</w:t>
      </w:r>
      <w:hyperlink r:id="rId12" w:anchor="p-303.401(c)(2)">
        <w:r w:rsidR="00960460">
          <w:rPr>
            <w:rStyle w:val="Hyperlink"/>
            <w:rFonts w:ascii="Avenir Next LT Pro" w:eastAsia="Avenir Next LT Pro" w:hAnsi="Avenir Next LT Pro" w:cs="Avenir Next LT Pro"/>
            <w:color w:val="auto"/>
            <w:sz w:val="24"/>
          </w:rPr>
          <w:t>§303.401(c)(2))</w:t>
        </w:r>
      </w:hyperlink>
      <w:r>
        <w:rPr>
          <w:rFonts w:ascii="Avenir Next LT Pro" w:eastAsia="Avenir Next LT Pro" w:hAnsi="Avenir Next LT Pro" w:cs="Avenir Next LT Pro"/>
          <w:sz w:val="24"/>
        </w:rPr>
        <w:t>, tùy thời điểm nào đến muộn hơn</w:t>
      </w:r>
    </w:p>
    <w:p w14:paraId="3EF550C3" w14:textId="77777777" w:rsidR="00960460" w:rsidRDefault="00960460">
      <w:pPr>
        <w:jc w:val="both"/>
        <w:rPr>
          <w:rFonts w:ascii="Avenir Next LT Pro" w:eastAsia="Avenir Next LT Pro" w:hAnsi="Avenir Next LT Pro" w:cs="Avenir Next LT Pro"/>
          <w:b/>
          <w:sz w:val="24"/>
        </w:rPr>
      </w:pPr>
    </w:p>
    <w:p w14:paraId="610B2B4A" w14:textId="503B92AE" w:rsidR="00960460" w:rsidRDefault="004E6BAE">
      <w:pPr>
        <w:pStyle w:val="P68B1DB1-Heading13"/>
        <w:spacing w:before="0"/>
        <w:jc w:val="both"/>
        <w:rPr>
          <w:b/>
        </w:rPr>
      </w:pPr>
      <w:r>
        <w:rPr>
          <w:b/>
        </w:rPr>
        <w:t xml:space="preserve">Trách nhiệm chung của Cơ quan Chủ trì về các Biện pháp bảo vệ theo thủ tục </w:t>
      </w:r>
      <w:r>
        <w:t>(§303.400)</w:t>
      </w:r>
    </w:p>
    <w:p w14:paraId="3A58B0B5" w14:textId="77777777" w:rsidR="00960460" w:rsidRDefault="004E6BAE">
      <w:pPr>
        <w:jc w:val="both"/>
        <w:rPr>
          <w:rFonts w:ascii="Avenir Next LT Pro" w:eastAsia="Avenir Next LT Pro" w:hAnsi="Avenir Next LT Pro" w:cs="Avenir Next LT Pro"/>
          <w:sz w:val="24"/>
        </w:rPr>
      </w:pPr>
      <w:r>
        <w:rPr>
          <w:rFonts w:ascii="Avenir Next LT Pro" w:eastAsia="Avenir Next LT Pro" w:hAnsi="Avenir Next LT Pro" w:cs="Avenir Next LT Pro"/>
          <w:sz w:val="24"/>
        </w:rPr>
        <w:t xml:space="preserve">Bộ phận Can thiệp Sớm áp dụng các biện pháp bảo vệ theo thủ tục được quy định tại </w:t>
      </w:r>
      <w:hyperlink r:id="rId13">
        <w:r w:rsidR="00960460">
          <w:rPr>
            <w:rStyle w:val="Hyperlink"/>
            <w:rFonts w:ascii="Avenir Next LT Pro" w:eastAsia="Avenir Next LT Pro" w:hAnsi="Avenir Next LT Pro" w:cs="Avenir Next LT Pro"/>
            <w:color w:val="auto"/>
            <w:sz w:val="24"/>
          </w:rPr>
          <w:t>34 CFR Phần 303 Tiểu phần E</w:t>
        </w:r>
      </w:hyperlink>
      <w:r>
        <w:rPr>
          <w:rFonts w:ascii="Avenir Next LT Pro" w:eastAsia="Avenir Next LT Pro" w:hAnsi="Avenir Next LT Pro" w:cs="Avenir Next LT Pro"/>
          <w:sz w:val="24"/>
        </w:rPr>
        <w:t xml:space="preserve"> và yêu cầu mỗi cơ quan tham gia thực hiện hiệu quả các biện pháp bảo vệ này (bao gồm Bộ phận Can thiệp Sớm và các nhà cung cấp EIS) trong hệ thống Can thiệp Sớm Massachusetts, bao gồm việc cung cấp bản sao ban đầu hồ sơ can thiệp sớm của trẻ, miễn phí và bằng ngôn ngữ bản địa của phụ huynh. Các biện pháp bảo vệ theo thủ tục này bao gồm các quy định về bảo mật (</w:t>
      </w:r>
      <w:hyperlink r:id="rId14">
        <w:r w:rsidR="00960460">
          <w:rPr>
            <w:rFonts w:ascii="Avenir Next LT Pro" w:eastAsia="Avenir Next LT Pro" w:hAnsi="Avenir Next LT Pro" w:cs="Avenir Next LT Pro"/>
            <w:sz w:val="24"/>
          </w:rPr>
          <w:t>03.401</w:t>
        </w:r>
      </w:hyperlink>
      <w:r>
        <w:rPr>
          <w:rFonts w:ascii="Avenir Next LT Pro" w:eastAsia="Avenir Next LT Pro" w:hAnsi="Avenir Next LT Pro" w:cs="Avenir Next LT Pro"/>
          <w:sz w:val="24"/>
        </w:rPr>
        <w:t>-</w:t>
      </w:r>
      <w:hyperlink r:id="rId15">
        <w:r w:rsidR="00960460">
          <w:rPr>
            <w:rFonts w:ascii="Avenir Next LT Pro" w:eastAsia="Avenir Next LT Pro" w:hAnsi="Avenir Next LT Pro" w:cs="Avenir Next LT Pro"/>
            <w:sz w:val="24"/>
          </w:rPr>
          <w:t>303.417</w:t>
        </w:r>
      </w:hyperlink>
      <w:r>
        <w:rPr>
          <w:rFonts w:ascii="Avenir Next LT Pro" w:eastAsia="Avenir Next LT Pro" w:hAnsi="Avenir Next LT Pro" w:cs="Avenir Next LT Pro"/>
          <w:sz w:val="24"/>
        </w:rPr>
        <w:t xml:space="preserve">), sự </w:t>
      </w:r>
      <w:hyperlink r:id="rId16" w:history="1">
        <w:r w:rsidR="00960460">
          <w:rPr>
            <w:rStyle w:val="Hyperlink"/>
            <w:rFonts w:ascii="Avenir Next LT Pro" w:eastAsia="Avenir Next LT Pro" w:hAnsi="Avenir Next LT Pro" w:cs="Avenir Next LT Pro"/>
            <w:sz w:val="24"/>
          </w:rPr>
          <w:t>đồng ý</w:t>
        </w:r>
      </w:hyperlink>
      <w:r>
        <w:rPr>
          <w:rFonts w:ascii="Avenir Next LT Pro" w:eastAsia="Avenir Next LT Pro" w:hAnsi="Avenir Next LT Pro" w:cs="Avenir Next LT Pro"/>
          <w:sz w:val="24"/>
        </w:rPr>
        <w:t xml:space="preserve"> của phụ huynh và thông báo (</w:t>
      </w:r>
      <w:hyperlink r:id="rId17">
        <w:r w:rsidR="00960460">
          <w:rPr>
            <w:rFonts w:ascii="Avenir Next LT Pro" w:eastAsia="Avenir Next LT Pro" w:hAnsi="Avenir Next LT Pro" w:cs="Avenir Next LT Pro"/>
            <w:sz w:val="24"/>
          </w:rPr>
          <w:t>§§ 303.420</w:t>
        </w:r>
      </w:hyperlink>
      <w:r>
        <w:rPr>
          <w:rFonts w:ascii="Avenir Next LT Pro" w:eastAsia="Avenir Next LT Pro" w:hAnsi="Avenir Next LT Pro" w:cs="Avenir Next LT Pro"/>
          <w:sz w:val="24"/>
        </w:rPr>
        <w:t>-</w:t>
      </w:r>
      <w:hyperlink r:id="rId18">
        <w:r w:rsidR="00960460">
          <w:rPr>
            <w:rFonts w:ascii="Avenir Next LT Pro" w:eastAsia="Avenir Next LT Pro" w:hAnsi="Avenir Next LT Pro" w:cs="Avenir Next LT Pro"/>
            <w:sz w:val="24"/>
          </w:rPr>
          <w:t>303.421</w:t>
        </w:r>
      </w:hyperlink>
      <w:r>
        <w:rPr>
          <w:rFonts w:ascii="Avenir Next LT Pro" w:eastAsia="Avenir Next LT Pro" w:hAnsi="Avenir Next LT Pro" w:cs="Avenir Next LT Pro"/>
          <w:sz w:val="24"/>
        </w:rPr>
        <w:t xml:space="preserve">), đại diện phụ huynh </w:t>
      </w:r>
    </w:p>
    <w:p w14:paraId="4175610F" w14:textId="570D7545" w:rsidR="00960460" w:rsidRDefault="004E6BAE">
      <w:pPr>
        <w:pStyle w:val="P68B1DB1-Normal2"/>
        <w:jc w:val="both"/>
      </w:pPr>
      <w:r>
        <w:t>(</w:t>
      </w:r>
      <w:hyperlink r:id="rId19">
        <w:r w:rsidR="00960460">
          <w:t>§ 303.422</w:t>
        </w:r>
      </w:hyperlink>
      <w:r>
        <w:t>) và thủ tục giải quyết tranh chấp (</w:t>
      </w:r>
      <w:hyperlink r:id="rId20">
        <w:r w:rsidR="00960460">
          <w:t>§ 303.430</w:t>
        </w:r>
      </w:hyperlink>
      <w:r>
        <w:t xml:space="preserve">). </w:t>
      </w:r>
    </w:p>
    <w:p w14:paraId="24C13E8E" w14:textId="77777777" w:rsidR="00960460" w:rsidRDefault="00960460">
      <w:pPr>
        <w:pStyle w:val="Heading1"/>
        <w:spacing w:before="0"/>
        <w:jc w:val="both"/>
        <w:rPr>
          <w:rFonts w:ascii="Avenir Next LT Pro" w:eastAsia="Avenir Next LT Pro" w:hAnsi="Avenir Next LT Pro" w:cs="Avenir Next LT Pro"/>
          <w:b/>
          <w:sz w:val="24"/>
        </w:rPr>
      </w:pPr>
    </w:p>
    <w:p w14:paraId="6638C347" w14:textId="1DE2E6E9" w:rsidR="00960460" w:rsidRDefault="004E6BAE">
      <w:pPr>
        <w:pStyle w:val="P68B1DB1-Heading13"/>
        <w:spacing w:before="0"/>
        <w:jc w:val="both"/>
      </w:pPr>
      <w:r>
        <w:rPr>
          <w:b/>
        </w:rPr>
        <w:t xml:space="preserve">Bảo mật Thông tin và Quyền Xem xét Hồ sơ </w:t>
      </w:r>
      <w:r>
        <w:t>(§303.401)</w:t>
      </w:r>
    </w:p>
    <w:p w14:paraId="2AA868CA" w14:textId="64F619A6" w:rsidR="00960460" w:rsidRDefault="004E6BAE">
      <w:pPr>
        <w:jc w:val="both"/>
        <w:rPr>
          <w:rFonts w:ascii="Avenir Next LT Pro" w:eastAsia="Avenir Next LT Pro" w:hAnsi="Avenir Next LT Pro" w:cs="Avenir Next LT Pro"/>
          <w:sz w:val="24"/>
        </w:rPr>
      </w:pPr>
      <w:r>
        <w:rPr>
          <w:rFonts w:ascii="Avenir Next LT Pro" w:eastAsia="Avenir Next LT Pro" w:hAnsi="Avenir Next LT Pro" w:cs="Avenir Next LT Pro"/>
          <w:sz w:val="24"/>
        </w:rPr>
        <w:t xml:space="preserve">Phụ huynh của trẻ được giới thiệu nhận can thiệp sớm có quyền được bảo mật thông tin nhận dạng cá nhân, bao gồm quyền được thông báo bằng văn bản và quyền </w:t>
      </w:r>
      <w:hyperlink r:id="rId21" w:history="1">
        <w:r w:rsidR="00960460">
          <w:rPr>
            <w:rStyle w:val="Hyperlink"/>
            <w:rFonts w:ascii="Avenir Next LT Pro" w:eastAsia="Avenir Next LT Pro" w:hAnsi="Avenir Next LT Pro" w:cs="Avenir Next LT Pro"/>
            <w:sz w:val="24"/>
          </w:rPr>
          <w:t>đồng ý</w:t>
        </w:r>
      </w:hyperlink>
      <w:r>
        <w:rPr>
          <w:rFonts w:ascii="Avenir Next LT Pro" w:eastAsia="Avenir Next LT Pro" w:hAnsi="Avenir Next LT Pro" w:cs="Avenir Next LT Pro"/>
          <w:sz w:val="24"/>
        </w:rPr>
        <w:t xml:space="preserve"> bằng văn bản đối với việc trao đổi các thông tin đó giữa các cơ quan, phù hợp với luật Liên bang và Tiểu bang.</w:t>
      </w:r>
    </w:p>
    <w:p w14:paraId="1C980D24" w14:textId="77777777" w:rsidR="00960460" w:rsidRDefault="00960460">
      <w:pPr>
        <w:jc w:val="both"/>
        <w:rPr>
          <w:rFonts w:ascii="Avenir Next LT Pro" w:eastAsia="Avenir Next LT Pro" w:hAnsi="Avenir Next LT Pro" w:cs="Avenir Next LT Pro"/>
          <w:sz w:val="24"/>
        </w:rPr>
      </w:pPr>
    </w:p>
    <w:p w14:paraId="4E728D9A" w14:textId="59F1EF88" w:rsidR="00960460" w:rsidRDefault="004E6BAE">
      <w:pPr>
        <w:pStyle w:val="P68B1DB1-Normal4"/>
        <w:ind w:left="720"/>
        <w:jc w:val="both"/>
      </w:pPr>
      <w:r>
        <w:t>Quy trình Bảo mật</w:t>
      </w:r>
    </w:p>
    <w:p w14:paraId="0B3EED92" w14:textId="77777777" w:rsidR="00960460" w:rsidRDefault="004E6BAE">
      <w:pPr>
        <w:pStyle w:val="P68B1DB1-Normal2"/>
        <w:ind w:left="720"/>
        <w:jc w:val="both"/>
      </w:pPr>
      <w:r>
        <w:t xml:space="preserve">Theo yêu cầu tại mục 617(c) và 642 của IDEA Phần C, các quy định trong </w:t>
      </w:r>
      <w:hyperlink r:id="rId22">
        <w:r w:rsidR="00960460">
          <w:rPr>
            <w:u w:val="single"/>
          </w:rPr>
          <w:t>§§ 303.401</w:t>
        </w:r>
      </w:hyperlink>
      <w:r>
        <w:t xml:space="preserve"> đến </w:t>
      </w:r>
      <w:hyperlink r:id="rId23">
        <w:r w:rsidR="00960460">
          <w:rPr>
            <w:u w:val="single"/>
          </w:rPr>
          <w:t>303.417</w:t>
        </w:r>
      </w:hyperlink>
      <w:r>
        <w:t xml:space="preserve"> đảm bảo bảo mật mọi dữ liệu, thông tin và hồ sơ có thể nhận dạng cá nhân do Bộ trưởng (ED) và các cơ quan tham gia, bao gồm Bộ phận Can thiệp Sớm và các nhà cung cấp EIS thu thập hoặc lưu giữ theo các biện pháp bảo vệ theo Đạo luật Quyền riêng tư và Giáo dục gia đình (FERPA) trong </w:t>
      </w:r>
      <w:hyperlink r:id="rId24">
        <w:r w:rsidR="00960460">
          <w:rPr>
            <w:u w:val="single"/>
          </w:rPr>
          <w:t>20 U.S.C. 1232g</w:t>
        </w:r>
      </w:hyperlink>
      <w:r>
        <w:t xml:space="preserve"> và </w:t>
      </w:r>
      <w:hyperlink r:id="rId25">
        <w:r w:rsidR="00960460">
          <w:rPr>
            <w:u w:val="single"/>
          </w:rPr>
          <w:t>34 CFR phần 99</w:t>
        </w:r>
      </w:hyperlink>
      <w:r>
        <w:t xml:space="preserve">. </w:t>
      </w:r>
    </w:p>
    <w:p w14:paraId="7E4BB94E" w14:textId="08DBA147" w:rsidR="00960460" w:rsidRDefault="004E6BAE">
      <w:pPr>
        <w:pStyle w:val="P68B1DB1-Normal5"/>
        <w:ind w:left="720"/>
        <w:jc w:val="both"/>
        <w:rPr>
          <w:rFonts w:ascii="Avenir Next LT Pro" w:eastAsia="Avenir Next LT Pro" w:hAnsi="Avenir Next LT Pro" w:cs="Avenir Next LT Pro"/>
        </w:rPr>
      </w:pPr>
      <w:r>
        <w:rPr>
          <w:rFonts w:ascii="Avenir Next LT Pro" w:eastAsia="Avenir Next LT Pro" w:hAnsi="Avenir Next LT Pro" w:cs="Avenir Next LT Pro"/>
        </w:rPr>
        <w:lastRenderedPageBreak/>
        <w:t xml:space="preserve">Các thủ tục được áp dụng nhằm đảm bảo rằng tất cả các cơ quan tham gia (bao gồm cả Bộ phận Can thiệp Sớm và các nhà cung cấp EIS) tuân thủ các thủ tục bảo mật IDEA Phần C trong </w:t>
      </w:r>
      <w:hyperlink r:id="rId26">
        <w:r w:rsidR="00960460">
          <w:rPr>
            <w:rFonts w:ascii="Avenir Next LT Pro" w:eastAsia="Avenir Next LT Pro" w:hAnsi="Avenir Next LT Pro" w:cs="Avenir Next LT Pro"/>
            <w:u w:val="single"/>
          </w:rPr>
          <w:t>§§ 303.401</w:t>
        </w:r>
      </w:hyperlink>
      <w:r>
        <w:rPr>
          <w:rFonts w:ascii="Avenir Next LT Pro" w:eastAsia="Avenir Next LT Pro" w:hAnsi="Avenir Next LT Pro" w:cs="Avenir Next LT Pro"/>
        </w:rPr>
        <w:t xml:space="preserve"> đến </w:t>
      </w:r>
      <w:hyperlink r:id="rId27">
        <w:r w:rsidR="00960460">
          <w:rPr>
            <w:rFonts w:ascii="Avenir Next LT Pro" w:eastAsia="Avenir Next LT Pro" w:hAnsi="Avenir Next LT Pro" w:cs="Avenir Next LT Pro"/>
            <w:u w:val="single"/>
          </w:rPr>
          <w:t>303.417</w:t>
        </w:r>
      </w:hyperlink>
      <w:r>
        <w:rPr>
          <w:rFonts w:ascii="Avenir Next LT Pro" w:hAnsi="Avenir Next LT Pro"/>
        </w:rPr>
        <w:t xml:space="preserve"> và phụ huynh của trẻ sơ sinh hoặc trẻ nhỏ được giới thiệu hoặc nhận các dịch vụ can thiệp sớm, có cơ hội kiểm tra và xem xét tất cả các tài liệu can thiệp sớm liên quan đến trẻ và gia đình của trẻ được thu thập, lưu giữ hoặc sử dụng theo IDEA Phần C. Tài liệu bao gồm các hồ sơ liên quan đến đánh giá, sàng lọc, xác định đủ điều kiện, phát triển và áp dụng IFSP, cung cấp các dịch vụ can thiệp sớm, khiếu nại cá nhân liên quan đến trẻ hoặc bất kỳ phần nào trong hồ sơ can thiệp sớm của trẻ</w:t>
      </w:r>
    </w:p>
    <w:p w14:paraId="24009EC6" w14:textId="77777777" w:rsidR="00960460" w:rsidRDefault="00960460">
      <w:pPr>
        <w:ind w:left="720"/>
        <w:jc w:val="both"/>
        <w:rPr>
          <w:rFonts w:ascii="Avenir Next LT Pro" w:eastAsia="Avenir Next LT Pro" w:hAnsi="Avenir Next LT Pro" w:cs="Avenir Next LT Pro"/>
          <w:sz w:val="24"/>
        </w:rPr>
      </w:pPr>
    </w:p>
    <w:p w14:paraId="4D6F4A93" w14:textId="77777777" w:rsidR="00960460" w:rsidRDefault="004E6BAE">
      <w:pPr>
        <w:pStyle w:val="P68B1DB1-Normal4"/>
        <w:ind w:left="720"/>
        <w:jc w:val="both"/>
      </w:pPr>
      <w:r>
        <w:t>Phạm vi áp dụng và Thời gian của các Thủ tục</w:t>
      </w:r>
    </w:p>
    <w:p w14:paraId="1319EFAC" w14:textId="7AA59507" w:rsidR="00960460" w:rsidRDefault="004E6BAE">
      <w:pPr>
        <w:pStyle w:val="P68B1DB1-Normal2"/>
        <w:ind w:left="720"/>
        <w:jc w:val="both"/>
      </w:pPr>
      <w:r>
        <w:t>Các thủ tục bảo mật được mô tả trong phần thủ tục bảo mật được áp dụng cho thông tin nhận dạng cá nhân (PII) của trẻ và gia đình trẻ có trong hồ sơ can thiệp sớm được Bộ phận Can thiệp Sớm hoặc nhà cung cấp EIS thu thập, sử dụng hoặc lưu giữ theo IDEA Phần C. Các thủ tục bảo mật được áp dụng từ thời điểm trẻ được giới thiệu đến các dịch vụ can thiệp sớm theo IDEA Phần C cho đến khi cơ quan tham gia không còn nghĩa vụ phải lưu giữ hoặc không còn lưu giữ thông tin đó theo luật Liên bang và Tiểu bang hiện hành.</w:t>
      </w:r>
    </w:p>
    <w:p w14:paraId="34447745" w14:textId="77777777" w:rsidR="00960460" w:rsidRDefault="00960460">
      <w:pPr>
        <w:ind w:left="720"/>
        <w:jc w:val="both"/>
        <w:rPr>
          <w:rFonts w:ascii="Avenir Next LT Pro" w:eastAsia="Avenir Next LT Pro" w:hAnsi="Avenir Next LT Pro" w:cs="Avenir Next LT Pro"/>
          <w:sz w:val="24"/>
        </w:rPr>
      </w:pPr>
    </w:p>
    <w:p w14:paraId="5BD5B37D" w14:textId="62A822ED" w:rsidR="00960460" w:rsidRDefault="004E6BAE">
      <w:pPr>
        <w:pStyle w:val="P68B1DB1-Normal6"/>
        <w:ind w:left="720"/>
        <w:jc w:val="both"/>
        <w:rPr>
          <w:rFonts w:eastAsia="Avenir Next LT Pro"/>
        </w:rPr>
      </w:pPr>
      <w:r>
        <w:t>Tiết lộ thông tin</w:t>
      </w:r>
    </w:p>
    <w:p w14:paraId="557A5D32" w14:textId="3AEA882D" w:rsidR="00960460" w:rsidRDefault="004E6BAE">
      <w:pPr>
        <w:pStyle w:val="P68B1DB1-Normal5"/>
        <w:ind w:left="720"/>
        <w:jc w:val="both"/>
        <w:rPr>
          <w:rFonts w:ascii="Avenir Next LT Pro" w:hAnsi="Avenir Next LT Pro" w:cs="Segoe UI"/>
        </w:rPr>
      </w:pPr>
      <w:r>
        <w:rPr>
          <w:rFonts w:ascii="Avenir Next LT Pro" w:hAnsi="Avenir Next LT Pro"/>
        </w:rPr>
        <w:t xml:space="preserve">Tùy thuộc vào quyền lựa chọn thông báo cho phụ huynh về việc tiết lộ thông tin dự kiến, Bộ phận Can thiệp Sớm phải cung cấp thông tin cho Cơ quan Giáo dục Tiểu bang (SEA) và Cơ quan Giáo dục Địa phương (LEA) nơi trẻ đang cư trú, theo quy định tại </w:t>
      </w:r>
      <w:hyperlink r:id="rId28" w:anchor="p-303.209(b)(1)(i)" w:history="1">
        <w:r w:rsidR="00960460">
          <w:rPr>
            <w:rFonts w:ascii="Avenir Next LT Pro" w:hAnsi="Avenir Next LT Pro" w:cs="Segoe UI"/>
            <w:color w:val="0000FF"/>
            <w:u w:val="single"/>
          </w:rPr>
          <w:t>§ 303.209(b)(1)(i)</w:t>
        </w:r>
      </w:hyperlink>
      <w:r>
        <w:rPr>
          <w:rFonts w:ascii="Avenir Next LT Pro" w:hAnsi="Avenir Next LT Pro" w:cs="Segoe UI"/>
        </w:rPr>
        <w:t xml:space="preserve"> và </w:t>
      </w:r>
      <w:hyperlink r:id="rId29" w:anchor="p-303.209(b)(1)(ii)" w:history="1">
        <w:r w:rsidR="00960460">
          <w:rPr>
            <w:rFonts w:ascii="Avenir Next LT Pro" w:hAnsi="Avenir Next LT Pro" w:cs="Segoe UI"/>
            <w:color w:val="0000FF"/>
            <w:u w:val="single"/>
          </w:rPr>
          <w:t>(b)(1)(ii)</w:t>
        </w:r>
      </w:hyperlink>
      <w:r>
        <w:rPr>
          <w:rFonts w:ascii="Avenir Next LT Pro" w:hAnsi="Avenir Next LT Pro" w:cs="Segoe UI"/>
        </w:rPr>
        <w:t xml:space="preserve">, các thông tin nhận dạng cá nhân (PII) theo IDEA Phần C cần thiết để Bộ phận Can thiệp Sớm, cũng như các LEA và SEA, có thể xác định tất cả trẻ em có khả năng đủ điều kiện nhận dịch vụ theo </w:t>
      </w:r>
      <w:hyperlink r:id="rId30" w:history="1">
        <w:r w:rsidR="00960460">
          <w:rPr>
            <w:rFonts w:ascii="Avenir Next LT Pro" w:hAnsi="Avenir Next LT Pro" w:cs="Segoe UI"/>
            <w:color w:val="0000FF"/>
            <w:u w:val="single"/>
          </w:rPr>
          <w:t>§ 303.211</w:t>
        </w:r>
      </w:hyperlink>
      <w:r>
        <w:rPr>
          <w:rFonts w:ascii="Avenir Next LT Pro" w:hAnsi="Avenir Next LT Pro" w:cs="Segoe UI"/>
        </w:rPr>
        <w:t xml:space="preserve"> và IDEA Phần B. Các thông tin nhận dạng cá nhân được tiết lộ bao gồm tên và ngày sinh của trẻ, và thông tin liên hệ của phụ huynh (bao gồm tên phụ huynh, địa chỉ và số điện thoại).</w:t>
      </w:r>
    </w:p>
    <w:p w14:paraId="2D4FB26D" w14:textId="77777777" w:rsidR="00960460" w:rsidRDefault="00960460">
      <w:pPr>
        <w:pStyle w:val="ListParagraph"/>
        <w:ind w:left="1440"/>
        <w:jc w:val="both"/>
        <w:rPr>
          <w:rFonts w:ascii="Avenir Next LT Pro" w:hAnsi="Avenir Next LT Pro" w:cs="Segoe UI"/>
          <w:sz w:val="24"/>
        </w:rPr>
      </w:pPr>
    </w:p>
    <w:p w14:paraId="510FBE54" w14:textId="0B454B4A" w:rsidR="00960460" w:rsidRDefault="004E6BAE">
      <w:pPr>
        <w:pStyle w:val="P68B1DB1-Normal7"/>
        <w:ind w:left="720"/>
        <w:jc w:val="both"/>
        <w:rPr>
          <w:rFonts w:cs="Arial"/>
        </w:rPr>
      </w:pPr>
      <w:r>
        <w:t>Lựa chọn thông báo cho phụ huynh về việc tiết lộ thông tin dự kiến</w:t>
      </w:r>
    </w:p>
    <w:p w14:paraId="7FC18A62" w14:textId="3C94B8E4" w:rsidR="00960460" w:rsidRDefault="004E6BAE">
      <w:pPr>
        <w:pStyle w:val="P68B1DB1-Normal5"/>
        <w:ind w:left="720"/>
        <w:jc w:val="both"/>
        <w:rPr>
          <w:rFonts w:ascii="Avenir Next LT Pro" w:hAnsi="Avenir Next LT Pro" w:cs="Arial"/>
        </w:rPr>
      </w:pPr>
      <w:r>
        <w:rPr>
          <w:rFonts w:ascii="Avenir Next LT Pro" w:hAnsi="Avenir Next LT Pro"/>
        </w:rPr>
        <w:t xml:space="preserve">Các chính sách của Bộ phận Can thiệp Sớm yêu cầu các nhà cung cấp Dịch vụ Can thiệp Sớm (EIS), trước khi thực hiện việc tiết lộ thông tin giới hạn như được mô tả trong mục tiết lộ thông tin, phải thông báo cho phụ huynh của trẻ nhỏ khuyết tật về việc tiết lộ thông tin dự kiến và cho phép phụ huynh có 30 ngày kể từ ngày họ được thông báo về quyền lựa chọn này để cho biết bằng văn bản rằng họ phản đối (từ chối) việc tiết lộ thông tin đó. Nếu phụ huynh phản đối trong khoảng thời gian 30 ngày, Bộ phận Can thiệp Sớm và nhà cung cấp EIS không được phép tiết lộ theo </w:t>
      </w:r>
      <w:hyperlink r:id="rId31" w:anchor="p-303.401(d)" w:history="1">
        <w:r w:rsidR="00960460">
          <w:rPr>
            <w:rFonts w:ascii="Avenir Next LT Pro" w:hAnsi="Avenir Next LT Pro" w:cs="Segoe UI"/>
            <w:color w:val="0000FF"/>
            <w:u w:val="single"/>
          </w:rPr>
          <w:t>đoạn (d)</w:t>
        </w:r>
      </w:hyperlink>
      <w:r>
        <w:rPr>
          <w:rFonts w:ascii="Avenir Next LT Pro" w:hAnsi="Avenir Next LT Pro" w:cs="Segoe UI"/>
        </w:rPr>
        <w:t xml:space="preserve"> của phần này và </w:t>
      </w:r>
      <w:hyperlink r:id="rId32" w:anchor="p-303.209(b)(1)(i)" w:history="1">
        <w:r w:rsidR="00960460">
          <w:rPr>
            <w:rFonts w:ascii="Avenir Next LT Pro" w:hAnsi="Avenir Next LT Pro" w:cs="Segoe UI"/>
            <w:color w:val="0000FF"/>
            <w:u w:val="single"/>
          </w:rPr>
          <w:t>§ 303.209 (b)(1)(i)</w:t>
        </w:r>
      </w:hyperlink>
      <w:r>
        <w:rPr>
          <w:rFonts w:ascii="Avenir Next LT Pro" w:hAnsi="Avenir Next LT Pro" w:cs="Segoe UI"/>
        </w:rPr>
        <w:t xml:space="preserve"> và </w:t>
      </w:r>
      <w:hyperlink r:id="rId33" w:anchor="p-303.209(b)(1)(ii)" w:history="1">
        <w:r w:rsidR="00960460">
          <w:rPr>
            <w:rFonts w:ascii="Avenir Next LT Pro" w:hAnsi="Avenir Next LT Pro" w:cs="Segoe UI"/>
            <w:color w:val="0000FF"/>
            <w:u w:val="single"/>
          </w:rPr>
          <w:t>(b)(1)(ii)</w:t>
        </w:r>
      </w:hyperlink>
      <w:r>
        <w:rPr>
          <w:rFonts w:ascii="Avenir Next LT Pro" w:hAnsi="Avenir Next LT Pro" w:cs="Segoe UI"/>
        </w:rPr>
        <w:t>.</w:t>
      </w:r>
    </w:p>
    <w:p w14:paraId="6D614CB5" w14:textId="77777777" w:rsidR="00960460" w:rsidRDefault="00960460">
      <w:pPr>
        <w:jc w:val="both"/>
        <w:rPr>
          <w:rFonts w:ascii="Avenir Next LT Pro" w:hAnsi="Avenir Next LT Pro" w:cs="Arial"/>
          <w:sz w:val="24"/>
        </w:rPr>
      </w:pPr>
    </w:p>
    <w:p w14:paraId="2F5F6552" w14:textId="77777777" w:rsidR="00960460" w:rsidRDefault="004E6BAE">
      <w:pPr>
        <w:pStyle w:val="P68B1DB1-Heading13"/>
        <w:spacing w:before="0"/>
        <w:jc w:val="both"/>
      </w:pPr>
      <w:r>
        <w:rPr>
          <w:b/>
        </w:rPr>
        <w:t xml:space="preserve">Bảo mật </w:t>
      </w:r>
      <w:r>
        <w:t>(§303.402)</w:t>
      </w:r>
    </w:p>
    <w:p w14:paraId="5D2A5B84" w14:textId="5B784632" w:rsidR="00960460" w:rsidRDefault="004E6BAE">
      <w:pPr>
        <w:jc w:val="both"/>
        <w:rPr>
          <w:rStyle w:val="cf01"/>
          <w:rFonts w:ascii="Avenir Next LT Pro" w:eastAsia="Avenir Next LT Pro" w:hAnsi="Avenir Next LT Pro" w:cs="Avenir Next LT Pro"/>
          <w:sz w:val="24"/>
        </w:rPr>
      </w:pPr>
      <w:r>
        <w:rPr>
          <w:rStyle w:val="cf01"/>
          <w:rFonts w:ascii="Avenir Next LT Pro" w:eastAsia="Avenir Next LT Pro" w:hAnsi="Avenir Next LT Pro" w:cs="Avenir Next LT Pro"/>
          <w:sz w:val="24"/>
        </w:rPr>
        <w:t xml:space="preserve">Bộ trưởng (ED) thực hiện các biện pháp thích hợp, phù hợp với Mục 444 của GEPA, để đảm bảo bảo mật bất kỳ dữ liệu, thông tin và hồ sơ có khả năng nhận dạng cá nhân nào </w:t>
      </w:r>
      <w:r>
        <w:rPr>
          <w:rStyle w:val="cf01"/>
          <w:rFonts w:ascii="Avenir Next LT Pro" w:eastAsia="Avenir Next LT Pro" w:hAnsi="Avenir Next LT Pro" w:cs="Avenir Next LT Pro"/>
          <w:sz w:val="24"/>
        </w:rPr>
        <w:lastRenderedPageBreak/>
        <w:t xml:space="preserve">được thu thập, lưu giữ hoặc sử dụng bởi Bộ trưởng và bởi Bộ phận Can thiệp Sớm, với tư cách là Cơ quan Chủ trì, cũng như bởi các nhà cung cấp Dịch vụ Can thiệp Sớm (EIS) theo Phần C của Đạo luật, và phù hợp với các quy định tại </w:t>
      </w:r>
      <w:hyperlink r:id="rId34">
        <w:r w:rsidR="00960460">
          <w:rPr>
            <w:rStyle w:val="cf01"/>
            <w:rFonts w:ascii="Avenir Next LT Pro" w:eastAsia="Avenir Next LT Pro" w:hAnsi="Avenir Next LT Pro" w:cs="Avenir Next LT Pro"/>
            <w:sz w:val="24"/>
          </w:rPr>
          <w:t>§§</w:t>
        </w:r>
      </w:hyperlink>
      <w:r>
        <w:rPr>
          <w:rStyle w:val="cf01"/>
          <w:rFonts w:ascii="Avenir Next LT Pro" w:eastAsia="Avenir Next LT Pro" w:hAnsi="Avenir Next LT Pro" w:cs="Avenir Next LT Pro"/>
          <w:sz w:val="24"/>
        </w:rPr>
        <w:t xml:space="preserve"> 303.401 đến </w:t>
      </w:r>
      <w:hyperlink r:id="rId35">
        <w:r w:rsidR="00960460">
          <w:rPr>
            <w:rStyle w:val="cf01"/>
            <w:rFonts w:ascii="Avenir Next LT Pro" w:eastAsia="Avenir Next LT Pro" w:hAnsi="Avenir Next LT Pro" w:cs="Avenir Next LT Pro"/>
            <w:sz w:val="24"/>
          </w:rPr>
          <w:t>303.417</w:t>
        </w:r>
      </w:hyperlink>
      <w:r>
        <w:rPr>
          <w:rStyle w:val="cf01"/>
          <w:rFonts w:ascii="Avenir Next LT Pro" w:eastAsia="Avenir Next LT Pro" w:hAnsi="Avenir Next LT Pro" w:cs="Avenir Next LT Pro"/>
          <w:sz w:val="24"/>
        </w:rPr>
        <w:t xml:space="preserve">. Các quy định tại </w:t>
      </w:r>
      <w:hyperlink r:id="rId36">
        <w:r w:rsidR="00960460">
          <w:rPr>
            <w:rStyle w:val="cf01"/>
            <w:rFonts w:ascii="Avenir Next LT Pro" w:eastAsia="Avenir Next LT Pro" w:hAnsi="Avenir Next LT Pro" w:cs="Avenir Next LT Pro"/>
            <w:sz w:val="24"/>
          </w:rPr>
          <w:t>§§</w:t>
        </w:r>
      </w:hyperlink>
      <w:r>
        <w:rPr>
          <w:rStyle w:val="cf01"/>
          <w:rFonts w:ascii="Avenir Next LT Pro" w:eastAsia="Avenir Next LT Pro" w:hAnsi="Avenir Next LT Pro" w:cs="Avenir Next LT Pro"/>
          <w:sz w:val="24"/>
        </w:rPr>
        <w:t xml:space="preserve"> 303.401 đến </w:t>
      </w:r>
      <w:hyperlink r:id="rId37">
        <w:r w:rsidR="00960460">
          <w:rPr>
            <w:rStyle w:val="cf01"/>
            <w:rFonts w:ascii="Avenir Next LT Pro" w:eastAsia="Avenir Next LT Pro" w:hAnsi="Avenir Next LT Pro" w:cs="Avenir Next LT Pro"/>
            <w:sz w:val="24"/>
          </w:rPr>
          <w:t>303.417</w:t>
        </w:r>
      </w:hyperlink>
      <w:r>
        <w:rPr>
          <w:rStyle w:val="cf01"/>
          <w:rFonts w:ascii="Avenir Next LT Pro" w:eastAsia="Avenir Next LT Pro" w:hAnsi="Avenir Next LT Pro" w:cs="Avenir Next LT Pro"/>
          <w:sz w:val="24"/>
        </w:rPr>
        <w:t xml:space="preserve"> đảm bảo bảo mật mọi dữ liệu, thông tin và hồ sơ có thể nhận dạng cá nhân được thu thập hoặc lưu giữ theo phần này bởi theo quy định của Phần này bởi Bộ trưởng và bởi các cơ quan tham gia, bao gồm Bộ phận Can thiệp Sớm, với tư cách là Cơ quan Chủ trì, cũng như các nhà cung cấp Dịch vụ Can thiệp Sớm (EIS), phù hợp với Đạo Luật Quyền Riêng tư Và Giáo dục Gia đình (FERPA), </w:t>
      </w:r>
      <w:hyperlink r:id="rId38">
        <w:r w:rsidR="00960460">
          <w:rPr>
            <w:rStyle w:val="cf01"/>
            <w:rFonts w:ascii="Avenir Next LT Pro" w:eastAsia="Avenir Next LT Pro" w:hAnsi="Avenir Next LT Pro" w:cs="Avenir Next LT Pro"/>
            <w:sz w:val="24"/>
          </w:rPr>
          <w:t>20 U.S.C. 1232g</w:t>
        </w:r>
      </w:hyperlink>
      <w:r>
        <w:rPr>
          <w:rStyle w:val="cf01"/>
          <w:rFonts w:ascii="Avenir Next LT Pro" w:eastAsia="Avenir Next LT Pro" w:hAnsi="Avenir Next LT Pro" w:cs="Avenir Next LT Pro"/>
          <w:sz w:val="24"/>
        </w:rPr>
        <w:t xml:space="preserve">, và </w:t>
      </w:r>
      <w:hyperlink r:id="rId39">
        <w:r w:rsidR="00960460">
          <w:rPr>
            <w:rStyle w:val="cf01"/>
            <w:rFonts w:ascii="Avenir Next LT Pro" w:eastAsia="Avenir Next LT Pro" w:hAnsi="Avenir Next LT Pro" w:cs="Avenir Next LT Pro"/>
            <w:sz w:val="24"/>
          </w:rPr>
          <w:t>34 CFR phần 99</w:t>
        </w:r>
      </w:hyperlink>
      <w:r>
        <w:rPr>
          <w:rStyle w:val="cf01"/>
          <w:rFonts w:ascii="Avenir Next LT Pro" w:eastAsia="Avenir Next LT Pro" w:hAnsi="Avenir Next LT Pro" w:cs="Avenir Next LT Pro"/>
          <w:sz w:val="24"/>
        </w:rPr>
        <w:t>.</w:t>
      </w:r>
    </w:p>
    <w:p w14:paraId="372AEAD7" w14:textId="77777777" w:rsidR="00960460" w:rsidRDefault="00960460">
      <w:pPr>
        <w:jc w:val="both"/>
        <w:rPr>
          <w:rFonts w:ascii="Avenir Next LT Pro" w:eastAsia="Avenir Next LT Pro" w:hAnsi="Avenir Next LT Pro"/>
          <w:b/>
          <w:sz w:val="24"/>
        </w:rPr>
      </w:pPr>
    </w:p>
    <w:p w14:paraId="49CC00CC" w14:textId="77777777" w:rsidR="00960460" w:rsidRDefault="004E6BAE">
      <w:pPr>
        <w:pStyle w:val="P68B1DB1-Heading13"/>
        <w:spacing w:before="0"/>
        <w:jc w:val="both"/>
        <w:rPr>
          <w:b/>
        </w:rPr>
      </w:pPr>
      <w:r>
        <w:rPr>
          <w:b/>
        </w:rPr>
        <w:t xml:space="preserve">Định nghĩa </w:t>
      </w:r>
      <w:r>
        <w:t>(§303.403)</w:t>
      </w:r>
    </w:p>
    <w:p w14:paraId="663E39F3" w14:textId="77777777" w:rsidR="00960460" w:rsidRDefault="004E6BAE">
      <w:pPr>
        <w:pStyle w:val="P68B1DB1-Normal2"/>
        <w:jc w:val="both"/>
      </w:pPr>
      <w:r>
        <w:t>Vì mục đích của các yêu cầu về bảo mật (§§303.402 đến 303.417), các định nghĩa sau đây được áp dụng</w:t>
      </w:r>
    </w:p>
    <w:p w14:paraId="40E40B23" w14:textId="0CEA41F0" w:rsidR="00960460" w:rsidRDefault="004E6BAE">
      <w:pPr>
        <w:pStyle w:val="P68B1DB1-ListParagraph8"/>
        <w:numPr>
          <w:ilvl w:val="0"/>
          <w:numId w:val="2"/>
        </w:numPr>
        <w:jc w:val="both"/>
      </w:pPr>
      <w:r>
        <w:rPr>
          <w:b/>
        </w:rPr>
        <w:t>Tiêu hủy:</w:t>
      </w:r>
      <w:r>
        <w:t xml:space="preserve"> Tiêu hủy vật lý một hồ sơ hoặc đảm bảo rằng các thông tin nhận dạng cá nhân được loại bỏ khỏi hồ sơ để hồ sơ đó không còn có thể nhận dạng cá nhân nữa, phù hợp với §303.29.</w:t>
      </w:r>
    </w:p>
    <w:p w14:paraId="76FEC068" w14:textId="742C5431" w:rsidR="00960460" w:rsidRDefault="004E6BAE">
      <w:pPr>
        <w:pStyle w:val="P68B1DB1-ListParagraph8"/>
        <w:numPr>
          <w:ilvl w:val="0"/>
          <w:numId w:val="2"/>
        </w:numPr>
        <w:jc w:val="both"/>
      </w:pPr>
      <w:r>
        <w:rPr>
          <w:b/>
        </w:rPr>
        <w:t xml:space="preserve">Hồ sơ can thiệp sớm: </w:t>
      </w:r>
      <w:r>
        <w:t>Tất cả các hồ sơ liên quan đến một trẻ em mà theo yêu cầu phải được thu thập, lưu giữ hoặc sử dụng theo Phần C của IDEA và các quy định tại 34 CFR Phần 303.</w:t>
      </w:r>
    </w:p>
    <w:p w14:paraId="71D9B480" w14:textId="706781F8" w:rsidR="00960460" w:rsidRDefault="004E6BAE">
      <w:pPr>
        <w:pStyle w:val="P68B1DB1-ListParagraph8"/>
        <w:numPr>
          <w:ilvl w:val="0"/>
          <w:numId w:val="2"/>
        </w:numPr>
        <w:jc w:val="both"/>
      </w:pPr>
      <w:r>
        <w:rPr>
          <w:b/>
        </w:rPr>
        <w:t xml:space="preserve">Cơ quan tham gia: </w:t>
      </w:r>
      <w:r>
        <w:t>Bất kỳ cá nhân, cơ quan, tổ chức hoặc cơ sở nào thu thập, lưu giữ hoặc sử dụng thông tin nhận dạng cá nhân để thực hiện các yêu cầu của Phần C của IDEA và các quy định tại Phần này đối với một trẻ cụ thể. Cơ quan tham gia bao gồm Cơ quan Chủ trì, các nhà cung cấp Dịch vụ Can thiệp Sớm (EIS), và bất kỳ cá nhân hoặc tổ chức nào cung cấp các dịch vụ theo Phần C, bao gồm điều phối dịch vụ, đánh giá và thẩm định, và các dịch vụ can thiệp sớm khác. Cơ quan tham gia không bao gồm các nguồn giới thiệu ban đầu hoặc các tổ chức công (ví dụ: chương trình Medicaid của Tiểu bang hoặc Chương trình Bảo hiểm Sức khỏe Trẻ em) hoặc các tổ chức tư nhân (ví dụ: các công ty bảo hiểm tư nhân) chỉ có vai trò là nguồn tài trợ cho các dịch vụ theo Phần C.</w:t>
      </w:r>
    </w:p>
    <w:p w14:paraId="5249431F" w14:textId="77777777" w:rsidR="00960460" w:rsidRDefault="00960460">
      <w:pPr>
        <w:jc w:val="both"/>
        <w:rPr>
          <w:rFonts w:ascii="Avenir Next LT Pro" w:eastAsia="Avenir Next LT Pro" w:hAnsi="Avenir Next LT Pro" w:cs="Avenir Next LT Pro"/>
          <w:sz w:val="24"/>
        </w:rPr>
      </w:pPr>
    </w:p>
    <w:p w14:paraId="47EE7AF3" w14:textId="3D25EE15" w:rsidR="00960460" w:rsidRDefault="004E6BAE">
      <w:pPr>
        <w:pStyle w:val="P68B1DB1-Heading13"/>
        <w:spacing w:before="0"/>
        <w:jc w:val="both"/>
        <w:rPr>
          <w:b/>
        </w:rPr>
      </w:pPr>
      <w:r>
        <w:rPr>
          <w:b/>
        </w:rPr>
        <w:t xml:space="preserve">Thông báo cho Phụ huynh </w:t>
      </w:r>
      <w:r>
        <w:t>(§303.404)</w:t>
      </w:r>
    </w:p>
    <w:p w14:paraId="22EF9E36" w14:textId="2681DA7A" w:rsidR="00960460" w:rsidRDefault="004E6BAE">
      <w:pPr>
        <w:pStyle w:val="P68B1DB1-Normal2"/>
        <w:jc w:val="both"/>
      </w:pPr>
      <w:r>
        <w:t>Bộ phận Can thiệp Sớm phải đảm bảo phụ huynh được thông báo khi một trẻ được giới thiệu theo IDEA Phần C, và thông báo này phải cung cấp cho phụ huynh thông tin toàn diện về các yêu cầu bảo mật, bao gồm</w:t>
      </w:r>
    </w:p>
    <w:p w14:paraId="621A0F01" w14:textId="77777777" w:rsidR="00960460" w:rsidRDefault="004E6BAE">
      <w:pPr>
        <w:pStyle w:val="P68B1DB1-ListParagraph8"/>
        <w:numPr>
          <w:ilvl w:val="0"/>
          <w:numId w:val="3"/>
        </w:numPr>
        <w:jc w:val="both"/>
      </w:pPr>
      <w:r>
        <w:t>mô tả về trẻ em mà thông tin nhận dạng cá nhân được lưu giữ, các loại thông tin được thu thập, các phương thức mà Tiểu bang dự định sử dụng để thu thập thông tin (bao gồm các nguồn cung cấp thông tin), và mục đích sử dụng của các thông tin đó</w:t>
      </w:r>
    </w:p>
    <w:p w14:paraId="7FB7E28C" w14:textId="77777777" w:rsidR="00960460" w:rsidRDefault="004E6BAE">
      <w:pPr>
        <w:pStyle w:val="P68B1DB1-ListParagraph8"/>
        <w:numPr>
          <w:ilvl w:val="0"/>
          <w:numId w:val="3"/>
        </w:numPr>
        <w:jc w:val="both"/>
      </w:pPr>
      <w:r>
        <w:t>tóm tắt các chính sách và thủ tục mà các cơ quan tham gia phải tuân theo liên quan đến việc lưu trữ, tiết lộ cho bên thứ ba, lưu giữ và tiêu hủy thông tin nhận dạng cá nhân</w:t>
      </w:r>
    </w:p>
    <w:p w14:paraId="3F4B80E5" w14:textId="77777777" w:rsidR="00960460" w:rsidRDefault="004E6BAE">
      <w:pPr>
        <w:pStyle w:val="P68B1DB1-ListParagraph8"/>
        <w:numPr>
          <w:ilvl w:val="0"/>
          <w:numId w:val="3"/>
        </w:numPr>
        <w:jc w:val="both"/>
      </w:pPr>
      <w:r>
        <w:lastRenderedPageBreak/>
        <w:t>mô tả tất cả các quyền của phụ huynh và trẻ em liên quan đến các thông tin này, bao gồm các quyền theo quy định về bảo mật của Phần C tại §§ 303.401 đến 303.417</w:t>
      </w:r>
    </w:p>
    <w:p w14:paraId="1E4B5991" w14:textId="1D3B0436" w:rsidR="00960460" w:rsidRDefault="004E6BAE">
      <w:pPr>
        <w:pStyle w:val="P68B1DB1-ListParagraph8"/>
        <w:numPr>
          <w:ilvl w:val="0"/>
          <w:numId w:val="3"/>
        </w:numPr>
        <w:jc w:val="both"/>
      </w:pPr>
      <w:r>
        <w:t>mô tả phạm vi mà thông báo này được cung cấp bằng ngôn ngữ bản địa của các nhóm dân cư khác nhau trong Tiểu bang.</w:t>
      </w:r>
    </w:p>
    <w:p w14:paraId="0D0F5F18" w14:textId="77777777" w:rsidR="00960460" w:rsidRDefault="00960460">
      <w:pPr>
        <w:pStyle w:val="Heading1"/>
        <w:spacing w:before="0"/>
        <w:jc w:val="both"/>
        <w:rPr>
          <w:rFonts w:ascii="Avenir Next LT Pro" w:eastAsia="Avenir Next LT Pro" w:hAnsi="Avenir Next LT Pro" w:cs="Avenir Next LT Pro"/>
          <w:b/>
          <w:sz w:val="24"/>
        </w:rPr>
      </w:pPr>
    </w:p>
    <w:p w14:paraId="11882202" w14:textId="7C1D59EA" w:rsidR="00960460" w:rsidRDefault="004E6BAE">
      <w:pPr>
        <w:pStyle w:val="P68B1DB1-Heading13"/>
        <w:spacing w:before="0"/>
        <w:jc w:val="both"/>
        <w:rPr>
          <w:b/>
        </w:rPr>
      </w:pPr>
      <w:r>
        <w:rPr>
          <w:b/>
        </w:rPr>
        <w:t xml:space="preserve">Quyền Tiếp cận </w:t>
      </w:r>
      <w:r>
        <w:t>(§303.405)</w:t>
      </w:r>
    </w:p>
    <w:p w14:paraId="6E168B24" w14:textId="6848DEF6" w:rsidR="00960460" w:rsidRDefault="004E6BAE">
      <w:pPr>
        <w:pStyle w:val="P68B1DB1-Normal2"/>
        <w:jc w:val="both"/>
      </w:pPr>
      <w:r>
        <w:t xml:space="preserve">Phụ huynh có quyền xem xét và kiểm tra bất kỳ hồ sơ can thiệp sớm nào liên quan đến con của mình được Bộ phận Can thiệp Sớm thu thập, lưu giữ hoặc sử dụng theo Phần C của IDEA.  Phụ huynh phải được tạo điều kiện xem xét và kiểm tra các hồ sơ can thiệp sớm mà không bị trì hoãn không cần thiết, trước bất kỳ cuộc họp IFSP hoặc phiên điều trần theo thủ tục tố tụng nào liên quan đến trẻ, và trong mọi trường hợp không muộn hơn 10 ngày kể từ ngày nộp yêu cầu. </w:t>
      </w:r>
    </w:p>
    <w:p w14:paraId="478166F1" w14:textId="77777777" w:rsidR="00960460" w:rsidRDefault="00960460">
      <w:pPr>
        <w:jc w:val="both"/>
        <w:rPr>
          <w:rFonts w:ascii="Avenir Next LT Pro" w:eastAsia="Avenir Next LT Pro" w:hAnsi="Avenir Next LT Pro" w:cs="Avenir Next LT Pro"/>
          <w:sz w:val="24"/>
        </w:rPr>
      </w:pPr>
    </w:p>
    <w:p w14:paraId="34911833" w14:textId="164160EB" w:rsidR="00960460" w:rsidRDefault="004E6BAE">
      <w:pPr>
        <w:jc w:val="both"/>
        <w:rPr>
          <w:rStyle w:val="cf01"/>
          <w:rFonts w:ascii="Avenir Next LT Pro" w:eastAsia="Avenir Next LT Pro" w:hAnsi="Avenir Next LT Pro" w:cs="Avenir Next LT Pro"/>
          <w:sz w:val="24"/>
        </w:rPr>
      </w:pPr>
      <w:r>
        <w:rPr>
          <w:rStyle w:val="cf01"/>
          <w:rFonts w:ascii="Avenir Next LT Pro" w:eastAsia="Avenir Next LT Pro" w:hAnsi="Avenir Next LT Pro" w:cs="Avenir Next LT Pro"/>
          <w:sz w:val="24"/>
        </w:rPr>
        <w:t xml:space="preserve">Quyền của phụ huynh trong việc xem xét và kiểm tra hồ sơ can thiệp sớm theo mục này bao gồm quyền </w:t>
      </w:r>
    </w:p>
    <w:p w14:paraId="3B1DD50E" w14:textId="5A95370C" w:rsidR="00960460" w:rsidRDefault="004E6BAE">
      <w:pPr>
        <w:pStyle w:val="ListParagraph"/>
        <w:numPr>
          <w:ilvl w:val="0"/>
          <w:numId w:val="4"/>
        </w:numPr>
        <w:jc w:val="both"/>
        <w:rPr>
          <w:rStyle w:val="cf01"/>
          <w:rFonts w:ascii="Avenir Next LT Pro" w:eastAsia="Avenir Next LT Pro" w:hAnsi="Avenir Next LT Pro" w:cs="Avenir Next LT Pro"/>
          <w:sz w:val="24"/>
        </w:rPr>
      </w:pPr>
      <w:r>
        <w:rPr>
          <w:rStyle w:val="cf01"/>
          <w:rFonts w:ascii="Avenir Next LT Pro" w:eastAsia="Avenir Next LT Pro" w:hAnsi="Avenir Next LT Pro" w:cs="Avenir Next LT Pro"/>
          <w:sz w:val="24"/>
        </w:rPr>
        <w:t>nhận phản hồi từ cơ quan tham gia đối với các yêu cầu hợp lý về việc giải thích và diễn giải hồ sơ can thiệp sớm</w:t>
      </w:r>
    </w:p>
    <w:p w14:paraId="4BD26434" w14:textId="1AF6ADAB" w:rsidR="00960460" w:rsidRDefault="004E6BAE">
      <w:pPr>
        <w:pStyle w:val="ListParagraph"/>
        <w:numPr>
          <w:ilvl w:val="0"/>
          <w:numId w:val="4"/>
        </w:numPr>
        <w:jc w:val="both"/>
        <w:rPr>
          <w:rStyle w:val="cf01"/>
          <w:rFonts w:ascii="Avenir Next LT Pro" w:eastAsia="Avenir Next LT Pro" w:hAnsi="Avenir Next LT Pro" w:cs="Avenir Next LT Pro"/>
          <w:sz w:val="24"/>
        </w:rPr>
      </w:pPr>
      <w:r>
        <w:rPr>
          <w:rStyle w:val="cf01"/>
          <w:rFonts w:ascii="Avenir Next LT Pro" w:eastAsia="Avenir Next LT Pro" w:hAnsi="Avenir Next LT Pro" w:cs="Avenir Next LT Pro"/>
          <w:sz w:val="24"/>
        </w:rPr>
        <w:t>yêu cầu cơ quan tham gia cung cấp bản sao các hồ sơ can thiệp sớm chứa thông tin nếu việc không cung cấp các bản sao này sẽ thực sự ngăn cản phụ huynh thực hiện quyền xem xét và kiểm tra hồ sơ</w:t>
      </w:r>
    </w:p>
    <w:p w14:paraId="0998C66F" w14:textId="0C372699" w:rsidR="00960460" w:rsidRDefault="004E6BAE">
      <w:pPr>
        <w:pStyle w:val="ListParagraph"/>
        <w:numPr>
          <w:ilvl w:val="0"/>
          <w:numId w:val="4"/>
        </w:numPr>
        <w:jc w:val="both"/>
        <w:rPr>
          <w:rStyle w:val="cf01"/>
          <w:rFonts w:ascii="Avenir Next LT Pro" w:eastAsia="Avenir Next LT Pro" w:hAnsi="Avenir Next LT Pro" w:cs="Avenir Next LT Pro"/>
          <w:sz w:val="24"/>
        </w:rPr>
      </w:pPr>
      <w:r>
        <w:rPr>
          <w:rStyle w:val="cf01"/>
          <w:rFonts w:ascii="Avenir Next LT Pro" w:eastAsia="Avenir Next LT Pro" w:hAnsi="Avenir Next LT Pro" w:cs="Avenir Next LT Pro"/>
          <w:sz w:val="24"/>
        </w:rPr>
        <w:t>cho phép một đại diện của phụ huynh xem xét và kiểm tra các hồ sơ can thiệp sớm.</w:t>
      </w:r>
    </w:p>
    <w:p w14:paraId="71E4C8C7" w14:textId="77777777" w:rsidR="00960460" w:rsidRDefault="00960460" w:rsidP="00260866">
      <w:pPr>
        <w:contextualSpacing/>
        <w:jc w:val="both"/>
        <w:rPr>
          <w:rFonts w:ascii="Avenir Next LT Pro" w:eastAsia="Avenir Next LT Pro" w:hAnsi="Avenir Next LT Pro" w:cs="Avenir Next LT Pro"/>
          <w:sz w:val="24"/>
        </w:rPr>
      </w:pPr>
    </w:p>
    <w:p w14:paraId="47F0E17F" w14:textId="77777777" w:rsidR="00960460" w:rsidRDefault="004E6BAE">
      <w:pPr>
        <w:pStyle w:val="P68B1DB1-Normal2"/>
        <w:spacing w:after="160"/>
        <w:jc w:val="both"/>
      </w:pPr>
      <w:r>
        <w:t>Một cơ quan có thể mặc định rằng phụ huynh có thẩm quyền xem xét và kiểm tra các hồ sơ liên quan đến con của mình, trừ khi cơ quan đó đã được cung cấp tài liệu chứng minh rằng phụ huynh không có thẩm quyền theo các luật hiện hành của Tiểu bang điều chỉnh các vấn đề như quyền nuôi con, chăm sóc nuôi dưỡng, giám hộ, ly thân và ly hôn.</w:t>
      </w:r>
    </w:p>
    <w:p w14:paraId="61DB239B" w14:textId="2D87A5D0" w:rsidR="00960460" w:rsidRDefault="004E6BAE">
      <w:pPr>
        <w:pStyle w:val="P68B1DB1-Heading19"/>
        <w:jc w:val="both"/>
        <w:rPr>
          <w:b/>
        </w:rPr>
      </w:pPr>
      <w:r>
        <w:rPr>
          <w:b/>
        </w:rPr>
        <w:t xml:space="preserve">Hồ sơ ghi nhận việc Tiếp cận </w:t>
      </w:r>
      <w:r>
        <w:t>(§303.406)</w:t>
      </w:r>
    </w:p>
    <w:p w14:paraId="2EF1D68A" w14:textId="77777777" w:rsidR="00960460" w:rsidRDefault="004E6BAE">
      <w:pPr>
        <w:pStyle w:val="P68B1DB1-Normal2"/>
        <w:jc w:val="both"/>
      </w:pPr>
      <w:r>
        <w:t>Mỗi cơ quan tham gia phải lưu giữ một hồ sơ ghi nhận các bên đã được phép tiếp cận các hồ sơ can thiệp sớm được thu thập, lưu giữ hoặc sử dụng theo IDEA Phần C (ngoại trừ việc tiếp cận bởi phụ huynh, đại diện được ủy quyền và nhân viên của chính cơ quan tham gia), bao gồm tên của bên tiếp cận, ngày được cho phép tiếp cận, và mục đích mà bên đó được phép sử dụng các hồ sơ can thiệp sớm.</w:t>
      </w:r>
    </w:p>
    <w:p w14:paraId="0EC02ED3" w14:textId="77777777" w:rsidR="00960460" w:rsidRDefault="00960460">
      <w:pPr>
        <w:jc w:val="both"/>
        <w:rPr>
          <w:rFonts w:ascii="Avenir Next LT Pro" w:eastAsia="Avenir Next LT Pro" w:hAnsi="Avenir Next LT Pro" w:cs="Avenir Next LT Pro"/>
          <w:sz w:val="24"/>
        </w:rPr>
      </w:pPr>
    </w:p>
    <w:p w14:paraId="7DD0FB16" w14:textId="77777777" w:rsidR="00960460" w:rsidRDefault="004E6BAE">
      <w:pPr>
        <w:pStyle w:val="P68B1DB1-Heading13"/>
        <w:spacing w:before="0"/>
        <w:jc w:val="both"/>
        <w:rPr>
          <w:b/>
        </w:rPr>
      </w:pPr>
      <w:r>
        <w:rPr>
          <w:b/>
        </w:rPr>
        <w:t xml:space="preserve">Hồ sơ liên quan đến nhiều trẻ em </w:t>
      </w:r>
      <w:r>
        <w:t>(§303.407)</w:t>
      </w:r>
    </w:p>
    <w:p w14:paraId="553D8229" w14:textId="77777777" w:rsidR="00960460" w:rsidRDefault="004E6BAE">
      <w:pPr>
        <w:pStyle w:val="P68B1DB1-Normal2"/>
        <w:jc w:val="both"/>
      </w:pPr>
      <w:r>
        <w:t>Nếu một hồ sơ can thiệp sớm chứa thông tin liên quan đến nhiều trẻ em, phụ huynh chỉ được xem xét và kiểm tra phần hồ sơ có liên quan đến con của mình hoặc được thông báo về các thông tin cụ thể liên quan đến con của họ.</w:t>
      </w:r>
    </w:p>
    <w:p w14:paraId="33B752CF" w14:textId="77777777" w:rsidR="00960460" w:rsidRDefault="00960460">
      <w:pPr>
        <w:jc w:val="both"/>
        <w:rPr>
          <w:rFonts w:ascii="Avenir Next LT Pro" w:eastAsia="Avenir Next LT Pro" w:hAnsi="Avenir Next LT Pro" w:cs="Avenir Next LT Pro"/>
          <w:sz w:val="24"/>
        </w:rPr>
      </w:pPr>
    </w:p>
    <w:p w14:paraId="1AF0A8F7" w14:textId="77777777" w:rsidR="00960460" w:rsidRDefault="004E6BAE">
      <w:pPr>
        <w:pStyle w:val="P68B1DB1-Heading13"/>
        <w:spacing w:before="0"/>
        <w:jc w:val="both"/>
        <w:rPr>
          <w:b/>
        </w:rPr>
      </w:pPr>
      <w:r>
        <w:rPr>
          <w:b/>
        </w:rPr>
        <w:lastRenderedPageBreak/>
        <w:t xml:space="preserve">Danh sách các loại và địa điểm lưu giữ thông tin </w:t>
      </w:r>
      <w:r>
        <w:t>(§303.408)</w:t>
      </w:r>
    </w:p>
    <w:p w14:paraId="1D8ED670" w14:textId="72EB77A8" w:rsidR="00960460" w:rsidRDefault="004E6BAE">
      <w:pPr>
        <w:pStyle w:val="P68B1DB1-Normal2"/>
        <w:jc w:val="both"/>
        <w:rPr>
          <w:b/>
        </w:rPr>
      </w:pPr>
      <w:r>
        <w:t xml:space="preserve">Phụ huynh có quyền yêu cầu cung cấp danh sách các loại hồ sơ và địa điểm của các hồ sơ can thiệp sớm được các cơ quan tham gia thu thập, lưu giữ hoặc sử dụng theo Phần C.  </w:t>
      </w:r>
    </w:p>
    <w:p w14:paraId="0BC53DD7" w14:textId="77777777" w:rsidR="00960460" w:rsidRDefault="00960460">
      <w:pPr>
        <w:jc w:val="both"/>
        <w:rPr>
          <w:rFonts w:ascii="Avenir Next LT Pro" w:eastAsia="Avenir Next LT Pro" w:hAnsi="Avenir Next LT Pro" w:cs="Avenir Next LT Pro"/>
          <w:sz w:val="24"/>
        </w:rPr>
      </w:pPr>
    </w:p>
    <w:p w14:paraId="28E20898" w14:textId="77777777" w:rsidR="00960460" w:rsidRDefault="004E6BAE">
      <w:pPr>
        <w:pStyle w:val="P68B1DB1-Normal2"/>
        <w:jc w:val="both"/>
      </w:pPr>
      <w:r>
        <w:t>Massachusetts yêu cầu các cơ quan tham gia có trách nhiệm cung cấp các thông tin này trong vòng năm (5) ngày kể từ ngày nhận được yêu cầu của phụ huynh, phù hợp với Tiêu chuẩn Hoạt động Can thiệp Sớm của Massachusetts.</w:t>
      </w:r>
    </w:p>
    <w:p w14:paraId="27C88B4F" w14:textId="534D6012" w:rsidR="00960460" w:rsidRDefault="004E6BAE">
      <w:pPr>
        <w:pStyle w:val="P68B1DB1-Heading13"/>
        <w:jc w:val="both"/>
        <w:rPr>
          <w:b/>
        </w:rPr>
      </w:pPr>
      <w:r>
        <w:rPr>
          <w:b/>
        </w:rPr>
        <w:t>Phí Hồ sơ</w:t>
      </w:r>
      <w:r>
        <w:t xml:space="preserve"> (§303.409)</w:t>
      </w:r>
    </w:p>
    <w:p w14:paraId="53951636" w14:textId="14518595" w:rsidR="00960460" w:rsidRDefault="004E6BAE">
      <w:pPr>
        <w:pStyle w:val="P68B1DB1-Normal2"/>
        <w:jc w:val="both"/>
      </w:pPr>
      <w:r>
        <w:t>Phụ huynh có quyền được cung cấp bản sao ban đầu của mỗi bản đánh giá, thẩm định và Kế hoạch Dịch vụ Gia đình Cá nhân (IFSP) được cung cấp sau một cuộc họp IFSP mà không phải trả bất kỳ chi phí nào.  Phụ huynh có thể không phải trả phí khi tìm kiếm hoặc truy xuất hồ sơ can thiệp sớm. Tuy nhiên, mỗi cơ quan tham gia có thể thu phí đối với các bản sao hồ sơ được cung cấp cho phụ huynh theo Phần này, nếu việc thu phí đó không thực sự cản trở quyền của phụ huynh trong việc xem xét và kiểm tra các hồ sơ đó. Nếu thu phí cho các bản sao bổ sung của hồ sơ, mức phí phải phù hợp với các chính sách hiện hành của Massachusetts về điều chỉnh mức phí sao chép hồ sơ và không được vượt quá chi phí thực tế của việc sao chép.</w:t>
      </w:r>
    </w:p>
    <w:p w14:paraId="1981FE85" w14:textId="77777777" w:rsidR="00960460" w:rsidRDefault="00960460">
      <w:pPr>
        <w:jc w:val="both"/>
        <w:rPr>
          <w:rFonts w:ascii="Avenir Next LT Pro" w:eastAsia="Avenir Next LT Pro" w:hAnsi="Avenir Next LT Pro" w:cs="Avenir Next LT Pro"/>
          <w:sz w:val="24"/>
        </w:rPr>
      </w:pPr>
    </w:p>
    <w:p w14:paraId="2B0DF32F" w14:textId="345C9236" w:rsidR="00960460" w:rsidRDefault="004E6BAE">
      <w:pPr>
        <w:pStyle w:val="P68B1DB1-Normal2"/>
        <w:jc w:val="both"/>
      </w:pPr>
      <w:r>
        <w:t>Khi hồ sơ được yêu cầu liên quan đến một cuộc họp IFSP hoặc một phiên điều trần theo thủ tục tố tụng, Bộ phận Can thiệp Sớm hoặc nhà cung cấp dịch vụ phải đảm bảo rằng các hồ sơ đó được cung cấp kịp thời để phụ huynh có đủ thời gian xem xét trước cuộc họp hoặc phiên điều trần, phù hợp với các mốc thời gian được quy định trong mục này.</w:t>
      </w:r>
    </w:p>
    <w:p w14:paraId="513714C2" w14:textId="77777777" w:rsidR="00960460" w:rsidRDefault="00960460">
      <w:pPr>
        <w:jc w:val="both"/>
        <w:rPr>
          <w:rFonts w:ascii="Avenir Next LT Pro" w:eastAsia="Avenir Next LT Pro" w:hAnsi="Avenir Next LT Pro" w:cs="Avenir Next LT Pro"/>
          <w:sz w:val="24"/>
        </w:rPr>
      </w:pPr>
    </w:p>
    <w:p w14:paraId="492449A4" w14:textId="77777777" w:rsidR="00960460" w:rsidRDefault="004E6BAE">
      <w:pPr>
        <w:pStyle w:val="P68B1DB1-Heading13"/>
        <w:spacing w:before="0"/>
        <w:jc w:val="both"/>
        <w:rPr>
          <w:b/>
        </w:rPr>
      </w:pPr>
      <w:r>
        <w:rPr>
          <w:b/>
        </w:rPr>
        <w:t xml:space="preserve">Sửa đổi hồ sơ theo yêu cầu của phụ huynh </w:t>
      </w:r>
      <w:r>
        <w:t>(§303.410)</w:t>
      </w:r>
    </w:p>
    <w:p w14:paraId="714CB28B" w14:textId="5D4B5684" w:rsidR="00960460" w:rsidRDefault="004E6BAE">
      <w:pPr>
        <w:pStyle w:val="P68B1DB1-Normal2"/>
        <w:jc w:val="both"/>
      </w:pPr>
      <w:r>
        <w:t>Nếu phụ huynh tin rằng các thông tin trong hồ sơ can thiệp sớm được thu thập, lưu giữ hoặc sử dụng theo IDEA Phần C là không chính xác, gây hiểu nhầm, hoặc vi phạm quyền riêng tư hoặc các quyền khác của trẻ hoặc của phụ huynh, thì phụ huynh có quyền yêu cầu cơ quan tham gia đang lưu giữ thông tin đó sửa đổi hồ sơ. Cơ quan tham gia phải xem xét yêu cầu này và đưa ra quyết định về việc có sửa đổi hồ sơ hay không trong một khoảng thời gian hợp lý. Nếu cơ quan tham gia xác định rằng thông tin cần được sửa đổi, cơ quan đó phải thực hiện việc sửa đổi và thông báo cho phụ huynh bằng văn bản. Nếu cơ quan tham gia xác định rằng thông tin không cần được sửa đổi, cơ quan đó phải thông báo bằng văn bản cho phụ huynh về việc từ chối và thông báo cho phụ huynh về quyền yêu cầu phiên điều trần theo quy định tại §303.411.</w:t>
      </w:r>
    </w:p>
    <w:p w14:paraId="266A8260" w14:textId="77777777" w:rsidR="00960460" w:rsidRDefault="00960460">
      <w:pPr>
        <w:jc w:val="both"/>
        <w:rPr>
          <w:rFonts w:ascii="Avenir Next LT Pro" w:eastAsia="Avenir Next LT Pro" w:hAnsi="Avenir Next LT Pro" w:cs="Avenir Next LT Pro"/>
          <w:sz w:val="24"/>
        </w:rPr>
      </w:pPr>
    </w:p>
    <w:p w14:paraId="5F185B70" w14:textId="77777777" w:rsidR="00960460" w:rsidRDefault="004E6BAE">
      <w:pPr>
        <w:pStyle w:val="P68B1DB1-Heading13"/>
        <w:spacing w:before="0"/>
        <w:jc w:val="both"/>
        <w:rPr>
          <w:b/>
        </w:rPr>
      </w:pPr>
      <w:r>
        <w:rPr>
          <w:b/>
        </w:rPr>
        <w:t xml:space="preserve">Cơ hội tổ chức Điều trần </w:t>
      </w:r>
      <w:r>
        <w:t>(§303.411)</w:t>
      </w:r>
    </w:p>
    <w:p w14:paraId="4478CB3A" w14:textId="77777777" w:rsidR="00960460" w:rsidRDefault="004E6BAE">
      <w:pPr>
        <w:jc w:val="both"/>
        <w:rPr>
          <w:rFonts w:ascii="Avenir Next LT Pro" w:eastAsia="Avenir Next LT Pro" w:hAnsi="Avenir Next LT Pro" w:cs="Avenir Next LT Pro"/>
          <w:sz w:val="24"/>
        </w:rPr>
      </w:pPr>
      <w:r>
        <w:rPr>
          <w:rFonts w:ascii="Avenir Next LT Pro" w:eastAsia="Avenir Next LT Pro" w:hAnsi="Avenir Next LT Pro" w:cs="Avenir Next LT Pro"/>
          <w:sz w:val="24"/>
        </w:rPr>
        <w:t xml:space="preserve">Nếu một cơ quan tham gia từ chối sửa đổi hồ sơ theo yêu cầu của phụ huynh được nêu tại §303.410, phụ huynh có quyền yêu cầu một phiên điều trần nhằm phản đối nội dung trong hồ sơ của trẻ. Phụ huynh có thể yêu cầu một phiên điều trần theo thủ tục tố tụng theo các thủ tục được quy định tại </w:t>
      </w:r>
      <w:hyperlink r:id="rId40" w:anchor="p-303.430(d)(1)">
        <w:r w:rsidR="00960460">
          <w:rPr>
            <w:rStyle w:val="cf01"/>
            <w:rFonts w:ascii="Avenir Next LT Pro" w:eastAsia="Avenir Next LT Pro" w:hAnsi="Avenir Next LT Pro" w:cs="Avenir Next LT Pro"/>
            <w:sz w:val="24"/>
            <w:u w:val="single"/>
          </w:rPr>
          <w:t>§ 303.430(d)(1)</w:t>
        </w:r>
      </w:hyperlink>
      <w:r>
        <w:rPr>
          <w:rStyle w:val="cf01"/>
          <w:rFonts w:ascii="Avenir Next LT Pro" w:eastAsia="Avenir Next LT Pro" w:hAnsi="Avenir Next LT Pro" w:cs="Avenir Next LT Pro"/>
          <w:sz w:val="24"/>
        </w:rPr>
        <w:t xml:space="preserve"> với điều kiện các thủ tục phiên điều trần đó đáp ứng các yêu cầu được quy định tại </w:t>
      </w:r>
      <w:hyperlink r:id="rId41">
        <w:r w:rsidR="00960460">
          <w:rPr>
            <w:rStyle w:val="cf01"/>
            <w:rFonts w:ascii="Avenir Next LT Pro" w:eastAsia="Avenir Next LT Pro" w:hAnsi="Avenir Next LT Pro" w:cs="Avenir Next LT Pro"/>
            <w:sz w:val="24"/>
            <w:u w:val="single"/>
          </w:rPr>
          <w:t>§ 303.413</w:t>
        </w:r>
      </w:hyperlink>
      <w:r>
        <w:rPr>
          <w:rStyle w:val="cf01"/>
          <w:rFonts w:ascii="Avenir Next LT Pro" w:eastAsia="Avenir Next LT Pro" w:hAnsi="Avenir Next LT Pro" w:cs="Avenir Next LT Pro"/>
          <w:sz w:val="24"/>
        </w:rPr>
        <w:t xml:space="preserve"> hoặc có thể yêu cầu một phiên </w:t>
      </w:r>
      <w:r>
        <w:rPr>
          <w:rStyle w:val="cf01"/>
          <w:rFonts w:ascii="Avenir Next LT Pro" w:eastAsia="Avenir Next LT Pro" w:hAnsi="Avenir Next LT Pro" w:cs="Avenir Next LT Pro"/>
          <w:sz w:val="24"/>
        </w:rPr>
        <w:lastRenderedPageBreak/>
        <w:t xml:space="preserve">điều trần trực tiếp theo các thủ tục của Tiểu bang tại </w:t>
      </w:r>
      <w:hyperlink r:id="rId42">
        <w:r w:rsidR="00960460">
          <w:rPr>
            <w:rStyle w:val="cf01"/>
            <w:rFonts w:ascii="Avenir Next LT Pro" w:eastAsia="Avenir Next LT Pro" w:hAnsi="Avenir Next LT Pro" w:cs="Avenir Next LT Pro"/>
            <w:sz w:val="24"/>
            <w:u w:val="single"/>
          </w:rPr>
          <w:t>§ 303.413</w:t>
        </w:r>
      </w:hyperlink>
      <w:r>
        <w:rPr>
          <w:rStyle w:val="cf01"/>
          <w:rFonts w:ascii="Avenir Next LT Pro" w:eastAsia="Avenir Next LT Pro" w:hAnsi="Avenir Next LT Pro" w:cs="Avenir Next LT Pro"/>
          <w:sz w:val="24"/>
        </w:rPr>
        <w:t xml:space="preserve"> (</w:t>
      </w:r>
      <w:r>
        <w:rPr>
          <w:rStyle w:val="cf11"/>
          <w:rFonts w:ascii="Avenir Next LT Pro" w:eastAsia="Avenir Next LT Pro" w:hAnsi="Avenir Next LT Pro" w:cs="Avenir Next LT Pro"/>
          <w:sz w:val="24"/>
        </w:rPr>
        <w:t>tức là</w:t>
      </w:r>
      <w:r>
        <w:rPr>
          <w:rStyle w:val="cf01"/>
          <w:rFonts w:ascii="Avenir Next LT Pro" w:eastAsia="Avenir Next LT Pro" w:hAnsi="Avenir Next LT Pro" w:cs="Avenir Next LT Pro"/>
          <w:sz w:val="24"/>
        </w:rPr>
        <w:t xml:space="preserve"> các thủ tục phù hợp với các yêu cầu về phiên điều trần theo FERPA tại </w:t>
      </w:r>
      <w:hyperlink r:id="rId43">
        <w:r w:rsidR="00960460">
          <w:rPr>
            <w:rStyle w:val="cf01"/>
            <w:rFonts w:ascii="Avenir Next LT Pro" w:eastAsia="Avenir Next LT Pro" w:hAnsi="Avenir Next LT Pro" w:cs="Avenir Next LT Pro"/>
            <w:sz w:val="24"/>
            <w:u w:val="single"/>
          </w:rPr>
          <w:t>34 CFR 99.22</w:t>
        </w:r>
      </w:hyperlink>
      <w:r>
        <w:rPr>
          <w:rStyle w:val="cf01"/>
          <w:rFonts w:ascii="Avenir Next LT Pro" w:eastAsia="Avenir Next LT Pro" w:hAnsi="Avenir Next LT Pro" w:cs="Avenir Next LT Pro"/>
          <w:sz w:val="24"/>
        </w:rPr>
        <w:t>).</w:t>
      </w:r>
    </w:p>
    <w:p w14:paraId="69194D5B" w14:textId="77777777" w:rsidR="00960460" w:rsidRDefault="00960460">
      <w:pPr>
        <w:jc w:val="both"/>
        <w:rPr>
          <w:rFonts w:ascii="Avenir Next LT Pro" w:eastAsia="Avenir Next LT Pro" w:hAnsi="Avenir Next LT Pro" w:cs="Avenir Next LT Pro"/>
          <w:sz w:val="24"/>
        </w:rPr>
      </w:pPr>
    </w:p>
    <w:p w14:paraId="0AB97B5F" w14:textId="77777777" w:rsidR="00960460" w:rsidRDefault="004E6BAE">
      <w:pPr>
        <w:pStyle w:val="P68B1DB1-Heading13"/>
        <w:spacing w:before="0"/>
        <w:jc w:val="both"/>
        <w:rPr>
          <w:b/>
        </w:rPr>
      </w:pPr>
      <w:r>
        <w:rPr>
          <w:b/>
        </w:rPr>
        <w:t xml:space="preserve">Kết quả Điều trần </w:t>
      </w:r>
      <w:r>
        <w:t>(§303.412)</w:t>
      </w:r>
    </w:p>
    <w:p w14:paraId="20E9AE30" w14:textId="77777777" w:rsidR="00960460" w:rsidRDefault="004E6BAE">
      <w:pPr>
        <w:pStyle w:val="P68B1DB1-Normal2"/>
        <w:jc w:val="both"/>
      </w:pPr>
      <w:r>
        <w:t xml:space="preserve">Sau khi một phiên điều trần được tiến hành theo §303.411, nếu viên chức điều trần xác định rằng thông tin được ghi nhận trong hồ sơ là không chính xác, gây hiểu nhầm, hoặc vi phạm quyền riêng tư hay các quyền khác của trẻ hoặc của phụ huynh, cơ quan tham gia phải sửa đổi hồ sơ cho phù hợp và thông báo cho phụ huynh bằng văn bản. Nếu viên chức điều trần xác định rằng thông tin đó không thiếu chính xác, không gây hiểu nhầm, và không vi phạm quyền riêng tư hay các quyền khác của trẻ hoặc của phụ huynh, cơ quan tham gia phải thông báo cho phụ huynh về quyền được đính kèm một văn bản giải trình vào hồ sơ, trong đó nhận xét về thông tin đang tranh chấp hoặc nêu rõ việc phụ huynh không đồng ý với quyết định này. </w:t>
      </w:r>
    </w:p>
    <w:p w14:paraId="18252729" w14:textId="77777777" w:rsidR="00960460" w:rsidRDefault="00960460">
      <w:pPr>
        <w:jc w:val="both"/>
        <w:rPr>
          <w:rFonts w:ascii="Avenir Next LT Pro" w:eastAsia="Avenir Next LT Pro" w:hAnsi="Avenir Next LT Pro" w:cs="Avenir Next LT Pro"/>
          <w:sz w:val="24"/>
        </w:rPr>
      </w:pPr>
    </w:p>
    <w:p w14:paraId="270122A9" w14:textId="0DF1B798" w:rsidR="00960460" w:rsidRDefault="004E6BAE">
      <w:pPr>
        <w:pStyle w:val="P68B1DB1-Normal2"/>
        <w:jc w:val="both"/>
      </w:pPr>
      <w:r>
        <w:t>Bất kỳ giải trình nào do phụ huynh đưa vào hồ sơ can thiệp sớm đều phải được cơ quan lưu giữ như một phần của hồ sơ can thiệp sớm của trẻ trong suốt thời gian mà hồ sơ hoặc phần hồ sơ bị tranh chấp còn được cơ quan lưu giữ, khi hồ sơ can thiệp sớm của trẻ hoặc phần hồ sơ bị tranh chấp được tiết lộ cho bất kỳ bên nào thì bản giải trình đó cũng phải được tiết lộ kèm theo cho bên đó.</w:t>
      </w:r>
    </w:p>
    <w:p w14:paraId="719B8150" w14:textId="77777777" w:rsidR="00960460" w:rsidRDefault="00960460">
      <w:pPr>
        <w:pStyle w:val="ListParagraph"/>
        <w:jc w:val="both"/>
        <w:rPr>
          <w:rFonts w:ascii="Avenir Next LT Pro" w:eastAsia="Avenir Next LT Pro" w:hAnsi="Avenir Next LT Pro" w:cs="Avenir Next LT Pro"/>
          <w:sz w:val="24"/>
        </w:rPr>
      </w:pPr>
    </w:p>
    <w:p w14:paraId="75BCC4AF" w14:textId="77777777" w:rsidR="00960460" w:rsidRDefault="004E6BAE">
      <w:pPr>
        <w:pStyle w:val="P68B1DB1-Heading13"/>
        <w:spacing w:before="0"/>
        <w:jc w:val="both"/>
      </w:pPr>
      <w:r>
        <w:rPr>
          <w:b/>
        </w:rPr>
        <w:t>Thủ tục Điều trần</w:t>
      </w:r>
      <w:r>
        <w:t xml:space="preserve"> (§303.413)</w:t>
      </w:r>
    </w:p>
    <w:p w14:paraId="35FE8E6A" w14:textId="53DAE01C" w:rsidR="00960460" w:rsidRDefault="004E6BAE">
      <w:pPr>
        <w:jc w:val="both"/>
        <w:rPr>
          <w:rFonts w:ascii="Avenir Next LT Pro" w:hAnsi="Avenir Next LT Pro"/>
          <w:sz w:val="24"/>
        </w:rPr>
      </w:pPr>
      <w:r>
        <w:rPr>
          <w:rStyle w:val="cf01"/>
          <w:rFonts w:ascii="Avenir Next LT Pro" w:eastAsia="Avenir Next LT Pro" w:hAnsi="Avenir Next LT Pro" w:cs="Avenir Next LT Pro"/>
          <w:sz w:val="24"/>
        </w:rPr>
        <w:t xml:space="preserve">Một phiên điều trần được tổ chức theo </w:t>
      </w:r>
      <w:hyperlink r:id="rId44">
        <w:r w:rsidR="00960460">
          <w:rPr>
            <w:rStyle w:val="cf01"/>
            <w:rFonts w:ascii="Avenir Next LT Pro" w:eastAsia="Avenir Next LT Pro" w:hAnsi="Avenir Next LT Pro" w:cs="Avenir Next LT Pro"/>
            <w:sz w:val="24"/>
          </w:rPr>
          <w:t>§303.411</w:t>
        </w:r>
      </w:hyperlink>
      <w:r>
        <w:rPr>
          <w:rStyle w:val="cf01"/>
          <w:rFonts w:ascii="Avenir Next LT Pro" w:eastAsia="Avenir Next LT Pro" w:hAnsi="Avenir Next LT Pro" w:cs="Avenir Next LT Pro"/>
          <w:sz w:val="24"/>
        </w:rPr>
        <w:t xml:space="preserve"> phải được tiến hành phù hợp với các thủ tục quy định tại </w:t>
      </w:r>
      <w:hyperlink r:id="rId45">
        <w:r w:rsidR="00960460">
          <w:rPr>
            <w:rStyle w:val="cf01"/>
            <w:rFonts w:ascii="Avenir Next LT Pro" w:eastAsia="Avenir Next LT Pro" w:hAnsi="Avenir Next LT Pro" w:cs="Avenir Next LT Pro"/>
            <w:sz w:val="24"/>
          </w:rPr>
          <w:t>34 CFR 99.22</w:t>
        </w:r>
      </w:hyperlink>
      <w:r>
        <w:rPr>
          <w:rFonts w:ascii="Avenir Next LT Pro" w:hAnsi="Avenir Next LT Pro"/>
          <w:sz w:val="24"/>
        </w:rPr>
        <w:t>, bao gồm các yêu cầu sau</w:t>
      </w:r>
    </w:p>
    <w:p w14:paraId="2603402D" w14:textId="6795788B" w:rsidR="00960460" w:rsidRDefault="004E6BAE">
      <w:pPr>
        <w:pStyle w:val="P68B1DB1-ListParagraph10"/>
        <w:numPr>
          <w:ilvl w:val="0"/>
          <w:numId w:val="5"/>
        </w:numPr>
        <w:jc w:val="both"/>
      </w:pPr>
      <w:r>
        <w:t>phiên điều trần phải được tổ chức trong một khoảng thời gian hợp lý sau khi nhận được yêu cầu điều trần từ phụ huynh hoặc học sinh đủ điều kiện.</w:t>
      </w:r>
    </w:p>
    <w:p w14:paraId="4B1DB328" w14:textId="77777777" w:rsidR="00960460" w:rsidRDefault="004E6BAE">
      <w:pPr>
        <w:pStyle w:val="P68B1DB1-ListParagraph10"/>
        <w:numPr>
          <w:ilvl w:val="0"/>
          <w:numId w:val="5"/>
        </w:numPr>
        <w:jc w:val="both"/>
      </w:pPr>
      <w:r>
        <w:t>phụ huynh phải được thông báo trước một cách hợp lý về ngày, giờ và địa điểm của phiên điều trần</w:t>
      </w:r>
    </w:p>
    <w:p w14:paraId="2E3EFC9D" w14:textId="723ABB7D" w:rsidR="00960460" w:rsidRDefault="004E6BAE">
      <w:pPr>
        <w:pStyle w:val="P68B1DB1-ListParagraph10"/>
        <w:numPr>
          <w:ilvl w:val="0"/>
          <w:numId w:val="5"/>
        </w:numPr>
        <w:jc w:val="both"/>
      </w:pPr>
      <w:r>
        <w:t>phiên điều trần được tiến hành bởi bất kỳ cá nhân nào, bao gồm viên chức của cơ quan hoặc cơ sở giáo dục, với điều kiện cá nhân đó không có lợi ích trực tiếp liên quan đến kết quả của phiên điều trần</w:t>
      </w:r>
    </w:p>
    <w:p w14:paraId="45ACED6F" w14:textId="77777777" w:rsidR="00960460" w:rsidRDefault="004E6BAE">
      <w:pPr>
        <w:pStyle w:val="P68B1DB1-ListParagraph10"/>
        <w:numPr>
          <w:ilvl w:val="0"/>
          <w:numId w:val="5"/>
        </w:numPr>
        <w:jc w:val="both"/>
      </w:pPr>
      <w:r>
        <w:t>phụ huynh phải được tạo điều kiện công bằng để trình bày các bằng chứng liên quan đến các vấn đề đang được xem xét</w:t>
      </w:r>
    </w:p>
    <w:p w14:paraId="2E11827C" w14:textId="055E0703" w:rsidR="00960460" w:rsidRDefault="004E6BAE">
      <w:pPr>
        <w:pStyle w:val="P68B1DB1-ListParagraph10"/>
        <w:numPr>
          <w:ilvl w:val="0"/>
          <w:numId w:val="5"/>
        </w:numPr>
        <w:jc w:val="both"/>
      </w:pPr>
      <w:r>
        <w:t>phụ huynh, bằng chi phí của mình, được hỗ trợ hoặc được đại diện bởi một hoặc nhiều cá nhân do phụ huynh lựa chọn, bao gồm cả luật sư</w:t>
      </w:r>
    </w:p>
    <w:p w14:paraId="3354046B" w14:textId="766F5EFA" w:rsidR="00960460" w:rsidRDefault="004E6BAE">
      <w:pPr>
        <w:pStyle w:val="P68B1DB1-ListParagraph10"/>
        <w:numPr>
          <w:ilvl w:val="0"/>
          <w:numId w:val="5"/>
        </w:numPr>
        <w:jc w:val="both"/>
      </w:pPr>
      <w:r>
        <w:t>quyết định của phiên điều trần phải được lập thành văn bản trong một khoảng thời gian hợp lý sau khi kết thúc phiên điều trần</w:t>
      </w:r>
    </w:p>
    <w:p w14:paraId="089F057A" w14:textId="602BD704" w:rsidR="00960460" w:rsidRDefault="004E6BAE">
      <w:pPr>
        <w:pStyle w:val="P68B1DB1-ListParagraph10"/>
        <w:numPr>
          <w:ilvl w:val="0"/>
          <w:numId w:val="5"/>
        </w:numPr>
        <w:jc w:val="both"/>
      </w:pPr>
      <w:r>
        <w:t>quyết định phải dựa duy nhất trên các bằng chứng được trình bày tại phiên điều trần và phải bao gồm bản tóm tắt các bằng chứng và lý do đưa ra quyết định</w:t>
      </w:r>
      <w:r w:rsidR="002635FD">
        <w:t>.</w:t>
      </w:r>
    </w:p>
    <w:p w14:paraId="7D513B92" w14:textId="77777777" w:rsidR="00960460" w:rsidRDefault="00960460">
      <w:pPr>
        <w:jc w:val="both"/>
        <w:rPr>
          <w:rFonts w:ascii="Avenir Next LT Pro" w:hAnsi="Avenir Next LT Pro"/>
          <w:sz w:val="24"/>
        </w:rPr>
      </w:pPr>
    </w:p>
    <w:p w14:paraId="06223BF4" w14:textId="77777777" w:rsidR="00960460" w:rsidRDefault="00960460">
      <w:pPr>
        <w:jc w:val="both"/>
        <w:rPr>
          <w:rFonts w:ascii="Avenir Next LT Pro" w:hAnsi="Avenir Next LT Pro"/>
          <w:sz w:val="24"/>
        </w:rPr>
      </w:pPr>
    </w:p>
    <w:p w14:paraId="3BDE4085" w14:textId="6D408B45" w:rsidR="00960460" w:rsidRDefault="004E6BAE">
      <w:pPr>
        <w:jc w:val="both"/>
        <w:rPr>
          <w:rFonts w:ascii="Avenir Next LT Pro" w:eastAsia="Avenir Next LT Pro" w:hAnsi="Avenir Next LT Pro" w:cs="Avenir Next LT Pro"/>
          <w:sz w:val="24"/>
        </w:rPr>
      </w:pPr>
      <w:r>
        <w:rPr>
          <w:rStyle w:val="cf01"/>
          <w:rFonts w:ascii="Avenir Next LT Pro" w:eastAsia="Avenir Next LT Pro" w:hAnsi="Avenir Next LT Pro" w:cs="Avenir Next LT Pro"/>
          <w:sz w:val="24"/>
        </w:rPr>
        <w:t>Tại phiên điều trần, phụ huynh có cơ hội</w:t>
      </w:r>
    </w:p>
    <w:p w14:paraId="623AF0CC" w14:textId="77777777" w:rsidR="00960460" w:rsidRDefault="004E6BAE">
      <w:pPr>
        <w:pStyle w:val="P68B1DB1-ListParagraph8"/>
        <w:numPr>
          <w:ilvl w:val="0"/>
          <w:numId w:val="1"/>
        </w:numPr>
        <w:jc w:val="both"/>
      </w:pPr>
      <w:r>
        <w:t>trình bày bằng chứng và lời khai liên quan đến thông tin đang bị tranh chấp</w:t>
      </w:r>
    </w:p>
    <w:p w14:paraId="0B23FB62" w14:textId="77777777" w:rsidR="00960460" w:rsidRDefault="004E6BAE">
      <w:pPr>
        <w:pStyle w:val="P68B1DB1-ListParagraph8"/>
        <w:numPr>
          <w:ilvl w:val="0"/>
          <w:numId w:val="1"/>
        </w:numPr>
        <w:jc w:val="both"/>
      </w:pPr>
      <w:r>
        <w:lastRenderedPageBreak/>
        <w:t>được hỗ trợ hoặc đại diện bởi các cá nhân do phụ huynh lựa chọn, bao gồm luật sư hoặc người bảo vệ quyền lợi</w:t>
      </w:r>
    </w:p>
    <w:p w14:paraId="0FE80B17" w14:textId="20522A0D" w:rsidR="00960460" w:rsidRDefault="004E6BAE">
      <w:pPr>
        <w:pStyle w:val="P68B1DB1-ListParagraph8"/>
        <w:numPr>
          <w:ilvl w:val="0"/>
          <w:numId w:val="1"/>
        </w:numPr>
        <w:jc w:val="both"/>
      </w:pPr>
      <w:r>
        <w:t>yêu cầu viên chức điều trần xem xét liệu thông tin trong hồ sơ có cần được sửa đổi hay không</w:t>
      </w:r>
    </w:p>
    <w:p w14:paraId="4D4073FA" w14:textId="77777777" w:rsidR="00960460" w:rsidRDefault="00960460">
      <w:pPr>
        <w:jc w:val="both"/>
        <w:rPr>
          <w:rFonts w:ascii="Avenir Next LT Pro" w:eastAsia="Avenir Next LT Pro" w:hAnsi="Avenir Next LT Pro" w:cs="Avenir Next LT Pro"/>
          <w:sz w:val="24"/>
        </w:rPr>
      </w:pPr>
    </w:p>
    <w:p w14:paraId="5611A57C" w14:textId="07569004" w:rsidR="00960460" w:rsidRDefault="004E6BAE">
      <w:pPr>
        <w:pStyle w:val="P68B1DB1-Normal2"/>
        <w:jc w:val="both"/>
      </w:pPr>
      <w:r>
        <w:t>Nếu viên chức điều trần xác định rằng thông tin đó vi phạm quyền riêng tư hoặc các quyền khác của trẻ hoặc của phụ huynh, cơ quan tham gia phải sửa đổi hồ sơ cho phù hợp và thông báo cho phụ huynh bằng văn bản, phù hợp với §303.412.</w:t>
      </w:r>
    </w:p>
    <w:p w14:paraId="7E065E62" w14:textId="77777777" w:rsidR="00960460" w:rsidRDefault="00960460">
      <w:pPr>
        <w:jc w:val="both"/>
        <w:rPr>
          <w:rFonts w:ascii="Avenir Next LT Pro" w:eastAsia="Avenir Next LT Pro" w:hAnsi="Avenir Next LT Pro" w:cs="Avenir Next LT Pro"/>
          <w:sz w:val="24"/>
        </w:rPr>
      </w:pPr>
    </w:p>
    <w:p w14:paraId="315EEEB9" w14:textId="30492436" w:rsidR="00960460" w:rsidRDefault="004E6BAE">
      <w:pPr>
        <w:pStyle w:val="P68B1DB1-Normal2"/>
        <w:jc w:val="both"/>
      </w:pPr>
      <w:r>
        <w:t>Nếu viên chức điều trần xác định rằng thông tin đó không thiếu chính xác, không gây hiểu nhầm, hoặc không vi phạm quyền riêng tư hay các quyền khác của trẻ hoặc của phụ huynh, cơ quan tham gia phải thông báo cho phụ huynh về quyền được ghi nhận một bản tuyên bố trong hồ sơ, trong đó nhận xét về thông tin đang tranh chấp hoặc nêu rõ việc phụ huynh không đồng ý với quyết định này, theo quy định tại §303.412. Mục này chỉ áp dụng đối với các phiên điều trần liên quan đến yêu cầu sửa đổi hồ sơ can thiệp sớm và không thay thế hoặc hạn chế quyền của phụ huynh trong việc theo đuổi hòa giải, thủ tục khiếu nại hành chính chính thức (khiếu nại cấp Tiểu bang), hoặc phiên điều trần theo thủ tục tố tụng theo các thủ tục giải quyết tranh chấp được thiết lập tại 34 CFR §§303.430–303.438.</w:t>
      </w:r>
    </w:p>
    <w:p w14:paraId="21F8EC6D" w14:textId="77777777" w:rsidR="00960460" w:rsidRDefault="00960460">
      <w:pPr>
        <w:jc w:val="both"/>
        <w:rPr>
          <w:rFonts w:ascii="Avenir Next LT Pro" w:eastAsia="Avenir Next LT Pro" w:hAnsi="Avenir Next LT Pro" w:cs="Avenir Next LT Pro"/>
          <w:sz w:val="24"/>
        </w:rPr>
      </w:pPr>
    </w:p>
    <w:p w14:paraId="6592D46F" w14:textId="77777777" w:rsidR="00960460" w:rsidRDefault="004E6BAE">
      <w:pPr>
        <w:pStyle w:val="P68B1DB1-Heading13"/>
        <w:spacing w:before="0"/>
        <w:jc w:val="both"/>
        <w:rPr>
          <w:b/>
        </w:rPr>
      </w:pPr>
      <w:r>
        <w:rPr>
          <w:b/>
        </w:rPr>
        <w:t xml:space="preserve">Đồng ý trước khi tiết lộ hoặc sử dụng thông tin </w:t>
      </w:r>
      <w:r>
        <w:t>(§303.414)</w:t>
      </w:r>
    </w:p>
    <w:p w14:paraId="4CEC8110" w14:textId="77777777" w:rsidR="00960460" w:rsidRDefault="004E6BAE">
      <w:pPr>
        <w:pStyle w:val="P68B1DB1-Normal2"/>
        <w:jc w:val="both"/>
      </w:pPr>
      <w:r>
        <w:t>Phải có sự đồng ý của phụ huynh trước khi bất kỳ thông tin nhận dạng cá nhân (PII) nào được tiết lộ cho bất kỳ cá nhân hoặc tổ chức nào khác ngoài các đại diện, viên chức hoặc nhân viên được ủy quyền của các cơ quan tham gia đang thu thập, lưu giữ hoặc sử dụng thông tin đó theo IDEA Phần C, hoặc cho bất kỳ mục đích nào khác ngoài việc đáp ứng các yêu cầu của IDEA Phần C. Tuy nhiên, việc tiết lộ thông tin có thể được cho phép mà không cần sự đồng ý của phụ huynh theo các quy định về bảo mật của IDEA Phần C và Đạo luật Quyền riêng tư và Quyền giáo dục gia đình (FERPA).</w:t>
      </w:r>
    </w:p>
    <w:p w14:paraId="28201B61" w14:textId="77777777" w:rsidR="00960460" w:rsidRDefault="00960460">
      <w:pPr>
        <w:jc w:val="both"/>
        <w:rPr>
          <w:rFonts w:ascii="Avenir Next LT Pro" w:eastAsia="Avenir Next LT Pro" w:hAnsi="Avenir Next LT Pro" w:cs="Avenir Next LT Pro"/>
          <w:sz w:val="24"/>
        </w:rPr>
      </w:pPr>
    </w:p>
    <w:p w14:paraId="72C72689" w14:textId="77777777" w:rsidR="00960460" w:rsidRDefault="004E6BAE">
      <w:pPr>
        <w:pStyle w:val="P68B1DB1-Normal2"/>
        <w:jc w:val="both"/>
      </w:pPr>
      <w:r>
        <w:t>Thông tin nhận dạng cá nhân trong hồ sơ can thiệp sớm của trẻ sẽ không được tiết lộ nếu không có sự đồng ý bằng văn bản của phụ huynh sau khi được cung cấp đầy đủ thông tin, trừ các trường hợp được pháp luật Liên bang hoặc Tiểu bang cho phép (ví dụ: tình huống khẩn cấp về sức khỏe hoặc an toàn, các hoạt động giám sát và kiểm tra do các cơ quan Tiểu bang hoặc Liên bang có thẩm quyền thực hiện), hoặc để tuân thủ trát đòi hầu tòa hợp pháp hoặc lệnh của tòa án.</w:t>
      </w:r>
    </w:p>
    <w:p w14:paraId="5D1E4EDA" w14:textId="77777777" w:rsidR="00960460" w:rsidRDefault="004E6BAE">
      <w:pPr>
        <w:pStyle w:val="P68B1DB1-Normal2"/>
        <w:jc w:val="both"/>
      </w:pPr>
      <w:r>
        <w:t xml:space="preserve"> </w:t>
      </w:r>
    </w:p>
    <w:p w14:paraId="6EC3EF6A" w14:textId="7FAC1103" w:rsidR="00960460" w:rsidRDefault="004E6BAE">
      <w:pPr>
        <w:pStyle w:val="P68B1DB1-Normal2"/>
        <w:jc w:val="both"/>
      </w:pPr>
      <w:r>
        <w:t>Phù hợp với các yêu cầu tại 34 CFR §303.209 (b), Bộ phận Can thiệp Sớm phải thông báo cho cơ quan giáo dục địa phương (LEA) và cơ quan giáo dục Tiểu bang (SEA) khi một trẻ nhỏ đang nhận dịch vụ can thiệp sớm có khả năng đủ điều kiện nhận dịch vụ mầm non theo IDEA Phần B, trừ khi phụ huynh lựa chọn không cho phép tiết lộ, thông tin được cung cấp cho LEA phải được giới hạn trong các nội dung sau</w:t>
      </w:r>
    </w:p>
    <w:p w14:paraId="6DC496C3" w14:textId="77777777" w:rsidR="00960460" w:rsidRDefault="004E6BAE">
      <w:pPr>
        <w:pStyle w:val="P68B1DB1-ListParagraph8"/>
        <w:numPr>
          <w:ilvl w:val="0"/>
          <w:numId w:val="22"/>
        </w:numPr>
        <w:spacing w:after="160"/>
        <w:jc w:val="both"/>
      </w:pPr>
      <w:r>
        <w:t>tên của trẻ</w:t>
      </w:r>
    </w:p>
    <w:p w14:paraId="29D8AE5A" w14:textId="77777777" w:rsidR="00960460" w:rsidRDefault="004E6BAE">
      <w:pPr>
        <w:pStyle w:val="P68B1DB1-ListParagraph8"/>
        <w:numPr>
          <w:ilvl w:val="0"/>
          <w:numId w:val="22"/>
        </w:numPr>
        <w:spacing w:after="160"/>
        <w:jc w:val="both"/>
      </w:pPr>
      <w:r>
        <w:t>ngày sinh của trẻ</w:t>
      </w:r>
    </w:p>
    <w:p w14:paraId="62993FFD" w14:textId="77777777" w:rsidR="00960460" w:rsidRDefault="004E6BAE">
      <w:pPr>
        <w:pStyle w:val="P68B1DB1-ListParagraph8"/>
        <w:numPr>
          <w:ilvl w:val="0"/>
          <w:numId w:val="22"/>
        </w:numPr>
        <w:jc w:val="both"/>
      </w:pPr>
      <w:r>
        <w:lastRenderedPageBreak/>
        <w:t>tên và thông tin liên lạc của phụ huynh</w:t>
      </w:r>
    </w:p>
    <w:p w14:paraId="4FA9EBE5" w14:textId="77777777" w:rsidR="00960460" w:rsidRDefault="00960460">
      <w:pPr>
        <w:jc w:val="both"/>
        <w:rPr>
          <w:rFonts w:ascii="Avenir Next LT Pro" w:eastAsia="Avenir Next LT Pro" w:hAnsi="Avenir Next LT Pro" w:cs="Avenir Next LT Pro"/>
          <w:sz w:val="24"/>
        </w:rPr>
      </w:pPr>
    </w:p>
    <w:p w14:paraId="482C7956" w14:textId="3B0B5305" w:rsidR="00960460" w:rsidRDefault="004E6BAE">
      <w:pPr>
        <w:jc w:val="both"/>
        <w:rPr>
          <w:rFonts w:ascii="Avenir Next LT Pro" w:eastAsia="Avenir Next LT Pro" w:hAnsi="Avenir Next LT Pro" w:cs="Avenir Next LT Pro"/>
          <w:sz w:val="24"/>
        </w:rPr>
      </w:pPr>
      <w:r>
        <w:rPr>
          <w:rFonts w:ascii="Avenir Next LT Pro" w:eastAsia="Avenir Next LT Pro" w:hAnsi="Avenir Next LT Pro" w:cs="Avenir Next LT Pro"/>
          <w:sz w:val="24"/>
        </w:rPr>
        <w:t xml:space="preserve">Cơ quan Chủ trì phải ban hành các chính sách và thủ tục áp dụng trong trường hợp phụ huynh từ chối cung cấp sự đồng ý theo mục này (chẳng hạn như tổ chức một cuộc họp để giải thích cho phụ huynh về ảnh hưởng của việc phụ huynh không đồng ý đến khả năng trẻ được nhận dịch vụ theo Phần này), với điều kiện rằng các thủ tục đó không được làm mất hiệu lực quyền từ chối đồng ý của phụ huynh theo </w:t>
      </w:r>
      <w:hyperlink r:id="rId46">
        <w:r w:rsidR="00960460">
          <w:rPr>
            <w:rStyle w:val="Hyperlink"/>
            <w:rFonts w:ascii="Avenir Next LT Pro" w:eastAsia="Avenir Next LT Pro" w:hAnsi="Avenir Next LT Pro" w:cs="Avenir Next LT Pro"/>
            <w:color w:val="auto"/>
            <w:sz w:val="24"/>
          </w:rPr>
          <w:t>§ 303.420</w:t>
        </w:r>
      </w:hyperlink>
      <w:r>
        <w:rPr>
          <w:rFonts w:ascii="Avenir Next LT Pro" w:eastAsia="Avenir Next LT Pro" w:hAnsi="Avenir Next LT Pro" w:cs="Avenir Next LT Pro"/>
          <w:sz w:val="24"/>
        </w:rPr>
        <w:t xml:space="preserve">. </w:t>
      </w:r>
    </w:p>
    <w:p w14:paraId="6D37A4D1" w14:textId="77777777" w:rsidR="00960460" w:rsidRDefault="004E6BAE">
      <w:pPr>
        <w:pStyle w:val="P68B1DB1-Heading13"/>
        <w:jc w:val="both"/>
      </w:pPr>
      <w:r>
        <w:rPr>
          <w:b/>
        </w:rPr>
        <w:t xml:space="preserve">Các biện pháp bảo vệ </w:t>
      </w:r>
      <w:r>
        <w:t>(§303.415)</w:t>
      </w:r>
    </w:p>
    <w:p w14:paraId="0ABAE3A9" w14:textId="77777777" w:rsidR="00960460" w:rsidRDefault="004E6BAE">
      <w:pPr>
        <w:pStyle w:val="P68B1DB1-Normal2"/>
        <w:contextualSpacing/>
        <w:jc w:val="both"/>
      </w:pPr>
      <w:r>
        <w:t xml:space="preserve">Mỗi cơ quan tham gia phải </w:t>
      </w:r>
    </w:p>
    <w:p w14:paraId="3EBC7614" w14:textId="77777777" w:rsidR="00960460" w:rsidRDefault="004E6BAE">
      <w:pPr>
        <w:pStyle w:val="P68B1DB1-ListParagraph8"/>
        <w:numPr>
          <w:ilvl w:val="0"/>
          <w:numId w:val="6"/>
        </w:numPr>
        <w:jc w:val="both"/>
      </w:pPr>
      <w:r>
        <w:t>bảo vệ tính bảo mật của thông tin nhận dạng cá nhân tại các giai đoạn thu thập, lưu giữ, sử dụng, bảo quản, tiết lộ và tiêu hủy.</w:t>
      </w:r>
    </w:p>
    <w:p w14:paraId="5F0AB322" w14:textId="77777777" w:rsidR="00960460" w:rsidRDefault="004E6BAE">
      <w:pPr>
        <w:pStyle w:val="P68B1DB1-ListParagraph8"/>
        <w:numPr>
          <w:ilvl w:val="0"/>
          <w:numId w:val="6"/>
        </w:numPr>
        <w:jc w:val="both"/>
      </w:pPr>
      <w:r>
        <w:t>phân công trách nhiệm cho nhân sự nhằm đảm bảo bảo mật cho mọi thông tin nhận dạng cá nhân.</w:t>
      </w:r>
    </w:p>
    <w:p w14:paraId="3886FF56" w14:textId="77777777" w:rsidR="00960460" w:rsidRDefault="004E6BAE">
      <w:pPr>
        <w:pStyle w:val="ListParagraph"/>
        <w:numPr>
          <w:ilvl w:val="0"/>
          <w:numId w:val="6"/>
        </w:numPr>
        <w:jc w:val="both"/>
        <w:rPr>
          <w:rFonts w:ascii="Avenir Next LT Pro" w:eastAsia="Avenir Next LT Pro" w:hAnsi="Avenir Next LT Pro" w:cs="Avenir Next LT Pro"/>
          <w:sz w:val="24"/>
        </w:rPr>
      </w:pPr>
      <w:r>
        <w:rPr>
          <w:rFonts w:ascii="Avenir Next LT Pro" w:eastAsia="Avenir Next LT Pro" w:hAnsi="Avenir Next LT Pro" w:cs="Avenir Next LT Pro"/>
          <w:sz w:val="24"/>
        </w:rPr>
        <w:t xml:space="preserve">bảo đảm việc đào tạo hoặc hướng dẫn cho nhân viên liên quan đến các chính sách và thủ tục của Tiểu bang theo IDEA Phần C Tiểu phần E </w:t>
      </w:r>
      <w:hyperlink r:id="rId47">
        <w:r w:rsidR="00960460">
          <w:rPr>
            <w:rStyle w:val="Hyperlink"/>
            <w:rFonts w:ascii="Avenir Next LT Pro" w:eastAsia="Avenir Next LT Pro" w:hAnsi="Avenir Next LT Pro" w:cs="Avenir Next LT Pro"/>
            <w:color w:val="auto"/>
            <w:sz w:val="24"/>
          </w:rPr>
          <w:t>§§ 303.401</w:t>
        </w:r>
      </w:hyperlink>
      <w:r>
        <w:rPr>
          <w:rFonts w:ascii="Avenir Next LT Pro" w:eastAsia="Avenir Next LT Pro" w:hAnsi="Avenir Next LT Pro" w:cs="Avenir Next LT Pro"/>
          <w:sz w:val="24"/>
        </w:rPr>
        <w:t xml:space="preserve"> - </w:t>
      </w:r>
      <w:hyperlink r:id="rId48">
        <w:r w:rsidR="00960460">
          <w:rPr>
            <w:rStyle w:val="Hyperlink"/>
            <w:rFonts w:ascii="Avenir Next LT Pro" w:eastAsia="Avenir Next LT Pro" w:hAnsi="Avenir Next LT Pro" w:cs="Avenir Next LT Pro"/>
            <w:color w:val="auto"/>
            <w:sz w:val="24"/>
          </w:rPr>
          <w:t>303.417</w:t>
        </w:r>
      </w:hyperlink>
      <w:r>
        <w:rPr>
          <w:rFonts w:ascii="Avenir Next LT Pro" w:eastAsia="Avenir Next LT Pro" w:hAnsi="Avenir Next LT Pro" w:cs="Avenir Next LT Pro"/>
          <w:sz w:val="24"/>
        </w:rPr>
        <w:t xml:space="preserve"> và Đạo luật Quyền riêng tư và Giáo dục Gia đình (FERPA) (</w:t>
      </w:r>
      <w:hyperlink r:id="rId49">
        <w:r w:rsidR="00960460">
          <w:rPr>
            <w:rStyle w:val="Hyperlink"/>
            <w:rFonts w:ascii="Avenir Next LT Pro" w:eastAsia="Avenir Next LT Pro" w:hAnsi="Avenir Next LT Pro" w:cs="Avenir Next LT Pro"/>
            <w:color w:val="auto"/>
            <w:sz w:val="24"/>
          </w:rPr>
          <w:t>34 CFR phần 99</w:t>
        </w:r>
      </w:hyperlink>
      <w:r>
        <w:rPr>
          <w:rFonts w:ascii="Avenir Next LT Pro" w:eastAsia="Avenir Next LT Pro" w:hAnsi="Avenir Next LT Pro" w:cs="Avenir Next LT Pro"/>
          <w:sz w:val="24"/>
        </w:rPr>
        <w:t>).</w:t>
      </w:r>
    </w:p>
    <w:p w14:paraId="6F942D9D" w14:textId="4FED7B2C" w:rsidR="00960460" w:rsidRDefault="004E6BAE">
      <w:pPr>
        <w:pStyle w:val="P68B1DB1-ListParagraph8"/>
        <w:numPr>
          <w:ilvl w:val="0"/>
          <w:numId w:val="6"/>
        </w:numPr>
        <w:jc w:val="both"/>
      </w:pPr>
      <w:r>
        <w:t>duy trì danh sách cập nhật tên và chức danh của những nhân viên trong cơ quan được tiếp cận thông tin nhận dạng cá nhân</w:t>
      </w:r>
    </w:p>
    <w:p w14:paraId="1656455C" w14:textId="77777777" w:rsidR="00960460" w:rsidRDefault="00960460">
      <w:pPr>
        <w:jc w:val="both"/>
        <w:rPr>
          <w:rFonts w:ascii="Avenir Next LT Pro" w:eastAsia="Avenir Next LT Pro" w:hAnsi="Avenir Next LT Pro" w:cs="Avenir Next LT Pro"/>
          <w:sz w:val="24"/>
        </w:rPr>
      </w:pPr>
    </w:p>
    <w:p w14:paraId="21531230" w14:textId="7497758A" w:rsidR="00960460" w:rsidRDefault="004E6BAE">
      <w:pPr>
        <w:pStyle w:val="P68B1DB1-Heading13"/>
        <w:spacing w:before="0"/>
        <w:jc w:val="both"/>
        <w:rPr>
          <w:b/>
        </w:rPr>
      </w:pPr>
      <w:r>
        <w:rPr>
          <w:b/>
        </w:rPr>
        <w:t xml:space="preserve">Tiêu hủy Thông tin </w:t>
      </w:r>
      <w:r>
        <w:t>(§303.416)</w:t>
      </w:r>
    </w:p>
    <w:p w14:paraId="0AED72F7" w14:textId="77777777" w:rsidR="00960460" w:rsidRDefault="004E6BAE">
      <w:pPr>
        <w:pStyle w:val="P68B1DB1-Normal2"/>
        <w:jc w:val="both"/>
        <w:rPr>
          <w:b/>
        </w:rPr>
      </w:pPr>
      <w:r>
        <w:t xml:space="preserve">Cơ quan tham gia phải thông báo cho phụ huynh khi thông tin nhận dạng cá nhân được thu thập, lưu giữ hoặc sử dụng theo Phần này không còn cần thiết để cung cấp dịch vụ cho trẻ theo Phần C của Đạo luật, các quy định của GEPA tại </w:t>
      </w:r>
      <w:hyperlink r:id="rId50">
        <w:r w:rsidR="00960460">
          <w:t>20 U.S.C.</w:t>
        </w:r>
      </w:hyperlink>
      <w:r>
        <w:t xml:space="preserve"> 1232f, EDGAR, </w:t>
      </w:r>
      <w:hyperlink r:id="rId51">
        <w:r w:rsidR="00960460">
          <w:t>34 CFR Phần 76</w:t>
        </w:r>
      </w:hyperlink>
      <w:r>
        <w:t xml:space="preserve">, và </w:t>
      </w:r>
      <w:hyperlink r:id="rId52">
        <w:r w:rsidR="00960460">
          <w:t>2 CFR Phần 200</w:t>
        </w:r>
      </w:hyperlink>
      <w:r>
        <w:t xml:space="preserve">, được áp dụng theo </w:t>
      </w:r>
      <w:hyperlink r:id="rId53">
        <w:r w:rsidR="00960460">
          <w:t>2 CFR Phần 3474</w:t>
        </w:r>
      </w:hyperlink>
      <w:r>
        <w:t xml:space="preserve">. </w:t>
      </w:r>
    </w:p>
    <w:p w14:paraId="526011B2" w14:textId="77777777" w:rsidR="00960460" w:rsidRDefault="004E6BAE">
      <w:pPr>
        <w:pStyle w:val="P68B1DB1-Normal2"/>
        <w:jc w:val="both"/>
      </w:pPr>
      <w:r>
        <w:t xml:space="preserve">Theo yêu cầu của phụ huynh, các thông tin đó phải được tiêu hủy. Tuy nhiên, một hồ sơ vĩnh viễn bao gồm tên trẻ, ngày sinh, thông tin liên hệ của phụ huynh (bao gồm địa chỉ và số điện thoại), tên của (các) điều phối viên dịch vụ và (các) nhà cung cấp EIS, và dữ liệu khi kết thúc dịch vụ (bao gồm năm và độ tuổi khi kết thúc, và các chương trình mà trẻ tham gia sau khi kết thúc) có thể được lưu giữ không giới hạn thời gian. </w:t>
      </w:r>
    </w:p>
    <w:p w14:paraId="4A93BAB2" w14:textId="77777777" w:rsidR="00960460" w:rsidRDefault="00960460">
      <w:pPr>
        <w:jc w:val="both"/>
        <w:rPr>
          <w:rFonts w:ascii="Avenir Next LT Pro" w:eastAsia="Avenir Next LT Pro" w:hAnsi="Avenir Next LT Pro" w:cs="Avenir Next LT Pro"/>
          <w:sz w:val="24"/>
        </w:rPr>
      </w:pPr>
    </w:p>
    <w:p w14:paraId="1C3706FE" w14:textId="00CC8DDE" w:rsidR="00960460" w:rsidRDefault="004E6BAE">
      <w:pPr>
        <w:pStyle w:val="P68B1DB1-Normal2"/>
        <w:jc w:val="both"/>
      </w:pPr>
      <w:r>
        <w:t>Tại Massachusetts, các nhà cung cấp dịch vụ can thiệp sớm có thể lưu giữ hồ sơ trong thời gian tối đa bảy năm kể từ khi trẻ kết thúc dịch vụ can thiệp sớm, trừ khi phụ huynh yêu cầu tiêu hủy sớm hơn các thông tin nhận dạng cá nhân khi các thông tin đó không còn cần thiết.</w:t>
      </w:r>
    </w:p>
    <w:p w14:paraId="00BD4B55" w14:textId="77777777" w:rsidR="00960460" w:rsidRDefault="00960460">
      <w:pPr>
        <w:pStyle w:val="Heading1"/>
        <w:spacing w:before="0"/>
        <w:jc w:val="both"/>
        <w:rPr>
          <w:rFonts w:ascii="Avenir Next LT Pro" w:eastAsia="Avenir Next LT Pro" w:hAnsi="Avenir Next LT Pro" w:cs="Avenir Next LT Pro"/>
          <w:b/>
          <w:sz w:val="24"/>
        </w:rPr>
      </w:pPr>
    </w:p>
    <w:p w14:paraId="6B3D9895" w14:textId="4EC1ED66" w:rsidR="00960460" w:rsidRDefault="004E6BAE">
      <w:pPr>
        <w:pStyle w:val="P68B1DB1-Heading13"/>
        <w:spacing w:before="0"/>
        <w:jc w:val="both"/>
        <w:rPr>
          <w:b/>
        </w:rPr>
      </w:pPr>
      <w:r>
        <w:rPr>
          <w:b/>
        </w:rPr>
        <w:t xml:space="preserve">Thực thi </w:t>
      </w:r>
      <w:r>
        <w:t>(§303.417)</w:t>
      </w:r>
    </w:p>
    <w:p w14:paraId="35138570" w14:textId="1A5C2EAB" w:rsidR="00960460" w:rsidRDefault="004E6BAE">
      <w:pPr>
        <w:pStyle w:val="P68B1DB1-Normal2"/>
        <w:jc w:val="both"/>
        <w:rPr>
          <w:rStyle w:val="cf01"/>
          <w:rFonts w:ascii="Avenir Next LT Pro" w:hAnsi="Avenir Next LT Pro" w:cs="Avenir Next LT Pro"/>
          <w:sz w:val="24"/>
        </w:rPr>
      </w:pPr>
      <w:r>
        <w:t xml:space="preserve">Bộ phận Can thiệp Sớm, với tư cách là Cơ quan Chủ trì được chỉ định theo 34 CFR §303.120, đảm bảo rằng tất cả các cơ quan tham gia và các nhà cung cấp dịch vụ can thiệp sớm có các chính sách và thủ tục, bao gồm các biện pháp chế tài và quyền nộp đơn khiếu nại theo </w:t>
      </w:r>
      <w:hyperlink r:id="rId54">
        <w:r w:rsidR="00960460">
          <w:t>§§ 303.432</w:t>
        </w:r>
      </w:hyperlink>
      <w:r>
        <w:t xml:space="preserve"> đến </w:t>
      </w:r>
      <w:hyperlink r:id="rId55">
        <w:r w:rsidR="00960460">
          <w:t>303.434</w:t>
        </w:r>
      </w:hyperlink>
      <w:r>
        <w:t xml:space="preserve">, mà Tiểu bang sử dụng để đảm bảo rằng các chính sách và thủ tục đó, phù hợp với </w:t>
      </w:r>
      <w:hyperlink r:id="rId56">
        <w:r w:rsidR="00960460">
          <w:t>§§ 303.401</w:t>
        </w:r>
      </w:hyperlink>
      <w:r>
        <w:t xml:space="preserve"> đến </w:t>
      </w:r>
      <w:hyperlink r:id="rId57">
        <w:r w:rsidR="00960460">
          <w:t>303.417</w:t>
        </w:r>
      </w:hyperlink>
      <w:r>
        <w:t xml:space="preserve">, được tuân thủ và rằng các yêu cầu của IDEA Phần C và các quy định tại Phần này được thực hiện đầy đủ. </w:t>
      </w:r>
    </w:p>
    <w:p w14:paraId="48F2F686" w14:textId="77777777" w:rsidR="00960460" w:rsidRDefault="00960460">
      <w:pPr>
        <w:jc w:val="both"/>
        <w:rPr>
          <w:rFonts w:ascii="Avenir Next LT Pro" w:eastAsia="Avenir Next LT Pro" w:hAnsi="Avenir Next LT Pro" w:cs="Avenir Next LT Pro"/>
          <w:sz w:val="24"/>
        </w:rPr>
      </w:pPr>
    </w:p>
    <w:p w14:paraId="2BE84E8B" w14:textId="77777777" w:rsidR="00960460" w:rsidRDefault="004E6BAE">
      <w:pPr>
        <w:pStyle w:val="P68B1DB1-Heading13"/>
        <w:spacing w:before="0"/>
        <w:jc w:val="both"/>
        <w:rPr>
          <w:b/>
        </w:rPr>
      </w:pPr>
      <w:r>
        <w:rPr>
          <w:b/>
        </w:rPr>
        <w:t xml:space="preserve">Sự đồng ý của phụ huynh </w:t>
      </w:r>
      <w:r>
        <w:t>(§303.420)</w:t>
      </w:r>
    </w:p>
    <w:p w14:paraId="0A19F880" w14:textId="2044F8F8" w:rsidR="00960460" w:rsidRDefault="004E6BAE">
      <w:pPr>
        <w:jc w:val="both"/>
        <w:rPr>
          <w:rFonts w:ascii="Avenir Next LT Pro" w:eastAsia="Avenir Next LT Pro" w:hAnsi="Avenir Next LT Pro" w:cs="Avenir Next LT Pro"/>
          <w:sz w:val="24"/>
        </w:rPr>
      </w:pPr>
      <w:r>
        <w:rPr>
          <w:rFonts w:ascii="Avenir Next LT Pro" w:eastAsia="Avenir Next LT Pro" w:hAnsi="Avenir Next LT Pro" w:cs="Avenir Next LT Pro"/>
          <w:sz w:val="24"/>
        </w:rPr>
        <w:t xml:space="preserve">Bộ phận Can thiệp Sớm đảm bảo phải có sự </w:t>
      </w:r>
      <w:hyperlink r:id="rId58" w:history="1">
        <w:r w:rsidR="00960460">
          <w:rPr>
            <w:rStyle w:val="Hyperlink"/>
            <w:rFonts w:ascii="Avenir Next LT Pro" w:eastAsia="Avenir Next LT Pro" w:hAnsi="Avenir Next LT Pro" w:cs="Avenir Next LT Pro"/>
            <w:sz w:val="24"/>
          </w:rPr>
          <w:t>đồng ý</w:t>
        </w:r>
      </w:hyperlink>
      <w:r>
        <w:rPr>
          <w:rFonts w:ascii="Avenir Next LT Pro" w:eastAsia="Avenir Next LT Pro" w:hAnsi="Avenir Next LT Pro" w:cs="Avenir Next LT Pro"/>
          <w:sz w:val="24"/>
        </w:rPr>
        <w:t xml:space="preserve"> của phụ huynh trước khi</w:t>
      </w:r>
    </w:p>
    <w:p w14:paraId="215EFD5A" w14:textId="77777777" w:rsidR="00960460" w:rsidRDefault="004E6BAE">
      <w:pPr>
        <w:pStyle w:val="P68B1DB1-ListParagraph8"/>
        <w:numPr>
          <w:ilvl w:val="0"/>
          <w:numId w:val="7"/>
        </w:numPr>
        <w:jc w:val="both"/>
      </w:pPr>
      <w:r>
        <w:t xml:space="preserve">thực hiện tất cả các hoạt động đánh giá và thẩm định đối với trẻ theo </w:t>
      </w:r>
      <w:hyperlink r:id="rId59">
        <w:r w:rsidR="00960460">
          <w:rPr>
            <w:u w:val="single"/>
          </w:rPr>
          <w:t>§ 303.321</w:t>
        </w:r>
      </w:hyperlink>
    </w:p>
    <w:p w14:paraId="542A17AC" w14:textId="77777777" w:rsidR="00960460" w:rsidRDefault="004E6BAE">
      <w:pPr>
        <w:pStyle w:val="P68B1DB1-ListParagraph8"/>
        <w:numPr>
          <w:ilvl w:val="0"/>
          <w:numId w:val="7"/>
        </w:numPr>
        <w:jc w:val="both"/>
      </w:pPr>
      <w:r>
        <w:t>cung cấp các dịch vụ can thiệp sớm cho trẻ theo IDEA Phần C</w:t>
      </w:r>
    </w:p>
    <w:p w14:paraId="6DDB013E" w14:textId="77777777" w:rsidR="00960460" w:rsidRDefault="004E6BAE">
      <w:pPr>
        <w:pStyle w:val="P68B1DB1-ListParagraph8"/>
        <w:numPr>
          <w:ilvl w:val="0"/>
          <w:numId w:val="7"/>
        </w:numPr>
        <w:jc w:val="both"/>
      </w:pPr>
      <w:r>
        <w:t xml:space="preserve">sử dụng các phúc lợi cộng đồng hoặc bảo hiểm công hay bảo hiểm tư nhân (bao gồm MassHealth) theo </w:t>
      </w:r>
      <w:hyperlink r:id="rId60">
        <w:r w:rsidR="00960460">
          <w:rPr>
            <w:u w:val="single"/>
          </w:rPr>
          <w:t>§ 303.520</w:t>
        </w:r>
      </w:hyperlink>
    </w:p>
    <w:p w14:paraId="6BF7D57A" w14:textId="154E98A4" w:rsidR="00960460" w:rsidRDefault="004E6BAE">
      <w:pPr>
        <w:pStyle w:val="P68B1DB1-ListParagraph8"/>
        <w:numPr>
          <w:ilvl w:val="0"/>
          <w:numId w:val="7"/>
        </w:numPr>
        <w:jc w:val="both"/>
      </w:pPr>
      <w:r>
        <w:t xml:space="preserve">tiết lộ thông tin nhận dạng cá nhân phù hợp với </w:t>
      </w:r>
      <w:hyperlink r:id="rId61">
        <w:r w:rsidR="00960460">
          <w:rPr>
            <w:u w:val="single"/>
          </w:rPr>
          <w:t>§ 303.414</w:t>
        </w:r>
      </w:hyperlink>
    </w:p>
    <w:p w14:paraId="57AC4146" w14:textId="77777777" w:rsidR="00960460" w:rsidRDefault="00960460">
      <w:pPr>
        <w:jc w:val="both"/>
        <w:rPr>
          <w:rFonts w:ascii="Avenir Next LT Pro" w:eastAsia="Avenir Next LT Pro" w:hAnsi="Avenir Next LT Pro" w:cs="Avenir Next LT Pro"/>
          <w:sz w:val="24"/>
        </w:rPr>
      </w:pPr>
    </w:p>
    <w:p w14:paraId="1DC59C1D" w14:textId="5D8BCFB5" w:rsidR="00960460" w:rsidRDefault="004E6BAE">
      <w:pPr>
        <w:pStyle w:val="P68B1DB1-Normal2"/>
        <w:jc w:val="both"/>
      </w:pPr>
      <w:r>
        <w:t>Nếu phụ huynh không đồng ý, Bộ phận Can thiệp Sớm phải thực hiện các nỗ lực hợp lý để đảm bảo rằng phụ huynh</w:t>
      </w:r>
    </w:p>
    <w:p w14:paraId="4102C280" w14:textId="77777777" w:rsidR="00960460" w:rsidRDefault="004E6BAE">
      <w:pPr>
        <w:pStyle w:val="P68B1DB1-ListParagraph8"/>
        <w:numPr>
          <w:ilvl w:val="0"/>
          <w:numId w:val="8"/>
        </w:numPr>
        <w:jc w:val="both"/>
      </w:pPr>
      <w:r>
        <w:t>được thông tin đầy đủ về bản chất của việc đánh giá và thẩm định đối với trẻ hoặc về các dịch vụ can thiệp sớm có thể được cung cấp</w:t>
      </w:r>
    </w:p>
    <w:p w14:paraId="65865591" w14:textId="77777777" w:rsidR="00960460" w:rsidRDefault="004E6BAE">
      <w:pPr>
        <w:pStyle w:val="P68B1DB1-ListParagraph8"/>
        <w:numPr>
          <w:ilvl w:val="0"/>
          <w:numId w:val="8"/>
        </w:numPr>
        <w:jc w:val="both"/>
      </w:pPr>
      <w:r>
        <w:t>hiểu rằng trẻ sẽ không thể được nhận đánh giá, thẩm định hoặc dịch vụ can thiệp sớm nếu không có sự đồng ý</w:t>
      </w:r>
    </w:p>
    <w:p w14:paraId="6A41F20A" w14:textId="77777777" w:rsidR="00960460" w:rsidRDefault="00960460">
      <w:pPr>
        <w:jc w:val="both"/>
        <w:rPr>
          <w:rFonts w:ascii="Avenir Next LT Pro" w:eastAsia="Avenir Next LT Pro" w:hAnsi="Avenir Next LT Pro" w:cs="Avenir Next LT Pro"/>
          <w:sz w:val="24"/>
        </w:rPr>
      </w:pPr>
    </w:p>
    <w:p w14:paraId="5732080C" w14:textId="0650F133" w:rsidR="00960460" w:rsidRDefault="004E6BAE">
      <w:pPr>
        <w:pStyle w:val="P68B1DB1-Normal2"/>
        <w:jc w:val="both"/>
      </w:pPr>
      <w:r>
        <w:t>Bộ phận Can thiệp Sớm bảo đảm rằng các thủ tục điều trần theo thủ tục tố tụng của IDEA Phần C không được sử dụng để phản đối sự từ chối đồng ý của phụ huynh trong bất kỳ trường hợp nào yêu cầu sự đồng ý. Phụ huynh của trẻ sơ sinh hoặc trẻ nhỏ khuyết tật</w:t>
      </w:r>
    </w:p>
    <w:p w14:paraId="356B85CF" w14:textId="77777777" w:rsidR="00960460" w:rsidRDefault="004E6BAE">
      <w:pPr>
        <w:pStyle w:val="P68B1DB1-ListParagraph8"/>
        <w:numPr>
          <w:ilvl w:val="0"/>
          <w:numId w:val="9"/>
        </w:numPr>
        <w:jc w:val="both"/>
      </w:pPr>
      <w:r>
        <w:t>có quyền quyết định việc chấp nhận hoặc từ chối bất kỳ dịch vụ can thiệp sớm nào theo Phần này cho bản thân họ, cho con của họ, hoặc cho các thành viên khác trong gia đình, tại bất kỳ thời điểm nào</w:t>
      </w:r>
    </w:p>
    <w:p w14:paraId="78F91AAE" w14:textId="77777777" w:rsidR="00960460" w:rsidRDefault="004E6BAE">
      <w:pPr>
        <w:pStyle w:val="P68B1DB1-ListParagraph8"/>
        <w:numPr>
          <w:ilvl w:val="0"/>
          <w:numId w:val="9"/>
        </w:numPr>
        <w:jc w:val="both"/>
      </w:pPr>
      <w:r>
        <w:t>có thể từ chối một dịch vụ sau khi đã chấp nhận dịch vụ đó trước đây, mà không làm ảnh hưởng đến các dịch vụ can thiệp sớm khác theo phần này.</w:t>
      </w:r>
    </w:p>
    <w:p w14:paraId="0781862B" w14:textId="77777777" w:rsidR="00960460" w:rsidRDefault="00960460">
      <w:pPr>
        <w:jc w:val="both"/>
        <w:rPr>
          <w:rFonts w:ascii="Avenir Next LT Pro" w:eastAsia="Avenir Next LT Pro" w:hAnsi="Avenir Next LT Pro" w:cs="Avenir Next LT Pro"/>
          <w:sz w:val="24"/>
        </w:rPr>
      </w:pPr>
    </w:p>
    <w:p w14:paraId="0F04C3F7" w14:textId="77777777" w:rsidR="00960460" w:rsidRDefault="004E6BAE">
      <w:pPr>
        <w:pStyle w:val="P68B1DB1-Heading13"/>
        <w:spacing w:before="0"/>
        <w:jc w:val="both"/>
      </w:pPr>
      <w:r>
        <w:rPr>
          <w:b/>
        </w:rPr>
        <w:t xml:space="preserve">Thông báo trước bằng văn bản và Thông báo về các biện pháp bảo vệ theo thủ tục </w:t>
      </w:r>
      <w:r>
        <w:t>(§303.421)</w:t>
      </w:r>
    </w:p>
    <w:p w14:paraId="78E06277" w14:textId="3E8F1806" w:rsidR="00960460" w:rsidRDefault="004E6BAE">
      <w:pPr>
        <w:jc w:val="both"/>
        <w:rPr>
          <w:rFonts w:ascii="Avenir Next LT Pro" w:eastAsia="Avenir Next LT Pro" w:hAnsi="Avenir Next LT Pro" w:cs="Avenir Next LT Pro"/>
          <w:color w:val="000000" w:themeColor="text1"/>
          <w:sz w:val="24"/>
        </w:rPr>
      </w:pPr>
      <w:r>
        <w:rPr>
          <w:rFonts w:ascii="Avenir Next LT Pro" w:eastAsia="Avenir Next LT Pro" w:hAnsi="Avenir Next LT Pro" w:cs="Avenir Next LT Pro"/>
          <w:color w:val="000000" w:themeColor="text1"/>
          <w:sz w:val="24"/>
        </w:rPr>
        <w:t xml:space="preserve">Thông báo trước bằng văn bản phải được cung cấp cho phụ huynh trong một khoảng thời gian hợp lý trước khi Cơ quan Chủ trì hoặc một nhà cung cấp EIS đề xuất hoặc từ chối việc bắt đầu hoặc thay đổi việc xác định, đánh giá hoặc sắp xếp cho trẻ sơ sinh hoặc trẻ nhỏ, hoặc việc cung cấp dịch vụ can thiệp sớm cho trẻ sơ sinh hoặc trẻ nhỏ khuyết tật và gia đình của trẻ đó </w:t>
      </w:r>
      <w:hyperlink r:id="rId62" w:anchor="p-303.421(a)">
        <w:r w:rsidR="00960460">
          <w:rPr>
            <w:rStyle w:val="Hyperlink"/>
            <w:rFonts w:ascii="Avenir Next LT Pro" w:eastAsia="Avenir Next LT Pro" w:hAnsi="Avenir Next LT Pro" w:cs="Avenir Next LT Pro"/>
            <w:sz w:val="24"/>
          </w:rPr>
          <w:t>(§ 303.421 (a)).</w:t>
        </w:r>
      </w:hyperlink>
    </w:p>
    <w:p w14:paraId="520F43FB" w14:textId="580B6BEE" w:rsidR="00960460" w:rsidRDefault="00960460">
      <w:pPr>
        <w:jc w:val="both"/>
        <w:rPr>
          <w:rFonts w:ascii="Avenir Next LT Pro" w:eastAsia="Avenir Next LT Pro" w:hAnsi="Avenir Next LT Pro" w:cs="Avenir Next LT Pro"/>
          <w:color w:val="000000" w:themeColor="text1"/>
          <w:sz w:val="24"/>
        </w:rPr>
      </w:pPr>
    </w:p>
    <w:p w14:paraId="72DA1C9B" w14:textId="787C4391" w:rsidR="00960460" w:rsidRDefault="004E6BAE">
      <w:pPr>
        <w:pStyle w:val="P68B1DB1-Normal11"/>
        <w:ind w:left="720"/>
        <w:jc w:val="both"/>
      </w:pPr>
      <w:r>
        <w:t>Nội dung thông báo</w:t>
      </w:r>
    </w:p>
    <w:p w14:paraId="7B2B0468" w14:textId="644180F0" w:rsidR="00960460" w:rsidRDefault="004E6BAE">
      <w:pPr>
        <w:pStyle w:val="P68B1DB1-Normal12"/>
        <w:ind w:left="720"/>
        <w:jc w:val="both"/>
      </w:pPr>
      <w:r>
        <w:t xml:space="preserve">Thông báo phải có đủ chi tiết để cung cấp thông tin cho phụ huynh về </w:t>
      </w:r>
    </w:p>
    <w:p w14:paraId="0600064A" w14:textId="49DDD8AE" w:rsidR="00960460" w:rsidRDefault="004E6BAE">
      <w:pPr>
        <w:pStyle w:val="P68B1DB1-ListParagraph13"/>
        <w:numPr>
          <w:ilvl w:val="0"/>
          <w:numId w:val="10"/>
        </w:numPr>
        <w:ind w:left="1440"/>
        <w:jc w:val="both"/>
      </w:pPr>
      <w:r>
        <w:t xml:space="preserve">biện pháp được đề xuất hoặc từ chối; </w:t>
      </w:r>
    </w:p>
    <w:p w14:paraId="102F610B" w14:textId="1E406AAB" w:rsidR="00960460" w:rsidRDefault="004E6BAE">
      <w:pPr>
        <w:pStyle w:val="P68B1DB1-ListParagraph13"/>
        <w:numPr>
          <w:ilvl w:val="0"/>
          <w:numId w:val="10"/>
        </w:numPr>
        <w:ind w:left="1440"/>
        <w:jc w:val="both"/>
      </w:pPr>
      <w:r>
        <w:t xml:space="preserve">lý do thực hiện biện pháp; và </w:t>
      </w:r>
    </w:p>
    <w:p w14:paraId="17A5A6D1" w14:textId="63559118" w:rsidR="00960460" w:rsidRDefault="004E6BAE">
      <w:pPr>
        <w:pStyle w:val="ListParagraph"/>
        <w:numPr>
          <w:ilvl w:val="0"/>
          <w:numId w:val="10"/>
        </w:numPr>
        <w:ind w:left="1440"/>
        <w:jc w:val="both"/>
        <w:rPr>
          <w:rFonts w:ascii="Avenir Next LT Pro" w:eastAsia="Avenir Next LT Pro" w:hAnsi="Avenir Next LT Pro" w:cs="Avenir Next LT Pro"/>
          <w:color w:val="000000" w:themeColor="text1"/>
          <w:sz w:val="24"/>
        </w:rPr>
      </w:pPr>
      <w:r>
        <w:rPr>
          <w:rFonts w:ascii="Avenir Next LT Pro" w:eastAsia="Avenir Next LT Pro" w:hAnsi="Avenir Next LT Pro" w:cs="Avenir Next LT Pro"/>
          <w:color w:val="000000" w:themeColor="text1"/>
          <w:sz w:val="24"/>
        </w:rPr>
        <w:t xml:space="preserve">tất cả các biện pháp bảo vệ theo thủ tục được cung cấp theo IDEA Phần C Tiểu phần E, bao gồm mô tả về hòa giải theo </w:t>
      </w:r>
      <w:hyperlink r:id="rId63">
        <w:r w:rsidR="00960460">
          <w:rPr>
            <w:rStyle w:val="Hyperlink"/>
            <w:rFonts w:ascii="Avenir Next LT Pro" w:eastAsia="Avenir Next LT Pro" w:hAnsi="Avenir Next LT Pro" w:cs="Avenir Next LT Pro"/>
            <w:sz w:val="24"/>
          </w:rPr>
          <w:t>§ 303.431</w:t>
        </w:r>
      </w:hyperlink>
      <w:r>
        <w:rPr>
          <w:rFonts w:ascii="Avenir Next LT Pro" w:eastAsia="Avenir Next LT Pro" w:hAnsi="Avenir Next LT Pro" w:cs="Avenir Next LT Pro"/>
          <w:color w:val="000000" w:themeColor="text1"/>
          <w:sz w:val="24"/>
        </w:rPr>
        <w:t xml:space="preserve">, cách nộp đơn khiếu nại hành chính (Tiểu bang) chính thức trong </w:t>
      </w:r>
      <w:hyperlink r:id="rId64">
        <w:r w:rsidR="00960460">
          <w:rPr>
            <w:rStyle w:val="Hyperlink"/>
            <w:rFonts w:ascii="Avenir Next LT Pro" w:eastAsia="Avenir Next LT Pro" w:hAnsi="Avenir Next LT Pro" w:cs="Avenir Next LT Pro"/>
            <w:sz w:val="24"/>
          </w:rPr>
          <w:t>§§ 303.432</w:t>
        </w:r>
      </w:hyperlink>
      <w:r>
        <w:rPr>
          <w:rFonts w:ascii="Avenir Next LT Pro" w:eastAsia="Avenir Next LT Pro" w:hAnsi="Avenir Next LT Pro" w:cs="Avenir Next LT Pro"/>
          <w:color w:val="000000" w:themeColor="text1"/>
          <w:sz w:val="24"/>
        </w:rPr>
        <w:t xml:space="preserve"> đến </w:t>
      </w:r>
      <w:hyperlink r:id="rId65">
        <w:r w:rsidR="00960460">
          <w:rPr>
            <w:rStyle w:val="Hyperlink"/>
            <w:rFonts w:ascii="Avenir Next LT Pro" w:eastAsia="Avenir Next LT Pro" w:hAnsi="Avenir Next LT Pro" w:cs="Avenir Next LT Pro"/>
            <w:sz w:val="24"/>
          </w:rPr>
          <w:t>303.434</w:t>
        </w:r>
      </w:hyperlink>
      <w:r>
        <w:rPr>
          <w:rFonts w:ascii="Avenir Next LT Pro" w:eastAsia="Avenir Next LT Pro" w:hAnsi="Avenir Next LT Pro" w:cs="Avenir Next LT Pro"/>
          <w:color w:val="000000" w:themeColor="text1"/>
          <w:sz w:val="24"/>
        </w:rPr>
        <w:t xml:space="preserve"> và khiếu nại điều trần theo thủ tục tố tụng Phần C được thông qua theo </w:t>
      </w:r>
      <w:hyperlink r:id="rId66" w:anchor="p-303.430(d)">
        <w:r w:rsidR="00960460">
          <w:rPr>
            <w:rStyle w:val="Hyperlink"/>
            <w:rFonts w:ascii="Avenir Next LT Pro" w:eastAsia="Avenir Next LT Pro" w:hAnsi="Avenir Next LT Pro" w:cs="Avenir Next LT Pro"/>
            <w:sz w:val="24"/>
          </w:rPr>
          <w:t>§ 303.430 (d)</w:t>
        </w:r>
      </w:hyperlink>
      <w:r>
        <w:rPr>
          <w:rFonts w:ascii="Avenir Next LT Pro" w:eastAsia="Avenir Next LT Pro" w:hAnsi="Avenir Next LT Pro" w:cs="Avenir Next LT Pro"/>
          <w:color w:val="000000" w:themeColor="text1"/>
          <w:sz w:val="24"/>
        </w:rPr>
        <w:t xml:space="preserve"> và bất kỳ mốc thời gian nào theo các thủ tục đó.</w:t>
      </w:r>
    </w:p>
    <w:p w14:paraId="24C3519D" w14:textId="691FB416" w:rsidR="00960460" w:rsidRDefault="00960460">
      <w:pPr>
        <w:ind w:left="720"/>
        <w:jc w:val="both"/>
        <w:rPr>
          <w:rFonts w:ascii="Avenir Next LT Pro" w:eastAsia="Avenir Next LT Pro" w:hAnsi="Avenir Next LT Pro" w:cs="Avenir Next LT Pro"/>
          <w:color w:val="000000" w:themeColor="text1"/>
          <w:sz w:val="24"/>
        </w:rPr>
      </w:pPr>
    </w:p>
    <w:p w14:paraId="296E11EC" w14:textId="4440AF75" w:rsidR="00960460" w:rsidRDefault="004E6BAE">
      <w:pPr>
        <w:pStyle w:val="P68B1DB1-Normal11"/>
        <w:ind w:left="720"/>
        <w:jc w:val="both"/>
      </w:pPr>
      <w:r>
        <w:lastRenderedPageBreak/>
        <w:t>Ngôn ngữ Bản địa</w:t>
      </w:r>
    </w:p>
    <w:p w14:paraId="668FACF8" w14:textId="38C419E9" w:rsidR="00960460" w:rsidRDefault="004E6BAE">
      <w:pPr>
        <w:ind w:left="720"/>
        <w:jc w:val="both"/>
        <w:rPr>
          <w:rFonts w:ascii="Avenir Next LT Pro" w:eastAsia="Avenir Next LT Pro" w:hAnsi="Avenir Next LT Pro" w:cs="Avenir Next LT Pro"/>
          <w:color w:val="000000" w:themeColor="text1"/>
          <w:sz w:val="24"/>
        </w:rPr>
      </w:pPr>
      <w:r>
        <w:rPr>
          <w:rFonts w:ascii="Avenir Next LT Pro" w:eastAsia="Avenir Next LT Pro" w:hAnsi="Avenir Next LT Pro" w:cs="Avenir Next LT Pro"/>
          <w:color w:val="000000" w:themeColor="text1"/>
          <w:sz w:val="24"/>
        </w:rPr>
        <w:t xml:space="preserve">Thông báo phải được viết bằng ngôn ngữ mà công chúng có thể hiểu được và được cung cấp bằng ngôn ngữ bản địa, theo định nghĩa tại </w:t>
      </w:r>
      <w:hyperlink r:id="rId67">
        <w:r w:rsidR="00960460">
          <w:rPr>
            <w:rStyle w:val="Hyperlink"/>
            <w:rFonts w:ascii="Avenir Next LT Pro" w:eastAsia="Avenir Next LT Pro" w:hAnsi="Avenir Next LT Pro" w:cs="Avenir Next LT Pro"/>
            <w:sz w:val="24"/>
          </w:rPr>
          <w:t>§ 303.25</w:t>
        </w:r>
      </w:hyperlink>
      <w:r>
        <w:rPr>
          <w:rFonts w:ascii="Avenir Next LT Pro" w:eastAsia="Avenir Next LT Pro" w:hAnsi="Avenir Next LT Pro" w:cs="Avenir Next LT Pro"/>
          <w:color w:val="000000" w:themeColor="text1"/>
          <w:sz w:val="24"/>
        </w:rPr>
        <w:t>, của phụ huynh hoặc bằng phương thức giao tiếp khác mà phụ huynh sử dụng, trừ khi rõ ràng là không khả thi. Nếu ngôn ngữ bản địa hoặc phương thức giao tiếp khác của phụ huynh không phải là ngôn ngữ viết, tổ chức công hoặc nhà cung cấp EIS được chỉ định phải thực hiện các bước cần thiết để đảm bảo rằng thông báo được dịch ra lời nói hoặc bằng các phương thức khác sang ngôn ngữ bản địa hoặc phương thức giao tiếp khác của phụ huynh; rằng phụ huynh hiểu được thông báo đó; và rằng có bằng chứng bằng văn bản chứng minh việc đáp ứng các yêu cầu của đoạn này.</w:t>
      </w:r>
    </w:p>
    <w:p w14:paraId="2B158B47" w14:textId="77777777" w:rsidR="00960460" w:rsidRDefault="004E6BAE">
      <w:pPr>
        <w:pStyle w:val="P68B1DB1-Heading114"/>
        <w:jc w:val="both"/>
      </w:pPr>
      <w:r>
        <w:t>Đại diện Phụ huynh (§303.422)</w:t>
      </w:r>
    </w:p>
    <w:p w14:paraId="09E55D9B" w14:textId="49B51629" w:rsidR="00960460" w:rsidRDefault="004E6BAE">
      <w:pPr>
        <w:pStyle w:val="P68B1DB1-Normal15"/>
        <w:jc w:val="both"/>
      </w:pPr>
      <w:r>
        <w:t xml:space="preserve">Mỗi Cơ quan Chủ trì hoặc tổ chức công khác phải đảm bảo rằng các quyền của trẻ em được bảo vệ khi không thể xác định được cha mẹ (như được định nghĩa trong </w:t>
      </w:r>
      <w:hyperlink r:id="rId68">
        <w:r w:rsidR="00960460">
          <w:rPr>
            <w:u w:val="single"/>
          </w:rPr>
          <w:t>§ 303.27</w:t>
        </w:r>
      </w:hyperlink>
      <w:r>
        <w:t>), sau khi đã thực hiện các nỗ lực hợp lý nhưng Cơ quan Chủ trì hoặc tổ chức công khác không thể tìm được cha/mẹ, hoặc trẻ là đối tượng được Tiểu bang bảo hộ theo luật pháp của Tiểu bang đó.</w:t>
      </w:r>
    </w:p>
    <w:p w14:paraId="237D975E" w14:textId="77777777" w:rsidR="00960460" w:rsidRDefault="00960460">
      <w:pPr>
        <w:jc w:val="both"/>
        <w:rPr>
          <w:rFonts w:ascii="Avenir Next LT Pro" w:eastAsia="Avenir Next LT Pro" w:hAnsi="Avenir Next LT Pro"/>
          <w:sz w:val="24"/>
        </w:rPr>
      </w:pPr>
    </w:p>
    <w:p w14:paraId="45CDDE21" w14:textId="103C4A12" w:rsidR="00960460" w:rsidRDefault="004E6BAE">
      <w:pPr>
        <w:pStyle w:val="P68B1DB1-Normal15"/>
        <w:jc w:val="both"/>
      </w:pPr>
      <w:r>
        <w:t>Nhiệm vụ của Cơ quan chủ trì, hoặc tổ chức công khác bao gồm  việc chỉ định một cá nhân là đại diện phụ huynh. Quy trình chỉ định này phải bao gồm một phương thức nhằm xác định liệu một trẻ có cần đại diện phụ huynh hay không và việc chỉ định đại diện phụ huynh cho trẻ đó.</w:t>
      </w:r>
    </w:p>
    <w:p w14:paraId="2CA4ED34" w14:textId="77777777" w:rsidR="00960460" w:rsidRDefault="00960460">
      <w:pPr>
        <w:jc w:val="both"/>
        <w:rPr>
          <w:rFonts w:ascii="Avenir Next LT Pro" w:eastAsia="Avenir Next LT Pro" w:hAnsi="Avenir Next LT Pro"/>
          <w:sz w:val="24"/>
        </w:rPr>
      </w:pPr>
    </w:p>
    <w:p w14:paraId="2357D324" w14:textId="192E23F9" w:rsidR="00960460" w:rsidRDefault="004E6BAE">
      <w:pPr>
        <w:pStyle w:val="P68B1DB1-Normal15"/>
        <w:jc w:val="both"/>
      </w:pPr>
      <w:r>
        <w:t>Đối với các trẻ là đối tượng được Nhà nước bảo hộ hoặc được đưa vào hệ thống chăm sóc, Cơ quan Chủ trì phải phối hợp với tổ chức công được giao trách nhiệm chăm sóc trẻ. Trong trường hợp trẻ là đối tượng được Nhà nước bảo hộ, đại diện phụ huynh, thay vì được Cơ quan Chủ trì chỉ định, có thể được chỉ định bởi thẩm phán phụ trách vụ việc của trẻ sơ sinh hoặc trẻ nhỏ, với điều kiện rằng đại diện phụ huynh đó:</w:t>
      </w:r>
    </w:p>
    <w:p w14:paraId="7B4BC731" w14:textId="5C53E3AF" w:rsidR="00960460" w:rsidRDefault="004E6BAE">
      <w:pPr>
        <w:pStyle w:val="P68B1DB1-ListParagraph8"/>
        <w:numPr>
          <w:ilvl w:val="0"/>
          <w:numId w:val="11"/>
        </w:numPr>
        <w:jc w:val="both"/>
      </w:pPr>
      <w:r>
        <w:t>không phải là nhân viên của Cơ quan Chủ trì hoặc bất kỳ tổ chức công nào khác hoặc của nhà cung cấp EIS đang cung cấp các dịch vụ can thiệp sớm, giáo dục, chăm sóc hoặc các dịch vụ khác cho trẻ hoặc cho bất kỳ thành viên nào trong gia đình trẻ</w:t>
      </w:r>
    </w:p>
    <w:p w14:paraId="2525AF12" w14:textId="77777777" w:rsidR="00960460" w:rsidRDefault="004E6BAE">
      <w:pPr>
        <w:pStyle w:val="P68B1DB1-ListParagraph8"/>
        <w:numPr>
          <w:ilvl w:val="0"/>
          <w:numId w:val="11"/>
        </w:numPr>
        <w:jc w:val="both"/>
      </w:pPr>
      <w:r>
        <w:t>không có lợi ích cá nhân hoặc nghề nghiệp xung đột với lợi ích của trẻ mà người đó đại diện</w:t>
      </w:r>
    </w:p>
    <w:p w14:paraId="46C0DE0E" w14:textId="7D253F5C" w:rsidR="00960460" w:rsidRDefault="004E6BAE">
      <w:pPr>
        <w:pStyle w:val="P68B1DB1-ListParagraph8"/>
        <w:numPr>
          <w:ilvl w:val="0"/>
          <w:numId w:val="11"/>
        </w:numPr>
        <w:jc w:val="both"/>
      </w:pPr>
      <w:r>
        <w:t>có kiến thức và kỹ năng bảo đảm việc đại diện đầy đủ và phù hợp cho trẻ</w:t>
      </w:r>
    </w:p>
    <w:p w14:paraId="577F00DF" w14:textId="77777777" w:rsidR="00960460" w:rsidRDefault="00960460">
      <w:pPr>
        <w:jc w:val="both"/>
        <w:rPr>
          <w:rFonts w:ascii="Avenir Next LT Pro" w:eastAsia="Avenir Next LT Pro" w:hAnsi="Avenir Next LT Pro" w:cs="Avenir Next LT Pro"/>
          <w:sz w:val="24"/>
        </w:rPr>
      </w:pPr>
    </w:p>
    <w:p w14:paraId="44829C36" w14:textId="39B214FF" w:rsidR="00960460" w:rsidRDefault="004E6BAE">
      <w:pPr>
        <w:pStyle w:val="P68B1DB1-Normal2"/>
        <w:jc w:val="both"/>
      </w:pPr>
      <w:r>
        <w:t>Một cá nhân đủ điều kiện để làm đại diện phụ huynh không được xem là nhân viên của cơ quan chỉ vì cá nhân đó được cơ quan trả thù lao để thực hiện vai trò đại diện phụ huynh. Đại diện phụ huynh có các quyền tương tự như quyền của phụ huynh cho mọi mục đích theo IDEA Phần C. Cơ quan Chủ trì phải thực hiện các nỗ lực hợp lý để đảm bảo việc chỉ định đại diện phụ huynh không muộn hơn 30 ngày kể từ ngày tổ chức công xác định rằng trẻ cần có đại diện phụ huynh.</w:t>
      </w:r>
    </w:p>
    <w:p w14:paraId="4263785E" w14:textId="77777777" w:rsidR="00960460" w:rsidRDefault="00960460">
      <w:pPr>
        <w:jc w:val="both"/>
        <w:rPr>
          <w:rFonts w:ascii="Avenir Next LT Pro" w:eastAsia="Avenir Next LT Pro" w:hAnsi="Avenir Next LT Pro" w:cs="Avenir Next LT Pro"/>
          <w:sz w:val="24"/>
        </w:rPr>
      </w:pPr>
    </w:p>
    <w:p w14:paraId="61AF9C41" w14:textId="77777777" w:rsidR="00960460" w:rsidRDefault="004E6BAE">
      <w:pPr>
        <w:pStyle w:val="P68B1DB1-Heading13"/>
        <w:spacing w:before="0"/>
        <w:jc w:val="both"/>
        <w:rPr>
          <w:b/>
        </w:rPr>
      </w:pPr>
      <w:r>
        <w:rPr>
          <w:b/>
        </w:rPr>
        <w:t xml:space="preserve">Các phương án giải quyết tranh chấp ở Massachusetts </w:t>
      </w:r>
      <w:r>
        <w:t>(§303.430)</w:t>
      </w:r>
    </w:p>
    <w:p w14:paraId="4EC45F47" w14:textId="75E08A5D" w:rsidR="00960460" w:rsidRDefault="004E6BAE">
      <w:pPr>
        <w:pStyle w:val="P68B1DB1-Normal2"/>
        <w:jc w:val="both"/>
      </w:pPr>
      <w:r>
        <w:rPr>
          <w:color w:val="0E101A"/>
        </w:rPr>
        <w:t>Bộ phận Can thiệp Sớm cung cấp các phương án giải quyết tranh chấp và bao gồm các thủ tục bằng văn bản nhằm giải quyết khiếu nại hành chính kịp thời thông qua hòa giải, khiếu nại cấp Tiểu bang</w:t>
      </w:r>
      <w:r>
        <w:t xml:space="preserve">, và trần theo thủ tục tố tụng. </w:t>
      </w:r>
    </w:p>
    <w:p w14:paraId="224BBEC7" w14:textId="77777777" w:rsidR="00960460" w:rsidRDefault="004E6BAE">
      <w:pPr>
        <w:pStyle w:val="ListParagraph"/>
        <w:numPr>
          <w:ilvl w:val="0"/>
          <w:numId w:val="23"/>
        </w:numPr>
        <w:jc w:val="both"/>
        <w:rPr>
          <w:rFonts w:ascii="Avenir Next LT Pro" w:eastAsia="Avenir Next LT Pro" w:hAnsi="Avenir Next LT Pro" w:cs="Avenir Next LT Pro"/>
          <w:sz w:val="24"/>
        </w:rPr>
      </w:pPr>
      <w:r>
        <w:rPr>
          <w:rFonts w:ascii="Avenir Next LT Pro" w:eastAsia="Avenir Next LT Pro" w:hAnsi="Avenir Next LT Pro" w:cs="Avenir Next LT Pro"/>
          <w:sz w:val="24"/>
        </w:rPr>
        <w:t xml:space="preserve">Hòa giải được cung cấp cho các bên trong các tranh chấp liên quan đến bất kỳ vấn đề nào theo IDEA Phần C, cơ hội hòa giải đáp ứng các yêu cầu tại </w:t>
      </w:r>
      <w:hyperlink r:id="rId69">
        <w:r w:rsidR="00960460">
          <w:rPr>
            <w:rStyle w:val="Hyperlink"/>
            <w:rFonts w:ascii="Avenir Next LT Pro" w:eastAsia="Avenir Next LT Pro" w:hAnsi="Avenir Next LT Pro" w:cs="Avenir Next LT Pro"/>
            <w:color w:val="auto"/>
            <w:sz w:val="24"/>
          </w:rPr>
          <w:t>§ 303.431</w:t>
        </w:r>
      </w:hyperlink>
      <w:r>
        <w:rPr>
          <w:rFonts w:ascii="Avenir Next LT Pro" w:eastAsia="Avenir Next LT Pro" w:hAnsi="Avenir Next LT Pro" w:cs="Avenir Next LT Pro"/>
          <w:sz w:val="24"/>
        </w:rPr>
        <w:t xml:space="preserve">. </w:t>
      </w:r>
    </w:p>
    <w:p w14:paraId="65FBC082" w14:textId="07C3B497" w:rsidR="00960460" w:rsidRDefault="004E6BAE">
      <w:pPr>
        <w:pStyle w:val="ListParagraph"/>
        <w:numPr>
          <w:ilvl w:val="0"/>
          <w:numId w:val="23"/>
        </w:numPr>
        <w:jc w:val="both"/>
        <w:rPr>
          <w:rFonts w:ascii="Avenir Next LT Pro" w:eastAsia="Avenir Next LT Pro" w:hAnsi="Avenir Next LT Pro" w:cs="Avenir Next LT Pro"/>
          <w:sz w:val="24"/>
        </w:rPr>
      </w:pPr>
      <w:r>
        <w:rPr>
          <w:rFonts w:ascii="Avenir Next LT Pro" w:eastAsia="Avenir Next LT Pro" w:hAnsi="Avenir Next LT Pro" w:cs="Avenir Next LT Pro"/>
          <w:sz w:val="24"/>
        </w:rPr>
        <w:t xml:space="preserve">Thủ tục Khiếu nại Hành chính Chính thức (Khiếu nại cấp Tiểu bang) giải quyết các khiếu nại được nộp bởi bất kỳ bên nào liên quan đến bất kỳ hành vi vi phạm IDEA Phần C hoặc các tiêu chuẩn hoạt động của Tiểu bang, phù hợp với các yêu cầu tại </w:t>
      </w:r>
      <w:hyperlink r:id="rId70">
        <w:r w:rsidR="00960460">
          <w:rPr>
            <w:rStyle w:val="Hyperlink"/>
            <w:rFonts w:ascii="Avenir Next LT Pro" w:eastAsia="Avenir Next LT Pro" w:hAnsi="Avenir Next LT Pro" w:cs="Avenir Next LT Pro"/>
            <w:color w:val="auto"/>
            <w:sz w:val="24"/>
          </w:rPr>
          <w:t>§§ 303.432</w:t>
        </w:r>
      </w:hyperlink>
      <w:r>
        <w:rPr>
          <w:rFonts w:ascii="Avenir Next LT Pro" w:eastAsia="Avenir Next LT Pro" w:hAnsi="Avenir Next LT Pro" w:cs="Avenir Next LT Pro"/>
          <w:sz w:val="24"/>
        </w:rPr>
        <w:t xml:space="preserve"> đến </w:t>
      </w:r>
      <w:hyperlink r:id="rId71">
        <w:r w:rsidR="00960460">
          <w:rPr>
            <w:rStyle w:val="Hyperlink"/>
            <w:rFonts w:ascii="Avenir Next LT Pro" w:eastAsia="Avenir Next LT Pro" w:hAnsi="Avenir Next LT Pro" w:cs="Avenir Next LT Pro"/>
            <w:color w:val="auto"/>
            <w:sz w:val="24"/>
          </w:rPr>
          <w:t>303.434</w:t>
        </w:r>
      </w:hyperlink>
      <w:r>
        <w:rPr>
          <w:rFonts w:ascii="Avenir Next LT Pro" w:eastAsia="Avenir Next LT Pro" w:hAnsi="Avenir Next LT Pro" w:cs="Avenir Next LT Pro"/>
          <w:sz w:val="24"/>
        </w:rPr>
        <w:t xml:space="preserve">. </w:t>
      </w:r>
    </w:p>
    <w:p w14:paraId="00207851" w14:textId="7A3D6CB2" w:rsidR="00960460" w:rsidRDefault="004E6BAE">
      <w:pPr>
        <w:pStyle w:val="ListParagraph"/>
        <w:numPr>
          <w:ilvl w:val="0"/>
          <w:numId w:val="23"/>
        </w:numPr>
        <w:jc w:val="both"/>
        <w:rPr>
          <w:rFonts w:ascii="Avenir Next LT Pro" w:eastAsia="Avenir Next LT Pro" w:hAnsi="Avenir Next LT Pro" w:cs="Avenir Next LT Pro"/>
          <w:sz w:val="24"/>
        </w:rPr>
      </w:pPr>
      <w:r>
        <w:rPr>
          <w:rFonts w:ascii="Avenir Next LT Pro" w:eastAsia="Avenir Next LT Pro" w:hAnsi="Avenir Next LT Pro" w:cs="Avenir Next LT Pro"/>
          <w:sz w:val="24"/>
        </w:rPr>
        <w:t xml:space="preserve">Phiên điều trần theo thủ tục tố tụng để giải quyết các khiếu nại liên quan đến một trẻ cụ thể về bất kỳ vấn đề nào được xác định tại </w:t>
      </w:r>
      <w:hyperlink r:id="rId72" w:anchor="p-303.421(a)">
        <w:r w:rsidR="00960460">
          <w:rPr>
            <w:rStyle w:val="Hyperlink"/>
            <w:rFonts w:ascii="Avenir Next LT Pro" w:eastAsia="Avenir Next LT Pro" w:hAnsi="Avenir Next LT Pro" w:cs="Avenir Next LT Pro"/>
            <w:color w:val="auto"/>
            <w:sz w:val="24"/>
          </w:rPr>
          <w:t>§303.421(a)</w:t>
        </w:r>
      </w:hyperlink>
      <w:r>
        <w:rPr>
          <w:rFonts w:ascii="Avenir Next LT Pro" w:eastAsia="Avenir Next LT Pro" w:hAnsi="Avenir Next LT Pro" w:cs="Avenir Next LT Pro"/>
          <w:sz w:val="24"/>
        </w:rPr>
        <w:t xml:space="preserve">, thông qua việc áp dụng các thủ tục điều trần theo IDEA Phần C tại </w:t>
      </w:r>
      <w:hyperlink r:id="rId73">
        <w:r w:rsidR="00960460">
          <w:rPr>
            <w:rStyle w:val="Hyperlink"/>
            <w:rFonts w:ascii="Avenir Next LT Pro" w:eastAsia="Avenir Next LT Pro" w:hAnsi="Avenir Next LT Pro" w:cs="Avenir Next LT Pro"/>
            <w:color w:val="auto"/>
            <w:sz w:val="24"/>
          </w:rPr>
          <w:t>§§303.435</w:t>
        </w:r>
      </w:hyperlink>
      <w:r>
        <w:rPr>
          <w:rFonts w:ascii="Avenir Next LT Pro" w:eastAsia="Avenir Next LT Pro" w:hAnsi="Avenir Next LT Pro" w:cs="Avenir Next LT Pro"/>
          <w:sz w:val="24"/>
        </w:rPr>
        <w:t xml:space="preserve"> đến </w:t>
      </w:r>
      <w:hyperlink r:id="rId74">
        <w:r w:rsidR="00960460">
          <w:rPr>
            <w:rStyle w:val="Hyperlink"/>
            <w:rFonts w:ascii="Avenir Next LT Pro" w:eastAsia="Avenir Next LT Pro" w:hAnsi="Avenir Next LT Pro" w:cs="Avenir Next LT Pro"/>
            <w:color w:val="auto"/>
            <w:sz w:val="24"/>
          </w:rPr>
          <w:t>303.438</w:t>
        </w:r>
      </w:hyperlink>
      <w:r>
        <w:rPr>
          <w:rFonts w:ascii="Avenir Next LT Pro" w:eastAsia="Avenir Next LT Pro" w:hAnsi="Avenir Next LT Pro" w:cs="Avenir Next LT Pro"/>
          <w:sz w:val="24"/>
        </w:rPr>
        <w:t xml:space="preserve">; và một phương thức nộp đơn khiếu nại theo thủ tục tố tụng đối với bất kỳ vấn đề nào được liệt kê tại </w:t>
      </w:r>
      <w:hyperlink r:id="rId75" w:anchor="p-303.421(a)">
        <w:r w:rsidR="00960460">
          <w:rPr>
            <w:rStyle w:val="Hyperlink"/>
            <w:rFonts w:ascii="Avenir Next LT Pro" w:eastAsia="Avenir Next LT Pro" w:hAnsi="Avenir Next LT Pro" w:cs="Avenir Next LT Pro"/>
            <w:color w:val="auto"/>
            <w:sz w:val="24"/>
          </w:rPr>
          <w:t>§303.421(a)</w:t>
        </w:r>
      </w:hyperlink>
    </w:p>
    <w:p w14:paraId="78B477D1" w14:textId="29D8E7D6" w:rsidR="00960460" w:rsidRDefault="00960460">
      <w:pPr>
        <w:pStyle w:val="ListParagraph"/>
        <w:ind w:firstLine="60"/>
        <w:jc w:val="both"/>
        <w:rPr>
          <w:rFonts w:ascii="Avenir Next LT Pro" w:eastAsia="Avenir Next LT Pro" w:hAnsi="Avenir Next LT Pro" w:cs="Avenir Next LT Pro"/>
          <w:sz w:val="24"/>
        </w:rPr>
      </w:pPr>
    </w:p>
    <w:p w14:paraId="04C82EEC" w14:textId="0744E02B" w:rsidR="00960460" w:rsidRDefault="004E6BAE">
      <w:pPr>
        <w:pStyle w:val="P68B1DB1-Normal2"/>
        <w:jc w:val="both"/>
        <w:rPr>
          <w:color w:val="0E101A"/>
        </w:rPr>
      </w:pPr>
      <w:r>
        <w:rPr>
          <w:color w:val="0E101A"/>
        </w:rPr>
        <w:t xml:space="preserve">Trong thời gian chờ giải quyết bất kỳ thủ tục nào liên quan đến một đơn khiếu nại theo thủ tục tố tụng, trừ khi Bộ phận Can thiệp Sớm và phụ huynh của trẻ sơ sinh hoặc trẻ nhỏ khuyết tật có thỏa thuận khác, trẻ phải tiếp tục được nhận các dịch vụ can thiệp sớm phù hợp tại môi trường được xác định trong IFSP và đã được phụ huynh đồng ý. Trong trường hợp đơn khiếu nại theo thủ tục tố tụng liên quan đến việc xin cung cấp dịch vụ ban đầu theo IDEA Phần C, trẻ phải được nhận những dịch vụ không nằm trong phạm vi tranh chấp. </w:t>
      </w:r>
      <w:r>
        <w:t>Các phương án này được cung cấp miễn phí cho các gia đình.</w:t>
      </w:r>
    </w:p>
    <w:p w14:paraId="0EBCBDC6" w14:textId="77777777" w:rsidR="00960460" w:rsidRDefault="00960460">
      <w:pPr>
        <w:jc w:val="both"/>
        <w:rPr>
          <w:rFonts w:ascii="Avenir Next LT Pro" w:eastAsia="Avenir Next LT Pro" w:hAnsi="Avenir Next LT Pro" w:cs="Avenir Next LT Pro"/>
          <w:sz w:val="24"/>
        </w:rPr>
      </w:pPr>
    </w:p>
    <w:p w14:paraId="79C90495" w14:textId="77777777" w:rsidR="00960460" w:rsidRDefault="004E6BAE">
      <w:pPr>
        <w:pStyle w:val="P68B1DB1-Heading13"/>
        <w:spacing w:before="0"/>
        <w:jc w:val="both"/>
      </w:pPr>
      <w:r>
        <w:rPr>
          <w:b/>
        </w:rPr>
        <w:t xml:space="preserve">Hòa giải </w:t>
      </w:r>
      <w:r>
        <w:t>(§303.431)</w:t>
      </w:r>
    </w:p>
    <w:p w14:paraId="2FC1B60D" w14:textId="4F431404" w:rsidR="00960460" w:rsidRDefault="004E6BAE">
      <w:pPr>
        <w:jc w:val="both"/>
        <w:rPr>
          <w:rFonts w:ascii="Avenir Next LT Pro" w:eastAsia="Avenir Next LT Pro" w:hAnsi="Avenir Next LT Pro" w:cs="Avenir Next LT Pro"/>
          <w:sz w:val="24"/>
        </w:rPr>
      </w:pPr>
      <w:r>
        <w:rPr>
          <w:rFonts w:ascii="Avenir Next LT Pro" w:eastAsia="Avenir Next LT Pro" w:hAnsi="Avenir Next LT Pro" w:cs="Avenir Next LT Pro"/>
          <w:color w:val="0E101A"/>
          <w:sz w:val="24"/>
        </w:rPr>
        <w:t xml:space="preserve">Bộ phận Can thiệp Sớm, với tư cách là Cơ quan Chủ trì cho Massachusetts Phần C, áp dụng các </w:t>
      </w:r>
      <w:r>
        <w:rPr>
          <w:rFonts w:ascii="Avenir Next LT Pro" w:eastAsia="Avenir Next LT Pro" w:hAnsi="Avenir Next LT Pro" w:cs="Avenir Next LT Pro"/>
          <w:sz w:val="24"/>
        </w:rPr>
        <w:t xml:space="preserve">thủ tục hòa giải theo 34 CFR 303.431 nhằm cho phép các bên giải quyết các tranh chấp liên quan đến bất kỳ vấn đề nào theo </w:t>
      </w:r>
      <w:hyperlink r:id="rId76">
        <w:r w:rsidR="00960460">
          <w:rPr>
            <w:rStyle w:val="Hyperlink"/>
            <w:rFonts w:ascii="Avenir Next LT Pro" w:eastAsia="Avenir Next LT Pro" w:hAnsi="Avenir Next LT Pro" w:cs="Avenir Next LT Pro"/>
            <w:color w:val="auto"/>
            <w:sz w:val="24"/>
          </w:rPr>
          <w:t>Phần C của Đạo luật Giáo dục Người khuyết tật (IDEA)</w:t>
        </w:r>
      </w:hyperlink>
      <w:r>
        <w:rPr>
          <w:rFonts w:ascii="Avenir Next LT Pro" w:eastAsia="Avenir Next LT Pro" w:hAnsi="Avenir Next LT Pro" w:cs="Avenir Next LT Pro"/>
          <w:sz w:val="24"/>
        </w:rPr>
        <w:t xml:space="preserve"> tại bất kỳ thời điểm nào, bao gồm cả trước khi nộp đơn khiếu nại theo thủ tục tố tụng.</w:t>
      </w:r>
    </w:p>
    <w:p w14:paraId="3571D62F" w14:textId="77777777" w:rsidR="00960460" w:rsidRDefault="004E6BAE">
      <w:pPr>
        <w:pStyle w:val="P68B1DB1-Normal2"/>
        <w:jc w:val="both"/>
      </w:pPr>
      <w:r>
        <w:t xml:space="preserve"> </w:t>
      </w:r>
    </w:p>
    <w:p w14:paraId="62BF2BAA" w14:textId="77777777" w:rsidR="00960460" w:rsidRDefault="004E6BAE">
      <w:pPr>
        <w:pStyle w:val="P68B1DB1-Normal2"/>
        <w:jc w:val="both"/>
      </w:pPr>
      <w:r>
        <w:t xml:space="preserve">Bộ phận Can thiệp Sớm tổ chức việc thực hiện hòa giải thông qua thỏa thuận liên cơ quan với Bộ phận Kháng cáo Luật Hành chính (DALA), Cục Giáo dục Đặc biệt (BSEA). Bộ phận Can thiệp Sớm vẫn giữ trách nhiệm trong việc đảm bảo rằng các hoạt động hòa giải được tiến hành phù hợp với Phần C của IDEA và 34 CFR 303.431. Việc sử dụng thỏa thuận liên cơ quan không chuyển giao thẩm quyền pháp lý của DPH, trách nhiệm về các biện pháp bảo vệ theo quy trình thủ tục, hoặc các mốc thời gian theo Phần C.  </w:t>
      </w:r>
    </w:p>
    <w:p w14:paraId="693F3D7C" w14:textId="77777777" w:rsidR="00960460" w:rsidRDefault="00960460">
      <w:pPr>
        <w:jc w:val="both"/>
        <w:rPr>
          <w:rFonts w:ascii="Avenir Next LT Pro" w:eastAsia="Avenir Next LT Pro" w:hAnsi="Avenir Next LT Pro" w:cs="Avenir Next LT Pro"/>
          <w:sz w:val="24"/>
        </w:rPr>
      </w:pPr>
    </w:p>
    <w:p w14:paraId="74421955" w14:textId="5AFAF96A" w:rsidR="00960460" w:rsidRDefault="004E6BAE">
      <w:pPr>
        <w:pStyle w:val="P68B1DB1-Normal16"/>
        <w:jc w:val="both"/>
      </w:pPr>
      <w:r>
        <w:t>Các thủ tục này đảm bảo rằng quy trình hòa giải</w:t>
      </w:r>
    </w:p>
    <w:p w14:paraId="26D2C9C4" w14:textId="77777777" w:rsidR="00960460" w:rsidRDefault="004E6BAE">
      <w:pPr>
        <w:pStyle w:val="P68B1DB1-ListParagraph17"/>
        <w:numPr>
          <w:ilvl w:val="0"/>
          <w:numId w:val="12"/>
        </w:numPr>
        <w:jc w:val="both"/>
      </w:pPr>
      <w:r>
        <w:t>được thực hiện trên cơ sở tự nguyện của các bên;</w:t>
      </w:r>
    </w:p>
    <w:p w14:paraId="7F932FA7" w14:textId="77777777" w:rsidR="00960460" w:rsidRDefault="004E6BAE">
      <w:pPr>
        <w:pStyle w:val="P68B1DB1-ListParagraph17"/>
        <w:numPr>
          <w:ilvl w:val="0"/>
          <w:numId w:val="12"/>
        </w:numPr>
        <w:jc w:val="both"/>
      </w:pPr>
      <w:r>
        <w:lastRenderedPageBreak/>
        <w:t>không được sử dụng để từ chối hoặc trì hoãn quyền của phụ huynh trong việc yêu cầu một phiên điều trần theo thủ tục tố tụng, hoặc để từ chối bất kỳ quyền nào khác được bảo đảm theo IDEA Phần C</w:t>
      </w:r>
    </w:p>
    <w:p w14:paraId="4C981680" w14:textId="77777777" w:rsidR="00960460" w:rsidRDefault="004E6BAE">
      <w:pPr>
        <w:pStyle w:val="P68B1DB1-ListParagraph17"/>
        <w:numPr>
          <w:ilvl w:val="0"/>
          <w:numId w:val="12"/>
        </w:numPr>
        <w:jc w:val="both"/>
      </w:pPr>
      <w:r>
        <w:t>được tiến hành bởi một hòa giải viên đủ điều kiện và khách quan, được đào tạo về các kỹ thuật hòa giải hiệu quả</w:t>
      </w:r>
    </w:p>
    <w:p w14:paraId="01A3F7A8" w14:textId="77777777" w:rsidR="00960460" w:rsidRDefault="00960460">
      <w:pPr>
        <w:jc w:val="both"/>
        <w:rPr>
          <w:rFonts w:ascii="Avenir Next LT Pro" w:eastAsia="Avenir Next LT Pro" w:hAnsi="Avenir Next LT Pro" w:cs="Avenir Next LT Pro"/>
          <w:color w:val="0E101A"/>
          <w:sz w:val="24"/>
        </w:rPr>
      </w:pPr>
    </w:p>
    <w:p w14:paraId="0A60A2A1" w14:textId="28518D78" w:rsidR="00960460" w:rsidRDefault="004E6BAE">
      <w:pPr>
        <w:pStyle w:val="P68B1DB1-Normal16"/>
        <w:jc w:val="both"/>
      </w:pPr>
      <w:r>
        <w:t xml:space="preserve">Bộ phận Can thiệp Sớm </w:t>
      </w:r>
    </w:p>
    <w:p w14:paraId="384BAF9D" w14:textId="77777777" w:rsidR="00960460" w:rsidRDefault="004E6BAE">
      <w:pPr>
        <w:pStyle w:val="P68B1DB1-ListParagraph17"/>
        <w:numPr>
          <w:ilvl w:val="0"/>
          <w:numId w:val="13"/>
        </w:numPr>
        <w:jc w:val="both"/>
      </w:pPr>
      <w:r>
        <w:t>duy trì danh sách các cá nhân đủ điều kiện làm hòa giải viên và có hiểu biết về các luật và quy định liên quan đến việc cung cấp dịch vụ can thiệp sớm</w:t>
      </w:r>
    </w:p>
    <w:p w14:paraId="4A9CF70F" w14:textId="77777777" w:rsidR="00960460" w:rsidRDefault="004E6BAE">
      <w:pPr>
        <w:pStyle w:val="P68B1DB1-ListParagraph17"/>
        <w:numPr>
          <w:ilvl w:val="0"/>
          <w:numId w:val="13"/>
        </w:numPr>
        <w:jc w:val="both"/>
      </w:pPr>
      <w:r>
        <w:t>đảm bảo các hòa giải viên được lựa chọn trên cơ sở ngẫu nhiên, luân phiên hoặc bằng các phương thức khách quan khác</w:t>
      </w:r>
    </w:p>
    <w:p w14:paraId="02BED484" w14:textId="77777777" w:rsidR="00960460" w:rsidRDefault="004E6BAE">
      <w:pPr>
        <w:pStyle w:val="P68B1DB1-ListParagraph17"/>
        <w:numPr>
          <w:ilvl w:val="0"/>
          <w:numId w:val="13"/>
        </w:numPr>
        <w:jc w:val="both"/>
      </w:pPr>
      <w:r>
        <w:t>chịu toàn bộ chi phí của hoạt động hòa giải</w:t>
      </w:r>
    </w:p>
    <w:p w14:paraId="6DEB8C2A" w14:textId="77777777" w:rsidR="00960460" w:rsidRDefault="004E6BAE">
      <w:pPr>
        <w:pStyle w:val="P68B1DB1-ListParagraph17"/>
        <w:numPr>
          <w:ilvl w:val="0"/>
          <w:numId w:val="13"/>
        </w:numPr>
        <w:jc w:val="both"/>
      </w:pPr>
      <w:r>
        <w:t>đảm bảo rằng mỗi phiên hòa giải được lên lịch kịp thời và được tổ chức tại địa điểm thuận tiện cho các bên tham gia tranh chấp</w:t>
      </w:r>
    </w:p>
    <w:p w14:paraId="006D1AA7" w14:textId="77777777" w:rsidR="00960460" w:rsidRDefault="00960460">
      <w:pPr>
        <w:jc w:val="both"/>
        <w:rPr>
          <w:rFonts w:ascii="Avenir Next LT Pro" w:eastAsia="Avenir Next LT Pro" w:hAnsi="Avenir Next LT Pro" w:cs="Avenir Next LT Pro"/>
          <w:color w:val="0E101A"/>
          <w:sz w:val="24"/>
        </w:rPr>
      </w:pPr>
    </w:p>
    <w:p w14:paraId="26231019" w14:textId="03408B20" w:rsidR="00960460" w:rsidRDefault="004E6BAE">
      <w:pPr>
        <w:pStyle w:val="P68B1DB1-Normal16"/>
        <w:jc w:val="both"/>
      </w:pPr>
      <w:r>
        <w:t>Nếu các bên giải quyết được tranh chấp thông qua quy trình hòa giải, các bên phải ký kết một thỏa thuận có giá trị pháp lý ràng buộc, trong đó nêu rõ nội dung giải quyết và xác nhận rằng tất cả các trao đổi diễn ra trong quá trình hòa giải đều được bảo mật và không được sử dụng làm chứng cứ trong bất kỳ phiên điều trần theo thủ tục tố tụng hoặc thủ tục tố tụng dân sự nào sau này. Thỏa thuận này phải được ký bởi phụ huynh và đại diện của Cơ quan Chủ trì có thẩm quyền ràng buộc cơ quan đó</w:t>
      </w:r>
      <w:r w:rsidR="006027C2">
        <w:t>.</w:t>
      </w:r>
    </w:p>
    <w:p w14:paraId="2A2D4E79" w14:textId="77777777" w:rsidR="00960460" w:rsidRDefault="00960460">
      <w:pPr>
        <w:jc w:val="both"/>
        <w:rPr>
          <w:rFonts w:ascii="Avenir Next LT Pro" w:eastAsia="Avenir Next LT Pro" w:hAnsi="Avenir Next LT Pro" w:cs="Avenir Next LT Pro"/>
          <w:color w:val="0E101A"/>
          <w:sz w:val="24"/>
        </w:rPr>
      </w:pPr>
    </w:p>
    <w:p w14:paraId="6454F21D" w14:textId="011DF366" w:rsidR="00960460" w:rsidRDefault="004E6BAE">
      <w:pPr>
        <w:pStyle w:val="P68B1DB1-Normal16"/>
        <w:jc w:val="both"/>
      </w:pPr>
      <w:r>
        <w:t>Một thỏa thuận hòa giải bằng văn bản và đã ký có thể được thi hành tại bất kỳ tòa án Tiểu bang có thẩm quyền hoặc Tòa Án Liên Bang Hoa Kỳ. Các trao đổi diễn ra trong quá trình hòa giải phải được bảo mật và không được sử dụng làm chứng cứ trong bất kỳ phiên điều trần theo thủ tục tố tụng hoặc thủ tục tố tụng dân sự nào tại bất kỳ tòa án Liên bang hoặc Tiểu bang nào nhận hỗ trợ theo Phần này. Một cá nhân đảm nhiệm vai trò hòa giải viên theo Phần này phải là người khách quan.  Điều này có nghĩa là họ không được</w:t>
      </w:r>
    </w:p>
    <w:p w14:paraId="29D92584" w14:textId="5AA33E13" w:rsidR="00960460" w:rsidRDefault="004E6BAE">
      <w:pPr>
        <w:pStyle w:val="P68B1DB1-ListParagraph17"/>
        <w:numPr>
          <w:ilvl w:val="0"/>
          <w:numId w:val="14"/>
        </w:numPr>
        <w:jc w:val="both"/>
      </w:pPr>
      <w:r>
        <w:t>là nhân viên của Bộ phận Can thiệp Sớm hoặc của nhà cung cấp EIS có liên quan đến việc cung cấp dịch vụ can thiệp sớm hoặc các dịch vụ khác cho trẻ</w:t>
      </w:r>
    </w:p>
    <w:p w14:paraId="0A8110C6" w14:textId="77777777" w:rsidR="00960460" w:rsidRDefault="004E6BAE">
      <w:pPr>
        <w:pStyle w:val="P68B1DB1-ListParagraph17"/>
        <w:numPr>
          <w:ilvl w:val="0"/>
          <w:numId w:val="14"/>
        </w:numPr>
        <w:jc w:val="both"/>
      </w:pPr>
      <w:r>
        <w:t>có lợi ích cá nhân hoặc nghề nghiệp gây mâu thuẫn với tính khách quan của mình</w:t>
      </w:r>
    </w:p>
    <w:p w14:paraId="3B140237" w14:textId="17F67024" w:rsidR="00960460" w:rsidRDefault="004E6BAE">
      <w:pPr>
        <w:pStyle w:val="P68B1DB1-ListParagraph17"/>
        <w:numPr>
          <w:ilvl w:val="0"/>
          <w:numId w:val="14"/>
        </w:numPr>
        <w:jc w:val="both"/>
      </w:pPr>
      <w:r>
        <w:t>được xem là nhân viên của Cơ quan Chủ trì hoặc của nhà cung cấp dịch vụ can thiệp sớm chỉ vì họ được cơ quan hoặc nhà cung cấp đó chi trả thù lao để thực hiện vai trò hòa giải viên</w:t>
      </w:r>
    </w:p>
    <w:p w14:paraId="5518E780" w14:textId="10CF9FA3" w:rsidR="00960460" w:rsidRDefault="004E6BAE">
      <w:pPr>
        <w:pStyle w:val="P68B1DB1-Heading13"/>
        <w:jc w:val="both"/>
        <w:rPr>
          <w:b/>
        </w:rPr>
      </w:pPr>
      <w:r>
        <w:rPr>
          <w:b/>
        </w:rPr>
        <w:t xml:space="preserve">Thông qua Thủ tục Khiếu nại cấp Tiểu bang </w:t>
      </w:r>
      <w:r>
        <w:t>(§ 303.432)</w:t>
      </w:r>
    </w:p>
    <w:p w14:paraId="6ED5479A" w14:textId="741EE27A" w:rsidR="00960460" w:rsidRDefault="004E6BAE">
      <w:pPr>
        <w:pStyle w:val="P68B1DB1-Normal2"/>
        <w:jc w:val="both"/>
      </w:pPr>
      <w:r>
        <w:rPr>
          <w:color w:val="0E101A"/>
        </w:rPr>
        <w:t>Bộ phận Can thiệp Sớm, với tư cách là Cơ quan chủ trì cho Massachusetts Phần C</w:t>
      </w:r>
      <w:r>
        <w:t xml:space="preserve"> thông qua các thủ tục bằng văn bản nhằm</w:t>
      </w:r>
    </w:p>
    <w:p w14:paraId="65B6C9EC" w14:textId="4908BA06" w:rsidR="00960460" w:rsidRDefault="004E6BAE">
      <w:pPr>
        <w:pStyle w:val="ListParagraph"/>
        <w:numPr>
          <w:ilvl w:val="0"/>
          <w:numId w:val="15"/>
        </w:numPr>
        <w:jc w:val="both"/>
        <w:rPr>
          <w:rFonts w:ascii="Avenir Next LT Pro" w:eastAsia="Avenir Next LT Pro" w:hAnsi="Avenir Next LT Pro" w:cs="Avenir Next LT Pro"/>
          <w:sz w:val="24"/>
        </w:rPr>
      </w:pPr>
      <w:r>
        <w:rPr>
          <w:rFonts w:ascii="Avenir Next LT Pro" w:eastAsia="Avenir Next LT Pro" w:hAnsi="Avenir Next LT Pro" w:cs="Avenir Next LT Pro"/>
          <w:sz w:val="24"/>
        </w:rPr>
        <w:t xml:space="preserve">giải quyết bất kỳ khiếu nại nào, bao gồm cả khiếu nại do một tổ chức hoặc cá nhân từ một Tiểu bang khác nộp, đáp ứng các yêu cầu tại </w:t>
      </w:r>
      <w:hyperlink r:id="rId77">
        <w:r w:rsidR="00960460">
          <w:rPr>
            <w:rStyle w:val="Hyperlink"/>
            <w:rFonts w:ascii="Avenir Next LT Pro" w:eastAsia="Avenir Next LT Pro" w:hAnsi="Avenir Next LT Pro" w:cs="Avenir Next LT Pro"/>
            <w:color w:val="auto"/>
            <w:sz w:val="24"/>
          </w:rPr>
          <w:t>§ 303.434</w:t>
        </w:r>
      </w:hyperlink>
      <w:r>
        <w:rPr>
          <w:rFonts w:ascii="Avenir Next LT Pro" w:eastAsia="Avenir Next LT Pro" w:hAnsi="Avenir Next LT Pro" w:cs="Avenir Next LT Pro"/>
          <w:sz w:val="24"/>
        </w:rPr>
        <w:t xml:space="preserve"> thông qua việc cho phép nộp đơn khiếu nại lên Bộ phận Can thiệp Sớm</w:t>
      </w:r>
    </w:p>
    <w:p w14:paraId="4E81885B" w14:textId="5E25F6D5" w:rsidR="00960460" w:rsidRDefault="004E6BAE">
      <w:pPr>
        <w:pStyle w:val="ListParagraph"/>
        <w:numPr>
          <w:ilvl w:val="0"/>
          <w:numId w:val="15"/>
        </w:numPr>
        <w:spacing w:before="240" w:after="240"/>
        <w:jc w:val="both"/>
        <w:rPr>
          <w:rFonts w:ascii="Avenir Next LT Pro" w:eastAsia="Avenir Next LT Pro" w:hAnsi="Avenir Next LT Pro" w:cs="Avenir Next LT Pro"/>
          <w:sz w:val="24"/>
        </w:rPr>
      </w:pPr>
      <w:r>
        <w:rPr>
          <w:rFonts w:ascii="Avenir Next LT Pro" w:eastAsia="Avenir Next LT Pro" w:hAnsi="Avenir Next LT Pro" w:cs="Avenir Next LT Pro"/>
          <w:sz w:val="24"/>
        </w:rPr>
        <w:lastRenderedPageBreak/>
        <w:t xml:space="preserve">phổ biến rộng rãi cho phụ huynh và các cá nhân quan tâm khác, bao gồm các trung tâm đào tạo và cung cấp thông tin cho phụ huynh, các cơ quan Bảo vệ và Vận động (P&amp;A), và các tổ chức phù hợp khác, các thủ tục theo </w:t>
      </w:r>
      <w:hyperlink r:id="rId78">
        <w:r w:rsidR="00960460">
          <w:rPr>
            <w:rStyle w:val="Hyperlink"/>
            <w:rFonts w:ascii="Avenir Next LT Pro" w:eastAsia="Avenir Next LT Pro" w:hAnsi="Avenir Next LT Pro" w:cs="Avenir Next LT Pro"/>
            <w:color w:val="auto"/>
            <w:sz w:val="24"/>
          </w:rPr>
          <w:t>§§ 303.432</w:t>
        </w:r>
      </w:hyperlink>
      <w:r>
        <w:rPr>
          <w:rFonts w:ascii="Avenir Next LT Pro" w:eastAsia="Avenir Next LT Pro" w:hAnsi="Avenir Next LT Pro" w:cs="Avenir Next LT Pro"/>
          <w:sz w:val="24"/>
        </w:rPr>
        <w:t xml:space="preserve"> đến </w:t>
      </w:r>
      <w:hyperlink r:id="rId79">
        <w:r w:rsidR="00960460">
          <w:rPr>
            <w:rStyle w:val="Hyperlink"/>
            <w:rFonts w:ascii="Avenir Next LT Pro" w:eastAsia="Avenir Next LT Pro" w:hAnsi="Avenir Next LT Pro" w:cs="Avenir Next LT Pro"/>
            <w:color w:val="auto"/>
            <w:sz w:val="24"/>
          </w:rPr>
          <w:t>303.434</w:t>
        </w:r>
      </w:hyperlink>
      <w:r>
        <w:rPr>
          <w:rFonts w:ascii="Avenir Next LT Pro" w:eastAsia="Avenir Next LT Pro" w:hAnsi="Avenir Next LT Pro" w:cs="Avenir Next LT Pro"/>
          <w:sz w:val="24"/>
        </w:rPr>
        <w:t>.</w:t>
      </w:r>
    </w:p>
    <w:p w14:paraId="6B323AFF" w14:textId="65EBD71D" w:rsidR="00960460" w:rsidRDefault="004E6BAE">
      <w:pPr>
        <w:pStyle w:val="P68B1DB1-Normal2"/>
        <w:spacing w:before="240" w:after="240"/>
        <w:jc w:val="both"/>
      </w:pPr>
      <w:r>
        <w:t>Khi giải quyết một khiếu nại mà trong đó Bộ phận Can thiệp Sớm xác định có sự thất bại trong việc cung cấp các dịch vụ phù hợp, Bộ phận Can thiệp Sớm, theo thẩm quyền giám sát chung của mình theo IDEA Phần C, phải xử lý việc không cung cấp dịch vụ phù hợp đó, bao gồm các biện pháp khắc phục phù hợp để đáp ứng nhu cầu của trẻ sơ sinh hoặc trẻ nhỏ khuyết tật là đối tượng của khiếu nại và gia đình của trẻ đó (chẳng hạn như bồi thường dịch vụ hoặc hoàn trả chi phí bằng tiền), cũng như việc cung cấp dịch vụ một cách phù hợp trong tương lai cho tất cả trẻ sơ sinh và trẻ nhỏ khuyết tật cùng gia đình của họ.</w:t>
      </w:r>
    </w:p>
    <w:p w14:paraId="48453C6D" w14:textId="3B281493" w:rsidR="00960460" w:rsidRDefault="004E6BAE">
      <w:pPr>
        <w:pStyle w:val="P68B1DB1-Heading13"/>
        <w:jc w:val="both"/>
        <w:rPr>
          <w:b/>
        </w:rPr>
      </w:pPr>
      <w:r>
        <w:rPr>
          <w:b/>
        </w:rPr>
        <w:t xml:space="preserve">Thủ tục Khiếu nại Tối thiểu cấp Tiểu bang </w:t>
      </w:r>
      <w:r>
        <w:t>(§ 303.433)</w:t>
      </w:r>
    </w:p>
    <w:p w14:paraId="624B35C5" w14:textId="2DF4A6B5" w:rsidR="00960460" w:rsidRDefault="004E6BAE">
      <w:pPr>
        <w:jc w:val="both"/>
        <w:rPr>
          <w:rFonts w:ascii="Avenir Next LT Pro" w:eastAsia="Avenir Next LT Pro" w:hAnsi="Avenir Next LT Pro" w:cs="Avenir Next LT Pro"/>
          <w:sz w:val="24"/>
        </w:rPr>
      </w:pPr>
      <w:r>
        <w:rPr>
          <w:rFonts w:ascii="Avenir Next LT Pro" w:eastAsia="Avenir Next LT Pro" w:hAnsi="Avenir Next LT Pro" w:cs="Avenir Next LT Pro"/>
          <w:sz w:val="24"/>
        </w:rPr>
        <w:t xml:space="preserve">Mỗi Cơ quan Chủ trì phải đưa vào quy trình thủ tục khiếu nại cthời hạn 60 ngày kể từ ngày một khiếu nại được nộp theo </w:t>
      </w:r>
      <w:hyperlink r:id="rId80">
        <w:r w:rsidR="00960460">
          <w:rPr>
            <w:rStyle w:val="Hyperlink"/>
            <w:rFonts w:ascii="Avenir Next LT Pro" w:eastAsia="Avenir Next LT Pro" w:hAnsi="Avenir Next LT Pro" w:cs="Avenir Next LT Pro"/>
            <w:color w:val="auto"/>
            <w:sz w:val="24"/>
          </w:rPr>
          <w:t>§ 303.434</w:t>
        </w:r>
      </w:hyperlink>
      <w:r>
        <w:rPr>
          <w:rFonts w:ascii="Avenir Next LT Pro" w:eastAsia="Avenir Next LT Pro" w:hAnsi="Avenir Next LT Pro" w:cs="Avenir Next LT Pro"/>
          <w:sz w:val="24"/>
        </w:rPr>
        <w:t xml:space="preserve"> để</w:t>
      </w:r>
    </w:p>
    <w:p w14:paraId="260ED8C0" w14:textId="75128616" w:rsidR="00960460" w:rsidRDefault="004E6BAE">
      <w:pPr>
        <w:pStyle w:val="P68B1DB1-ListParagraph8"/>
        <w:numPr>
          <w:ilvl w:val="0"/>
          <w:numId w:val="16"/>
        </w:numPr>
        <w:jc w:val="both"/>
      </w:pPr>
      <w:r>
        <w:t>tiến hành một cuộc điều tra độc lập tại chỗ, nếu Cơ quan Chủ trì xác định rằng việc điều tra là cần thiết</w:t>
      </w:r>
    </w:p>
    <w:p w14:paraId="11ACFA01" w14:textId="4B7BC418" w:rsidR="00960460" w:rsidRDefault="004E6BAE">
      <w:pPr>
        <w:pStyle w:val="P68B1DB1-ListParagraph8"/>
        <w:numPr>
          <w:ilvl w:val="0"/>
          <w:numId w:val="16"/>
        </w:numPr>
        <w:jc w:val="both"/>
      </w:pPr>
      <w:r>
        <w:t>tạo điều kiện cho người khiếu nại được cung cấp thêm thông tin, bằng lời nói hoặc bằng văn bản, liên quan đến các cáo buộc trong đơn khiếu nại</w:t>
      </w:r>
    </w:p>
    <w:p w14:paraId="202AF4C5" w14:textId="49B09A3F" w:rsidR="00960460" w:rsidRDefault="004E6BAE">
      <w:pPr>
        <w:pStyle w:val="P68B1DB1-ListParagraph8"/>
        <w:numPr>
          <w:ilvl w:val="0"/>
          <w:numId w:val="16"/>
        </w:numPr>
        <w:jc w:val="both"/>
      </w:pPr>
      <w:r>
        <w:t>tạo cơ hội cho Bộ phận Can thiệp Sớm, tổ chức công hoặc nhà cung cấp EIS được phản hồi về khiếu nại, bao gồm cả việc đề xuất phương án giải quyết khiếu nại</w:t>
      </w:r>
    </w:p>
    <w:p w14:paraId="394BE264" w14:textId="4B1D3706" w:rsidR="00960460" w:rsidRDefault="004E6BAE">
      <w:pPr>
        <w:pStyle w:val="ListParagraph"/>
        <w:numPr>
          <w:ilvl w:val="0"/>
          <w:numId w:val="16"/>
        </w:numPr>
        <w:jc w:val="both"/>
        <w:rPr>
          <w:rFonts w:ascii="Avenir Next LT Pro" w:eastAsia="Avenir Next LT Pro" w:hAnsi="Avenir Next LT Pro" w:cs="Avenir Next LT Pro"/>
          <w:sz w:val="24"/>
        </w:rPr>
      </w:pPr>
      <w:r>
        <w:rPr>
          <w:rFonts w:ascii="Avenir Next LT Pro" w:eastAsia="Avenir Next LT Pro" w:hAnsi="Avenir Next LT Pro" w:cs="Avenir Next LT Pro"/>
          <w:sz w:val="24"/>
        </w:rPr>
        <w:t xml:space="preserve">tạo cơ hội để phụ huynh đã nộp đơn khiếu nại và Bộ phận Can thiệp Sớm, tổ chức công, hoặc nhà cung cấp EIS tự nguyện tham gia hòa giải, phù hợp với </w:t>
      </w:r>
      <w:hyperlink r:id="rId81" w:anchor="p-303.430(b)">
        <w:r w:rsidR="00960460">
          <w:rPr>
            <w:rStyle w:val="Hyperlink"/>
            <w:rFonts w:ascii="Avenir Next LT Pro" w:eastAsia="Avenir Next LT Pro" w:hAnsi="Avenir Next LT Pro" w:cs="Avenir Next LT Pro"/>
            <w:color w:val="auto"/>
            <w:sz w:val="24"/>
          </w:rPr>
          <w:t>§§ 303.430 (b)</w:t>
        </w:r>
      </w:hyperlink>
      <w:r>
        <w:rPr>
          <w:rFonts w:ascii="Avenir Next LT Pro" w:eastAsia="Avenir Next LT Pro" w:hAnsi="Avenir Next LT Pro" w:cs="Avenir Next LT Pro"/>
          <w:sz w:val="24"/>
        </w:rPr>
        <w:t xml:space="preserve"> và </w:t>
      </w:r>
      <w:hyperlink r:id="rId82">
        <w:r w:rsidR="00960460">
          <w:rPr>
            <w:rStyle w:val="Hyperlink"/>
            <w:rFonts w:ascii="Avenir Next LT Pro" w:eastAsia="Avenir Next LT Pro" w:hAnsi="Avenir Next LT Pro" w:cs="Avenir Next LT Pro"/>
            <w:color w:val="auto"/>
            <w:sz w:val="24"/>
          </w:rPr>
          <w:t>303.431</w:t>
        </w:r>
      </w:hyperlink>
    </w:p>
    <w:p w14:paraId="079304EE" w14:textId="55BD7089" w:rsidR="00960460" w:rsidRDefault="004E6BAE">
      <w:pPr>
        <w:pStyle w:val="P68B1DB1-ListParagraph8"/>
        <w:numPr>
          <w:ilvl w:val="0"/>
          <w:numId w:val="16"/>
        </w:numPr>
        <w:jc w:val="both"/>
      </w:pPr>
      <w:r>
        <w:t>xem xét tất cả các thông tin liên quan và đưa ra quyết định độc lập về việc liệu Bộ phận Can thiệp Sớm, tổ chức công hoặc nhà cung cấp EIS có đang vi phạm yêu cầu của IDEA Phần C hoặc Tiêu chuẩn Hoạt động của Massachusetts hay không</w:t>
      </w:r>
    </w:p>
    <w:p w14:paraId="4D3C4C6B" w14:textId="6F561940" w:rsidR="00960460" w:rsidRDefault="004E6BAE">
      <w:pPr>
        <w:pStyle w:val="P68B1DB1-ListParagraph8"/>
        <w:numPr>
          <w:ilvl w:val="0"/>
          <w:numId w:val="16"/>
        </w:numPr>
        <w:jc w:val="both"/>
      </w:pPr>
      <w:r>
        <w:t>ban hành một quyết định bằng văn bản gửi cho người khiếu nại, trong đó giải quyết từng cáo buộc trong đơn khiếu nại và trình bày các phát hiện, kết luận; và lý do cho quyết định cuối cùng của Bộ phận Can thiệp Sớm.</w:t>
      </w:r>
    </w:p>
    <w:p w14:paraId="5794B4AE" w14:textId="77777777" w:rsidR="00960460" w:rsidRDefault="00960460">
      <w:pPr>
        <w:jc w:val="both"/>
        <w:rPr>
          <w:rFonts w:ascii="Avenir Next LT Pro" w:eastAsia="Avenir Next LT Pro" w:hAnsi="Avenir Next LT Pro" w:cs="Avenir Next LT Pro"/>
          <w:sz w:val="24"/>
        </w:rPr>
      </w:pPr>
    </w:p>
    <w:p w14:paraId="7E918C61" w14:textId="621D2D3A" w:rsidR="00960460" w:rsidRDefault="004E6BAE">
      <w:pPr>
        <w:pStyle w:val="P68B1DB1-Normal15"/>
        <w:jc w:val="both"/>
      </w:pPr>
      <w:r>
        <w:t>Các thủ tục của Bộ phận Can thiệp Sớm cũng phải cho phép gia hạn thời hạn nêu trên chỉ trong trường hợp có hoàn cảnh đặc biệt liên quan đến một khiếu nại cụ thể và khi phụ huynh (hoặc cá nhân hay tổ chức) và Bộ phận Can thiệp Sớm, tổ chức công hoặc nhà cung cấp EIS có liên quan đồng ý gia hạn thời gian để tham gia hòa giải</w:t>
      </w:r>
    </w:p>
    <w:p w14:paraId="4E7D06D4" w14:textId="77777777" w:rsidR="00960460" w:rsidRDefault="00960460">
      <w:pPr>
        <w:jc w:val="both"/>
        <w:rPr>
          <w:rFonts w:ascii="Avenir Next LT Pro" w:eastAsia="Avenir Next LT Pro" w:hAnsi="Avenir Next LT Pro" w:cs="Avenir Next LT Pro"/>
          <w:sz w:val="24"/>
        </w:rPr>
      </w:pPr>
    </w:p>
    <w:p w14:paraId="48181FCC" w14:textId="6CB00E1F" w:rsidR="00960460" w:rsidRDefault="004E6BAE">
      <w:pPr>
        <w:pStyle w:val="P68B1DB1-Normal2"/>
        <w:jc w:val="both"/>
      </w:pPr>
      <w:r>
        <w:t>Bộ phận Can thiệp Sớm phải đảm bảo có các thủ tục nhằm thực hiện hiệu quả quyết định cuối cùng của Cơ quan Chủ trì, khi cần, bao gồm</w:t>
      </w:r>
    </w:p>
    <w:p w14:paraId="6986F795" w14:textId="30A0683C" w:rsidR="00960460" w:rsidRDefault="004E6BAE">
      <w:pPr>
        <w:pStyle w:val="P68B1DB1-ListParagraph8"/>
        <w:numPr>
          <w:ilvl w:val="0"/>
          <w:numId w:val="17"/>
        </w:numPr>
        <w:jc w:val="both"/>
      </w:pPr>
      <w:r>
        <w:t>hoạt động hỗ trợ kỹ thuật</w:t>
      </w:r>
    </w:p>
    <w:p w14:paraId="2ACBB6BD" w14:textId="16B69837" w:rsidR="00960460" w:rsidRDefault="004E6BAE">
      <w:pPr>
        <w:pStyle w:val="P68B1DB1-ListParagraph8"/>
        <w:numPr>
          <w:ilvl w:val="0"/>
          <w:numId w:val="17"/>
        </w:numPr>
        <w:spacing w:before="240" w:after="240"/>
        <w:jc w:val="both"/>
      </w:pPr>
      <w:r>
        <w:t>đàm phán</w:t>
      </w:r>
    </w:p>
    <w:p w14:paraId="33302F44" w14:textId="5530F3BE" w:rsidR="00960460" w:rsidRDefault="004E6BAE">
      <w:pPr>
        <w:pStyle w:val="P68B1DB1-ListParagraph8"/>
        <w:numPr>
          <w:ilvl w:val="0"/>
          <w:numId w:val="17"/>
        </w:numPr>
        <w:spacing w:before="240" w:after="240"/>
        <w:jc w:val="both"/>
      </w:pPr>
      <w:r>
        <w:t>biện pháp khắc phục để đạt được sự tuân thủ</w:t>
      </w:r>
    </w:p>
    <w:p w14:paraId="529060FE" w14:textId="711DA85C" w:rsidR="00960460" w:rsidRDefault="004E6BAE">
      <w:pPr>
        <w:pStyle w:val="P68B1DB1-Normal2"/>
        <w:jc w:val="both"/>
      </w:pPr>
      <w:r>
        <w:lastRenderedPageBreak/>
        <w:t>Trong trường hợp nhận được một đơn khiếu nại bằng văn bản mà đồng thời cũng là đối tượng của một phiên điều trần theo thủ tục tố tụng, hoặc chứa nhiều vấn đề mà một hoặc nhiều vấn đề trong số đó đang được xem xét trong phiên điều trần đó, Bộ phận Can thiệp Sớm phải tạm thời hoãn lại bất kỳ phần nào của khiếu nại đang được giải quyết trong phiên điều trần cho đến khi phiên điều trần kết thúc. Tuy nhiên, bất kỳ vấn đề nào trong đơn khiếu nại không thuộc phạm vi của phiên điều trần theo thủ tục tố tụng vẫn phải được giải quyết theo thời hạn và thủ tục nêu trên. Nếu một vấn đề được nêu trong đơn khiếu nại được nộp theo mục này đã từng được quyết định trong một phiên điều trần theo thủ tục tố tụng liên quan đến cùng các bên, thì quyết định của phiên điều trần đó có giá trị ràng buộc đối với vấn đề này, và Bộ phận Can thiệp Sớm phải thông báo cho người khiếu nại về hiệu lực ràng buộc đó</w:t>
      </w:r>
    </w:p>
    <w:p w14:paraId="19DFB8F0" w14:textId="77AC4CF6" w:rsidR="00960460" w:rsidRDefault="004E6BAE">
      <w:pPr>
        <w:pStyle w:val="P68B1DB1-Normal2"/>
        <w:spacing w:before="240" w:after="240"/>
        <w:jc w:val="both"/>
      </w:pPr>
      <w:r>
        <w:t>Một khiếu nại cáo buộc Cơ quan Chủ trì, tổ chức công hoặc nhà cung cấp EIS không thực hiện một quyết định của phiên điều trần theo thủ tục tố tụng phải được giải quyết bởi Cơ quan Chủ trì.</w:t>
      </w:r>
    </w:p>
    <w:p w14:paraId="21DED1C7" w14:textId="6FE7057F" w:rsidR="00960460" w:rsidRDefault="004E6BAE">
      <w:pPr>
        <w:pStyle w:val="P68B1DB1-Heading13"/>
        <w:jc w:val="both"/>
        <w:rPr>
          <w:b/>
        </w:rPr>
      </w:pPr>
      <w:r>
        <w:rPr>
          <w:b/>
        </w:rPr>
        <w:t xml:space="preserve">Nộp đơn Khiếu nại </w:t>
      </w:r>
      <w:r>
        <w:t>(§ 303.434)</w:t>
      </w:r>
    </w:p>
    <w:p w14:paraId="56340ECE" w14:textId="7A0CE7FF" w:rsidR="00960460" w:rsidRDefault="004E6BAE">
      <w:pPr>
        <w:pStyle w:val="Heading2"/>
        <w:jc w:val="both"/>
        <w:rPr>
          <w:rFonts w:ascii="Avenir Next LT Pro" w:eastAsia="Avenir Next LT Pro" w:hAnsi="Avenir Next LT Pro" w:cs="Avenir Next LT Pro"/>
        </w:rPr>
      </w:pPr>
      <w:r>
        <w:rPr>
          <w:rFonts w:ascii="Avenir Next LT Pro" w:eastAsia="Avenir Next LT Pro" w:hAnsi="Avenir Next LT Pro" w:cs="Avenir Next LT Pro"/>
        </w:rPr>
        <w:t xml:space="preserve">Một tổ chức hoặc cá nhân có thể nộp đơn khiếu nại bằng văn bản có chữ ký theo các thủ tục được quy định tại </w:t>
      </w:r>
      <w:hyperlink r:id="rId83">
        <w:r w:rsidR="00960460">
          <w:rPr>
            <w:rStyle w:val="Hyperlink"/>
            <w:rFonts w:ascii="Avenir Next LT Pro" w:eastAsia="Avenir Next LT Pro" w:hAnsi="Avenir Next LT Pro" w:cs="Avenir Next LT Pro"/>
          </w:rPr>
          <w:t>§§ 303.432</w:t>
        </w:r>
      </w:hyperlink>
      <w:r>
        <w:rPr>
          <w:rFonts w:ascii="Avenir Next LT Pro" w:eastAsia="Avenir Next LT Pro" w:hAnsi="Avenir Next LT Pro" w:cs="Avenir Next LT Pro"/>
        </w:rPr>
        <w:t xml:space="preserve"> và </w:t>
      </w:r>
      <w:hyperlink r:id="rId84">
        <w:r w:rsidR="00960460">
          <w:rPr>
            <w:rStyle w:val="Hyperlink"/>
            <w:rFonts w:ascii="Avenir Next LT Pro" w:eastAsia="Avenir Next LT Pro" w:hAnsi="Avenir Next LT Pro" w:cs="Avenir Next LT Pro"/>
          </w:rPr>
          <w:t>303.433</w:t>
        </w:r>
      </w:hyperlink>
      <w:r>
        <w:rPr>
          <w:rFonts w:ascii="Avenir Next LT Pro" w:eastAsia="Avenir Next LT Pro" w:hAnsi="Avenir Next LT Pro" w:cs="Avenir Next LT Pro"/>
        </w:rPr>
        <w:t>.</w:t>
      </w:r>
    </w:p>
    <w:p w14:paraId="7885C8EE" w14:textId="2D1780D8" w:rsidR="00960460" w:rsidRDefault="004E6BAE">
      <w:pPr>
        <w:pStyle w:val="P68B1DB1-Normal2"/>
        <w:jc w:val="both"/>
      </w:pPr>
      <w:r>
        <w:t>Đơn khiếu nại phải bao gồm</w:t>
      </w:r>
    </w:p>
    <w:p w14:paraId="3B38C4A9" w14:textId="77777777" w:rsidR="00960460" w:rsidRDefault="004E6BAE">
      <w:pPr>
        <w:pStyle w:val="P68B1DB1-ListParagraph8"/>
        <w:numPr>
          <w:ilvl w:val="0"/>
          <w:numId w:val="18"/>
        </w:numPr>
        <w:jc w:val="both"/>
      </w:pPr>
      <w:r>
        <w:t>một tuyên bố rằng Cơ quan chủ trì, tổ chức công hoặc nhà cung cấp EIS đã vi phạm yêu cầu của phần C của Đạo luật</w:t>
      </w:r>
    </w:p>
    <w:p w14:paraId="2CBBABCE" w14:textId="77777777" w:rsidR="00960460" w:rsidRDefault="004E6BAE">
      <w:pPr>
        <w:pStyle w:val="P68B1DB1-ListParagraph8"/>
        <w:numPr>
          <w:ilvl w:val="0"/>
          <w:numId w:val="18"/>
        </w:numPr>
        <w:jc w:val="both"/>
      </w:pPr>
      <w:r>
        <w:t>các sự kiện làm căn cứ cho tuyên bố đó</w:t>
      </w:r>
    </w:p>
    <w:p w14:paraId="324AE980" w14:textId="77777777" w:rsidR="00960460" w:rsidRDefault="004E6BAE">
      <w:pPr>
        <w:pStyle w:val="P68B1DB1-ListParagraph8"/>
        <w:numPr>
          <w:ilvl w:val="0"/>
          <w:numId w:val="18"/>
        </w:numPr>
        <w:jc w:val="both"/>
      </w:pPr>
      <w:r>
        <w:t>chữ ký và thông tin liên hệ của người khiếu nại</w:t>
      </w:r>
    </w:p>
    <w:p w14:paraId="67866D57" w14:textId="77777777" w:rsidR="00960460" w:rsidRDefault="004E6BAE">
      <w:pPr>
        <w:pStyle w:val="P68B1DB1-ListParagraph8"/>
        <w:numPr>
          <w:ilvl w:val="0"/>
          <w:numId w:val="18"/>
        </w:numPr>
        <w:jc w:val="both"/>
      </w:pPr>
      <w:r>
        <w:t>trong trường hợp cáo buộc vi phạm liên quan đến một trẻ cụ thể</w:t>
      </w:r>
    </w:p>
    <w:p w14:paraId="329D9A23" w14:textId="77777777" w:rsidR="00960460" w:rsidRDefault="004E6BAE">
      <w:pPr>
        <w:pStyle w:val="P68B1DB1-ListParagraph8"/>
        <w:numPr>
          <w:ilvl w:val="1"/>
          <w:numId w:val="18"/>
        </w:numPr>
        <w:jc w:val="both"/>
      </w:pPr>
      <w:r>
        <w:t>tên và địa chỉ cư trú của trẻ</w:t>
      </w:r>
    </w:p>
    <w:p w14:paraId="675709A6" w14:textId="77777777" w:rsidR="00960460" w:rsidRDefault="004E6BAE">
      <w:pPr>
        <w:pStyle w:val="P68B1DB1-ListParagraph8"/>
        <w:numPr>
          <w:ilvl w:val="1"/>
          <w:numId w:val="18"/>
        </w:numPr>
        <w:jc w:val="both"/>
      </w:pPr>
      <w:r>
        <w:t>tên của nhà cung cấp EIS đang phục vụ trẻ</w:t>
      </w:r>
    </w:p>
    <w:p w14:paraId="63E7B13D" w14:textId="77777777" w:rsidR="00960460" w:rsidRDefault="004E6BAE">
      <w:pPr>
        <w:pStyle w:val="P68B1DB1-ListParagraph8"/>
        <w:numPr>
          <w:ilvl w:val="0"/>
          <w:numId w:val="18"/>
        </w:numPr>
        <w:jc w:val="both"/>
      </w:pPr>
      <w:r>
        <w:t>mô tả bản chất vấn đề của trẻ, bao gồm các sự kiện liên quan đến vấn đề đó</w:t>
      </w:r>
    </w:p>
    <w:p w14:paraId="4D709A6A" w14:textId="305910D6" w:rsidR="00960460" w:rsidRDefault="004E6BAE">
      <w:pPr>
        <w:pStyle w:val="P68B1DB1-ListParagraph8"/>
        <w:numPr>
          <w:ilvl w:val="0"/>
          <w:numId w:val="18"/>
        </w:numPr>
        <w:jc w:val="both"/>
      </w:pPr>
      <w:r>
        <w:t>giải pháp đề xuất cho vấn đề, trong phạm vi mà bên nộp đơn biết và có thể cung cấp tại thời điểm nộp đơn khiếu nại</w:t>
      </w:r>
    </w:p>
    <w:p w14:paraId="398DD610" w14:textId="0056AF23" w:rsidR="00960460" w:rsidRDefault="004E6BAE">
      <w:pPr>
        <w:pStyle w:val="P68B1DB1-Normal2"/>
        <w:spacing w:before="240" w:after="240"/>
        <w:jc w:val="both"/>
      </w:pPr>
      <w:r>
        <w:t xml:space="preserve">Đơn khiếu nại phải cáo buộc một hành vi vi phạm xảy ra không quá một năm trước ngày Bộ phận Can thiệp Sớm nhận được đơn khiếu nại. Bên nộp đơn khiếu nại phải gửi đồng thời một bản sao của đơn khiếu nại cho tổ chức công hoặc nhà cung cấp EIS đang phục vụ trẻ, tại cùng thời điểm nộp đơn khiếu nại lên Bộ phận Can thiệp Sớm. </w:t>
      </w:r>
    </w:p>
    <w:p w14:paraId="115A0692" w14:textId="77777777" w:rsidR="00960460" w:rsidRDefault="004E6BAE">
      <w:pPr>
        <w:pStyle w:val="P68B1DB1-Heading13"/>
        <w:spacing w:before="0"/>
        <w:jc w:val="both"/>
        <w:rPr>
          <w:b/>
        </w:rPr>
      </w:pPr>
      <w:r>
        <w:rPr>
          <w:b/>
        </w:rPr>
        <w:t xml:space="preserve">Điều trần theo thủ tục tố tụng </w:t>
      </w:r>
      <w:r>
        <w:t>(§§303.435-303.438)</w:t>
      </w:r>
    </w:p>
    <w:p w14:paraId="45BAD1F3" w14:textId="0FC2120A" w:rsidR="00960460" w:rsidRDefault="004E6BAE">
      <w:pPr>
        <w:jc w:val="both"/>
        <w:rPr>
          <w:rFonts w:ascii="Avenir Next LT Pro" w:eastAsia="Avenir Next LT Pro" w:hAnsi="Avenir Next LT Pro" w:cs="Avenir Next LT Pro"/>
          <w:sz w:val="24"/>
        </w:rPr>
      </w:pPr>
      <w:r>
        <w:rPr>
          <w:rFonts w:ascii="Avenir Next LT Pro" w:eastAsia="Avenir Next LT Pro" w:hAnsi="Avenir Next LT Pro" w:cs="Avenir Next LT Pro"/>
          <w:color w:val="0E101A"/>
          <w:sz w:val="24"/>
        </w:rPr>
        <w:t xml:space="preserve">Bộ phận Can thiệp Sớm </w:t>
      </w:r>
      <w:r>
        <w:rPr>
          <w:rFonts w:ascii="Avenir Next LT Pro" w:eastAsia="Avenir Next LT Pro" w:hAnsi="Avenir Next LT Pro" w:cs="Avenir Next LT Pro"/>
          <w:sz w:val="24"/>
        </w:rPr>
        <w:t xml:space="preserve">thông qua các thủ tục Điều trần theo thủ tục tố tụng Phần C theo 34 CFR 303.435-303.438 (mục 639 </w:t>
      </w:r>
      <w:hyperlink r:id="rId85">
        <w:r w:rsidR="00960460">
          <w:rPr>
            <w:rStyle w:val="Hyperlink"/>
            <w:rFonts w:ascii="Avenir Next LT Pro" w:eastAsia="Avenir Next LT Pro" w:hAnsi="Avenir Next LT Pro" w:cs="Avenir Next LT Pro"/>
            <w:color w:val="auto"/>
            <w:sz w:val="24"/>
          </w:rPr>
          <w:t>của Đạo luật Giáo dục Người khuyết tật (IDEA)</w:t>
        </w:r>
      </w:hyperlink>
      <w:r>
        <w:rPr>
          <w:rFonts w:ascii="Avenir Next LT Pro" w:eastAsia="Avenir Next LT Pro" w:hAnsi="Avenir Next LT Pro" w:cs="Avenir Next LT Pro"/>
          <w:sz w:val="24"/>
        </w:rPr>
        <w:t xml:space="preserve"> để giải quyết các bất đồng liên quan đến một trẻ cụ thể, đối với bất kỳ vấn đề nào được xác định tại 34 CFR § 303.421 (a).</w:t>
      </w:r>
    </w:p>
    <w:p w14:paraId="2B1538FC" w14:textId="77777777" w:rsidR="00960460" w:rsidRDefault="00960460">
      <w:pPr>
        <w:jc w:val="both"/>
        <w:rPr>
          <w:rFonts w:ascii="Avenir Next LT Pro" w:eastAsia="Avenir Next LT Pro" w:hAnsi="Avenir Next LT Pro" w:cs="Avenir Next LT Pro"/>
          <w:sz w:val="24"/>
        </w:rPr>
      </w:pPr>
    </w:p>
    <w:p w14:paraId="44FEB1F3" w14:textId="07F44F21" w:rsidR="00960460" w:rsidRDefault="004E6BAE">
      <w:pPr>
        <w:pStyle w:val="P68B1DB1-Normal2"/>
        <w:jc w:val="both"/>
        <w:rPr>
          <w:b/>
        </w:rPr>
      </w:pPr>
      <w:r>
        <w:t xml:space="preserve">Bộ phận Can thiệp sớm tổ chức việc tiến hành các phiên điều trần theo thủ tục tố tụng thông qua thỏa thuận liên cơ quan với Bộ phận Kháng cáo Luật Hành chính (DALA) và </w:t>
      </w:r>
      <w:r>
        <w:lastRenderedPageBreak/>
        <w:t xml:space="preserve">Cục Giáo dục Đặc biệt (BSEA). Bộ phận Can thiệp Sớm cvẫn giữ trách nhiệm bảo đảm rằng các phiên điều trần theo thủ tục tố tụng được tiến hành phù hợp với Phần C của IDEA và 34 CFR 303.435-303.438. </w:t>
      </w:r>
    </w:p>
    <w:p w14:paraId="79FD8679" w14:textId="77777777" w:rsidR="00960460" w:rsidRDefault="004E6BAE">
      <w:pPr>
        <w:pStyle w:val="P68B1DB1-Heading13"/>
        <w:jc w:val="both"/>
        <w:rPr>
          <w:b/>
        </w:rPr>
      </w:pPr>
      <w:r>
        <w:rPr>
          <w:b/>
        </w:rPr>
        <w:t xml:space="preserve">Chỉ định Viên chức Khách quan cho phiên Điều trần theo Thủ tục Tố tụng </w:t>
      </w:r>
      <w:r>
        <w:t>(§303.435)</w:t>
      </w:r>
    </w:p>
    <w:p w14:paraId="00E60466" w14:textId="69358AD5" w:rsidR="00960460" w:rsidRDefault="004E6BAE">
      <w:pPr>
        <w:pStyle w:val="P68B1DB1-Normal2"/>
        <w:jc w:val="both"/>
      </w:pPr>
      <w:r>
        <w:t xml:space="preserve">Bất cứ khi nào nhận được khiếu nại theo thủ tục tố tụng theo </w:t>
      </w:r>
      <w:hyperlink r:id="rId86" w:anchor="p-303.430(d)">
        <w:r w:rsidR="00960460">
          <w:rPr>
            <w:u w:val="single"/>
          </w:rPr>
          <w:t>§ 303.430 (d)</w:t>
        </w:r>
      </w:hyperlink>
      <w:r>
        <w:t>, một viên chức điều trần theo thủ tục tố tụng phải được chỉ định để thực hiện quy trình giải quyết khiếu nại được quy định tại tiểu phần này. Cá nhân được chỉ định phải</w:t>
      </w:r>
    </w:p>
    <w:p w14:paraId="134363CC" w14:textId="77777777" w:rsidR="00960460" w:rsidRDefault="004E6BAE">
      <w:pPr>
        <w:pStyle w:val="P68B1DB1-ListParagraph8"/>
        <w:numPr>
          <w:ilvl w:val="0"/>
          <w:numId w:val="19"/>
        </w:numPr>
        <w:jc w:val="both"/>
      </w:pPr>
      <w:r>
        <w:t>có kiến thức về các quy định của Phần này và về nhu cầu của trẻ sơ sinh và trẻ nhỏ khuyết tật, cũng như các dịch vụ can thiệp sớm hiện có dành cho trẻ và gia đình của trẻ</w:t>
      </w:r>
    </w:p>
    <w:p w14:paraId="1B585010" w14:textId="77777777" w:rsidR="00960460" w:rsidRDefault="004E6BAE">
      <w:pPr>
        <w:pStyle w:val="P68B1DB1-ListParagraph8"/>
        <w:numPr>
          <w:ilvl w:val="0"/>
          <w:numId w:val="19"/>
        </w:numPr>
        <w:jc w:val="both"/>
      </w:pPr>
      <w:r>
        <w:t>lắng nghe các quan điểm liên quan được trình bày về đơn khiếu nại theo thủ tục tố tụng</w:t>
      </w:r>
    </w:p>
    <w:p w14:paraId="26043D0D" w14:textId="77777777" w:rsidR="00960460" w:rsidRDefault="004E6BAE">
      <w:pPr>
        <w:pStyle w:val="P68B1DB1-ListParagraph8"/>
        <w:numPr>
          <w:ilvl w:val="0"/>
          <w:numId w:val="19"/>
        </w:numPr>
        <w:jc w:val="both"/>
      </w:pPr>
      <w:r>
        <w:t>xem xét tất cả các thông tin liên quan đến các vấn đề được nêu ra</w:t>
      </w:r>
    </w:p>
    <w:p w14:paraId="0BA6F378" w14:textId="77777777" w:rsidR="00960460" w:rsidRDefault="004E6BAE">
      <w:pPr>
        <w:pStyle w:val="P68B1DB1-ListParagraph8"/>
        <w:numPr>
          <w:ilvl w:val="0"/>
          <w:numId w:val="19"/>
        </w:numPr>
        <w:jc w:val="both"/>
      </w:pPr>
      <w:r>
        <w:t>nỗ lực giải quyết kịp thời đơn khiếu nại theo theo thủ tục tố tụng</w:t>
      </w:r>
    </w:p>
    <w:p w14:paraId="1ED6EA9C" w14:textId="77777777" w:rsidR="00960460" w:rsidRDefault="004E6BAE">
      <w:pPr>
        <w:pStyle w:val="P68B1DB1-ListParagraph8"/>
        <w:numPr>
          <w:ilvl w:val="0"/>
          <w:numId w:val="19"/>
        </w:numPr>
        <w:jc w:val="both"/>
      </w:pPr>
      <w:r>
        <w:t>cung cấp hồ sơ về các thủ tục đã tiến hành, bao gồm quyết định bằng văn bản</w:t>
      </w:r>
    </w:p>
    <w:p w14:paraId="35F31600" w14:textId="77777777" w:rsidR="00960460" w:rsidRDefault="00960460">
      <w:pPr>
        <w:jc w:val="both"/>
        <w:rPr>
          <w:rFonts w:ascii="Avenir Next LT Pro" w:eastAsia="Avenir Next LT Pro" w:hAnsi="Avenir Next LT Pro" w:cs="Avenir Next LT Pro"/>
          <w:b/>
          <w:sz w:val="24"/>
        </w:rPr>
      </w:pPr>
    </w:p>
    <w:p w14:paraId="499FC1BC" w14:textId="77777777" w:rsidR="00960460" w:rsidRDefault="004E6BAE">
      <w:pPr>
        <w:pStyle w:val="P68B1DB1-Normal4"/>
        <w:ind w:left="360"/>
        <w:jc w:val="both"/>
      </w:pPr>
      <w:r>
        <w:t>Định nghĩa về tính Khách quan</w:t>
      </w:r>
    </w:p>
    <w:p w14:paraId="10D82AEF" w14:textId="77777777" w:rsidR="00960460" w:rsidRDefault="004E6BAE">
      <w:pPr>
        <w:pStyle w:val="P68B1DB1-Normal2"/>
        <w:ind w:left="360"/>
        <w:jc w:val="both"/>
      </w:pPr>
      <w:r>
        <w:t>Khách quan có nghĩa là viên chức điều trần theo thủ tục tố tụng được chỉ định để thực hiện phiên điều trần theo thủ tục tố tụng theo IDEA Phần C</w:t>
      </w:r>
    </w:p>
    <w:p w14:paraId="4FF3B9F0" w14:textId="715ACE3B" w:rsidR="00960460" w:rsidRDefault="004E6BAE">
      <w:pPr>
        <w:pStyle w:val="P68B1DB1-ListParagraph8"/>
        <w:numPr>
          <w:ilvl w:val="0"/>
          <w:numId w:val="20"/>
        </w:numPr>
        <w:ind w:left="1080"/>
        <w:jc w:val="both"/>
      </w:pPr>
      <w:r>
        <w:t>không là nhân viên của Bộ phận Can thiệp Sớm (Cơ quan Chủ trì) hoặc của nhà cung cấp EIS có liên quan đến việc cung cấp các dịch vụ can thiệp sớm hoặc chăm sóc cho trẻ</w:t>
      </w:r>
    </w:p>
    <w:p w14:paraId="5430FEFB" w14:textId="77777777" w:rsidR="00960460" w:rsidRDefault="004E6BAE">
      <w:pPr>
        <w:pStyle w:val="P68B1DB1-ListParagraph8"/>
        <w:numPr>
          <w:ilvl w:val="0"/>
          <w:numId w:val="20"/>
        </w:numPr>
        <w:ind w:left="1080"/>
        <w:jc w:val="both"/>
      </w:pPr>
      <w:r>
        <w:t>không có lợi ích cá nhân hoặc nghề nghiệp có thể gây xung đột với tính khách quan của mình trong quá trình thực hiện thủ tục</w:t>
      </w:r>
    </w:p>
    <w:p w14:paraId="76B2D85E" w14:textId="77777777" w:rsidR="00960460" w:rsidRDefault="004E6BAE">
      <w:pPr>
        <w:pStyle w:val="P68B1DB1-ListParagraph8"/>
        <w:numPr>
          <w:ilvl w:val="0"/>
          <w:numId w:val="20"/>
        </w:numPr>
        <w:ind w:left="1080"/>
        <w:jc w:val="both"/>
      </w:pPr>
      <w:r>
        <w:t>không được xem là nhân viên của một tổ chức chỉ vì cá nhân đó được tổ chức chi trả thù lao để thực hiện các thủ tục điều trần theo thủ tục tố tụng hoặc các thủ tục hòa giải theo Phần này</w:t>
      </w:r>
    </w:p>
    <w:p w14:paraId="462391A6" w14:textId="77777777" w:rsidR="00960460" w:rsidRDefault="00960460">
      <w:pPr>
        <w:pStyle w:val="ListParagraph"/>
        <w:jc w:val="both"/>
        <w:rPr>
          <w:rFonts w:ascii="Avenir Next LT Pro" w:eastAsia="Avenir Next LT Pro" w:hAnsi="Avenir Next LT Pro" w:cs="Avenir Next LT Pro"/>
          <w:sz w:val="24"/>
        </w:rPr>
      </w:pPr>
    </w:p>
    <w:p w14:paraId="5D975EC0" w14:textId="77777777" w:rsidR="00960460" w:rsidRDefault="004E6BAE">
      <w:pPr>
        <w:pStyle w:val="P68B1DB1-Heading13"/>
        <w:spacing w:before="0"/>
        <w:jc w:val="both"/>
        <w:rPr>
          <w:b/>
        </w:rPr>
      </w:pPr>
      <w:r>
        <w:rPr>
          <w:b/>
        </w:rPr>
        <w:t xml:space="preserve">Quyền của phụ huynh trong thủ tục Điều trần theo thủ tục tố tụng </w:t>
      </w:r>
      <w:r>
        <w:t>(§ 303.436)</w:t>
      </w:r>
    </w:p>
    <w:p w14:paraId="40D3109D" w14:textId="60BEB926" w:rsidR="00960460" w:rsidRDefault="004E6BAE">
      <w:pPr>
        <w:pStyle w:val="P68B1DB1-Normal2"/>
        <w:jc w:val="both"/>
      </w:pPr>
      <w:r>
        <w:t xml:space="preserve">Bộ phận Can thiệp Sớm đảm bảo rằng phụ huynh của một trẻ được giới thiệu theo Phần C được bảo đảm các quyền trong phiên điều trần theo thủ tục tố tụng được tiến hành theo </w:t>
      </w:r>
      <w:hyperlink r:id="rId87" w:anchor="p-303.430(d)">
        <w:r w:rsidR="00960460">
          <w:rPr>
            <w:u w:val="single"/>
          </w:rPr>
          <w:t>§303.430 (d)</w:t>
        </w:r>
      </w:hyperlink>
      <w:r>
        <w:t>. Bất kỳ phụ huynh nào tham gia vào phiên điều trần theo thủ tục tố tụng đều có quyền</w:t>
      </w:r>
    </w:p>
    <w:p w14:paraId="7C312D93" w14:textId="77777777" w:rsidR="00960460" w:rsidRDefault="004E6BAE">
      <w:pPr>
        <w:pStyle w:val="P68B1DB1-ListParagraph8"/>
        <w:numPr>
          <w:ilvl w:val="0"/>
          <w:numId w:val="21"/>
        </w:numPr>
        <w:jc w:val="both"/>
      </w:pPr>
      <w:r>
        <w:t>được đi cùng và được tư vấn bởi luật sư và bởi các cá nhân có chuyên môn hoặc được đào tạo chuyên biệt liên quan đến các dịch vụ can thiệp sớm dành cho trẻ sơ sinh và trẻ nhỏ khuyết tật</w:t>
      </w:r>
    </w:p>
    <w:p w14:paraId="05AE58BE" w14:textId="77777777" w:rsidR="00960460" w:rsidRDefault="004E6BAE">
      <w:pPr>
        <w:pStyle w:val="P68B1DB1-ListParagraph8"/>
        <w:numPr>
          <w:ilvl w:val="0"/>
          <w:numId w:val="21"/>
        </w:numPr>
        <w:jc w:val="both"/>
      </w:pPr>
      <w:r>
        <w:t>trình bày chứng cứ và đối chất, thẩm vấn chéo, cũng như yêu cầu triệu tập nhân chứng</w:t>
      </w:r>
    </w:p>
    <w:p w14:paraId="0C8F19B7" w14:textId="77777777" w:rsidR="00960460" w:rsidRDefault="004E6BAE">
      <w:pPr>
        <w:pStyle w:val="P68B1DB1-ListParagraph8"/>
        <w:numPr>
          <w:ilvl w:val="0"/>
          <w:numId w:val="21"/>
        </w:numPr>
        <w:jc w:val="both"/>
      </w:pPr>
      <w:r>
        <w:t>ngăn chặn việc đưa vào phiên điều trần bất kỳ chứng cứ nào không được tiết lộ cho phụ huynh ít nhất năm ngày trước ngày diễn ra phiên điều trần</w:t>
      </w:r>
    </w:p>
    <w:p w14:paraId="68DA26CB" w14:textId="77777777" w:rsidR="00960460" w:rsidRDefault="004E6BAE">
      <w:pPr>
        <w:pStyle w:val="P68B1DB1-ListParagraph8"/>
        <w:numPr>
          <w:ilvl w:val="0"/>
          <w:numId w:val="21"/>
        </w:numPr>
        <w:jc w:val="both"/>
      </w:pPr>
      <w:r>
        <w:t>nhận miễn phí bản ghi nguyên văn của phiên điều trần, bằng văn bản hoặc bản điện tử</w:t>
      </w:r>
    </w:p>
    <w:p w14:paraId="140F251F" w14:textId="77777777" w:rsidR="00960460" w:rsidRDefault="004E6BAE">
      <w:pPr>
        <w:pStyle w:val="P68B1DB1-ListParagraph8"/>
        <w:numPr>
          <w:ilvl w:val="0"/>
          <w:numId w:val="21"/>
        </w:numPr>
        <w:jc w:val="both"/>
      </w:pPr>
      <w:r>
        <w:lastRenderedPageBreak/>
        <w:t>nhận miễn phí bản sao bằng văn bản của các phát hiện sự kiện và quyết định của phiên điều trần</w:t>
      </w:r>
    </w:p>
    <w:p w14:paraId="240FD4E7" w14:textId="77777777" w:rsidR="00960460" w:rsidRDefault="00960460">
      <w:pPr>
        <w:jc w:val="both"/>
        <w:rPr>
          <w:rFonts w:ascii="Avenir Next LT Pro" w:eastAsia="Avenir Next LT Pro" w:hAnsi="Avenir Next LT Pro" w:cs="Avenir Next LT Pro"/>
          <w:sz w:val="24"/>
        </w:rPr>
      </w:pPr>
    </w:p>
    <w:p w14:paraId="0E677611" w14:textId="77777777" w:rsidR="00960460" w:rsidRDefault="004E6BAE">
      <w:pPr>
        <w:pStyle w:val="P68B1DB1-Heading13"/>
        <w:spacing w:before="0"/>
        <w:jc w:val="both"/>
        <w:rPr>
          <w:b/>
        </w:rPr>
      </w:pPr>
      <w:r>
        <w:rPr>
          <w:b/>
        </w:rPr>
        <w:t xml:space="preserve">Sự thuận tiện của phiên điều trần và các mốc thời gian </w:t>
      </w:r>
      <w:r>
        <w:t>(§ 303.437)</w:t>
      </w:r>
    </w:p>
    <w:p w14:paraId="53A64EDD" w14:textId="0338129E" w:rsidR="00960460" w:rsidRDefault="004E6BAE">
      <w:pPr>
        <w:pStyle w:val="P68B1DB1-Normal2"/>
        <w:spacing w:after="100" w:afterAutospacing="1"/>
        <w:jc w:val="both"/>
      </w:pPr>
      <w:r>
        <w:t xml:space="preserve">Các phiên điều trần theo thủ tục tố tụng theo IDEA Phần C phải được tiến hành tại thời gian và địa điểm hợp lý, thuận tiện cho phụ huynh. Bộ phận Can thiệp Sớm đảm bảo rằng, không muộn hơn 30 ngày kể từ ngày nhận được đơn khiếu nại theo thủ tục tố tụng của phụ huynh, phiên điều trần phải được hoàn tất và quyết định bằng văn bản phải được gửi qua đường bưu điện cho mỗi bên liên quan. Viên chức điều trần có thể cho phép gia hạn thời gian cụ thể theo yêu cầu của bất kỳ bên nào. </w:t>
      </w:r>
    </w:p>
    <w:p w14:paraId="171B760A" w14:textId="77777777" w:rsidR="00960460" w:rsidRDefault="004E6BAE">
      <w:pPr>
        <w:pStyle w:val="P68B1DB1-Heading13"/>
        <w:spacing w:before="0"/>
        <w:jc w:val="both"/>
        <w:rPr>
          <w:b/>
        </w:rPr>
      </w:pPr>
      <w:r>
        <w:rPr>
          <w:b/>
        </w:rPr>
        <w:t xml:space="preserve">Khởi kiện Dân sự </w:t>
      </w:r>
      <w:r>
        <w:t>(§ 303.438)</w:t>
      </w:r>
    </w:p>
    <w:p w14:paraId="2E804B12" w14:textId="50DCC3E1" w:rsidR="00960460" w:rsidRDefault="004E6BAE">
      <w:pPr>
        <w:pStyle w:val="P68B1DB1-Normal2"/>
        <w:spacing w:after="100" w:afterAutospacing="1"/>
        <w:jc w:val="both"/>
      </w:pPr>
      <w:r>
        <w:t>Bất kỳ bên nào bị ảnh hưởng bất lợi bởi các phát hiện và quyết định được ban hành theo đơn khiếu nại theo thủ tục tố tụng đều có quyền khởi kiện dân sự tại Tòa án Tiểu bang hoặc Tòa án Liên bang theo Mục 639(a)(1) của Đạo luật.</w:t>
      </w:r>
    </w:p>
    <w:p w14:paraId="5046DDB1" w14:textId="77777777" w:rsidR="00960460" w:rsidRDefault="00960460">
      <w:pPr>
        <w:shd w:val="clear" w:color="auto" w:fill="FFFFFF"/>
        <w:jc w:val="both"/>
        <w:rPr>
          <w:rFonts w:ascii="Avenir Next LT Pro" w:eastAsia="Avenir Next LT Pro" w:hAnsi="Avenir Next LT Pro" w:cs="Avenir Next LT Pro"/>
          <w:b/>
          <w:sz w:val="24"/>
        </w:rPr>
      </w:pPr>
    </w:p>
    <w:p w14:paraId="0FA63EBE" w14:textId="5FD7FA41" w:rsidR="00960460" w:rsidRDefault="004E6BAE">
      <w:pPr>
        <w:pStyle w:val="P68B1DB1-Normal4"/>
        <w:shd w:val="clear" w:color="auto" w:fill="FFFFFF"/>
        <w:jc w:val="both"/>
        <w:rPr>
          <w:color w:val="242424"/>
        </w:rPr>
      </w:pPr>
      <w:r>
        <w:t>Thông tin liên hệ</w:t>
      </w:r>
    </w:p>
    <w:p w14:paraId="77C1B33F" w14:textId="18417E74" w:rsidR="00960460" w:rsidRDefault="004E6BAE">
      <w:pPr>
        <w:jc w:val="both"/>
        <w:rPr>
          <w:rFonts w:ascii="Avenir Next LT Pro" w:eastAsia="Avenir Next LT Pro" w:hAnsi="Avenir Next LT Pro" w:cs="Avenir Next LT Pro"/>
          <w:sz w:val="24"/>
        </w:rPr>
      </w:pPr>
      <w:r>
        <w:rPr>
          <w:rFonts w:ascii="Avenir Next LT Pro" w:eastAsia="Avenir Next LT Pro" w:hAnsi="Avenir Next LT Pro" w:cs="Avenir Next LT Pro"/>
          <w:sz w:val="24"/>
        </w:rPr>
        <w:t>Nếu có câu hỏi liên quan đến quyền của gia đình, các tiêu chuẩn hoạt động can thiệp sớm, hoặc về cách nộp đơn khiếu nại, yêu cầu hòa giải, hoặc yêu cầu phiên điều trần theo thủ tục tố tụng, vui lòng liên hệ với Điều phối viên Dịch vụ, Giám đốc Chương trình, Bộ phận Can thiệp Sớm, hoặc tìm thêm thông tin trên trang web của chúng tôi (</w:t>
      </w:r>
      <w:hyperlink r:id="rId88">
        <w:r w:rsidR="00960460">
          <w:rPr>
            <w:rStyle w:val="Hyperlink"/>
            <w:rFonts w:ascii="Avenir Next LT Pro" w:eastAsia="Avenir Next LT Pro" w:hAnsi="Avenir Next LT Pro" w:cs="Avenir Next LT Pro"/>
            <w:sz w:val="24"/>
          </w:rPr>
          <w:t>https://www.mass.gov/orgs/early-intervention-division</w:t>
        </w:r>
      </w:hyperlink>
      <w:r>
        <w:rPr>
          <w:rFonts w:ascii="Avenir Next LT Pro" w:eastAsia="Avenir Next LT Pro" w:hAnsi="Avenir Next LT Pro" w:cs="Avenir Next LT Pro"/>
          <w:sz w:val="24"/>
        </w:rPr>
        <w:t xml:space="preserve">). </w:t>
      </w:r>
    </w:p>
    <w:p w14:paraId="21861324" w14:textId="77777777" w:rsidR="00960460" w:rsidRDefault="00960460">
      <w:pPr>
        <w:jc w:val="both"/>
        <w:rPr>
          <w:rFonts w:ascii="Avenir Next LT Pro" w:eastAsia="Avenir Next LT Pro" w:hAnsi="Avenir Next LT Pro" w:cs="Avenir Next LT Pro"/>
          <w:sz w:val="24"/>
        </w:rPr>
      </w:pPr>
    </w:p>
    <w:p w14:paraId="35955F24" w14:textId="77777777" w:rsidR="00960460" w:rsidRDefault="00960460">
      <w:pPr>
        <w:jc w:val="both"/>
        <w:rPr>
          <w:rFonts w:ascii="Avenir Next LT Pro" w:eastAsia="Avenir Next LT Pro" w:hAnsi="Avenir Next LT Pro" w:cs="Avenir Next LT Pro"/>
          <w:sz w:val="24"/>
        </w:rPr>
      </w:pPr>
    </w:p>
    <w:p w14:paraId="466596D0" w14:textId="77777777" w:rsidR="006027C2" w:rsidRPr="006027C2" w:rsidRDefault="006027C2" w:rsidP="006027C2">
      <w:pPr>
        <w:jc w:val="both"/>
        <w:rPr>
          <w:rFonts w:ascii="Avenir Next LT Pro" w:eastAsia="Avenir Next LT Pro" w:hAnsi="Avenir Next LT Pro" w:cs="Avenir Next LT Pro"/>
          <w:noProof/>
          <w:sz w:val="24"/>
          <w:szCs w:val="24"/>
        </w:rPr>
      </w:pPr>
      <w:r w:rsidRPr="006027C2">
        <w:rPr>
          <w:rFonts w:ascii="Avenir Next LT Pro" w:eastAsia="Avenir Next LT Pro" w:hAnsi="Avenir Next LT Pro" w:cs="Avenir Next LT Pro"/>
          <w:noProof/>
          <w:sz w:val="24"/>
          <w:szCs w:val="24"/>
        </w:rPr>
        <w:t xml:space="preserve">Early Intervention Division </w:t>
      </w:r>
    </w:p>
    <w:p w14:paraId="42577970" w14:textId="77777777" w:rsidR="006027C2" w:rsidRPr="006027C2" w:rsidRDefault="006027C2" w:rsidP="006027C2">
      <w:pPr>
        <w:jc w:val="both"/>
        <w:rPr>
          <w:rFonts w:ascii="Avenir Next LT Pro" w:eastAsia="Avenir Next LT Pro" w:hAnsi="Avenir Next LT Pro" w:cs="Avenir Next LT Pro"/>
          <w:noProof/>
          <w:sz w:val="24"/>
          <w:szCs w:val="24"/>
        </w:rPr>
      </w:pPr>
      <w:r w:rsidRPr="006027C2">
        <w:rPr>
          <w:rFonts w:ascii="Avenir Next LT Pro" w:eastAsia="Avenir Next LT Pro" w:hAnsi="Avenir Next LT Pro" w:cs="Avenir Next LT Pro"/>
          <w:noProof/>
          <w:sz w:val="24"/>
          <w:szCs w:val="24"/>
        </w:rPr>
        <w:t>c/o Dispute Resolution</w:t>
      </w:r>
    </w:p>
    <w:p w14:paraId="697EE6C8" w14:textId="77777777" w:rsidR="00960460" w:rsidRDefault="004E6BAE">
      <w:pPr>
        <w:pStyle w:val="P68B1DB1-Normal2"/>
        <w:jc w:val="both"/>
      </w:pPr>
      <w:r>
        <w:t xml:space="preserve">250 Washington Street, Tầng 5, </w:t>
      </w:r>
    </w:p>
    <w:p w14:paraId="5C645499" w14:textId="68DFB711" w:rsidR="00960460" w:rsidRDefault="004E6BAE">
      <w:pPr>
        <w:pStyle w:val="P68B1DB1-Normal2"/>
        <w:jc w:val="both"/>
      </w:pPr>
      <w:r>
        <w:t>Boston, MA 02108</w:t>
      </w:r>
    </w:p>
    <w:p w14:paraId="2F9900E7" w14:textId="3E6FA6F2" w:rsidR="00960460" w:rsidRDefault="004E6BAE">
      <w:pPr>
        <w:jc w:val="both"/>
        <w:rPr>
          <w:rFonts w:ascii="Avenir Next LT Pro" w:eastAsia="Avenir Next LT Pro" w:hAnsi="Avenir Next LT Pro" w:cs="Avenir Next LT Pro"/>
          <w:sz w:val="24"/>
        </w:rPr>
      </w:pPr>
      <w:r>
        <w:rPr>
          <w:rFonts w:ascii="Avenir Next LT Pro" w:eastAsia="Avenir Next LT Pro" w:hAnsi="Avenir Next LT Pro" w:cs="Avenir Next LT Pro"/>
          <w:sz w:val="24"/>
        </w:rPr>
        <w:t xml:space="preserve">Email: </w:t>
      </w:r>
      <w:hyperlink r:id="rId89">
        <w:r w:rsidR="00960460">
          <w:rPr>
            <w:rStyle w:val="Hyperlink"/>
            <w:rFonts w:ascii="Avenir Next LT Pro" w:eastAsia="Avenir Next LT Pro" w:hAnsi="Avenir Next LT Pro" w:cs="Avenir Next LT Pro"/>
            <w:sz w:val="24"/>
          </w:rPr>
          <w:t>EIDisputeResolution@mass.gov</w:t>
        </w:r>
      </w:hyperlink>
      <w:r>
        <w:rPr>
          <w:rFonts w:ascii="Avenir Next LT Pro" w:eastAsia="Avenir Next LT Pro" w:hAnsi="Avenir Next LT Pro" w:cs="Avenir Next LT Pro"/>
          <w:sz w:val="24"/>
        </w:rPr>
        <w:t xml:space="preserve">    </w:t>
      </w:r>
    </w:p>
    <w:p w14:paraId="1BC479EF" w14:textId="77777777" w:rsidR="00960460" w:rsidRDefault="004E6BAE">
      <w:pPr>
        <w:pStyle w:val="P68B1DB1-Normal2"/>
        <w:jc w:val="both"/>
      </w:pPr>
      <w:r>
        <w:t xml:space="preserve">Fax: (857)-323-8350 </w:t>
      </w:r>
    </w:p>
    <w:p w14:paraId="70F12A45" w14:textId="3693CA1B" w:rsidR="00960460" w:rsidRDefault="004E6BAE">
      <w:pPr>
        <w:pStyle w:val="P68B1DB1-Normal2"/>
        <w:jc w:val="both"/>
      </w:pPr>
      <w:r>
        <w:t xml:space="preserve">Điện thoại: (508) 454-2007 </w:t>
      </w:r>
    </w:p>
    <w:p w14:paraId="0700C2AC" w14:textId="3C8DBECD" w:rsidR="00960460" w:rsidRDefault="004E6BAE">
      <w:pPr>
        <w:pStyle w:val="P68B1DB1-Normal2"/>
        <w:jc w:val="both"/>
      </w:pPr>
      <w:r>
        <w:t xml:space="preserve"> </w:t>
      </w:r>
    </w:p>
    <w:sectPr w:rsidR="00960460">
      <w:headerReference w:type="even" r:id="rId90"/>
      <w:headerReference w:type="default" r:id="rId91"/>
      <w:footerReference w:type="even" r:id="rId92"/>
      <w:footerReference w:type="default" r:id="rId93"/>
      <w:headerReference w:type="first" r:id="rId94"/>
      <w:footerReference w:type="first" r:id="rId95"/>
      <w:pgSz w:w="12240" w:h="15840"/>
      <w:pgMar w:top="1440" w:right="1440" w:bottom="1440" w:left="1440" w:header="720" w:footer="432"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65CEF3" w14:textId="77777777" w:rsidR="008B47D5" w:rsidRDefault="008B47D5">
      <w:r>
        <w:separator/>
      </w:r>
    </w:p>
  </w:endnote>
  <w:endnote w:type="continuationSeparator" w:id="0">
    <w:p w14:paraId="29818030" w14:textId="77777777" w:rsidR="008B47D5" w:rsidRDefault="008B47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 Next LT Pro">
    <w:altName w:val="Avenir Next LT Pro"/>
    <w:charset w:val="00"/>
    <w:family w:val="swiss"/>
    <w:pitch w:val="variable"/>
    <w:sig w:usb0="800000EF" w:usb1="5000204A" w:usb2="00000000" w:usb3="00000000" w:csb0="00000093"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D2BEC" w14:textId="77777777" w:rsidR="00960460" w:rsidRDefault="009604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F9F75" w14:textId="17E29D51" w:rsidR="00960460" w:rsidRDefault="004E6BAE">
    <w:pPr>
      <w:pStyle w:val="Footer"/>
      <w:tabs>
        <w:tab w:val="clear" w:pos="4680"/>
        <w:tab w:val="clear" w:pos="9360"/>
        <w:tab w:val="left" w:pos="2628"/>
        <w:tab w:val="center" w:pos="5400"/>
        <w:tab w:val="right" w:pos="10800"/>
      </w:tabs>
      <w:rPr>
        <w:rFonts w:ascii="Avenir Next LT Pro" w:hAnsi="Avenir Next LT Pro"/>
        <w:i/>
      </w:rPr>
    </w:pP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EFF2D" w14:textId="2E05BD69" w:rsidR="00960460" w:rsidRDefault="004E6BAE">
    <w:pPr>
      <w:pStyle w:val="P68B1DB1-Footer18"/>
    </w:pPr>
    <w:r>
      <w:t xml:space="preserve">Tài liệu này được sử dụng như Thông Báo về các Biện pháp Bảo vệ theo Thủ tục theo Đạo luật Giáo dục cho Cá nhân Khuyết tật (IDEA) Phần C (34 CFR §303.421). Cập nhật tháng </w:t>
    </w:r>
    <w:r w:rsidR="00C57B25">
      <w:t>7</w:t>
    </w:r>
    <w:r>
      <w:t xml:space="preserve"> năm 2026.  Tài liệu này thay thế tất cả các phiên bản trước đó.</w:t>
    </w:r>
  </w:p>
  <w:p w14:paraId="3DE2C13A" w14:textId="4F57D8AD" w:rsidR="00960460" w:rsidRDefault="00960460">
    <w:pPr>
      <w:pStyle w:val="Footer"/>
      <w:rPr>
        <w:rFonts w:ascii="Avenir Next LT Pro" w:hAnsi="Avenir Next LT Pro"/>
        <w:i/>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978347" w14:textId="77777777" w:rsidR="008B47D5" w:rsidRDefault="008B47D5">
      <w:r>
        <w:separator/>
      </w:r>
    </w:p>
  </w:footnote>
  <w:footnote w:type="continuationSeparator" w:id="0">
    <w:p w14:paraId="1AB8DACE" w14:textId="77777777" w:rsidR="008B47D5" w:rsidRDefault="008B47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EACEE" w14:textId="30184665" w:rsidR="00960460" w:rsidRDefault="00000000">
    <w:pPr>
      <w:pStyle w:val="Header"/>
    </w:pPr>
    <w:r>
      <w:pict w14:anchorId="6C9520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98771172" o:spid="_x0000_s1029" type="#_x0000_t136" style="position:absolute;margin-left:0;margin-top:0;width:471.3pt;height:188.5pt;rotation:315;z-index:-251658752;mso-position-horizontal:center;mso-position-horizontal-relative:margin;mso-position-vertical:center;mso-position-vertical-relative:margin" o:allowincell="f" fillcolor="#dbe5f1 [660]" stroked="f">
          <v:fill opacity=".5"/>
          <v:textpath style="font-family:&quot;Aptos Black&quot;;font-size:1pt" string="DỰ THẢO"/>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0960460" w14:paraId="31AF7539" w14:textId="77777777">
      <w:trPr>
        <w:trHeight w:val="300"/>
      </w:trPr>
      <w:tc>
        <w:tcPr>
          <w:tcW w:w="3120" w:type="dxa"/>
        </w:tcPr>
        <w:p w14:paraId="077DB628" w14:textId="48FDA226" w:rsidR="00960460" w:rsidRDefault="00960460">
          <w:pPr>
            <w:pStyle w:val="Header"/>
            <w:ind w:left="-115"/>
          </w:pPr>
        </w:p>
      </w:tc>
      <w:tc>
        <w:tcPr>
          <w:tcW w:w="3120" w:type="dxa"/>
        </w:tcPr>
        <w:p w14:paraId="7BBFF959" w14:textId="2AF5FE82" w:rsidR="00960460" w:rsidRDefault="00960460">
          <w:pPr>
            <w:pStyle w:val="Header"/>
            <w:jc w:val="center"/>
          </w:pPr>
        </w:p>
      </w:tc>
      <w:tc>
        <w:tcPr>
          <w:tcW w:w="3120" w:type="dxa"/>
        </w:tcPr>
        <w:p w14:paraId="1B11DF34" w14:textId="73773CF3" w:rsidR="00960460" w:rsidRDefault="00960460">
          <w:pPr>
            <w:pStyle w:val="Header"/>
            <w:ind w:right="-115"/>
            <w:jc w:val="right"/>
          </w:pPr>
        </w:p>
      </w:tc>
    </w:tr>
  </w:tbl>
  <w:p w14:paraId="315BEF6A" w14:textId="54EE18E1" w:rsidR="00960460" w:rsidRDefault="009604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0960460" w14:paraId="029182E9" w14:textId="77777777">
      <w:trPr>
        <w:trHeight w:val="300"/>
      </w:trPr>
      <w:tc>
        <w:tcPr>
          <w:tcW w:w="3120" w:type="dxa"/>
        </w:tcPr>
        <w:p w14:paraId="2C2403A0" w14:textId="48C02642" w:rsidR="00960460" w:rsidRDefault="00960460">
          <w:pPr>
            <w:pStyle w:val="Header"/>
            <w:ind w:left="-115"/>
          </w:pPr>
        </w:p>
      </w:tc>
      <w:tc>
        <w:tcPr>
          <w:tcW w:w="3120" w:type="dxa"/>
        </w:tcPr>
        <w:p w14:paraId="2B142744" w14:textId="0E084AEA" w:rsidR="00960460" w:rsidRDefault="00960460">
          <w:pPr>
            <w:pStyle w:val="Header"/>
            <w:jc w:val="center"/>
          </w:pPr>
        </w:p>
      </w:tc>
      <w:tc>
        <w:tcPr>
          <w:tcW w:w="3120" w:type="dxa"/>
        </w:tcPr>
        <w:p w14:paraId="3451E34E" w14:textId="5A73F306" w:rsidR="00960460" w:rsidRDefault="00960460">
          <w:pPr>
            <w:pStyle w:val="Header"/>
            <w:ind w:right="-115"/>
            <w:jc w:val="right"/>
          </w:pPr>
        </w:p>
      </w:tc>
    </w:tr>
  </w:tbl>
  <w:p w14:paraId="603425FC" w14:textId="019B8FD0" w:rsidR="00960460" w:rsidRDefault="009604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F76B0"/>
    <w:multiLevelType w:val="hybridMultilevel"/>
    <w:tmpl w:val="FC38A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8C337C"/>
    <w:multiLevelType w:val="hybridMultilevel"/>
    <w:tmpl w:val="A5C62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1A6CCA"/>
    <w:multiLevelType w:val="hybridMultilevel"/>
    <w:tmpl w:val="80AAA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10008A"/>
    <w:multiLevelType w:val="hybridMultilevel"/>
    <w:tmpl w:val="DB9ED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BA7A05"/>
    <w:multiLevelType w:val="hybridMultilevel"/>
    <w:tmpl w:val="CC686B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5CF4FD8"/>
    <w:multiLevelType w:val="hybridMultilevel"/>
    <w:tmpl w:val="B20CE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D75A62"/>
    <w:multiLevelType w:val="hybridMultilevel"/>
    <w:tmpl w:val="6FB26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48685F"/>
    <w:multiLevelType w:val="hybridMultilevel"/>
    <w:tmpl w:val="C6507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EA1CD1"/>
    <w:multiLevelType w:val="hybridMultilevel"/>
    <w:tmpl w:val="4AF27A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CC2CB8"/>
    <w:multiLevelType w:val="hybridMultilevel"/>
    <w:tmpl w:val="A88212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3E2626"/>
    <w:multiLevelType w:val="hybridMultilevel"/>
    <w:tmpl w:val="87BA60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FD4182"/>
    <w:multiLevelType w:val="hybridMultilevel"/>
    <w:tmpl w:val="CC08D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C46F55"/>
    <w:multiLevelType w:val="hybridMultilevel"/>
    <w:tmpl w:val="D8CC8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41932D5"/>
    <w:multiLevelType w:val="hybridMultilevel"/>
    <w:tmpl w:val="8578A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281458"/>
    <w:multiLevelType w:val="hybridMultilevel"/>
    <w:tmpl w:val="66CCF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A968FF"/>
    <w:multiLevelType w:val="hybridMultilevel"/>
    <w:tmpl w:val="8C484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CF63139"/>
    <w:multiLevelType w:val="hybridMultilevel"/>
    <w:tmpl w:val="3B1C1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1933352"/>
    <w:multiLevelType w:val="hybridMultilevel"/>
    <w:tmpl w:val="20829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015433B"/>
    <w:multiLevelType w:val="hybridMultilevel"/>
    <w:tmpl w:val="C58C1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AD82D94"/>
    <w:multiLevelType w:val="hybridMultilevel"/>
    <w:tmpl w:val="9B860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3234ABC"/>
    <w:multiLevelType w:val="hybridMultilevel"/>
    <w:tmpl w:val="A210C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3426FF9"/>
    <w:multiLevelType w:val="hybridMultilevel"/>
    <w:tmpl w:val="C5584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7A245FD"/>
    <w:multiLevelType w:val="hybridMultilevel"/>
    <w:tmpl w:val="58BEF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41101434">
    <w:abstractNumId w:val="4"/>
  </w:num>
  <w:num w:numId="2" w16cid:durableId="1216239665">
    <w:abstractNumId w:val="9"/>
  </w:num>
  <w:num w:numId="3" w16cid:durableId="1202748816">
    <w:abstractNumId w:val="18"/>
  </w:num>
  <w:num w:numId="4" w16cid:durableId="854810925">
    <w:abstractNumId w:val="12"/>
  </w:num>
  <w:num w:numId="5" w16cid:durableId="926622335">
    <w:abstractNumId w:val="6"/>
  </w:num>
  <w:num w:numId="6" w16cid:durableId="1459108066">
    <w:abstractNumId w:val="0"/>
  </w:num>
  <w:num w:numId="7" w16cid:durableId="762380366">
    <w:abstractNumId w:val="16"/>
  </w:num>
  <w:num w:numId="8" w16cid:durableId="1380547350">
    <w:abstractNumId w:val="13"/>
  </w:num>
  <w:num w:numId="9" w16cid:durableId="931662408">
    <w:abstractNumId w:val="7"/>
  </w:num>
  <w:num w:numId="10" w16cid:durableId="1402018851">
    <w:abstractNumId w:val="10"/>
  </w:num>
  <w:num w:numId="11" w16cid:durableId="1072124479">
    <w:abstractNumId w:val="20"/>
  </w:num>
  <w:num w:numId="12" w16cid:durableId="212888272">
    <w:abstractNumId w:val="22"/>
  </w:num>
  <w:num w:numId="13" w16cid:durableId="823857526">
    <w:abstractNumId w:val="5"/>
  </w:num>
  <w:num w:numId="14" w16cid:durableId="637028869">
    <w:abstractNumId w:val="19"/>
  </w:num>
  <w:num w:numId="15" w16cid:durableId="1462377652">
    <w:abstractNumId w:val="14"/>
  </w:num>
  <w:num w:numId="16" w16cid:durableId="1191607217">
    <w:abstractNumId w:val="3"/>
  </w:num>
  <w:num w:numId="17" w16cid:durableId="882442851">
    <w:abstractNumId w:val="17"/>
  </w:num>
  <w:num w:numId="18" w16cid:durableId="1749420766">
    <w:abstractNumId w:val="8"/>
  </w:num>
  <w:num w:numId="19" w16cid:durableId="2131702179">
    <w:abstractNumId w:val="1"/>
  </w:num>
  <w:num w:numId="20" w16cid:durableId="215702032">
    <w:abstractNumId w:val="21"/>
  </w:num>
  <w:num w:numId="21" w16cid:durableId="621572692">
    <w:abstractNumId w:val="15"/>
  </w:num>
  <w:num w:numId="22" w16cid:durableId="564729538">
    <w:abstractNumId w:val="11"/>
  </w:num>
  <w:num w:numId="23" w16cid:durableId="2132359475">
    <w:abstractNumId w:val="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drawingGridHorizontalSpacing w:val="10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AE9"/>
    <w:rsid w:val="00001AA5"/>
    <w:rsid w:val="0000276E"/>
    <w:rsid w:val="000071F5"/>
    <w:rsid w:val="000104C4"/>
    <w:rsid w:val="00013588"/>
    <w:rsid w:val="000179F0"/>
    <w:rsid w:val="00021F76"/>
    <w:rsid w:val="000221D1"/>
    <w:rsid w:val="00027AF0"/>
    <w:rsid w:val="00030214"/>
    <w:rsid w:val="00031BC4"/>
    <w:rsid w:val="0003610F"/>
    <w:rsid w:val="00036E6B"/>
    <w:rsid w:val="00037C0A"/>
    <w:rsid w:val="00040189"/>
    <w:rsid w:val="00043EE5"/>
    <w:rsid w:val="00047B36"/>
    <w:rsid w:val="00051FA0"/>
    <w:rsid w:val="00054655"/>
    <w:rsid w:val="00054DE7"/>
    <w:rsid w:val="00055D65"/>
    <w:rsid w:val="00060AB1"/>
    <w:rsid w:val="0006141F"/>
    <w:rsid w:val="00070EA3"/>
    <w:rsid w:val="000715E4"/>
    <w:rsid w:val="000724C0"/>
    <w:rsid w:val="0007271C"/>
    <w:rsid w:val="00073019"/>
    <w:rsid w:val="00074B2F"/>
    <w:rsid w:val="00081A59"/>
    <w:rsid w:val="0008745A"/>
    <w:rsid w:val="00095F03"/>
    <w:rsid w:val="0009729E"/>
    <w:rsid w:val="000972DF"/>
    <w:rsid w:val="000A0374"/>
    <w:rsid w:val="000A0DEB"/>
    <w:rsid w:val="000A2023"/>
    <w:rsid w:val="000A5EA1"/>
    <w:rsid w:val="000A6951"/>
    <w:rsid w:val="000A790F"/>
    <w:rsid w:val="000B1E45"/>
    <w:rsid w:val="000B3CD1"/>
    <w:rsid w:val="000B43A0"/>
    <w:rsid w:val="000B6345"/>
    <w:rsid w:val="000B69B1"/>
    <w:rsid w:val="000B6CE9"/>
    <w:rsid w:val="000C507C"/>
    <w:rsid w:val="000C6A48"/>
    <w:rsid w:val="000C7D93"/>
    <w:rsid w:val="000D0C1C"/>
    <w:rsid w:val="000D0C83"/>
    <w:rsid w:val="000D16EC"/>
    <w:rsid w:val="000D2BE8"/>
    <w:rsid w:val="000D32A5"/>
    <w:rsid w:val="000D3F8C"/>
    <w:rsid w:val="000D6577"/>
    <w:rsid w:val="000D7C0A"/>
    <w:rsid w:val="000D7F55"/>
    <w:rsid w:val="000E0ABC"/>
    <w:rsid w:val="000E15F7"/>
    <w:rsid w:val="000E2D4B"/>
    <w:rsid w:val="000E4FFB"/>
    <w:rsid w:val="000E55BF"/>
    <w:rsid w:val="000E7773"/>
    <w:rsid w:val="000F0673"/>
    <w:rsid w:val="00101243"/>
    <w:rsid w:val="001055F6"/>
    <w:rsid w:val="00107C82"/>
    <w:rsid w:val="00111D1B"/>
    <w:rsid w:val="00113036"/>
    <w:rsid w:val="0011314D"/>
    <w:rsid w:val="00113C65"/>
    <w:rsid w:val="00113CAA"/>
    <w:rsid w:val="00114723"/>
    <w:rsid w:val="001166A2"/>
    <w:rsid w:val="00116B6B"/>
    <w:rsid w:val="001225E4"/>
    <w:rsid w:val="0012348D"/>
    <w:rsid w:val="00124226"/>
    <w:rsid w:val="001269E6"/>
    <w:rsid w:val="00130107"/>
    <w:rsid w:val="00131819"/>
    <w:rsid w:val="00132B46"/>
    <w:rsid w:val="00133785"/>
    <w:rsid w:val="00134727"/>
    <w:rsid w:val="00136CA1"/>
    <w:rsid w:val="00136D63"/>
    <w:rsid w:val="00142ABC"/>
    <w:rsid w:val="0015011D"/>
    <w:rsid w:val="00155601"/>
    <w:rsid w:val="001567F4"/>
    <w:rsid w:val="00157C0B"/>
    <w:rsid w:val="00157E37"/>
    <w:rsid w:val="00164748"/>
    <w:rsid w:val="0016507D"/>
    <w:rsid w:val="00166CBA"/>
    <w:rsid w:val="00167214"/>
    <w:rsid w:val="0017413C"/>
    <w:rsid w:val="0019154D"/>
    <w:rsid w:val="00191806"/>
    <w:rsid w:val="00193B6A"/>
    <w:rsid w:val="001953F0"/>
    <w:rsid w:val="001A050D"/>
    <w:rsid w:val="001A06F0"/>
    <w:rsid w:val="001A4A16"/>
    <w:rsid w:val="001A6F8C"/>
    <w:rsid w:val="001A7A9F"/>
    <w:rsid w:val="001B1E37"/>
    <w:rsid w:val="001B3898"/>
    <w:rsid w:val="001B55A7"/>
    <w:rsid w:val="001B61C5"/>
    <w:rsid w:val="001B6397"/>
    <w:rsid w:val="001C2F50"/>
    <w:rsid w:val="001C51DE"/>
    <w:rsid w:val="001C6303"/>
    <w:rsid w:val="001D02C1"/>
    <w:rsid w:val="001D34D5"/>
    <w:rsid w:val="001D5083"/>
    <w:rsid w:val="001D748C"/>
    <w:rsid w:val="001E4E15"/>
    <w:rsid w:val="001E544E"/>
    <w:rsid w:val="001F07A1"/>
    <w:rsid w:val="001F1794"/>
    <w:rsid w:val="001F1AD0"/>
    <w:rsid w:val="001F392A"/>
    <w:rsid w:val="001F67DD"/>
    <w:rsid w:val="001F7A14"/>
    <w:rsid w:val="00202DA7"/>
    <w:rsid w:val="0020318B"/>
    <w:rsid w:val="002035CE"/>
    <w:rsid w:val="00210497"/>
    <w:rsid w:val="00212B19"/>
    <w:rsid w:val="00213392"/>
    <w:rsid w:val="002148C7"/>
    <w:rsid w:val="00216E90"/>
    <w:rsid w:val="00222872"/>
    <w:rsid w:val="00224FF7"/>
    <w:rsid w:val="0022553F"/>
    <w:rsid w:val="0023265A"/>
    <w:rsid w:val="0023545A"/>
    <w:rsid w:val="00240F93"/>
    <w:rsid w:val="002412F5"/>
    <w:rsid w:val="00243902"/>
    <w:rsid w:val="00245687"/>
    <w:rsid w:val="00245DC0"/>
    <w:rsid w:val="002470BF"/>
    <w:rsid w:val="00251AE3"/>
    <w:rsid w:val="0025555F"/>
    <w:rsid w:val="00255852"/>
    <w:rsid w:val="00257424"/>
    <w:rsid w:val="00260866"/>
    <w:rsid w:val="002635FD"/>
    <w:rsid w:val="002647DC"/>
    <w:rsid w:val="00265C8F"/>
    <w:rsid w:val="00267F11"/>
    <w:rsid w:val="00273E11"/>
    <w:rsid w:val="002744D7"/>
    <w:rsid w:val="002771BE"/>
    <w:rsid w:val="002842B3"/>
    <w:rsid w:val="00286365"/>
    <w:rsid w:val="00292C0B"/>
    <w:rsid w:val="00293F1F"/>
    <w:rsid w:val="002947F4"/>
    <w:rsid w:val="00297803"/>
    <w:rsid w:val="002A0CA5"/>
    <w:rsid w:val="002A1A74"/>
    <w:rsid w:val="002A1F22"/>
    <w:rsid w:val="002A2472"/>
    <w:rsid w:val="002A4443"/>
    <w:rsid w:val="002A7664"/>
    <w:rsid w:val="002B2269"/>
    <w:rsid w:val="002B4FAB"/>
    <w:rsid w:val="002B669B"/>
    <w:rsid w:val="002C084C"/>
    <w:rsid w:val="002C1CD0"/>
    <w:rsid w:val="002C1D93"/>
    <w:rsid w:val="002C54FE"/>
    <w:rsid w:val="002C6BEF"/>
    <w:rsid w:val="002D0B26"/>
    <w:rsid w:val="002D41E4"/>
    <w:rsid w:val="002D4AB2"/>
    <w:rsid w:val="002D515A"/>
    <w:rsid w:val="002D72AE"/>
    <w:rsid w:val="002E440E"/>
    <w:rsid w:val="002E7B69"/>
    <w:rsid w:val="002F118A"/>
    <w:rsid w:val="002F201C"/>
    <w:rsid w:val="002F54F8"/>
    <w:rsid w:val="002F6ABB"/>
    <w:rsid w:val="00301D40"/>
    <w:rsid w:val="0030235C"/>
    <w:rsid w:val="003063C3"/>
    <w:rsid w:val="003119EB"/>
    <w:rsid w:val="00311BB3"/>
    <w:rsid w:val="00314E7A"/>
    <w:rsid w:val="00316503"/>
    <w:rsid w:val="00316872"/>
    <w:rsid w:val="003226FD"/>
    <w:rsid w:val="00324E97"/>
    <w:rsid w:val="00329CB2"/>
    <w:rsid w:val="00330161"/>
    <w:rsid w:val="00330B9A"/>
    <w:rsid w:val="00333D60"/>
    <w:rsid w:val="00333ED0"/>
    <w:rsid w:val="003350EC"/>
    <w:rsid w:val="0034237F"/>
    <w:rsid w:val="00343E00"/>
    <w:rsid w:val="0034590A"/>
    <w:rsid w:val="00346661"/>
    <w:rsid w:val="003548E4"/>
    <w:rsid w:val="003553EE"/>
    <w:rsid w:val="003579BC"/>
    <w:rsid w:val="00362248"/>
    <w:rsid w:val="003654AE"/>
    <w:rsid w:val="003661C3"/>
    <w:rsid w:val="00370301"/>
    <w:rsid w:val="00371A45"/>
    <w:rsid w:val="00374634"/>
    <w:rsid w:val="00376610"/>
    <w:rsid w:val="00382DC0"/>
    <w:rsid w:val="00383953"/>
    <w:rsid w:val="003841E8"/>
    <w:rsid w:val="0038693E"/>
    <w:rsid w:val="00391EB1"/>
    <w:rsid w:val="003947A9"/>
    <w:rsid w:val="00396A08"/>
    <w:rsid w:val="003A2355"/>
    <w:rsid w:val="003B2C27"/>
    <w:rsid w:val="003B3732"/>
    <w:rsid w:val="003C195A"/>
    <w:rsid w:val="003C7D75"/>
    <w:rsid w:val="003D00CA"/>
    <w:rsid w:val="003D4C1E"/>
    <w:rsid w:val="003D7EB7"/>
    <w:rsid w:val="003E3A8C"/>
    <w:rsid w:val="003E7A59"/>
    <w:rsid w:val="003E7B74"/>
    <w:rsid w:val="00403483"/>
    <w:rsid w:val="004043C1"/>
    <w:rsid w:val="00405329"/>
    <w:rsid w:val="00407734"/>
    <w:rsid w:val="00410CB4"/>
    <w:rsid w:val="0041188E"/>
    <w:rsid w:val="00411AC6"/>
    <w:rsid w:val="004210AE"/>
    <w:rsid w:val="00421C41"/>
    <w:rsid w:val="00424B0A"/>
    <w:rsid w:val="0043085C"/>
    <w:rsid w:val="00431D72"/>
    <w:rsid w:val="00432DDD"/>
    <w:rsid w:val="00440BFE"/>
    <w:rsid w:val="00442D91"/>
    <w:rsid w:val="004447E1"/>
    <w:rsid w:val="00450A24"/>
    <w:rsid w:val="004527C9"/>
    <w:rsid w:val="00454382"/>
    <w:rsid w:val="00457DE4"/>
    <w:rsid w:val="00462447"/>
    <w:rsid w:val="0046244B"/>
    <w:rsid w:val="004650F1"/>
    <w:rsid w:val="00466C5F"/>
    <w:rsid w:val="0047065A"/>
    <w:rsid w:val="00471B81"/>
    <w:rsid w:val="00476EC8"/>
    <w:rsid w:val="00480EA0"/>
    <w:rsid w:val="00482986"/>
    <w:rsid w:val="00483A5B"/>
    <w:rsid w:val="00484572"/>
    <w:rsid w:val="0048725F"/>
    <w:rsid w:val="00490A43"/>
    <w:rsid w:val="00494D11"/>
    <w:rsid w:val="004A14F4"/>
    <w:rsid w:val="004B5629"/>
    <w:rsid w:val="004C0158"/>
    <w:rsid w:val="004C45D0"/>
    <w:rsid w:val="004C56B6"/>
    <w:rsid w:val="004D629F"/>
    <w:rsid w:val="004D72BA"/>
    <w:rsid w:val="004E2DAD"/>
    <w:rsid w:val="004E3E2B"/>
    <w:rsid w:val="004E45B1"/>
    <w:rsid w:val="004E6BAE"/>
    <w:rsid w:val="004E6C88"/>
    <w:rsid w:val="004E72B3"/>
    <w:rsid w:val="004F6226"/>
    <w:rsid w:val="00500327"/>
    <w:rsid w:val="00503FF6"/>
    <w:rsid w:val="005043AE"/>
    <w:rsid w:val="00504BC5"/>
    <w:rsid w:val="0051536C"/>
    <w:rsid w:val="005178FF"/>
    <w:rsid w:val="00520914"/>
    <w:rsid w:val="0052344E"/>
    <w:rsid w:val="005237C8"/>
    <w:rsid w:val="005259B4"/>
    <w:rsid w:val="00525B00"/>
    <w:rsid w:val="005270CE"/>
    <w:rsid w:val="00531B01"/>
    <w:rsid w:val="00534556"/>
    <w:rsid w:val="005350B8"/>
    <w:rsid w:val="00535C96"/>
    <w:rsid w:val="0054005D"/>
    <w:rsid w:val="00540E68"/>
    <w:rsid w:val="00543C32"/>
    <w:rsid w:val="0054457C"/>
    <w:rsid w:val="005459FB"/>
    <w:rsid w:val="00547B83"/>
    <w:rsid w:val="00551F57"/>
    <w:rsid w:val="00552103"/>
    <w:rsid w:val="00552A39"/>
    <w:rsid w:val="00554249"/>
    <w:rsid w:val="00555FA5"/>
    <w:rsid w:val="005610D9"/>
    <w:rsid w:val="00561981"/>
    <w:rsid w:val="0056328F"/>
    <w:rsid w:val="00563829"/>
    <w:rsid w:val="00565188"/>
    <w:rsid w:val="005673A7"/>
    <w:rsid w:val="00567D24"/>
    <w:rsid w:val="0057305D"/>
    <w:rsid w:val="0058245B"/>
    <w:rsid w:val="00582B9E"/>
    <w:rsid w:val="00583A45"/>
    <w:rsid w:val="005861D0"/>
    <w:rsid w:val="00586397"/>
    <w:rsid w:val="005935C8"/>
    <w:rsid w:val="00595AAE"/>
    <w:rsid w:val="00595DB2"/>
    <w:rsid w:val="005A09E2"/>
    <w:rsid w:val="005A15D9"/>
    <w:rsid w:val="005A3010"/>
    <w:rsid w:val="005B07D8"/>
    <w:rsid w:val="005B11EA"/>
    <w:rsid w:val="005B14A7"/>
    <w:rsid w:val="005B2DC1"/>
    <w:rsid w:val="005B72D4"/>
    <w:rsid w:val="005B7B91"/>
    <w:rsid w:val="005C2947"/>
    <w:rsid w:val="005D0AE9"/>
    <w:rsid w:val="005D307C"/>
    <w:rsid w:val="005D6716"/>
    <w:rsid w:val="005E1079"/>
    <w:rsid w:val="005E206F"/>
    <w:rsid w:val="005E3466"/>
    <w:rsid w:val="005E3F8F"/>
    <w:rsid w:val="005E4195"/>
    <w:rsid w:val="005E4C8E"/>
    <w:rsid w:val="005F48B1"/>
    <w:rsid w:val="005F4B4F"/>
    <w:rsid w:val="005F4EBD"/>
    <w:rsid w:val="005F67A5"/>
    <w:rsid w:val="006011B2"/>
    <w:rsid w:val="006027C2"/>
    <w:rsid w:val="006059B6"/>
    <w:rsid w:val="00611E23"/>
    <w:rsid w:val="00611E5C"/>
    <w:rsid w:val="00613070"/>
    <w:rsid w:val="00613250"/>
    <w:rsid w:val="00613813"/>
    <w:rsid w:val="006138F4"/>
    <w:rsid w:val="00614D7E"/>
    <w:rsid w:val="00615F75"/>
    <w:rsid w:val="0061665D"/>
    <w:rsid w:val="00616C6F"/>
    <w:rsid w:val="006325BA"/>
    <w:rsid w:val="006347CC"/>
    <w:rsid w:val="00635062"/>
    <w:rsid w:val="0063628D"/>
    <w:rsid w:val="00640E68"/>
    <w:rsid w:val="00642248"/>
    <w:rsid w:val="00645C3E"/>
    <w:rsid w:val="006523E1"/>
    <w:rsid w:val="00653444"/>
    <w:rsid w:val="00655DE1"/>
    <w:rsid w:val="00656436"/>
    <w:rsid w:val="00661914"/>
    <w:rsid w:val="006763B6"/>
    <w:rsid w:val="00676A77"/>
    <w:rsid w:val="00681791"/>
    <w:rsid w:val="00681F28"/>
    <w:rsid w:val="0068298A"/>
    <w:rsid w:val="00682F5F"/>
    <w:rsid w:val="0068664E"/>
    <w:rsid w:val="00687A2D"/>
    <w:rsid w:val="0069200A"/>
    <w:rsid w:val="006930A6"/>
    <w:rsid w:val="00696E40"/>
    <w:rsid w:val="00696F89"/>
    <w:rsid w:val="00697079"/>
    <w:rsid w:val="00697DA0"/>
    <w:rsid w:val="006A139C"/>
    <w:rsid w:val="006A4FFC"/>
    <w:rsid w:val="006A6DD0"/>
    <w:rsid w:val="006A7A28"/>
    <w:rsid w:val="006B1734"/>
    <w:rsid w:val="006B320E"/>
    <w:rsid w:val="006C1A9A"/>
    <w:rsid w:val="006C645A"/>
    <w:rsid w:val="006D17AA"/>
    <w:rsid w:val="006D4D79"/>
    <w:rsid w:val="006D4DAF"/>
    <w:rsid w:val="006D680B"/>
    <w:rsid w:val="006E1BBE"/>
    <w:rsid w:val="006E21C4"/>
    <w:rsid w:val="006E5250"/>
    <w:rsid w:val="006E5A8C"/>
    <w:rsid w:val="006E5C82"/>
    <w:rsid w:val="006E694F"/>
    <w:rsid w:val="006F146B"/>
    <w:rsid w:val="006F17DB"/>
    <w:rsid w:val="006F3B10"/>
    <w:rsid w:val="006F3ECE"/>
    <w:rsid w:val="006F7187"/>
    <w:rsid w:val="0070080A"/>
    <w:rsid w:val="00703BD4"/>
    <w:rsid w:val="00704096"/>
    <w:rsid w:val="00705AB1"/>
    <w:rsid w:val="00706BE6"/>
    <w:rsid w:val="007116EC"/>
    <w:rsid w:val="00714841"/>
    <w:rsid w:val="00714F05"/>
    <w:rsid w:val="0071684A"/>
    <w:rsid w:val="007204EE"/>
    <w:rsid w:val="00720EC1"/>
    <w:rsid w:val="00723D52"/>
    <w:rsid w:val="00726383"/>
    <w:rsid w:val="0073146A"/>
    <w:rsid w:val="00732646"/>
    <w:rsid w:val="00733517"/>
    <w:rsid w:val="00733BCA"/>
    <w:rsid w:val="00733EF3"/>
    <w:rsid w:val="0073482A"/>
    <w:rsid w:val="0073751E"/>
    <w:rsid w:val="00737ECD"/>
    <w:rsid w:val="00741453"/>
    <w:rsid w:val="0074349C"/>
    <w:rsid w:val="00743AC0"/>
    <w:rsid w:val="007529D1"/>
    <w:rsid w:val="00760A85"/>
    <w:rsid w:val="007622CA"/>
    <w:rsid w:val="00762AB5"/>
    <w:rsid w:val="0076667A"/>
    <w:rsid w:val="00767501"/>
    <w:rsid w:val="0077040C"/>
    <w:rsid w:val="007746E7"/>
    <w:rsid w:val="0077490B"/>
    <w:rsid w:val="00776C55"/>
    <w:rsid w:val="00784FD0"/>
    <w:rsid w:val="007936A4"/>
    <w:rsid w:val="007939CD"/>
    <w:rsid w:val="00794F17"/>
    <w:rsid w:val="0079513B"/>
    <w:rsid w:val="007956DD"/>
    <w:rsid w:val="0079776E"/>
    <w:rsid w:val="007977F3"/>
    <w:rsid w:val="00797B39"/>
    <w:rsid w:val="007A35C1"/>
    <w:rsid w:val="007A60B7"/>
    <w:rsid w:val="007A79B1"/>
    <w:rsid w:val="007C2CA3"/>
    <w:rsid w:val="007C369E"/>
    <w:rsid w:val="007C545E"/>
    <w:rsid w:val="007C60E8"/>
    <w:rsid w:val="007C6806"/>
    <w:rsid w:val="007C6C43"/>
    <w:rsid w:val="007D1537"/>
    <w:rsid w:val="007D4F2E"/>
    <w:rsid w:val="007D507C"/>
    <w:rsid w:val="007E2388"/>
    <w:rsid w:val="007E4186"/>
    <w:rsid w:val="007E5091"/>
    <w:rsid w:val="007E598E"/>
    <w:rsid w:val="007E6F3E"/>
    <w:rsid w:val="007F0DA4"/>
    <w:rsid w:val="007F0EB2"/>
    <w:rsid w:val="007F1E50"/>
    <w:rsid w:val="007F2853"/>
    <w:rsid w:val="007F4FD6"/>
    <w:rsid w:val="007F54B0"/>
    <w:rsid w:val="007F67D8"/>
    <w:rsid w:val="00801A0C"/>
    <w:rsid w:val="00804728"/>
    <w:rsid w:val="008139C9"/>
    <w:rsid w:val="00816B57"/>
    <w:rsid w:val="0082553D"/>
    <w:rsid w:val="00825FB6"/>
    <w:rsid w:val="00830964"/>
    <w:rsid w:val="008318A8"/>
    <w:rsid w:val="00835078"/>
    <w:rsid w:val="00835C49"/>
    <w:rsid w:val="008378FE"/>
    <w:rsid w:val="00844B28"/>
    <w:rsid w:val="00845396"/>
    <w:rsid w:val="0084584D"/>
    <w:rsid w:val="0084695C"/>
    <w:rsid w:val="00853E98"/>
    <w:rsid w:val="00854048"/>
    <w:rsid w:val="008605B2"/>
    <w:rsid w:val="00861DBB"/>
    <w:rsid w:val="008651D1"/>
    <w:rsid w:val="008658E5"/>
    <w:rsid w:val="00871BC4"/>
    <w:rsid w:val="00872894"/>
    <w:rsid w:val="00876772"/>
    <w:rsid w:val="00881902"/>
    <w:rsid w:val="008873FE"/>
    <w:rsid w:val="00887D14"/>
    <w:rsid w:val="00890FB9"/>
    <w:rsid w:val="00894C9C"/>
    <w:rsid w:val="0089677C"/>
    <w:rsid w:val="00897D73"/>
    <w:rsid w:val="008A1EF9"/>
    <w:rsid w:val="008A29D4"/>
    <w:rsid w:val="008A4BB0"/>
    <w:rsid w:val="008B0D41"/>
    <w:rsid w:val="008B3882"/>
    <w:rsid w:val="008B47D5"/>
    <w:rsid w:val="008C0402"/>
    <w:rsid w:val="008C0E0A"/>
    <w:rsid w:val="008C2431"/>
    <w:rsid w:val="008C3116"/>
    <w:rsid w:val="008C4FAD"/>
    <w:rsid w:val="008C7125"/>
    <w:rsid w:val="008C7CA3"/>
    <w:rsid w:val="008C7F07"/>
    <w:rsid w:val="008D2158"/>
    <w:rsid w:val="008D55A9"/>
    <w:rsid w:val="008F2256"/>
    <w:rsid w:val="008F3B02"/>
    <w:rsid w:val="008F53C8"/>
    <w:rsid w:val="008F53CC"/>
    <w:rsid w:val="008F5A0D"/>
    <w:rsid w:val="009002CC"/>
    <w:rsid w:val="0090364F"/>
    <w:rsid w:val="00904378"/>
    <w:rsid w:val="00904CF3"/>
    <w:rsid w:val="009118A3"/>
    <w:rsid w:val="00914D2E"/>
    <w:rsid w:val="00916815"/>
    <w:rsid w:val="0091688F"/>
    <w:rsid w:val="00916F9C"/>
    <w:rsid w:val="009179B2"/>
    <w:rsid w:val="00920F86"/>
    <w:rsid w:val="009210AD"/>
    <w:rsid w:val="00921AF4"/>
    <w:rsid w:val="0092560D"/>
    <w:rsid w:val="009258C2"/>
    <w:rsid w:val="009269DF"/>
    <w:rsid w:val="0093005E"/>
    <w:rsid w:val="00944248"/>
    <w:rsid w:val="00945544"/>
    <w:rsid w:val="00945B90"/>
    <w:rsid w:val="00947816"/>
    <w:rsid w:val="00950F2B"/>
    <w:rsid w:val="00951936"/>
    <w:rsid w:val="00960460"/>
    <w:rsid w:val="009613F6"/>
    <w:rsid w:val="0096175A"/>
    <w:rsid w:val="00962BB5"/>
    <w:rsid w:val="00963CE6"/>
    <w:rsid w:val="00970D4C"/>
    <w:rsid w:val="009711E3"/>
    <w:rsid w:val="009748DF"/>
    <w:rsid w:val="00974A11"/>
    <w:rsid w:val="00975807"/>
    <w:rsid w:val="00976A45"/>
    <w:rsid w:val="00985509"/>
    <w:rsid w:val="009917F8"/>
    <w:rsid w:val="009918AC"/>
    <w:rsid w:val="00992450"/>
    <w:rsid w:val="00994132"/>
    <w:rsid w:val="009968C1"/>
    <w:rsid w:val="00997121"/>
    <w:rsid w:val="009972A2"/>
    <w:rsid w:val="009A1F7E"/>
    <w:rsid w:val="009A54A3"/>
    <w:rsid w:val="009B0CB1"/>
    <w:rsid w:val="009B152D"/>
    <w:rsid w:val="009B2568"/>
    <w:rsid w:val="009B33E4"/>
    <w:rsid w:val="009C364F"/>
    <w:rsid w:val="009C762A"/>
    <w:rsid w:val="009C7C4A"/>
    <w:rsid w:val="009D2650"/>
    <w:rsid w:val="009D5762"/>
    <w:rsid w:val="009E08A3"/>
    <w:rsid w:val="009E258A"/>
    <w:rsid w:val="009E3B8E"/>
    <w:rsid w:val="009F0E3E"/>
    <w:rsid w:val="009F2A69"/>
    <w:rsid w:val="009F404D"/>
    <w:rsid w:val="009F70B6"/>
    <w:rsid w:val="00A00B61"/>
    <w:rsid w:val="00A01507"/>
    <w:rsid w:val="00A017B2"/>
    <w:rsid w:val="00A10600"/>
    <w:rsid w:val="00A140D6"/>
    <w:rsid w:val="00A14923"/>
    <w:rsid w:val="00A16C65"/>
    <w:rsid w:val="00A207D9"/>
    <w:rsid w:val="00A208F3"/>
    <w:rsid w:val="00A20AB5"/>
    <w:rsid w:val="00A23A54"/>
    <w:rsid w:val="00A24C96"/>
    <w:rsid w:val="00A24FEE"/>
    <w:rsid w:val="00A26D97"/>
    <w:rsid w:val="00A27740"/>
    <w:rsid w:val="00A27E3F"/>
    <w:rsid w:val="00A3000C"/>
    <w:rsid w:val="00A35FC1"/>
    <w:rsid w:val="00A36E0D"/>
    <w:rsid w:val="00A376B2"/>
    <w:rsid w:val="00A37DEB"/>
    <w:rsid w:val="00A46C27"/>
    <w:rsid w:val="00A506BE"/>
    <w:rsid w:val="00A50D50"/>
    <w:rsid w:val="00A513D0"/>
    <w:rsid w:val="00A53329"/>
    <w:rsid w:val="00A54010"/>
    <w:rsid w:val="00A54C13"/>
    <w:rsid w:val="00A55A42"/>
    <w:rsid w:val="00A55CBD"/>
    <w:rsid w:val="00A5652B"/>
    <w:rsid w:val="00A61F61"/>
    <w:rsid w:val="00A62E67"/>
    <w:rsid w:val="00A63545"/>
    <w:rsid w:val="00A65891"/>
    <w:rsid w:val="00A67C19"/>
    <w:rsid w:val="00A7370C"/>
    <w:rsid w:val="00A76BCA"/>
    <w:rsid w:val="00A77203"/>
    <w:rsid w:val="00A805CB"/>
    <w:rsid w:val="00A841A5"/>
    <w:rsid w:val="00A844C0"/>
    <w:rsid w:val="00A856CA"/>
    <w:rsid w:val="00A856D5"/>
    <w:rsid w:val="00A85828"/>
    <w:rsid w:val="00A8766A"/>
    <w:rsid w:val="00A92C15"/>
    <w:rsid w:val="00A93C5D"/>
    <w:rsid w:val="00A94A3F"/>
    <w:rsid w:val="00A952CB"/>
    <w:rsid w:val="00A972AA"/>
    <w:rsid w:val="00AA4D9A"/>
    <w:rsid w:val="00AA726E"/>
    <w:rsid w:val="00AB17F4"/>
    <w:rsid w:val="00AB795D"/>
    <w:rsid w:val="00AC136B"/>
    <w:rsid w:val="00AC2A3F"/>
    <w:rsid w:val="00AC3C55"/>
    <w:rsid w:val="00AC6F52"/>
    <w:rsid w:val="00AC7EF5"/>
    <w:rsid w:val="00AD05CE"/>
    <w:rsid w:val="00AE0A53"/>
    <w:rsid w:val="00AE164F"/>
    <w:rsid w:val="00AE3461"/>
    <w:rsid w:val="00AE5F90"/>
    <w:rsid w:val="00AE6DF6"/>
    <w:rsid w:val="00AE7D5A"/>
    <w:rsid w:val="00AE7F0C"/>
    <w:rsid w:val="00AF2CDD"/>
    <w:rsid w:val="00AF4F92"/>
    <w:rsid w:val="00B0603C"/>
    <w:rsid w:val="00B06471"/>
    <w:rsid w:val="00B06B9E"/>
    <w:rsid w:val="00B1142C"/>
    <w:rsid w:val="00B1420D"/>
    <w:rsid w:val="00B14DDC"/>
    <w:rsid w:val="00B20D21"/>
    <w:rsid w:val="00B21180"/>
    <w:rsid w:val="00B268F3"/>
    <w:rsid w:val="00B26E97"/>
    <w:rsid w:val="00B30BEE"/>
    <w:rsid w:val="00B31842"/>
    <w:rsid w:val="00B36EF0"/>
    <w:rsid w:val="00B40D48"/>
    <w:rsid w:val="00B4116A"/>
    <w:rsid w:val="00B41BB6"/>
    <w:rsid w:val="00B42EB8"/>
    <w:rsid w:val="00B437AE"/>
    <w:rsid w:val="00B45BB4"/>
    <w:rsid w:val="00B4759C"/>
    <w:rsid w:val="00B47878"/>
    <w:rsid w:val="00B47A12"/>
    <w:rsid w:val="00B500AF"/>
    <w:rsid w:val="00B50575"/>
    <w:rsid w:val="00B54DDB"/>
    <w:rsid w:val="00B60DEF"/>
    <w:rsid w:val="00B869E1"/>
    <w:rsid w:val="00B86CF4"/>
    <w:rsid w:val="00B9371E"/>
    <w:rsid w:val="00B967D9"/>
    <w:rsid w:val="00BB11EA"/>
    <w:rsid w:val="00BB2B3B"/>
    <w:rsid w:val="00BB3249"/>
    <w:rsid w:val="00BB3C35"/>
    <w:rsid w:val="00BC1EA8"/>
    <w:rsid w:val="00BC3FBB"/>
    <w:rsid w:val="00BD4CC4"/>
    <w:rsid w:val="00BD67A0"/>
    <w:rsid w:val="00BE080A"/>
    <w:rsid w:val="00BE1A22"/>
    <w:rsid w:val="00BE2126"/>
    <w:rsid w:val="00BE2F62"/>
    <w:rsid w:val="00BE3B5C"/>
    <w:rsid w:val="00BE3E5E"/>
    <w:rsid w:val="00BE50B1"/>
    <w:rsid w:val="00BE72C2"/>
    <w:rsid w:val="00BF027A"/>
    <w:rsid w:val="00BF7F7A"/>
    <w:rsid w:val="00C00050"/>
    <w:rsid w:val="00C00760"/>
    <w:rsid w:val="00C01D88"/>
    <w:rsid w:val="00C04B14"/>
    <w:rsid w:val="00C10F95"/>
    <w:rsid w:val="00C1473B"/>
    <w:rsid w:val="00C15257"/>
    <w:rsid w:val="00C30D24"/>
    <w:rsid w:val="00C3182E"/>
    <w:rsid w:val="00C34DAE"/>
    <w:rsid w:val="00C4092A"/>
    <w:rsid w:val="00C42FF5"/>
    <w:rsid w:val="00C43C99"/>
    <w:rsid w:val="00C44E7B"/>
    <w:rsid w:val="00C450DC"/>
    <w:rsid w:val="00C45290"/>
    <w:rsid w:val="00C45662"/>
    <w:rsid w:val="00C473B8"/>
    <w:rsid w:val="00C518CD"/>
    <w:rsid w:val="00C53863"/>
    <w:rsid w:val="00C54307"/>
    <w:rsid w:val="00C55308"/>
    <w:rsid w:val="00C56691"/>
    <w:rsid w:val="00C57B25"/>
    <w:rsid w:val="00C62375"/>
    <w:rsid w:val="00C647A2"/>
    <w:rsid w:val="00C700D0"/>
    <w:rsid w:val="00C7140F"/>
    <w:rsid w:val="00C735C6"/>
    <w:rsid w:val="00C826BC"/>
    <w:rsid w:val="00C9412A"/>
    <w:rsid w:val="00C96A76"/>
    <w:rsid w:val="00CA0D7C"/>
    <w:rsid w:val="00CA151C"/>
    <w:rsid w:val="00CA2896"/>
    <w:rsid w:val="00CA3ECF"/>
    <w:rsid w:val="00CA4F7D"/>
    <w:rsid w:val="00CA712E"/>
    <w:rsid w:val="00CB0A1F"/>
    <w:rsid w:val="00CB2F81"/>
    <w:rsid w:val="00CB7089"/>
    <w:rsid w:val="00CB7AC5"/>
    <w:rsid w:val="00CC0703"/>
    <w:rsid w:val="00CC2174"/>
    <w:rsid w:val="00CC55C3"/>
    <w:rsid w:val="00CC67B9"/>
    <w:rsid w:val="00CD01DB"/>
    <w:rsid w:val="00CD4E47"/>
    <w:rsid w:val="00CE0407"/>
    <w:rsid w:val="00CE0548"/>
    <w:rsid w:val="00CE1826"/>
    <w:rsid w:val="00CE1F7B"/>
    <w:rsid w:val="00CE4F44"/>
    <w:rsid w:val="00CE646F"/>
    <w:rsid w:val="00CF05C2"/>
    <w:rsid w:val="00CF2AE0"/>
    <w:rsid w:val="00CF2C81"/>
    <w:rsid w:val="00CF407D"/>
    <w:rsid w:val="00CF4FAF"/>
    <w:rsid w:val="00CF593A"/>
    <w:rsid w:val="00CF5FAE"/>
    <w:rsid w:val="00CF6695"/>
    <w:rsid w:val="00CF6818"/>
    <w:rsid w:val="00CF6A23"/>
    <w:rsid w:val="00D02490"/>
    <w:rsid w:val="00D04C63"/>
    <w:rsid w:val="00D06C33"/>
    <w:rsid w:val="00D1065F"/>
    <w:rsid w:val="00D122D0"/>
    <w:rsid w:val="00D1419E"/>
    <w:rsid w:val="00D16950"/>
    <w:rsid w:val="00D16DEB"/>
    <w:rsid w:val="00D21F2F"/>
    <w:rsid w:val="00D26E3F"/>
    <w:rsid w:val="00D26E63"/>
    <w:rsid w:val="00D31E05"/>
    <w:rsid w:val="00D31FA8"/>
    <w:rsid w:val="00D34801"/>
    <w:rsid w:val="00D406D8"/>
    <w:rsid w:val="00D41A1C"/>
    <w:rsid w:val="00D432C6"/>
    <w:rsid w:val="00D46675"/>
    <w:rsid w:val="00D46CAD"/>
    <w:rsid w:val="00D515DE"/>
    <w:rsid w:val="00D529F6"/>
    <w:rsid w:val="00D53E0A"/>
    <w:rsid w:val="00D54870"/>
    <w:rsid w:val="00D60045"/>
    <w:rsid w:val="00D60B62"/>
    <w:rsid w:val="00D6320F"/>
    <w:rsid w:val="00D63CC7"/>
    <w:rsid w:val="00D65709"/>
    <w:rsid w:val="00D6745C"/>
    <w:rsid w:val="00D751A7"/>
    <w:rsid w:val="00D76673"/>
    <w:rsid w:val="00D768B2"/>
    <w:rsid w:val="00D77180"/>
    <w:rsid w:val="00D81ACC"/>
    <w:rsid w:val="00D83A2A"/>
    <w:rsid w:val="00D843DB"/>
    <w:rsid w:val="00D87EC6"/>
    <w:rsid w:val="00D90BC9"/>
    <w:rsid w:val="00D930D7"/>
    <w:rsid w:val="00D93700"/>
    <w:rsid w:val="00DA00F7"/>
    <w:rsid w:val="00DA7C0B"/>
    <w:rsid w:val="00DB688A"/>
    <w:rsid w:val="00DC19AC"/>
    <w:rsid w:val="00DC31AB"/>
    <w:rsid w:val="00DC49B2"/>
    <w:rsid w:val="00DC671D"/>
    <w:rsid w:val="00DC7A73"/>
    <w:rsid w:val="00DD5404"/>
    <w:rsid w:val="00DE0F0A"/>
    <w:rsid w:val="00DE25C3"/>
    <w:rsid w:val="00DE6E8A"/>
    <w:rsid w:val="00DF1D7F"/>
    <w:rsid w:val="00DF4B74"/>
    <w:rsid w:val="00DF5C97"/>
    <w:rsid w:val="00DF7898"/>
    <w:rsid w:val="00E00F5B"/>
    <w:rsid w:val="00E04452"/>
    <w:rsid w:val="00E068C0"/>
    <w:rsid w:val="00E07267"/>
    <w:rsid w:val="00E14BC5"/>
    <w:rsid w:val="00E21701"/>
    <w:rsid w:val="00E21E06"/>
    <w:rsid w:val="00E2409A"/>
    <w:rsid w:val="00E27347"/>
    <w:rsid w:val="00E3417D"/>
    <w:rsid w:val="00E35174"/>
    <w:rsid w:val="00E36D7D"/>
    <w:rsid w:val="00E422E1"/>
    <w:rsid w:val="00E45B8B"/>
    <w:rsid w:val="00E50642"/>
    <w:rsid w:val="00E51634"/>
    <w:rsid w:val="00E51C19"/>
    <w:rsid w:val="00E54A06"/>
    <w:rsid w:val="00E57320"/>
    <w:rsid w:val="00E60B25"/>
    <w:rsid w:val="00E62CDA"/>
    <w:rsid w:val="00E64C6A"/>
    <w:rsid w:val="00E675B0"/>
    <w:rsid w:val="00E675FA"/>
    <w:rsid w:val="00E76F3A"/>
    <w:rsid w:val="00E77228"/>
    <w:rsid w:val="00E85DDF"/>
    <w:rsid w:val="00E85EF7"/>
    <w:rsid w:val="00E90413"/>
    <w:rsid w:val="00E91540"/>
    <w:rsid w:val="00E9257D"/>
    <w:rsid w:val="00E95024"/>
    <w:rsid w:val="00EA017A"/>
    <w:rsid w:val="00EA0B42"/>
    <w:rsid w:val="00EA0F47"/>
    <w:rsid w:val="00EA19CF"/>
    <w:rsid w:val="00EB1D08"/>
    <w:rsid w:val="00EB3F30"/>
    <w:rsid w:val="00EC0E80"/>
    <w:rsid w:val="00ED0C16"/>
    <w:rsid w:val="00ED2200"/>
    <w:rsid w:val="00ED3E1C"/>
    <w:rsid w:val="00ED4D58"/>
    <w:rsid w:val="00EE0B79"/>
    <w:rsid w:val="00EE195F"/>
    <w:rsid w:val="00EE320F"/>
    <w:rsid w:val="00EE4C8A"/>
    <w:rsid w:val="00EF0436"/>
    <w:rsid w:val="00EF07EB"/>
    <w:rsid w:val="00EF1D8E"/>
    <w:rsid w:val="00EF2B00"/>
    <w:rsid w:val="00EF3341"/>
    <w:rsid w:val="00EF5B35"/>
    <w:rsid w:val="00F00EF2"/>
    <w:rsid w:val="00F01395"/>
    <w:rsid w:val="00F01804"/>
    <w:rsid w:val="00F01E61"/>
    <w:rsid w:val="00F04A70"/>
    <w:rsid w:val="00F06795"/>
    <w:rsid w:val="00F12569"/>
    <w:rsid w:val="00F17522"/>
    <w:rsid w:val="00F177CB"/>
    <w:rsid w:val="00F17DC4"/>
    <w:rsid w:val="00F209EF"/>
    <w:rsid w:val="00F20EF4"/>
    <w:rsid w:val="00F2200A"/>
    <w:rsid w:val="00F26C5D"/>
    <w:rsid w:val="00F27E4E"/>
    <w:rsid w:val="00F330E8"/>
    <w:rsid w:val="00F3571F"/>
    <w:rsid w:val="00F377CF"/>
    <w:rsid w:val="00F41F0A"/>
    <w:rsid w:val="00F4475F"/>
    <w:rsid w:val="00F47984"/>
    <w:rsid w:val="00F51A91"/>
    <w:rsid w:val="00F51E0A"/>
    <w:rsid w:val="00F52F47"/>
    <w:rsid w:val="00F61E2B"/>
    <w:rsid w:val="00F64535"/>
    <w:rsid w:val="00F64C52"/>
    <w:rsid w:val="00F67866"/>
    <w:rsid w:val="00F67ABC"/>
    <w:rsid w:val="00F7183B"/>
    <w:rsid w:val="00F733F5"/>
    <w:rsid w:val="00F73CA4"/>
    <w:rsid w:val="00F74770"/>
    <w:rsid w:val="00F7549D"/>
    <w:rsid w:val="00F80406"/>
    <w:rsid w:val="00F84C6F"/>
    <w:rsid w:val="00F91BDB"/>
    <w:rsid w:val="00F92A90"/>
    <w:rsid w:val="00F93691"/>
    <w:rsid w:val="00FA5882"/>
    <w:rsid w:val="00FA5EBA"/>
    <w:rsid w:val="00FB293C"/>
    <w:rsid w:val="00FB66FF"/>
    <w:rsid w:val="00FB6A52"/>
    <w:rsid w:val="00FC146B"/>
    <w:rsid w:val="00FD439C"/>
    <w:rsid w:val="00FD5774"/>
    <w:rsid w:val="00FE2016"/>
    <w:rsid w:val="00FE3019"/>
    <w:rsid w:val="00FE3E24"/>
    <w:rsid w:val="00FE4A63"/>
    <w:rsid w:val="00FE5B9E"/>
    <w:rsid w:val="00FE7A76"/>
    <w:rsid w:val="00FF22CB"/>
    <w:rsid w:val="00FF39DC"/>
    <w:rsid w:val="00FF5F28"/>
    <w:rsid w:val="00FF77F2"/>
    <w:rsid w:val="012E535F"/>
    <w:rsid w:val="01E00E67"/>
    <w:rsid w:val="02148A71"/>
    <w:rsid w:val="021F3848"/>
    <w:rsid w:val="02534901"/>
    <w:rsid w:val="02A6C461"/>
    <w:rsid w:val="03F37E02"/>
    <w:rsid w:val="0490FE9E"/>
    <w:rsid w:val="0552EDE9"/>
    <w:rsid w:val="0575F18D"/>
    <w:rsid w:val="05CD7007"/>
    <w:rsid w:val="05DDD214"/>
    <w:rsid w:val="0640A7F0"/>
    <w:rsid w:val="06ED3CF0"/>
    <w:rsid w:val="072E2D1C"/>
    <w:rsid w:val="07489E7D"/>
    <w:rsid w:val="074D92F0"/>
    <w:rsid w:val="07786298"/>
    <w:rsid w:val="079F1575"/>
    <w:rsid w:val="08871800"/>
    <w:rsid w:val="08A90A21"/>
    <w:rsid w:val="0939071F"/>
    <w:rsid w:val="098D3437"/>
    <w:rsid w:val="098F9D84"/>
    <w:rsid w:val="099A563A"/>
    <w:rsid w:val="0A05CA27"/>
    <w:rsid w:val="0A998D32"/>
    <w:rsid w:val="0ACA0F01"/>
    <w:rsid w:val="0B0883FF"/>
    <w:rsid w:val="0B5C8AB6"/>
    <w:rsid w:val="0BBF48CE"/>
    <w:rsid w:val="0C17F139"/>
    <w:rsid w:val="0C25E0F9"/>
    <w:rsid w:val="0C26A711"/>
    <w:rsid w:val="0C2A559A"/>
    <w:rsid w:val="0CB762DF"/>
    <w:rsid w:val="0D3C34B5"/>
    <w:rsid w:val="0E643C07"/>
    <w:rsid w:val="0F4515CA"/>
    <w:rsid w:val="0F5C5BBC"/>
    <w:rsid w:val="0FCD0B55"/>
    <w:rsid w:val="0FDA1874"/>
    <w:rsid w:val="10086BE7"/>
    <w:rsid w:val="10754E83"/>
    <w:rsid w:val="11457108"/>
    <w:rsid w:val="11D3FBA8"/>
    <w:rsid w:val="11E6246B"/>
    <w:rsid w:val="129CAD38"/>
    <w:rsid w:val="14190E61"/>
    <w:rsid w:val="14996DE9"/>
    <w:rsid w:val="14A42BA3"/>
    <w:rsid w:val="14A72194"/>
    <w:rsid w:val="14B04962"/>
    <w:rsid w:val="14F8A36F"/>
    <w:rsid w:val="14FADEEB"/>
    <w:rsid w:val="156EFEB3"/>
    <w:rsid w:val="15785F9B"/>
    <w:rsid w:val="15CF5F47"/>
    <w:rsid w:val="15D06D19"/>
    <w:rsid w:val="15DE6326"/>
    <w:rsid w:val="1679D43D"/>
    <w:rsid w:val="186FC0F7"/>
    <w:rsid w:val="19370E42"/>
    <w:rsid w:val="19FBAFB7"/>
    <w:rsid w:val="1A3A9C0F"/>
    <w:rsid w:val="1ACC5C9E"/>
    <w:rsid w:val="1B1ECAFC"/>
    <w:rsid w:val="1B6A2C2E"/>
    <w:rsid w:val="1BAAE108"/>
    <w:rsid w:val="1C32756C"/>
    <w:rsid w:val="1CC3B8D1"/>
    <w:rsid w:val="1CC3D8D3"/>
    <w:rsid w:val="1E53EE73"/>
    <w:rsid w:val="1EA7B08B"/>
    <w:rsid w:val="1EAFD4B4"/>
    <w:rsid w:val="1F0774EA"/>
    <w:rsid w:val="2094980F"/>
    <w:rsid w:val="210189E8"/>
    <w:rsid w:val="2105E535"/>
    <w:rsid w:val="215493B6"/>
    <w:rsid w:val="231DFD95"/>
    <w:rsid w:val="234DC234"/>
    <w:rsid w:val="23603D02"/>
    <w:rsid w:val="24C3EF45"/>
    <w:rsid w:val="25535086"/>
    <w:rsid w:val="25D0EA01"/>
    <w:rsid w:val="25F932DF"/>
    <w:rsid w:val="2607A9B0"/>
    <w:rsid w:val="26615824"/>
    <w:rsid w:val="2740010C"/>
    <w:rsid w:val="27B0FE92"/>
    <w:rsid w:val="27C771C2"/>
    <w:rsid w:val="284AC591"/>
    <w:rsid w:val="284EB4B7"/>
    <w:rsid w:val="29FBB8EB"/>
    <w:rsid w:val="2A360F8E"/>
    <w:rsid w:val="2AC36109"/>
    <w:rsid w:val="2D797096"/>
    <w:rsid w:val="2E3ABD09"/>
    <w:rsid w:val="2EDE1865"/>
    <w:rsid w:val="304EE468"/>
    <w:rsid w:val="308014D7"/>
    <w:rsid w:val="314FA0F4"/>
    <w:rsid w:val="3172A991"/>
    <w:rsid w:val="3209D3B0"/>
    <w:rsid w:val="3271A3FE"/>
    <w:rsid w:val="32DAD87F"/>
    <w:rsid w:val="330FB919"/>
    <w:rsid w:val="3312EBE4"/>
    <w:rsid w:val="33522AC3"/>
    <w:rsid w:val="336C1D16"/>
    <w:rsid w:val="336C79E8"/>
    <w:rsid w:val="343D4001"/>
    <w:rsid w:val="34685C6E"/>
    <w:rsid w:val="34B484E5"/>
    <w:rsid w:val="34BFA682"/>
    <w:rsid w:val="34E6651B"/>
    <w:rsid w:val="354ECA3A"/>
    <w:rsid w:val="35B0F80A"/>
    <w:rsid w:val="35C93F85"/>
    <w:rsid w:val="35F981F8"/>
    <w:rsid w:val="367D1054"/>
    <w:rsid w:val="372E42A3"/>
    <w:rsid w:val="383E15AE"/>
    <w:rsid w:val="38E38E21"/>
    <w:rsid w:val="39C79AD9"/>
    <w:rsid w:val="39E8872D"/>
    <w:rsid w:val="3A241DCF"/>
    <w:rsid w:val="3A2AB294"/>
    <w:rsid w:val="3B52EF9D"/>
    <w:rsid w:val="3B9CA271"/>
    <w:rsid w:val="3C549F01"/>
    <w:rsid w:val="3D3E132F"/>
    <w:rsid w:val="3F566EA3"/>
    <w:rsid w:val="40E71D6B"/>
    <w:rsid w:val="40EA8763"/>
    <w:rsid w:val="40EEEEE3"/>
    <w:rsid w:val="4129EFBC"/>
    <w:rsid w:val="412B3566"/>
    <w:rsid w:val="41C25952"/>
    <w:rsid w:val="41DD6F06"/>
    <w:rsid w:val="42DEE534"/>
    <w:rsid w:val="4334DD46"/>
    <w:rsid w:val="43A4E01C"/>
    <w:rsid w:val="43BD1286"/>
    <w:rsid w:val="44B6CFE1"/>
    <w:rsid w:val="44D7AA2B"/>
    <w:rsid w:val="45868841"/>
    <w:rsid w:val="45F3915A"/>
    <w:rsid w:val="4660678B"/>
    <w:rsid w:val="47EF0522"/>
    <w:rsid w:val="48875ECA"/>
    <w:rsid w:val="48A818F2"/>
    <w:rsid w:val="48D81C03"/>
    <w:rsid w:val="49622246"/>
    <w:rsid w:val="49DC343B"/>
    <w:rsid w:val="49E5BABC"/>
    <w:rsid w:val="4A749639"/>
    <w:rsid w:val="4A992087"/>
    <w:rsid w:val="4AAD9206"/>
    <w:rsid w:val="4BFC2FA4"/>
    <w:rsid w:val="4CB5D2AD"/>
    <w:rsid w:val="4CCF8996"/>
    <w:rsid w:val="4D01FB2A"/>
    <w:rsid w:val="4D952F74"/>
    <w:rsid w:val="4E9F895A"/>
    <w:rsid w:val="4EE9F128"/>
    <w:rsid w:val="4F4F1A86"/>
    <w:rsid w:val="4FD88D32"/>
    <w:rsid w:val="5016DDE5"/>
    <w:rsid w:val="5074DA2F"/>
    <w:rsid w:val="50979099"/>
    <w:rsid w:val="518C5AFA"/>
    <w:rsid w:val="51B0076A"/>
    <w:rsid w:val="522A69DA"/>
    <w:rsid w:val="52DC1101"/>
    <w:rsid w:val="5419934B"/>
    <w:rsid w:val="542DF595"/>
    <w:rsid w:val="54E218A4"/>
    <w:rsid w:val="556BF34A"/>
    <w:rsid w:val="5588B4C4"/>
    <w:rsid w:val="55984E64"/>
    <w:rsid w:val="55B9F395"/>
    <w:rsid w:val="565C0E53"/>
    <w:rsid w:val="567CFBD4"/>
    <w:rsid w:val="56F663E5"/>
    <w:rsid w:val="5713C476"/>
    <w:rsid w:val="57DB2A63"/>
    <w:rsid w:val="5A24104F"/>
    <w:rsid w:val="5B0DF86B"/>
    <w:rsid w:val="5C22C57A"/>
    <w:rsid w:val="5C4B0610"/>
    <w:rsid w:val="5C4EC879"/>
    <w:rsid w:val="5D8FD332"/>
    <w:rsid w:val="5D952C04"/>
    <w:rsid w:val="5EE3DAAF"/>
    <w:rsid w:val="60283707"/>
    <w:rsid w:val="61490BED"/>
    <w:rsid w:val="62C65BDA"/>
    <w:rsid w:val="658B6ABC"/>
    <w:rsid w:val="666AEF6E"/>
    <w:rsid w:val="67B15723"/>
    <w:rsid w:val="67D7B777"/>
    <w:rsid w:val="6814AD7E"/>
    <w:rsid w:val="6870EACF"/>
    <w:rsid w:val="692C6DEA"/>
    <w:rsid w:val="6A3C9AEC"/>
    <w:rsid w:val="6A65D1E0"/>
    <w:rsid w:val="6AB50965"/>
    <w:rsid w:val="6B6FAAD0"/>
    <w:rsid w:val="6C7BA0BB"/>
    <w:rsid w:val="6CBCE691"/>
    <w:rsid w:val="6D100290"/>
    <w:rsid w:val="6D5D03C3"/>
    <w:rsid w:val="6E1EAC23"/>
    <w:rsid w:val="6E23049D"/>
    <w:rsid w:val="6E2E859F"/>
    <w:rsid w:val="6E578CA6"/>
    <w:rsid w:val="707C94F9"/>
    <w:rsid w:val="70979AF3"/>
    <w:rsid w:val="7114435C"/>
    <w:rsid w:val="71B0B520"/>
    <w:rsid w:val="7259A7B5"/>
    <w:rsid w:val="727DC564"/>
    <w:rsid w:val="72B401C8"/>
    <w:rsid w:val="731708FC"/>
    <w:rsid w:val="738F13E2"/>
    <w:rsid w:val="73EDD5DD"/>
    <w:rsid w:val="73F81787"/>
    <w:rsid w:val="74D62B78"/>
    <w:rsid w:val="7500EC5B"/>
    <w:rsid w:val="75B39212"/>
    <w:rsid w:val="75CFA21D"/>
    <w:rsid w:val="778CBDF5"/>
    <w:rsid w:val="786CBEB1"/>
    <w:rsid w:val="78F78CB2"/>
    <w:rsid w:val="79A9A29C"/>
    <w:rsid w:val="7A28E2FF"/>
    <w:rsid w:val="7A419908"/>
    <w:rsid w:val="7AA7E029"/>
    <w:rsid w:val="7B31B57C"/>
    <w:rsid w:val="7B42CC88"/>
    <w:rsid w:val="7C834C13"/>
    <w:rsid w:val="7C9D1EC6"/>
    <w:rsid w:val="7CEC951B"/>
    <w:rsid w:val="7E0E840F"/>
    <w:rsid w:val="7E74164F"/>
    <w:rsid w:val="7EE6D7BF"/>
    <w:rsid w:val="7F81245D"/>
    <w:rsid w:val="7FBEA1CA"/>
  </w:rsids>
  <m:mathPr>
    <m:mathFont m:val="Cambria Math"/>
    <m:brkBin m:val="before"/>
    <m:brkBinSub m:val="--"/>
    <m:smallFrac m:val="0"/>
    <m:dispDef/>
    <m:lMargin m:val="0"/>
    <m:rMargin m:val="0"/>
    <m:defJc m:val="centerGroup"/>
    <m:wrapIndent m:val="1440"/>
    <m:intLim m:val="subSup"/>
    <m:naryLim m:val="undOvr"/>
  </m:mathPr>
  <w:themeFontLang w:val="vi-VN"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34B672"/>
  <w15:docId w15:val="{0F90314C-CC87-4057-91D9-76F3C14CE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0AE9"/>
    <w:rPr>
      <w:rFonts w:ascii="Times New Roman" w:eastAsia="Times New Roman" w:hAnsi="Times New Roman"/>
    </w:rPr>
  </w:style>
  <w:style w:type="paragraph" w:styleId="Heading1">
    <w:name w:val="heading 1"/>
    <w:basedOn w:val="Normal"/>
    <w:next w:val="Normal"/>
    <w:link w:val="Heading1Char"/>
    <w:uiPriority w:val="9"/>
    <w:qFormat/>
    <w:rsid w:val="00CE0548"/>
    <w:pPr>
      <w:keepNext/>
      <w:keepLines/>
      <w:spacing w:before="240"/>
      <w:outlineLvl w:val="0"/>
    </w:pPr>
    <w:rPr>
      <w:rFonts w:asciiTheme="majorHAnsi" w:eastAsiaTheme="majorEastAsia" w:hAnsiTheme="majorHAnsi" w:cstheme="majorBidi"/>
      <w:color w:val="365F91" w:themeColor="accent1" w:themeShade="BF"/>
      <w:sz w:val="32"/>
    </w:rPr>
  </w:style>
  <w:style w:type="paragraph" w:styleId="Heading2">
    <w:name w:val="heading 2"/>
    <w:basedOn w:val="Normal"/>
    <w:next w:val="Normal"/>
    <w:link w:val="Heading2Char"/>
    <w:qFormat/>
    <w:rsid w:val="0019154D"/>
    <w:pPr>
      <w:keepNext/>
      <w:jc w:val="center"/>
      <w:outlineLvl w:val="1"/>
    </w:pPr>
    <w:rPr>
      <w:rFonts w:ascii="Comic Sans MS" w:hAnsi="Comic Sans MS"/>
      <w:sz w:val="24"/>
    </w:rPr>
  </w:style>
  <w:style w:type="paragraph" w:styleId="Heading6">
    <w:name w:val="heading 6"/>
    <w:basedOn w:val="Normal"/>
    <w:next w:val="Normal"/>
    <w:link w:val="Heading6Char"/>
    <w:uiPriority w:val="9"/>
    <w:semiHidden/>
    <w:unhideWhenUsed/>
    <w:qFormat/>
    <w:rsid w:val="00656436"/>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5D0AE9"/>
    <w:rPr>
      <w:rFonts w:ascii="Comic Sans MS" w:hAnsi="Comic Sans MS"/>
      <w:b/>
      <w:sz w:val="24"/>
    </w:rPr>
  </w:style>
  <w:style w:type="character" w:customStyle="1" w:styleId="BodyTextChar">
    <w:name w:val="Body Text Char"/>
    <w:link w:val="BodyText"/>
    <w:rsid w:val="005D0AE9"/>
    <w:rPr>
      <w:rFonts w:ascii="Comic Sans MS" w:eastAsia="Times New Roman" w:hAnsi="Comic Sans MS" w:cs="Times New Roman"/>
      <w:b/>
      <w:sz w:val="24"/>
    </w:rPr>
  </w:style>
  <w:style w:type="character" w:styleId="Hyperlink">
    <w:name w:val="Hyperlink"/>
    <w:rsid w:val="00130107"/>
    <w:rPr>
      <w:color w:val="0000FF"/>
      <w:u w:val="single"/>
    </w:rPr>
  </w:style>
  <w:style w:type="paragraph" w:styleId="HTMLPreformatted">
    <w:name w:val="HTML Preformatted"/>
    <w:basedOn w:val="Normal"/>
    <w:link w:val="HTMLPreformattedChar"/>
    <w:rsid w:val="001301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link w:val="HTMLPreformatted"/>
    <w:rsid w:val="00130107"/>
    <w:rPr>
      <w:rFonts w:ascii="Courier New" w:eastAsia="Times New Roman" w:hAnsi="Courier New" w:cs="Courier New"/>
    </w:rPr>
  </w:style>
  <w:style w:type="paragraph" w:styleId="NormalWeb">
    <w:name w:val="Normal (Web)"/>
    <w:basedOn w:val="Normal"/>
    <w:rsid w:val="00130107"/>
    <w:pPr>
      <w:spacing w:before="180" w:after="100" w:afterAutospacing="1"/>
    </w:pPr>
    <w:rPr>
      <w:color w:val="000000"/>
      <w:sz w:val="24"/>
    </w:rPr>
  </w:style>
  <w:style w:type="character" w:styleId="CommentReference">
    <w:name w:val="annotation reference"/>
    <w:semiHidden/>
    <w:rsid w:val="006E5C82"/>
    <w:rPr>
      <w:sz w:val="16"/>
    </w:rPr>
  </w:style>
  <w:style w:type="paragraph" w:styleId="CommentText">
    <w:name w:val="annotation text"/>
    <w:basedOn w:val="Normal"/>
    <w:link w:val="CommentTextChar"/>
    <w:semiHidden/>
    <w:rsid w:val="006E5C82"/>
  </w:style>
  <w:style w:type="character" w:customStyle="1" w:styleId="CommentTextChar">
    <w:name w:val="Comment Text Char"/>
    <w:link w:val="CommentText"/>
    <w:semiHidden/>
    <w:rsid w:val="006E5C82"/>
    <w:rPr>
      <w:rFonts w:ascii="Times New Roman" w:eastAsia="Times New Roman" w:hAnsi="Times New Roman"/>
    </w:rPr>
  </w:style>
  <w:style w:type="paragraph" w:styleId="Header">
    <w:name w:val="header"/>
    <w:basedOn w:val="Normal"/>
    <w:link w:val="HeaderChar"/>
    <w:uiPriority w:val="99"/>
    <w:unhideWhenUsed/>
    <w:rsid w:val="00DE0F0A"/>
    <w:pPr>
      <w:tabs>
        <w:tab w:val="center" w:pos="4680"/>
        <w:tab w:val="right" w:pos="9360"/>
      </w:tabs>
    </w:pPr>
  </w:style>
  <w:style w:type="character" w:customStyle="1" w:styleId="HeaderChar">
    <w:name w:val="Header Char"/>
    <w:link w:val="Header"/>
    <w:uiPriority w:val="99"/>
    <w:rsid w:val="00DE0F0A"/>
    <w:rPr>
      <w:rFonts w:ascii="Times New Roman" w:eastAsia="Times New Roman" w:hAnsi="Times New Roman"/>
    </w:rPr>
  </w:style>
  <w:style w:type="paragraph" w:styleId="Footer">
    <w:name w:val="footer"/>
    <w:basedOn w:val="Normal"/>
    <w:link w:val="FooterChar"/>
    <w:uiPriority w:val="99"/>
    <w:unhideWhenUsed/>
    <w:rsid w:val="00DE0F0A"/>
    <w:pPr>
      <w:tabs>
        <w:tab w:val="center" w:pos="4680"/>
        <w:tab w:val="right" w:pos="9360"/>
      </w:tabs>
    </w:pPr>
  </w:style>
  <w:style w:type="character" w:customStyle="1" w:styleId="FooterChar">
    <w:name w:val="Footer Char"/>
    <w:link w:val="Footer"/>
    <w:uiPriority w:val="99"/>
    <w:rsid w:val="00DE0F0A"/>
    <w:rPr>
      <w:rFonts w:ascii="Times New Roman" w:eastAsia="Times New Roman" w:hAnsi="Times New Roman"/>
    </w:rPr>
  </w:style>
  <w:style w:type="paragraph" w:styleId="BalloonText">
    <w:name w:val="Balloon Text"/>
    <w:basedOn w:val="Normal"/>
    <w:link w:val="BalloonTextChar"/>
    <w:uiPriority w:val="99"/>
    <w:semiHidden/>
    <w:unhideWhenUsed/>
    <w:rsid w:val="00D53E0A"/>
    <w:rPr>
      <w:rFonts w:ascii="Tahoma" w:hAnsi="Tahoma" w:cs="Tahoma"/>
      <w:sz w:val="16"/>
    </w:rPr>
  </w:style>
  <w:style w:type="character" w:customStyle="1" w:styleId="BalloonTextChar">
    <w:name w:val="Balloon Text Char"/>
    <w:link w:val="BalloonText"/>
    <w:uiPriority w:val="99"/>
    <w:semiHidden/>
    <w:rsid w:val="00D53E0A"/>
    <w:rPr>
      <w:rFonts w:ascii="Tahoma" w:eastAsia="Times New Roman" w:hAnsi="Tahoma" w:cs="Tahoma"/>
      <w:sz w:val="16"/>
    </w:rPr>
  </w:style>
  <w:style w:type="paragraph" w:styleId="Revision">
    <w:name w:val="Revision"/>
    <w:hidden/>
    <w:uiPriority w:val="99"/>
    <w:semiHidden/>
    <w:rsid w:val="00EB1D08"/>
    <w:rPr>
      <w:rFonts w:ascii="Times New Roman" w:eastAsia="Times New Roman" w:hAnsi="Times New Roman"/>
    </w:rPr>
  </w:style>
  <w:style w:type="character" w:customStyle="1" w:styleId="Heading2Char">
    <w:name w:val="Heading 2 Char"/>
    <w:link w:val="Heading2"/>
    <w:rsid w:val="0019154D"/>
    <w:rPr>
      <w:rFonts w:ascii="Comic Sans MS" w:eastAsia="Times New Roman" w:hAnsi="Comic Sans MS"/>
      <w:sz w:val="24"/>
    </w:rPr>
  </w:style>
  <w:style w:type="paragraph" w:customStyle="1" w:styleId="ExecOffice">
    <w:name w:val="Exec Office"/>
    <w:basedOn w:val="Normal"/>
    <w:rsid w:val="0019154D"/>
    <w:pPr>
      <w:framePr w:w="6927" w:hSpace="187" w:wrap="notBeside" w:vAnchor="text" w:hAnchor="page" w:x="3594" w:y="1"/>
      <w:jc w:val="center"/>
    </w:pPr>
    <w:rPr>
      <w:rFonts w:ascii="Arial" w:hAnsi="Arial"/>
      <w:sz w:val="28"/>
    </w:rPr>
  </w:style>
  <w:style w:type="character" w:styleId="PageNumber">
    <w:name w:val="page number"/>
    <w:basedOn w:val="DefaultParagraphFont"/>
    <w:rsid w:val="00540E68"/>
  </w:style>
  <w:style w:type="character" w:styleId="UnresolvedMention">
    <w:name w:val="Unresolved Mention"/>
    <w:basedOn w:val="DefaultParagraphFont"/>
    <w:uiPriority w:val="99"/>
    <w:semiHidden/>
    <w:unhideWhenUsed/>
    <w:rsid w:val="009918AC"/>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DE25C3"/>
    <w:rPr>
      <w:b/>
    </w:rPr>
  </w:style>
  <w:style w:type="character" w:customStyle="1" w:styleId="CommentSubjectChar">
    <w:name w:val="Comment Subject Char"/>
    <w:basedOn w:val="CommentTextChar"/>
    <w:link w:val="CommentSubject"/>
    <w:uiPriority w:val="99"/>
    <w:semiHidden/>
    <w:rsid w:val="00DE25C3"/>
    <w:rPr>
      <w:rFonts w:ascii="Times New Roman" w:eastAsia="Times New Roman" w:hAnsi="Times New Roman"/>
      <w:b/>
    </w:rPr>
  </w:style>
  <w:style w:type="character" w:customStyle="1" w:styleId="normaltextrun">
    <w:name w:val="normaltextrun"/>
    <w:basedOn w:val="DefaultParagraphFont"/>
    <w:rsid w:val="000D0C83"/>
  </w:style>
  <w:style w:type="character" w:customStyle="1" w:styleId="eop">
    <w:name w:val="eop"/>
    <w:basedOn w:val="DefaultParagraphFont"/>
    <w:rsid w:val="000D0C83"/>
  </w:style>
  <w:style w:type="paragraph" w:customStyle="1" w:styleId="paragraph">
    <w:name w:val="paragraph"/>
    <w:basedOn w:val="Normal"/>
    <w:rsid w:val="00031BC4"/>
    <w:pPr>
      <w:spacing w:before="100" w:beforeAutospacing="1" w:after="100" w:afterAutospacing="1"/>
    </w:pPr>
    <w:rPr>
      <w:sz w:val="24"/>
    </w:rPr>
  </w:style>
  <w:style w:type="character" w:customStyle="1" w:styleId="scxo220746878">
    <w:name w:val="scxo220746878"/>
    <w:basedOn w:val="DefaultParagraphFont"/>
    <w:rsid w:val="00C518CD"/>
  </w:style>
  <w:style w:type="paragraph" w:styleId="ListParagraph">
    <w:name w:val="List Paragraph"/>
    <w:basedOn w:val="Normal"/>
    <w:uiPriority w:val="34"/>
    <w:qFormat/>
    <w:rsid w:val="4E9F895A"/>
    <w:pPr>
      <w:ind w:left="720"/>
      <w:contextualSpacing/>
    </w:p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9"/>
    <w:rsid w:val="00CE0548"/>
    <w:rPr>
      <w:rFonts w:asciiTheme="majorHAnsi" w:eastAsiaTheme="majorEastAsia" w:hAnsiTheme="majorHAnsi" w:cstheme="majorBidi"/>
      <w:color w:val="365F91" w:themeColor="accent1" w:themeShade="BF"/>
      <w:sz w:val="32"/>
    </w:rPr>
  </w:style>
  <w:style w:type="paragraph" w:styleId="TOC1">
    <w:name w:val="toc 1"/>
    <w:basedOn w:val="Normal"/>
    <w:next w:val="Normal"/>
    <w:uiPriority w:val="39"/>
    <w:unhideWhenUsed/>
    <w:rsid w:val="00BC1EA8"/>
    <w:pPr>
      <w:spacing w:after="100"/>
    </w:pPr>
  </w:style>
  <w:style w:type="character" w:customStyle="1" w:styleId="Heading6Char">
    <w:name w:val="Heading 6 Char"/>
    <w:basedOn w:val="DefaultParagraphFont"/>
    <w:link w:val="Heading6"/>
    <w:uiPriority w:val="9"/>
    <w:semiHidden/>
    <w:rsid w:val="00656436"/>
    <w:rPr>
      <w:rFonts w:asciiTheme="majorHAnsi" w:eastAsiaTheme="majorEastAsia" w:hAnsiTheme="majorHAnsi" w:cstheme="majorBidi"/>
      <w:color w:val="243F60" w:themeColor="accent1" w:themeShade="7F"/>
    </w:rPr>
  </w:style>
  <w:style w:type="paragraph" w:customStyle="1" w:styleId="indent-1">
    <w:name w:val="indent-1"/>
    <w:basedOn w:val="Normal"/>
    <w:rsid w:val="00656436"/>
    <w:pPr>
      <w:spacing w:before="100" w:beforeAutospacing="1" w:after="100" w:afterAutospacing="1"/>
    </w:pPr>
    <w:rPr>
      <w:sz w:val="24"/>
    </w:rPr>
  </w:style>
  <w:style w:type="character" w:customStyle="1" w:styleId="paragraph-hierarchy">
    <w:name w:val="paragraph-hierarchy"/>
    <w:basedOn w:val="DefaultParagraphFont"/>
    <w:rsid w:val="00656436"/>
  </w:style>
  <w:style w:type="character" w:customStyle="1" w:styleId="paren">
    <w:name w:val="paren"/>
    <w:basedOn w:val="DefaultParagraphFont"/>
    <w:rsid w:val="00656436"/>
  </w:style>
  <w:style w:type="paragraph" w:customStyle="1" w:styleId="indent-2">
    <w:name w:val="indent-2"/>
    <w:basedOn w:val="Normal"/>
    <w:rsid w:val="00656436"/>
    <w:pPr>
      <w:spacing w:before="100" w:beforeAutospacing="1" w:after="100" w:afterAutospacing="1"/>
    </w:pPr>
    <w:rPr>
      <w:sz w:val="24"/>
    </w:rPr>
  </w:style>
  <w:style w:type="character" w:styleId="FollowedHyperlink">
    <w:name w:val="FollowedHyperlink"/>
    <w:basedOn w:val="DefaultParagraphFont"/>
    <w:uiPriority w:val="99"/>
    <w:semiHidden/>
    <w:unhideWhenUsed/>
    <w:rsid w:val="00656436"/>
    <w:rPr>
      <w:color w:val="800080" w:themeColor="followedHyperlink"/>
      <w:u w:val="single"/>
    </w:rPr>
  </w:style>
  <w:style w:type="paragraph" w:customStyle="1" w:styleId="pf0">
    <w:name w:val="pf0"/>
    <w:basedOn w:val="Normal"/>
    <w:rsid w:val="00656436"/>
    <w:pPr>
      <w:spacing w:before="100" w:beforeAutospacing="1" w:after="100" w:afterAutospacing="1"/>
    </w:pPr>
    <w:rPr>
      <w:sz w:val="24"/>
    </w:rPr>
  </w:style>
  <w:style w:type="character" w:customStyle="1" w:styleId="cf01">
    <w:name w:val="cf01"/>
    <w:basedOn w:val="DefaultParagraphFont"/>
    <w:rsid w:val="00656436"/>
    <w:rPr>
      <w:rFonts w:ascii="Segoe UI" w:hAnsi="Segoe UI" w:cs="Segoe UI" w:hint="default"/>
      <w:sz w:val="18"/>
    </w:rPr>
  </w:style>
  <w:style w:type="character" w:customStyle="1" w:styleId="cf11">
    <w:name w:val="cf11"/>
    <w:basedOn w:val="DefaultParagraphFont"/>
    <w:rsid w:val="00656436"/>
    <w:rPr>
      <w:rFonts w:ascii="Segoe UI" w:hAnsi="Segoe UI" w:cs="Segoe UI" w:hint="default"/>
      <w:i/>
      <w:sz w:val="18"/>
    </w:rPr>
  </w:style>
  <w:style w:type="paragraph" w:customStyle="1" w:styleId="indent-3">
    <w:name w:val="indent-3"/>
    <w:basedOn w:val="Normal"/>
    <w:rsid w:val="00656436"/>
    <w:pPr>
      <w:spacing w:before="100" w:beforeAutospacing="1" w:after="100" w:afterAutospacing="1"/>
    </w:pPr>
    <w:rPr>
      <w:sz w:val="24"/>
    </w:rPr>
  </w:style>
  <w:style w:type="character" w:customStyle="1" w:styleId="findhit">
    <w:name w:val="findhit"/>
    <w:basedOn w:val="DefaultParagraphFont"/>
    <w:rsid w:val="00656436"/>
  </w:style>
  <w:style w:type="paragraph" w:customStyle="1" w:styleId="P68B1DB1-Normal1">
    <w:name w:val="P68B1DB1-Normal1"/>
    <w:basedOn w:val="Normal"/>
    <w:rPr>
      <w:rFonts w:ascii="Avenir Next LT Pro" w:eastAsia="Arial" w:hAnsi="Avenir Next LT Pro" w:cs="Arial"/>
      <w:b/>
      <w:color w:val="365F91" w:themeColor="accent1" w:themeShade="BF"/>
      <w:sz w:val="24"/>
    </w:rPr>
  </w:style>
  <w:style w:type="paragraph" w:customStyle="1" w:styleId="P68B1DB1-Normal2">
    <w:name w:val="P68B1DB1-Normal2"/>
    <w:basedOn w:val="Normal"/>
    <w:rPr>
      <w:rFonts w:ascii="Avenir Next LT Pro" w:eastAsia="Avenir Next LT Pro" w:hAnsi="Avenir Next LT Pro" w:cs="Avenir Next LT Pro"/>
      <w:sz w:val="24"/>
    </w:rPr>
  </w:style>
  <w:style w:type="paragraph" w:customStyle="1" w:styleId="P68B1DB1-Heading13">
    <w:name w:val="P68B1DB1-Heading13"/>
    <w:basedOn w:val="Heading1"/>
    <w:rPr>
      <w:rFonts w:ascii="Avenir Next LT Pro" w:eastAsia="Avenir Next LT Pro" w:hAnsi="Avenir Next LT Pro" w:cs="Avenir Next LT Pro"/>
      <w:sz w:val="24"/>
    </w:rPr>
  </w:style>
  <w:style w:type="paragraph" w:customStyle="1" w:styleId="P68B1DB1-Normal4">
    <w:name w:val="P68B1DB1-Normal4"/>
    <w:basedOn w:val="Normal"/>
    <w:rPr>
      <w:rFonts w:ascii="Avenir Next LT Pro" w:eastAsia="Avenir Next LT Pro" w:hAnsi="Avenir Next LT Pro" w:cs="Avenir Next LT Pro"/>
      <w:b/>
      <w:sz w:val="24"/>
    </w:rPr>
  </w:style>
  <w:style w:type="paragraph" w:customStyle="1" w:styleId="P68B1DB1-Normal5">
    <w:name w:val="P68B1DB1-Normal5"/>
    <w:basedOn w:val="Normal"/>
    <w:rPr>
      <w:sz w:val="24"/>
    </w:rPr>
  </w:style>
  <w:style w:type="paragraph" w:customStyle="1" w:styleId="P68B1DB1-Normal6">
    <w:name w:val="P68B1DB1-Normal6"/>
    <w:basedOn w:val="Normal"/>
    <w:rPr>
      <w:rFonts w:ascii="Avenir Next LT Pro" w:hAnsi="Avenir Next LT Pro"/>
      <w:b/>
      <w:sz w:val="24"/>
    </w:rPr>
  </w:style>
  <w:style w:type="paragraph" w:customStyle="1" w:styleId="P68B1DB1-Normal7">
    <w:name w:val="P68B1DB1-Normal7"/>
    <w:basedOn w:val="Normal"/>
    <w:rPr>
      <w:rFonts w:ascii="Avenir Next LT Pro" w:hAnsi="Avenir Next LT Pro" w:cs="Segoe UI"/>
      <w:b/>
      <w:sz w:val="24"/>
    </w:rPr>
  </w:style>
  <w:style w:type="paragraph" w:customStyle="1" w:styleId="P68B1DB1-ListParagraph8">
    <w:name w:val="P68B1DB1-ListParagraph8"/>
    <w:basedOn w:val="ListParagraph"/>
    <w:rPr>
      <w:rFonts w:ascii="Avenir Next LT Pro" w:eastAsia="Avenir Next LT Pro" w:hAnsi="Avenir Next LT Pro" w:cs="Avenir Next LT Pro"/>
      <w:sz w:val="24"/>
    </w:rPr>
  </w:style>
  <w:style w:type="paragraph" w:customStyle="1" w:styleId="P68B1DB1-Heading19">
    <w:name w:val="P68B1DB1-Heading19"/>
    <w:basedOn w:val="Heading1"/>
    <w:rPr>
      <w:rFonts w:ascii="Avenir Next LT Pro" w:hAnsi="Avenir Next LT Pro"/>
      <w:sz w:val="24"/>
    </w:rPr>
  </w:style>
  <w:style w:type="paragraph" w:customStyle="1" w:styleId="P68B1DB1-ListParagraph10">
    <w:name w:val="P68B1DB1-ListParagraph10"/>
    <w:basedOn w:val="ListParagraph"/>
    <w:rPr>
      <w:rFonts w:ascii="Avenir Next LT Pro" w:hAnsi="Avenir Next LT Pro"/>
      <w:sz w:val="24"/>
    </w:rPr>
  </w:style>
  <w:style w:type="paragraph" w:customStyle="1" w:styleId="P68B1DB1-Normal11">
    <w:name w:val="P68B1DB1-Normal11"/>
    <w:basedOn w:val="Normal"/>
    <w:rPr>
      <w:rFonts w:ascii="Avenir Next LT Pro" w:eastAsia="Avenir Next LT Pro" w:hAnsi="Avenir Next LT Pro" w:cs="Avenir Next LT Pro"/>
      <w:b/>
      <w:color w:val="000000" w:themeColor="text1"/>
      <w:sz w:val="24"/>
    </w:rPr>
  </w:style>
  <w:style w:type="paragraph" w:customStyle="1" w:styleId="P68B1DB1-Normal12">
    <w:name w:val="P68B1DB1-Normal12"/>
    <w:basedOn w:val="Normal"/>
    <w:rPr>
      <w:rFonts w:ascii="Avenir Next LT Pro" w:eastAsia="Avenir Next LT Pro" w:hAnsi="Avenir Next LT Pro" w:cs="Avenir Next LT Pro"/>
      <w:color w:val="000000" w:themeColor="text1"/>
      <w:sz w:val="24"/>
    </w:rPr>
  </w:style>
  <w:style w:type="paragraph" w:customStyle="1" w:styleId="P68B1DB1-ListParagraph13">
    <w:name w:val="P68B1DB1-ListParagraph13"/>
    <w:basedOn w:val="ListParagraph"/>
    <w:rPr>
      <w:rFonts w:ascii="Avenir Next LT Pro" w:eastAsia="Avenir Next LT Pro" w:hAnsi="Avenir Next LT Pro" w:cs="Avenir Next LT Pro"/>
      <w:color w:val="000000" w:themeColor="text1"/>
      <w:sz w:val="24"/>
    </w:rPr>
  </w:style>
  <w:style w:type="paragraph" w:customStyle="1" w:styleId="P68B1DB1-Heading114">
    <w:name w:val="P68B1DB1-Heading114"/>
    <w:basedOn w:val="Heading1"/>
    <w:rPr>
      <w:rFonts w:ascii="Avenir Next LT Pro" w:eastAsia="Avenir Next LT Pro" w:hAnsi="Avenir Next LT Pro" w:cs="Avenir Next LT Pro"/>
      <w:b/>
      <w:sz w:val="24"/>
    </w:rPr>
  </w:style>
  <w:style w:type="paragraph" w:customStyle="1" w:styleId="P68B1DB1-Normal15">
    <w:name w:val="P68B1DB1-Normal15"/>
    <w:basedOn w:val="Normal"/>
    <w:rPr>
      <w:rFonts w:ascii="Avenir Next LT Pro" w:eastAsia="Avenir Next LT Pro" w:hAnsi="Avenir Next LT Pro"/>
      <w:sz w:val="24"/>
    </w:rPr>
  </w:style>
  <w:style w:type="paragraph" w:customStyle="1" w:styleId="P68B1DB1-Normal16">
    <w:name w:val="P68B1DB1-Normal16"/>
    <w:basedOn w:val="Normal"/>
    <w:rPr>
      <w:rFonts w:ascii="Avenir Next LT Pro" w:eastAsia="Avenir Next LT Pro" w:hAnsi="Avenir Next LT Pro" w:cs="Avenir Next LT Pro"/>
      <w:color w:val="0E101A"/>
      <w:sz w:val="24"/>
    </w:rPr>
  </w:style>
  <w:style w:type="paragraph" w:customStyle="1" w:styleId="P68B1DB1-ListParagraph17">
    <w:name w:val="P68B1DB1-ListParagraph17"/>
    <w:basedOn w:val="ListParagraph"/>
    <w:rPr>
      <w:rFonts w:ascii="Avenir Next LT Pro" w:eastAsia="Avenir Next LT Pro" w:hAnsi="Avenir Next LT Pro" w:cs="Avenir Next LT Pro"/>
      <w:color w:val="0E101A"/>
      <w:sz w:val="24"/>
    </w:rPr>
  </w:style>
  <w:style w:type="paragraph" w:customStyle="1" w:styleId="P68B1DB1-Footer18">
    <w:name w:val="P68B1DB1-Footer18"/>
    <w:basedOn w:val="Footer"/>
    <w:rPr>
      <w:rFonts w:ascii="Avenir Next LT Pro" w:hAnsi="Avenir Next LT Pro"/>
      <w:i/>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ecfr.gov/current/title-34/section-303.401" TargetMode="External"/><Relationship Id="rId21" Type="http://schemas.openxmlformats.org/officeDocument/2006/relationships/hyperlink" Target="https://www.ecfr.gov/current/title-34/section-303.7" TargetMode="External"/><Relationship Id="rId42" Type="http://schemas.openxmlformats.org/officeDocument/2006/relationships/hyperlink" Target="https://www.ecfr.gov/current/title-34/section-303.413" TargetMode="External"/><Relationship Id="rId47" Type="http://schemas.openxmlformats.org/officeDocument/2006/relationships/hyperlink" Target="https://www.ecfr.gov/current/title-34/section-303.401" TargetMode="External"/><Relationship Id="rId63" Type="http://schemas.openxmlformats.org/officeDocument/2006/relationships/hyperlink" Target="https://www.ecfr.gov/current/title-34/section-303.431" TargetMode="External"/><Relationship Id="rId68" Type="http://schemas.openxmlformats.org/officeDocument/2006/relationships/hyperlink" Target="https://www.ecfr.gov/current/title-34/section-303.27" TargetMode="External"/><Relationship Id="rId84" Type="http://schemas.openxmlformats.org/officeDocument/2006/relationships/hyperlink" Target="https://www.ecfr.gov/current/title-34/section-303.433" TargetMode="External"/><Relationship Id="rId89" Type="http://schemas.openxmlformats.org/officeDocument/2006/relationships/hyperlink" Target="mailto:EIDisputeResolution@mass.gov" TargetMode="External"/><Relationship Id="rId16" Type="http://schemas.openxmlformats.org/officeDocument/2006/relationships/hyperlink" Target="https://www.ecfr.gov/current/title-34/section-303.7" TargetMode="External"/><Relationship Id="rId11" Type="http://schemas.openxmlformats.org/officeDocument/2006/relationships/image" Target="media/image1.png"/><Relationship Id="rId32" Type="http://schemas.openxmlformats.org/officeDocument/2006/relationships/hyperlink" Target="https://www.ecfr.gov/current/title-34/section-303.209" TargetMode="External"/><Relationship Id="rId37" Type="http://schemas.openxmlformats.org/officeDocument/2006/relationships/hyperlink" Target="https://www.ecfr.gov/current/title-34/section-303.417" TargetMode="External"/><Relationship Id="rId53" Type="http://schemas.openxmlformats.org/officeDocument/2006/relationships/hyperlink" Target="https://www.ecfr.gov/current/title-2/part-3474" TargetMode="External"/><Relationship Id="rId58" Type="http://schemas.openxmlformats.org/officeDocument/2006/relationships/hyperlink" Target="https://www.ecfr.gov/current/title-34/section-303.7" TargetMode="External"/><Relationship Id="rId74" Type="http://schemas.openxmlformats.org/officeDocument/2006/relationships/hyperlink" Target="https://www.ecfr.gov/current/title-34/section-303.438" TargetMode="External"/><Relationship Id="rId79" Type="http://schemas.openxmlformats.org/officeDocument/2006/relationships/hyperlink" Target="https://www.ecfr.gov/current/title-34/section-303.434" TargetMode="External"/><Relationship Id="rId5" Type="http://schemas.openxmlformats.org/officeDocument/2006/relationships/numbering" Target="numbering.xml"/><Relationship Id="rId90" Type="http://schemas.openxmlformats.org/officeDocument/2006/relationships/header" Target="header1.xml"/><Relationship Id="rId95" Type="http://schemas.openxmlformats.org/officeDocument/2006/relationships/footer" Target="footer3.xml"/><Relationship Id="rId22" Type="http://schemas.openxmlformats.org/officeDocument/2006/relationships/hyperlink" Target="https://www.ecfr.gov/current/title-34/section-303.401" TargetMode="External"/><Relationship Id="rId27" Type="http://schemas.openxmlformats.org/officeDocument/2006/relationships/hyperlink" Target="https://www.ecfr.gov/current/title-34/section-303.417" TargetMode="External"/><Relationship Id="rId43" Type="http://schemas.openxmlformats.org/officeDocument/2006/relationships/hyperlink" Target="https://www.ecfr.gov/current/title-34/section-99.22" TargetMode="External"/><Relationship Id="rId48" Type="http://schemas.openxmlformats.org/officeDocument/2006/relationships/hyperlink" Target="https://www.ecfr.gov/current/title-34/section-303.417" TargetMode="External"/><Relationship Id="rId64" Type="http://schemas.openxmlformats.org/officeDocument/2006/relationships/hyperlink" Target="https://www.ecfr.gov/current/title-34/section-303.432" TargetMode="External"/><Relationship Id="rId69" Type="http://schemas.openxmlformats.org/officeDocument/2006/relationships/hyperlink" Target="https://www.ecfr.gov/current/title-34/section-303.431" TargetMode="External"/><Relationship Id="rId80" Type="http://schemas.openxmlformats.org/officeDocument/2006/relationships/hyperlink" Target="https://www.ecfr.gov/current/title-34/section-303.434" TargetMode="External"/><Relationship Id="rId85" Type="http://schemas.openxmlformats.org/officeDocument/2006/relationships/hyperlink" Target="https://www.ecfr.gov/current/title-34/subtitle-B/chapter-III/part-303" TargetMode="External"/><Relationship Id="rId3" Type="http://schemas.openxmlformats.org/officeDocument/2006/relationships/customXml" Target="../customXml/item3.xml"/><Relationship Id="rId12" Type="http://schemas.openxmlformats.org/officeDocument/2006/relationships/hyperlink" Target="https://www.ecfr.gov/current/title-34/part-303/subpart-E" TargetMode="External"/><Relationship Id="rId17" Type="http://schemas.openxmlformats.org/officeDocument/2006/relationships/hyperlink" Target="https://www.ecfr.gov/current/title-34/section-303.420" TargetMode="External"/><Relationship Id="rId25" Type="http://schemas.openxmlformats.org/officeDocument/2006/relationships/hyperlink" Target="https://www.ecfr.gov/current/title-34/part-99" TargetMode="External"/><Relationship Id="rId33" Type="http://schemas.openxmlformats.org/officeDocument/2006/relationships/hyperlink" Target="https://www.ecfr.gov/current/title-34/section-303.209" TargetMode="External"/><Relationship Id="rId38" Type="http://schemas.openxmlformats.org/officeDocument/2006/relationships/hyperlink" Target="https://www.govinfo.gov/link/uscode/20/1232g" TargetMode="External"/><Relationship Id="rId46" Type="http://schemas.openxmlformats.org/officeDocument/2006/relationships/hyperlink" Target="https://www.ecfr.gov/current/title-34/section-303.420" TargetMode="External"/><Relationship Id="rId59" Type="http://schemas.openxmlformats.org/officeDocument/2006/relationships/hyperlink" Target="https://www.ecfr.gov/current/title-34/section-303.321" TargetMode="External"/><Relationship Id="rId67" Type="http://schemas.openxmlformats.org/officeDocument/2006/relationships/hyperlink" Target="https://www.ecfr.gov/current/title-34/section-303.25" TargetMode="External"/><Relationship Id="rId20" Type="http://schemas.openxmlformats.org/officeDocument/2006/relationships/hyperlink" Target="https://www.ecfr.gov/current/title-34/section-303.430" TargetMode="External"/><Relationship Id="rId41" Type="http://schemas.openxmlformats.org/officeDocument/2006/relationships/hyperlink" Target="https://www.ecfr.gov/current/title-34/section-303.413" TargetMode="External"/><Relationship Id="rId54" Type="http://schemas.openxmlformats.org/officeDocument/2006/relationships/hyperlink" Target="https://www.ecfr.gov/current/title-34/section-303.432" TargetMode="External"/><Relationship Id="rId62" Type="http://schemas.openxmlformats.org/officeDocument/2006/relationships/hyperlink" Target="https://www.ecfr.gov/current/title-34/part-303/section-303.421" TargetMode="External"/><Relationship Id="rId70" Type="http://schemas.openxmlformats.org/officeDocument/2006/relationships/hyperlink" Target="https://www.ecfr.gov/current/title-34/section-303.432" TargetMode="External"/><Relationship Id="rId75" Type="http://schemas.openxmlformats.org/officeDocument/2006/relationships/hyperlink" Target="https://www.ecfr.gov/current/title-34/section-303.421" TargetMode="External"/><Relationship Id="rId83" Type="http://schemas.openxmlformats.org/officeDocument/2006/relationships/hyperlink" Target="https://www.ecfr.gov/current/title-34/section-303.432" TargetMode="External"/><Relationship Id="rId88" Type="http://schemas.openxmlformats.org/officeDocument/2006/relationships/hyperlink" Target="https://www.mass.gov/orgs/early-intervention-division" TargetMode="External"/><Relationship Id="rId91" Type="http://schemas.openxmlformats.org/officeDocument/2006/relationships/header" Target="header2.xml"/><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ecfr.gov/current/title-34/section-303.417" TargetMode="External"/><Relationship Id="rId23" Type="http://schemas.openxmlformats.org/officeDocument/2006/relationships/hyperlink" Target="https://www.ecfr.gov/current/title-34/section-303.417" TargetMode="External"/><Relationship Id="rId28" Type="http://schemas.openxmlformats.org/officeDocument/2006/relationships/hyperlink" Target="https://www.ecfr.gov/current/title-34/section-303.209" TargetMode="External"/><Relationship Id="rId36" Type="http://schemas.openxmlformats.org/officeDocument/2006/relationships/hyperlink" Target="https://www.ecfr.gov/current/title-34/section-303.401" TargetMode="External"/><Relationship Id="rId49" Type="http://schemas.openxmlformats.org/officeDocument/2006/relationships/hyperlink" Target="https://www.ecfr.gov/current/title-34/part-99" TargetMode="External"/><Relationship Id="rId57" Type="http://schemas.openxmlformats.org/officeDocument/2006/relationships/hyperlink" Target="https://www.ecfr.gov/current/title-34/section-303.417" TargetMode="External"/><Relationship Id="rId10" Type="http://schemas.openxmlformats.org/officeDocument/2006/relationships/endnotes" Target="endnotes.xml"/><Relationship Id="rId31" Type="http://schemas.openxmlformats.org/officeDocument/2006/relationships/hyperlink" Target="https://www.ecfr.gov/current/title-34/section-303.401" TargetMode="External"/><Relationship Id="rId44" Type="http://schemas.openxmlformats.org/officeDocument/2006/relationships/hyperlink" Target="https://www.ecfr.gov/current/title-34/section-303.411" TargetMode="External"/><Relationship Id="rId52" Type="http://schemas.openxmlformats.org/officeDocument/2006/relationships/hyperlink" Target="https://www.ecfr.gov/current/title-2/part-200" TargetMode="External"/><Relationship Id="rId60" Type="http://schemas.openxmlformats.org/officeDocument/2006/relationships/hyperlink" Target="https://www.ecfr.gov/current/title-34/section-303.520" TargetMode="External"/><Relationship Id="rId65" Type="http://schemas.openxmlformats.org/officeDocument/2006/relationships/hyperlink" Target="https://www.ecfr.gov/current/title-34/section-303.434" TargetMode="External"/><Relationship Id="rId73" Type="http://schemas.openxmlformats.org/officeDocument/2006/relationships/hyperlink" Target="https://www.ecfr.gov/current/title-34/section-303.435" TargetMode="External"/><Relationship Id="rId78" Type="http://schemas.openxmlformats.org/officeDocument/2006/relationships/hyperlink" Target="https://www.ecfr.gov/current/title-34/section-303.432" TargetMode="External"/><Relationship Id="rId81" Type="http://schemas.openxmlformats.org/officeDocument/2006/relationships/hyperlink" Target="https://www.ecfr.gov/current/title-34/section-303.430" TargetMode="External"/><Relationship Id="rId86" Type="http://schemas.openxmlformats.org/officeDocument/2006/relationships/hyperlink" Target="https://www.ecfr.gov/current/title-34/section-303.430" TargetMode="External"/><Relationship Id="rId94"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ecfr.gov/current/title-34/part-303/subpart-E" TargetMode="External"/><Relationship Id="rId18" Type="http://schemas.openxmlformats.org/officeDocument/2006/relationships/hyperlink" Target="https://www.ecfr.gov/current/title-34/section-303.421" TargetMode="External"/><Relationship Id="rId39" Type="http://schemas.openxmlformats.org/officeDocument/2006/relationships/hyperlink" Target="https://www.ecfr.gov/current/title-34/part-99" TargetMode="External"/><Relationship Id="rId34" Type="http://schemas.openxmlformats.org/officeDocument/2006/relationships/hyperlink" Target="https://www.ecfr.gov/current/title-34/section-303.401" TargetMode="External"/><Relationship Id="rId50" Type="http://schemas.openxmlformats.org/officeDocument/2006/relationships/hyperlink" Target="https://www.govinfo.gov/link/uscode/20/1232f" TargetMode="External"/><Relationship Id="rId55" Type="http://schemas.openxmlformats.org/officeDocument/2006/relationships/hyperlink" Target="https://www.ecfr.gov/current/title-34/section-303.434" TargetMode="External"/><Relationship Id="rId76" Type="http://schemas.openxmlformats.org/officeDocument/2006/relationships/hyperlink" Target="https://www.ecfr.gov/current/title-34/subtitle-B/chapter-III/part-303" TargetMode="External"/><Relationship Id="rId97"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hyperlink" Target="https://www.ecfr.gov/current/title-34/section-303.434" TargetMode="External"/><Relationship Id="rId92" Type="http://schemas.openxmlformats.org/officeDocument/2006/relationships/footer" Target="footer1.xml"/><Relationship Id="rId2" Type="http://schemas.openxmlformats.org/officeDocument/2006/relationships/customXml" Target="../customXml/item2.xml"/><Relationship Id="rId29" Type="http://schemas.openxmlformats.org/officeDocument/2006/relationships/hyperlink" Target="https://www.ecfr.gov/current/title-34/section-303.209" TargetMode="External"/><Relationship Id="rId24" Type="http://schemas.openxmlformats.org/officeDocument/2006/relationships/hyperlink" Target="https://www.govinfo.gov/link/uscode/20/1232g" TargetMode="External"/><Relationship Id="rId40" Type="http://schemas.openxmlformats.org/officeDocument/2006/relationships/hyperlink" Target="https://www.ecfr.gov/current/title-34/section-303.430" TargetMode="External"/><Relationship Id="rId45" Type="http://schemas.openxmlformats.org/officeDocument/2006/relationships/hyperlink" Target="https://www.ecfr.gov/current/title-34/section-99.22" TargetMode="External"/><Relationship Id="rId66" Type="http://schemas.openxmlformats.org/officeDocument/2006/relationships/hyperlink" Target="https://www.ecfr.gov/current/title-34/section-303.430" TargetMode="External"/><Relationship Id="rId87" Type="http://schemas.openxmlformats.org/officeDocument/2006/relationships/hyperlink" Target="https://www.ecfr.gov/current/title-34/section-303.430" TargetMode="External"/><Relationship Id="rId61" Type="http://schemas.openxmlformats.org/officeDocument/2006/relationships/hyperlink" Target="https://www.ecfr.gov/current/title-34/section-303.414" TargetMode="External"/><Relationship Id="rId82" Type="http://schemas.openxmlformats.org/officeDocument/2006/relationships/hyperlink" Target="https://www.ecfr.gov/current/title-34/section-303.431" TargetMode="External"/><Relationship Id="rId19" Type="http://schemas.openxmlformats.org/officeDocument/2006/relationships/hyperlink" Target="https://www.ecfr.gov/current/title-34/section-303.422" TargetMode="External"/><Relationship Id="rId14" Type="http://schemas.openxmlformats.org/officeDocument/2006/relationships/hyperlink" Target="https://www.ecfr.gov/current/title-34/section-303.401" TargetMode="External"/><Relationship Id="rId30" Type="http://schemas.openxmlformats.org/officeDocument/2006/relationships/hyperlink" Target="https://www.ecfr.gov/current/title-34/section-303.211" TargetMode="External"/><Relationship Id="rId35" Type="http://schemas.openxmlformats.org/officeDocument/2006/relationships/hyperlink" Target="https://www.ecfr.gov/current/title-34/section-303.417" TargetMode="External"/><Relationship Id="rId56" Type="http://schemas.openxmlformats.org/officeDocument/2006/relationships/hyperlink" Target="https://www.ecfr.gov/current/title-34/section-303.401" TargetMode="External"/><Relationship Id="rId77" Type="http://schemas.openxmlformats.org/officeDocument/2006/relationships/hyperlink" Target="https://www.ecfr.gov/current/title-34/section-303.434" TargetMode="External"/><Relationship Id="rId8" Type="http://schemas.openxmlformats.org/officeDocument/2006/relationships/webSettings" Target="webSettings.xml"/><Relationship Id="rId51" Type="http://schemas.openxmlformats.org/officeDocument/2006/relationships/hyperlink" Target="https://www.ecfr.gov/current/title-34/part-76" TargetMode="External"/><Relationship Id="rId72" Type="http://schemas.openxmlformats.org/officeDocument/2006/relationships/hyperlink" Target="https://www.ecfr.gov/current/title-34/section-303.421" TargetMode="External"/><Relationship Id="rId9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4021d34-4649-4bf6-bc5c-1a993f5a1a63" xsi:nil="true"/>
    <lcf76f155ced4ddcb4097134ff3c332f xmlns="8d5b51e2-1399-4037-88c1-a8d1b7bdf72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9CE8F09DC8D214E921F5ECFFEC65E96" ma:contentTypeVersion="16" ma:contentTypeDescription="Create a new document." ma:contentTypeScope="" ma:versionID="8d39d4eca998fd6ac9640bad5cbf4543">
  <xsd:schema xmlns:xsd="http://www.w3.org/2001/XMLSchema" xmlns:xs="http://www.w3.org/2001/XMLSchema" xmlns:p="http://schemas.microsoft.com/office/2006/metadata/properties" xmlns:ns2="8d5b51e2-1399-4037-88c1-a8d1b7bdf72d" xmlns:ns3="b4021d34-4649-4bf6-bc5c-1a993f5a1a63" targetNamespace="http://schemas.microsoft.com/office/2006/metadata/properties" ma:root="true" ma:fieldsID="8ec64ec3611fbbc3bbf873315c5778f5" ns2:_="" ns3:_="">
    <xsd:import namespace="8d5b51e2-1399-4037-88c1-a8d1b7bdf72d"/>
    <xsd:import namespace="b4021d34-4649-4bf6-bc5c-1a993f5a1a6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5b51e2-1399-4037-88c1-a8d1b7bdf7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021d34-4649-4bf6-bc5c-1a993f5a1a6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7ac6c1-b49c-4157-b6ed-7f7d8c00bff1}" ma:internalName="TaxCatchAll" ma:showField="CatchAllData" ma:web="b4021d34-4649-4bf6-bc5c-1a993f5a1a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524A6D-89F2-4F64-A663-E48FF5577611}">
  <ds:schemaRefs>
    <ds:schemaRef ds:uri="http://schemas.microsoft.com/office/2006/metadata/properties"/>
    <ds:schemaRef ds:uri="http://schemas.microsoft.com/office/infopath/2007/PartnerControls"/>
    <ds:schemaRef ds:uri="b4021d34-4649-4bf6-bc5c-1a993f5a1a63"/>
    <ds:schemaRef ds:uri="8d5b51e2-1399-4037-88c1-a8d1b7bdf72d"/>
  </ds:schemaRefs>
</ds:datastoreItem>
</file>

<file path=customXml/itemProps2.xml><?xml version="1.0" encoding="utf-8"?>
<ds:datastoreItem xmlns:ds="http://schemas.openxmlformats.org/officeDocument/2006/customXml" ds:itemID="{40E709A5-942E-41B4-A042-DA3EE5C389C3}">
  <ds:schemaRefs>
    <ds:schemaRef ds:uri="http://schemas.microsoft.com/sharepoint/v3/contenttype/forms"/>
  </ds:schemaRefs>
</ds:datastoreItem>
</file>

<file path=customXml/itemProps3.xml><?xml version="1.0" encoding="utf-8"?>
<ds:datastoreItem xmlns:ds="http://schemas.openxmlformats.org/officeDocument/2006/customXml" ds:itemID="{8B6EFE36-EF12-40D4-A8F1-6A79DEF3AB61}">
  <ds:schemaRefs>
    <ds:schemaRef ds:uri="http://schemas.openxmlformats.org/officeDocument/2006/bibliography"/>
  </ds:schemaRefs>
</ds:datastoreItem>
</file>

<file path=customXml/itemProps4.xml><?xml version="1.0" encoding="utf-8"?>
<ds:datastoreItem xmlns:ds="http://schemas.openxmlformats.org/officeDocument/2006/customXml" ds:itemID="{4E0B9FF1-5C7D-4054-8972-5A3768A78B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5b51e2-1399-4037-88c1-a8d1b7bdf72d"/>
    <ds:schemaRef ds:uri="b4021d34-4649-4bf6-bc5c-1a993f5a1a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22</TotalTime>
  <Pages>16</Pages>
  <Words>6912</Words>
  <Characters>39403</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Massachusetts Early Intervention and You</vt:lpstr>
    </vt:vector>
  </TitlesOfParts>
  <Company>Hewlett-Packard Company</Company>
  <LinksUpToDate>false</LinksUpToDate>
  <CharactersWithSpaces>46223</CharactersWithSpaces>
  <SharedDoc>false</SharedDoc>
  <HLinks>
    <vt:vector size="492" baseType="variant">
      <vt:variant>
        <vt:i4>2555917</vt:i4>
      </vt:variant>
      <vt:variant>
        <vt:i4>243</vt:i4>
      </vt:variant>
      <vt:variant>
        <vt:i4>0</vt:i4>
      </vt:variant>
      <vt:variant>
        <vt:i4>5</vt:i4>
      </vt:variant>
      <vt:variant>
        <vt:lpwstr>mailto:EIDisputeResolution@mass.gov</vt:lpwstr>
      </vt:variant>
      <vt:variant>
        <vt:lpwstr/>
      </vt:variant>
      <vt:variant>
        <vt:i4>5636106</vt:i4>
      </vt:variant>
      <vt:variant>
        <vt:i4>240</vt:i4>
      </vt:variant>
      <vt:variant>
        <vt:i4>0</vt:i4>
      </vt:variant>
      <vt:variant>
        <vt:i4>5</vt:i4>
      </vt:variant>
      <vt:variant>
        <vt:lpwstr>https://www.mass.gov/orgs/early-intervention-division</vt:lpwstr>
      </vt:variant>
      <vt:variant>
        <vt:lpwstr/>
      </vt:variant>
      <vt:variant>
        <vt:i4>7864424</vt:i4>
      </vt:variant>
      <vt:variant>
        <vt:i4>237</vt:i4>
      </vt:variant>
      <vt:variant>
        <vt:i4>0</vt:i4>
      </vt:variant>
      <vt:variant>
        <vt:i4>5</vt:i4>
      </vt:variant>
      <vt:variant>
        <vt:lpwstr>https://www.ecfr.gov/current/title-34/section-303.321</vt:lpwstr>
      </vt:variant>
      <vt:variant>
        <vt:lpwstr>p-303.321(a)(6)</vt:lpwstr>
      </vt:variant>
      <vt:variant>
        <vt:i4>8061032</vt:i4>
      </vt:variant>
      <vt:variant>
        <vt:i4>234</vt:i4>
      </vt:variant>
      <vt:variant>
        <vt:i4>0</vt:i4>
      </vt:variant>
      <vt:variant>
        <vt:i4>5</vt:i4>
      </vt:variant>
      <vt:variant>
        <vt:lpwstr>https://www.ecfr.gov/current/title-34/section-303.321</vt:lpwstr>
      </vt:variant>
      <vt:variant>
        <vt:lpwstr>p-303.321(a)(5)</vt:lpwstr>
      </vt:variant>
      <vt:variant>
        <vt:i4>5111889</vt:i4>
      </vt:variant>
      <vt:variant>
        <vt:i4>231</vt:i4>
      </vt:variant>
      <vt:variant>
        <vt:i4>0</vt:i4>
      </vt:variant>
      <vt:variant>
        <vt:i4>5</vt:i4>
      </vt:variant>
      <vt:variant>
        <vt:lpwstr>https://www.ecfr.gov/current/title-34/section-303.126</vt:lpwstr>
      </vt:variant>
      <vt:variant>
        <vt:lpwstr/>
      </vt:variant>
      <vt:variant>
        <vt:i4>5111876</vt:i4>
      </vt:variant>
      <vt:variant>
        <vt:i4>228</vt:i4>
      </vt:variant>
      <vt:variant>
        <vt:i4>0</vt:i4>
      </vt:variant>
      <vt:variant>
        <vt:i4>5</vt:i4>
      </vt:variant>
      <vt:variant>
        <vt:lpwstr>https://www.ecfr.gov/current/title-34/section-303.430</vt:lpwstr>
      </vt:variant>
      <vt:variant>
        <vt:lpwstr>p-303.430(d)</vt:lpwstr>
      </vt:variant>
      <vt:variant>
        <vt:i4>5111876</vt:i4>
      </vt:variant>
      <vt:variant>
        <vt:i4>225</vt:i4>
      </vt:variant>
      <vt:variant>
        <vt:i4>0</vt:i4>
      </vt:variant>
      <vt:variant>
        <vt:i4>5</vt:i4>
      </vt:variant>
      <vt:variant>
        <vt:lpwstr>https://www.ecfr.gov/current/title-34/section-303.430</vt:lpwstr>
      </vt:variant>
      <vt:variant>
        <vt:lpwstr>p-303.430(d)</vt:lpwstr>
      </vt:variant>
      <vt:variant>
        <vt:i4>5767249</vt:i4>
      </vt:variant>
      <vt:variant>
        <vt:i4>222</vt:i4>
      </vt:variant>
      <vt:variant>
        <vt:i4>0</vt:i4>
      </vt:variant>
      <vt:variant>
        <vt:i4>5</vt:i4>
      </vt:variant>
      <vt:variant>
        <vt:lpwstr>https://www.ecfr.gov/current/title-34/subtitle-B/chapter-III/part-303</vt:lpwstr>
      </vt:variant>
      <vt:variant>
        <vt:lpwstr/>
      </vt:variant>
      <vt:variant>
        <vt:i4>5177428</vt:i4>
      </vt:variant>
      <vt:variant>
        <vt:i4>219</vt:i4>
      </vt:variant>
      <vt:variant>
        <vt:i4>0</vt:i4>
      </vt:variant>
      <vt:variant>
        <vt:i4>5</vt:i4>
      </vt:variant>
      <vt:variant>
        <vt:lpwstr>https://www.ecfr.gov/current/title-34/section-303.433</vt:lpwstr>
      </vt:variant>
      <vt:variant>
        <vt:lpwstr/>
      </vt:variant>
      <vt:variant>
        <vt:i4>5177428</vt:i4>
      </vt:variant>
      <vt:variant>
        <vt:i4>216</vt:i4>
      </vt:variant>
      <vt:variant>
        <vt:i4>0</vt:i4>
      </vt:variant>
      <vt:variant>
        <vt:i4>5</vt:i4>
      </vt:variant>
      <vt:variant>
        <vt:lpwstr>https://www.ecfr.gov/current/title-34/section-303.432</vt:lpwstr>
      </vt:variant>
      <vt:variant>
        <vt:lpwstr/>
      </vt:variant>
      <vt:variant>
        <vt:i4>5177428</vt:i4>
      </vt:variant>
      <vt:variant>
        <vt:i4>213</vt:i4>
      </vt:variant>
      <vt:variant>
        <vt:i4>0</vt:i4>
      </vt:variant>
      <vt:variant>
        <vt:i4>5</vt:i4>
      </vt:variant>
      <vt:variant>
        <vt:lpwstr>https://www.ecfr.gov/current/title-34/section-303.431</vt:lpwstr>
      </vt:variant>
      <vt:variant>
        <vt:lpwstr/>
      </vt:variant>
      <vt:variant>
        <vt:i4>5111874</vt:i4>
      </vt:variant>
      <vt:variant>
        <vt:i4>210</vt:i4>
      </vt:variant>
      <vt:variant>
        <vt:i4>0</vt:i4>
      </vt:variant>
      <vt:variant>
        <vt:i4>5</vt:i4>
      </vt:variant>
      <vt:variant>
        <vt:lpwstr>https://www.ecfr.gov/current/title-34/section-303.430</vt:lpwstr>
      </vt:variant>
      <vt:variant>
        <vt:lpwstr>p-303.430(b)</vt:lpwstr>
      </vt:variant>
      <vt:variant>
        <vt:i4>5177428</vt:i4>
      </vt:variant>
      <vt:variant>
        <vt:i4>207</vt:i4>
      </vt:variant>
      <vt:variant>
        <vt:i4>0</vt:i4>
      </vt:variant>
      <vt:variant>
        <vt:i4>5</vt:i4>
      </vt:variant>
      <vt:variant>
        <vt:lpwstr>https://www.ecfr.gov/current/title-34/section-303.434</vt:lpwstr>
      </vt:variant>
      <vt:variant>
        <vt:lpwstr/>
      </vt:variant>
      <vt:variant>
        <vt:i4>5177428</vt:i4>
      </vt:variant>
      <vt:variant>
        <vt:i4>204</vt:i4>
      </vt:variant>
      <vt:variant>
        <vt:i4>0</vt:i4>
      </vt:variant>
      <vt:variant>
        <vt:i4>5</vt:i4>
      </vt:variant>
      <vt:variant>
        <vt:lpwstr>https://www.ecfr.gov/current/title-34/section-303.434</vt:lpwstr>
      </vt:variant>
      <vt:variant>
        <vt:lpwstr/>
      </vt:variant>
      <vt:variant>
        <vt:i4>5177428</vt:i4>
      </vt:variant>
      <vt:variant>
        <vt:i4>201</vt:i4>
      </vt:variant>
      <vt:variant>
        <vt:i4>0</vt:i4>
      </vt:variant>
      <vt:variant>
        <vt:i4>5</vt:i4>
      </vt:variant>
      <vt:variant>
        <vt:lpwstr>https://www.ecfr.gov/current/title-34/section-303.432</vt:lpwstr>
      </vt:variant>
      <vt:variant>
        <vt:lpwstr/>
      </vt:variant>
      <vt:variant>
        <vt:i4>5177428</vt:i4>
      </vt:variant>
      <vt:variant>
        <vt:i4>198</vt:i4>
      </vt:variant>
      <vt:variant>
        <vt:i4>0</vt:i4>
      </vt:variant>
      <vt:variant>
        <vt:i4>5</vt:i4>
      </vt:variant>
      <vt:variant>
        <vt:lpwstr>https://www.ecfr.gov/current/title-34/section-303.434</vt:lpwstr>
      </vt:variant>
      <vt:variant>
        <vt:lpwstr/>
      </vt:variant>
      <vt:variant>
        <vt:i4>5767249</vt:i4>
      </vt:variant>
      <vt:variant>
        <vt:i4>195</vt:i4>
      </vt:variant>
      <vt:variant>
        <vt:i4>0</vt:i4>
      </vt:variant>
      <vt:variant>
        <vt:i4>5</vt:i4>
      </vt:variant>
      <vt:variant>
        <vt:lpwstr>https://www.ecfr.gov/current/title-34/subtitle-B/chapter-III/part-303</vt:lpwstr>
      </vt:variant>
      <vt:variant>
        <vt:lpwstr/>
      </vt:variant>
      <vt:variant>
        <vt:i4>5111872</vt:i4>
      </vt:variant>
      <vt:variant>
        <vt:i4>192</vt:i4>
      </vt:variant>
      <vt:variant>
        <vt:i4>0</vt:i4>
      </vt:variant>
      <vt:variant>
        <vt:i4>5</vt:i4>
      </vt:variant>
      <vt:variant>
        <vt:lpwstr>https://www.ecfr.gov/current/title-34/section-303.421</vt:lpwstr>
      </vt:variant>
      <vt:variant>
        <vt:lpwstr>p-303.421(a)</vt:lpwstr>
      </vt:variant>
      <vt:variant>
        <vt:i4>5177428</vt:i4>
      </vt:variant>
      <vt:variant>
        <vt:i4>189</vt:i4>
      </vt:variant>
      <vt:variant>
        <vt:i4>0</vt:i4>
      </vt:variant>
      <vt:variant>
        <vt:i4>5</vt:i4>
      </vt:variant>
      <vt:variant>
        <vt:lpwstr>https://www.ecfr.gov/current/title-34/section-303.438</vt:lpwstr>
      </vt:variant>
      <vt:variant>
        <vt:lpwstr/>
      </vt:variant>
      <vt:variant>
        <vt:i4>5177428</vt:i4>
      </vt:variant>
      <vt:variant>
        <vt:i4>186</vt:i4>
      </vt:variant>
      <vt:variant>
        <vt:i4>0</vt:i4>
      </vt:variant>
      <vt:variant>
        <vt:i4>5</vt:i4>
      </vt:variant>
      <vt:variant>
        <vt:lpwstr>https://www.ecfr.gov/current/title-34/section-303.435</vt:lpwstr>
      </vt:variant>
      <vt:variant>
        <vt:lpwstr/>
      </vt:variant>
      <vt:variant>
        <vt:i4>5111872</vt:i4>
      </vt:variant>
      <vt:variant>
        <vt:i4>183</vt:i4>
      </vt:variant>
      <vt:variant>
        <vt:i4>0</vt:i4>
      </vt:variant>
      <vt:variant>
        <vt:i4>5</vt:i4>
      </vt:variant>
      <vt:variant>
        <vt:lpwstr>https://www.ecfr.gov/current/title-34/section-303.421</vt:lpwstr>
      </vt:variant>
      <vt:variant>
        <vt:lpwstr>p-303.421(a)</vt:lpwstr>
      </vt:variant>
      <vt:variant>
        <vt:i4>5177428</vt:i4>
      </vt:variant>
      <vt:variant>
        <vt:i4>180</vt:i4>
      </vt:variant>
      <vt:variant>
        <vt:i4>0</vt:i4>
      </vt:variant>
      <vt:variant>
        <vt:i4>5</vt:i4>
      </vt:variant>
      <vt:variant>
        <vt:lpwstr>https://www.ecfr.gov/current/title-34/section-303.434</vt:lpwstr>
      </vt:variant>
      <vt:variant>
        <vt:lpwstr/>
      </vt:variant>
      <vt:variant>
        <vt:i4>5177428</vt:i4>
      </vt:variant>
      <vt:variant>
        <vt:i4>177</vt:i4>
      </vt:variant>
      <vt:variant>
        <vt:i4>0</vt:i4>
      </vt:variant>
      <vt:variant>
        <vt:i4>5</vt:i4>
      </vt:variant>
      <vt:variant>
        <vt:lpwstr>https://www.ecfr.gov/current/title-34/section-303.432</vt:lpwstr>
      </vt:variant>
      <vt:variant>
        <vt:lpwstr/>
      </vt:variant>
      <vt:variant>
        <vt:i4>5177428</vt:i4>
      </vt:variant>
      <vt:variant>
        <vt:i4>174</vt:i4>
      </vt:variant>
      <vt:variant>
        <vt:i4>0</vt:i4>
      </vt:variant>
      <vt:variant>
        <vt:i4>5</vt:i4>
      </vt:variant>
      <vt:variant>
        <vt:lpwstr>https://www.ecfr.gov/current/title-34/section-303.431</vt:lpwstr>
      </vt:variant>
      <vt:variant>
        <vt:lpwstr/>
      </vt:variant>
      <vt:variant>
        <vt:i4>4915282</vt:i4>
      </vt:variant>
      <vt:variant>
        <vt:i4>171</vt:i4>
      </vt:variant>
      <vt:variant>
        <vt:i4>0</vt:i4>
      </vt:variant>
      <vt:variant>
        <vt:i4>5</vt:i4>
      </vt:variant>
      <vt:variant>
        <vt:lpwstr>https://www.ecfr.gov/current/title-34/section-303.27</vt:lpwstr>
      </vt:variant>
      <vt:variant>
        <vt:lpwstr/>
      </vt:variant>
      <vt:variant>
        <vt:i4>4784210</vt:i4>
      </vt:variant>
      <vt:variant>
        <vt:i4>168</vt:i4>
      </vt:variant>
      <vt:variant>
        <vt:i4>0</vt:i4>
      </vt:variant>
      <vt:variant>
        <vt:i4>5</vt:i4>
      </vt:variant>
      <vt:variant>
        <vt:lpwstr>https://www.ecfr.gov/current/title-34/section-303.25</vt:lpwstr>
      </vt:variant>
      <vt:variant>
        <vt:lpwstr/>
      </vt:variant>
      <vt:variant>
        <vt:i4>5111876</vt:i4>
      </vt:variant>
      <vt:variant>
        <vt:i4>165</vt:i4>
      </vt:variant>
      <vt:variant>
        <vt:i4>0</vt:i4>
      </vt:variant>
      <vt:variant>
        <vt:i4>5</vt:i4>
      </vt:variant>
      <vt:variant>
        <vt:lpwstr>https://www.ecfr.gov/current/title-34/section-303.430</vt:lpwstr>
      </vt:variant>
      <vt:variant>
        <vt:lpwstr>p-303.430(d)</vt:lpwstr>
      </vt:variant>
      <vt:variant>
        <vt:i4>5177428</vt:i4>
      </vt:variant>
      <vt:variant>
        <vt:i4>162</vt:i4>
      </vt:variant>
      <vt:variant>
        <vt:i4>0</vt:i4>
      </vt:variant>
      <vt:variant>
        <vt:i4>5</vt:i4>
      </vt:variant>
      <vt:variant>
        <vt:lpwstr>https://www.ecfr.gov/current/title-34/section-303.434</vt:lpwstr>
      </vt:variant>
      <vt:variant>
        <vt:lpwstr/>
      </vt:variant>
      <vt:variant>
        <vt:i4>5177428</vt:i4>
      </vt:variant>
      <vt:variant>
        <vt:i4>159</vt:i4>
      </vt:variant>
      <vt:variant>
        <vt:i4>0</vt:i4>
      </vt:variant>
      <vt:variant>
        <vt:i4>5</vt:i4>
      </vt:variant>
      <vt:variant>
        <vt:lpwstr>https://www.ecfr.gov/current/title-34/section-303.432</vt:lpwstr>
      </vt:variant>
      <vt:variant>
        <vt:lpwstr/>
      </vt:variant>
      <vt:variant>
        <vt:i4>5177428</vt:i4>
      </vt:variant>
      <vt:variant>
        <vt:i4>156</vt:i4>
      </vt:variant>
      <vt:variant>
        <vt:i4>0</vt:i4>
      </vt:variant>
      <vt:variant>
        <vt:i4>5</vt:i4>
      </vt:variant>
      <vt:variant>
        <vt:lpwstr>https://www.ecfr.gov/current/title-34/section-303.431</vt:lpwstr>
      </vt:variant>
      <vt:variant>
        <vt:lpwstr/>
      </vt:variant>
      <vt:variant>
        <vt:i4>3538988</vt:i4>
      </vt:variant>
      <vt:variant>
        <vt:i4>153</vt:i4>
      </vt:variant>
      <vt:variant>
        <vt:i4>0</vt:i4>
      </vt:variant>
      <vt:variant>
        <vt:i4>5</vt:i4>
      </vt:variant>
      <vt:variant>
        <vt:lpwstr>https://www.ecfr.gov/current/title-34/part-303/section-303.421</vt:lpwstr>
      </vt:variant>
      <vt:variant>
        <vt:lpwstr>p-303.421(a)</vt:lpwstr>
      </vt:variant>
      <vt:variant>
        <vt:i4>5046356</vt:i4>
      </vt:variant>
      <vt:variant>
        <vt:i4>150</vt:i4>
      </vt:variant>
      <vt:variant>
        <vt:i4>0</vt:i4>
      </vt:variant>
      <vt:variant>
        <vt:i4>5</vt:i4>
      </vt:variant>
      <vt:variant>
        <vt:lpwstr>https://www.ecfr.gov/current/title-34/section-303.414</vt:lpwstr>
      </vt:variant>
      <vt:variant>
        <vt:lpwstr/>
      </vt:variant>
      <vt:variant>
        <vt:i4>5111893</vt:i4>
      </vt:variant>
      <vt:variant>
        <vt:i4>147</vt:i4>
      </vt:variant>
      <vt:variant>
        <vt:i4>0</vt:i4>
      </vt:variant>
      <vt:variant>
        <vt:i4>5</vt:i4>
      </vt:variant>
      <vt:variant>
        <vt:lpwstr>https://www.ecfr.gov/current/title-34/section-303.520</vt:lpwstr>
      </vt:variant>
      <vt:variant>
        <vt:lpwstr/>
      </vt:variant>
      <vt:variant>
        <vt:i4>5111891</vt:i4>
      </vt:variant>
      <vt:variant>
        <vt:i4>144</vt:i4>
      </vt:variant>
      <vt:variant>
        <vt:i4>0</vt:i4>
      </vt:variant>
      <vt:variant>
        <vt:i4>5</vt:i4>
      </vt:variant>
      <vt:variant>
        <vt:lpwstr>https://www.ecfr.gov/current/title-34/section-303.321</vt:lpwstr>
      </vt:variant>
      <vt:variant>
        <vt:lpwstr/>
      </vt:variant>
      <vt:variant>
        <vt:i4>8126560</vt:i4>
      </vt:variant>
      <vt:variant>
        <vt:i4>141</vt:i4>
      </vt:variant>
      <vt:variant>
        <vt:i4>0</vt:i4>
      </vt:variant>
      <vt:variant>
        <vt:i4>5</vt:i4>
      </vt:variant>
      <vt:variant>
        <vt:lpwstr>https://www.ecfr.gov/current/title-34/section-303.7</vt:lpwstr>
      </vt:variant>
      <vt:variant>
        <vt:lpwstr/>
      </vt:variant>
      <vt:variant>
        <vt:i4>5046356</vt:i4>
      </vt:variant>
      <vt:variant>
        <vt:i4>138</vt:i4>
      </vt:variant>
      <vt:variant>
        <vt:i4>0</vt:i4>
      </vt:variant>
      <vt:variant>
        <vt:i4>5</vt:i4>
      </vt:variant>
      <vt:variant>
        <vt:lpwstr>https://www.ecfr.gov/current/title-34/section-303.417</vt:lpwstr>
      </vt:variant>
      <vt:variant>
        <vt:lpwstr/>
      </vt:variant>
      <vt:variant>
        <vt:i4>4980820</vt:i4>
      </vt:variant>
      <vt:variant>
        <vt:i4>135</vt:i4>
      </vt:variant>
      <vt:variant>
        <vt:i4>0</vt:i4>
      </vt:variant>
      <vt:variant>
        <vt:i4>5</vt:i4>
      </vt:variant>
      <vt:variant>
        <vt:lpwstr>https://www.ecfr.gov/current/title-34/section-303.401</vt:lpwstr>
      </vt:variant>
      <vt:variant>
        <vt:lpwstr/>
      </vt:variant>
      <vt:variant>
        <vt:i4>5177428</vt:i4>
      </vt:variant>
      <vt:variant>
        <vt:i4>132</vt:i4>
      </vt:variant>
      <vt:variant>
        <vt:i4>0</vt:i4>
      </vt:variant>
      <vt:variant>
        <vt:i4>5</vt:i4>
      </vt:variant>
      <vt:variant>
        <vt:lpwstr>https://www.ecfr.gov/current/title-34/section-303.434</vt:lpwstr>
      </vt:variant>
      <vt:variant>
        <vt:lpwstr/>
      </vt:variant>
      <vt:variant>
        <vt:i4>5177428</vt:i4>
      </vt:variant>
      <vt:variant>
        <vt:i4>129</vt:i4>
      </vt:variant>
      <vt:variant>
        <vt:i4>0</vt:i4>
      </vt:variant>
      <vt:variant>
        <vt:i4>5</vt:i4>
      </vt:variant>
      <vt:variant>
        <vt:lpwstr>https://www.ecfr.gov/current/title-34/section-303.432</vt:lpwstr>
      </vt:variant>
      <vt:variant>
        <vt:lpwstr/>
      </vt:variant>
      <vt:variant>
        <vt:i4>3145853</vt:i4>
      </vt:variant>
      <vt:variant>
        <vt:i4>126</vt:i4>
      </vt:variant>
      <vt:variant>
        <vt:i4>0</vt:i4>
      </vt:variant>
      <vt:variant>
        <vt:i4>5</vt:i4>
      </vt:variant>
      <vt:variant>
        <vt:lpwstr>https://www.ecfr.gov/current/title-2/part-3474</vt:lpwstr>
      </vt:variant>
      <vt:variant>
        <vt:lpwstr/>
      </vt:variant>
      <vt:variant>
        <vt:i4>75</vt:i4>
      </vt:variant>
      <vt:variant>
        <vt:i4>123</vt:i4>
      </vt:variant>
      <vt:variant>
        <vt:i4>0</vt:i4>
      </vt:variant>
      <vt:variant>
        <vt:i4>5</vt:i4>
      </vt:variant>
      <vt:variant>
        <vt:lpwstr>https://www.ecfr.gov/current/title-2/part-200</vt:lpwstr>
      </vt:variant>
      <vt:variant>
        <vt:lpwstr/>
      </vt:variant>
      <vt:variant>
        <vt:i4>1245272</vt:i4>
      </vt:variant>
      <vt:variant>
        <vt:i4>120</vt:i4>
      </vt:variant>
      <vt:variant>
        <vt:i4>0</vt:i4>
      </vt:variant>
      <vt:variant>
        <vt:i4>5</vt:i4>
      </vt:variant>
      <vt:variant>
        <vt:lpwstr>https://www.ecfr.gov/current/title-34/part-76</vt:lpwstr>
      </vt:variant>
      <vt:variant>
        <vt:lpwstr/>
      </vt:variant>
      <vt:variant>
        <vt:i4>5046280</vt:i4>
      </vt:variant>
      <vt:variant>
        <vt:i4>117</vt:i4>
      </vt:variant>
      <vt:variant>
        <vt:i4>0</vt:i4>
      </vt:variant>
      <vt:variant>
        <vt:i4>5</vt:i4>
      </vt:variant>
      <vt:variant>
        <vt:lpwstr>https://www.govinfo.gov/link/uscode/20/1232f</vt:lpwstr>
      </vt:variant>
      <vt:variant>
        <vt:lpwstr/>
      </vt:variant>
      <vt:variant>
        <vt:i4>1900632</vt:i4>
      </vt:variant>
      <vt:variant>
        <vt:i4>114</vt:i4>
      </vt:variant>
      <vt:variant>
        <vt:i4>0</vt:i4>
      </vt:variant>
      <vt:variant>
        <vt:i4>5</vt:i4>
      </vt:variant>
      <vt:variant>
        <vt:lpwstr>https://www.ecfr.gov/current/title-34/part-99</vt:lpwstr>
      </vt:variant>
      <vt:variant>
        <vt:lpwstr/>
      </vt:variant>
      <vt:variant>
        <vt:i4>5046356</vt:i4>
      </vt:variant>
      <vt:variant>
        <vt:i4>111</vt:i4>
      </vt:variant>
      <vt:variant>
        <vt:i4>0</vt:i4>
      </vt:variant>
      <vt:variant>
        <vt:i4>5</vt:i4>
      </vt:variant>
      <vt:variant>
        <vt:lpwstr>https://www.ecfr.gov/current/title-34/section-303.417</vt:lpwstr>
      </vt:variant>
      <vt:variant>
        <vt:lpwstr/>
      </vt:variant>
      <vt:variant>
        <vt:i4>4980820</vt:i4>
      </vt:variant>
      <vt:variant>
        <vt:i4>108</vt:i4>
      </vt:variant>
      <vt:variant>
        <vt:i4>0</vt:i4>
      </vt:variant>
      <vt:variant>
        <vt:i4>5</vt:i4>
      </vt:variant>
      <vt:variant>
        <vt:lpwstr>https://www.ecfr.gov/current/title-34/section-303.401</vt:lpwstr>
      </vt:variant>
      <vt:variant>
        <vt:lpwstr/>
      </vt:variant>
      <vt:variant>
        <vt:i4>5111892</vt:i4>
      </vt:variant>
      <vt:variant>
        <vt:i4>105</vt:i4>
      </vt:variant>
      <vt:variant>
        <vt:i4>0</vt:i4>
      </vt:variant>
      <vt:variant>
        <vt:i4>5</vt:i4>
      </vt:variant>
      <vt:variant>
        <vt:lpwstr>https://www.ecfr.gov/current/title-34/section-303.420</vt:lpwstr>
      </vt:variant>
      <vt:variant>
        <vt:lpwstr/>
      </vt:variant>
      <vt:variant>
        <vt:i4>6881399</vt:i4>
      </vt:variant>
      <vt:variant>
        <vt:i4>102</vt:i4>
      </vt:variant>
      <vt:variant>
        <vt:i4>0</vt:i4>
      </vt:variant>
      <vt:variant>
        <vt:i4>5</vt:i4>
      </vt:variant>
      <vt:variant>
        <vt:lpwstr>https://www.ecfr.gov/current/title-34/section-99.22</vt:lpwstr>
      </vt:variant>
      <vt:variant>
        <vt:lpwstr/>
      </vt:variant>
      <vt:variant>
        <vt:i4>5046356</vt:i4>
      </vt:variant>
      <vt:variant>
        <vt:i4>99</vt:i4>
      </vt:variant>
      <vt:variant>
        <vt:i4>0</vt:i4>
      </vt:variant>
      <vt:variant>
        <vt:i4>5</vt:i4>
      </vt:variant>
      <vt:variant>
        <vt:lpwstr>https://www.ecfr.gov/current/title-34/section-303.411</vt:lpwstr>
      </vt:variant>
      <vt:variant>
        <vt:lpwstr/>
      </vt:variant>
      <vt:variant>
        <vt:i4>6881399</vt:i4>
      </vt:variant>
      <vt:variant>
        <vt:i4>96</vt:i4>
      </vt:variant>
      <vt:variant>
        <vt:i4>0</vt:i4>
      </vt:variant>
      <vt:variant>
        <vt:i4>5</vt:i4>
      </vt:variant>
      <vt:variant>
        <vt:lpwstr>https://www.ecfr.gov/current/title-34/section-99.22</vt:lpwstr>
      </vt:variant>
      <vt:variant>
        <vt:lpwstr/>
      </vt:variant>
      <vt:variant>
        <vt:i4>5046356</vt:i4>
      </vt:variant>
      <vt:variant>
        <vt:i4>93</vt:i4>
      </vt:variant>
      <vt:variant>
        <vt:i4>0</vt:i4>
      </vt:variant>
      <vt:variant>
        <vt:i4>5</vt:i4>
      </vt:variant>
      <vt:variant>
        <vt:lpwstr>https://www.ecfr.gov/current/title-34/section-303.413</vt:lpwstr>
      </vt:variant>
      <vt:variant>
        <vt:lpwstr/>
      </vt:variant>
      <vt:variant>
        <vt:i4>5046356</vt:i4>
      </vt:variant>
      <vt:variant>
        <vt:i4>90</vt:i4>
      </vt:variant>
      <vt:variant>
        <vt:i4>0</vt:i4>
      </vt:variant>
      <vt:variant>
        <vt:i4>5</vt:i4>
      </vt:variant>
      <vt:variant>
        <vt:lpwstr>https://www.ecfr.gov/current/title-34/section-303.413</vt:lpwstr>
      </vt:variant>
      <vt:variant>
        <vt:lpwstr/>
      </vt:variant>
      <vt:variant>
        <vt:i4>8323180</vt:i4>
      </vt:variant>
      <vt:variant>
        <vt:i4>87</vt:i4>
      </vt:variant>
      <vt:variant>
        <vt:i4>0</vt:i4>
      </vt:variant>
      <vt:variant>
        <vt:i4>5</vt:i4>
      </vt:variant>
      <vt:variant>
        <vt:lpwstr>https://www.ecfr.gov/current/title-34/section-303.430</vt:lpwstr>
      </vt:variant>
      <vt:variant>
        <vt:lpwstr>p-303.430(d)(1)</vt:lpwstr>
      </vt:variant>
      <vt:variant>
        <vt:i4>1900632</vt:i4>
      </vt:variant>
      <vt:variant>
        <vt:i4>84</vt:i4>
      </vt:variant>
      <vt:variant>
        <vt:i4>0</vt:i4>
      </vt:variant>
      <vt:variant>
        <vt:i4>5</vt:i4>
      </vt:variant>
      <vt:variant>
        <vt:lpwstr>https://www.ecfr.gov/current/title-34/part-99</vt:lpwstr>
      </vt:variant>
      <vt:variant>
        <vt:lpwstr/>
      </vt:variant>
      <vt:variant>
        <vt:i4>4980744</vt:i4>
      </vt:variant>
      <vt:variant>
        <vt:i4>81</vt:i4>
      </vt:variant>
      <vt:variant>
        <vt:i4>0</vt:i4>
      </vt:variant>
      <vt:variant>
        <vt:i4>5</vt:i4>
      </vt:variant>
      <vt:variant>
        <vt:lpwstr>https://www.govinfo.gov/link/uscode/20/1232g</vt:lpwstr>
      </vt:variant>
      <vt:variant>
        <vt:lpwstr/>
      </vt:variant>
      <vt:variant>
        <vt:i4>5046356</vt:i4>
      </vt:variant>
      <vt:variant>
        <vt:i4>78</vt:i4>
      </vt:variant>
      <vt:variant>
        <vt:i4>0</vt:i4>
      </vt:variant>
      <vt:variant>
        <vt:i4>5</vt:i4>
      </vt:variant>
      <vt:variant>
        <vt:lpwstr>https://www.ecfr.gov/current/title-34/section-303.417</vt:lpwstr>
      </vt:variant>
      <vt:variant>
        <vt:lpwstr/>
      </vt:variant>
      <vt:variant>
        <vt:i4>4980820</vt:i4>
      </vt:variant>
      <vt:variant>
        <vt:i4>75</vt:i4>
      </vt:variant>
      <vt:variant>
        <vt:i4>0</vt:i4>
      </vt:variant>
      <vt:variant>
        <vt:i4>5</vt:i4>
      </vt:variant>
      <vt:variant>
        <vt:lpwstr>https://www.ecfr.gov/current/title-34/section-303.401</vt:lpwstr>
      </vt:variant>
      <vt:variant>
        <vt:lpwstr/>
      </vt:variant>
      <vt:variant>
        <vt:i4>5046356</vt:i4>
      </vt:variant>
      <vt:variant>
        <vt:i4>72</vt:i4>
      </vt:variant>
      <vt:variant>
        <vt:i4>0</vt:i4>
      </vt:variant>
      <vt:variant>
        <vt:i4>5</vt:i4>
      </vt:variant>
      <vt:variant>
        <vt:lpwstr>https://www.ecfr.gov/current/title-34/section-303.417</vt:lpwstr>
      </vt:variant>
      <vt:variant>
        <vt:lpwstr/>
      </vt:variant>
      <vt:variant>
        <vt:i4>4980820</vt:i4>
      </vt:variant>
      <vt:variant>
        <vt:i4>69</vt:i4>
      </vt:variant>
      <vt:variant>
        <vt:i4>0</vt:i4>
      </vt:variant>
      <vt:variant>
        <vt:i4>5</vt:i4>
      </vt:variant>
      <vt:variant>
        <vt:lpwstr>https://www.ecfr.gov/current/title-34/section-303.401</vt:lpwstr>
      </vt:variant>
      <vt:variant>
        <vt:lpwstr/>
      </vt:variant>
      <vt:variant>
        <vt:i4>4063267</vt:i4>
      </vt:variant>
      <vt:variant>
        <vt:i4>66</vt:i4>
      </vt:variant>
      <vt:variant>
        <vt:i4>0</vt:i4>
      </vt:variant>
      <vt:variant>
        <vt:i4>5</vt:i4>
      </vt:variant>
      <vt:variant>
        <vt:lpwstr>https://www.ecfr.gov/current/title-34/section-303.209</vt:lpwstr>
      </vt:variant>
      <vt:variant>
        <vt:lpwstr>p-303.209(b)(1)(ii)</vt:lpwstr>
      </vt:variant>
      <vt:variant>
        <vt:i4>8257571</vt:i4>
      </vt:variant>
      <vt:variant>
        <vt:i4>63</vt:i4>
      </vt:variant>
      <vt:variant>
        <vt:i4>0</vt:i4>
      </vt:variant>
      <vt:variant>
        <vt:i4>5</vt:i4>
      </vt:variant>
      <vt:variant>
        <vt:lpwstr>https://www.ecfr.gov/current/title-34/section-303.209</vt:lpwstr>
      </vt:variant>
      <vt:variant>
        <vt:lpwstr>p-303.209(b)(1)(i)</vt:lpwstr>
      </vt:variant>
      <vt:variant>
        <vt:i4>5111877</vt:i4>
      </vt:variant>
      <vt:variant>
        <vt:i4>60</vt:i4>
      </vt:variant>
      <vt:variant>
        <vt:i4>0</vt:i4>
      </vt:variant>
      <vt:variant>
        <vt:i4>5</vt:i4>
      </vt:variant>
      <vt:variant>
        <vt:lpwstr>https://www.ecfr.gov/current/title-34/section-303.401</vt:lpwstr>
      </vt:variant>
      <vt:variant>
        <vt:lpwstr>p-303.401(d)</vt:lpwstr>
      </vt:variant>
      <vt:variant>
        <vt:i4>8323181</vt:i4>
      </vt:variant>
      <vt:variant>
        <vt:i4>57</vt:i4>
      </vt:variant>
      <vt:variant>
        <vt:i4>0</vt:i4>
      </vt:variant>
      <vt:variant>
        <vt:i4>5</vt:i4>
      </vt:variant>
      <vt:variant>
        <vt:lpwstr>https://www.ecfr.gov/current/title-34/section-303.401</vt:lpwstr>
      </vt:variant>
      <vt:variant>
        <vt:lpwstr>p-303.401(d)(1)</vt:lpwstr>
      </vt:variant>
      <vt:variant>
        <vt:i4>5046354</vt:i4>
      </vt:variant>
      <vt:variant>
        <vt:i4>54</vt:i4>
      </vt:variant>
      <vt:variant>
        <vt:i4>0</vt:i4>
      </vt:variant>
      <vt:variant>
        <vt:i4>5</vt:i4>
      </vt:variant>
      <vt:variant>
        <vt:lpwstr>https://www.ecfr.gov/current/title-34/section-303.211</vt:lpwstr>
      </vt:variant>
      <vt:variant>
        <vt:lpwstr/>
      </vt:variant>
      <vt:variant>
        <vt:i4>4063267</vt:i4>
      </vt:variant>
      <vt:variant>
        <vt:i4>51</vt:i4>
      </vt:variant>
      <vt:variant>
        <vt:i4>0</vt:i4>
      </vt:variant>
      <vt:variant>
        <vt:i4>5</vt:i4>
      </vt:variant>
      <vt:variant>
        <vt:lpwstr>https://www.ecfr.gov/current/title-34/section-303.209</vt:lpwstr>
      </vt:variant>
      <vt:variant>
        <vt:lpwstr>p-303.209(b)(1)(ii)</vt:lpwstr>
      </vt:variant>
      <vt:variant>
        <vt:i4>8257571</vt:i4>
      </vt:variant>
      <vt:variant>
        <vt:i4>48</vt:i4>
      </vt:variant>
      <vt:variant>
        <vt:i4>0</vt:i4>
      </vt:variant>
      <vt:variant>
        <vt:i4>5</vt:i4>
      </vt:variant>
      <vt:variant>
        <vt:lpwstr>https://www.ecfr.gov/current/title-34/section-303.209</vt:lpwstr>
      </vt:variant>
      <vt:variant>
        <vt:lpwstr>p-303.209(b)(1)(i)</vt:lpwstr>
      </vt:variant>
      <vt:variant>
        <vt:i4>5046356</vt:i4>
      </vt:variant>
      <vt:variant>
        <vt:i4>45</vt:i4>
      </vt:variant>
      <vt:variant>
        <vt:i4>0</vt:i4>
      </vt:variant>
      <vt:variant>
        <vt:i4>5</vt:i4>
      </vt:variant>
      <vt:variant>
        <vt:lpwstr>https://www.ecfr.gov/current/title-34/section-303.417</vt:lpwstr>
      </vt:variant>
      <vt:variant>
        <vt:lpwstr/>
      </vt:variant>
      <vt:variant>
        <vt:i4>4980820</vt:i4>
      </vt:variant>
      <vt:variant>
        <vt:i4>42</vt:i4>
      </vt:variant>
      <vt:variant>
        <vt:i4>0</vt:i4>
      </vt:variant>
      <vt:variant>
        <vt:i4>5</vt:i4>
      </vt:variant>
      <vt:variant>
        <vt:lpwstr>https://www.ecfr.gov/current/title-34/section-303.401</vt:lpwstr>
      </vt:variant>
      <vt:variant>
        <vt:lpwstr/>
      </vt:variant>
      <vt:variant>
        <vt:i4>1900632</vt:i4>
      </vt:variant>
      <vt:variant>
        <vt:i4>39</vt:i4>
      </vt:variant>
      <vt:variant>
        <vt:i4>0</vt:i4>
      </vt:variant>
      <vt:variant>
        <vt:i4>5</vt:i4>
      </vt:variant>
      <vt:variant>
        <vt:lpwstr>https://www.ecfr.gov/current/title-34/part-99</vt:lpwstr>
      </vt:variant>
      <vt:variant>
        <vt:lpwstr/>
      </vt:variant>
      <vt:variant>
        <vt:i4>4980744</vt:i4>
      </vt:variant>
      <vt:variant>
        <vt:i4>36</vt:i4>
      </vt:variant>
      <vt:variant>
        <vt:i4>0</vt:i4>
      </vt:variant>
      <vt:variant>
        <vt:i4>5</vt:i4>
      </vt:variant>
      <vt:variant>
        <vt:lpwstr>https://www.govinfo.gov/link/uscode/20/1232g</vt:lpwstr>
      </vt:variant>
      <vt:variant>
        <vt:lpwstr/>
      </vt:variant>
      <vt:variant>
        <vt:i4>5046356</vt:i4>
      </vt:variant>
      <vt:variant>
        <vt:i4>33</vt:i4>
      </vt:variant>
      <vt:variant>
        <vt:i4>0</vt:i4>
      </vt:variant>
      <vt:variant>
        <vt:i4>5</vt:i4>
      </vt:variant>
      <vt:variant>
        <vt:lpwstr>https://www.ecfr.gov/current/title-34/section-303.417</vt:lpwstr>
      </vt:variant>
      <vt:variant>
        <vt:lpwstr/>
      </vt:variant>
      <vt:variant>
        <vt:i4>4980820</vt:i4>
      </vt:variant>
      <vt:variant>
        <vt:i4>30</vt:i4>
      </vt:variant>
      <vt:variant>
        <vt:i4>0</vt:i4>
      </vt:variant>
      <vt:variant>
        <vt:i4>5</vt:i4>
      </vt:variant>
      <vt:variant>
        <vt:lpwstr>https://www.ecfr.gov/current/title-34/section-303.401</vt:lpwstr>
      </vt:variant>
      <vt:variant>
        <vt:lpwstr/>
      </vt:variant>
      <vt:variant>
        <vt:i4>8126560</vt:i4>
      </vt:variant>
      <vt:variant>
        <vt:i4>27</vt:i4>
      </vt:variant>
      <vt:variant>
        <vt:i4>0</vt:i4>
      </vt:variant>
      <vt:variant>
        <vt:i4>5</vt:i4>
      </vt:variant>
      <vt:variant>
        <vt:lpwstr>https://www.ecfr.gov/current/title-34/section-303.7</vt:lpwstr>
      </vt:variant>
      <vt:variant>
        <vt:lpwstr/>
      </vt:variant>
      <vt:variant>
        <vt:i4>5177428</vt:i4>
      </vt:variant>
      <vt:variant>
        <vt:i4>24</vt:i4>
      </vt:variant>
      <vt:variant>
        <vt:i4>0</vt:i4>
      </vt:variant>
      <vt:variant>
        <vt:i4>5</vt:i4>
      </vt:variant>
      <vt:variant>
        <vt:lpwstr>https://www.ecfr.gov/current/title-34/section-303.430</vt:lpwstr>
      </vt:variant>
      <vt:variant>
        <vt:lpwstr/>
      </vt:variant>
      <vt:variant>
        <vt:i4>5111892</vt:i4>
      </vt:variant>
      <vt:variant>
        <vt:i4>21</vt:i4>
      </vt:variant>
      <vt:variant>
        <vt:i4>0</vt:i4>
      </vt:variant>
      <vt:variant>
        <vt:i4>5</vt:i4>
      </vt:variant>
      <vt:variant>
        <vt:lpwstr>https://www.ecfr.gov/current/title-34/section-303.422</vt:lpwstr>
      </vt:variant>
      <vt:variant>
        <vt:lpwstr/>
      </vt:variant>
      <vt:variant>
        <vt:i4>5111892</vt:i4>
      </vt:variant>
      <vt:variant>
        <vt:i4>18</vt:i4>
      </vt:variant>
      <vt:variant>
        <vt:i4>0</vt:i4>
      </vt:variant>
      <vt:variant>
        <vt:i4>5</vt:i4>
      </vt:variant>
      <vt:variant>
        <vt:lpwstr>https://www.ecfr.gov/current/title-34/section-303.421</vt:lpwstr>
      </vt:variant>
      <vt:variant>
        <vt:lpwstr/>
      </vt:variant>
      <vt:variant>
        <vt:i4>5111892</vt:i4>
      </vt:variant>
      <vt:variant>
        <vt:i4>15</vt:i4>
      </vt:variant>
      <vt:variant>
        <vt:i4>0</vt:i4>
      </vt:variant>
      <vt:variant>
        <vt:i4>5</vt:i4>
      </vt:variant>
      <vt:variant>
        <vt:lpwstr>https://www.ecfr.gov/current/title-34/section-303.420</vt:lpwstr>
      </vt:variant>
      <vt:variant>
        <vt:lpwstr/>
      </vt:variant>
      <vt:variant>
        <vt:i4>8126560</vt:i4>
      </vt:variant>
      <vt:variant>
        <vt:i4>12</vt:i4>
      </vt:variant>
      <vt:variant>
        <vt:i4>0</vt:i4>
      </vt:variant>
      <vt:variant>
        <vt:i4>5</vt:i4>
      </vt:variant>
      <vt:variant>
        <vt:lpwstr>https://www.ecfr.gov/current/title-34/section-303.7</vt:lpwstr>
      </vt:variant>
      <vt:variant>
        <vt:lpwstr/>
      </vt:variant>
      <vt:variant>
        <vt:i4>5046356</vt:i4>
      </vt:variant>
      <vt:variant>
        <vt:i4>9</vt:i4>
      </vt:variant>
      <vt:variant>
        <vt:i4>0</vt:i4>
      </vt:variant>
      <vt:variant>
        <vt:i4>5</vt:i4>
      </vt:variant>
      <vt:variant>
        <vt:lpwstr>https://www.ecfr.gov/current/title-34/section-303.417</vt:lpwstr>
      </vt:variant>
      <vt:variant>
        <vt:lpwstr/>
      </vt:variant>
      <vt:variant>
        <vt:i4>4980820</vt:i4>
      </vt:variant>
      <vt:variant>
        <vt:i4>6</vt:i4>
      </vt:variant>
      <vt:variant>
        <vt:i4>0</vt:i4>
      </vt:variant>
      <vt:variant>
        <vt:i4>5</vt:i4>
      </vt:variant>
      <vt:variant>
        <vt:lpwstr>https://www.ecfr.gov/current/title-34/section-303.401</vt:lpwstr>
      </vt:variant>
      <vt:variant>
        <vt:lpwstr/>
      </vt:variant>
      <vt:variant>
        <vt:i4>4522013</vt:i4>
      </vt:variant>
      <vt:variant>
        <vt:i4>3</vt:i4>
      </vt:variant>
      <vt:variant>
        <vt:i4>0</vt:i4>
      </vt:variant>
      <vt:variant>
        <vt:i4>5</vt:i4>
      </vt:variant>
      <vt:variant>
        <vt:lpwstr>https://www.ecfr.gov/current/title-34/part-303/subpart-E</vt:lpwstr>
      </vt:variant>
      <vt:variant>
        <vt:lpwstr/>
      </vt:variant>
      <vt:variant>
        <vt:i4>7667747</vt:i4>
      </vt:variant>
      <vt:variant>
        <vt:i4>0</vt:i4>
      </vt:variant>
      <vt:variant>
        <vt:i4>0</vt:i4>
      </vt:variant>
      <vt:variant>
        <vt:i4>5</vt:i4>
      </vt:variant>
      <vt:variant>
        <vt:lpwstr>https://www.ecfr.gov/current/title-34/part-303/subpart-E</vt:lpwstr>
      </vt:variant>
      <vt:variant>
        <vt:lpwstr>p-303.401(c)(2)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Early Intervention and You</dc:title>
  <dc:subject/>
  <dc:creator>Longpre, Julie (DPH)</dc:creator>
  <cp:keywords/>
  <cp:lastModifiedBy>Chaneco, Aynsley</cp:lastModifiedBy>
  <cp:revision>4</cp:revision>
  <cp:lastPrinted>2026-03-16T01:07:00Z</cp:lastPrinted>
  <dcterms:created xsi:type="dcterms:W3CDTF">2026-05-13T12:21:00Z</dcterms:created>
  <dcterms:modified xsi:type="dcterms:W3CDTF">2026-08-10T14:50:00Z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0x010100C9CE8F09DC8D214E921F5ECFFEC65E96</vt:lpwstr>
  </property>
</Properties>
</file>