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FE31" w14:textId="3CF2D19E" w:rsidR="00E52790" w:rsidRPr="000B5904" w:rsidRDefault="23886EAF" w:rsidP="4C6C83CE">
      <w:pPr>
        <w:pStyle w:val="Title1"/>
        <w:keepNext w:val="0"/>
        <w:keepLines w:val="0"/>
        <w:spacing w:before="0" w:line="240" w:lineRule="auto"/>
        <w:rPr>
          <w:sz w:val="32"/>
          <w:szCs w:val="32"/>
        </w:rPr>
      </w:pPr>
      <w:r w:rsidRPr="4C6C83CE">
        <w:rPr>
          <w:sz w:val="32"/>
          <w:szCs w:val="32"/>
        </w:rPr>
        <w:t xml:space="preserve">Program </w:t>
      </w:r>
      <w:r w:rsidR="7983E527" w:rsidRPr="4C6C83CE">
        <w:rPr>
          <w:sz w:val="32"/>
          <w:szCs w:val="32"/>
        </w:rPr>
        <w:t>Self-Assessment</w:t>
      </w:r>
    </w:p>
    <w:p w14:paraId="3976DB5C" w14:textId="1701075F" w:rsidR="00E52790" w:rsidRPr="000B5904" w:rsidRDefault="1D01CF3A" w:rsidP="4C6C83CE">
      <w:pPr>
        <w:pStyle w:val="Title1"/>
        <w:keepNext w:val="0"/>
        <w:keepLines w:val="0"/>
        <w:spacing w:before="0" w:line="240" w:lineRule="auto"/>
        <w:rPr>
          <w:b w:val="0"/>
          <w:bCs w:val="0"/>
          <w:color w:val="auto"/>
          <w:sz w:val="24"/>
          <w:szCs w:val="24"/>
        </w:rPr>
      </w:pPr>
      <w:r w:rsidRPr="4C6C83CE">
        <w:rPr>
          <w:rFonts w:ascii="Calibri" w:hAnsi="Calibri" w:cs="Calibri"/>
          <w:b w:val="0"/>
          <w:bCs w:val="0"/>
          <w:color w:val="auto"/>
          <w:sz w:val="24"/>
          <w:szCs w:val="24"/>
        </w:rPr>
        <w:t xml:space="preserve">This </w:t>
      </w:r>
      <w:r w:rsidR="457CDD4D" w:rsidRPr="4C6C83CE">
        <w:rPr>
          <w:rFonts w:ascii="Calibri" w:hAnsi="Calibri" w:cs="Calibri"/>
          <w:b w:val="0"/>
          <w:bCs w:val="0"/>
          <w:color w:val="auto"/>
          <w:sz w:val="24"/>
          <w:szCs w:val="24"/>
        </w:rPr>
        <w:t>self-assessment</w:t>
      </w:r>
      <w:r w:rsidRPr="4C6C83CE">
        <w:rPr>
          <w:rFonts w:ascii="Calibri" w:hAnsi="Calibri" w:cs="Calibri"/>
          <w:b w:val="0"/>
          <w:bCs w:val="0"/>
          <w:color w:val="auto"/>
          <w:sz w:val="24"/>
          <w:szCs w:val="24"/>
        </w:rPr>
        <w:t xml:space="preserve"> tool is designed to support EI</w:t>
      </w:r>
      <w:r w:rsidR="12CFD52D" w:rsidRPr="4C6C83CE">
        <w:rPr>
          <w:rFonts w:ascii="Calibri" w:hAnsi="Calibri" w:cs="Calibri"/>
          <w:b w:val="0"/>
          <w:bCs w:val="0"/>
          <w:color w:val="auto"/>
          <w:sz w:val="24"/>
          <w:szCs w:val="24"/>
        </w:rPr>
        <w:t>S</w:t>
      </w:r>
      <w:r w:rsidRPr="4C6C83CE">
        <w:rPr>
          <w:rFonts w:ascii="Calibri" w:hAnsi="Calibri" w:cs="Calibri"/>
          <w:b w:val="0"/>
          <w:bCs w:val="0"/>
          <w:color w:val="auto"/>
          <w:sz w:val="24"/>
          <w:szCs w:val="24"/>
        </w:rPr>
        <w:t xml:space="preserve"> and EIBI programs as they evaluate their programs compliance with federal, state, and operational requirements to support their delivery of high-quality part C services.</w:t>
      </w:r>
    </w:p>
    <w:p w14:paraId="2E98DD84" w14:textId="77777777" w:rsidR="00E52790" w:rsidRDefault="00E52790" w:rsidP="2E1004F6">
      <w:pPr>
        <w:pStyle w:val="NoSpacing"/>
        <w:rPr>
          <w:sz w:val="24"/>
          <w:szCs w:val="24"/>
        </w:rPr>
      </w:pPr>
    </w:p>
    <w:p w14:paraId="04EC91A0" w14:textId="21633EC6" w:rsidR="003B744A" w:rsidRPr="000B5904" w:rsidRDefault="23886EAF" w:rsidP="2E1004F6">
      <w:pPr>
        <w:pStyle w:val="NoSpacing"/>
        <w:rPr>
          <w:sz w:val="24"/>
          <w:szCs w:val="24"/>
        </w:rPr>
      </w:pPr>
      <w:r w:rsidRPr="2E1004F6">
        <w:rPr>
          <w:sz w:val="24"/>
          <w:szCs w:val="24"/>
        </w:rPr>
        <w:t xml:space="preserve">Please review all sections with appropriate staff including program and agency leadership. If you </w:t>
      </w:r>
      <w:r w:rsidR="4610AB3C" w:rsidRPr="2E1004F6">
        <w:rPr>
          <w:sz w:val="24"/>
          <w:szCs w:val="24"/>
        </w:rPr>
        <w:t xml:space="preserve">mark </w:t>
      </w:r>
      <w:r w:rsidRPr="2E1004F6">
        <w:rPr>
          <w:sz w:val="24"/>
          <w:szCs w:val="24"/>
        </w:rPr>
        <w:t xml:space="preserve">any area </w:t>
      </w:r>
      <w:r w:rsidR="7F89F0DB" w:rsidRPr="2E1004F6">
        <w:rPr>
          <w:sz w:val="24"/>
          <w:szCs w:val="24"/>
        </w:rPr>
        <w:t>as</w:t>
      </w:r>
      <w:r w:rsidRPr="2E1004F6">
        <w:rPr>
          <w:sz w:val="24"/>
          <w:szCs w:val="24"/>
        </w:rPr>
        <w:t xml:space="preserve"> “N/A” please indicate why it is not applicable to your program. </w:t>
      </w:r>
      <w:r w:rsidR="7AEAAA5C" w:rsidRPr="2E1004F6">
        <w:rPr>
          <w:sz w:val="24"/>
          <w:szCs w:val="24"/>
        </w:rPr>
        <w:t xml:space="preserve"> </w:t>
      </w:r>
    </w:p>
    <w:p w14:paraId="5485E326" w14:textId="77777777" w:rsidR="00D56D97" w:rsidRDefault="00D56D97" w:rsidP="2E1004F6">
      <w:pPr>
        <w:pStyle w:val="NoSpacing"/>
        <w:rPr>
          <w:sz w:val="24"/>
          <w:szCs w:val="24"/>
        </w:rPr>
      </w:pPr>
    </w:p>
    <w:p w14:paraId="4541D4C7" w14:textId="663A50A9" w:rsidR="003B744A" w:rsidRPr="0066384A" w:rsidRDefault="07776C2A" w:rsidP="2E1004F6">
      <w:pPr>
        <w:pStyle w:val="NoSpacing"/>
        <w:rPr>
          <w:sz w:val="24"/>
          <w:szCs w:val="24"/>
        </w:rPr>
      </w:pPr>
      <w:r w:rsidRPr="2E1004F6">
        <w:rPr>
          <w:sz w:val="24"/>
          <w:szCs w:val="24"/>
        </w:rPr>
        <w:t>C</w:t>
      </w:r>
      <w:r w:rsidR="22BD1863" w:rsidRPr="2E1004F6">
        <w:rPr>
          <w:sz w:val="24"/>
          <w:szCs w:val="24"/>
        </w:rPr>
        <w:t xml:space="preserve">linical Oversight and Support Specialists </w:t>
      </w:r>
      <w:r w:rsidR="23886EAF" w:rsidRPr="2E1004F6">
        <w:rPr>
          <w:sz w:val="24"/>
          <w:szCs w:val="24"/>
        </w:rPr>
        <w:t>will review any areas listed as need a policy or procedure or not in place, and work with your program to identify what steps can be taken to improve this practice. This may include providing technical assistance, supporting your program to meet timelines or deadlines</w:t>
      </w:r>
      <w:r w:rsidR="22BD1863" w:rsidRPr="2E1004F6">
        <w:rPr>
          <w:sz w:val="24"/>
          <w:szCs w:val="24"/>
        </w:rPr>
        <w:t xml:space="preserve">, </w:t>
      </w:r>
      <w:r w:rsidR="23886EAF" w:rsidRPr="2E1004F6">
        <w:rPr>
          <w:sz w:val="24"/>
          <w:szCs w:val="24"/>
        </w:rPr>
        <w:t>following up on progress</w:t>
      </w:r>
      <w:r w:rsidR="22BD1863" w:rsidRPr="2E1004F6">
        <w:rPr>
          <w:sz w:val="24"/>
          <w:szCs w:val="24"/>
        </w:rPr>
        <w:t xml:space="preserve"> and corrective actions</w:t>
      </w:r>
      <w:r w:rsidR="23886EAF" w:rsidRPr="2E1004F6">
        <w:rPr>
          <w:sz w:val="24"/>
          <w:szCs w:val="24"/>
        </w:rPr>
        <w:t xml:space="preserve">. </w:t>
      </w:r>
    </w:p>
    <w:p w14:paraId="7C15BCF5" w14:textId="6E2EF857" w:rsidR="003B744A" w:rsidRDefault="003B744A" w:rsidP="2E1004F6">
      <w:pPr>
        <w:pStyle w:val="NoSpacing"/>
        <w:rPr>
          <w:sz w:val="24"/>
          <w:szCs w:val="24"/>
        </w:rPr>
      </w:pPr>
    </w:p>
    <w:p w14:paraId="315E1039" w14:textId="6E7C063E" w:rsidR="003B744A" w:rsidRDefault="003B744A" w:rsidP="2E1004F6">
      <w:pPr>
        <w:pBdr>
          <w:bottom w:val="single" w:sz="12" w:space="1" w:color="000000"/>
        </w:pBdr>
        <w:spacing w:after="0" w:line="240" w:lineRule="auto"/>
        <w:rPr>
          <w:sz w:val="24"/>
          <w:szCs w:val="24"/>
        </w:rPr>
      </w:pPr>
    </w:p>
    <w:p w14:paraId="1CB16CC0" w14:textId="52E5B31D" w:rsidR="4C6C83CE" w:rsidRDefault="4C6C83CE" w:rsidP="4C6C83CE">
      <w:pPr>
        <w:pStyle w:val="NoSpacing"/>
        <w:rPr>
          <w:b/>
          <w:bCs/>
          <w:sz w:val="24"/>
          <w:szCs w:val="24"/>
        </w:rPr>
      </w:pPr>
    </w:p>
    <w:p w14:paraId="69257C23" w14:textId="137535FD" w:rsidR="671F6E4F" w:rsidRDefault="671F6E4F" w:rsidP="2E1004F6">
      <w:pPr>
        <w:pStyle w:val="NoSpacing"/>
        <w:rPr>
          <w:b/>
          <w:bCs/>
          <w:sz w:val="24"/>
          <w:szCs w:val="24"/>
        </w:rPr>
      </w:pPr>
      <w:r w:rsidRPr="2E1004F6">
        <w:rPr>
          <w:b/>
          <w:bCs/>
          <w:sz w:val="24"/>
          <w:szCs w:val="24"/>
        </w:rPr>
        <w:t>Program</w:t>
      </w:r>
      <w:r w:rsidR="12CFD52D" w:rsidRPr="2E1004F6">
        <w:rPr>
          <w:b/>
          <w:bCs/>
          <w:sz w:val="24"/>
          <w:szCs w:val="24"/>
        </w:rPr>
        <w:t xml:space="preserve"> </w:t>
      </w:r>
      <w:r w:rsidR="45272971" w:rsidRPr="2E1004F6">
        <w:rPr>
          <w:b/>
          <w:bCs/>
          <w:sz w:val="24"/>
          <w:szCs w:val="24"/>
        </w:rPr>
        <w:t>n</w:t>
      </w:r>
      <w:r w:rsidR="12CFD52D" w:rsidRPr="2E1004F6">
        <w:rPr>
          <w:b/>
          <w:bCs/>
          <w:sz w:val="24"/>
          <w:szCs w:val="24"/>
        </w:rPr>
        <w:t>ame</w:t>
      </w:r>
      <w:r w:rsidRPr="2E1004F6">
        <w:rPr>
          <w:b/>
          <w:bCs/>
          <w:sz w:val="24"/>
          <w:szCs w:val="24"/>
        </w:rPr>
        <w:t>:</w:t>
      </w:r>
    </w:p>
    <w:p w14:paraId="3A76AD3E" w14:textId="5FFB14CE" w:rsidR="2B422D06" w:rsidRDefault="671F6E4F" w:rsidP="2E1004F6">
      <w:pPr>
        <w:pStyle w:val="NoSpacing"/>
        <w:rPr>
          <w:b/>
          <w:bCs/>
          <w:sz w:val="24"/>
          <w:szCs w:val="24"/>
        </w:rPr>
      </w:pPr>
      <w:r w:rsidRPr="2E1004F6">
        <w:rPr>
          <w:b/>
          <w:bCs/>
          <w:sz w:val="24"/>
          <w:szCs w:val="24"/>
        </w:rPr>
        <w:t xml:space="preserve">Person </w:t>
      </w:r>
      <w:r w:rsidR="3D38D64B" w:rsidRPr="2E1004F6">
        <w:rPr>
          <w:b/>
          <w:bCs/>
          <w:sz w:val="24"/>
          <w:szCs w:val="24"/>
        </w:rPr>
        <w:t>c</w:t>
      </w:r>
      <w:r w:rsidRPr="2E1004F6">
        <w:rPr>
          <w:b/>
          <w:bCs/>
          <w:sz w:val="24"/>
          <w:szCs w:val="24"/>
        </w:rPr>
        <w:t>ompleting:</w:t>
      </w:r>
    </w:p>
    <w:p w14:paraId="402A1AD2" w14:textId="38F665A0" w:rsidR="2E1004F6" w:rsidRDefault="2E1004F6" w:rsidP="2E1004F6">
      <w:pPr>
        <w:pStyle w:val="NoSpacing"/>
        <w:rPr>
          <w:b/>
          <w:bCs/>
          <w:sz w:val="24"/>
          <w:szCs w:val="24"/>
        </w:rPr>
      </w:pPr>
    </w:p>
    <w:p w14:paraId="73BF3ABC" w14:textId="3014C62A" w:rsidR="003B744A" w:rsidRPr="0066384A" w:rsidRDefault="726CA219" w:rsidP="2E1004F6">
      <w:pPr>
        <w:spacing w:after="0" w:line="240" w:lineRule="auto"/>
        <w:rPr>
          <w:rFonts w:eastAsiaTheme="minorEastAsia"/>
          <w:sz w:val="24"/>
          <w:szCs w:val="24"/>
        </w:rPr>
      </w:pPr>
      <w:r w:rsidRPr="2E1004F6">
        <w:rPr>
          <w:rFonts w:eastAsiaTheme="minorEastAsia"/>
          <w:b/>
          <w:bCs/>
          <w:sz w:val="24"/>
          <w:szCs w:val="24"/>
        </w:rPr>
        <w:t xml:space="preserve">1. </w:t>
      </w:r>
      <w:r w:rsidR="23886EAF" w:rsidRPr="2E1004F6">
        <w:rPr>
          <w:rFonts w:eastAsiaTheme="minorEastAsia"/>
          <w:b/>
          <w:bCs/>
          <w:sz w:val="24"/>
          <w:szCs w:val="24"/>
        </w:rPr>
        <w:t>Infrastructure/</w:t>
      </w:r>
      <w:r w:rsidR="56B6E4EB" w:rsidRPr="2E1004F6">
        <w:rPr>
          <w:rFonts w:eastAsiaTheme="minorEastAsia"/>
          <w:b/>
          <w:bCs/>
          <w:sz w:val="24"/>
          <w:szCs w:val="24"/>
        </w:rPr>
        <w:t>s</w:t>
      </w:r>
      <w:r w:rsidR="23886EAF" w:rsidRPr="2E1004F6">
        <w:rPr>
          <w:rFonts w:eastAsiaTheme="minorEastAsia"/>
          <w:b/>
          <w:bCs/>
          <w:sz w:val="24"/>
          <w:szCs w:val="24"/>
        </w:rPr>
        <w:t xml:space="preserve">ystems: </w:t>
      </w:r>
      <w:r w:rsidR="23886EAF" w:rsidRPr="2E1004F6">
        <w:rPr>
          <w:rFonts w:eastAsiaTheme="minorEastAsia"/>
          <w:sz w:val="24"/>
          <w:szCs w:val="24"/>
        </w:rPr>
        <w:t xml:space="preserve">The foundation for the organization of your contracted agency and the elements of a support system for your program. </w:t>
      </w:r>
    </w:p>
    <w:p w14:paraId="3780BC13" w14:textId="125BC760" w:rsidR="2E1004F6" w:rsidRDefault="2E1004F6" w:rsidP="2E1004F6">
      <w:pPr>
        <w:spacing w:after="0" w:line="240" w:lineRule="auto"/>
        <w:rPr>
          <w:rFonts w:eastAsiaTheme="minorEastAsia"/>
          <w:i/>
          <w:iCs/>
          <w:sz w:val="24"/>
          <w:szCs w:val="24"/>
        </w:rPr>
      </w:pPr>
    </w:p>
    <w:p w14:paraId="0A3D4087" w14:textId="2974977D" w:rsidR="003B744A" w:rsidRPr="0066384A" w:rsidRDefault="492E2371" w:rsidP="2E1004F6">
      <w:pPr>
        <w:spacing w:after="0" w:line="240" w:lineRule="auto"/>
        <w:rPr>
          <w:b/>
          <w:bCs/>
          <w:sz w:val="24"/>
          <w:szCs w:val="24"/>
        </w:rPr>
      </w:pPr>
      <w:r w:rsidRPr="2E1004F6">
        <w:rPr>
          <w:b/>
          <w:bCs/>
          <w:sz w:val="24"/>
          <w:szCs w:val="24"/>
        </w:rPr>
        <w:t xml:space="preserve">A. </w:t>
      </w:r>
      <w:r w:rsidR="23886EAF" w:rsidRPr="2E1004F6">
        <w:rPr>
          <w:b/>
          <w:bCs/>
          <w:sz w:val="24"/>
          <w:szCs w:val="24"/>
        </w:rPr>
        <w:t>Program Administration</w:t>
      </w:r>
    </w:p>
    <w:tbl>
      <w:tblPr>
        <w:tblStyle w:val="TableGrid"/>
        <w:tblW w:w="13088" w:type="dxa"/>
        <w:tblLook w:val="04A0" w:firstRow="1" w:lastRow="0" w:firstColumn="1" w:lastColumn="0" w:noHBand="0" w:noVBand="1"/>
      </w:tblPr>
      <w:tblGrid>
        <w:gridCol w:w="8054"/>
        <w:gridCol w:w="1671"/>
        <w:gridCol w:w="1758"/>
        <w:gridCol w:w="1605"/>
      </w:tblGrid>
      <w:tr w:rsidR="003B744A" w:rsidRPr="0066384A" w14:paraId="79AB8D22" w14:textId="77777777" w:rsidTr="2E1004F6">
        <w:trPr>
          <w:trHeight w:val="300"/>
        </w:trPr>
        <w:tc>
          <w:tcPr>
            <w:tcW w:w="8054" w:type="dxa"/>
          </w:tcPr>
          <w:p w14:paraId="6AE122D4" w14:textId="77777777" w:rsidR="003B744A" w:rsidRPr="0066384A" w:rsidRDefault="003B744A" w:rsidP="2E1004F6">
            <w:pPr>
              <w:rPr>
                <w:sz w:val="24"/>
                <w:szCs w:val="24"/>
              </w:rPr>
            </w:pPr>
          </w:p>
        </w:tc>
        <w:tc>
          <w:tcPr>
            <w:tcW w:w="1671" w:type="dxa"/>
          </w:tcPr>
          <w:p w14:paraId="5A020A29" w14:textId="300226E7" w:rsidR="003B744A" w:rsidRPr="0066384A" w:rsidRDefault="23886EAF" w:rsidP="2E1004F6">
            <w:pPr>
              <w:jc w:val="center"/>
              <w:rPr>
                <w:b/>
                <w:bCs/>
                <w:sz w:val="24"/>
                <w:szCs w:val="24"/>
              </w:rPr>
            </w:pPr>
            <w:r w:rsidRPr="2E1004F6">
              <w:rPr>
                <w:b/>
                <w:bCs/>
                <w:sz w:val="24"/>
                <w:szCs w:val="24"/>
              </w:rPr>
              <w:t>Have policy, procedure or proces</w:t>
            </w:r>
            <w:r w:rsidR="6C1D6659" w:rsidRPr="2E1004F6">
              <w:rPr>
                <w:b/>
                <w:bCs/>
                <w:sz w:val="24"/>
                <w:szCs w:val="24"/>
              </w:rPr>
              <w:t>s</w:t>
            </w:r>
          </w:p>
        </w:tc>
        <w:tc>
          <w:tcPr>
            <w:tcW w:w="1758" w:type="dxa"/>
          </w:tcPr>
          <w:p w14:paraId="1B4CBD82" w14:textId="77777777" w:rsidR="003B744A" w:rsidRPr="0066384A" w:rsidRDefault="23886EAF" w:rsidP="2E1004F6">
            <w:pPr>
              <w:jc w:val="center"/>
              <w:rPr>
                <w:b/>
                <w:bCs/>
                <w:sz w:val="24"/>
                <w:szCs w:val="24"/>
              </w:rPr>
            </w:pPr>
            <w:r w:rsidRPr="2E1004F6">
              <w:rPr>
                <w:b/>
                <w:bCs/>
                <w:sz w:val="24"/>
                <w:szCs w:val="24"/>
              </w:rPr>
              <w:t>Need policy, procedure or process</w:t>
            </w:r>
          </w:p>
        </w:tc>
        <w:tc>
          <w:tcPr>
            <w:tcW w:w="1605" w:type="dxa"/>
          </w:tcPr>
          <w:p w14:paraId="6A0EEC4E" w14:textId="77777777" w:rsidR="003B744A" w:rsidRPr="0066384A" w:rsidRDefault="23886EAF" w:rsidP="2E1004F6">
            <w:pPr>
              <w:jc w:val="center"/>
              <w:rPr>
                <w:b/>
                <w:bCs/>
                <w:sz w:val="24"/>
                <w:szCs w:val="24"/>
              </w:rPr>
            </w:pPr>
            <w:r w:rsidRPr="2E1004F6">
              <w:rPr>
                <w:b/>
                <w:bCs/>
                <w:sz w:val="24"/>
                <w:szCs w:val="24"/>
              </w:rPr>
              <w:t>N/A</w:t>
            </w:r>
          </w:p>
          <w:p w14:paraId="598C627F" w14:textId="77777777" w:rsidR="003B744A" w:rsidRPr="0066384A" w:rsidRDefault="23886EAF" w:rsidP="2E1004F6">
            <w:pPr>
              <w:jc w:val="center"/>
              <w:rPr>
                <w:b/>
                <w:bCs/>
                <w:sz w:val="24"/>
                <w:szCs w:val="24"/>
              </w:rPr>
            </w:pPr>
            <w:r w:rsidRPr="2E1004F6">
              <w:rPr>
                <w:b/>
                <w:bCs/>
                <w:sz w:val="24"/>
                <w:szCs w:val="24"/>
              </w:rPr>
              <w:t>Why?</w:t>
            </w:r>
          </w:p>
        </w:tc>
      </w:tr>
      <w:tr w:rsidR="003B744A" w:rsidRPr="0066384A" w14:paraId="74E13CF7" w14:textId="77777777" w:rsidTr="2E1004F6">
        <w:trPr>
          <w:trHeight w:val="840"/>
        </w:trPr>
        <w:tc>
          <w:tcPr>
            <w:tcW w:w="8054" w:type="dxa"/>
          </w:tcPr>
          <w:p w14:paraId="455239E0" w14:textId="11ED6B67" w:rsidR="003B744A" w:rsidRPr="0066384A" w:rsidRDefault="15D4B6AD" w:rsidP="2E1004F6">
            <w:pPr>
              <w:rPr>
                <w:sz w:val="24"/>
                <w:szCs w:val="24"/>
              </w:rPr>
            </w:pPr>
            <w:r w:rsidRPr="2E1004F6">
              <w:rPr>
                <w:b/>
                <w:bCs/>
                <w:sz w:val="24"/>
                <w:szCs w:val="24"/>
              </w:rPr>
              <w:t xml:space="preserve">Administrative oversight procedures: </w:t>
            </w:r>
            <w:r w:rsidR="23886EAF" w:rsidRPr="2E1004F6">
              <w:rPr>
                <w:sz w:val="24"/>
                <w:szCs w:val="24"/>
              </w:rPr>
              <w:t>Program has written procedures on administrative oversight of individual EI program including personnel policies</w:t>
            </w:r>
            <w:r w:rsidR="03D23258" w:rsidRPr="2E1004F6">
              <w:rPr>
                <w:sz w:val="24"/>
                <w:szCs w:val="24"/>
              </w:rPr>
              <w:t xml:space="preserve"> (EIOS Section </w:t>
            </w:r>
            <w:r w:rsidR="0B8D60F8" w:rsidRPr="2E1004F6">
              <w:rPr>
                <w:sz w:val="24"/>
                <w:szCs w:val="24"/>
              </w:rPr>
              <w:t>XII B. 1.</w:t>
            </w:r>
            <w:r w:rsidR="01BBEF4A" w:rsidRPr="2E1004F6">
              <w:rPr>
                <w:sz w:val="24"/>
                <w:szCs w:val="24"/>
              </w:rPr>
              <w:t xml:space="preserve"> </w:t>
            </w:r>
            <w:r w:rsidR="3FFB950B" w:rsidRPr="2E1004F6">
              <w:rPr>
                <w:sz w:val="24"/>
                <w:szCs w:val="24"/>
              </w:rPr>
              <w:t>a</w:t>
            </w:r>
            <w:r w:rsidR="0B8D60F8" w:rsidRPr="2E1004F6">
              <w:rPr>
                <w:sz w:val="24"/>
                <w:szCs w:val="24"/>
              </w:rPr>
              <w:t xml:space="preserve"> Pg. 58)</w:t>
            </w:r>
            <w:r w:rsidR="5BDC56CD" w:rsidRPr="2E1004F6">
              <w:rPr>
                <w:sz w:val="24"/>
                <w:szCs w:val="24"/>
              </w:rPr>
              <w:t xml:space="preserve"> (CFR </w:t>
            </w:r>
            <w:r w:rsidR="6086A06E" w:rsidRPr="2E1004F6">
              <w:rPr>
                <w:sz w:val="24"/>
                <w:szCs w:val="24"/>
              </w:rPr>
              <w:t>303.31)</w:t>
            </w:r>
          </w:p>
        </w:tc>
        <w:tc>
          <w:tcPr>
            <w:tcW w:w="1671" w:type="dxa"/>
          </w:tcPr>
          <w:p w14:paraId="7E832F32" w14:textId="77777777" w:rsidR="003B744A" w:rsidRPr="0066384A" w:rsidRDefault="003B744A" w:rsidP="2E1004F6">
            <w:pPr>
              <w:rPr>
                <w:sz w:val="24"/>
                <w:szCs w:val="24"/>
              </w:rPr>
            </w:pPr>
          </w:p>
        </w:tc>
        <w:tc>
          <w:tcPr>
            <w:tcW w:w="1758" w:type="dxa"/>
          </w:tcPr>
          <w:p w14:paraId="09B695CA" w14:textId="77777777" w:rsidR="003B744A" w:rsidRPr="0066384A" w:rsidRDefault="003B744A" w:rsidP="2E1004F6">
            <w:pPr>
              <w:rPr>
                <w:sz w:val="24"/>
                <w:szCs w:val="24"/>
              </w:rPr>
            </w:pPr>
          </w:p>
        </w:tc>
        <w:tc>
          <w:tcPr>
            <w:tcW w:w="1605" w:type="dxa"/>
          </w:tcPr>
          <w:p w14:paraId="3C9D2D57" w14:textId="77777777" w:rsidR="003B744A" w:rsidRPr="0066384A" w:rsidRDefault="003B744A" w:rsidP="2E1004F6">
            <w:pPr>
              <w:rPr>
                <w:sz w:val="24"/>
                <w:szCs w:val="24"/>
              </w:rPr>
            </w:pPr>
          </w:p>
        </w:tc>
      </w:tr>
      <w:tr w:rsidR="003B744A" w:rsidRPr="0066384A" w14:paraId="6E1F30FB" w14:textId="77777777" w:rsidTr="2E1004F6">
        <w:trPr>
          <w:trHeight w:val="794"/>
        </w:trPr>
        <w:tc>
          <w:tcPr>
            <w:tcW w:w="8054" w:type="dxa"/>
          </w:tcPr>
          <w:p w14:paraId="7FECD22D" w14:textId="3A649A5D" w:rsidR="003B744A" w:rsidRPr="0066384A" w:rsidRDefault="5B1289B8" w:rsidP="2E1004F6">
            <w:pPr>
              <w:rPr>
                <w:sz w:val="24"/>
                <w:szCs w:val="24"/>
              </w:rPr>
            </w:pPr>
            <w:r w:rsidRPr="2E1004F6">
              <w:rPr>
                <w:b/>
                <w:bCs/>
                <w:sz w:val="24"/>
                <w:szCs w:val="24"/>
              </w:rPr>
              <w:t xml:space="preserve">CAP process: </w:t>
            </w:r>
            <w:r w:rsidR="23886EAF" w:rsidRPr="2E1004F6">
              <w:rPr>
                <w:sz w:val="24"/>
                <w:szCs w:val="24"/>
              </w:rPr>
              <w:t>Program has a process to complete and submit a Corrective Action Plan (CAP)</w:t>
            </w:r>
            <w:r w:rsidR="6FE4AE1A" w:rsidRPr="2E1004F6">
              <w:rPr>
                <w:sz w:val="24"/>
                <w:szCs w:val="24"/>
              </w:rPr>
              <w:t xml:space="preserve"> (Introduction, pg. 3)</w:t>
            </w:r>
          </w:p>
        </w:tc>
        <w:tc>
          <w:tcPr>
            <w:tcW w:w="1671" w:type="dxa"/>
          </w:tcPr>
          <w:p w14:paraId="3B4811B1" w14:textId="77777777" w:rsidR="003B744A" w:rsidRPr="0066384A" w:rsidRDefault="003B744A" w:rsidP="2E1004F6">
            <w:pPr>
              <w:rPr>
                <w:sz w:val="24"/>
                <w:szCs w:val="24"/>
              </w:rPr>
            </w:pPr>
          </w:p>
        </w:tc>
        <w:tc>
          <w:tcPr>
            <w:tcW w:w="1758" w:type="dxa"/>
          </w:tcPr>
          <w:p w14:paraId="56DB8B31" w14:textId="77777777" w:rsidR="003B744A" w:rsidRPr="0066384A" w:rsidRDefault="003B744A" w:rsidP="2E1004F6">
            <w:pPr>
              <w:rPr>
                <w:sz w:val="24"/>
                <w:szCs w:val="24"/>
              </w:rPr>
            </w:pPr>
          </w:p>
        </w:tc>
        <w:tc>
          <w:tcPr>
            <w:tcW w:w="1605" w:type="dxa"/>
          </w:tcPr>
          <w:p w14:paraId="3F77B31D" w14:textId="77777777" w:rsidR="003B744A" w:rsidRPr="0066384A" w:rsidRDefault="003B744A" w:rsidP="2E1004F6">
            <w:pPr>
              <w:rPr>
                <w:sz w:val="24"/>
                <w:szCs w:val="24"/>
              </w:rPr>
            </w:pPr>
          </w:p>
        </w:tc>
      </w:tr>
      <w:tr w:rsidR="003B744A" w:rsidRPr="0066384A" w14:paraId="69771E52" w14:textId="77777777" w:rsidTr="2E1004F6">
        <w:trPr>
          <w:trHeight w:val="819"/>
        </w:trPr>
        <w:tc>
          <w:tcPr>
            <w:tcW w:w="8054" w:type="dxa"/>
          </w:tcPr>
          <w:p w14:paraId="4E8B400F" w14:textId="1208EA8F" w:rsidR="003B744A" w:rsidRPr="0066384A" w:rsidRDefault="22426863" w:rsidP="2E1004F6">
            <w:pPr>
              <w:rPr>
                <w:sz w:val="24"/>
                <w:szCs w:val="24"/>
              </w:rPr>
            </w:pPr>
            <w:r w:rsidRPr="2E1004F6">
              <w:rPr>
                <w:b/>
                <w:bCs/>
                <w:sz w:val="24"/>
                <w:szCs w:val="24"/>
              </w:rPr>
              <w:lastRenderedPageBreak/>
              <w:t xml:space="preserve">Referral process: </w:t>
            </w:r>
            <w:r w:rsidR="23886EAF" w:rsidRPr="2E1004F6">
              <w:rPr>
                <w:sz w:val="24"/>
                <w:szCs w:val="24"/>
              </w:rPr>
              <w:t>Program has a referral process to SSP Programs, including RCP, EIBI, Hearing and Vision</w:t>
            </w:r>
            <w:r w:rsidR="1F00C4BF" w:rsidRPr="2E1004F6">
              <w:rPr>
                <w:sz w:val="24"/>
                <w:szCs w:val="24"/>
              </w:rPr>
              <w:t xml:space="preserve"> (EIOS Section XII </w:t>
            </w:r>
            <w:r w:rsidR="32B6BAE3" w:rsidRPr="2E1004F6">
              <w:rPr>
                <w:sz w:val="24"/>
                <w:szCs w:val="24"/>
              </w:rPr>
              <w:t xml:space="preserve">3. </w:t>
            </w:r>
            <w:r w:rsidR="1E72089F" w:rsidRPr="2E1004F6">
              <w:rPr>
                <w:sz w:val="24"/>
                <w:szCs w:val="24"/>
              </w:rPr>
              <w:t>k</w:t>
            </w:r>
            <w:r w:rsidR="32B6BAE3" w:rsidRPr="2E1004F6">
              <w:rPr>
                <w:sz w:val="24"/>
                <w:szCs w:val="24"/>
              </w:rPr>
              <w:t xml:space="preserve"> pg.59)</w:t>
            </w:r>
          </w:p>
        </w:tc>
        <w:tc>
          <w:tcPr>
            <w:tcW w:w="1671" w:type="dxa"/>
          </w:tcPr>
          <w:p w14:paraId="4F2560C8" w14:textId="77777777" w:rsidR="003B744A" w:rsidRPr="0066384A" w:rsidRDefault="003B744A" w:rsidP="2E1004F6">
            <w:pPr>
              <w:rPr>
                <w:sz w:val="24"/>
                <w:szCs w:val="24"/>
              </w:rPr>
            </w:pPr>
          </w:p>
        </w:tc>
        <w:tc>
          <w:tcPr>
            <w:tcW w:w="1758" w:type="dxa"/>
          </w:tcPr>
          <w:p w14:paraId="67FEB09F" w14:textId="77777777" w:rsidR="003B744A" w:rsidRPr="0066384A" w:rsidRDefault="003B744A" w:rsidP="2E1004F6">
            <w:pPr>
              <w:rPr>
                <w:sz w:val="24"/>
                <w:szCs w:val="24"/>
              </w:rPr>
            </w:pPr>
          </w:p>
        </w:tc>
        <w:tc>
          <w:tcPr>
            <w:tcW w:w="1605" w:type="dxa"/>
          </w:tcPr>
          <w:p w14:paraId="30CAA70B" w14:textId="77777777" w:rsidR="003B744A" w:rsidRPr="0066384A" w:rsidRDefault="003B744A" w:rsidP="2E1004F6">
            <w:pPr>
              <w:rPr>
                <w:sz w:val="24"/>
                <w:szCs w:val="24"/>
              </w:rPr>
            </w:pPr>
          </w:p>
        </w:tc>
      </w:tr>
      <w:tr w:rsidR="003B744A" w:rsidRPr="0066384A" w14:paraId="7F81A4CF" w14:textId="77777777" w:rsidTr="2E1004F6">
        <w:trPr>
          <w:trHeight w:val="789"/>
        </w:trPr>
        <w:tc>
          <w:tcPr>
            <w:tcW w:w="8054" w:type="dxa"/>
          </w:tcPr>
          <w:p w14:paraId="1D2E8683" w14:textId="21B57F35" w:rsidR="003B744A" w:rsidRPr="0066384A" w:rsidRDefault="23DD71CB" w:rsidP="2E1004F6">
            <w:pPr>
              <w:rPr>
                <w:sz w:val="24"/>
                <w:szCs w:val="24"/>
              </w:rPr>
            </w:pPr>
            <w:r w:rsidRPr="2E1004F6">
              <w:rPr>
                <w:b/>
                <w:bCs/>
                <w:sz w:val="24"/>
                <w:szCs w:val="24"/>
              </w:rPr>
              <w:t xml:space="preserve">Transportation policy: </w:t>
            </w:r>
            <w:r w:rsidR="23886EAF" w:rsidRPr="2E1004F6">
              <w:rPr>
                <w:sz w:val="24"/>
                <w:szCs w:val="24"/>
              </w:rPr>
              <w:t>Program has policies on file for coordination of transportation and processing of required forms and reports</w:t>
            </w:r>
            <w:r w:rsidR="5BE45843" w:rsidRPr="2E1004F6">
              <w:rPr>
                <w:sz w:val="24"/>
                <w:szCs w:val="24"/>
              </w:rPr>
              <w:t xml:space="preserve"> (EIOS Section </w:t>
            </w:r>
            <w:r w:rsidR="01BBEF4A" w:rsidRPr="2E1004F6">
              <w:rPr>
                <w:sz w:val="24"/>
                <w:szCs w:val="24"/>
              </w:rPr>
              <w:t>XII B. 1</w:t>
            </w:r>
            <w:r w:rsidR="7DF5FC82" w:rsidRPr="2E1004F6">
              <w:rPr>
                <w:sz w:val="24"/>
                <w:szCs w:val="24"/>
              </w:rPr>
              <w:t>. m pg. 58)</w:t>
            </w:r>
          </w:p>
        </w:tc>
        <w:tc>
          <w:tcPr>
            <w:tcW w:w="1671" w:type="dxa"/>
          </w:tcPr>
          <w:p w14:paraId="1CEB1580" w14:textId="77777777" w:rsidR="003B744A" w:rsidRPr="0066384A" w:rsidRDefault="003B744A" w:rsidP="2E1004F6">
            <w:pPr>
              <w:rPr>
                <w:sz w:val="24"/>
                <w:szCs w:val="24"/>
              </w:rPr>
            </w:pPr>
          </w:p>
        </w:tc>
        <w:tc>
          <w:tcPr>
            <w:tcW w:w="1758" w:type="dxa"/>
          </w:tcPr>
          <w:p w14:paraId="01A4950A" w14:textId="77777777" w:rsidR="003B744A" w:rsidRPr="0066384A" w:rsidRDefault="003B744A" w:rsidP="2E1004F6">
            <w:pPr>
              <w:rPr>
                <w:sz w:val="24"/>
                <w:szCs w:val="24"/>
              </w:rPr>
            </w:pPr>
          </w:p>
        </w:tc>
        <w:tc>
          <w:tcPr>
            <w:tcW w:w="1605" w:type="dxa"/>
          </w:tcPr>
          <w:p w14:paraId="21F64354" w14:textId="77777777" w:rsidR="003B744A" w:rsidRPr="0066384A" w:rsidRDefault="003B744A" w:rsidP="2E1004F6">
            <w:pPr>
              <w:rPr>
                <w:sz w:val="24"/>
                <w:szCs w:val="24"/>
              </w:rPr>
            </w:pPr>
          </w:p>
        </w:tc>
      </w:tr>
      <w:tr w:rsidR="003B744A" w:rsidRPr="0066384A" w14:paraId="2FFF77E7" w14:textId="77777777" w:rsidTr="2E1004F6">
        <w:trPr>
          <w:trHeight w:val="475"/>
        </w:trPr>
        <w:tc>
          <w:tcPr>
            <w:tcW w:w="8054" w:type="dxa"/>
          </w:tcPr>
          <w:p w14:paraId="2B9CA6DA" w14:textId="61200F6A" w:rsidR="003B744A" w:rsidRPr="0066384A" w:rsidRDefault="18596992" w:rsidP="2E1004F6">
            <w:pPr>
              <w:rPr>
                <w:sz w:val="24"/>
                <w:szCs w:val="24"/>
              </w:rPr>
            </w:pPr>
            <w:r w:rsidRPr="2E1004F6">
              <w:rPr>
                <w:b/>
                <w:bCs/>
                <w:sz w:val="24"/>
                <w:szCs w:val="24"/>
              </w:rPr>
              <w:t xml:space="preserve">Core team: </w:t>
            </w:r>
            <w:r w:rsidR="23886EAF" w:rsidRPr="2E1004F6">
              <w:rPr>
                <w:sz w:val="24"/>
                <w:szCs w:val="24"/>
              </w:rPr>
              <w:t>Program currently has a core team</w:t>
            </w:r>
            <w:r w:rsidR="7DF5FC82" w:rsidRPr="2E1004F6">
              <w:rPr>
                <w:sz w:val="24"/>
                <w:szCs w:val="24"/>
              </w:rPr>
              <w:t xml:space="preserve"> (EIOS Section XII </w:t>
            </w:r>
            <w:r w:rsidR="13595F04" w:rsidRPr="2E1004F6">
              <w:rPr>
                <w:sz w:val="24"/>
                <w:szCs w:val="24"/>
              </w:rPr>
              <w:t>D pg. 60)</w:t>
            </w:r>
          </w:p>
        </w:tc>
        <w:tc>
          <w:tcPr>
            <w:tcW w:w="1671" w:type="dxa"/>
          </w:tcPr>
          <w:p w14:paraId="33B9CEFD" w14:textId="77777777" w:rsidR="003B744A" w:rsidRPr="0066384A" w:rsidRDefault="003B744A" w:rsidP="2E1004F6">
            <w:pPr>
              <w:rPr>
                <w:sz w:val="24"/>
                <w:szCs w:val="24"/>
              </w:rPr>
            </w:pPr>
          </w:p>
        </w:tc>
        <w:tc>
          <w:tcPr>
            <w:tcW w:w="1758" w:type="dxa"/>
          </w:tcPr>
          <w:p w14:paraId="7A4698EC" w14:textId="77777777" w:rsidR="003B744A" w:rsidRPr="0066384A" w:rsidRDefault="003B744A" w:rsidP="2E1004F6">
            <w:pPr>
              <w:rPr>
                <w:sz w:val="24"/>
                <w:szCs w:val="24"/>
              </w:rPr>
            </w:pPr>
          </w:p>
        </w:tc>
        <w:tc>
          <w:tcPr>
            <w:tcW w:w="1605" w:type="dxa"/>
          </w:tcPr>
          <w:p w14:paraId="01658DD9" w14:textId="77777777" w:rsidR="003B744A" w:rsidRPr="0066384A" w:rsidRDefault="003B744A" w:rsidP="2E1004F6">
            <w:pPr>
              <w:rPr>
                <w:sz w:val="24"/>
                <w:szCs w:val="24"/>
              </w:rPr>
            </w:pPr>
          </w:p>
        </w:tc>
      </w:tr>
      <w:tr w:rsidR="003B744A" w:rsidRPr="0066384A" w14:paraId="399294DF" w14:textId="77777777" w:rsidTr="2E1004F6">
        <w:trPr>
          <w:trHeight w:val="819"/>
        </w:trPr>
        <w:tc>
          <w:tcPr>
            <w:tcW w:w="8054" w:type="dxa"/>
          </w:tcPr>
          <w:p w14:paraId="76A7A9FD" w14:textId="51C856C7" w:rsidR="003B744A" w:rsidRPr="0066384A" w:rsidRDefault="28F61BA8" w:rsidP="2E1004F6">
            <w:pPr>
              <w:rPr>
                <w:sz w:val="24"/>
                <w:szCs w:val="24"/>
              </w:rPr>
            </w:pPr>
            <w:r w:rsidRPr="2E1004F6">
              <w:rPr>
                <w:b/>
                <w:bCs/>
                <w:sz w:val="24"/>
                <w:szCs w:val="24"/>
              </w:rPr>
              <w:t xml:space="preserve">Staff credentials and licensures: </w:t>
            </w:r>
            <w:r w:rsidR="23886EAF" w:rsidRPr="2E1004F6">
              <w:rPr>
                <w:sz w:val="24"/>
                <w:szCs w:val="24"/>
              </w:rPr>
              <w:t>Program has a policy and process in place to ensure staff credentials and licensures are up to date</w:t>
            </w:r>
            <w:r w:rsidR="13595F04" w:rsidRPr="2E1004F6">
              <w:rPr>
                <w:sz w:val="24"/>
                <w:szCs w:val="24"/>
              </w:rPr>
              <w:t xml:space="preserve"> (EIOS Sec</w:t>
            </w:r>
            <w:r w:rsidR="5EBFA266" w:rsidRPr="2E1004F6">
              <w:rPr>
                <w:sz w:val="24"/>
                <w:szCs w:val="24"/>
              </w:rPr>
              <w:t xml:space="preserve">tion XII </w:t>
            </w:r>
            <w:r w:rsidR="08529557" w:rsidRPr="2E1004F6">
              <w:rPr>
                <w:sz w:val="24"/>
                <w:szCs w:val="24"/>
              </w:rPr>
              <w:t>B</w:t>
            </w:r>
            <w:r w:rsidR="0EB3AF2F" w:rsidRPr="2E1004F6">
              <w:rPr>
                <w:sz w:val="24"/>
                <w:szCs w:val="24"/>
              </w:rPr>
              <w:t xml:space="preserve">. </w:t>
            </w:r>
            <w:r w:rsidR="5EBFA266" w:rsidRPr="2E1004F6">
              <w:rPr>
                <w:sz w:val="24"/>
                <w:szCs w:val="24"/>
              </w:rPr>
              <w:t>2. Pg. 58-59)</w:t>
            </w:r>
          </w:p>
        </w:tc>
        <w:tc>
          <w:tcPr>
            <w:tcW w:w="1671" w:type="dxa"/>
          </w:tcPr>
          <w:p w14:paraId="193148C9" w14:textId="77777777" w:rsidR="003B744A" w:rsidRPr="0066384A" w:rsidRDefault="003B744A" w:rsidP="2E1004F6">
            <w:pPr>
              <w:rPr>
                <w:sz w:val="24"/>
                <w:szCs w:val="24"/>
              </w:rPr>
            </w:pPr>
          </w:p>
        </w:tc>
        <w:tc>
          <w:tcPr>
            <w:tcW w:w="1758" w:type="dxa"/>
          </w:tcPr>
          <w:p w14:paraId="12C1F840" w14:textId="77777777" w:rsidR="003B744A" w:rsidRPr="0066384A" w:rsidRDefault="003B744A" w:rsidP="2E1004F6">
            <w:pPr>
              <w:rPr>
                <w:sz w:val="24"/>
                <w:szCs w:val="24"/>
              </w:rPr>
            </w:pPr>
          </w:p>
        </w:tc>
        <w:tc>
          <w:tcPr>
            <w:tcW w:w="1605" w:type="dxa"/>
          </w:tcPr>
          <w:p w14:paraId="365D6FB0" w14:textId="77777777" w:rsidR="003B744A" w:rsidRPr="0066384A" w:rsidRDefault="003B744A" w:rsidP="2E1004F6">
            <w:pPr>
              <w:rPr>
                <w:sz w:val="24"/>
                <w:szCs w:val="24"/>
              </w:rPr>
            </w:pPr>
          </w:p>
        </w:tc>
      </w:tr>
      <w:tr w:rsidR="003B744A" w:rsidRPr="0066384A" w14:paraId="0AD0A722" w14:textId="77777777" w:rsidTr="2E1004F6">
        <w:trPr>
          <w:trHeight w:val="729"/>
        </w:trPr>
        <w:tc>
          <w:tcPr>
            <w:tcW w:w="8054" w:type="dxa"/>
          </w:tcPr>
          <w:p w14:paraId="4765F1FF" w14:textId="1A954FDB" w:rsidR="003B744A" w:rsidRPr="0066384A" w:rsidRDefault="390CAE16" w:rsidP="2E1004F6">
            <w:pPr>
              <w:rPr>
                <w:sz w:val="24"/>
                <w:szCs w:val="24"/>
              </w:rPr>
            </w:pPr>
            <w:r w:rsidRPr="2E1004F6">
              <w:rPr>
                <w:b/>
                <w:bCs/>
                <w:sz w:val="24"/>
                <w:szCs w:val="24"/>
              </w:rPr>
              <w:t xml:space="preserve">Personnel records: </w:t>
            </w:r>
            <w:r w:rsidR="23886EAF" w:rsidRPr="2E1004F6">
              <w:rPr>
                <w:sz w:val="24"/>
                <w:szCs w:val="24"/>
              </w:rPr>
              <w:t>Program has a policy regarding the maintenance of personnel records</w:t>
            </w:r>
            <w:r w:rsidR="443C3339" w:rsidRPr="2E1004F6">
              <w:rPr>
                <w:sz w:val="24"/>
                <w:szCs w:val="24"/>
              </w:rPr>
              <w:t xml:space="preserve"> (EIOS Section XII </w:t>
            </w:r>
            <w:r w:rsidR="1E72089F" w:rsidRPr="2E1004F6">
              <w:rPr>
                <w:sz w:val="24"/>
                <w:szCs w:val="24"/>
              </w:rPr>
              <w:t>B</w:t>
            </w:r>
            <w:r w:rsidR="0EB3AF2F" w:rsidRPr="2E1004F6">
              <w:rPr>
                <w:sz w:val="24"/>
                <w:szCs w:val="24"/>
              </w:rPr>
              <w:t xml:space="preserve">. </w:t>
            </w:r>
            <w:r w:rsidR="443C3339" w:rsidRPr="2E1004F6">
              <w:rPr>
                <w:sz w:val="24"/>
                <w:szCs w:val="24"/>
              </w:rPr>
              <w:t xml:space="preserve">2. Pg. </w:t>
            </w:r>
            <w:r w:rsidR="1319EFB7" w:rsidRPr="2E1004F6">
              <w:rPr>
                <w:sz w:val="24"/>
                <w:szCs w:val="24"/>
              </w:rPr>
              <w:t>5</w:t>
            </w:r>
            <w:r w:rsidR="443C3339" w:rsidRPr="2E1004F6">
              <w:rPr>
                <w:sz w:val="24"/>
                <w:szCs w:val="24"/>
              </w:rPr>
              <w:t>8-59)</w:t>
            </w:r>
          </w:p>
        </w:tc>
        <w:tc>
          <w:tcPr>
            <w:tcW w:w="1671" w:type="dxa"/>
          </w:tcPr>
          <w:p w14:paraId="2D01AC50" w14:textId="77777777" w:rsidR="003B744A" w:rsidRPr="0066384A" w:rsidRDefault="003B744A" w:rsidP="2E1004F6">
            <w:pPr>
              <w:rPr>
                <w:sz w:val="24"/>
                <w:szCs w:val="24"/>
              </w:rPr>
            </w:pPr>
          </w:p>
        </w:tc>
        <w:tc>
          <w:tcPr>
            <w:tcW w:w="1758" w:type="dxa"/>
          </w:tcPr>
          <w:p w14:paraId="343C4963" w14:textId="77777777" w:rsidR="003B744A" w:rsidRPr="0066384A" w:rsidRDefault="003B744A" w:rsidP="2E1004F6">
            <w:pPr>
              <w:rPr>
                <w:sz w:val="24"/>
                <w:szCs w:val="24"/>
              </w:rPr>
            </w:pPr>
          </w:p>
        </w:tc>
        <w:tc>
          <w:tcPr>
            <w:tcW w:w="1605" w:type="dxa"/>
          </w:tcPr>
          <w:p w14:paraId="07D82A05" w14:textId="77777777" w:rsidR="003B744A" w:rsidRPr="0066384A" w:rsidRDefault="003B744A" w:rsidP="2E1004F6">
            <w:pPr>
              <w:rPr>
                <w:sz w:val="24"/>
                <w:szCs w:val="24"/>
              </w:rPr>
            </w:pPr>
          </w:p>
        </w:tc>
      </w:tr>
      <w:tr w:rsidR="003B744A" w:rsidRPr="0066384A" w14:paraId="77E94655" w14:textId="77777777" w:rsidTr="2E1004F6">
        <w:trPr>
          <w:trHeight w:val="759"/>
        </w:trPr>
        <w:tc>
          <w:tcPr>
            <w:tcW w:w="8054" w:type="dxa"/>
          </w:tcPr>
          <w:p w14:paraId="01A8885D" w14:textId="1854ACB0" w:rsidR="003B744A" w:rsidRPr="0066384A" w:rsidRDefault="18A88561" w:rsidP="2E1004F6">
            <w:pPr>
              <w:rPr>
                <w:sz w:val="24"/>
                <w:szCs w:val="24"/>
                <w:highlight w:val="yellow"/>
              </w:rPr>
            </w:pPr>
            <w:r w:rsidRPr="2E1004F6">
              <w:rPr>
                <w:b/>
                <w:bCs/>
                <w:sz w:val="24"/>
                <w:szCs w:val="24"/>
              </w:rPr>
              <w:t xml:space="preserve">Health and Safety Checklist: </w:t>
            </w:r>
            <w:r w:rsidR="23886EAF" w:rsidRPr="2E1004F6">
              <w:rPr>
                <w:sz w:val="24"/>
                <w:szCs w:val="24"/>
              </w:rPr>
              <w:t>Program has a current completed copy of the Health and Safety Checklist on file</w:t>
            </w:r>
            <w:r w:rsidR="29339C08" w:rsidRPr="2E1004F6">
              <w:rPr>
                <w:sz w:val="24"/>
                <w:szCs w:val="24"/>
              </w:rPr>
              <w:t xml:space="preserve"> (EIOS Section XI </w:t>
            </w:r>
            <w:r w:rsidR="1319EFB7" w:rsidRPr="2E1004F6">
              <w:rPr>
                <w:sz w:val="24"/>
                <w:szCs w:val="24"/>
              </w:rPr>
              <w:t>pgs. 46-57)</w:t>
            </w:r>
          </w:p>
        </w:tc>
        <w:tc>
          <w:tcPr>
            <w:tcW w:w="1671" w:type="dxa"/>
          </w:tcPr>
          <w:p w14:paraId="3984166D" w14:textId="77777777" w:rsidR="003B744A" w:rsidRPr="0066384A" w:rsidRDefault="003B744A" w:rsidP="2E1004F6">
            <w:pPr>
              <w:rPr>
                <w:sz w:val="24"/>
                <w:szCs w:val="24"/>
              </w:rPr>
            </w:pPr>
          </w:p>
        </w:tc>
        <w:tc>
          <w:tcPr>
            <w:tcW w:w="1758" w:type="dxa"/>
          </w:tcPr>
          <w:p w14:paraId="1B5D27BF" w14:textId="77777777" w:rsidR="003B744A" w:rsidRPr="0066384A" w:rsidRDefault="003B744A" w:rsidP="2E1004F6">
            <w:pPr>
              <w:rPr>
                <w:sz w:val="24"/>
                <w:szCs w:val="24"/>
              </w:rPr>
            </w:pPr>
          </w:p>
        </w:tc>
        <w:tc>
          <w:tcPr>
            <w:tcW w:w="1605" w:type="dxa"/>
          </w:tcPr>
          <w:p w14:paraId="5FCA88A7" w14:textId="77777777" w:rsidR="003B744A" w:rsidRPr="0066384A" w:rsidRDefault="003B744A" w:rsidP="2E1004F6">
            <w:pPr>
              <w:rPr>
                <w:sz w:val="24"/>
                <w:szCs w:val="24"/>
              </w:rPr>
            </w:pPr>
          </w:p>
        </w:tc>
      </w:tr>
      <w:tr w:rsidR="003B744A" w:rsidRPr="0066384A" w14:paraId="4BA64946" w14:textId="77777777" w:rsidTr="2E1004F6">
        <w:trPr>
          <w:trHeight w:val="744"/>
        </w:trPr>
        <w:tc>
          <w:tcPr>
            <w:tcW w:w="8054" w:type="dxa"/>
          </w:tcPr>
          <w:p w14:paraId="4B3C18A6" w14:textId="4E12A6A5" w:rsidR="003B744A" w:rsidRPr="0066384A" w:rsidRDefault="3AC3EDF4" w:rsidP="2E1004F6">
            <w:pPr>
              <w:rPr>
                <w:sz w:val="24"/>
                <w:szCs w:val="24"/>
              </w:rPr>
            </w:pPr>
            <w:r w:rsidRPr="2E1004F6">
              <w:rPr>
                <w:b/>
                <w:bCs/>
                <w:sz w:val="24"/>
                <w:szCs w:val="24"/>
              </w:rPr>
              <w:t xml:space="preserve">Records procedures: </w:t>
            </w:r>
            <w:r w:rsidR="23886EAF" w:rsidRPr="2E1004F6">
              <w:rPr>
                <w:sz w:val="24"/>
                <w:szCs w:val="24"/>
              </w:rPr>
              <w:t>Program has written procedures for the management and release of records</w:t>
            </w:r>
            <w:r w:rsidR="2FFE3295" w:rsidRPr="2E1004F6">
              <w:rPr>
                <w:sz w:val="24"/>
                <w:szCs w:val="24"/>
              </w:rPr>
              <w:t xml:space="preserve"> (EIOS Section XII </w:t>
            </w:r>
            <w:r w:rsidR="08529557" w:rsidRPr="2E1004F6">
              <w:rPr>
                <w:sz w:val="24"/>
                <w:szCs w:val="24"/>
              </w:rPr>
              <w:t xml:space="preserve">B. </w:t>
            </w:r>
            <w:r w:rsidR="2FFE3295" w:rsidRPr="2E1004F6">
              <w:rPr>
                <w:sz w:val="24"/>
                <w:szCs w:val="24"/>
              </w:rPr>
              <w:t>3 pg. 59)</w:t>
            </w:r>
          </w:p>
        </w:tc>
        <w:tc>
          <w:tcPr>
            <w:tcW w:w="1671" w:type="dxa"/>
          </w:tcPr>
          <w:p w14:paraId="5B8A7630" w14:textId="77777777" w:rsidR="003B744A" w:rsidRPr="0066384A" w:rsidRDefault="003B744A" w:rsidP="2E1004F6">
            <w:pPr>
              <w:rPr>
                <w:sz w:val="24"/>
                <w:szCs w:val="24"/>
              </w:rPr>
            </w:pPr>
          </w:p>
        </w:tc>
        <w:tc>
          <w:tcPr>
            <w:tcW w:w="1758" w:type="dxa"/>
          </w:tcPr>
          <w:p w14:paraId="69E50021" w14:textId="77777777" w:rsidR="003B744A" w:rsidRPr="0066384A" w:rsidRDefault="003B744A" w:rsidP="2E1004F6">
            <w:pPr>
              <w:rPr>
                <w:sz w:val="24"/>
                <w:szCs w:val="24"/>
              </w:rPr>
            </w:pPr>
          </w:p>
        </w:tc>
        <w:tc>
          <w:tcPr>
            <w:tcW w:w="1605" w:type="dxa"/>
          </w:tcPr>
          <w:p w14:paraId="1142D306" w14:textId="77777777" w:rsidR="003B744A" w:rsidRPr="0066384A" w:rsidRDefault="003B744A" w:rsidP="2E1004F6">
            <w:pPr>
              <w:rPr>
                <w:sz w:val="24"/>
                <w:szCs w:val="24"/>
              </w:rPr>
            </w:pPr>
          </w:p>
        </w:tc>
      </w:tr>
      <w:tr w:rsidR="003B744A" w:rsidRPr="0066384A" w14:paraId="6A536F49" w14:textId="77777777" w:rsidTr="2E1004F6">
        <w:trPr>
          <w:trHeight w:val="1025"/>
        </w:trPr>
        <w:tc>
          <w:tcPr>
            <w:tcW w:w="13088" w:type="dxa"/>
            <w:gridSpan w:val="4"/>
          </w:tcPr>
          <w:p w14:paraId="4555CFD5" w14:textId="77777777" w:rsidR="003B744A" w:rsidRPr="0066384A" w:rsidRDefault="23886EAF" w:rsidP="2E1004F6">
            <w:pPr>
              <w:rPr>
                <w:sz w:val="24"/>
                <w:szCs w:val="24"/>
              </w:rPr>
            </w:pPr>
            <w:r w:rsidRPr="2E1004F6">
              <w:rPr>
                <w:sz w:val="24"/>
                <w:szCs w:val="24"/>
              </w:rPr>
              <w:t>Notes on any of the above:</w:t>
            </w:r>
          </w:p>
          <w:p w14:paraId="0812EA36" w14:textId="77777777" w:rsidR="003B744A" w:rsidRPr="0066384A" w:rsidRDefault="003B744A" w:rsidP="2E1004F6">
            <w:pPr>
              <w:rPr>
                <w:sz w:val="24"/>
                <w:szCs w:val="24"/>
              </w:rPr>
            </w:pPr>
          </w:p>
          <w:p w14:paraId="58AFC633" w14:textId="77777777" w:rsidR="003B744A" w:rsidRPr="0066384A" w:rsidRDefault="003B744A" w:rsidP="2E1004F6">
            <w:pPr>
              <w:rPr>
                <w:sz w:val="24"/>
                <w:szCs w:val="24"/>
              </w:rPr>
            </w:pPr>
          </w:p>
        </w:tc>
      </w:tr>
    </w:tbl>
    <w:p w14:paraId="1DE13EC7" w14:textId="5C3DB276" w:rsidR="003B744A" w:rsidRPr="0066384A" w:rsidRDefault="003B744A" w:rsidP="2E1004F6">
      <w:pPr>
        <w:spacing w:line="257" w:lineRule="auto"/>
      </w:pPr>
    </w:p>
    <w:p w14:paraId="65322A6A" w14:textId="69274FD7" w:rsidR="003B744A" w:rsidRPr="0066384A" w:rsidRDefault="616406E6" w:rsidP="2E1004F6">
      <w:pPr>
        <w:spacing w:after="0" w:line="240" w:lineRule="auto"/>
        <w:rPr>
          <w:b/>
          <w:bCs/>
          <w:sz w:val="24"/>
          <w:szCs w:val="24"/>
        </w:rPr>
      </w:pPr>
      <w:r w:rsidRPr="2E1004F6">
        <w:rPr>
          <w:b/>
          <w:bCs/>
          <w:sz w:val="24"/>
          <w:szCs w:val="24"/>
        </w:rPr>
        <w:t xml:space="preserve">B. </w:t>
      </w:r>
      <w:r w:rsidR="23886EAF" w:rsidRPr="2E1004F6">
        <w:rPr>
          <w:b/>
          <w:bCs/>
          <w:sz w:val="24"/>
          <w:szCs w:val="24"/>
        </w:rPr>
        <w:t>Agency Oversight and Collaboration</w:t>
      </w:r>
    </w:p>
    <w:tbl>
      <w:tblPr>
        <w:tblStyle w:val="TableGrid"/>
        <w:tblW w:w="13099" w:type="dxa"/>
        <w:tblLook w:val="04A0" w:firstRow="1" w:lastRow="0" w:firstColumn="1" w:lastColumn="0" w:noHBand="0" w:noVBand="1"/>
      </w:tblPr>
      <w:tblGrid>
        <w:gridCol w:w="8055"/>
        <w:gridCol w:w="1677"/>
        <w:gridCol w:w="1741"/>
        <w:gridCol w:w="1626"/>
      </w:tblGrid>
      <w:tr w:rsidR="003B744A" w:rsidRPr="0066384A" w14:paraId="74C63DA7" w14:textId="77777777" w:rsidTr="2E1004F6">
        <w:trPr>
          <w:trHeight w:val="300"/>
        </w:trPr>
        <w:tc>
          <w:tcPr>
            <w:tcW w:w="8055" w:type="dxa"/>
          </w:tcPr>
          <w:p w14:paraId="50920158" w14:textId="77777777" w:rsidR="003B744A" w:rsidRPr="0066384A" w:rsidRDefault="003B744A" w:rsidP="2E1004F6">
            <w:pPr>
              <w:pStyle w:val="NoSpacing"/>
              <w:rPr>
                <w:sz w:val="24"/>
                <w:szCs w:val="24"/>
              </w:rPr>
            </w:pPr>
          </w:p>
        </w:tc>
        <w:tc>
          <w:tcPr>
            <w:tcW w:w="1677" w:type="dxa"/>
          </w:tcPr>
          <w:p w14:paraId="0C4A68D6" w14:textId="77777777" w:rsidR="003B744A" w:rsidRPr="0066384A" w:rsidRDefault="23886EAF" w:rsidP="2E1004F6">
            <w:pPr>
              <w:jc w:val="center"/>
              <w:rPr>
                <w:b/>
                <w:bCs/>
                <w:sz w:val="24"/>
                <w:szCs w:val="24"/>
              </w:rPr>
            </w:pPr>
            <w:r w:rsidRPr="2E1004F6">
              <w:rPr>
                <w:b/>
                <w:bCs/>
                <w:sz w:val="24"/>
                <w:szCs w:val="24"/>
              </w:rPr>
              <w:t>In place</w:t>
            </w:r>
          </w:p>
        </w:tc>
        <w:tc>
          <w:tcPr>
            <w:tcW w:w="1741" w:type="dxa"/>
          </w:tcPr>
          <w:p w14:paraId="1DA48162" w14:textId="77777777" w:rsidR="003B744A" w:rsidRPr="0066384A" w:rsidRDefault="23886EAF" w:rsidP="2E1004F6">
            <w:pPr>
              <w:jc w:val="center"/>
              <w:rPr>
                <w:b/>
                <w:bCs/>
                <w:sz w:val="24"/>
                <w:szCs w:val="24"/>
              </w:rPr>
            </w:pPr>
            <w:r w:rsidRPr="2E1004F6">
              <w:rPr>
                <w:b/>
                <w:bCs/>
                <w:sz w:val="24"/>
                <w:szCs w:val="24"/>
              </w:rPr>
              <w:t>Not in place</w:t>
            </w:r>
          </w:p>
        </w:tc>
        <w:tc>
          <w:tcPr>
            <w:tcW w:w="1626" w:type="dxa"/>
          </w:tcPr>
          <w:p w14:paraId="4B044373" w14:textId="77777777" w:rsidR="003B744A" w:rsidRPr="0066384A" w:rsidRDefault="23886EAF" w:rsidP="2E1004F6">
            <w:pPr>
              <w:jc w:val="center"/>
              <w:rPr>
                <w:b/>
                <w:bCs/>
                <w:sz w:val="24"/>
                <w:szCs w:val="24"/>
              </w:rPr>
            </w:pPr>
            <w:r w:rsidRPr="2E1004F6">
              <w:rPr>
                <w:b/>
                <w:bCs/>
                <w:sz w:val="24"/>
                <w:szCs w:val="24"/>
              </w:rPr>
              <w:t>N/A</w:t>
            </w:r>
          </w:p>
          <w:p w14:paraId="7D9C6B1D" w14:textId="77777777" w:rsidR="003B744A" w:rsidRPr="0066384A" w:rsidRDefault="23886EAF" w:rsidP="2E1004F6">
            <w:pPr>
              <w:jc w:val="center"/>
              <w:rPr>
                <w:b/>
                <w:bCs/>
                <w:sz w:val="24"/>
                <w:szCs w:val="24"/>
              </w:rPr>
            </w:pPr>
            <w:r w:rsidRPr="2E1004F6">
              <w:rPr>
                <w:b/>
                <w:bCs/>
                <w:sz w:val="24"/>
                <w:szCs w:val="24"/>
              </w:rPr>
              <w:t>Why?</w:t>
            </w:r>
          </w:p>
        </w:tc>
      </w:tr>
      <w:tr w:rsidR="003B744A" w:rsidRPr="0066384A" w14:paraId="3FA5696B" w14:textId="77777777" w:rsidTr="2E1004F6">
        <w:trPr>
          <w:trHeight w:val="1059"/>
        </w:trPr>
        <w:tc>
          <w:tcPr>
            <w:tcW w:w="8055" w:type="dxa"/>
          </w:tcPr>
          <w:p w14:paraId="74383543" w14:textId="34833167" w:rsidR="003B744A" w:rsidRPr="0066384A" w:rsidRDefault="404A2F77" w:rsidP="2E1004F6">
            <w:pPr>
              <w:pStyle w:val="NoSpacing"/>
              <w:rPr>
                <w:sz w:val="24"/>
                <w:szCs w:val="24"/>
              </w:rPr>
            </w:pPr>
            <w:r w:rsidRPr="2E1004F6">
              <w:rPr>
                <w:b/>
                <w:bCs/>
                <w:sz w:val="24"/>
                <w:szCs w:val="24"/>
              </w:rPr>
              <w:t xml:space="preserve">Agency communications with staff: </w:t>
            </w:r>
            <w:r w:rsidR="23886EAF" w:rsidRPr="2E1004F6">
              <w:rPr>
                <w:sz w:val="24"/>
                <w:szCs w:val="24"/>
              </w:rPr>
              <w:t>Processes are used when the program receives communications from DPH, Division of EI, including distribution within the program.</w:t>
            </w:r>
            <w:r w:rsidR="163A8CC3" w:rsidRPr="2E1004F6">
              <w:rPr>
                <w:sz w:val="24"/>
                <w:szCs w:val="24"/>
              </w:rPr>
              <w:t xml:space="preserve"> (EIOS Section XII B. 1. h, i pg. 58)</w:t>
            </w:r>
          </w:p>
        </w:tc>
        <w:tc>
          <w:tcPr>
            <w:tcW w:w="1677" w:type="dxa"/>
          </w:tcPr>
          <w:p w14:paraId="2B604673" w14:textId="77777777" w:rsidR="003B744A" w:rsidRPr="0066384A" w:rsidRDefault="003B744A" w:rsidP="2E1004F6">
            <w:pPr>
              <w:rPr>
                <w:sz w:val="24"/>
                <w:szCs w:val="24"/>
              </w:rPr>
            </w:pPr>
          </w:p>
        </w:tc>
        <w:tc>
          <w:tcPr>
            <w:tcW w:w="1741" w:type="dxa"/>
          </w:tcPr>
          <w:p w14:paraId="277B6E0A" w14:textId="77777777" w:rsidR="003B744A" w:rsidRPr="0066384A" w:rsidRDefault="003B744A" w:rsidP="2E1004F6">
            <w:pPr>
              <w:rPr>
                <w:sz w:val="24"/>
                <w:szCs w:val="24"/>
              </w:rPr>
            </w:pPr>
          </w:p>
        </w:tc>
        <w:tc>
          <w:tcPr>
            <w:tcW w:w="1626" w:type="dxa"/>
          </w:tcPr>
          <w:p w14:paraId="45393B51" w14:textId="77777777" w:rsidR="003B744A" w:rsidRPr="0066384A" w:rsidRDefault="003B744A" w:rsidP="2E1004F6">
            <w:pPr>
              <w:rPr>
                <w:sz w:val="24"/>
                <w:szCs w:val="24"/>
              </w:rPr>
            </w:pPr>
          </w:p>
        </w:tc>
      </w:tr>
      <w:tr w:rsidR="003B744A" w:rsidRPr="0066384A" w14:paraId="6C8EE7BD" w14:textId="77777777" w:rsidTr="2E1004F6">
        <w:trPr>
          <w:trHeight w:val="774"/>
        </w:trPr>
        <w:tc>
          <w:tcPr>
            <w:tcW w:w="8055" w:type="dxa"/>
          </w:tcPr>
          <w:p w14:paraId="75315504" w14:textId="44F6CB09" w:rsidR="003B744A" w:rsidRPr="0066384A" w:rsidRDefault="79EA28EF" w:rsidP="2E1004F6">
            <w:pPr>
              <w:pStyle w:val="NoSpacing"/>
              <w:rPr>
                <w:sz w:val="24"/>
                <w:szCs w:val="24"/>
              </w:rPr>
            </w:pPr>
            <w:r w:rsidRPr="2E1004F6">
              <w:rPr>
                <w:b/>
                <w:bCs/>
                <w:sz w:val="24"/>
                <w:szCs w:val="24"/>
              </w:rPr>
              <w:lastRenderedPageBreak/>
              <w:t xml:space="preserve">Agency support for CAP activities: </w:t>
            </w:r>
            <w:r w:rsidR="23886EAF" w:rsidRPr="2E1004F6">
              <w:rPr>
                <w:sz w:val="24"/>
                <w:szCs w:val="24"/>
              </w:rPr>
              <w:t>Agency staff support program staff in developing, monitoring and completing Corrective Action Plan activities</w:t>
            </w:r>
            <w:r w:rsidR="6827949A" w:rsidRPr="2E1004F6">
              <w:rPr>
                <w:sz w:val="24"/>
                <w:szCs w:val="24"/>
              </w:rPr>
              <w:t xml:space="preserve"> </w:t>
            </w:r>
            <w:r w:rsidR="7322453D" w:rsidRPr="2E1004F6">
              <w:rPr>
                <w:sz w:val="24"/>
                <w:szCs w:val="24"/>
              </w:rPr>
              <w:t>(Introduction pg. 3)</w:t>
            </w:r>
          </w:p>
        </w:tc>
        <w:tc>
          <w:tcPr>
            <w:tcW w:w="1677" w:type="dxa"/>
          </w:tcPr>
          <w:p w14:paraId="00975FE9" w14:textId="77777777" w:rsidR="003B744A" w:rsidRPr="0066384A" w:rsidRDefault="003B744A" w:rsidP="2E1004F6">
            <w:pPr>
              <w:rPr>
                <w:sz w:val="24"/>
                <w:szCs w:val="24"/>
              </w:rPr>
            </w:pPr>
          </w:p>
        </w:tc>
        <w:tc>
          <w:tcPr>
            <w:tcW w:w="1741" w:type="dxa"/>
          </w:tcPr>
          <w:p w14:paraId="4A471F06" w14:textId="77777777" w:rsidR="003B744A" w:rsidRPr="0066384A" w:rsidRDefault="003B744A" w:rsidP="2E1004F6">
            <w:pPr>
              <w:rPr>
                <w:sz w:val="24"/>
                <w:szCs w:val="24"/>
              </w:rPr>
            </w:pPr>
          </w:p>
        </w:tc>
        <w:tc>
          <w:tcPr>
            <w:tcW w:w="1626" w:type="dxa"/>
          </w:tcPr>
          <w:p w14:paraId="257DF78F" w14:textId="77777777" w:rsidR="003B744A" w:rsidRPr="0066384A" w:rsidRDefault="003B744A" w:rsidP="2E1004F6">
            <w:pPr>
              <w:rPr>
                <w:sz w:val="24"/>
                <w:szCs w:val="24"/>
              </w:rPr>
            </w:pPr>
          </w:p>
        </w:tc>
      </w:tr>
      <w:tr w:rsidR="003B744A" w:rsidRPr="0066384A" w14:paraId="25D8904C" w14:textId="77777777" w:rsidTr="2E1004F6">
        <w:trPr>
          <w:trHeight w:val="300"/>
        </w:trPr>
        <w:tc>
          <w:tcPr>
            <w:tcW w:w="13099" w:type="dxa"/>
            <w:gridSpan w:val="4"/>
          </w:tcPr>
          <w:p w14:paraId="7FB030CC" w14:textId="77777777" w:rsidR="003B744A" w:rsidRPr="0066384A" w:rsidRDefault="23886EAF" w:rsidP="2E1004F6">
            <w:pPr>
              <w:rPr>
                <w:sz w:val="24"/>
                <w:szCs w:val="24"/>
              </w:rPr>
            </w:pPr>
            <w:r w:rsidRPr="2E1004F6">
              <w:rPr>
                <w:sz w:val="24"/>
                <w:szCs w:val="24"/>
              </w:rPr>
              <w:t>Notes on any of the above:</w:t>
            </w:r>
          </w:p>
          <w:p w14:paraId="254D0F6D" w14:textId="77777777" w:rsidR="003B744A" w:rsidRPr="0066384A" w:rsidRDefault="003B744A" w:rsidP="2E1004F6">
            <w:pPr>
              <w:rPr>
                <w:sz w:val="24"/>
                <w:szCs w:val="24"/>
              </w:rPr>
            </w:pPr>
          </w:p>
          <w:p w14:paraId="18559241" w14:textId="77777777" w:rsidR="003B744A" w:rsidRPr="0066384A" w:rsidRDefault="003B744A" w:rsidP="2E1004F6">
            <w:pPr>
              <w:rPr>
                <w:sz w:val="24"/>
                <w:szCs w:val="24"/>
              </w:rPr>
            </w:pPr>
          </w:p>
        </w:tc>
      </w:tr>
    </w:tbl>
    <w:p w14:paraId="00246E6F" w14:textId="77777777" w:rsidR="003B744A" w:rsidRPr="0066384A" w:rsidRDefault="003B744A" w:rsidP="2E1004F6">
      <w:pPr>
        <w:spacing w:after="0" w:line="240" w:lineRule="auto"/>
        <w:rPr>
          <w:rFonts w:eastAsiaTheme="minorEastAsia"/>
          <w:sz w:val="24"/>
          <w:szCs w:val="24"/>
        </w:rPr>
      </w:pPr>
    </w:p>
    <w:p w14:paraId="10AD3BFE" w14:textId="0B766861" w:rsidR="003B744A" w:rsidRPr="0066384A" w:rsidRDefault="346E292D" w:rsidP="2E1004F6">
      <w:pPr>
        <w:rPr>
          <w:rFonts w:eastAsiaTheme="minorEastAsia"/>
          <w:sz w:val="24"/>
          <w:szCs w:val="24"/>
        </w:rPr>
      </w:pPr>
      <w:r w:rsidRPr="2E1004F6">
        <w:rPr>
          <w:rFonts w:eastAsiaTheme="minorEastAsia"/>
          <w:b/>
          <w:bCs/>
          <w:sz w:val="24"/>
          <w:szCs w:val="24"/>
        </w:rPr>
        <w:t xml:space="preserve">2. </w:t>
      </w:r>
      <w:r w:rsidR="23886EAF" w:rsidRPr="2E1004F6">
        <w:rPr>
          <w:rFonts w:eastAsiaTheme="minorEastAsia"/>
          <w:b/>
          <w:bCs/>
          <w:sz w:val="24"/>
          <w:szCs w:val="24"/>
        </w:rPr>
        <w:t>Policy/Procedures:</w:t>
      </w:r>
      <w:r w:rsidR="23886EAF" w:rsidRPr="2E1004F6">
        <w:rPr>
          <w:rFonts w:eastAsiaTheme="minorEastAsia"/>
          <w:sz w:val="24"/>
          <w:szCs w:val="24"/>
        </w:rPr>
        <w:t xml:space="preserve"> The processes used by your program that uphold state and federa</w:t>
      </w:r>
      <w:r w:rsidR="23886EAF" w:rsidRPr="2E1004F6">
        <w:rPr>
          <w:rFonts w:eastAsiaTheme="minorEastAsia"/>
          <w:color w:val="00B050"/>
          <w:sz w:val="24"/>
          <w:szCs w:val="24"/>
        </w:rPr>
        <w:t xml:space="preserve">l </w:t>
      </w:r>
      <w:r w:rsidR="23886EAF" w:rsidRPr="2E1004F6">
        <w:rPr>
          <w:rFonts w:eastAsiaTheme="minorEastAsia"/>
          <w:sz w:val="24"/>
          <w:szCs w:val="24"/>
        </w:rPr>
        <w:t>policies, procedures and requirements including the steps taken for activities.</w:t>
      </w:r>
    </w:p>
    <w:p w14:paraId="3EE28C0C" w14:textId="75C01EE0" w:rsidR="2E1004F6" w:rsidRDefault="2E1004F6" w:rsidP="2E1004F6">
      <w:pPr>
        <w:spacing w:after="0" w:line="240" w:lineRule="auto"/>
        <w:rPr>
          <w:rFonts w:eastAsiaTheme="minorEastAsia"/>
          <w:sz w:val="24"/>
          <w:szCs w:val="24"/>
        </w:rPr>
      </w:pPr>
    </w:p>
    <w:p w14:paraId="60E3446F" w14:textId="1F52BF86" w:rsidR="003B744A" w:rsidRPr="0066384A" w:rsidRDefault="1C61AD33" w:rsidP="2E1004F6">
      <w:pPr>
        <w:spacing w:after="0" w:line="240" w:lineRule="auto"/>
        <w:rPr>
          <w:b/>
          <w:bCs/>
          <w:sz w:val="24"/>
          <w:szCs w:val="24"/>
        </w:rPr>
      </w:pPr>
      <w:r w:rsidRPr="2E1004F6">
        <w:rPr>
          <w:b/>
          <w:bCs/>
          <w:sz w:val="24"/>
          <w:szCs w:val="24"/>
        </w:rPr>
        <w:t xml:space="preserve">A. </w:t>
      </w:r>
      <w:r w:rsidR="23886EAF" w:rsidRPr="2E1004F6">
        <w:rPr>
          <w:b/>
          <w:bCs/>
          <w:sz w:val="24"/>
          <w:szCs w:val="24"/>
        </w:rPr>
        <w:t>Policies and Procedures</w:t>
      </w:r>
    </w:p>
    <w:tbl>
      <w:tblPr>
        <w:tblStyle w:val="TableGrid"/>
        <w:tblW w:w="13084" w:type="dxa"/>
        <w:tblLook w:val="04A0" w:firstRow="1" w:lastRow="0" w:firstColumn="1" w:lastColumn="0" w:noHBand="0" w:noVBand="1"/>
      </w:tblPr>
      <w:tblGrid>
        <w:gridCol w:w="8120"/>
        <w:gridCol w:w="1747"/>
        <w:gridCol w:w="1734"/>
        <w:gridCol w:w="1483"/>
      </w:tblGrid>
      <w:tr w:rsidR="003B744A" w:rsidRPr="0066384A" w14:paraId="3AA75E7E" w14:textId="77777777" w:rsidTr="2E1004F6">
        <w:trPr>
          <w:trHeight w:val="300"/>
        </w:trPr>
        <w:tc>
          <w:tcPr>
            <w:tcW w:w="8120" w:type="dxa"/>
            <w:vAlign w:val="bottom"/>
          </w:tcPr>
          <w:p w14:paraId="09C53146" w14:textId="01063839" w:rsidR="003B744A" w:rsidRPr="0066384A" w:rsidRDefault="2E14D4E5" w:rsidP="2E1004F6">
            <w:pPr>
              <w:rPr>
                <w:sz w:val="24"/>
                <w:szCs w:val="24"/>
              </w:rPr>
            </w:pPr>
            <w:r w:rsidRPr="2E1004F6">
              <w:rPr>
                <w:sz w:val="24"/>
                <w:szCs w:val="24"/>
              </w:rPr>
              <w:t>Program has written policies and procedures for the following:</w:t>
            </w:r>
          </w:p>
        </w:tc>
        <w:tc>
          <w:tcPr>
            <w:tcW w:w="1747" w:type="dxa"/>
          </w:tcPr>
          <w:p w14:paraId="6CFFF30A" w14:textId="28E43B9D" w:rsidR="003B744A" w:rsidRPr="0066384A" w:rsidRDefault="23886EAF" w:rsidP="2E1004F6">
            <w:pPr>
              <w:jc w:val="center"/>
              <w:rPr>
                <w:b/>
                <w:bCs/>
                <w:sz w:val="24"/>
                <w:szCs w:val="24"/>
              </w:rPr>
            </w:pPr>
            <w:r w:rsidRPr="2E1004F6">
              <w:rPr>
                <w:b/>
                <w:bCs/>
                <w:sz w:val="24"/>
                <w:szCs w:val="24"/>
              </w:rPr>
              <w:t xml:space="preserve">Have </w:t>
            </w:r>
            <w:r w:rsidR="4C2A9F23" w:rsidRPr="2E1004F6">
              <w:rPr>
                <w:b/>
                <w:bCs/>
                <w:sz w:val="24"/>
                <w:szCs w:val="24"/>
              </w:rPr>
              <w:t>p</w:t>
            </w:r>
            <w:r w:rsidRPr="2E1004F6">
              <w:rPr>
                <w:b/>
                <w:bCs/>
                <w:sz w:val="24"/>
                <w:szCs w:val="24"/>
              </w:rPr>
              <w:t>olicy</w:t>
            </w:r>
            <w:r w:rsidR="60543C79" w:rsidRPr="2E1004F6">
              <w:rPr>
                <w:b/>
                <w:bCs/>
                <w:sz w:val="24"/>
                <w:szCs w:val="24"/>
              </w:rPr>
              <w:t>,</w:t>
            </w:r>
            <w:r w:rsidRPr="2E1004F6">
              <w:rPr>
                <w:b/>
                <w:bCs/>
                <w:sz w:val="24"/>
                <w:szCs w:val="24"/>
              </w:rPr>
              <w:t xml:space="preserve"> </w:t>
            </w:r>
            <w:r w:rsidR="6FFAA3DA" w:rsidRPr="2E1004F6">
              <w:rPr>
                <w:b/>
                <w:bCs/>
                <w:sz w:val="24"/>
                <w:szCs w:val="24"/>
              </w:rPr>
              <w:t>p</w:t>
            </w:r>
            <w:r w:rsidRPr="2E1004F6">
              <w:rPr>
                <w:b/>
                <w:bCs/>
                <w:sz w:val="24"/>
                <w:szCs w:val="24"/>
              </w:rPr>
              <w:t>rocedure</w:t>
            </w:r>
            <w:r w:rsidR="7B497264" w:rsidRPr="2E1004F6">
              <w:rPr>
                <w:b/>
                <w:bCs/>
                <w:sz w:val="24"/>
                <w:szCs w:val="24"/>
              </w:rPr>
              <w:t xml:space="preserve"> or process</w:t>
            </w:r>
          </w:p>
        </w:tc>
        <w:tc>
          <w:tcPr>
            <w:tcW w:w="1734" w:type="dxa"/>
          </w:tcPr>
          <w:p w14:paraId="321BB1B5" w14:textId="77777777" w:rsidR="003B744A" w:rsidRPr="0066384A" w:rsidRDefault="23886EAF" w:rsidP="2E1004F6">
            <w:pPr>
              <w:jc w:val="center"/>
              <w:rPr>
                <w:b/>
                <w:bCs/>
                <w:sz w:val="24"/>
                <w:szCs w:val="24"/>
              </w:rPr>
            </w:pPr>
            <w:r w:rsidRPr="2E1004F6">
              <w:rPr>
                <w:b/>
                <w:bCs/>
                <w:sz w:val="24"/>
                <w:szCs w:val="24"/>
              </w:rPr>
              <w:t>Need policy, procedure or process</w:t>
            </w:r>
          </w:p>
        </w:tc>
        <w:tc>
          <w:tcPr>
            <w:tcW w:w="1483" w:type="dxa"/>
          </w:tcPr>
          <w:p w14:paraId="6B7D35F5" w14:textId="77777777" w:rsidR="003B744A" w:rsidRPr="0066384A" w:rsidRDefault="23886EAF" w:rsidP="2E1004F6">
            <w:pPr>
              <w:jc w:val="center"/>
              <w:rPr>
                <w:b/>
                <w:bCs/>
                <w:sz w:val="24"/>
                <w:szCs w:val="24"/>
              </w:rPr>
            </w:pPr>
            <w:r w:rsidRPr="2E1004F6">
              <w:rPr>
                <w:b/>
                <w:bCs/>
                <w:sz w:val="24"/>
                <w:szCs w:val="24"/>
              </w:rPr>
              <w:t>N/A</w:t>
            </w:r>
          </w:p>
          <w:p w14:paraId="3D8BE39A" w14:textId="77777777" w:rsidR="003B744A" w:rsidRPr="0066384A" w:rsidRDefault="23886EAF" w:rsidP="2E1004F6">
            <w:pPr>
              <w:jc w:val="center"/>
              <w:rPr>
                <w:b/>
                <w:bCs/>
                <w:sz w:val="24"/>
                <w:szCs w:val="24"/>
              </w:rPr>
            </w:pPr>
            <w:r w:rsidRPr="2E1004F6">
              <w:rPr>
                <w:b/>
                <w:bCs/>
                <w:sz w:val="24"/>
                <w:szCs w:val="24"/>
              </w:rPr>
              <w:t>Why?</w:t>
            </w:r>
          </w:p>
        </w:tc>
      </w:tr>
      <w:tr w:rsidR="003B744A" w:rsidRPr="0066384A" w14:paraId="797537E9" w14:textId="77777777" w:rsidTr="2E1004F6">
        <w:trPr>
          <w:trHeight w:val="445"/>
        </w:trPr>
        <w:tc>
          <w:tcPr>
            <w:tcW w:w="8120" w:type="dxa"/>
          </w:tcPr>
          <w:p w14:paraId="2758BF15" w14:textId="1F2EBB8C" w:rsidR="003B744A" w:rsidRPr="006E7A86" w:rsidRDefault="23886EAF" w:rsidP="2E1004F6">
            <w:pPr>
              <w:rPr>
                <w:sz w:val="24"/>
                <w:szCs w:val="24"/>
              </w:rPr>
            </w:pPr>
            <w:r w:rsidRPr="2E1004F6">
              <w:rPr>
                <w:b/>
                <w:bCs/>
                <w:sz w:val="24"/>
                <w:szCs w:val="24"/>
              </w:rPr>
              <w:t>Referra</w:t>
            </w:r>
            <w:r w:rsidR="097D9CD9" w:rsidRPr="2E1004F6">
              <w:rPr>
                <w:b/>
                <w:bCs/>
                <w:sz w:val="24"/>
                <w:szCs w:val="24"/>
              </w:rPr>
              <w:t xml:space="preserve">l </w:t>
            </w:r>
          </w:p>
          <w:p w14:paraId="0DAD22E7" w14:textId="29948383" w:rsidR="003B744A" w:rsidRPr="006E7A86" w:rsidRDefault="26F78E78" w:rsidP="2E1004F6">
            <w:pPr>
              <w:rPr>
                <w:sz w:val="24"/>
                <w:szCs w:val="24"/>
              </w:rPr>
            </w:pPr>
            <w:r w:rsidRPr="2E1004F6">
              <w:rPr>
                <w:sz w:val="24"/>
                <w:szCs w:val="24"/>
              </w:rPr>
              <w:t xml:space="preserve">(EIOS Section </w:t>
            </w:r>
            <w:r w:rsidR="440D949B" w:rsidRPr="2E1004F6">
              <w:rPr>
                <w:sz w:val="24"/>
                <w:szCs w:val="24"/>
              </w:rPr>
              <w:t>VI. A</w:t>
            </w:r>
            <w:r w:rsidR="1FFC5363" w:rsidRPr="2E1004F6">
              <w:rPr>
                <w:sz w:val="24"/>
                <w:szCs w:val="24"/>
              </w:rPr>
              <w:t xml:space="preserve"> pg.</w:t>
            </w:r>
            <w:r w:rsidR="38C04AF9" w:rsidRPr="2E1004F6">
              <w:rPr>
                <w:sz w:val="24"/>
                <w:szCs w:val="24"/>
              </w:rPr>
              <w:t>22</w:t>
            </w:r>
            <w:r w:rsidR="1FFC5363" w:rsidRPr="2E1004F6">
              <w:rPr>
                <w:sz w:val="24"/>
                <w:szCs w:val="24"/>
              </w:rPr>
              <w:t>)</w:t>
            </w:r>
            <w:r w:rsidR="38C04AF9" w:rsidRPr="2E1004F6">
              <w:rPr>
                <w:sz w:val="24"/>
                <w:szCs w:val="24"/>
              </w:rPr>
              <w:t xml:space="preserve"> (CFR 303.303)</w:t>
            </w:r>
          </w:p>
        </w:tc>
        <w:tc>
          <w:tcPr>
            <w:tcW w:w="1747" w:type="dxa"/>
          </w:tcPr>
          <w:p w14:paraId="4620BB5A" w14:textId="77777777" w:rsidR="003B744A" w:rsidRPr="0066384A" w:rsidRDefault="003B744A" w:rsidP="2E1004F6">
            <w:pPr>
              <w:rPr>
                <w:sz w:val="24"/>
                <w:szCs w:val="24"/>
              </w:rPr>
            </w:pPr>
          </w:p>
        </w:tc>
        <w:tc>
          <w:tcPr>
            <w:tcW w:w="1734" w:type="dxa"/>
          </w:tcPr>
          <w:p w14:paraId="70C057D0" w14:textId="77777777" w:rsidR="003B744A" w:rsidRPr="0066384A" w:rsidRDefault="003B744A" w:rsidP="2E1004F6">
            <w:pPr>
              <w:rPr>
                <w:sz w:val="24"/>
                <w:szCs w:val="24"/>
              </w:rPr>
            </w:pPr>
          </w:p>
        </w:tc>
        <w:tc>
          <w:tcPr>
            <w:tcW w:w="1483" w:type="dxa"/>
          </w:tcPr>
          <w:p w14:paraId="1DF5CAE3" w14:textId="77777777" w:rsidR="003B744A" w:rsidRPr="0066384A" w:rsidRDefault="003B744A" w:rsidP="2E1004F6">
            <w:pPr>
              <w:rPr>
                <w:sz w:val="24"/>
                <w:szCs w:val="24"/>
              </w:rPr>
            </w:pPr>
          </w:p>
        </w:tc>
      </w:tr>
      <w:tr w:rsidR="003B744A" w:rsidRPr="0066384A" w14:paraId="4701201A" w14:textId="77777777" w:rsidTr="2E1004F6">
        <w:trPr>
          <w:trHeight w:val="699"/>
        </w:trPr>
        <w:tc>
          <w:tcPr>
            <w:tcW w:w="8120" w:type="dxa"/>
          </w:tcPr>
          <w:p w14:paraId="56B7F581" w14:textId="70EB3EF2" w:rsidR="003B744A" w:rsidRPr="006E7A86" w:rsidRDefault="23886EAF" w:rsidP="2E1004F6">
            <w:pPr>
              <w:rPr>
                <w:sz w:val="24"/>
                <w:szCs w:val="24"/>
              </w:rPr>
            </w:pPr>
            <w:r w:rsidRPr="2E1004F6">
              <w:rPr>
                <w:b/>
                <w:bCs/>
                <w:sz w:val="24"/>
                <w:szCs w:val="24"/>
              </w:rPr>
              <w:t>Eligibility and Evaluation</w:t>
            </w:r>
            <w:r w:rsidR="51AAC751" w:rsidRPr="2E1004F6">
              <w:rPr>
                <w:b/>
                <w:bCs/>
                <w:sz w:val="24"/>
                <w:szCs w:val="24"/>
              </w:rPr>
              <w:t xml:space="preserve"> </w:t>
            </w:r>
          </w:p>
          <w:p w14:paraId="20EED07F" w14:textId="0CF1116A" w:rsidR="003B744A" w:rsidRPr="006E7A86" w:rsidRDefault="1FFC5363" w:rsidP="2E1004F6">
            <w:pPr>
              <w:rPr>
                <w:sz w:val="24"/>
                <w:szCs w:val="24"/>
              </w:rPr>
            </w:pPr>
            <w:r w:rsidRPr="2E1004F6">
              <w:rPr>
                <w:sz w:val="24"/>
                <w:szCs w:val="24"/>
              </w:rPr>
              <w:t>(EIOS Section XII</w:t>
            </w:r>
            <w:r w:rsidR="49F468A6" w:rsidRPr="2E1004F6">
              <w:rPr>
                <w:sz w:val="24"/>
                <w:szCs w:val="24"/>
              </w:rPr>
              <w:t xml:space="preserve"> B.</w:t>
            </w:r>
            <w:r w:rsidRPr="2E1004F6">
              <w:rPr>
                <w:sz w:val="24"/>
                <w:szCs w:val="24"/>
              </w:rPr>
              <w:t xml:space="preserve"> 3.</w:t>
            </w:r>
            <w:r w:rsidR="0883AC86" w:rsidRPr="2E1004F6">
              <w:rPr>
                <w:sz w:val="24"/>
                <w:szCs w:val="24"/>
              </w:rPr>
              <w:t xml:space="preserve"> </w:t>
            </w:r>
            <w:r w:rsidR="0060CD72" w:rsidRPr="2E1004F6">
              <w:rPr>
                <w:sz w:val="24"/>
                <w:szCs w:val="24"/>
              </w:rPr>
              <w:t>c</w:t>
            </w:r>
            <w:r w:rsidR="0883AC86" w:rsidRPr="2E1004F6">
              <w:rPr>
                <w:sz w:val="24"/>
                <w:szCs w:val="24"/>
              </w:rPr>
              <w:t>,d pg. 59)</w:t>
            </w:r>
            <w:r w:rsidR="37875D03" w:rsidRPr="2E1004F6">
              <w:rPr>
                <w:sz w:val="24"/>
                <w:szCs w:val="24"/>
              </w:rPr>
              <w:t xml:space="preserve"> (CFR</w:t>
            </w:r>
            <w:r w:rsidR="18135E92" w:rsidRPr="2E1004F6">
              <w:rPr>
                <w:sz w:val="24"/>
                <w:szCs w:val="24"/>
              </w:rPr>
              <w:t xml:space="preserve"> 303.310)</w:t>
            </w:r>
            <w:r w:rsidR="1280D390" w:rsidRPr="2E1004F6">
              <w:rPr>
                <w:sz w:val="24"/>
                <w:szCs w:val="24"/>
              </w:rPr>
              <w:t xml:space="preserve"> (CFR 303.32</w:t>
            </w:r>
            <w:r w:rsidR="6B2F1C60" w:rsidRPr="2E1004F6">
              <w:rPr>
                <w:sz w:val="24"/>
                <w:szCs w:val="24"/>
              </w:rPr>
              <w:t xml:space="preserve">1; </w:t>
            </w:r>
            <w:r w:rsidR="1280D390" w:rsidRPr="2E1004F6">
              <w:rPr>
                <w:sz w:val="24"/>
                <w:szCs w:val="24"/>
              </w:rPr>
              <w:t>303.322)</w:t>
            </w:r>
          </w:p>
        </w:tc>
        <w:tc>
          <w:tcPr>
            <w:tcW w:w="1747" w:type="dxa"/>
          </w:tcPr>
          <w:p w14:paraId="04C14C84" w14:textId="77777777" w:rsidR="003B744A" w:rsidRPr="0066384A" w:rsidRDefault="003B744A" w:rsidP="2E1004F6">
            <w:pPr>
              <w:rPr>
                <w:sz w:val="24"/>
                <w:szCs w:val="24"/>
              </w:rPr>
            </w:pPr>
          </w:p>
        </w:tc>
        <w:tc>
          <w:tcPr>
            <w:tcW w:w="1734" w:type="dxa"/>
          </w:tcPr>
          <w:p w14:paraId="06A11629" w14:textId="77777777" w:rsidR="003B744A" w:rsidRPr="0066384A" w:rsidRDefault="003B744A" w:rsidP="2E1004F6">
            <w:pPr>
              <w:rPr>
                <w:sz w:val="24"/>
                <w:szCs w:val="24"/>
              </w:rPr>
            </w:pPr>
          </w:p>
        </w:tc>
        <w:tc>
          <w:tcPr>
            <w:tcW w:w="1483" w:type="dxa"/>
          </w:tcPr>
          <w:p w14:paraId="6CDBCAD4" w14:textId="77777777" w:rsidR="003B744A" w:rsidRPr="0066384A" w:rsidRDefault="003B744A" w:rsidP="2E1004F6">
            <w:pPr>
              <w:rPr>
                <w:sz w:val="24"/>
                <w:szCs w:val="24"/>
              </w:rPr>
            </w:pPr>
          </w:p>
        </w:tc>
      </w:tr>
      <w:tr w:rsidR="003B744A" w:rsidRPr="0066384A" w14:paraId="74578FBC" w14:textId="77777777" w:rsidTr="2E1004F6">
        <w:trPr>
          <w:trHeight w:val="714"/>
        </w:trPr>
        <w:tc>
          <w:tcPr>
            <w:tcW w:w="8120" w:type="dxa"/>
          </w:tcPr>
          <w:p w14:paraId="32105700" w14:textId="7210A93D" w:rsidR="003B744A" w:rsidRPr="006E7A86" w:rsidRDefault="23886EAF" w:rsidP="2E1004F6">
            <w:pPr>
              <w:rPr>
                <w:b/>
                <w:bCs/>
                <w:sz w:val="24"/>
                <w:szCs w:val="24"/>
              </w:rPr>
            </w:pPr>
            <w:r w:rsidRPr="2E1004F6">
              <w:rPr>
                <w:b/>
                <w:bCs/>
                <w:sz w:val="24"/>
                <w:szCs w:val="24"/>
              </w:rPr>
              <w:t>Consent</w:t>
            </w:r>
            <w:r w:rsidR="5967A421" w:rsidRPr="2E1004F6">
              <w:rPr>
                <w:b/>
                <w:bCs/>
                <w:sz w:val="24"/>
                <w:szCs w:val="24"/>
              </w:rPr>
              <w:t xml:space="preserve"> </w:t>
            </w:r>
          </w:p>
          <w:p w14:paraId="11394D4E" w14:textId="5EBE47AA" w:rsidR="003B744A" w:rsidRPr="006E7A86" w:rsidRDefault="5967A421" w:rsidP="2E1004F6">
            <w:pPr>
              <w:rPr>
                <w:sz w:val="24"/>
                <w:szCs w:val="24"/>
              </w:rPr>
            </w:pPr>
            <w:r w:rsidRPr="2E1004F6">
              <w:rPr>
                <w:sz w:val="24"/>
                <w:szCs w:val="24"/>
              </w:rPr>
              <w:t xml:space="preserve">(EIOS Section XIII </w:t>
            </w:r>
            <w:r w:rsidR="6799C7EC" w:rsidRPr="2E1004F6">
              <w:rPr>
                <w:sz w:val="24"/>
                <w:szCs w:val="24"/>
              </w:rPr>
              <w:t>C pg. 66)</w:t>
            </w:r>
            <w:r w:rsidR="60273322" w:rsidRPr="2E1004F6">
              <w:rPr>
                <w:sz w:val="24"/>
                <w:szCs w:val="24"/>
              </w:rPr>
              <w:t xml:space="preserve"> (CFR 303.420)</w:t>
            </w:r>
          </w:p>
        </w:tc>
        <w:tc>
          <w:tcPr>
            <w:tcW w:w="1747" w:type="dxa"/>
          </w:tcPr>
          <w:p w14:paraId="5E57643A" w14:textId="77777777" w:rsidR="003B744A" w:rsidRPr="0066384A" w:rsidRDefault="003B744A" w:rsidP="2E1004F6">
            <w:pPr>
              <w:rPr>
                <w:sz w:val="24"/>
                <w:szCs w:val="24"/>
              </w:rPr>
            </w:pPr>
          </w:p>
        </w:tc>
        <w:tc>
          <w:tcPr>
            <w:tcW w:w="1734" w:type="dxa"/>
          </w:tcPr>
          <w:p w14:paraId="59ACFC6E" w14:textId="77777777" w:rsidR="003B744A" w:rsidRPr="0066384A" w:rsidRDefault="003B744A" w:rsidP="2E1004F6">
            <w:pPr>
              <w:rPr>
                <w:sz w:val="24"/>
                <w:szCs w:val="24"/>
              </w:rPr>
            </w:pPr>
          </w:p>
        </w:tc>
        <w:tc>
          <w:tcPr>
            <w:tcW w:w="1483" w:type="dxa"/>
          </w:tcPr>
          <w:p w14:paraId="5C5CEF5C" w14:textId="77777777" w:rsidR="003B744A" w:rsidRPr="0066384A" w:rsidRDefault="003B744A" w:rsidP="2E1004F6">
            <w:pPr>
              <w:rPr>
                <w:sz w:val="24"/>
                <w:szCs w:val="24"/>
              </w:rPr>
            </w:pPr>
          </w:p>
        </w:tc>
      </w:tr>
      <w:tr w:rsidR="003B744A" w:rsidRPr="0066384A" w14:paraId="602121B3" w14:textId="77777777" w:rsidTr="2E1004F6">
        <w:trPr>
          <w:trHeight w:val="729"/>
        </w:trPr>
        <w:tc>
          <w:tcPr>
            <w:tcW w:w="8120" w:type="dxa"/>
          </w:tcPr>
          <w:p w14:paraId="537D3734" w14:textId="313DFDF4" w:rsidR="003B744A" w:rsidRPr="006E7A86" w:rsidRDefault="23886EAF" w:rsidP="2E1004F6">
            <w:pPr>
              <w:rPr>
                <w:sz w:val="24"/>
                <w:szCs w:val="24"/>
              </w:rPr>
            </w:pPr>
            <w:r w:rsidRPr="2E1004F6">
              <w:rPr>
                <w:b/>
                <w:bCs/>
                <w:sz w:val="24"/>
                <w:szCs w:val="24"/>
              </w:rPr>
              <w:t>IFSP Development</w:t>
            </w:r>
          </w:p>
          <w:p w14:paraId="5E320E0A" w14:textId="25B34ECC" w:rsidR="003B744A" w:rsidRPr="006E7A86" w:rsidRDefault="0F42CB26" w:rsidP="2E1004F6">
            <w:pPr>
              <w:rPr>
                <w:sz w:val="24"/>
                <w:szCs w:val="24"/>
              </w:rPr>
            </w:pPr>
            <w:r w:rsidRPr="2E1004F6">
              <w:rPr>
                <w:sz w:val="24"/>
                <w:szCs w:val="24"/>
              </w:rPr>
              <w:t xml:space="preserve">(EIOS Section </w:t>
            </w:r>
            <w:r w:rsidR="78EA5619" w:rsidRPr="2E1004F6">
              <w:rPr>
                <w:sz w:val="24"/>
                <w:szCs w:val="24"/>
              </w:rPr>
              <w:t>VII</w:t>
            </w:r>
            <w:r w:rsidRPr="2E1004F6">
              <w:rPr>
                <w:sz w:val="24"/>
                <w:szCs w:val="24"/>
              </w:rPr>
              <w:t xml:space="preserve"> pg</w:t>
            </w:r>
            <w:r w:rsidR="78EA5619" w:rsidRPr="2E1004F6">
              <w:rPr>
                <w:sz w:val="24"/>
                <w:szCs w:val="24"/>
              </w:rPr>
              <w:t>s</w:t>
            </w:r>
            <w:r w:rsidRPr="2E1004F6">
              <w:rPr>
                <w:sz w:val="24"/>
                <w:szCs w:val="24"/>
              </w:rPr>
              <w:t xml:space="preserve">. </w:t>
            </w:r>
            <w:r w:rsidR="78EA5619" w:rsidRPr="2E1004F6">
              <w:rPr>
                <w:sz w:val="24"/>
                <w:szCs w:val="24"/>
              </w:rPr>
              <w:t>26-30</w:t>
            </w:r>
            <w:r w:rsidRPr="2E1004F6">
              <w:rPr>
                <w:sz w:val="24"/>
                <w:szCs w:val="24"/>
              </w:rPr>
              <w:t>)</w:t>
            </w:r>
            <w:r w:rsidR="78EA5619" w:rsidRPr="2E1004F6">
              <w:rPr>
                <w:sz w:val="24"/>
                <w:szCs w:val="24"/>
              </w:rPr>
              <w:t xml:space="preserve"> (CFR 303.340</w:t>
            </w:r>
            <w:r w:rsidR="6B2F1C60" w:rsidRPr="2E1004F6">
              <w:rPr>
                <w:sz w:val="24"/>
                <w:szCs w:val="24"/>
              </w:rPr>
              <w:t xml:space="preserve">, 303.342; </w:t>
            </w:r>
            <w:r w:rsidR="6081B95F" w:rsidRPr="2E1004F6">
              <w:rPr>
                <w:sz w:val="24"/>
                <w:szCs w:val="24"/>
              </w:rPr>
              <w:t>303.343; 303.344)</w:t>
            </w:r>
          </w:p>
        </w:tc>
        <w:tc>
          <w:tcPr>
            <w:tcW w:w="1747" w:type="dxa"/>
          </w:tcPr>
          <w:p w14:paraId="41518174" w14:textId="77777777" w:rsidR="003B744A" w:rsidRPr="0066384A" w:rsidRDefault="003B744A" w:rsidP="2E1004F6">
            <w:pPr>
              <w:rPr>
                <w:sz w:val="24"/>
                <w:szCs w:val="24"/>
              </w:rPr>
            </w:pPr>
          </w:p>
        </w:tc>
        <w:tc>
          <w:tcPr>
            <w:tcW w:w="1734" w:type="dxa"/>
          </w:tcPr>
          <w:p w14:paraId="6EE02797" w14:textId="77777777" w:rsidR="003B744A" w:rsidRPr="0066384A" w:rsidRDefault="003B744A" w:rsidP="2E1004F6">
            <w:pPr>
              <w:rPr>
                <w:sz w:val="24"/>
                <w:szCs w:val="24"/>
              </w:rPr>
            </w:pPr>
          </w:p>
        </w:tc>
        <w:tc>
          <w:tcPr>
            <w:tcW w:w="1483" w:type="dxa"/>
          </w:tcPr>
          <w:p w14:paraId="285BADA3" w14:textId="77777777" w:rsidR="003B744A" w:rsidRPr="0066384A" w:rsidRDefault="003B744A" w:rsidP="2E1004F6">
            <w:pPr>
              <w:rPr>
                <w:sz w:val="24"/>
                <w:szCs w:val="24"/>
              </w:rPr>
            </w:pPr>
          </w:p>
        </w:tc>
      </w:tr>
      <w:tr w:rsidR="003B744A" w:rsidRPr="0066384A" w14:paraId="2E27F3BF" w14:textId="77777777" w:rsidTr="2E1004F6">
        <w:trPr>
          <w:trHeight w:val="707"/>
        </w:trPr>
        <w:tc>
          <w:tcPr>
            <w:tcW w:w="8120" w:type="dxa"/>
          </w:tcPr>
          <w:p w14:paraId="0280594C" w14:textId="17A8FC6A" w:rsidR="003B744A" w:rsidRPr="006E7A86" w:rsidRDefault="23886EAF" w:rsidP="2E1004F6">
            <w:pPr>
              <w:rPr>
                <w:b/>
                <w:bCs/>
                <w:sz w:val="24"/>
                <w:szCs w:val="24"/>
              </w:rPr>
            </w:pPr>
            <w:r w:rsidRPr="2E1004F6">
              <w:rPr>
                <w:b/>
                <w:bCs/>
                <w:sz w:val="24"/>
                <w:szCs w:val="24"/>
              </w:rPr>
              <w:t>EI Services</w:t>
            </w:r>
            <w:r w:rsidR="0F42CB26" w:rsidRPr="2E1004F6">
              <w:rPr>
                <w:b/>
                <w:bCs/>
                <w:sz w:val="24"/>
                <w:szCs w:val="24"/>
              </w:rPr>
              <w:t xml:space="preserve"> </w:t>
            </w:r>
          </w:p>
          <w:p w14:paraId="7216C7E9" w14:textId="21F7CE05" w:rsidR="003B744A" w:rsidRPr="006E7A86" w:rsidRDefault="0F42CB26" w:rsidP="2E1004F6">
            <w:pPr>
              <w:rPr>
                <w:sz w:val="24"/>
                <w:szCs w:val="24"/>
              </w:rPr>
            </w:pPr>
            <w:r w:rsidRPr="2E1004F6">
              <w:rPr>
                <w:sz w:val="24"/>
                <w:szCs w:val="24"/>
              </w:rPr>
              <w:t>(EIOS Section XII</w:t>
            </w:r>
            <w:r w:rsidR="49F468A6" w:rsidRPr="2E1004F6">
              <w:rPr>
                <w:sz w:val="24"/>
                <w:szCs w:val="24"/>
              </w:rPr>
              <w:t xml:space="preserve"> B.3.</w:t>
            </w:r>
            <w:r w:rsidRPr="2E1004F6">
              <w:rPr>
                <w:sz w:val="24"/>
                <w:szCs w:val="24"/>
              </w:rPr>
              <w:t xml:space="preserve"> </w:t>
            </w:r>
            <w:r w:rsidR="3B3F5AFB" w:rsidRPr="2E1004F6">
              <w:rPr>
                <w:sz w:val="24"/>
                <w:szCs w:val="24"/>
              </w:rPr>
              <w:t>f pg.59)</w:t>
            </w:r>
            <w:r w:rsidR="28E0D8EB" w:rsidRPr="2E1004F6">
              <w:rPr>
                <w:sz w:val="24"/>
                <w:szCs w:val="24"/>
              </w:rPr>
              <w:t xml:space="preserve"> (CFR 303.13)</w:t>
            </w:r>
          </w:p>
        </w:tc>
        <w:tc>
          <w:tcPr>
            <w:tcW w:w="1747" w:type="dxa"/>
          </w:tcPr>
          <w:p w14:paraId="6F002775" w14:textId="77777777" w:rsidR="003B744A" w:rsidRPr="0066384A" w:rsidRDefault="003B744A" w:rsidP="2E1004F6">
            <w:pPr>
              <w:rPr>
                <w:sz w:val="24"/>
                <w:szCs w:val="24"/>
              </w:rPr>
            </w:pPr>
          </w:p>
        </w:tc>
        <w:tc>
          <w:tcPr>
            <w:tcW w:w="1734" w:type="dxa"/>
          </w:tcPr>
          <w:p w14:paraId="73F6B068" w14:textId="77777777" w:rsidR="003B744A" w:rsidRPr="0066384A" w:rsidRDefault="003B744A" w:rsidP="2E1004F6">
            <w:pPr>
              <w:rPr>
                <w:sz w:val="24"/>
                <w:szCs w:val="24"/>
              </w:rPr>
            </w:pPr>
          </w:p>
        </w:tc>
        <w:tc>
          <w:tcPr>
            <w:tcW w:w="1483" w:type="dxa"/>
          </w:tcPr>
          <w:p w14:paraId="59DA7E31" w14:textId="77777777" w:rsidR="003B744A" w:rsidRPr="0066384A" w:rsidRDefault="003B744A" w:rsidP="2E1004F6">
            <w:pPr>
              <w:rPr>
                <w:sz w:val="24"/>
                <w:szCs w:val="24"/>
              </w:rPr>
            </w:pPr>
          </w:p>
        </w:tc>
      </w:tr>
      <w:tr w:rsidR="003B744A" w:rsidRPr="0066384A" w14:paraId="32EB10B3" w14:textId="77777777" w:rsidTr="2E1004F6">
        <w:trPr>
          <w:trHeight w:val="729"/>
        </w:trPr>
        <w:tc>
          <w:tcPr>
            <w:tcW w:w="8120" w:type="dxa"/>
          </w:tcPr>
          <w:p w14:paraId="13871C3A" w14:textId="583A411A" w:rsidR="003B744A" w:rsidRPr="006E7A86" w:rsidRDefault="23886EAF" w:rsidP="2E1004F6">
            <w:pPr>
              <w:rPr>
                <w:b/>
                <w:bCs/>
                <w:sz w:val="24"/>
                <w:szCs w:val="24"/>
              </w:rPr>
            </w:pPr>
            <w:r w:rsidRPr="2E1004F6">
              <w:rPr>
                <w:b/>
                <w:bCs/>
                <w:sz w:val="24"/>
                <w:szCs w:val="24"/>
              </w:rPr>
              <w:t>Complaint Processes</w:t>
            </w:r>
            <w:r w:rsidR="3BBFBC7D" w:rsidRPr="2E1004F6">
              <w:rPr>
                <w:b/>
                <w:bCs/>
                <w:sz w:val="24"/>
                <w:szCs w:val="24"/>
              </w:rPr>
              <w:t xml:space="preserve"> </w:t>
            </w:r>
          </w:p>
          <w:p w14:paraId="4DBEA6F9" w14:textId="46B36D72" w:rsidR="003B744A" w:rsidRPr="006E7A86" w:rsidRDefault="3BBFBC7D" w:rsidP="2E1004F6">
            <w:pPr>
              <w:rPr>
                <w:sz w:val="24"/>
                <w:szCs w:val="24"/>
              </w:rPr>
            </w:pPr>
            <w:r w:rsidRPr="2E1004F6">
              <w:rPr>
                <w:sz w:val="24"/>
                <w:szCs w:val="24"/>
              </w:rPr>
              <w:t>(</w:t>
            </w:r>
            <w:r w:rsidR="50CE9328" w:rsidRPr="2E1004F6">
              <w:rPr>
                <w:sz w:val="24"/>
                <w:szCs w:val="24"/>
              </w:rPr>
              <w:t xml:space="preserve">EIOS Section </w:t>
            </w:r>
            <w:r w:rsidR="039943F7" w:rsidRPr="2E1004F6">
              <w:rPr>
                <w:sz w:val="24"/>
                <w:szCs w:val="24"/>
              </w:rPr>
              <w:t>XIII</w:t>
            </w:r>
            <w:r w:rsidR="50CE9328" w:rsidRPr="2E1004F6">
              <w:rPr>
                <w:sz w:val="24"/>
                <w:szCs w:val="24"/>
              </w:rPr>
              <w:t>. pgs. 6</w:t>
            </w:r>
            <w:r w:rsidR="3316371A" w:rsidRPr="2E1004F6">
              <w:rPr>
                <w:sz w:val="24"/>
                <w:szCs w:val="24"/>
              </w:rPr>
              <w:t>3</w:t>
            </w:r>
            <w:r w:rsidR="50CE9328" w:rsidRPr="2E1004F6">
              <w:rPr>
                <w:sz w:val="24"/>
                <w:szCs w:val="24"/>
              </w:rPr>
              <w:t>-</w:t>
            </w:r>
            <w:r w:rsidR="254FBFC0" w:rsidRPr="2E1004F6">
              <w:rPr>
                <w:sz w:val="24"/>
                <w:szCs w:val="24"/>
              </w:rPr>
              <w:t>71</w:t>
            </w:r>
            <w:r w:rsidR="50CE9328" w:rsidRPr="2E1004F6">
              <w:rPr>
                <w:sz w:val="24"/>
                <w:szCs w:val="24"/>
              </w:rPr>
              <w:t>)</w:t>
            </w:r>
            <w:r w:rsidR="24A68F9B" w:rsidRPr="2E1004F6">
              <w:rPr>
                <w:sz w:val="24"/>
                <w:szCs w:val="24"/>
              </w:rPr>
              <w:t xml:space="preserve"> (CFR 303.441)</w:t>
            </w:r>
          </w:p>
        </w:tc>
        <w:tc>
          <w:tcPr>
            <w:tcW w:w="1747" w:type="dxa"/>
          </w:tcPr>
          <w:p w14:paraId="26188E54" w14:textId="77777777" w:rsidR="003B744A" w:rsidRPr="0066384A" w:rsidRDefault="003B744A" w:rsidP="2E1004F6">
            <w:pPr>
              <w:rPr>
                <w:sz w:val="24"/>
                <w:szCs w:val="24"/>
              </w:rPr>
            </w:pPr>
          </w:p>
        </w:tc>
        <w:tc>
          <w:tcPr>
            <w:tcW w:w="1734" w:type="dxa"/>
          </w:tcPr>
          <w:p w14:paraId="1718E743" w14:textId="77777777" w:rsidR="003B744A" w:rsidRPr="0066384A" w:rsidRDefault="003B744A" w:rsidP="2E1004F6">
            <w:pPr>
              <w:rPr>
                <w:sz w:val="24"/>
                <w:szCs w:val="24"/>
              </w:rPr>
            </w:pPr>
          </w:p>
        </w:tc>
        <w:tc>
          <w:tcPr>
            <w:tcW w:w="1483" w:type="dxa"/>
          </w:tcPr>
          <w:p w14:paraId="316CB867" w14:textId="77777777" w:rsidR="003B744A" w:rsidRPr="0066384A" w:rsidRDefault="003B744A" w:rsidP="2E1004F6">
            <w:pPr>
              <w:rPr>
                <w:sz w:val="24"/>
                <w:szCs w:val="24"/>
              </w:rPr>
            </w:pPr>
          </w:p>
        </w:tc>
      </w:tr>
      <w:tr w:rsidR="003B744A" w:rsidRPr="0066384A" w14:paraId="0A0A74C9" w14:textId="77777777" w:rsidTr="2E1004F6">
        <w:trPr>
          <w:trHeight w:val="1262"/>
        </w:trPr>
        <w:tc>
          <w:tcPr>
            <w:tcW w:w="8120" w:type="dxa"/>
          </w:tcPr>
          <w:p w14:paraId="7EEC6F3A" w14:textId="414B1E60" w:rsidR="003B744A" w:rsidRPr="0066384A" w:rsidRDefault="4089BAD0" w:rsidP="2E1004F6">
            <w:pPr>
              <w:rPr>
                <w:sz w:val="24"/>
                <w:szCs w:val="24"/>
              </w:rPr>
            </w:pPr>
            <w:r w:rsidRPr="2E1004F6">
              <w:rPr>
                <w:b/>
                <w:bCs/>
                <w:sz w:val="24"/>
                <w:szCs w:val="24"/>
              </w:rPr>
              <w:lastRenderedPageBreak/>
              <w:t>Family Rights processes and required notices for families</w:t>
            </w:r>
            <w:r w:rsidR="7D73A297" w:rsidRPr="2E1004F6">
              <w:rPr>
                <w:b/>
                <w:bCs/>
                <w:sz w:val="24"/>
                <w:szCs w:val="24"/>
              </w:rPr>
              <w:t xml:space="preserve">: </w:t>
            </w:r>
            <w:r w:rsidR="23886EAF" w:rsidRPr="2E1004F6">
              <w:rPr>
                <w:sz w:val="24"/>
                <w:szCs w:val="24"/>
              </w:rPr>
              <w:t xml:space="preserve">Program has written procedures on use of Family Rights including Prior Written Notice (PWN), </w:t>
            </w:r>
            <w:r w:rsidR="2641D0F8" w:rsidRPr="2E1004F6">
              <w:rPr>
                <w:sz w:val="24"/>
                <w:szCs w:val="24"/>
              </w:rPr>
              <w:t>c</w:t>
            </w:r>
            <w:r w:rsidR="23886EAF" w:rsidRPr="2E1004F6">
              <w:rPr>
                <w:sz w:val="24"/>
                <w:szCs w:val="24"/>
              </w:rPr>
              <w:t>onsent and other required notices for families</w:t>
            </w:r>
            <w:r w:rsidR="7022BB9F" w:rsidRPr="2E1004F6">
              <w:rPr>
                <w:sz w:val="24"/>
                <w:szCs w:val="24"/>
              </w:rPr>
              <w:t xml:space="preserve"> (EIOS Section XIII</w:t>
            </w:r>
            <w:r w:rsidR="3BCAD47B" w:rsidRPr="2E1004F6">
              <w:rPr>
                <w:sz w:val="24"/>
                <w:szCs w:val="24"/>
              </w:rPr>
              <w:t xml:space="preserve"> A-C pgs. </w:t>
            </w:r>
            <w:r w:rsidR="730464FF" w:rsidRPr="2E1004F6">
              <w:rPr>
                <w:sz w:val="24"/>
                <w:szCs w:val="24"/>
              </w:rPr>
              <w:t>63-66)</w:t>
            </w:r>
            <w:r w:rsidR="4716399F" w:rsidRPr="2E1004F6">
              <w:rPr>
                <w:sz w:val="24"/>
                <w:szCs w:val="24"/>
              </w:rPr>
              <w:t xml:space="preserve"> (CFR 303.421; </w:t>
            </w:r>
            <w:r w:rsidR="7B53504F" w:rsidRPr="2E1004F6">
              <w:rPr>
                <w:sz w:val="24"/>
                <w:szCs w:val="24"/>
              </w:rPr>
              <w:t xml:space="preserve">303.7; </w:t>
            </w:r>
            <w:r w:rsidR="6A3778F2" w:rsidRPr="2E1004F6">
              <w:rPr>
                <w:sz w:val="24"/>
                <w:szCs w:val="24"/>
              </w:rPr>
              <w:t xml:space="preserve">303.420; </w:t>
            </w:r>
            <w:r w:rsidR="0FA4C892" w:rsidRPr="2E1004F6">
              <w:rPr>
                <w:sz w:val="24"/>
                <w:szCs w:val="24"/>
              </w:rPr>
              <w:t>303.414</w:t>
            </w:r>
            <w:r w:rsidR="2640F777" w:rsidRPr="2E1004F6">
              <w:rPr>
                <w:sz w:val="24"/>
                <w:szCs w:val="24"/>
              </w:rPr>
              <w:t>)</w:t>
            </w:r>
          </w:p>
        </w:tc>
        <w:tc>
          <w:tcPr>
            <w:tcW w:w="1747" w:type="dxa"/>
          </w:tcPr>
          <w:p w14:paraId="4F73F9DB" w14:textId="77777777" w:rsidR="003B744A" w:rsidRPr="0066384A" w:rsidRDefault="003B744A" w:rsidP="2E1004F6">
            <w:pPr>
              <w:rPr>
                <w:sz w:val="24"/>
                <w:szCs w:val="24"/>
              </w:rPr>
            </w:pPr>
          </w:p>
        </w:tc>
        <w:tc>
          <w:tcPr>
            <w:tcW w:w="1734" w:type="dxa"/>
          </w:tcPr>
          <w:p w14:paraId="2F453514" w14:textId="77777777" w:rsidR="003B744A" w:rsidRPr="0066384A" w:rsidRDefault="003B744A" w:rsidP="2E1004F6">
            <w:pPr>
              <w:rPr>
                <w:sz w:val="24"/>
                <w:szCs w:val="24"/>
              </w:rPr>
            </w:pPr>
          </w:p>
        </w:tc>
        <w:tc>
          <w:tcPr>
            <w:tcW w:w="1483" w:type="dxa"/>
          </w:tcPr>
          <w:p w14:paraId="0D121709" w14:textId="77777777" w:rsidR="003B744A" w:rsidRPr="0066384A" w:rsidRDefault="003B744A" w:rsidP="2E1004F6">
            <w:pPr>
              <w:rPr>
                <w:sz w:val="24"/>
                <w:szCs w:val="24"/>
              </w:rPr>
            </w:pPr>
          </w:p>
        </w:tc>
      </w:tr>
      <w:tr w:rsidR="002E47D9" w:rsidRPr="0066384A" w14:paraId="56D586E8" w14:textId="77777777" w:rsidTr="2E1004F6">
        <w:trPr>
          <w:trHeight w:val="1370"/>
        </w:trPr>
        <w:tc>
          <w:tcPr>
            <w:tcW w:w="8120" w:type="dxa"/>
          </w:tcPr>
          <w:p w14:paraId="14B4D124" w14:textId="2299558B" w:rsidR="002E47D9" w:rsidRPr="0066384A" w:rsidRDefault="66321D09" w:rsidP="2E1004F6">
            <w:pPr>
              <w:rPr>
                <w:b/>
                <w:bCs/>
                <w:sz w:val="24"/>
                <w:szCs w:val="24"/>
              </w:rPr>
            </w:pPr>
            <w:r w:rsidRPr="2E1004F6">
              <w:rPr>
                <w:b/>
                <w:bCs/>
                <w:sz w:val="24"/>
                <w:szCs w:val="24"/>
              </w:rPr>
              <w:t>Language access for IFSP written procedure</w:t>
            </w:r>
            <w:r w:rsidR="520359F6" w:rsidRPr="2E1004F6">
              <w:rPr>
                <w:b/>
                <w:bCs/>
                <w:sz w:val="24"/>
                <w:szCs w:val="24"/>
              </w:rPr>
              <w:t xml:space="preserve">s: </w:t>
            </w:r>
            <w:r w:rsidR="4B85F5F0" w:rsidRPr="2E1004F6">
              <w:rPr>
                <w:sz w:val="24"/>
                <w:szCs w:val="24"/>
              </w:rPr>
              <w:t xml:space="preserve">Program has written procedures on </w:t>
            </w:r>
            <w:r w:rsidR="4A2B48BF" w:rsidRPr="2E1004F6">
              <w:rPr>
                <w:sz w:val="24"/>
                <w:szCs w:val="24"/>
              </w:rPr>
              <w:t>IFSP written in the family’s native or chosen language</w:t>
            </w:r>
            <w:r w:rsidR="1B30E144" w:rsidRPr="2E1004F6">
              <w:rPr>
                <w:sz w:val="24"/>
                <w:szCs w:val="24"/>
              </w:rPr>
              <w:t xml:space="preserve"> and translations available </w:t>
            </w:r>
            <w:r w:rsidR="7021496C" w:rsidRPr="2E1004F6">
              <w:rPr>
                <w:sz w:val="24"/>
                <w:szCs w:val="24"/>
              </w:rPr>
              <w:t>of the IFSP.</w:t>
            </w:r>
            <w:r w:rsidR="4B85F5F0" w:rsidRPr="2E1004F6">
              <w:rPr>
                <w:sz w:val="24"/>
                <w:szCs w:val="24"/>
              </w:rPr>
              <w:t xml:space="preserve"> </w:t>
            </w:r>
          </w:p>
          <w:p w14:paraId="38173A94" w14:textId="6C84BB46" w:rsidR="002E47D9" w:rsidRPr="0066384A" w:rsidRDefault="4B85F5F0" w:rsidP="2E1004F6">
            <w:pPr>
              <w:rPr>
                <w:sz w:val="24"/>
                <w:szCs w:val="24"/>
              </w:rPr>
            </w:pPr>
            <w:r w:rsidRPr="2E1004F6">
              <w:rPr>
                <w:sz w:val="24"/>
                <w:szCs w:val="24"/>
              </w:rPr>
              <w:t xml:space="preserve">(EIOS Section </w:t>
            </w:r>
            <w:r w:rsidR="7021496C" w:rsidRPr="2E1004F6">
              <w:rPr>
                <w:sz w:val="24"/>
                <w:szCs w:val="24"/>
              </w:rPr>
              <w:t>VII</w:t>
            </w:r>
            <w:r w:rsidRPr="2E1004F6">
              <w:rPr>
                <w:sz w:val="24"/>
                <w:szCs w:val="24"/>
              </w:rPr>
              <w:t xml:space="preserve"> </w:t>
            </w:r>
            <w:r w:rsidR="15E3BD20" w:rsidRPr="2E1004F6">
              <w:rPr>
                <w:sz w:val="24"/>
                <w:szCs w:val="24"/>
              </w:rPr>
              <w:t>D</w:t>
            </w:r>
            <w:r w:rsidRPr="2E1004F6">
              <w:rPr>
                <w:sz w:val="24"/>
                <w:szCs w:val="24"/>
              </w:rPr>
              <w:t xml:space="preserve"> pg. </w:t>
            </w:r>
            <w:r w:rsidR="7021496C" w:rsidRPr="2E1004F6">
              <w:rPr>
                <w:sz w:val="24"/>
                <w:szCs w:val="24"/>
              </w:rPr>
              <w:t>27</w:t>
            </w:r>
            <w:r w:rsidRPr="2E1004F6">
              <w:rPr>
                <w:sz w:val="24"/>
                <w:szCs w:val="24"/>
              </w:rPr>
              <w:t xml:space="preserve">) </w:t>
            </w:r>
          </w:p>
        </w:tc>
        <w:tc>
          <w:tcPr>
            <w:tcW w:w="1747" w:type="dxa"/>
          </w:tcPr>
          <w:p w14:paraId="6E2F0F0A" w14:textId="77777777" w:rsidR="002E47D9" w:rsidRPr="0066384A" w:rsidRDefault="002E47D9" w:rsidP="2E1004F6">
            <w:pPr>
              <w:rPr>
                <w:sz w:val="24"/>
                <w:szCs w:val="24"/>
              </w:rPr>
            </w:pPr>
          </w:p>
        </w:tc>
        <w:tc>
          <w:tcPr>
            <w:tcW w:w="1734" w:type="dxa"/>
          </w:tcPr>
          <w:p w14:paraId="1E60D338" w14:textId="77777777" w:rsidR="002E47D9" w:rsidRPr="0066384A" w:rsidRDefault="002E47D9" w:rsidP="2E1004F6">
            <w:pPr>
              <w:rPr>
                <w:sz w:val="24"/>
                <w:szCs w:val="24"/>
              </w:rPr>
            </w:pPr>
          </w:p>
        </w:tc>
        <w:tc>
          <w:tcPr>
            <w:tcW w:w="1483" w:type="dxa"/>
          </w:tcPr>
          <w:p w14:paraId="0393C412" w14:textId="77777777" w:rsidR="002E47D9" w:rsidRPr="0066384A" w:rsidRDefault="002E47D9" w:rsidP="2E1004F6">
            <w:pPr>
              <w:rPr>
                <w:sz w:val="24"/>
                <w:szCs w:val="24"/>
              </w:rPr>
            </w:pPr>
          </w:p>
        </w:tc>
      </w:tr>
      <w:tr w:rsidR="002E47D9" w:rsidRPr="0066384A" w14:paraId="18DA248F" w14:textId="77777777" w:rsidTr="2E1004F6">
        <w:trPr>
          <w:trHeight w:val="1295"/>
        </w:trPr>
        <w:tc>
          <w:tcPr>
            <w:tcW w:w="8120" w:type="dxa"/>
          </w:tcPr>
          <w:p w14:paraId="3A04C88E" w14:textId="76D4D76F" w:rsidR="002E47D9" w:rsidRPr="0066384A" w:rsidRDefault="291126B6" w:rsidP="2E1004F6">
            <w:pPr>
              <w:rPr>
                <w:sz w:val="24"/>
                <w:szCs w:val="24"/>
              </w:rPr>
            </w:pPr>
            <w:r w:rsidRPr="2E1004F6">
              <w:rPr>
                <w:b/>
                <w:bCs/>
                <w:sz w:val="24"/>
                <w:szCs w:val="24"/>
              </w:rPr>
              <w:t xml:space="preserve">Service </w:t>
            </w:r>
            <w:r w:rsidR="3A7AA0FF" w:rsidRPr="2E1004F6">
              <w:rPr>
                <w:b/>
                <w:bCs/>
                <w:sz w:val="24"/>
                <w:szCs w:val="24"/>
              </w:rPr>
              <w:t>c</w:t>
            </w:r>
            <w:r w:rsidRPr="2E1004F6">
              <w:rPr>
                <w:b/>
                <w:bCs/>
                <w:sz w:val="24"/>
                <w:szCs w:val="24"/>
              </w:rPr>
              <w:t>oordinators</w:t>
            </w:r>
            <w:r w:rsidR="406118F1" w:rsidRPr="2E1004F6">
              <w:rPr>
                <w:b/>
                <w:bCs/>
                <w:sz w:val="24"/>
                <w:szCs w:val="24"/>
              </w:rPr>
              <w:t xml:space="preserve">: </w:t>
            </w:r>
            <w:r w:rsidR="4B85F5F0" w:rsidRPr="2E1004F6">
              <w:rPr>
                <w:sz w:val="24"/>
                <w:szCs w:val="24"/>
              </w:rPr>
              <w:t>Program assigns service coordinators from the profession and/or having clinical experience most relevant to the child’s or family’s needs (EIOS Section VII, E. 9. pg. 28) (CFR 303.344)</w:t>
            </w:r>
          </w:p>
        </w:tc>
        <w:tc>
          <w:tcPr>
            <w:tcW w:w="1747" w:type="dxa"/>
          </w:tcPr>
          <w:p w14:paraId="648ECA19" w14:textId="77777777" w:rsidR="002E47D9" w:rsidRPr="0066384A" w:rsidRDefault="002E47D9" w:rsidP="2E1004F6">
            <w:pPr>
              <w:rPr>
                <w:sz w:val="24"/>
                <w:szCs w:val="24"/>
              </w:rPr>
            </w:pPr>
          </w:p>
        </w:tc>
        <w:tc>
          <w:tcPr>
            <w:tcW w:w="1734" w:type="dxa"/>
          </w:tcPr>
          <w:p w14:paraId="54EC0B1B" w14:textId="77777777" w:rsidR="002E47D9" w:rsidRPr="0066384A" w:rsidRDefault="002E47D9" w:rsidP="2E1004F6">
            <w:pPr>
              <w:rPr>
                <w:sz w:val="24"/>
                <w:szCs w:val="24"/>
              </w:rPr>
            </w:pPr>
          </w:p>
        </w:tc>
        <w:tc>
          <w:tcPr>
            <w:tcW w:w="1483" w:type="dxa"/>
          </w:tcPr>
          <w:p w14:paraId="7E72E578" w14:textId="77777777" w:rsidR="002E47D9" w:rsidRPr="0066384A" w:rsidRDefault="002E47D9" w:rsidP="2E1004F6">
            <w:pPr>
              <w:rPr>
                <w:sz w:val="24"/>
                <w:szCs w:val="24"/>
              </w:rPr>
            </w:pPr>
          </w:p>
        </w:tc>
      </w:tr>
      <w:tr w:rsidR="002E47D9" w:rsidRPr="0066384A" w14:paraId="41983565" w14:textId="77777777" w:rsidTr="2E1004F6">
        <w:trPr>
          <w:trHeight w:val="1055"/>
        </w:trPr>
        <w:tc>
          <w:tcPr>
            <w:tcW w:w="8120" w:type="dxa"/>
          </w:tcPr>
          <w:p w14:paraId="03B92E16" w14:textId="438C088F" w:rsidR="002E47D9" w:rsidRPr="0066384A" w:rsidRDefault="0B72E541" w:rsidP="2E1004F6">
            <w:pPr>
              <w:rPr>
                <w:sz w:val="24"/>
                <w:szCs w:val="24"/>
              </w:rPr>
            </w:pPr>
            <w:r w:rsidRPr="2E1004F6">
              <w:rPr>
                <w:b/>
                <w:bCs/>
                <w:sz w:val="24"/>
                <w:szCs w:val="24"/>
              </w:rPr>
              <w:t>IFSP development and reviews</w:t>
            </w:r>
            <w:r w:rsidR="038D0BD8" w:rsidRPr="2E1004F6">
              <w:rPr>
                <w:b/>
                <w:bCs/>
                <w:sz w:val="24"/>
                <w:szCs w:val="24"/>
              </w:rPr>
              <w:t xml:space="preserve">: </w:t>
            </w:r>
            <w:r w:rsidR="4B85F5F0" w:rsidRPr="2E1004F6">
              <w:rPr>
                <w:sz w:val="24"/>
                <w:szCs w:val="24"/>
              </w:rPr>
              <w:t>Program has written procedures regarding IFSP development including all reviews (EIOS Section VII pgs. 26-30) (CFR 303.340; 303.342; 303.434; 303.344)</w:t>
            </w:r>
          </w:p>
        </w:tc>
        <w:tc>
          <w:tcPr>
            <w:tcW w:w="1747" w:type="dxa"/>
          </w:tcPr>
          <w:p w14:paraId="7229B4F1" w14:textId="77777777" w:rsidR="002E47D9" w:rsidRPr="0066384A" w:rsidRDefault="002E47D9" w:rsidP="2E1004F6">
            <w:pPr>
              <w:rPr>
                <w:sz w:val="24"/>
                <w:szCs w:val="24"/>
              </w:rPr>
            </w:pPr>
          </w:p>
        </w:tc>
        <w:tc>
          <w:tcPr>
            <w:tcW w:w="1734" w:type="dxa"/>
          </w:tcPr>
          <w:p w14:paraId="450F6F2C" w14:textId="77777777" w:rsidR="002E47D9" w:rsidRPr="0066384A" w:rsidRDefault="002E47D9" w:rsidP="2E1004F6">
            <w:pPr>
              <w:rPr>
                <w:sz w:val="24"/>
                <w:szCs w:val="24"/>
              </w:rPr>
            </w:pPr>
          </w:p>
        </w:tc>
        <w:tc>
          <w:tcPr>
            <w:tcW w:w="1483" w:type="dxa"/>
          </w:tcPr>
          <w:p w14:paraId="7C28BAEE" w14:textId="77777777" w:rsidR="002E47D9" w:rsidRPr="0066384A" w:rsidRDefault="002E47D9" w:rsidP="2E1004F6">
            <w:pPr>
              <w:rPr>
                <w:sz w:val="24"/>
                <w:szCs w:val="24"/>
              </w:rPr>
            </w:pPr>
          </w:p>
        </w:tc>
      </w:tr>
      <w:tr w:rsidR="002E47D9" w:rsidRPr="0066384A" w14:paraId="67E74B33" w14:textId="77777777" w:rsidTr="2E1004F6">
        <w:trPr>
          <w:trHeight w:val="1310"/>
        </w:trPr>
        <w:tc>
          <w:tcPr>
            <w:tcW w:w="8120" w:type="dxa"/>
          </w:tcPr>
          <w:p w14:paraId="07454421" w14:textId="462DC4DF" w:rsidR="002E47D9" w:rsidRPr="0066384A" w:rsidRDefault="1361E7DE" w:rsidP="2E1004F6">
            <w:pPr>
              <w:rPr>
                <w:sz w:val="24"/>
                <w:szCs w:val="24"/>
              </w:rPr>
            </w:pPr>
            <w:r w:rsidRPr="2E1004F6">
              <w:rPr>
                <w:b/>
                <w:bCs/>
                <w:sz w:val="24"/>
                <w:szCs w:val="24"/>
              </w:rPr>
              <w:t xml:space="preserve">Transition of children </w:t>
            </w:r>
            <w:r w:rsidR="1CBF6ECF" w:rsidRPr="2E1004F6">
              <w:rPr>
                <w:b/>
                <w:bCs/>
                <w:sz w:val="24"/>
                <w:szCs w:val="24"/>
              </w:rPr>
              <w:t xml:space="preserve">who are </w:t>
            </w:r>
            <w:r w:rsidRPr="2E1004F6">
              <w:rPr>
                <w:b/>
                <w:bCs/>
                <w:sz w:val="24"/>
                <w:szCs w:val="24"/>
              </w:rPr>
              <w:t>not potentially eligible</w:t>
            </w:r>
            <w:r w:rsidR="2D5A7F75" w:rsidRPr="2E1004F6">
              <w:rPr>
                <w:b/>
                <w:bCs/>
                <w:sz w:val="24"/>
                <w:szCs w:val="24"/>
              </w:rPr>
              <w:t xml:space="preserve">: </w:t>
            </w:r>
            <w:r w:rsidR="4B85F5F0" w:rsidRPr="2E1004F6">
              <w:rPr>
                <w:sz w:val="24"/>
                <w:szCs w:val="24"/>
              </w:rPr>
              <w:t xml:space="preserve">Program has written procedures regarding transition of children who are </w:t>
            </w:r>
            <w:r w:rsidR="4B85F5F0" w:rsidRPr="2E1004F6">
              <w:rPr>
                <w:b/>
                <w:bCs/>
                <w:sz w:val="24"/>
                <w:szCs w:val="24"/>
              </w:rPr>
              <w:t>not</w:t>
            </w:r>
            <w:r w:rsidR="4B85F5F0" w:rsidRPr="2E1004F6">
              <w:rPr>
                <w:sz w:val="24"/>
                <w:szCs w:val="24"/>
              </w:rPr>
              <w:t xml:space="preserve"> potentially eligible for special education services (EIOS Section IX A-C, G pgs. 35-37, 42-43) (CFR 303.209)</w:t>
            </w:r>
          </w:p>
        </w:tc>
        <w:tc>
          <w:tcPr>
            <w:tcW w:w="1747" w:type="dxa"/>
          </w:tcPr>
          <w:p w14:paraId="075350B4" w14:textId="77777777" w:rsidR="002E47D9" w:rsidRPr="0066384A" w:rsidRDefault="002E47D9" w:rsidP="2E1004F6">
            <w:pPr>
              <w:rPr>
                <w:sz w:val="24"/>
                <w:szCs w:val="24"/>
              </w:rPr>
            </w:pPr>
          </w:p>
        </w:tc>
        <w:tc>
          <w:tcPr>
            <w:tcW w:w="1734" w:type="dxa"/>
          </w:tcPr>
          <w:p w14:paraId="224BAB09" w14:textId="77777777" w:rsidR="002E47D9" w:rsidRPr="0066384A" w:rsidRDefault="002E47D9" w:rsidP="2E1004F6">
            <w:pPr>
              <w:rPr>
                <w:sz w:val="24"/>
                <w:szCs w:val="24"/>
              </w:rPr>
            </w:pPr>
          </w:p>
        </w:tc>
        <w:tc>
          <w:tcPr>
            <w:tcW w:w="1483" w:type="dxa"/>
          </w:tcPr>
          <w:p w14:paraId="4BED4119" w14:textId="77777777" w:rsidR="002E47D9" w:rsidRPr="0066384A" w:rsidRDefault="002E47D9" w:rsidP="2E1004F6">
            <w:pPr>
              <w:rPr>
                <w:sz w:val="24"/>
                <w:szCs w:val="24"/>
              </w:rPr>
            </w:pPr>
          </w:p>
        </w:tc>
      </w:tr>
      <w:tr w:rsidR="002E47D9" w:rsidRPr="0066384A" w14:paraId="3DDC69EB" w14:textId="77777777" w:rsidTr="2E1004F6">
        <w:trPr>
          <w:trHeight w:val="1025"/>
        </w:trPr>
        <w:tc>
          <w:tcPr>
            <w:tcW w:w="8120" w:type="dxa"/>
          </w:tcPr>
          <w:p w14:paraId="2F3CCBAE" w14:textId="2C58F4DF" w:rsidR="002E47D9" w:rsidRPr="0066384A" w:rsidRDefault="35B36AA1" w:rsidP="2E1004F6">
            <w:pPr>
              <w:rPr>
                <w:sz w:val="24"/>
                <w:szCs w:val="24"/>
              </w:rPr>
            </w:pPr>
            <w:r w:rsidRPr="2E1004F6">
              <w:rPr>
                <w:b/>
                <w:bCs/>
                <w:sz w:val="24"/>
                <w:szCs w:val="24"/>
              </w:rPr>
              <w:t xml:space="preserve">Transition of children </w:t>
            </w:r>
            <w:r w:rsidR="4AD10F14" w:rsidRPr="2E1004F6">
              <w:rPr>
                <w:b/>
                <w:bCs/>
                <w:sz w:val="24"/>
                <w:szCs w:val="24"/>
              </w:rPr>
              <w:t>who are</w:t>
            </w:r>
            <w:r w:rsidRPr="2E1004F6">
              <w:rPr>
                <w:b/>
                <w:bCs/>
                <w:sz w:val="24"/>
                <w:szCs w:val="24"/>
              </w:rPr>
              <w:t xml:space="preserve"> potentially eligible</w:t>
            </w:r>
            <w:r w:rsidR="5EF4588F" w:rsidRPr="2E1004F6">
              <w:rPr>
                <w:b/>
                <w:bCs/>
                <w:sz w:val="24"/>
                <w:szCs w:val="24"/>
              </w:rPr>
              <w:t xml:space="preserve">: </w:t>
            </w:r>
            <w:r w:rsidR="4B85F5F0" w:rsidRPr="2E1004F6">
              <w:rPr>
                <w:sz w:val="24"/>
                <w:szCs w:val="24"/>
              </w:rPr>
              <w:t xml:space="preserve">Program has written procedures for children who </w:t>
            </w:r>
            <w:r w:rsidR="4B85F5F0" w:rsidRPr="2E1004F6">
              <w:rPr>
                <w:b/>
                <w:bCs/>
                <w:sz w:val="24"/>
                <w:szCs w:val="24"/>
              </w:rPr>
              <w:t>are</w:t>
            </w:r>
            <w:r w:rsidR="4B85F5F0" w:rsidRPr="2E1004F6">
              <w:rPr>
                <w:sz w:val="24"/>
                <w:szCs w:val="24"/>
              </w:rPr>
              <w:t xml:space="preserve"> potentially eligible for special education services (EIOS Section IX D-F, H pgs. 38-42, 43) (CFR 303.209)</w:t>
            </w:r>
          </w:p>
        </w:tc>
        <w:tc>
          <w:tcPr>
            <w:tcW w:w="1747" w:type="dxa"/>
          </w:tcPr>
          <w:p w14:paraId="4A5E981E" w14:textId="77777777" w:rsidR="002E47D9" w:rsidRPr="0066384A" w:rsidRDefault="002E47D9" w:rsidP="2E1004F6">
            <w:pPr>
              <w:rPr>
                <w:sz w:val="24"/>
                <w:szCs w:val="24"/>
              </w:rPr>
            </w:pPr>
          </w:p>
        </w:tc>
        <w:tc>
          <w:tcPr>
            <w:tcW w:w="1734" w:type="dxa"/>
          </w:tcPr>
          <w:p w14:paraId="29FEA2CC" w14:textId="77777777" w:rsidR="002E47D9" w:rsidRPr="0066384A" w:rsidRDefault="002E47D9" w:rsidP="2E1004F6">
            <w:pPr>
              <w:rPr>
                <w:sz w:val="24"/>
                <w:szCs w:val="24"/>
              </w:rPr>
            </w:pPr>
          </w:p>
        </w:tc>
        <w:tc>
          <w:tcPr>
            <w:tcW w:w="1483" w:type="dxa"/>
          </w:tcPr>
          <w:p w14:paraId="28B8352B" w14:textId="77777777" w:rsidR="002E47D9" w:rsidRPr="0066384A" w:rsidRDefault="002E47D9" w:rsidP="2E1004F6">
            <w:pPr>
              <w:rPr>
                <w:sz w:val="24"/>
                <w:szCs w:val="24"/>
              </w:rPr>
            </w:pPr>
          </w:p>
        </w:tc>
      </w:tr>
      <w:tr w:rsidR="002E47D9" w:rsidRPr="0066384A" w14:paraId="27BE2A61" w14:textId="77777777" w:rsidTr="2E1004F6">
        <w:trPr>
          <w:trHeight w:val="1025"/>
        </w:trPr>
        <w:tc>
          <w:tcPr>
            <w:tcW w:w="8120" w:type="dxa"/>
          </w:tcPr>
          <w:p w14:paraId="4BD83828" w14:textId="0F6DC65E" w:rsidR="002E47D9" w:rsidRPr="0066384A" w:rsidRDefault="589BA7A5" w:rsidP="2E1004F6">
            <w:pPr>
              <w:rPr>
                <w:sz w:val="24"/>
                <w:szCs w:val="24"/>
              </w:rPr>
            </w:pPr>
            <w:r w:rsidRPr="2E1004F6">
              <w:rPr>
                <w:b/>
                <w:bCs/>
                <w:sz w:val="24"/>
                <w:szCs w:val="24"/>
              </w:rPr>
              <w:t xml:space="preserve">Grievance </w:t>
            </w:r>
            <w:r w:rsidR="2D44654C" w:rsidRPr="2E1004F6">
              <w:rPr>
                <w:b/>
                <w:bCs/>
                <w:sz w:val="24"/>
                <w:szCs w:val="24"/>
              </w:rPr>
              <w:t>p</w:t>
            </w:r>
            <w:r w:rsidRPr="2E1004F6">
              <w:rPr>
                <w:b/>
                <w:bCs/>
                <w:sz w:val="24"/>
                <w:szCs w:val="24"/>
              </w:rPr>
              <w:t>olicy</w:t>
            </w:r>
            <w:r w:rsidR="7D109BE1" w:rsidRPr="2E1004F6">
              <w:rPr>
                <w:b/>
                <w:bCs/>
                <w:sz w:val="24"/>
                <w:szCs w:val="24"/>
              </w:rPr>
              <w:t xml:space="preserve">: </w:t>
            </w:r>
            <w:r w:rsidR="4B85F5F0" w:rsidRPr="2E1004F6">
              <w:rPr>
                <w:sz w:val="24"/>
                <w:szCs w:val="24"/>
              </w:rPr>
              <w:t>Program has an internal Grievance Policy including how and when it is distributed to families (EIOS Section XII G pgs. 61-62)</w:t>
            </w:r>
          </w:p>
        </w:tc>
        <w:tc>
          <w:tcPr>
            <w:tcW w:w="1747" w:type="dxa"/>
          </w:tcPr>
          <w:p w14:paraId="40EF43ED" w14:textId="77777777" w:rsidR="002E47D9" w:rsidRPr="0066384A" w:rsidRDefault="002E47D9" w:rsidP="2E1004F6">
            <w:pPr>
              <w:rPr>
                <w:sz w:val="24"/>
                <w:szCs w:val="24"/>
              </w:rPr>
            </w:pPr>
          </w:p>
        </w:tc>
        <w:tc>
          <w:tcPr>
            <w:tcW w:w="1734" w:type="dxa"/>
          </w:tcPr>
          <w:p w14:paraId="360DBC6E" w14:textId="77777777" w:rsidR="002E47D9" w:rsidRPr="0066384A" w:rsidRDefault="002E47D9" w:rsidP="2E1004F6">
            <w:pPr>
              <w:rPr>
                <w:sz w:val="24"/>
                <w:szCs w:val="24"/>
              </w:rPr>
            </w:pPr>
          </w:p>
        </w:tc>
        <w:tc>
          <w:tcPr>
            <w:tcW w:w="1483" w:type="dxa"/>
          </w:tcPr>
          <w:p w14:paraId="48029FED" w14:textId="77777777" w:rsidR="002E47D9" w:rsidRPr="0066384A" w:rsidRDefault="002E47D9" w:rsidP="2E1004F6">
            <w:pPr>
              <w:rPr>
                <w:sz w:val="24"/>
                <w:szCs w:val="24"/>
              </w:rPr>
            </w:pPr>
          </w:p>
        </w:tc>
      </w:tr>
      <w:tr w:rsidR="002E47D9" w:rsidRPr="0066384A" w14:paraId="6AF7C347" w14:textId="77777777" w:rsidTr="2E1004F6">
        <w:trPr>
          <w:trHeight w:val="1430"/>
        </w:trPr>
        <w:tc>
          <w:tcPr>
            <w:tcW w:w="13084" w:type="dxa"/>
            <w:gridSpan w:val="4"/>
          </w:tcPr>
          <w:p w14:paraId="456C9890" w14:textId="77777777" w:rsidR="002E47D9" w:rsidRPr="0066384A" w:rsidRDefault="4B85F5F0" w:rsidP="2E1004F6">
            <w:pPr>
              <w:rPr>
                <w:sz w:val="24"/>
                <w:szCs w:val="24"/>
              </w:rPr>
            </w:pPr>
            <w:r w:rsidRPr="2E1004F6">
              <w:rPr>
                <w:sz w:val="24"/>
                <w:szCs w:val="24"/>
              </w:rPr>
              <w:lastRenderedPageBreak/>
              <w:t>Notes on any of the above:</w:t>
            </w:r>
          </w:p>
          <w:p w14:paraId="7225B788" w14:textId="77777777" w:rsidR="002E47D9" w:rsidRPr="0066384A" w:rsidRDefault="002E47D9" w:rsidP="2E1004F6">
            <w:pPr>
              <w:rPr>
                <w:sz w:val="24"/>
                <w:szCs w:val="24"/>
              </w:rPr>
            </w:pPr>
          </w:p>
          <w:p w14:paraId="2BFED9D6" w14:textId="77777777" w:rsidR="002E47D9" w:rsidRPr="0066384A" w:rsidRDefault="002E47D9" w:rsidP="2E1004F6">
            <w:pPr>
              <w:rPr>
                <w:sz w:val="24"/>
                <w:szCs w:val="24"/>
              </w:rPr>
            </w:pPr>
          </w:p>
        </w:tc>
      </w:tr>
    </w:tbl>
    <w:p w14:paraId="3E0B6125" w14:textId="140AA8A6" w:rsidR="003B744A" w:rsidRPr="0066384A" w:rsidRDefault="003B744A" w:rsidP="2E1004F6"/>
    <w:p w14:paraId="559AA713" w14:textId="62A49763" w:rsidR="003B744A" w:rsidRPr="0066384A" w:rsidRDefault="79BA26B4" w:rsidP="2E1004F6">
      <w:pPr>
        <w:spacing w:after="0" w:line="240" w:lineRule="auto"/>
        <w:rPr>
          <w:rFonts w:eastAsiaTheme="minorEastAsia"/>
          <w:b/>
          <w:bCs/>
          <w:sz w:val="24"/>
          <w:szCs w:val="24"/>
        </w:rPr>
      </w:pPr>
      <w:r w:rsidRPr="2E1004F6">
        <w:rPr>
          <w:rFonts w:eastAsiaTheme="minorEastAsia"/>
          <w:b/>
          <w:bCs/>
          <w:sz w:val="24"/>
          <w:szCs w:val="24"/>
        </w:rPr>
        <w:t xml:space="preserve">3. </w:t>
      </w:r>
      <w:r w:rsidR="23886EAF" w:rsidRPr="2E1004F6">
        <w:rPr>
          <w:rFonts w:eastAsiaTheme="minorEastAsia"/>
          <w:b/>
          <w:bCs/>
          <w:sz w:val="24"/>
          <w:szCs w:val="24"/>
        </w:rPr>
        <w:t>Data:</w:t>
      </w:r>
      <w:r w:rsidR="23886EAF" w:rsidRPr="2E1004F6">
        <w:rPr>
          <w:rFonts w:eastAsiaTheme="minorEastAsia"/>
          <w:sz w:val="24"/>
          <w:szCs w:val="24"/>
        </w:rPr>
        <w:t xml:space="preserve"> The data that is used to manage all the records of children receiving services within your program. Information used to monitor and track state and federal requirements including specific processes used to analyze program practice on both short term and long-term basis.</w:t>
      </w:r>
    </w:p>
    <w:p w14:paraId="27DBF386" w14:textId="0468FD98" w:rsidR="2E1004F6" w:rsidRDefault="2E1004F6" w:rsidP="2E1004F6">
      <w:pPr>
        <w:spacing w:after="0" w:line="240" w:lineRule="auto"/>
        <w:rPr>
          <w:rFonts w:eastAsiaTheme="minorEastAsia"/>
          <w:sz w:val="24"/>
          <w:szCs w:val="24"/>
        </w:rPr>
      </w:pPr>
    </w:p>
    <w:p w14:paraId="29086D8E" w14:textId="10F722A1" w:rsidR="003B744A" w:rsidRPr="0066384A" w:rsidRDefault="7AD4FC8C" w:rsidP="2E1004F6">
      <w:pPr>
        <w:spacing w:after="0" w:line="240" w:lineRule="auto"/>
        <w:rPr>
          <w:b/>
          <w:bCs/>
          <w:sz w:val="24"/>
          <w:szCs w:val="24"/>
        </w:rPr>
      </w:pPr>
      <w:r w:rsidRPr="2E1004F6">
        <w:rPr>
          <w:b/>
          <w:bCs/>
          <w:sz w:val="24"/>
          <w:szCs w:val="24"/>
        </w:rPr>
        <w:t xml:space="preserve">A. </w:t>
      </w:r>
      <w:r w:rsidR="23886EAF" w:rsidRPr="2E1004F6">
        <w:rPr>
          <w:b/>
          <w:bCs/>
          <w:sz w:val="24"/>
          <w:szCs w:val="24"/>
        </w:rPr>
        <w:t>Fiscal Management</w:t>
      </w:r>
    </w:p>
    <w:tbl>
      <w:tblPr>
        <w:tblStyle w:val="TableGrid"/>
        <w:tblW w:w="13084" w:type="dxa"/>
        <w:tblLook w:val="04A0" w:firstRow="1" w:lastRow="0" w:firstColumn="1" w:lastColumn="0" w:noHBand="0" w:noVBand="1"/>
      </w:tblPr>
      <w:tblGrid>
        <w:gridCol w:w="8138"/>
        <w:gridCol w:w="1611"/>
        <w:gridCol w:w="1735"/>
        <w:gridCol w:w="1600"/>
      </w:tblGrid>
      <w:tr w:rsidR="003B744A" w:rsidRPr="0066384A" w14:paraId="079EF065" w14:textId="77777777" w:rsidTr="2E1004F6">
        <w:trPr>
          <w:trHeight w:val="300"/>
        </w:trPr>
        <w:tc>
          <w:tcPr>
            <w:tcW w:w="8138" w:type="dxa"/>
          </w:tcPr>
          <w:p w14:paraId="435F9868" w14:textId="77777777" w:rsidR="003B744A" w:rsidRPr="0066384A" w:rsidRDefault="003B744A" w:rsidP="2E1004F6">
            <w:pPr>
              <w:rPr>
                <w:sz w:val="24"/>
                <w:szCs w:val="24"/>
              </w:rPr>
            </w:pPr>
          </w:p>
        </w:tc>
        <w:tc>
          <w:tcPr>
            <w:tcW w:w="1611" w:type="dxa"/>
          </w:tcPr>
          <w:p w14:paraId="4566B3FC" w14:textId="77777777" w:rsidR="003B744A" w:rsidRPr="0066384A" w:rsidRDefault="23886EAF" w:rsidP="2E1004F6">
            <w:pPr>
              <w:jc w:val="center"/>
              <w:rPr>
                <w:b/>
                <w:bCs/>
                <w:sz w:val="24"/>
                <w:szCs w:val="24"/>
              </w:rPr>
            </w:pPr>
            <w:r w:rsidRPr="2E1004F6">
              <w:rPr>
                <w:b/>
                <w:bCs/>
                <w:sz w:val="24"/>
                <w:szCs w:val="24"/>
              </w:rPr>
              <w:t>In place</w:t>
            </w:r>
          </w:p>
        </w:tc>
        <w:tc>
          <w:tcPr>
            <w:tcW w:w="1735" w:type="dxa"/>
          </w:tcPr>
          <w:p w14:paraId="10139B19" w14:textId="77777777" w:rsidR="003B744A" w:rsidRPr="0066384A" w:rsidRDefault="23886EAF" w:rsidP="2E1004F6">
            <w:pPr>
              <w:jc w:val="center"/>
              <w:rPr>
                <w:b/>
                <w:bCs/>
                <w:sz w:val="24"/>
                <w:szCs w:val="24"/>
              </w:rPr>
            </w:pPr>
            <w:r w:rsidRPr="2E1004F6">
              <w:rPr>
                <w:b/>
                <w:bCs/>
                <w:sz w:val="24"/>
                <w:szCs w:val="24"/>
              </w:rPr>
              <w:t>Not in place</w:t>
            </w:r>
          </w:p>
        </w:tc>
        <w:tc>
          <w:tcPr>
            <w:tcW w:w="1600" w:type="dxa"/>
          </w:tcPr>
          <w:p w14:paraId="5B31CBAC" w14:textId="77777777" w:rsidR="003B744A" w:rsidRPr="0066384A" w:rsidRDefault="23886EAF" w:rsidP="2E1004F6">
            <w:pPr>
              <w:jc w:val="center"/>
              <w:rPr>
                <w:b/>
                <w:bCs/>
                <w:sz w:val="24"/>
                <w:szCs w:val="24"/>
              </w:rPr>
            </w:pPr>
            <w:r w:rsidRPr="2E1004F6">
              <w:rPr>
                <w:b/>
                <w:bCs/>
                <w:sz w:val="24"/>
                <w:szCs w:val="24"/>
              </w:rPr>
              <w:t>N/A</w:t>
            </w:r>
          </w:p>
          <w:p w14:paraId="205F6B2A" w14:textId="77777777" w:rsidR="003B744A" w:rsidRPr="0066384A" w:rsidRDefault="23886EAF" w:rsidP="2E1004F6">
            <w:pPr>
              <w:jc w:val="center"/>
              <w:rPr>
                <w:b/>
                <w:bCs/>
                <w:sz w:val="24"/>
                <w:szCs w:val="24"/>
              </w:rPr>
            </w:pPr>
            <w:r w:rsidRPr="2E1004F6">
              <w:rPr>
                <w:b/>
                <w:bCs/>
                <w:sz w:val="24"/>
                <w:szCs w:val="24"/>
              </w:rPr>
              <w:t>Why?</w:t>
            </w:r>
          </w:p>
        </w:tc>
      </w:tr>
      <w:tr w:rsidR="003B744A" w:rsidRPr="0066384A" w14:paraId="144D0C38" w14:textId="77777777" w:rsidTr="2E1004F6">
        <w:trPr>
          <w:trHeight w:val="300"/>
        </w:trPr>
        <w:tc>
          <w:tcPr>
            <w:tcW w:w="8138" w:type="dxa"/>
          </w:tcPr>
          <w:p w14:paraId="2D396083" w14:textId="7F06DEE8" w:rsidR="003B744A" w:rsidRPr="0066384A" w:rsidRDefault="62507229" w:rsidP="2E1004F6">
            <w:pPr>
              <w:rPr>
                <w:sz w:val="24"/>
                <w:szCs w:val="24"/>
              </w:rPr>
            </w:pPr>
            <w:r w:rsidRPr="2E1004F6">
              <w:rPr>
                <w:b/>
                <w:bCs/>
                <w:sz w:val="24"/>
                <w:szCs w:val="24"/>
              </w:rPr>
              <w:t>Billing practices</w:t>
            </w:r>
            <w:r w:rsidR="3C4FEB60" w:rsidRPr="2E1004F6">
              <w:rPr>
                <w:b/>
                <w:bCs/>
                <w:sz w:val="24"/>
                <w:szCs w:val="24"/>
              </w:rPr>
              <w:t xml:space="preserve"> (</w:t>
            </w:r>
            <w:r w:rsidRPr="2E1004F6">
              <w:rPr>
                <w:b/>
                <w:bCs/>
                <w:sz w:val="24"/>
                <w:szCs w:val="24"/>
              </w:rPr>
              <w:t>Charge claims</w:t>
            </w:r>
            <w:r w:rsidR="1663F226" w:rsidRPr="2E1004F6">
              <w:rPr>
                <w:b/>
                <w:bCs/>
                <w:sz w:val="24"/>
                <w:szCs w:val="24"/>
              </w:rPr>
              <w:t xml:space="preserve">): </w:t>
            </w:r>
            <w:r w:rsidR="23886EAF" w:rsidRPr="2E1004F6">
              <w:rPr>
                <w:sz w:val="24"/>
                <w:szCs w:val="24"/>
              </w:rPr>
              <w:t>Program has policies on billing practices within the program and agency</w:t>
            </w:r>
            <w:r w:rsidR="3A86114D" w:rsidRPr="2E1004F6">
              <w:rPr>
                <w:sz w:val="24"/>
                <w:szCs w:val="24"/>
              </w:rPr>
              <w:t xml:space="preserve"> on claim submission when requesting full or partial payment by DPH (charge claims)</w:t>
            </w:r>
            <w:r w:rsidR="34036084" w:rsidRPr="2E1004F6">
              <w:rPr>
                <w:sz w:val="24"/>
                <w:szCs w:val="24"/>
              </w:rPr>
              <w:t xml:space="preserve"> as payor of last resort</w:t>
            </w:r>
            <w:r w:rsidR="3A86114D" w:rsidRPr="2E1004F6">
              <w:rPr>
                <w:sz w:val="24"/>
                <w:szCs w:val="24"/>
              </w:rPr>
              <w:t xml:space="preserve"> (</w:t>
            </w:r>
            <w:r w:rsidR="252087CA" w:rsidRPr="2E1004F6">
              <w:rPr>
                <w:sz w:val="24"/>
                <w:szCs w:val="24"/>
              </w:rPr>
              <w:t xml:space="preserve">DPH EI Reimbursement Manual 827, pg. </w:t>
            </w:r>
            <w:r w:rsidR="044CBB29" w:rsidRPr="2E1004F6">
              <w:rPr>
                <w:sz w:val="24"/>
                <w:szCs w:val="24"/>
              </w:rPr>
              <w:t>6)</w:t>
            </w:r>
          </w:p>
        </w:tc>
        <w:tc>
          <w:tcPr>
            <w:tcW w:w="1611" w:type="dxa"/>
          </w:tcPr>
          <w:p w14:paraId="0D38525E" w14:textId="33AE2C7E" w:rsidR="003B744A" w:rsidRPr="0066384A" w:rsidRDefault="003B744A" w:rsidP="2E1004F6">
            <w:pPr>
              <w:rPr>
                <w:sz w:val="24"/>
                <w:szCs w:val="24"/>
              </w:rPr>
            </w:pPr>
          </w:p>
        </w:tc>
        <w:tc>
          <w:tcPr>
            <w:tcW w:w="1735" w:type="dxa"/>
          </w:tcPr>
          <w:p w14:paraId="44BC8C48" w14:textId="77777777" w:rsidR="003B744A" w:rsidRPr="0066384A" w:rsidRDefault="003B744A" w:rsidP="2E1004F6">
            <w:pPr>
              <w:rPr>
                <w:sz w:val="24"/>
                <w:szCs w:val="24"/>
              </w:rPr>
            </w:pPr>
          </w:p>
        </w:tc>
        <w:tc>
          <w:tcPr>
            <w:tcW w:w="1600" w:type="dxa"/>
          </w:tcPr>
          <w:p w14:paraId="105E7F79" w14:textId="77777777" w:rsidR="003B744A" w:rsidRPr="0066384A" w:rsidRDefault="003B744A" w:rsidP="2E1004F6">
            <w:pPr>
              <w:rPr>
                <w:sz w:val="24"/>
                <w:szCs w:val="24"/>
              </w:rPr>
            </w:pPr>
          </w:p>
        </w:tc>
      </w:tr>
      <w:tr w:rsidR="003B744A" w:rsidRPr="0066384A" w14:paraId="513CE0F5" w14:textId="77777777" w:rsidTr="2E1004F6">
        <w:trPr>
          <w:trHeight w:val="300"/>
        </w:trPr>
        <w:tc>
          <w:tcPr>
            <w:tcW w:w="8138" w:type="dxa"/>
          </w:tcPr>
          <w:p w14:paraId="6ADA69DA" w14:textId="1094779D" w:rsidR="003B744A" w:rsidRPr="0066384A" w:rsidRDefault="296BEEAD" w:rsidP="2E1004F6">
            <w:pPr>
              <w:rPr>
                <w:sz w:val="24"/>
                <w:szCs w:val="24"/>
              </w:rPr>
            </w:pPr>
            <w:r w:rsidRPr="2E1004F6">
              <w:rPr>
                <w:b/>
                <w:bCs/>
                <w:sz w:val="24"/>
                <w:szCs w:val="24"/>
              </w:rPr>
              <w:t>Billing practice</w:t>
            </w:r>
            <w:r w:rsidR="71543B6F" w:rsidRPr="2E1004F6">
              <w:rPr>
                <w:b/>
                <w:bCs/>
                <w:sz w:val="24"/>
                <w:szCs w:val="24"/>
              </w:rPr>
              <w:t>s (</w:t>
            </w:r>
            <w:r w:rsidRPr="2E1004F6">
              <w:rPr>
                <w:b/>
                <w:bCs/>
                <w:sz w:val="24"/>
                <w:szCs w:val="24"/>
              </w:rPr>
              <w:t>Encounter claims</w:t>
            </w:r>
            <w:r w:rsidR="05FF94F9" w:rsidRPr="2E1004F6">
              <w:rPr>
                <w:b/>
                <w:bCs/>
                <w:sz w:val="24"/>
                <w:szCs w:val="24"/>
              </w:rPr>
              <w:t>):</w:t>
            </w:r>
            <w:r w:rsidR="66BB4B34" w:rsidRPr="2E1004F6">
              <w:rPr>
                <w:b/>
                <w:bCs/>
                <w:sz w:val="24"/>
                <w:szCs w:val="24"/>
              </w:rPr>
              <w:t xml:space="preserve"> </w:t>
            </w:r>
            <w:r w:rsidR="7374ABE6" w:rsidRPr="2E1004F6">
              <w:rPr>
                <w:sz w:val="24"/>
                <w:szCs w:val="24"/>
              </w:rPr>
              <w:t xml:space="preserve">Program has policies on billing practices within the program and agency on claim details on EI services </w:t>
            </w:r>
            <w:r w:rsidR="39D51CE4" w:rsidRPr="2E1004F6">
              <w:rPr>
                <w:sz w:val="24"/>
                <w:szCs w:val="24"/>
              </w:rPr>
              <w:t>paid in full or partially by insurers (encounter claims) (DPH EI Reimbursement Manual 827, pg. 6)</w:t>
            </w:r>
          </w:p>
        </w:tc>
        <w:tc>
          <w:tcPr>
            <w:tcW w:w="1611" w:type="dxa"/>
          </w:tcPr>
          <w:p w14:paraId="581BC229" w14:textId="77777777" w:rsidR="003B744A" w:rsidRPr="0066384A" w:rsidRDefault="003B744A" w:rsidP="2E1004F6">
            <w:pPr>
              <w:rPr>
                <w:sz w:val="24"/>
                <w:szCs w:val="24"/>
              </w:rPr>
            </w:pPr>
          </w:p>
        </w:tc>
        <w:tc>
          <w:tcPr>
            <w:tcW w:w="1735" w:type="dxa"/>
          </w:tcPr>
          <w:p w14:paraId="3BF48360" w14:textId="77777777" w:rsidR="003B744A" w:rsidRPr="0066384A" w:rsidRDefault="003B744A" w:rsidP="2E1004F6">
            <w:pPr>
              <w:rPr>
                <w:sz w:val="24"/>
                <w:szCs w:val="24"/>
              </w:rPr>
            </w:pPr>
          </w:p>
        </w:tc>
        <w:tc>
          <w:tcPr>
            <w:tcW w:w="1600" w:type="dxa"/>
          </w:tcPr>
          <w:p w14:paraId="2E60C39B" w14:textId="77777777" w:rsidR="003B744A" w:rsidRPr="0066384A" w:rsidRDefault="003B744A" w:rsidP="2E1004F6">
            <w:pPr>
              <w:rPr>
                <w:sz w:val="24"/>
                <w:szCs w:val="24"/>
              </w:rPr>
            </w:pPr>
          </w:p>
        </w:tc>
      </w:tr>
      <w:tr w:rsidR="003B744A" w:rsidRPr="0066384A" w14:paraId="52F203E8" w14:textId="77777777" w:rsidTr="2E1004F6">
        <w:trPr>
          <w:trHeight w:val="300"/>
        </w:trPr>
        <w:tc>
          <w:tcPr>
            <w:tcW w:w="8138" w:type="dxa"/>
          </w:tcPr>
          <w:p w14:paraId="278EF411" w14:textId="19485F86" w:rsidR="003B744A" w:rsidRPr="0066384A" w:rsidRDefault="26A3E708" w:rsidP="2E1004F6">
            <w:pPr>
              <w:rPr>
                <w:sz w:val="24"/>
                <w:szCs w:val="24"/>
              </w:rPr>
            </w:pPr>
            <w:r w:rsidRPr="2E1004F6">
              <w:rPr>
                <w:b/>
                <w:bCs/>
                <w:sz w:val="24"/>
                <w:szCs w:val="24"/>
              </w:rPr>
              <w:t>Billing practices</w:t>
            </w:r>
            <w:r w:rsidR="143DF8FC" w:rsidRPr="2E1004F6">
              <w:rPr>
                <w:b/>
                <w:bCs/>
                <w:sz w:val="24"/>
                <w:szCs w:val="24"/>
              </w:rPr>
              <w:t xml:space="preserve"> (</w:t>
            </w:r>
            <w:r w:rsidRPr="2E1004F6">
              <w:rPr>
                <w:b/>
                <w:bCs/>
                <w:sz w:val="24"/>
                <w:szCs w:val="24"/>
              </w:rPr>
              <w:t>Denied and rejected claims</w:t>
            </w:r>
            <w:r w:rsidR="27675A78" w:rsidRPr="2E1004F6">
              <w:rPr>
                <w:b/>
                <w:bCs/>
                <w:sz w:val="24"/>
                <w:szCs w:val="24"/>
              </w:rPr>
              <w:t xml:space="preserve">): </w:t>
            </w:r>
            <w:r w:rsidR="7374ABE6" w:rsidRPr="2E1004F6">
              <w:rPr>
                <w:sz w:val="24"/>
                <w:szCs w:val="24"/>
              </w:rPr>
              <w:t>Program has policies on billing practices within the program and agency</w:t>
            </w:r>
            <w:r w:rsidR="39D51CE4" w:rsidRPr="2E1004F6">
              <w:rPr>
                <w:sz w:val="24"/>
                <w:szCs w:val="24"/>
              </w:rPr>
              <w:t xml:space="preserve"> on identifying and resolving denied and rejected claims</w:t>
            </w:r>
            <w:r w:rsidR="0300EE00" w:rsidRPr="2E1004F6">
              <w:rPr>
                <w:sz w:val="24"/>
                <w:szCs w:val="24"/>
              </w:rPr>
              <w:t xml:space="preserve"> (DPH EI Reimbursement Manual 827, pg. 6)</w:t>
            </w:r>
          </w:p>
        </w:tc>
        <w:tc>
          <w:tcPr>
            <w:tcW w:w="1611" w:type="dxa"/>
          </w:tcPr>
          <w:p w14:paraId="3235FA95" w14:textId="77777777" w:rsidR="003B744A" w:rsidRPr="0066384A" w:rsidRDefault="003B744A" w:rsidP="2E1004F6">
            <w:pPr>
              <w:rPr>
                <w:sz w:val="24"/>
                <w:szCs w:val="24"/>
              </w:rPr>
            </w:pPr>
          </w:p>
        </w:tc>
        <w:tc>
          <w:tcPr>
            <w:tcW w:w="1735" w:type="dxa"/>
          </w:tcPr>
          <w:p w14:paraId="5BDAE7C4" w14:textId="77777777" w:rsidR="003B744A" w:rsidRPr="0066384A" w:rsidRDefault="003B744A" w:rsidP="2E1004F6">
            <w:pPr>
              <w:rPr>
                <w:sz w:val="24"/>
                <w:szCs w:val="24"/>
              </w:rPr>
            </w:pPr>
          </w:p>
        </w:tc>
        <w:tc>
          <w:tcPr>
            <w:tcW w:w="1600" w:type="dxa"/>
          </w:tcPr>
          <w:p w14:paraId="77FA2889" w14:textId="77777777" w:rsidR="003B744A" w:rsidRPr="0066384A" w:rsidRDefault="003B744A" w:rsidP="2E1004F6">
            <w:pPr>
              <w:rPr>
                <w:sz w:val="24"/>
                <w:szCs w:val="24"/>
              </w:rPr>
            </w:pPr>
          </w:p>
        </w:tc>
      </w:tr>
      <w:tr w:rsidR="003B744A" w:rsidRPr="0066384A" w14:paraId="045F3554" w14:textId="77777777" w:rsidTr="2E1004F6">
        <w:trPr>
          <w:trHeight w:val="300"/>
        </w:trPr>
        <w:tc>
          <w:tcPr>
            <w:tcW w:w="8138" w:type="dxa"/>
          </w:tcPr>
          <w:p w14:paraId="298CCA1A" w14:textId="59B247FE" w:rsidR="003B744A" w:rsidRPr="0066384A" w:rsidRDefault="305C6D64" w:rsidP="2E1004F6">
            <w:pPr>
              <w:rPr>
                <w:sz w:val="24"/>
                <w:szCs w:val="24"/>
              </w:rPr>
            </w:pPr>
            <w:r w:rsidRPr="2E1004F6">
              <w:rPr>
                <w:b/>
                <w:bCs/>
                <w:sz w:val="24"/>
                <w:szCs w:val="24"/>
              </w:rPr>
              <w:t>Submission of claim information</w:t>
            </w:r>
            <w:r w:rsidR="1CA55682" w:rsidRPr="2E1004F6">
              <w:rPr>
                <w:b/>
                <w:bCs/>
                <w:sz w:val="24"/>
                <w:szCs w:val="24"/>
              </w:rPr>
              <w:t xml:space="preserve">: </w:t>
            </w:r>
            <w:r w:rsidR="7374ABE6" w:rsidRPr="2E1004F6">
              <w:rPr>
                <w:sz w:val="24"/>
                <w:szCs w:val="24"/>
              </w:rPr>
              <w:t xml:space="preserve">Program </w:t>
            </w:r>
            <w:r w:rsidR="0300EE00" w:rsidRPr="2E1004F6">
              <w:rPr>
                <w:sz w:val="24"/>
                <w:szCs w:val="24"/>
              </w:rPr>
              <w:t>and agency use appropriate methods for submission of and response to claim information</w:t>
            </w:r>
            <w:r w:rsidR="6455076D" w:rsidRPr="2E1004F6">
              <w:rPr>
                <w:sz w:val="24"/>
                <w:szCs w:val="24"/>
              </w:rPr>
              <w:t>, ex. 837, 825 etc.) (DPH EI Reimbursement Manual 827, pg. 6)</w:t>
            </w:r>
            <w:r w:rsidR="0300EE00" w:rsidRPr="2E1004F6">
              <w:rPr>
                <w:sz w:val="24"/>
                <w:szCs w:val="24"/>
              </w:rPr>
              <w:t xml:space="preserve"> </w:t>
            </w:r>
          </w:p>
        </w:tc>
        <w:tc>
          <w:tcPr>
            <w:tcW w:w="1611" w:type="dxa"/>
          </w:tcPr>
          <w:p w14:paraId="193213BA" w14:textId="77777777" w:rsidR="003B744A" w:rsidRPr="0066384A" w:rsidRDefault="003B744A" w:rsidP="2E1004F6">
            <w:pPr>
              <w:rPr>
                <w:sz w:val="24"/>
                <w:szCs w:val="24"/>
              </w:rPr>
            </w:pPr>
          </w:p>
        </w:tc>
        <w:tc>
          <w:tcPr>
            <w:tcW w:w="1735" w:type="dxa"/>
          </w:tcPr>
          <w:p w14:paraId="312B769A" w14:textId="77777777" w:rsidR="003B744A" w:rsidRPr="0066384A" w:rsidRDefault="003B744A" w:rsidP="2E1004F6">
            <w:pPr>
              <w:rPr>
                <w:sz w:val="24"/>
                <w:szCs w:val="24"/>
              </w:rPr>
            </w:pPr>
          </w:p>
        </w:tc>
        <w:tc>
          <w:tcPr>
            <w:tcW w:w="1600" w:type="dxa"/>
          </w:tcPr>
          <w:p w14:paraId="6B71B5FA" w14:textId="77777777" w:rsidR="003B744A" w:rsidRPr="0066384A" w:rsidRDefault="003B744A" w:rsidP="2E1004F6">
            <w:pPr>
              <w:rPr>
                <w:sz w:val="24"/>
                <w:szCs w:val="24"/>
              </w:rPr>
            </w:pPr>
          </w:p>
        </w:tc>
      </w:tr>
      <w:tr w:rsidR="009849EC" w:rsidRPr="0066384A" w14:paraId="546A70CA" w14:textId="77777777" w:rsidTr="2E1004F6">
        <w:trPr>
          <w:trHeight w:val="300"/>
        </w:trPr>
        <w:tc>
          <w:tcPr>
            <w:tcW w:w="8138" w:type="dxa"/>
          </w:tcPr>
          <w:p w14:paraId="2726313A" w14:textId="2F92BBA7" w:rsidR="009849EC" w:rsidRPr="0066384A" w:rsidRDefault="57C07652" w:rsidP="2E1004F6">
            <w:pPr>
              <w:rPr>
                <w:sz w:val="24"/>
                <w:szCs w:val="24"/>
              </w:rPr>
            </w:pPr>
            <w:r w:rsidRPr="2E1004F6">
              <w:rPr>
                <w:b/>
                <w:bCs/>
                <w:sz w:val="24"/>
                <w:szCs w:val="24"/>
              </w:rPr>
              <w:t>S</w:t>
            </w:r>
            <w:r w:rsidR="4FA3B843" w:rsidRPr="2E1004F6">
              <w:rPr>
                <w:b/>
                <w:bCs/>
                <w:sz w:val="24"/>
                <w:szCs w:val="24"/>
              </w:rPr>
              <w:t>ubmission of support documentatio</w:t>
            </w:r>
            <w:r w:rsidR="74983D88" w:rsidRPr="2E1004F6">
              <w:rPr>
                <w:b/>
                <w:bCs/>
                <w:sz w:val="24"/>
                <w:szCs w:val="24"/>
              </w:rPr>
              <w:t xml:space="preserve">n: </w:t>
            </w:r>
            <w:r w:rsidR="2A8BF679" w:rsidRPr="2E1004F6">
              <w:rPr>
                <w:sz w:val="24"/>
                <w:szCs w:val="24"/>
              </w:rPr>
              <w:t>Program and agency ha</w:t>
            </w:r>
            <w:r w:rsidR="4E79AA2D" w:rsidRPr="2E1004F6">
              <w:rPr>
                <w:sz w:val="24"/>
                <w:szCs w:val="24"/>
              </w:rPr>
              <w:t>ve</w:t>
            </w:r>
            <w:r w:rsidR="2A8BF679" w:rsidRPr="2E1004F6">
              <w:rPr>
                <w:sz w:val="24"/>
                <w:szCs w:val="24"/>
              </w:rPr>
              <w:t xml:space="preserve"> a process in place to meet all deadlines for the submission of support documentation (DPH EI Reimbursement Manual 827, pg. </w:t>
            </w:r>
            <w:r w:rsidR="114B4922" w:rsidRPr="2E1004F6">
              <w:rPr>
                <w:sz w:val="24"/>
                <w:szCs w:val="24"/>
              </w:rPr>
              <w:t>26</w:t>
            </w:r>
            <w:r w:rsidR="2A8BF679" w:rsidRPr="2E1004F6">
              <w:rPr>
                <w:sz w:val="24"/>
                <w:szCs w:val="24"/>
              </w:rPr>
              <w:t>)</w:t>
            </w:r>
          </w:p>
        </w:tc>
        <w:tc>
          <w:tcPr>
            <w:tcW w:w="1611" w:type="dxa"/>
          </w:tcPr>
          <w:p w14:paraId="7F3B3690" w14:textId="77777777" w:rsidR="009849EC" w:rsidRPr="0066384A" w:rsidRDefault="009849EC" w:rsidP="2E1004F6">
            <w:pPr>
              <w:rPr>
                <w:sz w:val="24"/>
                <w:szCs w:val="24"/>
              </w:rPr>
            </w:pPr>
          </w:p>
        </w:tc>
        <w:tc>
          <w:tcPr>
            <w:tcW w:w="1735" w:type="dxa"/>
          </w:tcPr>
          <w:p w14:paraId="1DA930DE" w14:textId="77777777" w:rsidR="009849EC" w:rsidRPr="0066384A" w:rsidRDefault="009849EC" w:rsidP="2E1004F6">
            <w:pPr>
              <w:rPr>
                <w:sz w:val="24"/>
                <w:szCs w:val="24"/>
              </w:rPr>
            </w:pPr>
          </w:p>
        </w:tc>
        <w:tc>
          <w:tcPr>
            <w:tcW w:w="1600" w:type="dxa"/>
          </w:tcPr>
          <w:p w14:paraId="7EC4868B" w14:textId="77777777" w:rsidR="009849EC" w:rsidRPr="0066384A" w:rsidRDefault="009849EC" w:rsidP="2E1004F6">
            <w:pPr>
              <w:rPr>
                <w:sz w:val="24"/>
                <w:szCs w:val="24"/>
              </w:rPr>
            </w:pPr>
          </w:p>
        </w:tc>
      </w:tr>
      <w:tr w:rsidR="00343C1F" w:rsidRPr="0066384A" w14:paraId="54D8491C" w14:textId="77777777" w:rsidTr="2E1004F6">
        <w:trPr>
          <w:trHeight w:val="300"/>
        </w:trPr>
        <w:tc>
          <w:tcPr>
            <w:tcW w:w="8138" w:type="dxa"/>
          </w:tcPr>
          <w:p w14:paraId="71AD4687" w14:textId="244F6E4D" w:rsidR="00343C1F" w:rsidRPr="0066384A" w:rsidRDefault="0DB16EC1" w:rsidP="2E1004F6">
            <w:pPr>
              <w:rPr>
                <w:sz w:val="24"/>
                <w:szCs w:val="24"/>
              </w:rPr>
            </w:pPr>
            <w:r w:rsidRPr="2E1004F6">
              <w:rPr>
                <w:b/>
                <w:bCs/>
                <w:sz w:val="24"/>
                <w:szCs w:val="24"/>
              </w:rPr>
              <w:lastRenderedPageBreak/>
              <w:t>Process</w:t>
            </w:r>
            <w:r w:rsidR="64095C67" w:rsidRPr="2E1004F6">
              <w:rPr>
                <w:b/>
                <w:bCs/>
                <w:sz w:val="24"/>
                <w:szCs w:val="24"/>
              </w:rPr>
              <w:t xml:space="preserve"> for meeting clinical, billing and reporting needs</w:t>
            </w:r>
            <w:r w:rsidR="0CADDC88" w:rsidRPr="2E1004F6">
              <w:rPr>
                <w:b/>
                <w:bCs/>
                <w:sz w:val="24"/>
                <w:szCs w:val="24"/>
              </w:rPr>
              <w:t xml:space="preserve">: </w:t>
            </w:r>
            <w:r w:rsidR="4CACE9C1" w:rsidRPr="2E1004F6">
              <w:rPr>
                <w:sz w:val="24"/>
                <w:szCs w:val="24"/>
              </w:rPr>
              <w:t xml:space="preserve">Program has a process for documentation of all services to meet clinical, billing and reporting needs </w:t>
            </w:r>
            <w:r w:rsidR="44250366" w:rsidRPr="2E1004F6">
              <w:rPr>
                <w:sz w:val="24"/>
                <w:szCs w:val="24"/>
              </w:rPr>
              <w:t>(DPH EI Reimbursement Manual 827, pg. 7)</w:t>
            </w:r>
          </w:p>
        </w:tc>
        <w:tc>
          <w:tcPr>
            <w:tcW w:w="1611" w:type="dxa"/>
          </w:tcPr>
          <w:p w14:paraId="1F77A607" w14:textId="77777777" w:rsidR="00343C1F" w:rsidRPr="0066384A" w:rsidRDefault="00343C1F" w:rsidP="2E1004F6">
            <w:pPr>
              <w:rPr>
                <w:sz w:val="24"/>
                <w:szCs w:val="24"/>
              </w:rPr>
            </w:pPr>
          </w:p>
        </w:tc>
        <w:tc>
          <w:tcPr>
            <w:tcW w:w="1735" w:type="dxa"/>
          </w:tcPr>
          <w:p w14:paraId="4C290D1F" w14:textId="77777777" w:rsidR="00343C1F" w:rsidRPr="0066384A" w:rsidRDefault="00343C1F" w:rsidP="2E1004F6">
            <w:pPr>
              <w:rPr>
                <w:sz w:val="24"/>
                <w:szCs w:val="24"/>
              </w:rPr>
            </w:pPr>
          </w:p>
        </w:tc>
        <w:tc>
          <w:tcPr>
            <w:tcW w:w="1600" w:type="dxa"/>
          </w:tcPr>
          <w:p w14:paraId="5DE9290A" w14:textId="77777777" w:rsidR="00343C1F" w:rsidRPr="0066384A" w:rsidRDefault="00343C1F" w:rsidP="2E1004F6">
            <w:pPr>
              <w:rPr>
                <w:sz w:val="24"/>
                <w:szCs w:val="24"/>
              </w:rPr>
            </w:pPr>
          </w:p>
        </w:tc>
      </w:tr>
      <w:tr w:rsidR="003B744A" w:rsidRPr="0066384A" w14:paraId="41840812" w14:textId="77777777" w:rsidTr="2E1004F6">
        <w:trPr>
          <w:trHeight w:val="1026"/>
        </w:trPr>
        <w:tc>
          <w:tcPr>
            <w:tcW w:w="8138" w:type="dxa"/>
          </w:tcPr>
          <w:p w14:paraId="7989F363" w14:textId="21AC24C3" w:rsidR="003B744A" w:rsidRPr="0066384A" w:rsidRDefault="337E678A" w:rsidP="2E1004F6">
            <w:pPr>
              <w:rPr>
                <w:sz w:val="24"/>
                <w:szCs w:val="24"/>
              </w:rPr>
            </w:pPr>
            <w:r w:rsidRPr="2E1004F6">
              <w:rPr>
                <w:b/>
                <w:bCs/>
                <w:sz w:val="24"/>
                <w:szCs w:val="24"/>
              </w:rPr>
              <w:t>Validity and integrity of billing</w:t>
            </w:r>
            <w:r w:rsidR="37CCB6BF" w:rsidRPr="2E1004F6">
              <w:rPr>
                <w:b/>
                <w:bCs/>
                <w:sz w:val="24"/>
                <w:szCs w:val="24"/>
              </w:rPr>
              <w:t xml:space="preserve">: </w:t>
            </w:r>
            <w:r w:rsidR="23886EAF" w:rsidRPr="2E1004F6">
              <w:rPr>
                <w:sz w:val="24"/>
                <w:szCs w:val="24"/>
              </w:rPr>
              <w:t>Program has a plan on file to ensure the validity and integrity of billing to public insurance, private insurance</w:t>
            </w:r>
            <w:r w:rsidR="53B0C220" w:rsidRPr="2E1004F6">
              <w:rPr>
                <w:sz w:val="24"/>
                <w:szCs w:val="24"/>
              </w:rPr>
              <w:t>,</w:t>
            </w:r>
            <w:r w:rsidR="23886EAF" w:rsidRPr="2E1004F6">
              <w:rPr>
                <w:sz w:val="24"/>
                <w:szCs w:val="24"/>
              </w:rPr>
              <w:t xml:space="preserve"> and DPH</w:t>
            </w:r>
            <w:r w:rsidR="4F18B13D" w:rsidRPr="2E1004F6">
              <w:rPr>
                <w:sz w:val="24"/>
                <w:szCs w:val="24"/>
              </w:rPr>
              <w:t xml:space="preserve"> (EIOS Section XII B. 1. </w:t>
            </w:r>
            <w:r w:rsidR="5D923759" w:rsidRPr="2E1004F6">
              <w:rPr>
                <w:sz w:val="24"/>
                <w:szCs w:val="24"/>
              </w:rPr>
              <w:t>d</w:t>
            </w:r>
            <w:r w:rsidR="5116098F" w:rsidRPr="2E1004F6">
              <w:rPr>
                <w:sz w:val="24"/>
                <w:szCs w:val="24"/>
              </w:rPr>
              <w:t xml:space="preserve"> pg. 58)</w:t>
            </w:r>
          </w:p>
        </w:tc>
        <w:tc>
          <w:tcPr>
            <w:tcW w:w="1611" w:type="dxa"/>
          </w:tcPr>
          <w:p w14:paraId="3C4B264F" w14:textId="77777777" w:rsidR="003B744A" w:rsidRPr="0066384A" w:rsidRDefault="003B744A" w:rsidP="2E1004F6">
            <w:pPr>
              <w:rPr>
                <w:sz w:val="24"/>
                <w:szCs w:val="24"/>
              </w:rPr>
            </w:pPr>
          </w:p>
        </w:tc>
        <w:tc>
          <w:tcPr>
            <w:tcW w:w="1735" w:type="dxa"/>
          </w:tcPr>
          <w:p w14:paraId="2A097C97" w14:textId="77777777" w:rsidR="003B744A" w:rsidRPr="0066384A" w:rsidRDefault="003B744A" w:rsidP="2E1004F6">
            <w:pPr>
              <w:rPr>
                <w:sz w:val="24"/>
                <w:szCs w:val="24"/>
              </w:rPr>
            </w:pPr>
          </w:p>
        </w:tc>
        <w:tc>
          <w:tcPr>
            <w:tcW w:w="1600" w:type="dxa"/>
          </w:tcPr>
          <w:p w14:paraId="48FD892B" w14:textId="77777777" w:rsidR="003B744A" w:rsidRPr="0066384A" w:rsidRDefault="003B744A" w:rsidP="2E1004F6">
            <w:pPr>
              <w:rPr>
                <w:sz w:val="24"/>
                <w:szCs w:val="24"/>
              </w:rPr>
            </w:pPr>
          </w:p>
        </w:tc>
      </w:tr>
      <w:tr w:rsidR="003B744A" w:rsidRPr="0066384A" w14:paraId="7BE5D0FC" w14:textId="77777777" w:rsidTr="2E1004F6">
        <w:trPr>
          <w:trHeight w:val="1341"/>
        </w:trPr>
        <w:tc>
          <w:tcPr>
            <w:tcW w:w="8138" w:type="dxa"/>
          </w:tcPr>
          <w:p w14:paraId="01365F07" w14:textId="495BA6C3" w:rsidR="003B744A" w:rsidRPr="0066384A" w:rsidRDefault="6B20E8FC" w:rsidP="2E1004F6">
            <w:pPr>
              <w:rPr>
                <w:sz w:val="24"/>
                <w:szCs w:val="24"/>
              </w:rPr>
            </w:pPr>
            <w:r w:rsidRPr="2E1004F6">
              <w:rPr>
                <w:b/>
                <w:bCs/>
                <w:sz w:val="24"/>
                <w:szCs w:val="24"/>
              </w:rPr>
              <w:t>Process for</w:t>
            </w:r>
            <w:r w:rsidR="65D8CAAF" w:rsidRPr="2E1004F6">
              <w:rPr>
                <w:b/>
                <w:bCs/>
                <w:sz w:val="24"/>
                <w:szCs w:val="24"/>
              </w:rPr>
              <w:t xml:space="preserve"> parental refusal of access to insurance</w:t>
            </w:r>
            <w:r w:rsidR="3721082B" w:rsidRPr="2E1004F6">
              <w:rPr>
                <w:b/>
                <w:bCs/>
                <w:sz w:val="24"/>
                <w:szCs w:val="24"/>
              </w:rPr>
              <w:t xml:space="preserve">: </w:t>
            </w:r>
            <w:r w:rsidR="23886EAF" w:rsidRPr="2E1004F6">
              <w:rPr>
                <w:sz w:val="24"/>
                <w:szCs w:val="24"/>
              </w:rPr>
              <w:t>Program has a process in place to use when a family refuses to have insurance accessed including documentation of parental refusal of access to insurance is on file</w:t>
            </w:r>
            <w:r w:rsidR="44250366" w:rsidRPr="2E1004F6">
              <w:rPr>
                <w:sz w:val="24"/>
                <w:szCs w:val="24"/>
              </w:rPr>
              <w:t xml:space="preserve"> (DPH EI Reimbursement Manual 827, pg. 7)</w:t>
            </w:r>
          </w:p>
        </w:tc>
        <w:tc>
          <w:tcPr>
            <w:tcW w:w="1611" w:type="dxa"/>
          </w:tcPr>
          <w:p w14:paraId="1DE843C5" w14:textId="77777777" w:rsidR="003B744A" w:rsidRPr="0066384A" w:rsidRDefault="003B744A" w:rsidP="2E1004F6">
            <w:pPr>
              <w:rPr>
                <w:sz w:val="24"/>
                <w:szCs w:val="24"/>
              </w:rPr>
            </w:pPr>
          </w:p>
        </w:tc>
        <w:tc>
          <w:tcPr>
            <w:tcW w:w="1735" w:type="dxa"/>
          </w:tcPr>
          <w:p w14:paraId="727CA732" w14:textId="77777777" w:rsidR="003B744A" w:rsidRPr="0066384A" w:rsidRDefault="003B744A" w:rsidP="2E1004F6">
            <w:pPr>
              <w:rPr>
                <w:sz w:val="24"/>
                <w:szCs w:val="24"/>
              </w:rPr>
            </w:pPr>
          </w:p>
        </w:tc>
        <w:tc>
          <w:tcPr>
            <w:tcW w:w="1600" w:type="dxa"/>
          </w:tcPr>
          <w:p w14:paraId="33270B35" w14:textId="77777777" w:rsidR="003B744A" w:rsidRPr="0066384A" w:rsidRDefault="003B744A" w:rsidP="2E1004F6">
            <w:pPr>
              <w:rPr>
                <w:sz w:val="24"/>
                <w:szCs w:val="24"/>
              </w:rPr>
            </w:pPr>
          </w:p>
        </w:tc>
      </w:tr>
      <w:tr w:rsidR="00287D63" w:rsidRPr="0066384A" w14:paraId="3ECF57CD" w14:textId="77777777" w:rsidTr="2E1004F6">
        <w:trPr>
          <w:trHeight w:val="1056"/>
        </w:trPr>
        <w:tc>
          <w:tcPr>
            <w:tcW w:w="8138" w:type="dxa"/>
          </w:tcPr>
          <w:p w14:paraId="636B1239" w14:textId="33E54B64" w:rsidR="00287D63" w:rsidRPr="0066384A" w:rsidRDefault="45BAD286" w:rsidP="2E1004F6">
            <w:pPr>
              <w:rPr>
                <w:sz w:val="24"/>
                <w:szCs w:val="24"/>
              </w:rPr>
            </w:pPr>
            <w:r w:rsidRPr="2E1004F6">
              <w:rPr>
                <w:b/>
                <w:bCs/>
                <w:sz w:val="24"/>
                <w:szCs w:val="24"/>
              </w:rPr>
              <w:t>Process for d</w:t>
            </w:r>
            <w:r w:rsidR="2EEBB2DE" w:rsidRPr="2E1004F6">
              <w:rPr>
                <w:b/>
                <w:bCs/>
                <w:sz w:val="24"/>
                <w:szCs w:val="24"/>
              </w:rPr>
              <w:t>ocumentation of uninsured status</w:t>
            </w:r>
            <w:r w:rsidR="5D0C42B5" w:rsidRPr="2E1004F6">
              <w:rPr>
                <w:b/>
                <w:bCs/>
                <w:sz w:val="24"/>
                <w:szCs w:val="24"/>
              </w:rPr>
              <w:t xml:space="preserve">: </w:t>
            </w:r>
            <w:r w:rsidR="029022A9" w:rsidRPr="2E1004F6">
              <w:rPr>
                <w:sz w:val="24"/>
                <w:szCs w:val="24"/>
              </w:rPr>
              <w:t>Program has a process in place to use w</w:t>
            </w:r>
            <w:r w:rsidR="3A285787" w:rsidRPr="2E1004F6">
              <w:rPr>
                <w:sz w:val="24"/>
                <w:szCs w:val="24"/>
              </w:rPr>
              <w:t>hen documenting uninsured status</w:t>
            </w:r>
            <w:r w:rsidR="44250366" w:rsidRPr="2E1004F6">
              <w:rPr>
                <w:sz w:val="24"/>
                <w:szCs w:val="24"/>
              </w:rPr>
              <w:t xml:space="preserve"> (DPH EI Reimbursement Manual 827, pg. 7)</w:t>
            </w:r>
          </w:p>
        </w:tc>
        <w:tc>
          <w:tcPr>
            <w:tcW w:w="1611" w:type="dxa"/>
          </w:tcPr>
          <w:p w14:paraId="1DA6F5BE" w14:textId="77777777" w:rsidR="00287D63" w:rsidRPr="0066384A" w:rsidRDefault="00287D63" w:rsidP="2E1004F6">
            <w:pPr>
              <w:rPr>
                <w:sz w:val="24"/>
                <w:szCs w:val="24"/>
              </w:rPr>
            </w:pPr>
          </w:p>
        </w:tc>
        <w:tc>
          <w:tcPr>
            <w:tcW w:w="1735" w:type="dxa"/>
          </w:tcPr>
          <w:p w14:paraId="292E361E" w14:textId="77777777" w:rsidR="00287D63" w:rsidRPr="0066384A" w:rsidRDefault="00287D63" w:rsidP="2E1004F6">
            <w:pPr>
              <w:rPr>
                <w:sz w:val="24"/>
                <w:szCs w:val="24"/>
              </w:rPr>
            </w:pPr>
          </w:p>
        </w:tc>
        <w:tc>
          <w:tcPr>
            <w:tcW w:w="1600" w:type="dxa"/>
          </w:tcPr>
          <w:p w14:paraId="6CDEEA4C" w14:textId="77777777" w:rsidR="00287D63" w:rsidRPr="0066384A" w:rsidRDefault="00287D63" w:rsidP="2E1004F6">
            <w:pPr>
              <w:rPr>
                <w:sz w:val="24"/>
                <w:szCs w:val="24"/>
              </w:rPr>
            </w:pPr>
          </w:p>
        </w:tc>
      </w:tr>
      <w:tr w:rsidR="0032411F" w:rsidRPr="0066384A" w14:paraId="00545A05" w14:textId="77777777" w:rsidTr="2E1004F6">
        <w:trPr>
          <w:trHeight w:val="1091"/>
        </w:trPr>
        <w:tc>
          <w:tcPr>
            <w:tcW w:w="8138" w:type="dxa"/>
          </w:tcPr>
          <w:p w14:paraId="4EE6A04C" w14:textId="7EE2BC54" w:rsidR="0032411F" w:rsidRPr="0066384A" w:rsidRDefault="7EDB3BA6" w:rsidP="2E1004F6">
            <w:pPr>
              <w:rPr>
                <w:sz w:val="24"/>
                <w:szCs w:val="24"/>
              </w:rPr>
            </w:pPr>
            <w:r w:rsidRPr="2E1004F6">
              <w:rPr>
                <w:b/>
                <w:bCs/>
                <w:sz w:val="24"/>
                <w:szCs w:val="24"/>
              </w:rPr>
              <w:t>Process for verifying insurance eligibility</w:t>
            </w:r>
            <w:r w:rsidR="0D7ACE3C" w:rsidRPr="2E1004F6">
              <w:rPr>
                <w:b/>
                <w:bCs/>
                <w:sz w:val="24"/>
                <w:szCs w:val="24"/>
              </w:rPr>
              <w:t xml:space="preserve">: </w:t>
            </w:r>
            <w:r w:rsidR="44250366" w:rsidRPr="2E1004F6">
              <w:rPr>
                <w:sz w:val="24"/>
                <w:szCs w:val="24"/>
              </w:rPr>
              <w:t>Program has a process in place to verify insurance eligibility on a regular basis (DPH EI Reimbursement Manual 827, pg. 11)</w:t>
            </w:r>
          </w:p>
        </w:tc>
        <w:tc>
          <w:tcPr>
            <w:tcW w:w="1611" w:type="dxa"/>
          </w:tcPr>
          <w:p w14:paraId="00A05476" w14:textId="77777777" w:rsidR="0032411F" w:rsidRPr="0066384A" w:rsidRDefault="0032411F" w:rsidP="2E1004F6">
            <w:pPr>
              <w:rPr>
                <w:sz w:val="24"/>
                <w:szCs w:val="24"/>
              </w:rPr>
            </w:pPr>
          </w:p>
        </w:tc>
        <w:tc>
          <w:tcPr>
            <w:tcW w:w="1735" w:type="dxa"/>
          </w:tcPr>
          <w:p w14:paraId="21D4E5F8" w14:textId="77777777" w:rsidR="0032411F" w:rsidRPr="0066384A" w:rsidRDefault="0032411F" w:rsidP="2E1004F6">
            <w:pPr>
              <w:rPr>
                <w:sz w:val="24"/>
                <w:szCs w:val="24"/>
              </w:rPr>
            </w:pPr>
          </w:p>
        </w:tc>
        <w:tc>
          <w:tcPr>
            <w:tcW w:w="1600" w:type="dxa"/>
          </w:tcPr>
          <w:p w14:paraId="7F873049" w14:textId="77777777" w:rsidR="0032411F" w:rsidRPr="0066384A" w:rsidRDefault="0032411F" w:rsidP="2E1004F6">
            <w:pPr>
              <w:rPr>
                <w:sz w:val="24"/>
                <w:szCs w:val="24"/>
              </w:rPr>
            </w:pPr>
          </w:p>
        </w:tc>
      </w:tr>
      <w:tr w:rsidR="003B744A" w:rsidRPr="0066384A" w14:paraId="08982E06" w14:textId="77777777" w:rsidTr="2E1004F6">
        <w:trPr>
          <w:trHeight w:val="1176"/>
        </w:trPr>
        <w:tc>
          <w:tcPr>
            <w:tcW w:w="13084" w:type="dxa"/>
            <w:gridSpan w:val="4"/>
          </w:tcPr>
          <w:p w14:paraId="3A8F407E" w14:textId="77777777" w:rsidR="003B744A" w:rsidRPr="0066384A" w:rsidRDefault="23886EAF" w:rsidP="2E1004F6">
            <w:pPr>
              <w:rPr>
                <w:sz w:val="24"/>
                <w:szCs w:val="24"/>
              </w:rPr>
            </w:pPr>
            <w:r w:rsidRPr="2E1004F6">
              <w:rPr>
                <w:sz w:val="24"/>
                <w:szCs w:val="24"/>
              </w:rPr>
              <w:t>Notes on any of the above:</w:t>
            </w:r>
          </w:p>
          <w:p w14:paraId="24A9FFCF" w14:textId="77777777" w:rsidR="003B744A" w:rsidRPr="0066384A" w:rsidRDefault="003B744A" w:rsidP="2E1004F6">
            <w:pPr>
              <w:rPr>
                <w:b/>
                <w:bCs/>
                <w:sz w:val="24"/>
                <w:szCs w:val="24"/>
              </w:rPr>
            </w:pPr>
          </w:p>
          <w:p w14:paraId="28C78077" w14:textId="77777777" w:rsidR="003B744A" w:rsidRPr="0066384A" w:rsidRDefault="003B744A" w:rsidP="2E1004F6">
            <w:pPr>
              <w:rPr>
                <w:sz w:val="24"/>
                <w:szCs w:val="24"/>
              </w:rPr>
            </w:pPr>
          </w:p>
        </w:tc>
      </w:tr>
    </w:tbl>
    <w:p w14:paraId="512A5905" w14:textId="77777777" w:rsidR="003B744A" w:rsidRPr="0066384A" w:rsidRDefault="003B744A" w:rsidP="2E1004F6">
      <w:pPr>
        <w:spacing w:after="0" w:line="240" w:lineRule="auto"/>
        <w:rPr>
          <w:sz w:val="24"/>
          <w:szCs w:val="24"/>
        </w:rPr>
      </w:pPr>
    </w:p>
    <w:p w14:paraId="60A60189" w14:textId="53B70837" w:rsidR="003B744A" w:rsidRPr="0066384A" w:rsidRDefault="1472C9CD" w:rsidP="2E1004F6">
      <w:pPr>
        <w:spacing w:after="0" w:line="240" w:lineRule="auto"/>
        <w:rPr>
          <w:b/>
          <w:bCs/>
          <w:sz w:val="24"/>
          <w:szCs w:val="24"/>
        </w:rPr>
      </w:pPr>
      <w:r w:rsidRPr="2E1004F6">
        <w:rPr>
          <w:b/>
          <w:bCs/>
          <w:sz w:val="24"/>
          <w:szCs w:val="24"/>
        </w:rPr>
        <w:t xml:space="preserve">B. </w:t>
      </w:r>
      <w:r w:rsidR="23886EAF" w:rsidRPr="2E1004F6">
        <w:rPr>
          <w:b/>
          <w:bCs/>
          <w:sz w:val="24"/>
          <w:szCs w:val="24"/>
        </w:rPr>
        <w:t>Data</w:t>
      </w:r>
    </w:p>
    <w:tbl>
      <w:tblPr>
        <w:tblStyle w:val="TableGrid"/>
        <w:tblW w:w="13062" w:type="dxa"/>
        <w:tblLook w:val="04A0" w:firstRow="1" w:lastRow="0" w:firstColumn="1" w:lastColumn="0" w:noHBand="0" w:noVBand="1"/>
      </w:tblPr>
      <w:tblGrid>
        <w:gridCol w:w="8138"/>
        <w:gridCol w:w="1632"/>
        <w:gridCol w:w="1738"/>
        <w:gridCol w:w="1554"/>
      </w:tblGrid>
      <w:tr w:rsidR="003B744A" w:rsidRPr="0066384A" w14:paraId="73A4FD92" w14:textId="77777777" w:rsidTr="2E1004F6">
        <w:trPr>
          <w:trHeight w:val="300"/>
        </w:trPr>
        <w:tc>
          <w:tcPr>
            <w:tcW w:w="8138" w:type="dxa"/>
          </w:tcPr>
          <w:p w14:paraId="5B95D41D" w14:textId="77777777" w:rsidR="003B744A" w:rsidRPr="0066384A" w:rsidRDefault="003B744A" w:rsidP="2E1004F6">
            <w:pPr>
              <w:rPr>
                <w:sz w:val="24"/>
                <w:szCs w:val="24"/>
              </w:rPr>
            </w:pPr>
          </w:p>
        </w:tc>
        <w:tc>
          <w:tcPr>
            <w:tcW w:w="1632" w:type="dxa"/>
          </w:tcPr>
          <w:p w14:paraId="1DF7333B" w14:textId="77777777" w:rsidR="003B744A" w:rsidRPr="0066384A" w:rsidRDefault="23886EAF" w:rsidP="2E1004F6">
            <w:pPr>
              <w:jc w:val="center"/>
              <w:rPr>
                <w:b/>
                <w:bCs/>
                <w:sz w:val="24"/>
                <w:szCs w:val="24"/>
              </w:rPr>
            </w:pPr>
            <w:r w:rsidRPr="2E1004F6">
              <w:rPr>
                <w:b/>
                <w:bCs/>
                <w:sz w:val="24"/>
                <w:szCs w:val="24"/>
              </w:rPr>
              <w:t>In place</w:t>
            </w:r>
          </w:p>
        </w:tc>
        <w:tc>
          <w:tcPr>
            <w:tcW w:w="1738" w:type="dxa"/>
          </w:tcPr>
          <w:p w14:paraId="2F7517FB" w14:textId="77777777" w:rsidR="003B744A" w:rsidRPr="0066384A" w:rsidRDefault="23886EAF" w:rsidP="2E1004F6">
            <w:pPr>
              <w:jc w:val="center"/>
              <w:rPr>
                <w:b/>
                <w:bCs/>
                <w:sz w:val="24"/>
                <w:szCs w:val="24"/>
              </w:rPr>
            </w:pPr>
            <w:r w:rsidRPr="2E1004F6">
              <w:rPr>
                <w:b/>
                <w:bCs/>
                <w:sz w:val="24"/>
                <w:szCs w:val="24"/>
              </w:rPr>
              <w:t>Not in place</w:t>
            </w:r>
          </w:p>
        </w:tc>
        <w:tc>
          <w:tcPr>
            <w:tcW w:w="1554" w:type="dxa"/>
          </w:tcPr>
          <w:p w14:paraId="3A25BED7" w14:textId="77777777" w:rsidR="003B744A" w:rsidRPr="0066384A" w:rsidRDefault="23886EAF" w:rsidP="2E1004F6">
            <w:pPr>
              <w:jc w:val="center"/>
              <w:rPr>
                <w:b/>
                <w:bCs/>
                <w:sz w:val="24"/>
                <w:szCs w:val="24"/>
              </w:rPr>
            </w:pPr>
            <w:r w:rsidRPr="2E1004F6">
              <w:rPr>
                <w:b/>
                <w:bCs/>
                <w:sz w:val="24"/>
                <w:szCs w:val="24"/>
              </w:rPr>
              <w:t>N/A</w:t>
            </w:r>
          </w:p>
          <w:p w14:paraId="551722F5" w14:textId="77777777" w:rsidR="003B744A" w:rsidRPr="0066384A" w:rsidRDefault="23886EAF" w:rsidP="2E1004F6">
            <w:pPr>
              <w:jc w:val="center"/>
              <w:rPr>
                <w:b/>
                <w:bCs/>
                <w:sz w:val="24"/>
                <w:szCs w:val="24"/>
              </w:rPr>
            </w:pPr>
            <w:r w:rsidRPr="2E1004F6">
              <w:rPr>
                <w:b/>
                <w:bCs/>
                <w:sz w:val="24"/>
                <w:szCs w:val="24"/>
              </w:rPr>
              <w:t>Why?</w:t>
            </w:r>
          </w:p>
        </w:tc>
      </w:tr>
      <w:tr w:rsidR="003B744A" w:rsidRPr="0066384A" w14:paraId="342D5596" w14:textId="77777777" w:rsidTr="2E1004F6">
        <w:trPr>
          <w:trHeight w:val="745"/>
        </w:trPr>
        <w:tc>
          <w:tcPr>
            <w:tcW w:w="8138" w:type="dxa"/>
          </w:tcPr>
          <w:p w14:paraId="1BA0D1D0" w14:textId="653CD7C6" w:rsidR="003B744A" w:rsidRPr="0066384A" w:rsidRDefault="75FE08BD" w:rsidP="2E1004F6">
            <w:pPr>
              <w:rPr>
                <w:sz w:val="24"/>
                <w:szCs w:val="24"/>
              </w:rPr>
            </w:pPr>
            <w:r w:rsidRPr="2E1004F6">
              <w:rPr>
                <w:b/>
                <w:bCs/>
                <w:sz w:val="24"/>
                <w:szCs w:val="24"/>
              </w:rPr>
              <w:t>Timely submission</w:t>
            </w:r>
            <w:r w:rsidR="19154591" w:rsidRPr="2E1004F6">
              <w:rPr>
                <w:b/>
                <w:bCs/>
                <w:sz w:val="24"/>
                <w:szCs w:val="24"/>
              </w:rPr>
              <w:t xml:space="preserve">: </w:t>
            </w:r>
            <w:r w:rsidR="23886EAF" w:rsidRPr="2E1004F6">
              <w:rPr>
                <w:sz w:val="24"/>
                <w:szCs w:val="24"/>
              </w:rPr>
              <w:t>Program inputs all required elements into the EICS in a timely manner</w:t>
            </w:r>
            <w:r w:rsidR="7D2912C1" w:rsidRPr="2E1004F6">
              <w:rPr>
                <w:sz w:val="24"/>
                <w:szCs w:val="24"/>
              </w:rPr>
              <w:t xml:space="preserve"> (EIOS Section XII E pgs. 60-61)</w:t>
            </w:r>
          </w:p>
        </w:tc>
        <w:tc>
          <w:tcPr>
            <w:tcW w:w="1632" w:type="dxa"/>
          </w:tcPr>
          <w:p w14:paraId="039DD123" w14:textId="77777777" w:rsidR="003B744A" w:rsidRPr="0066384A" w:rsidRDefault="003B744A" w:rsidP="2E1004F6">
            <w:pPr>
              <w:rPr>
                <w:sz w:val="24"/>
                <w:szCs w:val="24"/>
              </w:rPr>
            </w:pPr>
          </w:p>
        </w:tc>
        <w:tc>
          <w:tcPr>
            <w:tcW w:w="1738" w:type="dxa"/>
          </w:tcPr>
          <w:p w14:paraId="586CE482" w14:textId="77777777" w:rsidR="003B744A" w:rsidRPr="0066384A" w:rsidRDefault="003B744A" w:rsidP="2E1004F6">
            <w:pPr>
              <w:rPr>
                <w:sz w:val="24"/>
                <w:szCs w:val="24"/>
              </w:rPr>
            </w:pPr>
          </w:p>
        </w:tc>
        <w:tc>
          <w:tcPr>
            <w:tcW w:w="1554" w:type="dxa"/>
          </w:tcPr>
          <w:p w14:paraId="6487434A" w14:textId="77777777" w:rsidR="003B744A" w:rsidRPr="0066384A" w:rsidRDefault="003B744A" w:rsidP="2E1004F6">
            <w:pPr>
              <w:rPr>
                <w:sz w:val="24"/>
                <w:szCs w:val="24"/>
              </w:rPr>
            </w:pPr>
          </w:p>
        </w:tc>
      </w:tr>
      <w:tr w:rsidR="003B744A" w:rsidRPr="0066384A" w14:paraId="769790F6" w14:textId="77777777" w:rsidTr="2E1004F6">
        <w:trPr>
          <w:trHeight w:val="1153"/>
        </w:trPr>
        <w:tc>
          <w:tcPr>
            <w:tcW w:w="8138" w:type="dxa"/>
          </w:tcPr>
          <w:p w14:paraId="4A391DF4" w14:textId="0E700267" w:rsidR="003B744A" w:rsidRPr="0066384A" w:rsidRDefault="33EE566E" w:rsidP="2E1004F6">
            <w:pPr>
              <w:rPr>
                <w:sz w:val="24"/>
                <w:szCs w:val="24"/>
              </w:rPr>
            </w:pPr>
            <w:r w:rsidRPr="2E1004F6">
              <w:rPr>
                <w:b/>
                <w:bCs/>
                <w:sz w:val="24"/>
                <w:szCs w:val="24"/>
              </w:rPr>
              <w:lastRenderedPageBreak/>
              <w:t>Data accuracy</w:t>
            </w:r>
            <w:r w:rsidR="73D0A1B5" w:rsidRPr="2E1004F6">
              <w:rPr>
                <w:b/>
                <w:bCs/>
                <w:sz w:val="24"/>
                <w:szCs w:val="24"/>
              </w:rPr>
              <w:t xml:space="preserve">: </w:t>
            </w:r>
            <w:r w:rsidR="23886EAF" w:rsidRPr="2E1004F6">
              <w:rPr>
                <w:sz w:val="24"/>
                <w:szCs w:val="24"/>
              </w:rPr>
              <w:t>Program has a process to ensure data accuracy for all information collected including data input into the EICS</w:t>
            </w:r>
            <w:r w:rsidR="4324BC72" w:rsidRPr="2E1004F6">
              <w:rPr>
                <w:sz w:val="24"/>
                <w:szCs w:val="24"/>
              </w:rPr>
              <w:t xml:space="preserve"> (DPH EI Reimbursement Manual 827, pg. 7)</w:t>
            </w:r>
            <w:r w:rsidR="0BBC63B0" w:rsidRPr="2E1004F6">
              <w:rPr>
                <w:sz w:val="24"/>
                <w:szCs w:val="24"/>
              </w:rPr>
              <w:t xml:space="preserve"> (CFR 303.124)</w:t>
            </w:r>
          </w:p>
        </w:tc>
        <w:tc>
          <w:tcPr>
            <w:tcW w:w="1632" w:type="dxa"/>
          </w:tcPr>
          <w:p w14:paraId="0C3EF7E7" w14:textId="77777777" w:rsidR="003B744A" w:rsidRPr="0066384A" w:rsidRDefault="003B744A" w:rsidP="2E1004F6">
            <w:pPr>
              <w:rPr>
                <w:sz w:val="24"/>
                <w:szCs w:val="24"/>
              </w:rPr>
            </w:pPr>
          </w:p>
        </w:tc>
        <w:tc>
          <w:tcPr>
            <w:tcW w:w="1738" w:type="dxa"/>
          </w:tcPr>
          <w:p w14:paraId="66B91FB9" w14:textId="77777777" w:rsidR="003B744A" w:rsidRPr="0066384A" w:rsidRDefault="003B744A" w:rsidP="2E1004F6">
            <w:pPr>
              <w:rPr>
                <w:sz w:val="24"/>
                <w:szCs w:val="24"/>
              </w:rPr>
            </w:pPr>
          </w:p>
        </w:tc>
        <w:tc>
          <w:tcPr>
            <w:tcW w:w="1554" w:type="dxa"/>
          </w:tcPr>
          <w:p w14:paraId="6702EEFF" w14:textId="77777777" w:rsidR="003B744A" w:rsidRPr="0066384A" w:rsidRDefault="003B744A" w:rsidP="2E1004F6">
            <w:pPr>
              <w:rPr>
                <w:sz w:val="24"/>
                <w:szCs w:val="24"/>
              </w:rPr>
            </w:pPr>
          </w:p>
        </w:tc>
      </w:tr>
      <w:tr w:rsidR="003B744A" w:rsidRPr="0066384A" w14:paraId="6DD64341" w14:textId="77777777" w:rsidTr="2E1004F6">
        <w:trPr>
          <w:trHeight w:val="760"/>
        </w:trPr>
        <w:tc>
          <w:tcPr>
            <w:tcW w:w="8138" w:type="dxa"/>
          </w:tcPr>
          <w:p w14:paraId="2FA135E3" w14:textId="24D9005C" w:rsidR="003B744A" w:rsidRPr="00F920E7" w:rsidRDefault="3AE5247C" w:rsidP="2E1004F6">
            <w:pPr>
              <w:rPr>
                <w:sz w:val="24"/>
                <w:szCs w:val="24"/>
                <w:highlight w:val="yellow"/>
              </w:rPr>
            </w:pPr>
            <w:r w:rsidRPr="2E1004F6">
              <w:rPr>
                <w:b/>
                <w:bCs/>
                <w:sz w:val="24"/>
                <w:szCs w:val="24"/>
              </w:rPr>
              <w:t>Corrections of errors</w:t>
            </w:r>
            <w:r w:rsidR="200E79DB" w:rsidRPr="2E1004F6">
              <w:rPr>
                <w:b/>
                <w:bCs/>
                <w:sz w:val="24"/>
                <w:szCs w:val="24"/>
              </w:rPr>
              <w:t xml:space="preserve">: </w:t>
            </w:r>
            <w:r w:rsidR="23886EAF" w:rsidRPr="2E1004F6">
              <w:rPr>
                <w:sz w:val="24"/>
                <w:szCs w:val="24"/>
              </w:rPr>
              <w:t>Program has a process used for correction of error reports when received from Division of EI</w:t>
            </w:r>
            <w:r w:rsidR="0BBC63B0" w:rsidRPr="2E1004F6">
              <w:rPr>
                <w:sz w:val="24"/>
                <w:szCs w:val="24"/>
              </w:rPr>
              <w:t xml:space="preserve"> (CFR 303.124)</w:t>
            </w:r>
          </w:p>
        </w:tc>
        <w:tc>
          <w:tcPr>
            <w:tcW w:w="1632" w:type="dxa"/>
          </w:tcPr>
          <w:p w14:paraId="569D1D81" w14:textId="77777777" w:rsidR="003B744A" w:rsidRPr="0066384A" w:rsidRDefault="003B744A" w:rsidP="2E1004F6">
            <w:pPr>
              <w:rPr>
                <w:sz w:val="24"/>
                <w:szCs w:val="24"/>
              </w:rPr>
            </w:pPr>
          </w:p>
        </w:tc>
        <w:tc>
          <w:tcPr>
            <w:tcW w:w="1738" w:type="dxa"/>
          </w:tcPr>
          <w:p w14:paraId="6481C81C" w14:textId="77777777" w:rsidR="003B744A" w:rsidRPr="0066384A" w:rsidRDefault="003B744A" w:rsidP="2E1004F6">
            <w:pPr>
              <w:rPr>
                <w:sz w:val="24"/>
                <w:szCs w:val="24"/>
              </w:rPr>
            </w:pPr>
          </w:p>
        </w:tc>
        <w:tc>
          <w:tcPr>
            <w:tcW w:w="1554" w:type="dxa"/>
          </w:tcPr>
          <w:p w14:paraId="61E6C9BD" w14:textId="77777777" w:rsidR="003B744A" w:rsidRPr="0066384A" w:rsidRDefault="003B744A" w:rsidP="2E1004F6">
            <w:pPr>
              <w:rPr>
                <w:sz w:val="24"/>
                <w:szCs w:val="24"/>
              </w:rPr>
            </w:pPr>
          </w:p>
        </w:tc>
      </w:tr>
      <w:tr w:rsidR="003B744A" w:rsidRPr="0066384A" w14:paraId="7B4B048A" w14:textId="77777777" w:rsidTr="2E1004F6">
        <w:trPr>
          <w:trHeight w:val="1150"/>
        </w:trPr>
        <w:tc>
          <w:tcPr>
            <w:tcW w:w="13062" w:type="dxa"/>
            <w:gridSpan w:val="4"/>
          </w:tcPr>
          <w:p w14:paraId="4FDF0E85" w14:textId="77777777" w:rsidR="003B744A" w:rsidRPr="0066384A" w:rsidRDefault="23886EAF" w:rsidP="2E1004F6">
            <w:pPr>
              <w:rPr>
                <w:sz w:val="24"/>
                <w:szCs w:val="24"/>
              </w:rPr>
            </w:pPr>
            <w:r w:rsidRPr="2E1004F6">
              <w:rPr>
                <w:sz w:val="24"/>
                <w:szCs w:val="24"/>
              </w:rPr>
              <w:t>Notes on any of the above:</w:t>
            </w:r>
          </w:p>
          <w:p w14:paraId="3B3CF289" w14:textId="77777777" w:rsidR="003B744A" w:rsidRPr="0066384A" w:rsidRDefault="003B744A" w:rsidP="2E1004F6">
            <w:pPr>
              <w:rPr>
                <w:b/>
                <w:bCs/>
                <w:sz w:val="24"/>
                <w:szCs w:val="24"/>
              </w:rPr>
            </w:pPr>
          </w:p>
          <w:p w14:paraId="2C315307" w14:textId="77777777" w:rsidR="003B744A" w:rsidRPr="0066384A" w:rsidRDefault="003B744A" w:rsidP="2E1004F6">
            <w:pPr>
              <w:rPr>
                <w:sz w:val="24"/>
                <w:szCs w:val="24"/>
              </w:rPr>
            </w:pPr>
          </w:p>
        </w:tc>
      </w:tr>
    </w:tbl>
    <w:p w14:paraId="07FA098A" w14:textId="77777777" w:rsidR="003B744A" w:rsidRPr="0066384A" w:rsidRDefault="003B744A" w:rsidP="2E1004F6">
      <w:pPr>
        <w:spacing w:after="0" w:line="240" w:lineRule="auto"/>
        <w:rPr>
          <w:sz w:val="24"/>
          <w:szCs w:val="24"/>
        </w:rPr>
      </w:pPr>
    </w:p>
    <w:p w14:paraId="1E4C99B9" w14:textId="3F3CB9E5" w:rsidR="003B744A" w:rsidRPr="0066384A" w:rsidRDefault="47B75853" w:rsidP="2E1004F6">
      <w:pPr>
        <w:rPr>
          <w:sz w:val="24"/>
          <w:szCs w:val="24"/>
        </w:rPr>
      </w:pPr>
      <w:r w:rsidRPr="2E1004F6">
        <w:rPr>
          <w:rFonts w:eastAsiaTheme="minorEastAsia"/>
          <w:b/>
          <w:bCs/>
          <w:sz w:val="24"/>
          <w:szCs w:val="24"/>
        </w:rPr>
        <w:t xml:space="preserve">4. </w:t>
      </w:r>
      <w:r w:rsidR="23886EAF" w:rsidRPr="2E1004F6">
        <w:rPr>
          <w:rFonts w:eastAsiaTheme="minorEastAsia"/>
          <w:b/>
          <w:bCs/>
          <w:sz w:val="24"/>
          <w:szCs w:val="24"/>
        </w:rPr>
        <w:t xml:space="preserve">Professional Development/Supervision: </w:t>
      </w:r>
      <w:r w:rsidR="23886EAF" w:rsidRPr="2E1004F6">
        <w:rPr>
          <w:rFonts w:eastAsiaTheme="minorEastAsia"/>
          <w:sz w:val="24"/>
          <w:szCs w:val="24"/>
        </w:rPr>
        <w:t xml:space="preserve">The orientation, training or professional development of staff at your program. The structure of supervision within your program to support all staff.  </w:t>
      </w:r>
    </w:p>
    <w:p w14:paraId="1F37D7D2" w14:textId="295C2B7D" w:rsidR="2E1004F6" w:rsidRDefault="2E1004F6" w:rsidP="2E1004F6">
      <w:pPr>
        <w:spacing w:after="0" w:line="240" w:lineRule="auto"/>
        <w:rPr>
          <w:b/>
          <w:bCs/>
          <w:sz w:val="24"/>
          <w:szCs w:val="24"/>
        </w:rPr>
      </w:pPr>
    </w:p>
    <w:p w14:paraId="7BB21696" w14:textId="4416E297" w:rsidR="003B744A" w:rsidRPr="0066384A" w:rsidRDefault="6EBE011E" w:rsidP="2E1004F6">
      <w:pPr>
        <w:spacing w:after="0" w:line="240" w:lineRule="auto"/>
        <w:rPr>
          <w:b/>
          <w:bCs/>
          <w:sz w:val="24"/>
          <w:szCs w:val="24"/>
        </w:rPr>
      </w:pPr>
      <w:r w:rsidRPr="2E1004F6">
        <w:rPr>
          <w:b/>
          <w:bCs/>
          <w:sz w:val="24"/>
          <w:szCs w:val="24"/>
        </w:rPr>
        <w:t xml:space="preserve">A. </w:t>
      </w:r>
      <w:r w:rsidR="23886EAF" w:rsidRPr="2E1004F6">
        <w:rPr>
          <w:b/>
          <w:bCs/>
          <w:sz w:val="24"/>
          <w:szCs w:val="24"/>
        </w:rPr>
        <w:t>Training and Professional Development</w:t>
      </w:r>
    </w:p>
    <w:tbl>
      <w:tblPr>
        <w:tblStyle w:val="TableGrid"/>
        <w:tblW w:w="13071" w:type="dxa"/>
        <w:tblLook w:val="04A0" w:firstRow="1" w:lastRow="0" w:firstColumn="1" w:lastColumn="0" w:noHBand="0" w:noVBand="1"/>
      </w:tblPr>
      <w:tblGrid>
        <w:gridCol w:w="8108"/>
        <w:gridCol w:w="1680"/>
        <w:gridCol w:w="1607"/>
        <w:gridCol w:w="1676"/>
      </w:tblGrid>
      <w:tr w:rsidR="003B744A" w:rsidRPr="0066384A" w14:paraId="63090077" w14:textId="77777777" w:rsidTr="2E1004F6">
        <w:trPr>
          <w:trHeight w:val="745"/>
        </w:trPr>
        <w:tc>
          <w:tcPr>
            <w:tcW w:w="8108" w:type="dxa"/>
          </w:tcPr>
          <w:p w14:paraId="7A196429" w14:textId="0D28389A" w:rsidR="003B744A" w:rsidRPr="0066384A" w:rsidRDefault="003B744A" w:rsidP="2E1004F6">
            <w:pPr>
              <w:pStyle w:val="NoSpacing"/>
              <w:rPr>
                <w:sz w:val="24"/>
                <w:szCs w:val="24"/>
              </w:rPr>
            </w:pPr>
          </w:p>
        </w:tc>
        <w:tc>
          <w:tcPr>
            <w:tcW w:w="1680" w:type="dxa"/>
          </w:tcPr>
          <w:p w14:paraId="3B2479D9" w14:textId="77777777" w:rsidR="003B744A" w:rsidRPr="0066384A" w:rsidRDefault="23886EAF" w:rsidP="2E1004F6">
            <w:pPr>
              <w:jc w:val="center"/>
              <w:rPr>
                <w:b/>
                <w:bCs/>
                <w:sz w:val="24"/>
                <w:szCs w:val="24"/>
              </w:rPr>
            </w:pPr>
            <w:r w:rsidRPr="2E1004F6">
              <w:rPr>
                <w:b/>
                <w:bCs/>
                <w:sz w:val="24"/>
                <w:szCs w:val="24"/>
              </w:rPr>
              <w:t>In place</w:t>
            </w:r>
          </w:p>
        </w:tc>
        <w:tc>
          <w:tcPr>
            <w:tcW w:w="1607" w:type="dxa"/>
          </w:tcPr>
          <w:p w14:paraId="0163448A" w14:textId="77777777" w:rsidR="003B744A" w:rsidRPr="0066384A" w:rsidRDefault="23886EAF" w:rsidP="2E1004F6">
            <w:pPr>
              <w:jc w:val="center"/>
              <w:rPr>
                <w:b/>
                <w:bCs/>
                <w:sz w:val="24"/>
                <w:szCs w:val="24"/>
              </w:rPr>
            </w:pPr>
            <w:r w:rsidRPr="2E1004F6">
              <w:rPr>
                <w:b/>
                <w:bCs/>
                <w:sz w:val="24"/>
                <w:szCs w:val="24"/>
              </w:rPr>
              <w:t>Not in place</w:t>
            </w:r>
          </w:p>
        </w:tc>
        <w:tc>
          <w:tcPr>
            <w:tcW w:w="1676" w:type="dxa"/>
          </w:tcPr>
          <w:p w14:paraId="58491947" w14:textId="77777777" w:rsidR="003B744A" w:rsidRPr="0066384A" w:rsidRDefault="23886EAF" w:rsidP="2E1004F6">
            <w:pPr>
              <w:jc w:val="center"/>
              <w:rPr>
                <w:b/>
                <w:bCs/>
                <w:sz w:val="24"/>
                <w:szCs w:val="24"/>
              </w:rPr>
            </w:pPr>
            <w:r w:rsidRPr="2E1004F6">
              <w:rPr>
                <w:b/>
                <w:bCs/>
                <w:sz w:val="24"/>
                <w:szCs w:val="24"/>
              </w:rPr>
              <w:t>N/A</w:t>
            </w:r>
          </w:p>
          <w:p w14:paraId="075BAD03" w14:textId="77777777" w:rsidR="003B744A" w:rsidRPr="0066384A" w:rsidRDefault="23886EAF" w:rsidP="2E1004F6">
            <w:pPr>
              <w:jc w:val="center"/>
              <w:rPr>
                <w:b/>
                <w:bCs/>
                <w:sz w:val="24"/>
                <w:szCs w:val="24"/>
              </w:rPr>
            </w:pPr>
            <w:r w:rsidRPr="2E1004F6">
              <w:rPr>
                <w:b/>
                <w:bCs/>
                <w:sz w:val="24"/>
                <w:szCs w:val="24"/>
              </w:rPr>
              <w:t>Why?</w:t>
            </w:r>
          </w:p>
        </w:tc>
      </w:tr>
      <w:tr w:rsidR="003B744A" w:rsidRPr="0066384A" w14:paraId="00FE9704" w14:textId="77777777" w:rsidTr="2E1004F6">
        <w:trPr>
          <w:trHeight w:val="1110"/>
        </w:trPr>
        <w:tc>
          <w:tcPr>
            <w:tcW w:w="8108" w:type="dxa"/>
          </w:tcPr>
          <w:p w14:paraId="6B63ADCB" w14:textId="31344E5B" w:rsidR="003B744A" w:rsidRPr="0066384A" w:rsidRDefault="2B47617C" w:rsidP="2E1004F6">
            <w:pPr>
              <w:pStyle w:val="NoSpacing"/>
              <w:rPr>
                <w:sz w:val="24"/>
                <w:szCs w:val="24"/>
              </w:rPr>
            </w:pPr>
            <w:r w:rsidRPr="2E1004F6">
              <w:rPr>
                <w:b/>
                <w:bCs/>
                <w:sz w:val="24"/>
                <w:szCs w:val="24"/>
              </w:rPr>
              <w:t>Orientation trainings</w:t>
            </w:r>
            <w:r w:rsidR="40E2381D" w:rsidRPr="2E1004F6">
              <w:rPr>
                <w:b/>
                <w:bCs/>
                <w:sz w:val="24"/>
                <w:szCs w:val="24"/>
              </w:rPr>
              <w:t xml:space="preserve">: </w:t>
            </w:r>
            <w:r w:rsidR="23886EAF" w:rsidRPr="2E1004F6">
              <w:rPr>
                <w:sz w:val="24"/>
                <w:szCs w:val="24"/>
              </w:rPr>
              <w:t>Program supports new EI Specialists to participate in the Division of EI required orientation trainings</w:t>
            </w:r>
            <w:r w:rsidR="6EBF8E45" w:rsidRPr="2E1004F6">
              <w:rPr>
                <w:sz w:val="24"/>
                <w:szCs w:val="24"/>
              </w:rPr>
              <w:t xml:space="preserve"> (EIOS Section XII </w:t>
            </w:r>
            <w:r w:rsidR="34B1ED1B" w:rsidRPr="2E1004F6">
              <w:rPr>
                <w:sz w:val="24"/>
                <w:szCs w:val="24"/>
              </w:rPr>
              <w:t xml:space="preserve">B. 3. </w:t>
            </w:r>
            <w:r w:rsidR="5D923759" w:rsidRPr="2E1004F6">
              <w:rPr>
                <w:sz w:val="24"/>
                <w:szCs w:val="24"/>
              </w:rPr>
              <w:t>f</w:t>
            </w:r>
            <w:r w:rsidR="34B1ED1B" w:rsidRPr="2E1004F6">
              <w:rPr>
                <w:sz w:val="24"/>
                <w:szCs w:val="24"/>
              </w:rPr>
              <w:t xml:space="preserve"> pg. 59)</w:t>
            </w:r>
            <w:r w:rsidR="6D185940" w:rsidRPr="2E1004F6">
              <w:rPr>
                <w:sz w:val="24"/>
                <w:szCs w:val="24"/>
              </w:rPr>
              <w:t xml:space="preserve"> (CFR 303.118</w:t>
            </w:r>
            <w:r w:rsidR="467E17FB" w:rsidRPr="2E1004F6">
              <w:rPr>
                <w:sz w:val="24"/>
                <w:szCs w:val="24"/>
              </w:rPr>
              <w:t>)</w:t>
            </w:r>
          </w:p>
        </w:tc>
        <w:tc>
          <w:tcPr>
            <w:tcW w:w="1680" w:type="dxa"/>
          </w:tcPr>
          <w:p w14:paraId="6A0F3968" w14:textId="77777777" w:rsidR="003B744A" w:rsidRPr="0066384A" w:rsidRDefault="003B744A" w:rsidP="2E1004F6">
            <w:pPr>
              <w:rPr>
                <w:sz w:val="24"/>
                <w:szCs w:val="24"/>
              </w:rPr>
            </w:pPr>
          </w:p>
        </w:tc>
        <w:tc>
          <w:tcPr>
            <w:tcW w:w="1607" w:type="dxa"/>
          </w:tcPr>
          <w:p w14:paraId="651A43F0" w14:textId="77777777" w:rsidR="003B744A" w:rsidRPr="0066384A" w:rsidRDefault="003B744A" w:rsidP="2E1004F6">
            <w:pPr>
              <w:rPr>
                <w:sz w:val="24"/>
                <w:szCs w:val="24"/>
              </w:rPr>
            </w:pPr>
          </w:p>
        </w:tc>
        <w:tc>
          <w:tcPr>
            <w:tcW w:w="1676" w:type="dxa"/>
          </w:tcPr>
          <w:p w14:paraId="3BAD4360" w14:textId="77777777" w:rsidR="003B744A" w:rsidRPr="0066384A" w:rsidRDefault="003B744A" w:rsidP="2E1004F6">
            <w:pPr>
              <w:rPr>
                <w:sz w:val="24"/>
                <w:szCs w:val="24"/>
              </w:rPr>
            </w:pPr>
          </w:p>
        </w:tc>
      </w:tr>
      <w:tr w:rsidR="003B744A" w:rsidRPr="0066384A" w14:paraId="748FE293" w14:textId="77777777" w:rsidTr="2E1004F6">
        <w:trPr>
          <w:trHeight w:val="737"/>
        </w:trPr>
        <w:tc>
          <w:tcPr>
            <w:tcW w:w="8108" w:type="dxa"/>
          </w:tcPr>
          <w:p w14:paraId="41F41F76" w14:textId="26C51493" w:rsidR="003B744A" w:rsidRPr="0066384A" w:rsidRDefault="141261F7" w:rsidP="2E1004F6">
            <w:pPr>
              <w:pStyle w:val="NoSpacing"/>
              <w:rPr>
                <w:sz w:val="24"/>
                <w:szCs w:val="24"/>
              </w:rPr>
            </w:pPr>
            <w:r w:rsidRPr="2E1004F6">
              <w:rPr>
                <w:b/>
                <w:bCs/>
                <w:sz w:val="24"/>
                <w:szCs w:val="24"/>
              </w:rPr>
              <w:t>Required trainings</w:t>
            </w:r>
            <w:r w:rsidR="49E6ECF5" w:rsidRPr="2E1004F6">
              <w:rPr>
                <w:b/>
                <w:bCs/>
                <w:sz w:val="24"/>
                <w:szCs w:val="24"/>
              </w:rPr>
              <w:t xml:space="preserve">: </w:t>
            </w:r>
            <w:r w:rsidR="23886EAF" w:rsidRPr="2E1004F6">
              <w:rPr>
                <w:sz w:val="24"/>
                <w:szCs w:val="24"/>
              </w:rPr>
              <w:t>Program supports supervisors to participate in Division of EI required trainings</w:t>
            </w:r>
            <w:r w:rsidR="34B1ED1B" w:rsidRPr="2E1004F6">
              <w:rPr>
                <w:sz w:val="24"/>
                <w:szCs w:val="24"/>
              </w:rPr>
              <w:t xml:space="preserve"> (EIOS Section XII B. 3. </w:t>
            </w:r>
            <w:r w:rsidR="5D923759" w:rsidRPr="2E1004F6">
              <w:rPr>
                <w:sz w:val="24"/>
                <w:szCs w:val="24"/>
              </w:rPr>
              <w:t>f</w:t>
            </w:r>
            <w:r w:rsidR="34B1ED1B" w:rsidRPr="2E1004F6">
              <w:rPr>
                <w:sz w:val="24"/>
                <w:szCs w:val="24"/>
              </w:rPr>
              <w:t xml:space="preserve"> pg.5</w:t>
            </w:r>
            <w:r w:rsidR="771154B6" w:rsidRPr="2E1004F6">
              <w:rPr>
                <w:sz w:val="24"/>
                <w:szCs w:val="24"/>
              </w:rPr>
              <w:t>9)</w:t>
            </w:r>
          </w:p>
        </w:tc>
        <w:tc>
          <w:tcPr>
            <w:tcW w:w="1680" w:type="dxa"/>
          </w:tcPr>
          <w:p w14:paraId="4D67D5BF" w14:textId="77777777" w:rsidR="003B744A" w:rsidRPr="0066384A" w:rsidRDefault="003B744A" w:rsidP="2E1004F6">
            <w:pPr>
              <w:rPr>
                <w:sz w:val="24"/>
                <w:szCs w:val="24"/>
              </w:rPr>
            </w:pPr>
          </w:p>
        </w:tc>
        <w:tc>
          <w:tcPr>
            <w:tcW w:w="1607" w:type="dxa"/>
          </w:tcPr>
          <w:p w14:paraId="237FEA90" w14:textId="77777777" w:rsidR="003B744A" w:rsidRPr="0066384A" w:rsidRDefault="003B744A" w:rsidP="2E1004F6">
            <w:pPr>
              <w:rPr>
                <w:sz w:val="24"/>
                <w:szCs w:val="24"/>
              </w:rPr>
            </w:pPr>
          </w:p>
        </w:tc>
        <w:tc>
          <w:tcPr>
            <w:tcW w:w="1676" w:type="dxa"/>
          </w:tcPr>
          <w:p w14:paraId="7D56588C" w14:textId="77777777" w:rsidR="003B744A" w:rsidRPr="0066384A" w:rsidRDefault="003B744A" w:rsidP="2E1004F6">
            <w:pPr>
              <w:rPr>
                <w:sz w:val="24"/>
                <w:szCs w:val="24"/>
              </w:rPr>
            </w:pPr>
          </w:p>
        </w:tc>
      </w:tr>
      <w:tr w:rsidR="00E738AC" w:rsidRPr="0066384A" w14:paraId="7AF0251D" w14:textId="77777777" w:rsidTr="2E1004F6">
        <w:trPr>
          <w:trHeight w:val="842"/>
        </w:trPr>
        <w:tc>
          <w:tcPr>
            <w:tcW w:w="8108" w:type="dxa"/>
          </w:tcPr>
          <w:p w14:paraId="1AE2C450" w14:textId="2CAB85F7" w:rsidR="00E738AC" w:rsidRPr="0066384A" w:rsidRDefault="4C426DA5" w:rsidP="2E1004F6">
            <w:pPr>
              <w:pStyle w:val="NoSpacing"/>
              <w:rPr>
                <w:sz w:val="24"/>
                <w:szCs w:val="24"/>
              </w:rPr>
            </w:pPr>
            <w:r w:rsidRPr="2E1004F6">
              <w:rPr>
                <w:b/>
                <w:bCs/>
                <w:sz w:val="24"/>
                <w:szCs w:val="24"/>
              </w:rPr>
              <w:t>Information sharing with staff</w:t>
            </w:r>
            <w:r w:rsidR="2548C058" w:rsidRPr="2E1004F6">
              <w:rPr>
                <w:b/>
                <w:bCs/>
                <w:sz w:val="24"/>
                <w:szCs w:val="24"/>
              </w:rPr>
              <w:t xml:space="preserve">: </w:t>
            </w:r>
            <w:r w:rsidR="466C972D" w:rsidRPr="2E1004F6">
              <w:rPr>
                <w:sz w:val="24"/>
                <w:szCs w:val="24"/>
              </w:rPr>
              <w:t xml:space="preserve">Program makes federal and Division of EI information available to staff when received (EIOS Section XII B. 1. </w:t>
            </w:r>
            <w:r w:rsidR="122B87E6" w:rsidRPr="2E1004F6">
              <w:rPr>
                <w:sz w:val="24"/>
                <w:szCs w:val="24"/>
              </w:rPr>
              <w:t>i</w:t>
            </w:r>
            <w:r w:rsidR="466C972D" w:rsidRPr="2E1004F6">
              <w:rPr>
                <w:sz w:val="24"/>
                <w:szCs w:val="24"/>
              </w:rPr>
              <w:t xml:space="preserve"> pg. 58)</w:t>
            </w:r>
          </w:p>
        </w:tc>
        <w:tc>
          <w:tcPr>
            <w:tcW w:w="1680" w:type="dxa"/>
          </w:tcPr>
          <w:p w14:paraId="0891DFAC" w14:textId="77777777" w:rsidR="00E738AC" w:rsidRPr="0066384A" w:rsidRDefault="00E738AC" w:rsidP="2E1004F6">
            <w:pPr>
              <w:rPr>
                <w:sz w:val="24"/>
                <w:szCs w:val="24"/>
              </w:rPr>
            </w:pPr>
          </w:p>
        </w:tc>
        <w:tc>
          <w:tcPr>
            <w:tcW w:w="1607" w:type="dxa"/>
          </w:tcPr>
          <w:p w14:paraId="5F3E7C36" w14:textId="77777777" w:rsidR="00E738AC" w:rsidRPr="0066384A" w:rsidRDefault="00E738AC" w:rsidP="2E1004F6">
            <w:pPr>
              <w:rPr>
                <w:sz w:val="24"/>
                <w:szCs w:val="24"/>
              </w:rPr>
            </w:pPr>
          </w:p>
        </w:tc>
        <w:tc>
          <w:tcPr>
            <w:tcW w:w="1676" w:type="dxa"/>
          </w:tcPr>
          <w:p w14:paraId="7B2FFC54" w14:textId="77777777" w:rsidR="00E738AC" w:rsidRPr="0066384A" w:rsidRDefault="00E738AC" w:rsidP="2E1004F6">
            <w:pPr>
              <w:rPr>
                <w:sz w:val="24"/>
                <w:szCs w:val="24"/>
              </w:rPr>
            </w:pPr>
          </w:p>
        </w:tc>
      </w:tr>
      <w:tr w:rsidR="00A81CC4" w:rsidRPr="0066384A" w14:paraId="0A467534" w14:textId="77777777" w:rsidTr="2E1004F6">
        <w:trPr>
          <w:trHeight w:val="1127"/>
        </w:trPr>
        <w:tc>
          <w:tcPr>
            <w:tcW w:w="8108" w:type="dxa"/>
          </w:tcPr>
          <w:p w14:paraId="5598953B" w14:textId="65D1BC2B" w:rsidR="00A81CC4" w:rsidRPr="0066384A" w:rsidRDefault="5DD951D6" w:rsidP="2E1004F6">
            <w:pPr>
              <w:pStyle w:val="NoSpacing"/>
              <w:rPr>
                <w:sz w:val="24"/>
                <w:szCs w:val="24"/>
              </w:rPr>
            </w:pPr>
            <w:r w:rsidRPr="2E1004F6">
              <w:rPr>
                <w:b/>
                <w:bCs/>
                <w:sz w:val="24"/>
                <w:szCs w:val="24"/>
              </w:rPr>
              <w:lastRenderedPageBreak/>
              <w:t>CPR certification</w:t>
            </w:r>
            <w:r w:rsidR="1C23A60B" w:rsidRPr="2E1004F6">
              <w:rPr>
                <w:b/>
                <w:bCs/>
                <w:sz w:val="24"/>
                <w:szCs w:val="24"/>
              </w:rPr>
              <w:t xml:space="preserve">: </w:t>
            </w:r>
            <w:r w:rsidR="23C95A45" w:rsidRPr="2E1004F6">
              <w:rPr>
                <w:sz w:val="24"/>
                <w:szCs w:val="24"/>
              </w:rPr>
              <w:t>Program ensures all direct care staff have current certification in CPR</w:t>
            </w:r>
            <w:r w:rsidR="57A511CF" w:rsidRPr="2E1004F6">
              <w:rPr>
                <w:sz w:val="24"/>
                <w:szCs w:val="24"/>
              </w:rPr>
              <w:t xml:space="preserve"> that specifically addresses infants and toddlers and pediatric first aid (EIOS Section </w:t>
            </w:r>
            <w:r w:rsidR="78BD844D" w:rsidRPr="2E1004F6">
              <w:rPr>
                <w:sz w:val="24"/>
                <w:szCs w:val="24"/>
              </w:rPr>
              <w:t>XI D. 1-2 pgs. 49-50)</w:t>
            </w:r>
          </w:p>
        </w:tc>
        <w:tc>
          <w:tcPr>
            <w:tcW w:w="1680" w:type="dxa"/>
          </w:tcPr>
          <w:p w14:paraId="59A1E35B" w14:textId="77777777" w:rsidR="00A81CC4" w:rsidRPr="0066384A" w:rsidRDefault="00A81CC4" w:rsidP="2E1004F6">
            <w:pPr>
              <w:rPr>
                <w:sz w:val="24"/>
                <w:szCs w:val="24"/>
              </w:rPr>
            </w:pPr>
          </w:p>
        </w:tc>
        <w:tc>
          <w:tcPr>
            <w:tcW w:w="1607" w:type="dxa"/>
          </w:tcPr>
          <w:p w14:paraId="329BFB9E" w14:textId="77777777" w:rsidR="00A81CC4" w:rsidRPr="0066384A" w:rsidRDefault="00A81CC4" w:rsidP="2E1004F6">
            <w:pPr>
              <w:rPr>
                <w:sz w:val="24"/>
                <w:szCs w:val="24"/>
              </w:rPr>
            </w:pPr>
          </w:p>
        </w:tc>
        <w:tc>
          <w:tcPr>
            <w:tcW w:w="1676" w:type="dxa"/>
          </w:tcPr>
          <w:p w14:paraId="2510A2E8" w14:textId="77777777" w:rsidR="00A81CC4" w:rsidRPr="0066384A" w:rsidRDefault="00A81CC4" w:rsidP="2E1004F6">
            <w:pPr>
              <w:rPr>
                <w:sz w:val="24"/>
                <w:szCs w:val="24"/>
              </w:rPr>
            </w:pPr>
          </w:p>
        </w:tc>
      </w:tr>
      <w:tr w:rsidR="00A81CC4" w:rsidRPr="0066384A" w14:paraId="3AF23D46" w14:textId="77777777" w:rsidTr="2E1004F6">
        <w:trPr>
          <w:trHeight w:val="300"/>
        </w:trPr>
        <w:tc>
          <w:tcPr>
            <w:tcW w:w="8108" w:type="dxa"/>
          </w:tcPr>
          <w:p w14:paraId="1D4DBC5B" w14:textId="615F8347" w:rsidR="00A81CC4" w:rsidRPr="0066384A" w:rsidRDefault="7A4DE881" w:rsidP="2E1004F6">
            <w:pPr>
              <w:pStyle w:val="NoSpacing"/>
              <w:rPr>
                <w:sz w:val="24"/>
                <w:szCs w:val="24"/>
              </w:rPr>
            </w:pPr>
            <w:r w:rsidRPr="2E1004F6">
              <w:rPr>
                <w:b/>
                <w:bCs/>
                <w:sz w:val="24"/>
                <w:szCs w:val="24"/>
              </w:rPr>
              <w:t>Audits for CORI compliance requirements</w:t>
            </w:r>
            <w:r w:rsidR="452F4A4D" w:rsidRPr="2E1004F6">
              <w:rPr>
                <w:b/>
                <w:bCs/>
                <w:sz w:val="24"/>
                <w:szCs w:val="24"/>
              </w:rPr>
              <w:t xml:space="preserve">: </w:t>
            </w:r>
            <w:r w:rsidR="2ECBF907" w:rsidRPr="2E1004F6">
              <w:rPr>
                <w:sz w:val="24"/>
                <w:szCs w:val="24"/>
              </w:rPr>
              <w:t>Program conducts periodic audits to ensure compliance with CORI requirements</w:t>
            </w:r>
            <w:r w:rsidR="3D20DE8A" w:rsidRPr="2E1004F6">
              <w:rPr>
                <w:sz w:val="24"/>
                <w:szCs w:val="24"/>
              </w:rPr>
              <w:t>, in accordance with any guidelines established by DPH (EIOS Section XI D 4</w:t>
            </w:r>
            <w:r w:rsidR="122B87E6" w:rsidRPr="2E1004F6">
              <w:rPr>
                <w:sz w:val="24"/>
                <w:szCs w:val="24"/>
              </w:rPr>
              <w:t xml:space="preserve"> </w:t>
            </w:r>
            <w:r w:rsidR="3D20DE8A" w:rsidRPr="2E1004F6">
              <w:rPr>
                <w:sz w:val="24"/>
                <w:szCs w:val="24"/>
              </w:rPr>
              <w:t>b,c pg. 50)</w:t>
            </w:r>
          </w:p>
        </w:tc>
        <w:tc>
          <w:tcPr>
            <w:tcW w:w="1680" w:type="dxa"/>
          </w:tcPr>
          <w:p w14:paraId="4A3FAD40" w14:textId="77777777" w:rsidR="00A81CC4" w:rsidRPr="0066384A" w:rsidRDefault="00A81CC4" w:rsidP="2E1004F6">
            <w:pPr>
              <w:rPr>
                <w:sz w:val="24"/>
                <w:szCs w:val="24"/>
              </w:rPr>
            </w:pPr>
          </w:p>
        </w:tc>
        <w:tc>
          <w:tcPr>
            <w:tcW w:w="1607" w:type="dxa"/>
          </w:tcPr>
          <w:p w14:paraId="07E640F4" w14:textId="77777777" w:rsidR="00A81CC4" w:rsidRPr="0066384A" w:rsidRDefault="00A81CC4" w:rsidP="2E1004F6">
            <w:pPr>
              <w:rPr>
                <w:sz w:val="24"/>
                <w:szCs w:val="24"/>
              </w:rPr>
            </w:pPr>
          </w:p>
        </w:tc>
        <w:tc>
          <w:tcPr>
            <w:tcW w:w="1676" w:type="dxa"/>
          </w:tcPr>
          <w:p w14:paraId="275675CF" w14:textId="77777777" w:rsidR="00A81CC4" w:rsidRPr="0066384A" w:rsidRDefault="00A81CC4" w:rsidP="2E1004F6">
            <w:pPr>
              <w:rPr>
                <w:sz w:val="24"/>
                <w:szCs w:val="24"/>
              </w:rPr>
            </w:pPr>
          </w:p>
        </w:tc>
      </w:tr>
      <w:tr w:rsidR="003B744A" w:rsidRPr="0066384A" w14:paraId="6258C479" w14:textId="77777777" w:rsidTr="2E1004F6">
        <w:trPr>
          <w:trHeight w:val="795"/>
        </w:trPr>
        <w:tc>
          <w:tcPr>
            <w:tcW w:w="13071" w:type="dxa"/>
            <w:gridSpan w:val="4"/>
          </w:tcPr>
          <w:p w14:paraId="41933A2A" w14:textId="77777777" w:rsidR="003B744A" w:rsidRPr="0066384A" w:rsidRDefault="23886EAF" w:rsidP="2E1004F6">
            <w:pPr>
              <w:rPr>
                <w:sz w:val="24"/>
                <w:szCs w:val="24"/>
              </w:rPr>
            </w:pPr>
            <w:r w:rsidRPr="2E1004F6">
              <w:rPr>
                <w:sz w:val="24"/>
                <w:szCs w:val="24"/>
              </w:rPr>
              <w:t>Notes on any of the above:</w:t>
            </w:r>
          </w:p>
          <w:p w14:paraId="482B3F57" w14:textId="77777777" w:rsidR="003B744A" w:rsidRPr="0066384A" w:rsidRDefault="003B744A" w:rsidP="2E1004F6">
            <w:pPr>
              <w:rPr>
                <w:sz w:val="24"/>
                <w:szCs w:val="24"/>
              </w:rPr>
            </w:pPr>
          </w:p>
          <w:p w14:paraId="3E29BD87" w14:textId="77777777" w:rsidR="003B744A" w:rsidRPr="0066384A" w:rsidRDefault="003B744A" w:rsidP="2E1004F6">
            <w:pPr>
              <w:rPr>
                <w:sz w:val="24"/>
                <w:szCs w:val="24"/>
              </w:rPr>
            </w:pPr>
          </w:p>
        </w:tc>
      </w:tr>
    </w:tbl>
    <w:p w14:paraId="02764D66" w14:textId="77777777" w:rsidR="003B744A" w:rsidRPr="0066384A" w:rsidRDefault="003B744A" w:rsidP="2E1004F6">
      <w:pPr>
        <w:spacing w:after="0" w:line="240" w:lineRule="auto"/>
        <w:rPr>
          <w:rFonts w:eastAsiaTheme="minorEastAsia"/>
          <w:b/>
          <w:bCs/>
          <w:sz w:val="24"/>
          <w:szCs w:val="24"/>
        </w:rPr>
      </w:pPr>
    </w:p>
    <w:p w14:paraId="0F83E3B3" w14:textId="3DE1C596" w:rsidR="003B744A" w:rsidRPr="0066384A" w:rsidRDefault="48C1B4FB" w:rsidP="2E1004F6">
      <w:pPr>
        <w:spacing w:line="257" w:lineRule="auto"/>
        <w:rPr>
          <w:rFonts w:eastAsiaTheme="minorEastAsia"/>
          <w:sz w:val="24"/>
          <w:szCs w:val="24"/>
        </w:rPr>
      </w:pPr>
      <w:r w:rsidRPr="2E1004F6">
        <w:rPr>
          <w:rFonts w:eastAsiaTheme="minorEastAsia"/>
          <w:b/>
          <w:bCs/>
          <w:sz w:val="24"/>
          <w:szCs w:val="24"/>
        </w:rPr>
        <w:t xml:space="preserve">5. </w:t>
      </w:r>
      <w:r w:rsidR="23886EAF" w:rsidRPr="2E1004F6">
        <w:rPr>
          <w:rFonts w:eastAsiaTheme="minorEastAsia"/>
          <w:b/>
          <w:bCs/>
          <w:sz w:val="24"/>
          <w:szCs w:val="24"/>
        </w:rPr>
        <w:t xml:space="preserve">Provider Practices: </w:t>
      </w:r>
      <w:r w:rsidR="23886EAF" w:rsidRPr="2E1004F6">
        <w:rPr>
          <w:rFonts w:eastAsiaTheme="minorEastAsia"/>
          <w:sz w:val="24"/>
          <w:szCs w:val="24"/>
        </w:rPr>
        <w:t xml:space="preserve">Activities and services provided on a day-to-day basis to support children and families within the program. These services must reflect federal and state requirements, the Massachusetts Mission and Key Principles and research informed practice. </w:t>
      </w:r>
    </w:p>
    <w:p w14:paraId="3A5A8C32" w14:textId="2EF41E52" w:rsidR="2E1004F6" w:rsidRDefault="2E1004F6" w:rsidP="2E1004F6">
      <w:pPr>
        <w:spacing w:after="0" w:line="240" w:lineRule="auto"/>
        <w:rPr>
          <w:rFonts w:eastAsiaTheme="minorEastAsia"/>
          <w:sz w:val="24"/>
          <w:szCs w:val="24"/>
        </w:rPr>
      </w:pPr>
    </w:p>
    <w:p w14:paraId="51C312DC" w14:textId="18AEC24E" w:rsidR="003B744A" w:rsidRPr="0066384A" w:rsidRDefault="187CCC7B" w:rsidP="2E1004F6">
      <w:pPr>
        <w:spacing w:after="0" w:line="240" w:lineRule="auto"/>
        <w:rPr>
          <w:b/>
          <w:bCs/>
          <w:sz w:val="24"/>
          <w:szCs w:val="24"/>
        </w:rPr>
      </w:pPr>
      <w:r w:rsidRPr="2E1004F6">
        <w:rPr>
          <w:b/>
          <w:bCs/>
          <w:sz w:val="24"/>
          <w:szCs w:val="24"/>
        </w:rPr>
        <w:t xml:space="preserve">A. </w:t>
      </w:r>
      <w:r w:rsidR="23886EAF" w:rsidRPr="2E1004F6">
        <w:rPr>
          <w:b/>
          <w:bCs/>
          <w:sz w:val="24"/>
          <w:szCs w:val="24"/>
        </w:rPr>
        <w:t>Quality Services Working with Families</w:t>
      </w:r>
    </w:p>
    <w:tbl>
      <w:tblPr>
        <w:tblStyle w:val="TableGrid"/>
        <w:tblW w:w="13005" w:type="dxa"/>
        <w:tblLook w:val="04A0" w:firstRow="1" w:lastRow="0" w:firstColumn="1" w:lastColumn="0" w:noHBand="0" w:noVBand="1"/>
      </w:tblPr>
      <w:tblGrid>
        <w:gridCol w:w="7843"/>
        <w:gridCol w:w="1725"/>
        <w:gridCol w:w="1821"/>
        <w:gridCol w:w="1616"/>
      </w:tblGrid>
      <w:tr w:rsidR="003B744A" w:rsidRPr="0066384A" w14:paraId="6E97C223" w14:textId="77777777" w:rsidTr="2E1004F6">
        <w:trPr>
          <w:trHeight w:val="300"/>
        </w:trPr>
        <w:tc>
          <w:tcPr>
            <w:tcW w:w="7843" w:type="dxa"/>
          </w:tcPr>
          <w:p w14:paraId="43B761AE" w14:textId="77777777" w:rsidR="003B744A" w:rsidRPr="0066384A" w:rsidRDefault="003B744A" w:rsidP="2E1004F6">
            <w:pPr>
              <w:rPr>
                <w:sz w:val="24"/>
                <w:szCs w:val="24"/>
              </w:rPr>
            </w:pPr>
          </w:p>
        </w:tc>
        <w:tc>
          <w:tcPr>
            <w:tcW w:w="1725" w:type="dxa"/>
          </w:tcPr>
          <w:p w14:paraId="6D2B2F4B" w14:textId="77777777" w:rsidR="003B744A" w:rsidRPr="0066384A" w:rsidRDefault="23886EAF" w:rsidP="2E1004F6">
            <w:pPr>
              <w:jc w:val="center"/>
              <w:rPr>
                <w:b/>
                <w:bCs/>
                <w:sz w:val="24"/>
                <w:szCs w:val="24"/>
              </w:rPr>
            </w:pPr>
            <w:r w:rsidRPr="2E1004F6">
              <w:rPr>
                <w:b/>
                <w:bCs/>
                <w:sz w:val="24"/>
                <w:szCs w:val="24"/>
              </w:rPr>
              <w:t>Have available</w:t>
            </w:r>
          </w:p>
        </w:tc>
        <w:tc>
          <w:tcPr>
            <w:tcW w:w="1821" w:type="dxa"/>
          </w:tcPr>
          <w:p w14:paraId="2CC23D58" w14:textId="77777777" w:rsidR="003B744A" w:rsidRPr="0066384A" w:rsidRDefault="23886EAF" w:rsidP="2E1004F6">
            <w:pPr>
              <w:jc w:val="center"/>
              <w:rPr>
                <w:b/>
                <w:bCs/>
                <w:sz w:val="24"/>
                <w:szCs w:val="24"/>
              </w:rPr>
            </w:pPr>
            <w:r w:rsidRPr="2E1004F6">
              <w:rPr>
                <w:b/>
                <w:bCs/>
                <w:sz w:val="24"/>
                <w:szCs w:val="24"/>
              </w:rPr>
              <w:t>Do not have available</w:t>
            </w:r>
          </w:p>
        </w:tc>
        <w:tc>
          <w:tcPr>
            <w:tcW w:w="1616" w:type="dxa"/>
          </w:tcPr>
          <w:p w14:paraId="32B81E6E" w14:textId="77777777" w:rsidR="003B744A" w:rsidRPr="0066384A" w:rsidRDefault="23886EAF" w:rsidP="2E1004F6">
            <w:pPr>
              <w:jc w:val="center"/>
              <w:rPr>
                <w:b/>
                <w:bCs/>
                <w:sz w:val="24"/>
                <w:szCs w:val="24"/>
              </w:rPr>
            </w:pPr>
            <w:r w:rsidRPr="2E1004F6">
              <w:rPr>
                <w:b/>
                <w:bCs/>
                <w:sz w:val="24"/>
                <w:szCs w:val="24"/>
              </w:rPr>
              <w:t>N/A</w:t>
            </w:r>
          </w:p>
          <w:p w14:paraId="5C74240C" w14:textId="77777777" w:rsidR="003B744A" w:rsidRPr="0066384A" w:rsidRDefault="23886EAF" w:rsidP="2E1004F6">
            <w:pPr>
              <w:jc w:val="center"/>
              <w:rPr>
                <w:b/>
                <w:bCs/>
                <w:sz w:val="24"/>
                <w:szCs w:val="24"/>
              </w:rPr>
            </w:pPr>
            <w:r w:rsidRPr="2E1004F6">
              <w:rPr>
                <w:b/>
                <w:bCs/>
                <w:sz w:val="24"/>
                <w:szCs w:val="24"/>
              </w:rPr>
              <w:t>Why?</w:t>
            </w:r>
          </w:p>
        </w:tc>
      </w:tr>
      <w:tr w:rsidR="003B744A" w:rsidRPr="0066384A" w14:paraId="28927E4E" w14:textId="77777777" w:rsidTr="2E1004F6">
        <w:trPr>
          <w:trHeight w:val="300"/>
        </w:trPr>
        <w:tc>
          <w:tcPr>
            <w:tcW w:w="7843" w:type="dxa"/>
          </w:tcPr>
          <w:p w14:paraId="4EFFBA7D" w14:textId="29D2991A" w:rsidR="003B744A" w:rsidRPr="0066384A" w:rsidRDefault="198EB054" w:rsidP="2E1004F6">
            <w:pPr>
              <w:rPr>
                <w:sz w:val="24"/>
                <w:szCs w:val="24"/>
              </w:rPr>
            </w:pPr>
            <w:r w:rsidRPr="2E1004F6">
              <w:rPr>
                <w:b/>
                <w:bCs/>
                <w:sz w:val="24"/>
                <w:szCs w:val="24"/>
              </w:rPr>
              <w:t>Parent handbook</w:t>
            </w:r>
            <w:r w:rsidR="163143FB" w:rsidRPr="2E1004F6">
              <w:rPr>
                <w:b/>
                <w:bCs/>
                <w:sz w:val="24"/>
                <w:szCs w:val="24"/>
              </w:rPr>
              <w:t xml:space="preserve">: </w:t>
            </w:r>
            <w:r w:rsidR="23886EAF" w:rsidRPr="2E1004F6">
              <w:rPr>
                <w:sz w:val="24"/>
                <w:szCs w:val="24"/>
              </w:rPr>
              <w:t>Program has a parent handbook or information that is given to all families</w:t>
            </w:r>
            <w:r w:rsidR="589AB202" w:rsidRPr="2E1004F6">
              <w:rPr>
                <w:sz w:val="24"/>
                <w:szCs w:val="24"/>
              </w:rPr>
              <w:t xml:space="preserve"> (EIOS Section X</w:t>
            </w:r>
            <w:r w:rsidR="18884D3C" w:rsidRPr="2E1004F6">
              <w:rPr>
                <w:sz w:val="24"/>
                <w:szCs w:val="24"/>
              </w:rPr>
              <w:t>.</w:t>
            </w:r>
            <w:r w:rsidR="589AB202" w:rsidRPr="2E1004F6">
              <w:rPr>
                <w:sz w:val="24"/>
                <w:szCs w:val="24"/>
              </w:rPr>
              <w:t xml:space="preserve"> </w:t>
            </w:r>
            <w:r w:rsidR="3033ED52" w:rsidRPr="2E1004F6">
              <w:rPr>
                <w:sz w:val="24"/>
                <w:szCs w:val="24"/>
              </w:rPr>
              <w:t>2</w:t>
            </w:r>
            <w:r w:rsidR="18884D3C" w:rsidRPr="2E1004F6">
              <w:rPr>
                <w:sz w:val="24"/>
                <w:szCs w:val="24"/>
              </w:rPr>
              <w:t>.</w:t>
            </w:r>
            <w:r w:rsidR="3033ED52" w:rsidRPr="2E1004F6">
              <w:rPr>
                <w:sz w:val="24"/>
                <w:szCs w:val="24"/>
              </w:rPr>
              <w:t>, 4</w:t>
            </w:r>
            <w:r w:rsidR="18884D3C" w:rsidRPr="2E1004F6">
              <w:rPr>
                <w:sz w:val="24"/>
                <w:szCs w:val="24"/>
              </w:rPr>
              <w:t>.</w:t>
            </w:r>
            <w:r w:rsidR="325B8B9D" w:rsidRPr="2E1004F6">
              <w:rPr>
                <w:sz w:val="24"/>
                <w:szCs w:val="24"/>
              </w:rPr>
              <w:t xml:space="preserve"> pg. 44</w:t>
            </w:r>
            <w:r w:rsidR="0A95C74F" w:rsidRPr="2E1004F6">
              <w:rPr>
                <w:sz w:val="24"/>
                <w:szCs w:val="24"/>
              </w:rPr>
              <w:t>)</w:t>
            </w:r>
          </w:p>
        </w:tc>
        <w:tc>
          <w:tcPr>
            <w:tcW w:w="1725" w:type="dxa"/>
          </w:tcPr>
          <w:p w14:paraId="43A23E54" w14:textId="77777777" w:rsidR="003B744A" w:rsidRPr="0066384A" w:rsidRDefault="003B744A" w:rsidP="2E1004F6">
            <w:pPr>
              <w:rPr>
                <w:sz w:val="24"/>
                <w:szCs w:val="24"/>
              </w:rPr>
            </w:pPr>
          </w:p>
        </w:tc>
        <w:tc>
          <w:tcPr>
            <w:tcW w:w="1821" w:type="dxa"/>
          </w:tcPr>
          <w:p w14:paraId="423DEC17" w14:textId="77777777" w:rsidR="003B744A" w:rsidRPr="0066384A" w:rsidRDefault="003B744A" w:rsidP="2E1004F6">
            <w:pPr>
              <w:rPr>
                <w:sz w:val="24"/>
                <w:szCs w:val="24"/>
              </w:rPr>
            </w:pPr>
          </w:p>
        </w:tc>
        <w:tc>
          <w:tcPr>
            <w:tcW w:w="1616" w:type="dxa"/>
          </w:tcPr>
          <w:p w14:paraId="5C970472" w14:textId="77777777" w:rsidR="003B744A" w:rsidRPr="0066384A" w:rsidRDefault="003B744A" w:rsidP="2E1004F6">
            <w:pPr>
              <w:rPr>
                <w:sz w:val="24"/>
                <w:szCs w:val="24"/>
              </w:rPr>
            </w:pPr>
          </w:p>
        </w:tc>
      </w:tr>
      <w:tr w:rsidR="003B744A" w:rsidRPr="0066384A" w14:paraId="7D27ED67" w14:textId="77777777" w:rsidTr="2E1004F6">
        <w:trPr>
          <w:trHeight w:val="300"/>
        </w:trPr>
        <w:tc>
          <w:tcPr>
            <w:tcW w:w="7843" w:type="dxa"/>
          </w:tcPr>
          <w:p w14:paraId="1704379A" w14:textId="21EC544F" w:rsidR="003B744A" w:rsidRPr="0066384A" w:rsidRDefault="63B5D7E7" w:rsidP="2E1004F6">
            <w:pPr>
              <w:rPr>
                <w:sz w:val="24"/>
                <w:szCs w:val="24"/>
              </w:rPr>
            </w:pPr>
            <w:r w:rsidRPr="2E1004F6">
              <w:rPr>
                <w:b/>
                <w:bCs/>
                <w:sz w:val="24"/>
                <w:szCs w:val="24"/>
              </w:rPr>
              <w:t>Parent contact for EIPL</w:t>
            </w:r>
            <w:r w:rsidR="6E6195DD" w:rsidRPr="2E1004F6">
              <w:rPr>
                <w:b/>
                <w:bCs/>
                <w:sz w:val="24"/>
                <w:szCs w:val="24"/>
              </w:rPr>
              <w:t xml:space="preserve">P: </w:t>
            </w:r>
            <w:r w:rsidR="23886EAF" w:rsidRPr="2E1004F6">
              <w:rPr>
                <w:sz w:val="24"/>
                <w:szCs w:val="24"/>
              </w:rPr>
              <w:t>Program has a current parent contact whose information has been given to the EI Parent Leadership Project (EIPLP)</w:t>
            </w:r>
            <w:r w:rsidR="325B8B9D" w:rsidRPr="2E1004F6">
              <w:rPr>
                <w:sz w:val="24"/>
                <w:szCs w:val="24"/>
              </w:rPr>
              <w:t xml:space="preserve"> (EIOS Section X 7. Pg. 44)</w:t>
            </w:r>
          </w:p>
        </w:tc>
        <w:tc>
          <w:tcPr>
            <w:tcW w:w="1725" w:type="dxa"/>
          </w:tcPr>
          <w:p w14:paraId="17D5CA71" w14:textId="77777777" w:rsidR="003B744A" w:rsidRPr="0066384A" w:rsidRDefault="003B744A" w:rsidP="2E1004F6">
            <w:pPr>
              <w:rPr>
                <w:sz w:val="24"/>
                <w:szCs w:val="24"/>
              </w:rPr>
            </w:pPr>
          </w:p>
        </w:tc>
        <w:tc>
          <w:tcPr>
            <w:tcW w:w="1821" w:type="dxa"/>
          </w:tcPr>
          <w:p w14:paraId="7FC40D11" w14:textId="77777777" w:rsidR="003B744A" w:rsidRPr="0066384A" w:rsidRDefault="003B744A" w:rsidP="2E1004F6">
            <w:pPr>
              <w:rPr>
                <w:sz w:val="24"/>
                <w:szCs w:val="24"/>
              </w:rPr>
            </w:pPr>
          </w:p>
        </w:tc>
        <w:tc>
          <w:tcPr>
            <w:tcW w:w="1616" w:type="dxa"/>
          </w:tcPr>
          <w:p w14:paraId="1F3631F9" w14:textId="77777777" w:rsidR="003B744A" w:rsidRPr="0066384A" w:rsidRDefault="003B744A" w:rsidP="2E1004F6">
            <w:pPr>
              <w:rPr>
                <w:sz w:val="24"/>
                <w:szCs w:val="24"/>
              </w:rPr>
            </w:pPr>
          </w:p>
        </w:tc>
      </w:tr>
      <w:tr w:rsidR="003B744A" w:rsidRPr="0066384A" w14:paraId="16C44103" w14:textId="77777777" w:rsidTr="2E1004F6">
        <w:trPr>
          <w:trHeight w:val="300"/>
        </w:trPr>
        <w:tc>
          <w:tcPr>
            <w:tcW w:w="7843" w:type="dxa"/>
          </w:tcPr>
          <w:p w14:paraId="7FCB8159" w14:textId="30EDDE72" w:rsidR="003B744A" w:rsidRPr="002E6EF3" w:rsidRDefault="6CC85446" w:rsidP="2E1004F6">
            <w:pPr>
              <w:rPr>
                <w:sz w:val="24"/>
                <w:szCs w:val="24"/>
              </w:rPr>
            </w:pPr>
            <w:r w:rsidRPr="2E1004F6">
              <w:rPr>
                <w:b/>
                <w:bCs/>
                <w:sz w:val="24"/>
                <w:szCs w:val="24"/>
              </w:rPr>
              <w:t>Family Rights</w:t>
            </w:r>
            <w:r w:rsidR="4188424A" w:rsidRPr="2E1004F6">
              <w:rPr>
                <w:b/>
                <w:bCs/>
                <w:sz w:val="24"/>
                <w:szCs w:val="24"/>
              </w:rPr>
              <w:t xml:space="preserve">: </w:t>
            </w:r>
            <w:r w:rsidR="23886EAF" w:rsidRPr="2E1004F6">
              <w:rPr>
                <w:sz w:val="24"/>
                <w:szCs w:val="24"/>
              </w:rPr>
              <w:t>Family Rights are distributed at initial contact, initial eligibility evaluation and all IFSP meetings and reviews</w:t>
            </w:r>
            <w:r w:rsidR="6A6AEBD6" w:rsidRPr="2E1004F6">
              <w:rPr>
                <w:sz w:val="24"/>
                <w:szCs w:val="24"/>
              </w:rPr>
              <w:t xml:space="preserve"> </w:t>
            </w:r>
            <w:r w:rsidR="6C6D2853" w:rsidRPr="2E1004F6">
              <w:rPr>
                <w:sz w:val="24"/>
                <w:szCs w:val="24"/>
              </w:rPr>
              <w:t>(EIOS Section XIII 2</w:t>
            </w:r>
            <w:r w:rsidR="190BBD76" w:rsidRPr="2E1004F6">
              <w:rPr>
                <w:sz w:val="24"/>
                <w:szCs w:val="24"/>
              </w:rPr>
              <w:t>.</w:t>
            </w:r>
            <w:r w:rsidR="6C6D2853" w:rsidRPr="2E1004F6">
              <w:rPr>
                <w:sz w:val="24"/>
                <w:szCs w:val="24"/>
              </w:rPr>
              <w:t xml:space="preserve"> pgs. 64-65)</w:t>
            </w:r>
          </w:p>
        </w:tc>
        <w:tc>
          <w:tcPr>
            <w:tcW w:w="1725" w:type="dxa"/>
          </w:tcPr>
          <w:p w14:paraId="3D2E3A21" w14:textId="77777777" w:rsidR="003B744A" w:rsidRPr="0066384A" w:rsidRDefault="003B744A" w:rsidP="2E1004F6">
            <w:pPr>
              <w:rPr>
                <w:sz w:val="24"/>
                <w:szCs w:val="24"/>
              </w:rPr>
            </w:pPr>
          </w:p>
        </w:tc>
        <w:tc>
          <w:tcPr>
            <w:tcW w:w="1821" w:type="dxa"/>
          </w:tcPr>
          <w:p w14:paraId="3178D523" w14:textId="77777777" w:rsidR="003B744A" w:rsidRPr="0066384A" w:rsidRDefault="003B744A" w:rsidP="2E1004F6">
            <w:pPr>
              <w:rPr>
                <w:sz w:val="24"/>
                <w:szCs w:val="24"/>
              </w:rPr>
            </w:pPr>
          </w:p>
        </w:tc>
        <w:tc>
          <w:tcPr>
            <w:tcW w:w="1616" w:type="dxa"/>
          </w:tcPr>
          <w:p w14:paraId="03956EB1" w14:textId="77777777" w:rsidR="003B744A" w:rsidRPr="0066384A" w:rsidRDefault="003B744A" w:rsidP="2E1004F6">
            <w:pPr>
              <w:rPr>
                <w:sz w:val="24"/>
                <w:szCs w:val="24"/>
              </w:rPr>
            </w:pPr>
          </w:p>
        </w:tc>
      </w:tr>
      <w:tr w:rsidR="003B744A" w:rsidRPr="0066384A" w14:paraId="13A6E904" w14:textId="77777777" w:rsidTr="2E1004F6">
        <w:trPr>
          <w:trHeight w:val="300"/>
        </w:trPr>
        <w:tc>
          <w:tcPr>
            <w:tcW w:w="7843" w:type="dxa"/>
          </w:tcPr>
          <w:p w14:paraId="01FED939" w14:textId="2A4F23FE" w:rsidR="003B744A" w:rsidRPr="0066384A" w:rsidRDefault="548B462A" w:rsidP="2E1004F6">
            <w:pPr>
              <w:rPr>
                <w:sz w:val="24"/>
                <w:szCs w:val="24"/>
              </w:rPr>
            </w:pPr>
            <w:r w:rsidRPr="2E1004F6">
              <w:rPr>
                <w:b/>
                <w:bCs/>
                <w:sz w:val="24"/>
                <w:szCs w:val="24"/>
              </w:rPr>
              <w:t>Family Directed Assessment</w:t>
            </w:r>
            <w:r w:rsidR="02279832" w:rsidRPr="2E1004F6">
              <w:rPr>
                <w:b/>
                <w:bCs/>
                <w:sz w:val="24"/>
                <w:szCs w:val="24"/>
              </w:rPr>
              <w:t xml:space="preserve">: </w:t>
            </w:r>
            <w:r w:rsidR="23886EAF" w:rsidRPr="2E1004F6">
              <w:rPr>
                <w:sz w:val="24"/>
                <w:szCs w:val="24"/>
              </w:rPr>
              <w:t>Family Directed Assessment/Checklist/Interview is utilized and completed as part of the IFSP process</w:t>
            </w:r>
            <w:r w:rsidR="1C002C1B" w:rsidRPr="2E1004F6">
              <w:rPr>
                <w:sz w:val="24"/>
                <w:szCs w:val="24"/>
              </w:rPr>
              <w:t xml:space="preserve"> (EIOS Section </w:t>
            </w:r>
            <w:r w:rsidR="331C5302" w:rsidRPr="2E1004F6">
              <w:rPr>
                <w:sz w:val="24"/>
                <w:szCs w:val="24"/>
              </w:rPr>
              <w:t>VI C. 3. Pg. 24)</w:t>
            </w:r>
            <w:r w:rsidR="5BB0B722" w:rsidRPr="2E1004F6">
              <w:rPr>
                <w:sz w:val="24"/>
                <w:szCs w:val="24"/>
              </w:rPr>
              <w:t xml:space="preserve"> (CFR 303.321)</w:t>
            </w:r>
          </w:p>
        </w:tc>
        <w:tc>
          <w:tcPr>
            <w:tcW w:w="1725" w:type="dxa"/>
          </w:tcPr>
          <w:p w14:paraId="28E01DF9" w14:textId="0ED551C4" w:rsidR="003B744A" w:rsidRPr="0066384A" w:rsidRDefault="003B744A" w:rsidP="2E1004F6">
            <w:pPr>
              <w:rPr>
                <w:sz w:val="24"/>
                <w:szCs w:val="24"/>
              </w:rPr>
            </w:pPr>
          </w:p>
        </w:tc>
        <w:tc>
          <w:tcPr>
            <w:tcW w:w="1821" w:type="dxa"/>
          </w:tcPr>
          <w:p w14:paraId="38EAB120" w14:textId="77777777" w:rsidR="003B744A" w:rsidRPr="0066384A" w:rsidRDefault="003B744A" w:rsidP="2E1004F6">
            <w:pPr>
              <w:rPr>
                <w:sz w:val="24"/>
                <w:szCs w:val="24"/>
              </w:rPr>
            </w:pPr>
          </w:p>
        </w:tc>
        <w:tc>
          <w:tcPr>
            <w:tcW w:w="1616" w:type="dxa"/>
          </w:tcPr>
          <w:p w14:paraId="1E99F709" w14:textId="77777777" w:rsidR="003B744A" w:rsidRPr="0066384A" w:rsidRDefault="003B744A" w:rsidP="2E1004F6">
            <w:pPr>
              <w:rPr>
                <w:sz w:val="24"/>
                <w:szCs w:val="24"/>
              </w:rPr>
            </w:pPr>
          </w:p>
        </w:tc>
      </w:tr>
      <w:tr w:rsidR="007962F8" w:rsidRPr="0066384A" w14:paraId="1BE6271B" w14:textId="77777777" w:rsidTr="2E1004F6">
        <w:trPr>
          <w:trHeight w:val="300"/>
        </w:trPr>
        <w:tc>
          <w:tcPr>
            <w:tcW w:w="7843" w:type="dxa"/>
          </w:tcPr>
          <w:p w14:paraId="1C108D75" w14:textId="10FB749A" w:rsidR="007962F8" w:rsidRPr="0066384A" w:rsidRDefault="7A629090" w:rsidP="2E1004F6">
            <w:pPr>
              <w:rPr>
                <w:sz w:val="24"/>
                <w:szCs w:val="24"/>
              </w:rPr>
            </w:pPr>
            <w:r w:rsidRPr="2E1004F6">
              <w:rPr>
                <w:b/>
                <w:bCs/>
                <w:sz w:val="24"/>
                <w:szCs w:val="24"/>
              </w:rPr>
              <w:lastRenderedPageBreak/>
              <w:t>Parent liaison for family engagement</w:t>
            </w:r>
            <w:r w:rsidR="50D18C6E" w:rsidRPr="2E1004F6">
              <w:rPr>
                <w:b/>
                <w:bCs/>
                <w:sz w:val="24"/>
                <w:szCs w:val="24"/>
              </w:rPr>
              <w:t xml:space="preserve">: </w:t>
            </w:r>
            <w:r w:rsidR="18AAE0BE" w:rsidRPr="2E1004F6">
              <w:rPr>
                <w:sz w:val="24"/>
                <w:szCs w:val="24"/>
              </w:rPr>
              <w:t>Program has a current parent liaison or staff person designated to facilitate involvement of families (EIOS Section X</w:t>
            </w:r>
            <w:r w:rsidR="4FEF68A5" w:rsidRPr="2E1004F6">
              <w:rPr>
                <w:sz w:val="24"/>
                <w:szCs w:val="24"/>
              </w:rPr>
              <w:t>.</w:t>
            </w:r>
            <w:r w:rsidR="18AAE0BE" w:rsidRPr="2E1004F6">
              <w:rPr>
                <w:sz w:val="24"/>
                <w:szCs w:val="24"/>
              </w:rPr>
              <w:t xml:space="preserve"> 1</w:t>
            </w:r>
            <w:r w:rsidR="4FEF68A5" w:rsidRPr="2E1004F6">
              <w:rPr>
                <w:sz w:val="24"/>
                <w:szCs w:val="24"/>
              </w:rPr>
              <w:t>.</w:t>
            </w:r>
            <w:r w:rsidR="18AAE0BE" w:rsidRPr="2E1004F6">
              <w:rPr>
                <w:sz w:val="24"/>
                <w:szCs w:val="24"/>
              </w:rPr>
              <w:t xml:space="preserve"> pg. 45)</w:t>
            </w:r>
          </w:p>
        </w:tc>
        <w:tc>
          <w:tcPr>
            <w:tcW w:w="1725" w:type="dxa"/>
          </w:tcPr>
          <w:p w14:paraId="420F8AA2" w14:textId="77777777" w:rsidR="007962F8" w:rsidRPr="0066384A" w:rsidRDefault="007962F8" w:rsidP="2E1004F6">
            <w:pPr>
              <w:rPr>
                <w:sz w:val="24"/>
                <w:szCs w:val="24"/>
              </w:rPr>
            </w:pPr>
          </w:p>
        </w:tc>
        <w:tc>
          <w:tcPr>
            <w:tcW w:w="1821" w:type="dxa"/>
          </w:tcPr>
          <w:p w14:paraId="69464D7A" w14:textId="77777777" w:rsidR="007962F8" w:rsidRPr="0066384A" w:rsidRDefault="007962F8" w:rsidP="2E1004F6">
            <w:pPr>
              <w:rPr>
                <w:sz w:val="24"/>
                <w:szCs w:val="24"/>
              </w:rPr>
            </w:pPr>
          </w:p>
        </w:tc>
        <w:tc>
          <w:tcPr>
            <w:tcW w:w="1616" w:type="dxa"/>
          </w:tcPr>
          <w:p w14:paraId="49173F59" w14:textId="77777777" w:rsidR="007962F8" w:rsidRPr="0066384A" w:rsidRDefault="007962F8" w:rsidP="2E1004F6">
            <w:pPr>
              <w:rPr>
                <w:sz w:val="24"/>
                <w:szCs w:val="24"/>
              </w:rPr>
            </w:pPr>
          </w:p>
        </w:tc>
      </w:tr>
      <w:tr w:rsidR="003B744A" w:rsidRPr="0066384A" w14:paraId="27B60352" w14:textId="77777777" w:rsidTr="2E1004F6">
        <w:trPr>
          <w:trHeight w:val="1210"/>
        </w:trPr>
        <w:tc>
          <w:tcPr>
            <w:tcW w:w="13005" w:type="dxa"/>
            <w:gridSpan w:val="4"/>
          </w:tcPr>
          <w:p w14:paraId="2534DA0B" w14:textId="77777777" w:rsidR="003B744A" w:rsidRPr="0066384A" w:rsidRDefault="23886EAF" w:rsidP="2E1004F6">
            <w:pPr>
              <w:rPr>
                <w:sz w:val="24"/>
                <w:szCs w:val="24"/>
              </w:rPr>
            </w:pPr>
            <w:r w:rsidRPr="2E1004F6">
              <w:rPr>
                <w:sz w:val="24"/>
                <w:szCs w:val="24"/>
              </w:rPr>
              <w:t>Notes on any of the above:</w:t>
            </w:r>
          </w:p>
          <w:p w14:paraId="779D9AFB" w14:textId="77777777" w:rsidR="003B744A" w:rsidRPr="0066384A" w:rsidRDefault="003B744A" w:rsidP="2E1004F6">
            <w:pPr>
              <w:rPr>
                <w:sz w:val="24"/>
                <w:szCs w:val="24"/>
              </w:rPr>
            </w:pPr>
          </w:p>
          <w:p w14:paraId="744F77DB" w14:textId="77777777" w:rsidR="003B744A" w:rsidRPr="0066384A" w:rsidRDefault="003B744A" w:rsidP="2E1004F6">
            <w:pPr>
              <w:rPr>
                <w:sz w:val="24"/>
                <w:szCs w:val="24"/>
              </w:rPr>
            </w:pPr>
          </w:p>
        </w:tc>
      </w:tr>
    </w:tbl>
    <w:p w14:paraId="425B7CB0" w14:textId="77777777" w:rsidR="003B744A" w:rsidRPr="0066384A" w:rsidRDefault="003B744A" w:rsidP="2E1004F6">
      <w:pPr>
        <w:spacing w:after="0" w:line="240" w:lineRule="auto"/>
        <w:rPr>
          <w:sz w:val="24"/>
          <w:szCs w:val="24"/>
        </w:rPr>
      </w:pPr>
    </w:p>
    <w:sectPr w:rsidR="003B744A" w:rsidRPr="0066384A">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D029" w14:textId="77777777" w:rsidR="008A4D00" w:rsidRDefault="008A4D00" w:rsidP="00216782">
      <w:pPr>
        <w:spacing w:after="0" w:line="240" w:lineRule="auto"/>
      </w:pPr>
      <w:r>
        <w:separator/>
      </w:r>
    </w:p>
  </w:endnote>
  <w:endnote w:type="continuationSeparator" w:id="0">
    <w:p w14:paraId="7F71E3BE" w14:textId="77777777" w:rsidR="008A4D00" w:rsidRDefault="008A4D00" w:rsidP="00216782">
      <w:pPr>
        <w:spacing w:after="0" w:line="240" w:lineRule="auto"/>
      </w:pPr>
      <w:r>
        <w:continuationSeparator/>
      </w:r>
    </w:p>
  </w:endnote>
  <w:endnote w:type="continuationNotice" w:id="1">
    <w:p w14:paraId="23A8AC9D" w14:textId="77777777" w:rsidR="008A4D00" w:rsidRDefault="008A4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B553" w14:textId="5C3E4744" w:rsidR="00216782" w:rsidRDefault="008A29F2" w:rsidP="00216782">
    <w:pPr>
      <w:pStyle w:val="Footer"/>
      <w:jc w:val="right"/>
    </w:pPr>
    <w:r>
      <w:t>5/1</w:t>
    </w:r>
    <w:r w:rsidR="00216782">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7532" w14:textId="77777777" w:rsidR="008A4D00" w:rsidRDefault="008A4D00" w:rsidP="00216782">
      <w:pPr>
        <w:spacing w:after="0" w:line="240" w:lineRule="auto"/>
      </w:pPr>
      <w:r>
        <w:separator/>
      </w:r>
    </w:p>
  </w:footnote>
  <w:footnote w:type="continuationSeparator" w:id="0">
    <w:p w14:paraId="281FEB27" w14:textId="77777777" w:rsidR="008A4D00" w:rsidRDefault="008A4D00" w:rsidP="00216782">
      <w:pPr>
        <w:spacing w:after="0" w:line="240" w:lineRule="auto"/>
      </w:pPr>
      <w:r>
        <w:continuationSeparator/>
      </w:r>
    </w:p>
  </w:footnote>
  <w:footnote w:type="continuationNotice" w:id="1">
    <w:p w14:paraId="1CEC55BF" w14:textId="77777777" w:rsidR="008A4D00" w:rsidRDefault="008A4D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08B"/>
    <w:multiLevelType w:val="hybridMultilevel"/>
    <w:tmpl w:val="D5442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4A547F"/>
    <w:multiLevelType w:val="hybridMultilevel"/>
    <w:tmpl w:val="A1BAEBAC"/>
    <w:lvl w:ilvl="0" w:tplc="575CF142">
      <w:start w:val="1"/>
      <w:numFmt w:val="bullet"/>
      <w:lvlText w:val=""/>
      <w:lvlJc w:val="left"/>
      <w:pPr>
        <w:tabs>
          <w:tab w:val="num" w:pos="324"/>
        </w:tabs>
        <w:ind w:left="32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0126084">
    <w:abstractNumId w:val="1"/>
  </w:num>
  <w:num w:numId="2" w16cid:durableId="167988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4A"/>
    <w:rsid w:val="000118EC"/>
    <w:rsid w:val="000149EC"/>
    <w:rsid w:val="00025E44"/>
    <w:rsid w:val="00035FF4"/>
    <w:rsid w:val="0006251A"/>
    <w:rsid w:val="000A00D6"/>
    <w:rsid w:val="000B5904"/>
    <w:rsid w:val="000C0445"/>
    <w:rsid w:val="000C5FAF"/>
    <w:rsid w:val="000C7813"/>
    <w:rsid w:val="000D5FC5"/>
    <w:rsid w:val="00102669"/>
    <w:rsid w:val="001056A1"/>
    <w:rsid w:val="00105733"/>
    <w:rsid w:val="00151DDF"/>
    <w:rsid w:val="0016097D"/>
    <w:rsid w:val="001A4A76"/>
    <w:rsid w:val="001D340C"/>
    <w:rsid w:val="001D7FE3"/>
    <w:rsid w:val="001F4132"/>
    <w:rsid w:val="00205645"/>
    <w:rsid w:val="002103D3"/>
    <w:rsid w:val="0021519D"/>
    <w:rsid w:val="00216782"/>
    <w:rsid w:val="00220A93"/>
    <w:rsid w:val="002371A6"/>
    <w:rsid w:val="0024350E"/>
    <w:rsid w:val="002579BD"/>
    <w:rsid w:val="002851CA"/>
    <w:rsid w:val="00287D63"/>
    <w:rsid w:val="002B100D"/>
    <w:rsid w:val="002B503F"/>
    <w:rsid w:val="002B63A7"/>
    <w:rsid w:val="002D46CD"/>
    <w:rsid w:val="002E3F66"/>
    <w:rsid w:val="002E47D9"/>
    <w:rsid w:val="002E5D5E"/>
    <w:rsid w:val="002E6EF3"/>
    <w:rsid w:val="00304816"/>
    <w:rsid w:val="00310219"/>
    <w:rsid w:val="00322BAC"/>
    <w:rsid w:val="00322BC9"/>
    <w:rsid w:val="00323B62"/>
    <w:rsid w:val="0032411F"/>
    <w:rsid w:val="00333585"/>
    <w:rsid w:val="0033662E"/>
    <w:rsid w:val="003370D7"/>
    <w:rsid w:val="003420B4"/>
    <w:rsid w:val="00343C1F"/>
    <w:rsid w:val="003444C8"/>
    <w:rsid w:val="0035024E"/>
    <w:rsid w:val="00383C61"/>
    <w:rsid w:val="003A4436"/>
    <w:rsid w:val="003B744A"/>
    <w:rsid w:val="003C12CA"/>
    <w:rsid w:val="003C56D5"/>
    <w:rsid w:val="003D7BE9"/>
    <w:rsid w:val="003F34C9"/>
    <w:rsid w:val="00426C7C"/>
    <w:rsid w:val="00444708"/>
    <w:rsid w:val="0044543B"/>
    <w:rsid w:val="00475F91"/>
    <w:rsid w:val="00492D35"/>
    <w:rsid w:val="004D4DF9"/>
    <w:rsid w:val="004F1672"/>
    <w:rsid w:val="00501C79"/>
    <w:rsid w:val="005200E3"/>
    <w:rsid w:val="0052320B"/>
    <w:rsid w:val="00543DD5"/>
    <w:rsid w:val="00546607"/>
    <w:rsid w:val="0055117A"/>
    <w:rsid w:val="00565331"/>
    <w:rsid w:val="005720A7"/>
    <w:rsid w:val="005776EC"/>
    <w:rsid w:val="005A199F"/>
    <w:rsid w:val="005C643E"/>
    <w:rsid w:val="005D78FD"/>
    <w:rsid w:val="005E2367"/>
    <w:rsid w:val="005F5776"/>
    <w:rsid w:val="0060CD72"/>
    <w:rsid w:val="00613BAE"/>
    <w:rsid w:val="00636257"/>
    <w:rsid w:val="00647598"/>
    <w:rsid w:val="0066384A"/>
    <w:rsid w:val="006A4ADB"/>
    <w:rsid w:val="006A63E6"/>
    <w:rsid w:val="006B675A"/>
    <w:rsid w:val="006E7A86"/>
    <w:rsid w:val="00701B35"/>
    <w:rsid w:val="00712C87"/>
    <w:rsid w:val="00713594"/>
    <w:rsid w:val="0071611A"/>
    <w:rsid w:val="00722F74"/>
    <w:rsid w:val="00731823"/>
    <w:rsid w:val="00751EEA"/>
    <w:rsid w:val="007822EC"/>
    <w:rsid w:val="00793C6E"/>
    <w:rsid w:val="007962F8"/>
    <w:rsid w:val="007A7DE6"/>
    <w:rsid w:val="007E1B46"/>
    <w:rsid w:val="007E2BDA"/>
    <w:rsid w:val="007E3E9C"/>
    <w:rsid w:val="00800CCC"/>
    <w:rsid w:val="00807647"/>
    <w:rsid w:val="00830EAA"/>
    <w:rsid w:val="00836A4B"/>
    <w:rsid w:val="0084610E"/>
    <w:rsid w:val="00852659"/>
    <w:rsid w:val="00876BBD"/>
    <w:rsid w:val="00878813"/>
    <w:rsid w:val="008A29F2"/>
    <w:rsid w:val="008A2F8B"/>
    <w:rsid w:val="008A4D00"/>
    <w:rsid w:val="008A5F3E"/>
    <w:rsid w:val="008B6A73"/>
    <w:rsid w:val="008D46E4"/>
    <w:rsid w:val="008E07CD"/>
    <w:rsid w:val="009059A9"/>
    <w:rsid w:val="009123E3"/>
    <w:rsid w:val="00933164"/>
    <w:rsid w:val="00946018"/>
    <w:rsid w:val="009477D2"/>
    <w:rsid w:val="0096130C"/>
    <w:rsid w:val="009849EC"/>
    <w:rsid w:val="009849F3"/>
    <w:rsid w:val="00993D15"/>
    <w:rsid w:val="009B0BA9"/>
    <w:rsid w:val="009B0C4C"/>
    <w:rsid w:val="009D1A2A"/>
    <w:rsid w:val="009D59B2"/>
    <w:rsid w:val="009F5DA6"/>
    <w:rsid w:val="00A12E02"/>
    <w:rsid w:val="00A2329D"/>
    <w:rsid w:val="00A3129B"/>
    <w:rsid w:val="00A5656C"/>
    <w:rsid w:val="00A81CC4"/>
    <w:rsid w:val="00A90C70"/>
    <w:rsid w:val="00AA1714"/>
    <w:rsid w:val="00AA46D5"/>
    <w:rsid w:val="00AA782D"/>
    <w:rsid w:val="00AB16FA"/>
    <w:rsid w:val="00AC4065"/>
    <w:rsid w:val="00AE47AD"/>
    <w:rsid w:val="00AF4E2B"/>
    <w:rsid w:val="00B66BD1"/>
    <w:rsid w:val="00B8083D"/>
    <w:rsid w:val="00B97527"/>
    <w:rsid w:val="00BA7B85"/>
    <w:rsid w:val="00BB50BD"/>
    <w:rsid w:val="00BD45BA"/>
    <w:rsid w:val="00BE2721"/>
    <w:rsid w:val="00BE6B07"/>
    <w:rsid w:val="00BE7653"/>
    <w:rsid w:val="00BF212C"/>
    <w:rsid w:val="00C05D01"/>
    <w:rsid w:val="00C069AA"/>
    <w:rsid w:val="00C249A4"/>
    <w:rsid w:val="00C367E4"/>
    <w:rsid w:val="00C438AF"/>
    <w:rsid w:val="00C514EF"/>
    <w:rsid w:val="00C74539"/>
    <w:rsid w:val="00C8771E"/>
    <w:rsid w:val="00CA65DE"/>
    <w:rsid w:val="00CC5C7F"/>
    <w:rsid w:val="00D414EC"/>
    <w:rsid w:val="00D56D97"/>
    <w:rsid w:val="00D6331D"/>
    <w:rsid w:val="00D81A0F"/>
    <w:rsid w:val="00D915EA"/>
    <w:rsid w:val="00D926A7"/>
    <w:rsid w:val="00D93503"/>
    <w:rsid w:val="00DA35BE"/>
    <w:rsid w:val="00DF7738"/>
    <w:rsid w:val="00E13BBB"/>
    <w:rsid w:val="00E34F08"/>
    <w:rsid w:val="00E52790"/>
    <w:rsid w:val="00E738AC"/>
    <w:rsid w:val="00E92AD0"/>
    <w:rsid w:val="00EA2C0C"/>
    <w:rsid w:val="00EA35DA"/>
    <w:rsid w:val="00EB7107"/>
    <w:rsid w:val="00EC7D64"/>
    <w:rsid w:val="00F02899"/>
    <w:rsid w:val="00F06B92"/>
    <w:rsid w:val="00F2460D"/>
    <w:rsid w:val="00F6570E"/>
    <w:rsid w:val="00F814A2"/>
    <w:rsid w:val="00F82FEA"/>
    <w:rsid w:val="00F8780F"/>
    <w:rsid w:val="00F87F6B"/>
    <w:rsid w:val="00F920E7"/>
    <w:rsid w:val="00F948F0"/>
    <w:rsid w:val="00FD143F"/>
    <w:rsid w:val="00FE3436"/>
    <w:rsid w:val="01638B95"/>
    <w:rsid w:val="01BBEF4A"/>
    <w:rsid w:val="01C16B48"/>
    <w:rsid w:val="02279832"/>
    <w:rsid w:val="022B690E"/>
    <w:rsid w:val="029022A9"/>
    <w:rsid w:val="02D68825"/>
    <w:rsid w:val="0300EE00"/>
    <w:rsid w:val="038D0BD8"/>
    <w:rsid w:val="039943F7"/>
    <w:rsid w:val="03D23258"/>
    <w:rsid w:val="042A9181"/>
    <w:rsid w:val="044B929D"/>
    <w:rsid w:val="044CBB29"/>
    <w:rsid w:val="04E4D68D"/>
    <w:rsid w:val="050B4706"/>
    <w:rsid w:val="05FF94F9"/>
    <w:rsid w:val="067D1BF7"/>
    <w:rsid w:val="07623243"/>
    <w:rsid w:val="07776C2A"/>
    <w:rsid w:val="08529557"/>
    <w:rsid w:val="0883AC86"/>
    <w:rsid w:val="0952658D"/>
    <w:rsid w:val="097D9CD9"/>
    <w:rsid w:val="0A2D9529"/>
    <w:rsid w:val="0A95C74F"/>
    <w:rsid w:val="0B72E541"/>
    <w:rsid w:val="0B8D60F8"/>
    <w:rsid w:val="0BBC63B0"/>
    <w:rsid w:val="0BD9DB3E"/>
    <w:rsid w:val="0CADDC88"/>
    <w:rsid w:val="0D7ACE3C"/>
    <w:rsid w:val="0DB16EC1"/>
    <w:rsid w:val="0EB3AF2F"/>
    <w:rsid w:val="0F42CB26"/>
    <w:rsid w:val="0FA4C892"/>
    <w:rsid w:val="0FD47619"/>
    <w:rsid w:val="114B4922"/>
    <w:rsid w:val="122B87E6"/>
    <w:rsid w:val="126C696C"/>
    <w:rsid w:val="1280D390"/>
    <w:rsid w:val="12CFD52D"/>
    <w:rsid w:val="1319EFB7"/>
    <w:rsid w:val="1326B5A2"/>
    <w:rsid w:val="13595F04"/>
    <w:rsid w:val="1361E7DE"/>
    <w:rsid w:val="141261F7"/>
    <w:rsid w:val="143DF8FC"/>
    <w:rsid w:val="1472C9CD"/>
    <w:rsid w:val="15538F44"/>
    <w:rsid w:val="15D4B6AD"/>
    <w:rsid w:val="15E3BD20"/>
    <w:rsid w:val="15EBD41A"/>
    <w:rsid w:val="163143FB"/>
    <w:rsid w:val="163A8CC3"/>
    <w:rsid w:val="1663F226"/>
    <w:rsid w:val="17B24807"/>
    <w:rsid w:val="17D1EC6A"/>
    <w:rsid w:val="18135E92"/>
    <w:rsid w:val="18596992"/>
    <w:rsid w:val="187CCC7B"/>
    <w:rsid w:val="18884D3C"/>
    <w:rsid w:val="18A88561"/>
    <w:rsid w:val="18AAE0BE"/>
    <w:rsid w:val="190BBD76"/>
    <w:rsid w:val="19154591"/>
    <w:rsid w:val="192CC5BB"/>
    <w:rsid w:val="196DBCCB"/>
    <w:rsid w:val="198EB054"/>
    <w:rsid w:val="19EF4FE6"/>
    <w:rsid w:val="1B30E144"/>
    <w:rsid w:val="1C002C1B"/>
    <w:rsid w:val="1C009ED4"/>
    <w:rsid w:val="1C23A60B"/>
    <w:rsid w:val="1C3142D1"/>
    <w:rsid w:val="1C324ACB"/>
    <w:rsid w:val="1C61AD33"/>
    <w:rsid w:val="1C7449D8"/>
    <w:rsid w:val="1CA55682"/>
    <w:rsid w:val="1CA8F5C0"/>
    <w:rsid w:val="1CBF6ECF"/>
    <w:rsid w:val="1CD0D30F"/>
    <w:rsid w:val="1CECA2C5"/>
    <w:rsid w:val="1D01CF3A"/>
    <w:rsid w:val="1E72089F"/>
    <w:rsid w:val="1E76D835"/>
    <w:rsid w:val="1E90C9DA"/>
    <w:rsid w:val="1EE25C03"/>
    <w:rsid w:val="1F00C4BF"/>
    <w:rsid w:val="1F7E73D3"/>
    <w:rsid w:val="1FC26AE5"/>
    <w:rsid w:val="1FFC5363"/>
    <w:rsid w:val="200E79DB"/>
    <w:rsid w:val="22426863"/>
    <w:rsid w:val="22BD1863"/>
    <w:rsid w:val="23886EAF"/>
    <w:rsid w:val="23C95A45"/>
    <w:rsid w:val="23DD71CB"/>
    <w:rsid w:val="24A68F9B"/>
    <w:rsid w:val="252087CA"/>
    <w:rsid w:val="2548C058"/>
    <w:rsid w:val="254FBFC0"/>
    <w:rsid w:val="25958DBC"/>
    <w:rsid w:val="25CCEDCF"/>
    <w:rsid w:val="2640F777"/>
    <w:rsid w:val="2641D0F8"/>
    <w:rsid w:val="2644B777"/>
    <w:rsid w:val="26A3E708"/>
    <w:rsid w:val="26F78E78"/>
    <w:rsid w:val="27675A78"/>
    <w:rsid w:val="28CC3B6F"/>
    <w:rsid w:val="28E0D8EB"/>
    <w:rsid w:val="28F61BA8"/>
    <w:rsid w:val="291126B6"/>
    <w:rsid w:val="29339C08"/>
    <w:rsid w:val="296BEEAD"/>
    <w:rsid w:val="29E46687"/>
    <w:rsid w:val="2A8BF679"/>
    <w:rsid w:val="2AC559A4"/>
    <w:rsid w:val="2B422D06"/>
    <w:rsid w:val="2B47617C"/>
    <w:rsid w:val="2B7AA9B6"/>
    <w:rsid w:val="2C71DCF6"/>
    <w:rsid w:val="2D44654C"/>
    <w:rsid w:val="2D47FB36"/>
    <w:rsid w:val="2D5A7F75"/>
    <w:rsid w:val="2D64E820"/>
    <w:rsid w:val="2D939396"/>
    <w:rsid w:val="2E1004F6"/>
    <w:rsid w:val="2E14D4E5"/>
    <w:rsid w:val="2E1B7D2F"/>
    <w:rsid w:val="2E53B275"/>
    <w:rsid w:val="2ECBF907"/>
    <w:rsid w:val="2ECE1208"/>
    <w:rsid w:val="2ECF62D0"/>
    <w:rsid w:val="2EEBB2DE"/>
    <w:rsid w:val="2FFE3295"/>
    <w:rsid w:val="3033ED52"/>
    <w:rsid w:val="305C6D64"/>
    <w:rsid w:val="306308AA"/>
    <w:rsid w:val="30E63332"/>
    <w:rsid w:val="30F7091C"/>
    <w:rsid w:val="30F7EF7E"/>
    <w:rsid w:val="3236E6B7"/>
    <w:rsid w:val="323CA0D2"/>
    <w:rsid w:val="325B8B9D"/>
    <w:rsid w:val="32807F0C"/>
    <w:rsid w:val="32B6BAE3"/>
    <w:rsid w:val="3302D5F5"/>
    <w:rsid w:val="3316371A"/>
    <w:rsid w:val="331C5302"/>
    <w:rsid w:val="337E678A"/>
    <w:rsid w:val="33B3B49A"/>
    <w:rsid w:val="33EE566E"/>
    <w:rsid w:val="34036084"/>
    <w:rsid w:val="346E292D"/>
    <w:rsid w:val="34B1ED1B"/>
    <w:rsid w:val="35B36AA1"/>
    <w:rsid w:val="35D8C7F3"/>
    <w:rsid w:val="368E0CBA"/>
    <w:rsid w:val="3721082B"/>
    <w:rsid w:val="37875D03"/>
    <w:rsid w:val="37CCB6BF"/>
    <w:rsid w:val="38C04AF9"/>
    <w:rsid w:val="38E23416"/>
    <w:rsid w:val="390CAE16"/>
    <w:rsid w:val="39D51CE4"/>
    <w:rsid w:val="3A285787"/>
    <w:rsid w:val="3A7AA0FF"/>
    <w:rsid w:val="3A86114D"/>
    <w:rsid w:val="3AC3EDF4"/>
    <w:rsid w:val="3AE5247C"/>
    <w:rsid w:val="3B3F5AFB"/>
    <w:rsid w:val="3B7EAB30"/>
    <w:rsid w:val="3BBFBC7D"/>
    <w:rsid w:val="3BCAD47B"/>
    <w:rsid w:val="3C4FEB60"/>
    <w:rsid w:val="3D20DE8A"/>
    <w:rsid w:val="3D38D64B"/>
    <w:rsid w:val="3FFB950B"/>
    <w:rsid w:val="40213AEC"/>
    <w:rsid w:val="404A2F77"/>
    <w:rsid w:val="406118F1"/>
    <w:rsid w:val="4089BAD0"/>
    <w:rsid w:val="40C6709D"/>
    <w:rsid w:val="40E2381D"/>
    <w:rsid w:val="4126578B"/>
    <w:rsid w:val="416EDA4B"/>
    <w:rsid w:val="4188424A"/>
    <w:rsid w:val="41E483BC"/>
    <w:rsid w:val="42F6DC04"/>
    <w:rsid w:val="4324BC72"/>
    <w:rsid w:val="43F470CB"/>
    <w:rsid w:val="440D949B"/>
    <w:rsid w:val="44250366"/>
    <w:rsid w:val="443C3339"/>
    <w:rsid w:val="45272971"/>
    <w:rsid w:val="452F4A4D"/>
    <w:rsid w:val="457CDD4D"/>
    <w:rsid w:val="45BAD286"/>
    <w:rsid w:val="45ED690C"/>
    <w:rsid w:val="45FFA6DA"/>
    <w:rsid w:val="4610AB3C"/>
    <w:rsid w:val="466C972D"/>
    <w:rsid w:val="466E72E6"/>
    <w:rsid w:val="467E17FB"/>
    <w:rsid w:val="4716399F"/>
    <w:rsid w:val="47793F20"/>
    <w:rsid w:val="47B75853"/>
    <w:rsid w:val="486F1F98"/>
    <w:rsid w:val="489CFE09"/>
    <w:rsid w:val="48C1B4FB"/>
    <w:rsid w:val="492E2371"/>
    <w:rsid w:val="49E6ECF5"/>
    <w:rsid w:val="49F468A6"/>
    <w:rsid w:val="49F7AF9A"/>
    <w:rsid w:val="4A2B48BF"/>
    <w:rsid w:val="4AD10F14"/>
    <w:rsid w:val="4B85F5F0"/>
    <w:rsid w:val="4C2A9F23"/>
    <w:rsid w:val="4C426DA5"/>
    <w:rsid w:val="4C6C83CE"/>
    <w:rsid w:val="4C78A6B9"/>
    <w:rsid w:val="4CACE9C1"/>
    <w:rsid w:val="4E31FFE9"/>
    <w:rsid w:val="4E79AA2D"/>
    <w:rsid w:val="4F18B13D"/>
    <w:rsid w:val="4FA3B843"/>
    <w:rsid w:val="4FEF68A5"/>
    <w:rsid w:val="508C5656"/>
    <w:rsid w:val="50A50155"/>
    <w:rsid w:val="50CE9328"/>
    <w:rsid w:val="50D18C6E"/>
    <w:rsid w:val="5116098F"/>
    <w:rsid w:val="514541A1"/>
    <w:rsid w:val="51AAC751"/>
    <w:rsid w:val="520359F6"/>
    <w:rsid w:val="5276E6BD"/>
    <w:rsid w:val="527789E0"/>
    <w:rsid w:val="53B0C220"/>
    <w:rsid w:val="541A696D"/>
    <w:rsid w:val="548B462A"/>
    <w:rsid w:val="55053002"/>
    <w:rsid w:val="5552C95D"/>
    <w:rsid w:val="55637D07"/>
    <w:rsid w:val="5669B103"/>
    <w:rsid w:val="56B6E4EB"/>
    <w:rsid w:val="57A511CF"/>
    <w:rsid w:val="57C07652"/>
    <w:rsid w:val="584BB4B8"/>
    <w:rsid w:val="589AB202"/>
    <w:rsid w:val="589BA7A5"/>
    <w:rsid w:val="5967A421"/>
    <w:rsid w:val="5A5E0A93"/>
    <w:rsid w:val="5B1289B8"/>
    <w:rsid w:val="5B5220FD"/>
    <w:rsid w:val="5BB0B722"/>
    <w:rsid w:val="5BDC56CD"/>
    <w:rsid w:val="5BE45843"/>
    <w:rsid w:val="5D0C42B5"/>
    <w:rsid w:val="5D923759"/>
    <w:rsid w:val="5DD951D6"/>
    <w:rsid w:val="5E519DC5"/>
    <w:rsid w:val="5EBFA266"/>
    <w:rsid w:val="5EF4588F"/>
    <w:rsid w:val="60273322"/>
    <w:rsid w:val="60543C79"/>
    <w:rsid w:val="60694457"/>
    <w:rsid w:val="6081B95F"/>
    <w:rsid w:val="6086A06E"/>
    <w:rsid w:val="616406E6"/>
    <w:rsid w:val="62507229"/>
    <w:rsid w:val="63B5D7E7"/>
    <w:rsid w:val="64095C67"/>
    <w:rsid w:val="6455076D"/>
    <w:rsid w:val="65346968"/>
    <w:rsid w:val="655D85D0"/>
    <w:rsid w:val="6577768C"/>
    <w:rsid w:val="65D8CAAF"/>
    <w:rsid w:val="65FFE925"/>
    <w:rsid w:val="66321D09"/>
    <w:rsid w:val="66BB4B34"/>
    <w:rsid w:val="671F6E4F"/>
    <w:rsid w:val="6799C7EC"/>
    <w:rsid w:val="67EE8F57"/>
    <w:rsid w:val="6827949A"/>
    <w:rsid w:val="6992F0DA"/>
    <w:rsid w:val="69BC8903"/>
    <w:rsid w:val="6A3778F2"/>
    <w:rsid w:val="6A446E06"/>
    <w:rsid w:val="6A6AEBD6"/>
    <w:rsid w:val="6A773B6C"/>
    <w:rsid w:val="6B20E8FC"/>
    <w:rsid w:val="6B2F1C60"/>
    <w:rsid w:val="6C1D6659"/>
    <w:rsid w:val="6C2740B7"/>
    <w:rsid w:val="6C6D2853"/>
    <w:rsid w:val="6CC85446"/>
    <w:rsid w:val="6D185940"/>
    <w:rsid w:val="6DA79E01"/>
    <w:rsid w:val="6E6195DD"/>
    <w:rsid w:val="6EBE011E"/>
    <w:rsid w:val="6EBF8E45"/>
    <w:rsid w:val="6FE4AE1A"/>
    <w:rsid w:val="6FE7C91D"/>
    <w:rsid w:val="6FFAA3DA"/>
    <w:rsid w:val="7021496C"/>
    <w:rsid w:val="7022BB9F"/>
    <w:rsid w:val="707559C4"/>
    <w:rsid w:val="709E9631"/>
    <w:rsid w:val="71543B6F"/>
    <w:rsid w:val="72414E00"/>
    <w:rsid w:val="7241FEC7"/>
    <w:rsid w:val="726CA219"/>
    <w:rsid w:val="730464FF"/>
    <w:rsid w:val="7322453D"/>
    <w:rsid w:val="7374ABE6"/>
    <w:rsid w:val="73D0A1B5"/>
    <w:rsid w:val="742C83F9"/>
    <w:rsid w:val="74983D88"/>
    <w:rsid w:val="75B2BD69"/>
    <w:rsid w:val="75B6A2D4"/>
    <w:rsid w:val="75FE08BD"/>
    <w:rsid w:val="771154B6"/>
    <w:rsid w:val="78BD844D"/>
    <w:rsid w:val="78EA5619"/>
    <w:rsid w:val="7902268F"/>
    <w:rsid w:val="7983E527"/>
    <w:rsid w:val="79AA0358"/>
    <w:rsid w:val="79BA26B4"/>
    <w:rsid w:val="79EA28EF"/>
    <w:rsid w:val="7A1B91F1"/>
    <w:rsid w:val="7A4DE881"/>
    <w:rsid w:val="7A629090"/>
    <w:rsid w:val="7AD4FC8C"/>
    <w:rsid w:val="7AEAAA5C"/>
    <w:rsid w:val="7B02BDE4"/>
    <w:rsid w:val="7B497264"/>
    <w:rsid w:val="7B53504F"/>
    <w:rsid w:val="7B5F5B87"/>
    <w:rsid w:val="7B78F56B"/>
    <w:rsid w:val="7BB67E88"/>
    <w:rsid w:val="7D060793"/>
    <w:rsid w:val="7D109BE1"/>
    <w:rsid w:val="7D2912C1"/>
    <w:rsid w:val="7D73A297"/>
    <w:rsid w:val="7DB53B65"/>
    <w:rsid w:val="7DF5FC82"/>
    <w:rsid w:val="7EDB3BA6"/>
    <w:rsid w:val="7F527E8A"/>
    <w:rsid w:val="7F89F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1721"/>
  <w15:chartTrackingRefBased/>
  <w15:docId w15:val="{0D9F2140-4F3A-46E5-BC9C-85C25DA1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4A"/>
  </w:style>
  <w:style w:type="paragraph" w:styleId="Heading2">
    <w:name w:val="heading 2"/>
    <w:basedOn w:val="Normal"/>
    <w:next w:val="Normal"/>
    <w:link w:val="Heading2Char"/>
    <w:uiPriority w:val="9"/>
    <w:unhideWhenUsed/>
    <w:qFormat/>
    <w:rsid w:val="003B7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744A"/>
    <w:pPr>
      <w:spacing w:after="0" w:line="240" w:lineRule="auto"/>
    </w:pPr>
  </w:style>
  <w:style w:type="paragraph" w:styleId="CommentText">
    <w:name w:val="annotation text"/>
    <w:basedOn w:val="Normal"/>
    <w:link w:val="CommentTextChar"/>
    <w:uiPriority w:val="99"/>
    <w:unhideWhenUsed/>
    <w:rsid w:val="003B744A"/>
    <w:pPr>
      <w:spacing w:line="240" w:lineRule="auto"/>
    </w:pPr>
    <w:rPr>
      <w:sz w:val="20"/>
      <w:szCs w:val="20"/>
    </w:rPr>
  </w:style>
  <w:style w:type="character" w:customStyle="1" w:styleId="CommentTextChar">
    <w:name w:val="Comment Text Char"/>
    <w:basedOn w:val="DefaultParagraphFont"/>
    <w:link w:val="CommentText"/>
    <w:uiPriority w:val="99"/>
    <w:rsid w:val="003B744A"/>
    <w:rPr>
      <w:sz w:val="20"/>
      <w:szCs w:val="20"/>
    </w:rPr>
  </w:style>
  <w:style w:type="character" w:styleId="CommentReference">
    <w:name w:val="annotation reference"/>
    <w:basedOn w:val="DefaultParagraphFont"/>
    <w:uiPriority w:val="99"/>
    <w:semiHidden/>
    <w:unhideWhenUsed/>
    <w:rsid w:val="003B744A"/>
    <w:rPr>
      <w:sz w:val="16"/>
      <w:szCs w:val="16"/>
    </w:rPr>
  </w:style>
  <w:style w:type="character" w:customStyle="1" w:styleId="Heading2Char">
    <w:name w:val="Heading 2 Char"/>
    <w:basedOn w:val="DefaultParagraphFont"/>
    <w:link w:val="Heading2"/>
    <w:uiPriority w:val="9"/>
    <w:rsid w:val="003B744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B744A"/>
    <w:pPr>
      <w:ind w:left="720"/>
      <w:contextualSpacing/>
    </w:pPr>
  </w:style>
  <w:style w:type="paragraph" w:styleId="CommentSubject">
    <w:name w:val="annotation subject"/>
    <w:basedOn w:val="CommentText"/>
    <w:next w:val="CommentText"/>
    <w:link w:val="CommentSubjectChar"/>
    <w:uiPriority w:val="99"/>
    <w:semiHidden/>
    <w:unhideWhenUsed/>
    <w:rsid w:val="00933164"/>
    <w:rPr>
      <w:b/>
      <w:bCs/>
    </w:rPr>
  </w:style>
  <w:style w:type="character" w:customStyle="1" w:styleId="CommentSubjectChar">
    <w:name w:val="Comment Subject Char"/>
    <w:basedOn w:val="CommentTextChar"/>
    <w:link w:val="CommentSubject"/>
    <w:uiPriority w:val="99"/>
    <w:semiHidden/>
    <w:rsid w:val="00933164"/>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6E7A86"/>
    <w:rPr>
      <w:color w:val="605E5C"/>
      <w:shd w:val="clear" w:color="auto" w:fill="E1DFDD"/>
    </w:rPr>
  </w:style>
  <w:style w:type="paragraph" w:styleId="Header">
    <w:name w:val="header"/>
    <w:basedOn w:val="Normal"/>
    <w:link w:val="HeaderChar"/>
    <w:uiPriority w:val="99"/>
    <w:unhideWhenUsed/>
    <w:rsid w:val="0021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782"/>
  </w:style>
  <w:style w:type="paragraph" w:styleId="Footer">
    <w:name w:val="footer"/>
    <w:basedOn w:val="Normal"/>
    <w:link w:val="FooterChar"/>
    <w:uiPriority w:val="99"/>
    <w:unhideWhenUsed/>
    <w:rsid w:val="0021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782"/>
  </w:style>
  <w:style w:type="paragraph" w:styleId="Revision">
    <w:name w:val="Revision"/>
    <w:hidden/>
    <w:uiPriority w:val="99"/>
    <w:semiHidden/>
    <w:rsid w:val="00A3129B"/>
    <w:pPr>
      <w:spacing w:after="0" w:line="240" w:lineRule="auto"/>
    </w:pPr>
  </w:style>
  <w:style w:type="paragraph" w:customStyle="1" w:styleId="Title1">
    <w:name w:val="Title1"/>
    <w:basedOn w:val="Normal"/>
    <w:link w:val="Title1Char"/>
    <w:uiPriority w:val="1"/>
    <w:qFormat/>
    <w:rsid w:val="2E1004F6"/>
    <w:pPr>
      <w:keepNext/>
      <w:keepLines/>
      <w:spacing w:before="40" w:after="0"/>
      <w:outlineLvl w:val="1"/>
    </w:pPr>
    <w:rPr>
      <w:rFonts w:eastAsiaTheme="minorEastAsia"/>
      <w:b/>
      <w:bCs/>
      <w:color w:val="1F4E79" w:themeColor="accent5" w:themeShade="80"/>
      <w:sz w:val="28"/>
      <w:szCs w:val="28"/>
    </w:rPr>
  </w:style>
  <w:style w:type="character" w:customStyle="1" w:styleId="Title1Char">
    <w:name w:val="Title1 Char"/>
    <w:basedOn w:val="DefaultParagraphFont"/>
    <w:link w:val="Title1"/>
    <w:rsid w:val="2E1004F6"/>
    <w:rPr>
      <w:rFonts w:asciiTheme="minorHAnsi" w:eastAsiaTheme="minorEastAsia" w:hAnsiTheme="minorHAnsi" w:cstheme="minorBidi"/>
      <w:b/>
      <w:bCs/>
      <w:color w:val="1F4E79" w:themeColor="accent5"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White, Emily A (DPH)</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092DE-3CA3-48A2-BD39-B1F0654A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5AA3B-A4C2-4575-B5B6-7C12A3949DF0}">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7E7FE43A-7526-470D-9B21-FB08D7EC4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Bombardier, Faith (DPH)</dc:creator>
  <cp:keywords/>
  <dc:description/>
  <cp:lastModifiedBy>Aynsley Chaneco</cp:lastModifiedBy>
  <cp:revision>184</cp:revision>
  <cp:lastPrinted>2023-05-23T18:53:00Z</cp:lastPrinted>
  <dcterms:created xsi:type="dcterms:W3CDTF">2023-04-24T18:59:00Z</dcterms:created>
  <dcterms:modified xsi:type="dcterms:W3CDTF">2024-12-02T19:46:00Z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