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A664" w14:textId="77777777" w:rsidR="002B1E75" w:rsidRDefault="002B1E75" w:rsidP="002B1E75">
      <w:pPr>
        <w:jc w:val="right"/>
        <w:rPr>
          <w:i/>
          <w:iCs/>
        </w:rPr>
      </w:pPr>
    </w:p>
    <w:p w14:paraId="47C63D0B" w14:textId="77777777" w:rsidR="002B1E75" w:rsidRPr="002771E6" w:rsidRDefault="002B1E75" w:rsidP="002B1E75">
      <w:pPr>
        <w:rPr>
          <w:i/>
          <w:iCs/>
        </w:rPr>
      </w:pPr>
    </w:p>
    <w:p w14:paraId="1B20AC5C" w14:textId="77777777" w:rsidR="002B1E75" w:rsidRPr="00FA1DD3" w:rsidRDefault="002B1E75" w:rsidP="002B1E75">
      <w:pPr>
        <w:spacing w:after="160" w:line="259" w:lineRule="auto"/>
        <w:jc w:val="center"/>
        <w:rPr>
          <w:sz w:val="30"/>
          <w:szCs w:val="30"/>
        </w:rPr>
      </w:pPr>
      <w:r w:rsidRPr="00FA1DD3">
        <w:rPr>
          <w:sz w:val="30"/>
          <w:szCs w:val="30"/>
        </w:rPr>
        <w:t>Dana</w:t>
      </w:r>
      <w:r>
        <w:rPr>
          <w:sz w:val="30"/>
          <w:szCs w:val="30"/>
        </w:rPr>
        <w:t>-</w:t>
      </w:r>
      <w:r w:rsidRPr="00FA1DD3">
        <w:rPr>
          <w:sz w:val="30"/>
          <w:szCs w:val="30"/>
        </w:rPr>
        <w:t>Farber Cancer Institute</w:t>
      </w:r>
      <w:r>
        <w:rPr>
          <w:sz w:val="30"/>
          <w:szCs w:val="30"/>
        </w:rPr>
        <w:t>, Inc.</w:t>
      </w:r>
    </w:p>
    <w:p w14:paraId="4F810556" w14:textId="6A27352A" w:rsidR="002B1E75" w:rsidRPr="00FA1DD3" w:rsidRDefault="002B1E75" w:rsidP="002B1E75">
      <w:pPr>
        <w:spacing w:after="160" w:line="259" w:lineRule="auto"/>
        <w:jc w:val="center"/>
        <w:rPr>
          <w:sz w:val="30"/>
          <w:szCs w:val="30"/>
        </w:rPr>
      </w:pPr>
      <w:proofErr w:type="spellStart"/>
      <w:r w:rsidRPr="00FA1DD3">
        <w:rPr>
          <w:sz w:val="30"/>
          <w:szCs w:val="30"/>
        </w:rPr>
        <w:t>DoN</w:t>
      </w:r>
      <w:proofErr w:type="spellEnd"/>
      <w:r w:rsidRPr="00FA1DD3">
        <w:rPr>
          <w:sz w:val="30"/>
          <w:szCs w:val="30"/>
        </w:rPr>
        <w:t xml:space="preserve"> Application #: </w:t>
      </w:r>
      <w:r w:rsidR="00953A96" w:rsidRPr="00953A96">
        <w:rPr>
          <w:sz w:val="30"/>
          <w:szCs w:val="30"/>
        </w:rPr>
        <w:t>DFCI-23040915-HE</w:t>
      </w:r>
    </w:p>
    <w:p w14:paraId="23B68BC3" w14:textId="77777777" w:rsidR="002B1E75" w:rsidRPr="00FA1DD3" w:rsidRDefault="002B1E75" w:rsidP="002B1E75">
      <w:pPr>
        <w:spacing w:after="160" w:line="259" w:lineRule="auto"/>
        <w:jc w:val="center"/>
        <w:rPr>
          <w:b/>
          <w:bCs/>
          <w:sz w:val="30"/>
          <w:szCs w:val="30"/>
        </w:rPr>
      </w:pPr>
      <w:r w:rsidRPr="00FA1DD3">
        <w:rPr>
          <w:b/>
          <w:bCs/>
          <w:sz w:val="30"/>
          <w:szCs w:val="30"/>
        </w:rPr>
        <w:t>Application for Determination of Need</w:t>
      </w:r>
    </w:p>
    <w:p w14:paraId="2D1C7150" w14:textId="4F54F1CD" w:rsidR="002B1E75" w:rsidRPr="00FA1DD3" w:rsidRDefault="002B1E75" w:rsidP="002B1E75">
      <w:pPr>
        <w:spacing w:after="160" w:line="259" w:lineRule="auto"/>
        <w:jc w:val="center"/>
        <w:rPr>
          <w:sz w:val="30"/>
          <w:szCs w:val="30"/>
        </w:rPr>
      </w:pPr>
    </w:p>
    <w:p w14:paraId="3733C9C1" w14:textId="30ECA376" w:rsidR="002B1E75" w:rsidRDefault="00953821" w:rsidP="006D408C">
      <w:pPr>
        <w:tabs>
          <w:tab w:val="center" w:pos="4680"/>
          <w:tab w:val="left" w:pos="8010"/>
          <w:tab w:val="left" w:pos="8640"/>
        </w:tabs>
        <w:spacing w:line="259" w:lineRule="auto"/>
        <w:rPr>
          <w:b/>
          <w:bCs/>
          <w:sz w:val="30"/>
          <w:szCs w:val="30"/>
        </w:rPr>
      </w:pPr>
      <w:r>
        <w:rPr>
          <w:b/>
          <w:bCs/>
          <w:sz w:val="30"/>
          <w:szCs w:val="30"/>
        </w:rPr>
        <w:tab/>
      </w:r>
      <w:r w:rsidR="00AC66A3">
        <w:rPr>
          <w:b/>
          <w:bCs/>
          <w:sz w:val="30"/>
          <w:szCs w:val="30"/>
        </w:rPr>
        <w:t xml:space="preserve">Substantial Capital Expenditure </w:t>
      </w:r>
      <w:r>
        <w:rPr>
          <w:b/>
          <w:bCs/>
          <w:sz w:val="30"/>
          <w:szCs w:val="30"/>
        </w:rPr>
        <w:tab/>
      </w:r>
      <w:r w:rsidR="006D408C">
        <w:rPr>
          <w:b/>
          <w:bCs/>
          <w:sz w:val="30"/>
          <w:szCs w:val="30"/>
        </w:rPr>
        <w:tab/>
      </w:r>
    </w:p>
    <w:p w14:paraId="6F4F4670" w14:textId="77777777" w:rsidR="00CB5D13" w:rsidRDefault="00E72E40" w:rsidP="00E72E40">
      <w:pPr>
        <w:tabs>
          <w:tab w:val="center" w:pos="4680"/>
          <w:tab w:val="left" w:pos="7510"/>
        </w:tabs>
        <w:spacing w:line="259" w:lineRule="auto"/>
        <w:rPr>
          <w:b/>
          <w:bCs/>
          <w:sz w:val="30"/>
          <w:szCs w:val="30"/>
        </w:rPr>
      </w:pPr>
      <w:r>
        <w:rPr>
          <w:b/>
          <w:bCs/>
          <w:sz w:val="30"/>
          <w:szCs w:val="30"/>
        </w:rPr>
        <w:tab/>
      </w:r>
      <w:r w:rsidR="00AC66A3">
        <w:rPr>
          <w:b/>
          <w:bCs/>
          <w:sz w:val="30"/>
          <w:szCs w:val="30"/>
        </w:rPr>
        <w:t>Substantial Change in Service</w:t>
      </w:r>
    </w:p>
    <w:p w14:paraId="58CFB3B9" w14:textId="1B563926" w:rsidR="003D7FC8" w:rsidRDefault="00CB5D13" w:rsidP="003D7FC8">
      <w:pPr>
        <w:tabs>
          <w:tab w:val="center" w:pos="4680"/>
          <w:tab w:val="left" w:pos="7510"/>
        </w:tabs>
        <w:spacing w:line="259" w:lineRule="auto"/>
        <w:rPr>
          <w:b/>
          <w:bCs/>
          <w:sz w:val="30"/>
          <w:szCs w:val="30"/>
        </w:rPr>
      </w:pPr>
      <w:r>
        <w:rPr>
          <w:b/>
          <w:bCs/>
          <w:sz w:val="30"/>
          <w:szCs w:val="30"/>
        </w:rPr>
        <w:tab/>
      </w:r>
    </w:p>
    <w:p w14:paraId="332EAC68" w14:textId="2129A111" w:rsidR="00AC66A3" w:rsidRDefault="00AC66A3" w:rsidP="00AC66A3">
      <w:pPr>
        <w:spacing w:line="259" w:lineRule="auto"/>
        <w:jc w:val="center"/>
        <w:rPr>
          <w:b/>
          <w:bCs/>
          <w:sz w:val="30"/>
          <w:szCs w:val="30"/>
        </w:rPr>
      </w:pPr>
      <w:r>
        <w:rPr>
          <w:b/>
          <w:bCs/>
          <w:sz w:val="30"/>
          <w:szCs w:val="30"/>
        </w:rPr>
        <w:t xml:space="preserve"> </w:t>
      </w:r>
    </w:p>
    <w:p w14:paraId="2098D059" w14:textId="77777777" w:rsidR="00AC66A3" w:rsidRDefault="00AC66A3" w:rsidP="00AC66A3">
      <w:pPr>
        <w:spacing w:line="259" w:lineRule="auto"/>
        <w:jc w:val="center"/>
        <w:rPr>
          <w:sz w:val="30"/>
          <w:szCs w:val="30"/>
        </w:rPr>
      </w:pPr>
    </w:p>
    <w:p w14:paraId="217DB383" w14:textId="77777777" w:rsidR="00AC66A3" w:rsidRPr="00FA1DD3" w:rsidRDefault="00AC66A3" w:rsidP="00AC66A3">
      <w:pPr>
        <w:spacing w:line="259" w:lineRule="auto"/>
        <w:jc w:val="center"/>
        <w:rPr>
          <w:sz w:val="30"/>
          <w:szCs w:val="30"/>
        </w:rPr>
      </w:pPr>
    </w:p>
    <w:p w14:paraId="6E5C5F83" w14:textId="230F99FD" w:rsidR="002B1E75" w:rsidRPr="00FA1DD3" w:rsidRDefault="004952AC" w:rsidP="002B1E75">
      <w:pPr>
        <w:spacing w:after="160" w:line="259" w:lineRule="auto"/>
        <w:jc w:val="center"/>
        <w:rPr>
          <w:sz w:val="30"/>
          <w:szCs w:val="30"/>
        </w:rPr>
      </w:pPr>
      <w:r>
        <w:rPr>
          <w:sz w:val="30"/>
          <w:szCs w:val="30"/>
        </w:rPr>
        <w:t>October 24</w:t>
      </w:r>
      <w:r w:rsidR="002B1E75">
        <w:rPr>
          <w:sz w:val="30"/>
          <w:szCs w:val="30"/>
        </w:rPr>
        <w:t>, 2023</w:t>
      </w:r>
    </w:p>
    <w:p w14:paraId="68C903E5" w14:textId="77777777" w:rsidR="002B1E75" w:rsidRPr="00FA1DD3" w:rsidRDefault="002B1E75" w:rsidP="002B1E75">
      <w:pPr>
        <w:spacing w:after="160" w:line="259" w:lineRule="auto"/>
        <w:jc w:val="center"/>
        <w:rPr>
          <w:sz w:val="30"/>
          <w:szCs w:val="30"/>
        </w:rPr>
      </w:pPr>
    </w:p>
    <w:p w14:paraId="02A76A32" w14:textId="77777777" w:rsidR="002B1E75" w:rsidRPr="00FA1DD3" w:rsidRDefault="002B1E75" w:rsidP="002B1E75">
      <w:pPr>
        <w:spacing w:after="160" w:line="259" w:lineRule="auto"/>
        <w:jc w:val="center"/>
        <w:rPr>
          <w:sz w:val="30"/>
          <w:szCs w:val="30"/>
        </w:rPr>
      </w:pPr>
    </w:p>
    <w:p w14:paraId="6BA1B942" w14:textId="77777777" w:rsidR="002B1E75" w:rsidRPr="00FA1DD3" w:rsidRDefault="002B1E75" w:rsidP="002B1E75">
      <w:pPr>
        <w:spacing w:after="160" w:line="259" w:lineRule="auto"/>
        <w:jc w:val="center"/>
        <w:rPr>
          <w:sz w:val="30"/>
          <w:szCs w:val="30"/>
        </w:rPr>
      </w:pPr>
    </w:p>
    <w:p w14:paraId="364D028E" w14:textId="77777777" w:rsidR="002B1E75" w:rsidRPr="00FA1DD3" w:rsidRDefault="002B1E75" w:rsidP="002B1E75">
      <w:pPr>
        <w:spacing w:after="160" w:line="259" w:lineRule="auto"/>
        <w:jc w:val="center"/>
        <w:rPr>
          <w:sz w:val="30"/>
          <w:szCs w:val="30"/>
        </w:rPr>
      </w:pPr>
    </w:p>
    <w:p w14:paraId="4367C971" w14:textId="77777777" w:rsidR="002B1E75" w:rsidRPr="00FA1DD3" w:rsidRDefault="002B1E75" w:rsidP="002B1E75">
      <w:pPr>
        <w:spacing w:after="160" w:line="259" w:lineRule="auto"/>
        <w:jc w:val="center"/>
        <w:rPr>
          <w:sz w:val="30"/>
          <w:szCs w:val="30"/>
        </w:rPr>
      </w:pPr>
    </w:p>
    <w:p w14:paraId="7FA7D54E" w14:textId="77777777" w:rsidR="002B1E75" w:rsidRPr="00FA1DD3" w:rsidRDefault="002B1E75" w:rsidP="002B1E75">
      <w:pPr>
        <w:spacing w:after="160" w:line="259" w:lineRule="auto"/>
        <w:jc w:val="center"/>
        <w:rPr>
          <w:sz w:val="30"/>
          <w:szCs w:val="30"/>
        </w:rPr>
      </w:pPr>
      <w:r w:rsidRPr="00FA1DD3">
        <w:rPr>
          <w:sz w:val="30"/>
          <w:szCs w:val="30"/>
        </w:rPr>
        <w:t>Submitted By</w:t>
      </w:r>
    </w:p>
    <w:p w14:paraId="64AF08B2" w14:textId="77777777" w:rsidR="002B1E75" w:rsidRPr="00FA1DD3" w:rsidRDefault="002B1E75" w:rsidP="002B1E75">
      <w:pPr>
        <w:spacing w:after="160" w:line="259" w:lineRule="auto"/>
        <w:jc w:val="center"/>
        <w:rPr>
          <w:sz w:val="30"/>
          <w:szCs w:val="30"/>
        </w:rPr>
      </w:pPr>
      <w:r w:rsidRPr="00FA1DD3">
        <w:rPr>
          <w:sz w:val="30"/>
          <w:szCs w:val="30"/>
        </w:rPr>
        <w:t>Dana</w:t>
      </w:r>
      <w:r>
        <w:rPr>
          <w:sz w:val="30"/>
          <w:szCs w:val="30"/>
        </w:rPr>
        <w:t>-</w:t>
      </w:r>
      <w:r w:rsidRPr="00FA1DD3">
        <w:rPr>
          <w:sz w:val="30"/>
          <w:szCs w:val="30"/>
        </w:rPr>
        <w:t>Farber Cancer Institute</w:t>
      </w:r>
      <w:r>
        <w:rPr>
          <w:sz w:val="30"/>
          <w:szCs w:val="30"/>
        </w:rPr>
        <w:t>, Inc.</w:t>
      </w:r>
    </w:p>
    <w:p w14:paraId="29ED7C24" w14:textId="77777777" w:rsidR="002B1E75" w:rsidRPr="00FA1DD3" w:rsidRDefault="002B1E75" w:rsidP="002B1E75">
      <w:pPr>
        <w:spacing w:after="160" w:line="259" w:lineRule="auto"/>
        <w:jc w:val="center"/>
        <w:rPr>
          <w:sz w:val="30"/>
          <w:szCs w:val="30"/>
        </w:rPr>
      </w:pPr>
      <w:r w:rsidRPr="00FA1DD3">
        <w:rPr>
          <w:sz w:val="30"/>
          <w:szCs w:val="30"/>
        </w:rPr>
        <w:t>450 Brookline Avenue</w:t>
      </w:r>
    </w:p>
    <w:p w14:paraId="16C04500" w14:textId="77777777" w:rsidR="002B1E75" w:rsidRPr="00FA1DD3" w:rsidRDefault="002B1E75" w:rsidP="002B1E75">
      <w:pPr>
        <w:spacing w:after="160" w:line="259" w:lineRule="auto"/>
        <w:jc w:val="center"/>
        <w:rPr>
          <w:szCs w:val="24"/>
        </w:rPr>
        <w:sectPr w:rsidR="002B1E75" w:rsidRPr="00FA1DD3" w:rsidSect="00DA6EAA">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rsidRPr="00FA1DD3">
        <w:rPr>
          <w:sz w:val="30"/>
          <w:szCs w:val="30"/>
        </w:rPr>
        <w:t>Boston, MA 02215-5450</w:t>
      </w:r>
    </w:p>
    <w:sdt>
      <w:sdtPr>
        <w:rPr>
          <w:rFonts w:ascii="Times New Roman" w:eastAsia="Calibri" w:hAnsi="Times New Roman" w:cs="Times New Roman"/>
          <w:b/>
          <w:bCs/>
          <w:color w:val="auto"/>
          <w:sz w:val="24"/>
          <w:szCs w:val="20"/>
        </w:rPr>
        <w:id w:val="1296026504"/>
        <w:docPartObj>
          <w:docPartGallery w:val="Table of Contents"/>
          <w:docPartUnique/>
        </w:docPartObj>
      </w:sdtPr>
      <w:sdtContent>
        <w:p w14:paraId="28F5A32C" w14:textId="77777777" w:rsidR="00DD0BD2" w:rsidRPr="003B3C35" w:rsidRDefault="00DD0BD2" w:rsidP="00DD0BD2">
          <w:pPr>
            <w:pStyle w:val="TOCHeading"/>
            <w:jc w:val="center"/>
            <w:rPr>
              <w:rFonts w:ascii="Times New Roman" w:hAnsi="Times New Roman" w:cs="Times New Roman"/>
              <w:b/>
              <w:bCs/>
              <w:color w:val="auto"/>
              <w:sz w:val="28"/>
              <w:szCs w:val="28"/>
            </w:rPr>
          </w:pPr>
          <w:r w:rsidRPr="003B3C35">
            <w:rPr>
              <w:rFonts w:ascii="Times New Roman" w:hAnsi="Times New Roman" w:cs="Times New Roman"/>
              <w:b/>
              <w:bCs/>
              <w:color w:val="auto"/>
              <w:sz w:val="28"/>
              <w:szCs w:val="28"/>
              <w:u w:val="single"/>
            </w:rPr>
            <w:t>Table of Contents</w:t>
          </w:r>
        </w:p>
        <w:p w14:paraId="72819D0F" w14:textId="77777777" w:rsidR="00DD0BD2" w:rsidRPr="003B3C35" w:rsidRDefault="00DD0BD2" w:rsidP="00DD0BD2">
          <w:pPr>
            <w:pStyle w:val="TOC1"/>
            <w:rPr>
              <w:sz w:val="22"/>
              <w:szCs w:val="18"/>
            </w:rPr>
          </w:pPr>
          <w:r w:rsidRPr="003B3C35">
            <w:rPr>
              <w:sz w:val="22"/>
              <w:szCs w:val="18"/>
            </w:rPr>
            <w:t>Introduction</w:t>
          </w:r>
          <w:r w:rsidRPr="003B3C35">
            <w:rPr>
              <w:b w:val="0"/>
              <w:bCs w:val="0"/>
              <w:sz w:val="22"/>
              <w:szCs w:val="18"/>
            </w:rPr>
            <w:ptab w:relativeTo="margin" w:alignment="right" w:leader="dot"/>
          </w:r>
          <w:r w:rsidRPr="003B3C35">
            <w:rPr>
              <w:b w:val="0"/>
              <w:bCs w:val="0"/>
              <w:sz w:val="22"/>
              <w:szCs w:val="18"/>
            </w:rPr>
            <w:t>1</w:t>
          </w:r>
        </w:p>
        <w:p w14:paraId="71732CA0" w14:textId="143DA76E" w:rsidR="00DD0BD2" w:rsidRPr="003B3C35" w:rsidRDefault="00DD0BD2" w:rsidP="00DD0BD2">
          <w:pPr>
            <w:pStyle w:val="TOC1"/>
            <w:rPr>
              <w:sz w:val="22"/>
              <w:szCs w:val="18"/>
            </w:rPr>
          </w:pPr>
          <w:r w:rsidRPr="003B3C35">
            <w:rPr>
              <w:sz w:val="22"/>
              <w:szCs w:val="18"/>
            </w:rPr>
            <w:t>Attachment 1: Project Description</w:t>
          </w:r>
          <w:r w:rsidRPr="003B3C35">
            <w:rPr>
              <w:b w:val="0"/>
              <w:bCs w:val="0"/>
              <w:sz w:val="22"/>
              <w:szCs w:val="18"/>
            </w:rPr>
            <w:ptab w:relativeTo="margin" w:alignment="right" w:leader="dot"/>
          </w:r>
          <w:r w:rsidR="00DA6EAA" w:rsidRPr="003B3C35">
            <w:rPr>
              <w:b w:val="0"/>
              <w:bCs w:val="0"/>
              <w:sz w:val="22"/>
              <w:szCs w:val="18"/>
            </w:rPr>
            <w:t>3</w:t>
          </w:r>
        </w:p>
        <w:p w14:paraId="6A83F0C8" w14:textId="383AFC51" w:rsidR="00DD0BD2" w:rsidRPr="003B3C35" w:rsidRDefault="00DD0BD2" w:rsidP="00DD0BD2">
          <w:pPr>
            <w:pStyle w:val="TOC1"/>
            <w:rPr>
              <w:sz w:val="22"/>
              <w:szCs w:val="18"/>
            </w:rPr>
          </w:pPr>
          <w:r w:rsidRPr="003B3C35">
            <w:rPr>
              <w:sz w:val="22"/>
              <w:szCs w:val="18"/>
            </w:rPr>
            <w:t>Attachment 2: Determination of Need Narrative Responses</w:t>
          </w:r>
          <w:r w:rsidRPr="003B3C35">
            <w:rPr>
              <w:b w:val="0"/>
              <w:bCs w:val="0"/>
              <w:sz w:val="22"/>
              <w:szCs w:val="18"/>
            </w:rPr>
            <w:ptab w:relativeTo="margin" w:alignment="right" w:leader="dot"/>
          </w:r>
          <w:r w:rsidR="00DA6EAA" w:rsidRPr="003B3C35">
            <w:rPr>
              <w:b w:val="0"/>
              <w:bCs w:val="0"/>
              <w:sz w:val="22"/>
              <w:szCs w:val="18"/>
            </w:rPr>
            <w:t>4</w:t>
          </w:r>
          <w:r w:rsidRPr="003B3C35">
            <w:rPr>
              <w:b w:val="0"/>
              <w:bCs w:val="0"/>
              <w:sz w:val="22"/>
              <w:szCs w:val="18"/>
            </w:rPr>
            <w:t>-</w:t>
          </w:r>
          <w:r w:rsidR="009964C5">
            <w:rPr>
              <w:b w:val="0"/>
              <w:bCs w:val="0"/>
              <w:sz w:val="22"/>
              <w:szCs w:val="18"/>
            </w:rPr>
            <w:t>51</w:t>
          </w:r>
        </w:p>
        <w:p w14:paraId="62B90FD5" w14:textId="31E70682" w:rsidR="00DD0BD2" w:rsidRPr="003B3C35" w:rsidRDefault="00DD0BD2" w:rsidP="00682E22">
          <w:pPr>
            <w:pStyle w:val="TOC2"/>
          </w:pPr>
          <w:r w:rsidRPr="003B3C35">
            <w:rPr>
              <w:u w:val="single"/>
            </w:rPr>
            <w:t>Factor 1.a.i</w:t>
          </w:r>
          <w:r w:rsidRPr="003B3C35">
            <w:t xml:space="preserve">       Patient Panel </w:t>
          </w:r>
          <w:r w:rsidRPr="003B3C35">
            <w:ptab w:relativeTo="margin" w:alignment="right" w:leader="dot"/>
          </w:r>
          <w:r w:rsidR="00DA6EAA" w:rsidRPr="003B3C35">
            <w:t>4</w:t>
          </w:r>
        </w:p>
        <w:p w14:paraId="70A13CC9" w14:textId="1D532561" w:rsidR="00DD0BD2" w:rsidRPr="003B3C35" w:rsidRDefault="00DD0BD2" w:rsidP="00682E22">
          <w:pPr>
            <w:pStyle w:val="TOC2"/>
          </w:pPr>
          <w:r w:rsidRPr="003B3C35">
            <w:rPr>
              <w:u w:val="single"/>
            </w:rPr>
            <w:t xml:space="preserve">Factor 1.a.ii </w:t>
          </w:r>
          <w:r w:rsidRPr="003B3C35">
            <w:t xml:space="preserve">     Need by Patient Panel</w:t>
          </w:r>
          <w:r w:rsidRPr="003B3C35">
            <w:ptab w:relativeTo="margin" w:alignment="right" w:leader="dot"/>
          </w:r>
          <w:r w:rsidRPr="003B3C35">
            <w:t>1</w:t>
          </w:r>
          <w:r w:rsidR="007574CE">
            <w:t>5</w:t>
          </w:r>
        </w:p>
        <w:p w14:paraId="74A5E620" w14:textId="045CE256" w:rsidR="00DD0BD2" w:rsidRPr="003B3C35" w:rsidRDefault="00DD0BD2" w:rsidP="00682E22">
          <w:pPr>
            <w:pStyle w:val="TOC2"/>
          </w:pPr>
          <w:r w:rsidRPr="003B3C35">
            <w:rPr>
              <w:u w:val="single"/>
            </w:rPr>
            <w:t xml:space="preserve">Factor 1.a.iii </w:t>
          </w:r>
          <w:r w:rsidRPr="003B3C35">
            <w:t xml:space="preserve">    Competition</w:t>
          </w:r>
          <w:r w:rsidRPr="003B3C35">
            <w:ptab w:relativeTo="margin" w:alignment="right" w:leader="dot"/>
          </w:r>
          <w:r w:rsidRPr="003B3C35">
            <w:t>2</w:t>
          </w:r>
          <w:r w:rsidR="007574CE">
            <w:t>8</w:t>
          </w:r>
        </w:p>
        <w:p w14:paraId="1B7A4440" w14:textId="5312F73D" w:rsidR="00DD0BD2" w:rsidRPr="003B3C35" w:rsidRDefault="00DD0BD2" w:rsidP="00682E22">
          <w:pPr>
            <w:pStyle w:val="TOC2"/>
          </w:pPr>
          <w:r w:rsidRPr="003B3C35">
            <w:rPr>
              <w:u w:val="single"/>
            </w:rPr>
            <w:t xml:space="preserve">Factor 1.b.i </w:t>
          </w:r>
          <w:r w:rsidRPr="003B3C35">
            <w:t xml:space="preserve">      Public Health Value/Evidence-Based</w:t>
          </w:r>
          <w:r w:rsidRPr="003B3C35">
            <w:ptab w:relativeTo="margin" w:alignment="right" w:leader="dot"/>
          </w:r>
          <w:r w:rsidR="007574CE">
            <w:t>29</w:t>
          </w:r>
        </w:p>
        <w:p w14:paraId="3C991102" w14:textId="3B6FAA7B" w:rsidR="00DD0BD2" w:rsidRPr="003B3C35" w:rsidRDefault="00DD0BD2" w:rsidP="00682E22">
          <w:pPr>
            <w:pStyle w:val="TOC2"/>
          </w:pPr>
          <w:r w:rsidRPr="003B3C35">
            <w:rPr>
              <w:u w:val="single"/>
            </w:rPr>
            <w:t xml:space="preserve">Factor 1.b.ii </w:t>
          </w:r>
          <w:r w:rsidRPr="003B3C35">
            <w:t xml:space="preserve">     Public Health Value/Outcome-Oriented</w:t>
          </w:r>
          <w:r w:rsidRPr="003B3C35">
            <w:ptab w:relativeTo="margin" w:alignment="right" w:leader="dot"/>
          </w:r>
          <w:r w:rsidR="005F39ED">
            <w:t>3</w:t>
          </w:r>
          <w:r w:rsidR="007574CE">
            <w:t>0</w:t>
          </w:r>
        </w:p>
        <w:p w14:paraId="572E57B0" w14:textId="08E424CF" w:rsidR="00DD0BD2" w:rsidRPr="003B3C35" w:rsidRDefault="00DD0BD2" w:rsidP="00682E22">
          <w:pPr>
            <w:pStyle w:val="TOC2"/>
          </w:pPr>
          <w:r w:rsidRPr="003B3C35">
            <w:rPr>
              <w:u w:val="single"/>
            </w:rPr>
            <w:t xml:space="preserve">Factor 1.b.iii </w:t>
          </w:r>
          <w:r w:rsidRPr="003B3C35">
            <w:t xml:space="preserve">    Public Health Value/Health Equity-Focused</w:t>
          </w:r>
          <w:r w:rsidRPr="003B3C35">
            <w:ptab w:relativeTo="margin" w:alignment="right" w:leader="dot"/>
          </w:r>
          <w:r w:rsidR="005F39ED">
            <w:t>3</w:t>
          </w:r>
          <w:r w:rsidR="007574CE">
            <w:t>1</w:t>
          </w:r>
        </w:p>
        <w:p w14:paraId="27E6CC3D" w14:textId="3ADF339C" w:rsidR="00DD0BD2" w:rsidRPr="003B3C35" w:rsidRDefault="00DD0BD2" w:rsidP="00682E22">
          <w:pPr>
            <w:pStyle w:val="TOC2"/>
          </w:pPr>
          <w:r w:rsidRPr="003B3C35">
            <w:rPr>
              <w:u w:val="single"/>
            </w:rPr>
            <w:t>Factor 1.b.iv</w:t>
          </w:r>
          <w:r w:rsidRPr="003B3C35">
            <w:t xml:space="preserve">     Public Health Value/Health Equity-Focused (Additional Info)</w:t>
          </w:r>
          <w:r w:rsidRPr="003B3C35">
            <w:ptab w:relativeTo="margin" w:alignment="right" w:leader="dot"/>
          </w:r>
          <w:r w:rsidRPr="003B3C35">
            <w:t>3</w:t>
          </w:r>
          <w:r w:rsidR="007574CE">
            <w:t>5</w:t>
          </w:r>
        </w:p>
        <w:p w14:paraId="5C35F6B5" w14:textId="44054CDB" w:rsidR="00DD0BD2" w:rsidRPr="003B3C35" w:rsidRDefault="00DD0BD2" w:rsidP="00682E22">
          <w:pPr>
            <w:pStyle w:val="TOC2"/>
          </w:pPr>
          <w:r w:rsidRPr="003B3C35">
            <w:rPr>
              <w:u w:val="single"/>
            </w:rPr>
            <w:t>Factor 1.c</w:t>
          </w:r>
          <w:r w:rsidR="00682E22">
            <w:tab/>
          </w:r>
          <w:r w:rsidR="00682E22">
            <w:tab/>
          </w:r>
          <w:r w:rsidRPr="003B3C35">
            <w:t>Furthering and Improving Continuity and Coordination of Care</w:t>
          </w:r>
          <w:r w:rsidRPr="003B3C35">
            <w:ptab w:relativeTo="margin" w:alignment="right" w:leader="dot"/>
          </w:r>
          <w:r w:rsidRPr="003B3C35">
            <w:t>3</w:t>
          </w:r>
          <w:r w:rsidR="007574CE">
            <w:t>7</w:t>
          </w:r>
        </w:p>
        <w:p w14:paraId="1D466096" w14:textId="48AA3698" w:rsidR="00DD0BD2" w:rsidRPr="003B3C35" w:rsidRDefault="00DD0BD2" w:rsidP="00682E22">
          <w:pPr>
            <w:pStyle w:val="TOC2"/>
          </w:pPr>
          <w:r w:rsidRPr="003B3C35">
            <w:rPr>
              <w:u w:val="single"/>
            </w:rPr>
            <w:t>Factor 1.d</w:t>
          </w:r>
          <w:r w:rsidRPr="003B3C35">
            <w:t xml:space="preserve">     </w:t>
          </w:r>
          <w:r w:rsidR="00682E22">
            <w:tab/>
          </w:r>
          <w:r w:rsidRPr="003B3C35">
            <w:t>Consultation with Government Agencies</w:t>
          </w:r>
          <w:r w:rsidRPr="003B3C35">
            <w:ptab w:relativeTo="margin" w:alignment="right" w:leader="dot"/>
          </w:r>
          <w:r w:rsidR="007574CE">
            <w:t>39</w:t>
          </w:r>
        </w:p>
        <w:p w14:paraId="2FF4245F" w14:textId="44FD4F2B" w:rsidR="00DD0BD2" w:rsidRPr="003B3C35" w:rsidRDefault="00DD0BD2" w:rsidP="00682E22">
          <w:pPr>
            <w:pStyle w:val="TOC2"/>
          </w:pPr>
          <w:r w:rsidRPr="003B3C35">
            <w:rPr>
              <w:u w:val="single"/>
            </w:rPr>
            <w:t>Factor 1.e.i</w:t>
          </w:r>
          <w:r w:rsidRPr="003B3C35">
            <w:t xml:space="preserve">     </w:t>
          </w:r>
          <w:r w:rsidR="00682E22">
            <w:tab/>
          </w:r>
          <w:r w:rsidRPr="003B3C35">
            <w:t>Process for Determining Need/Evidence of Community Engagement</w:t>
          </w:r>
          <w:r w:rsidRPr="003B3C35">
            <w:ptab w:relativeTo="margin" w:alignment="right" w:leader="dot"/>
          </w:r>
          <w:r w:rsidR="005F39ED">
            <w:t>4</w:t>
          </w:r>
          <w:r w:rsidR="007574CE">
            <w:t>0</w:t>
          </w:r>
        </w:p>
        <w:p w14:paraId="44242E19" w14:textId="44D2F851" w:rsidR="00DD0BD2" w:rsidRPr="003B3C35" w:rsidRDefault="00DD0BD2" w:rsidP="00682E22">
          <w:pPr>
            <w:pStyle w:val="TOC2"/>
          </w:pPr>
          <w:r w:rsidRPr="003B3C35">
            <w:rPr>
              <w:u w:val="single"/>
            </w:rPr>
            <w:t>Factor 1.e.ii</w:t>
          </w:r>
          <w:r w:rsidRPr="003B3C35">
            <w:t xml:space="preserve">    </w:t>
          </w:r>
          <w:r w:rsidR="00682E22">
            <w:tab/>
          </w:r>
          <w:r w:rsidRPr="003B3C35">
            <w:t>Evidence of Community Engagement/Public Health Value</w:t>
          </w:r>
          <w:r w:rsidRPr="003B3C35">
            <w:ptab w:relativeTo="margin" w:alignment="right" w:leader="dot"/>
          </w:r>
          <w:r w:rsidR="005F39ED">
            <w:t>4</w:t>
          </w:r>
          <w:r w:rsidR="007574CE">
            <w:t>1</w:t>
          </w:r>
        </w:p>
        <w:p w14:paraId="3B0949E7" w14:textId="39E8B35B" w:rsidR="00DD0BD2" w:rsidRPr="003B3C35" w:rsidRDefault="00DD0BD2" w:rsidP="00682E22">
          <w:pPr>
            <w:pStyle w:val="TOC2"/>
            <w:rPr>
              <w:b/>
              <w:bCs/>
            </w:rPr>
          </w:pPr>
          <w:r w:rsidRPr="003B3C35">
            <w:rPr>
              <w:u w:val="single"/>
            </w:rPr>
            <w:t>Factor 2.a</w:t>
          </w:r>
          <w:r w:rsidRPr="003B3C35">
            <w:t xml:space="preserve">     </w:t>
          </w:r>
          <w:r w:rsidR="00682E22">
            <w:tab/>
          </w:r>
          <w:r w:rsidRPr="003B3C35">
            <w:t>Cost Containment</w:t>
          </w:r>
          <w:r w:rsidRPr="003B3C35">
            <w:ptab w:relativeTo="margin" w:alignment="right" w:leader="dot"/>
          </w:r>
          <w:r w:rsidR="005F39ED">
            <w:t>4</w:t>
          </w:r>
          <w:r w:rsidR="007574CE">
            <w:t>2</w:t>
          </w:r>
        </w:p>
        <w:p w14:paraId="6E64EE12" w14:textId="75FDEB16" w:rsidR="00DD0BD2" w:rsidRPr="003B3C35" w:rsidRDefault="00DD0BD2" w:rsidP="00682E22">
          <w:pPr>
            <w:pStyle w:val="TOC2"/>
          </w:pPr>
          <w:r w:rsidRPr="003B3C35">
            <w:rPr>
              <w:u w:val="single"/>
            </w:rPr>
            <w:t xml:space="preserve">Factor 2.b </w:t>
          </w:r>
          <w:r w:rsidRPr="003B3C35">
            <w:t xml:space="preserve">      </w:t>
          </w:r>
          <w:r w:rsidR="00682E22">
            <w:tab/>
          </w:r>
          <w:r w:rsidRPr="003B3C35">
            <w:t>Public Health Outcomes</w:t>
          </w:r>
          <w:r w:rsidRPr="003B3C35">
            <w:ptab w:relativeTo="margin" w:alignment="right" w:leader="dot"/>
          </w:r>
          <w:r w:rsidR="005F39ED">
            <w:t>4</w:t>
          </w:r>
          <w:r w:rsidR="000111E7">
            <w:t>4</w:t>
          </w:r>
        </w:p>
        <w:p w14:paraId="310E097F" w14:textId="66624C8E" w:rsidR="00DD0BD2" w:rsidRPr="003B3C35" w:rsidRDefault="00DD0BD2" w:rsidP="00682E22">
          <w:pPr>
            <w:pStyle w:val="TOC2"/>
          </w:pPr>
          <w:r w:rsidRPr="003B3C35">
            <w:rPr>
              <w:u w:val="single"/>
            </w:rPr>
            <w:t>Factor 2.c</w:t>
          </w:r>
          <w:r w:rsidRPr="003B3C35">
            <w:t xml:space="preserve">       </w:t>
          </w:r>
          <w:r w:rsidR="00682E22">
            <w:tab/>
          </w:r>
          <w:r w:rsidRPr="003B3C35">
            <w:t>Delivery System Transformation</w:t>
          </w:r>
          <w:r w:rsidRPr="003B3C35">
            <w:ptab w:relativeTo="margin" w:alignment="right" w:leader="dot"/>
          </w:r>
          <w:r w:rsidR="00DB0A0D" w:rsidRPr="003B3C35">
            <w:t>4</w:t>
          </w:r>
          <w:r w:rsidR="00B937FA">
            <w:t>5</w:t>
          </w:r>
        </w:p>
        <w:p w14:paraId="1661BF33" w14:textId="78314F8A" w:rsidR="00E246A6" w:rsidRDefault="00DD0BD2" w:rsidP="00682E22">
          <w:pPr>
            <w:pStyle w:val="TOC2"/>
          </w:pPr>
          <w:r w:rsidRPr="003B3C35">
            <w:rPr>
              <w:u w:val="single"/>
            </w:rPr>
            <w:t xml:space="preserve">Factor 5 </w:t>
          </w:r>
          <w:r w:rsidRPr="003B3C35">
            <w:t xml:space="preserve">         </w:t>
          </w:r>
          <w:r w:rsidR="00682E22">
            <w:tab/>
          </w:r>
          <w:r w:rsidRPr="003B3C35">
            <w:t>Relative Merit</w:t>
          </w:r>
          <w:r w:rsidRPr="003B3C35">
            <w:ptab w:relativeTo="margin" w:alignment="right" w:leader="dot"/>
          </w:r>
          <w:r w:rsidRPr="003B3C35">
            <w:t>4</w:t>
          </w:r>
          <w:r w:rsidR="00B937FA">
            <w:t>9</w:t>
          </w:r>
        </w:p>
        <w:p w14:paraId="1926C04D" w14:textId="7C7F6107" w:rsidR="00E246A6" w:rsidRPr="00E246A6" w:rsidRDefault="00E246A6" w:rsidP="00682E22">
          <w:pPr>
            <w:pStyle w:val="TOC2"/>
          </w:pPr>
          <w:r w:rsidRPr="00EB44B6">
            <w:rPr>
              <w:u w:val="single"/>
            </w:rPr>
            <w:t>Appendix A</w:t>
          </w:r>
          <w:r w:rsidR="00EB44B6">
            <w:tab/>
          </w:r>
          <w:r w:rsidR="00EB44B6" w:rsidRPr="00EB44B6">
            <w:t>Projecting Demand for 2032 LINAC Sessions</w:t>
          </w:r>
          <w:r w:rsidR="00EB44B6" w:rsidRPr="003B3C35">
            <w:ptab w:relativeTo="margin" w:alignment="right" w:leader="dot"/>
          </w:r>
          <w:r w:rsidR="000E3E8E">
            <w:t>A-1</w:t>
          </w:r>
        </w:p>
        <w:p w14:paraId="491C1363" w14:textId="423F4824" w:rsidR="00DD0BD2" w:rsidRPr="003B3C35" w:rsidRDefault="00DD0BD2" w:rsidP="00DD0BD2">
          <w:pPr>
            <w:pStyle w:val="TOC1"/>
            <w:rPr>
              <w:sz w:val="22"/>
              <w:szCs w:val="18"/>
            </w:rPr>
          </w:pPr>
          <w:r w:rsidRPr="003B3C35">
            <w:rPr>
              <w:sz w:val="22"/>
              <w:szCs w:val="18"/>
            </w:rPr>
            <w:t>Attachment 3: Affidavit of Truthfulness Form</w:t>
          </w:r>
        </w:p>
        <w:p w14:paraId="5520A68A" w14:textId="10BF6AAB" w:rsidR="00DD0BD2" w:rsidRPr="003B3C35" w:rsidRDefault="00DD0BD2" w:rsidP="00DD0BD2">
          <w:pPr>
            <w:pStyle w:val="TOC1"/>
            <w:rPr>
              <w:b w:val="0"/>
              <w:bCs w:val="0"/>
              <w:sz w:val="22"/>
              <w:szCs w:val="18"/>
            </w:rPr>
          </w:pPr>
          <w:r w:rsidRPr="003B3C35">
            <w:rPr>
              <w:sz w:val="22"/>
              <w:szCs w:val="18"/>
            </w:rPr>
            <w:t xml:space="preserve">Attachment 4: Application Filing Fee </w:t>
          </w:r>
        </w:p>
        <w:p w14:paraId="60A1EA5A" w14:textId="1A6BD094" w:rsidR="00DD0BD2" w:rsidRPr="003B3C35" w:rsidRDefault="00DD0BD2" w:rsidP="00DD0BD2">
          <w:pPr>
            <w:pStyle w:val="TOC1"/>
            <w:rPr>
              <w:b w:val="0"/>
              <w:bCs w:val="0"/>
              <w:sz w:val="22"/>
              <w:szCs w:val="18"/>
            </w:rPr>
          </w:pPr>
          <w:r w:rsidRPr="003B3C35">
            <w:rPr>
              <w:sz w:val="22"/>
              <w:szCs w:val="18"/>
            </w:rPr>
            <w:t>Attachment 5: Affiliated Parties Table</w:t>
          </w:r>
        </w:p>
        <w:p w14:paraId="5C75E4A3" w14:textId="2DE12146" w:rsidR="00DD0BD2" w:rsidRPr="003B3C35" w:rsidRDefault="00DD0BD2" w:rsidP="00DD0BD2">
          <w:pPr>
            <w:pStyle w:val="TOC1"/>
            <w:rPr>
              <w:sz w:val="22"/>
              <w:szCs w:val="18"/>
            </w:rPr>
          </w:pPr>
          <w:r w:rsidRPr="003B3C35">
            <w:rPr>
              <w:sz w:val="22"/>
              <w:szCs w:val="18"/>
            </w:rPr>
            <w:t>Attachment 6: Change in Service Table</w:t>
          </w:r>
        </w:p>
        <w:p w14:paraId="4136FF14" w14:textId="3F575DE2" w:rsidR="00DD0BD2" w:rsidRPr="00326329" w:rsidRDefault="00DD0BD2" w:rsidP="00DD0BD2">
          <w:pPr>
            <w:pStyle w:val="TOC1"/>
            <w:rPr>
              <w:sz w:val="22"/>
              <w:szCs w:val="18"/>
            </w:rPr>
          </w:pPr>
          <w:r w:rsidRPr="003B3C35">
            <w:rPr>
              <w:sz w:val="22"/>
              <w:szCs w:val="18"/>
            </w:rPr>
            <w:t xml:space="preserve">Attachment </w:t>
          </w:r>
          <w:r w:rsidR="00326329">
            <w:rPr>
              <w:sz w:val="22"/>
              <w:szCs w:val="18"/>
            </w:rPr>
            <w:t>7</w:t>
          </w:r>
          <w:r w:rsidRPr="003B3C35">
            <w:rPr>
              <w:sz w:val="22"/>
              <w:szCs w:val="18"/>
            </w:rPr>
            <w:t>: Articles of Incorporation</w:t>
          </w:r>
          <w:r w:rsidR="00FB4ACF" w:rsidRPr="003B3C35">
            <w:rPr>
              <w:sz w:val="22"/>
              <w:szCs w:val="18"/>
            </w:rPr>
            <w:t xml:space="preserve"> </w:t>
          </w:r>
        </w:p>
        <w:p w14:paraId="4A44E328" w14:textId="0A872DD1" w:rsidR="003B3C35" w:rsidRPr="00D95C8C" w:rsidRDefault="00DD0BD2" w:rsidP="003B3C35">
          <w:pPr>
            <w:pStyle w:val="TOC1"/>
            <w:rPr>
              <w:b w:val="0"/>
              <w:bCs w:val="0"/>
              <w:sz w:val="22"/>
              <w:szCs w:val="18"/>
            </w:rPr>
          </w:pPr>
          <w:r w:rsidRPr="003B3C35">
            <w:rPr>
              <w:sz w:val="22"/>
              <w:szCs w:val="18"/>
            </w:rPr>
            <w:t xml:space="preserve">Attachment </w:t>
          </w:r>
          <w:r w:rsidR="00326329">
            <w:rPr>
              <w:sz w:val="22"/>
              <w:szCs w:val="18"/>
            </w:rPr>
            <w:t>8</w:t>
          </w:r>
          <w:r w:rsidRPr="003B3C35">
            <w:rPr>
              <w:sz w:val="22"/>
              <w:szCs w:val="18"/>
            </w:rPr>
            <w:t>:</w:t>
          </w:r>
          <w:r w:rsidR="006F20CD">
            <w:rPr>
              <w:sz w:val="22"/>
              <w:szCs w:val="18"/>
            </w:rPr>
            <w:t xml:space="preserve"> </w:t>
          </w:r>
          <w:r w:rsidR="007616B4">
            <w:rPr>
              <w:sz w:val="22"/>
              <w:szCs w:val="18"/>
            </w:rPr>
            <w:t>Community Health Needs Assessment/Community Health Improvement Plan</w:t>
          </w:r>
          <w:r w:rsidR="003B3C35" w:rsidRPr="003B3C35">
            <w:rPr>
              <w:sz w:val="22"/>
              <w:szCs w:val="18"/>
            </w:rPr>
            <w:t xml:space="preserve"> </w:t>
          </w:r>
        </w:p>
        <w:p w14:paraId="7BFBA43B" w14:textId="5271B35C" w:rsidR="003B3C35" w:rsidRPr="00D95C8C" w:rsidRDefault="003B3C35" w:rsidP="003B3C35">
          <w:pPr>
            <w:pStyle w:val="TOC1"/>
            <w:rPr>
              <w:sz w:val="22"/>
              <w:szCs w:val="22"/>
            </w:rPr>
          </w:pPr>
          <w:r w:rsidRPr="003B3C35">
            <w:rPr>
              <w:sz w:val="22"/>
              <w:szCs w:val="18"/>
            </w:rPr>
            <w:t>A</w:t>
          </w:r>
          <w:r w:rsidRPr="00D95C8C">
            <w:rPr>
              <w:sz w:val="22"/>
              <w:szCs w:val="22"/>
            </w:rPr>
            <w:t xml:space="preserve">ttachment </w:t>
          </w:r>
          <w:r w:rsidR="00326329">
            <w:rPr>
              <w:sz w:val="22"/>
              <w:szCs w:val="22"/>
            </w:rPr>
            <w:t>9</w:t>
          </w:r>
          <w:r w:rsidRPr="00D95C8C">
            <w:rPr>
              <w:sz w:val="22"/>
              <w:szCs w:val="22"/>
            </w:rPr>
            <w:t>: Evidence of Community Engagement</w:t>
          </w:r>
        </w:p>
        <w:p w14:paraId="2B2BE892" w14:textId="22DBD301" w:rsidR="00DD0BD2" w:rsidRPr="00D95C8C" w:rsidRDefault="00DD0BD2" w:rsidP="00DD0BD2">
          <w:pPr>
            <w:pStyle w:val="TOC1"/>
            <w:rPr>
              <w:sz w:val="22"/>
              <w:szCs w:val="22"/>
            </w:rPr>
          </w:pPr>
          <w:r w:rsidRPr="00D95C8C">
            <w:rPr>
              <w:sz w:val="22"/>
              <w:szCs w:val="22"/>
            </w:rPr>
            <w:t xml:space="preserve">Attachment </w:t>
          </w:r>
          <w:r w:rsidR="00326329">
            <w:rPr>
              <w:sz w:val="22"/>
              <w:szCs w:val="22"/>
            </w:rPr>
            <w:t>10</w:t>
          </w:r>
          <w:r w:rsidRPr="00D95C8C">
            <w:rPr>
              <w:sz w:val="22"/>
              <w:szCs w:val="22"/>
            </w:rPr>
            <w:t>: CPA Certification</w:t>
          </w:r>
        </w:p>
        <w:p w14:paraId="1C4048D2" w14:textId="0920B30C" w:rsidR="006C68E0" w:rsidRPr="00326329" w:rsidRDefault="00DD0BD2" w:rsidP="00D95C8C">
          <w:pPr>
            <w:pStyle w:val="TOC1"/>
            <w:rPr>
              <w:sz w:val="22"/>
              <w:szCs w:val="22"/>
            </w:rPr>
          </w:pPr>
          <w:r w:rsidRPr="00D95C8C">
            <w:rPr>
              <w:sz w:val="22"/>
              <w:szCs w:val="22"/>
            </w:rPr>
            <w:t xml:space="preserve">Attachment </w:t>
          </w:r>
          <w:r w:rsidR="00326329">
            <w:rPr>
              <w:sz w:val="22"/>
              <w:szCs w:val="22"/>
            </w:rPr>
            <w:t>11</w:t>
          </w:r>
          <w:r w:rsidRPr="00D95C8C">
            <w:rPr>
              <w:sz w:val="22"/>
              <w:szCs w:val="22"/>
            </w:rPr>
            <w:t>: Notice of Intent</w:t>
          </w:r>
        </w:p>
      </w:sdtContent>
    </w:sdt>
    <w:p w14:paraId="69365D0E" w14:textId="77777777" w:rsidR="000F5C76" w:rsidRDefault="000F5C76"/>
    <w:p w14:paraId="659CC7D6" w14:textId="77777777" w:rsidR="000F5C76" w:rsidRDefault="000F5C76"/>
    <w:p w14:paraId="4AAB5035" w14:textId="77777777" w:rsidR="000F5C76" w:rsidRDefault="000F5C76">
      <w:pPr>
        <w:sectPr w:rsidR="000F5C76" w:rsidSect="00DA6EAA">
          <w:headerReference w:type="default" r:id="rId11"/>
          <w:footerReference w:type="default" r:id="rId12"/>
          <w:pgSz w:w="12240" w:h="15840"/>
          <w:pgMar w:top="1440" w:right="1440" w:bottom="1440" w:left="1440" w:header="720" w:footer="720" w:gutter="0"/>
          <w:cols w:space="720"/>
          <w:titlePg/>
          <w:docGrid w:linePitch="360"/>
        </w:sectPr>
      </w:pPr>
    </w:p>
    <w:p w14:paraId="38F6E428" w14:textId="3975E64A" w:rsidR="00866168" w:rsidRPr="00FA1DD3" w:rsidRDefault="000C5ACE" w:rsidP="00866168">
      <w:pPr>
        <w:jc w:val="center"/>
        <w:rPr>
          <w:b/>
          <w:u w:val="single"/>
        </w:rPr>
      </w:pPr>
      <w:r w:rsidRPr="00FA1DD3">
        <w:rPr>
          <w:b/>
          <w:u w:val="single"/>
        </w:rPr>
        <w:lastRenderedPageBreak/>
        <w:t>Introduction</w:t>
      </w:r>
    </w:p>
    <w:p w14:paraId="729BA4E0" w14:textId="77777777" w:rsidR="00866168" w:rsidRPr="00FA1DD3" w:rsidRDefault="00866168" w:rsidP="00866168">
      <w:pPr>
        <w:jc w:val="center"/>
        <w:rPr>
          <w:b/>
          <w:u w:val="single"/>
        </w:rPr>
      </w:pPr>
    </w:p>
    <w:p w14:paraId="64D48FD6" w14:textId="5393E46D" w:rsidR="004952AC" w:rsidRDefault="00866168" w:rsidP="00866168">
      <w:pPr>
        <w:jc w:val="both"/>
      </w:pPr>
      <w:r w:rsidRPr="00FA1DD3">
        <w:t xml:space="preserve">Dana-Farber Cancer Institute, Inc. (the </w:t>
      </w:r>
      <w:r w:rsidR="002340EA">
        <w:t>“</w:t>
      </w:r>
      <w:r w:rsidRPr="00FA1DD3">
        <w:t>Applicant</w:t>
      </w:r>
      <w:r w:rsidR="002340EA">
        <w:t>”</w:t>
      </w:r>
      <w:r w:rsidRPr="00FA1DD3">
        <w:t xml:space="preserve">) </w:t>
      </w:r>
      <w:r>
        <w:t xml:space="preserve">is an internationally renowned acute care cancer hospital and research institute in Boston, Massachusetts that has existed at the pinnacle of excellence in cancer care and at the forefront of cancer research innovation since its founding in 1947 by Dr. Sidney Farber, the father of modern chemotherapy. </w:t>
      </w:r>
      <w:r w:rsidR="00BE78CA">
        <w:t>For over 75 years</w:t>
      </w:r>
      <w:r>
        <w:t xml:space="preserve">, the Applicant has focused exclusively on cancer care and related diseases and </w:t>
      </w:r>
      <w:r w:rsidR="004952AC">
        <w:t xml:space="preserve">on </w:t>
      </w:r>
      <w:r w:rsidR="00BE78CA">
        <w:t xml:space="preserve">developing </w:t>
      </w:r>
      <w:r w:rsidR="000C7301">
        <w:t>world-renowned</w:t>
      </w:r>
      <w:r>
        <w:t xml:space="preserve"> adult and pediatric cancer care programs that have consistently ranked among the best in the nation by </w:t>
      </w:r>
      <w:r>
        <w:rPr>
          <w:i/>
          <w:iCs/>
        </w:rPr>
        <w:t>U.S. News &amp; World Report</w:t>
      </w:r>
      <w:r w:rsidR="004952AC">
        <w:t xml:space="preserve">. It </w:t>
      </w:r>
      <w:r w:rsidR="00BE78CA">
        <w:t xml:space="preserve">is the </w:t>
      </w:r>
      <w:r>
        <w:t>only hospital in the United States with adult and pediatric cancer care programs ranked</w:t>
      </w:r>
      <w:r w:rsidR="005A0560">
        <w:t xml:space="preserve"> by </w:t>
      </w:r>
      <w:r w:rsidR="005A0560">
        <w:rPr>
          <w:i/>
          <w:iCs/>
        </w:rPr>
        <w:t>U.S. News</w:t>
      </w:r>
      <w:r>
        <w:t xml:space="preserve"> in the top </w:t>
      </w:r>
      <w:r w:rsidR="00746128">
        <w:t>five</w:t>
      </w:r>
      <w:r>
        <w:t>.</w:t>
      </w:r>
      <w:r w:rsidR="00B852A1" w:rsidRPr="008F46BC">
        <w:t xml:space="preserve"> </w:t>
      </w:r>
      <w:r w:rsidR="008F46BC" w:rsidRPr="008F46BC">
        <w:t>Based on year-to-date data collected by Press Ganey from the Applicant’s patients, 98% reported the highest possible rating for overall care provided and similarly 98% gave the highest possible rating for likelihood to recommend the Applicant to others.</w:t>
      </w:r>
      <w:r w:rsidR="00B852A1" w:rsidRPr="00B852A1">
        <w:t xml:space="preserve"> </w:t>
      </w:r>
      <w:r>
        <w:t xml:space="preserve">In 2023, </w:t>
      </w:r>
      <w:r>
        <w:rPr>
          <w:i/>
          <w:iCs/>
        </w:rPr>
        <w:t>Newsweek</w:t>
      </w:r>
      <w:r>
        <w:t xml:space="preserve"> ranked the Applicant fourth on its list of the best cancer hospitals in the world. Since 2005, the Applicant has been a </w:t>
      </w:r>
      <w:r w:rsidR="00F4335A">
        <w:t>Magnet</w:t>
      </w:r>
      <w:r w:rsidR="00F4335A" w:rsidRPr="004150B9">
        <w:t>®</w:t>
      </w:r>
      <w:r w:rsidR="00F4335A">
        <w:t>-designated</w:t>
      </w:r>
      <w:r>
        <w:t xml:space="preserve"> hospital for nursing and health care excellence, a designation held by just 9% of </w:t>
      </w:r>
      <w:r w:rsidR="00525382">
        <w:t xml:space="preserve">hospitals in the </w:t>
      </w:r>
      <w:r w:rsidR="006E74D8">
        <w:t>United States</w:t>
      </w:r>
      <w:r>
        <w:t xml:space="preserve">. </w:t>
      </w:r>
    </w:p>
    <w:p w14:paraId="74768A9E" w14:textId="77777777" w:rsidR="004952AC" w:rsidRDefault="004952AC" w:rsidP="00866168">
      <w:pPr>
        <w:jc w:val="both"/>
      </w:pPr>
    </w:p>
    <w:p w14:paraId="15259070" w14:textId="470DF65E" w:rsidR="00A42D58" w:rsidRDefault="00A42D58" w:rsidP="00A42D58">
      <w:pPr>
        <w:jc w:val="both"/>
      </w:pPr>
      <w:r>
        <w:t>The Applicant</w:t>
      </w:r>
      <w:r w:rsidR="002340EA">
        <w:t>’</w:t>
      </w:r>
      <w:r>
        <w:t>s research accomplishments are equally distinguished. In 1973, it became one of the first National Cancer Institute (</w:t>
      </w:r>
      <w:r w:rsidR="002340EA">
        <w:t>“</w:t>
      </w:r>
      <w:r>
        <w:t>NCI</w:t>
      </w:r>
      <w:r w:rsidR="002340EA">
        <w:t>”</w:t>
      </w:r>
      <w:r>
        <w:t>)-designated comprehensive cancer centers and is one of only 5</w:t>
      </w:r>
      <w:r w:rsidR="0066519E">
        <w:t>6</w:t>
      </w:r>
      <w:r>
        <w:t>. Further, the Applicant</w:t>
      </w:r>
      <w:r w:rsidR="002340EA">
        <w:t>’</w:t>
      </w:r>
      <w:r>
        <w:t>s faculty have contributed to more than a third of all new cancer-related treatments approved by the United S</w:t>
      </w:r>
      <w:r w:rsidR="006A2642">
        <w:t>t</w:t>
      </w:r>
      <w:r>
        <w:t xml:space="preserve">ates Food </w:t>
      </w:r>
      <w:r w:rsidR="00746128">
        <w:t>and</w:t>
      </w:r>
      <w:r>
        <w:t xml:space="preserve"> Drug Administration (</w:t>
      </w:r>
      <w:r w:rsidR="002340EA">
        <w:t>“</w:t>
      </w:r>
      <w:r>
        <w:t>FDA</w:t>
      </w:r>
      <w:r w:rsidR="002340EA">
        <w:t>”</w:t>
      </w:r>
      <w:r>
        <w:t xml:space="preserve">) in the last five years. Physician-scientists affiliated with the Applicant also make groundbreaking discoveries, including </w:t>
      </w:r>
      <w:r w:rsidR="005A0560">
        <w:t>the Applicant</w:t>
      </w:r>
      <w:r w:rsidR="002340EA">
        <w:t>’</w:t>
      </w:r>
      <w:r w:rsidR="005A0560">
        <w:t xml:space="preserve">s </w:t>
      </w:r>
      <w:r>
        <w:t>former</w:t>
      </w:r>
      <w:r w:rsidR="005A0560">
        <w:t xml:space="preserve"> </w:t>
      </w:r>
      <w:r>
        <w:t xml:space="preserve">President Baruj Benacerraf, who won the 1980 Nobel Prize in Physiology or Medicine for his pioneering studies on the major histocompatibility complex; Dr. </w:t>
      </w:r>
      <w:r>
        <w:rPr>
          <w:rFonts w:eastAsia="Times New Roman"/>
        </w:rPr>
        <w:t xml:space="preserve">Gordon Freeman, who, by discovering the role of PD-L1 and PD-L2 proteins, helped launch immunotherapy; and Dr. William G. Kaelin Jr., whose discovery of an oxygen-sensing system in cells earned him a Nobel Prize in 2019. </w:t>
      </w:r>
    </w:p>
    <w:p w14:paraId="6D85E9CA" w14:textId="77777777" w:rsidR="00A42D58" w:rsidRDefault="00A42D58">
      <w:pPr>
        <w:jc w:val="both"/>
      </w:pPr>
    </w:p>
    <w:p w14:paraId="6E653CEB" w14:textId="3E59260A" w:rsidR="00866168" w:rsidRDefault="00866168" w:rsidP="00866168">
      <w:pPr>
        <w:jc w:val="both"/>
      </w:pPr>
      <w:r>
        <w:t>Cancer treatment has grown significantly more sophisticated over the past</w:t>
      </w:r>
      <w:r w:rsidR="00F44F90">
        <w:t xml:space="preserve"> </w:t>
      </w:r>
      <w:r>
        <w:t>few decades. As the population</w:t>
      </w:r>
      <w:r w:rsidR="00F44F90">
        <w:t xml:space="preserve"> ages rapidly,</w:t>
      </w:r>
      <w:r>
        <w:t xml:space="preserve"> the need for state-of-the-art inpatient cancer facilities</w:t>
      </w:r>
      <w:r w:rsidR="005A0560">
        <w:t xml:space="preserve"> that would help the Applicant provide life-saving care</w:t>
      </w:r>
      <w:r>
        <w:t xml:space="preserve"> </w:t>
      </w:r>
      <w:r w:rsidR="00F44F90">
        <w:t>grows more</w:t>
      </w:r>
      <w:r>
        <w:t xml:space="preserve"> pressing. </w:t>
      </w:r>
      <w:r w:rsidR="006D6A43">
        <w:t>Cancer incidence among patients over the age of 75 is expected to increase more than in any other age group, and older patients are more likely to experience side effects and complications from treatment</w:t>
      </w:r>
      <w:r w:rsidR="006E74D8">
        <w:t>s</w:t>
      </w:r>
      <w:r w:rsidR="006D6A43">
        <w:t xml:space="preserve"> that require an inpatient admission. </w:t>
      </w:r>
      <w:r w:rsidR="00F44F90">
        <w:t>Th</w:t>
      </w:r>
      <w:r>
        <w:t xml:space="preserve">e incidence of cancer in younger people </w:t>
      </w:r>
      <w:r w:rsidR="00F44F90">
        <w:t xml:space="preserve">is </w:t>
      </w:r>
      <w:r>
        <w:t>also increas</w:t>
      </w:r>
      <w:r w:rsidR="00F44F90">
        <w:t>ing</w:t>
      </w:r>
      <w:r>
        <w:t xml:space="preserve"> at an alarming rate. </w:t>
      </w:r>
      <w:r w:rsidR="00F44F90">
        <w:t>N</w:t>
      </w:r>
      <w:r>
        <w:t>ew cancer treatments, including many designed to target aggressive forms of cancer (</w:t>
      </w:r>
      <w:r>
        <w:rPr>
          <w:i/>
          <w:iCs/>
        </w:rPr>
        <w:t>e.g.</w:t>
      </w:r>
      <w:r>
        <w:t xml:space="preserve">, </w:t>
      </w:r>
      <w:r>
        <w:rPr>
          <w:bCs/>
          <w:szCs w:val="24"/>
        </w:rPr>
        <w:t>chimeric antigen receptor (</w:t>
      </w:r>
      <w:r w:rsidR="002340EA">
        <w:rPr>
          <w:bCs/>
          <w:szCs w:val="24"/>
        </w:rPr>
        <w:t>“</w:t>
      </w:r>
      <w:r>
        <w:rPr>
          <w:bCs/>
          <w:szCs w:val="24"/>
        </w:rPr>
        <w:t>CAR</w:t>
      </w:r>
      <w:r w:rsidR="002340EA">
        <w:rPr>
          <w:bCs/>
          <w:szCs w:val="24"/>
        </w:rPr>
        <w:t>”</w:t>
      </w:r>
      <w:r>
        <w:rPr>
          <w:bCs/>
          <w:szCs w:val="24"/>
        </w:rPr>
        <w:t xml:space="preserve">) </w:t>
      </w:r>
      <w:r>
        <w:t xml:space="preserve">T-cell therapy), require </w:t>
      </w:r>
      <w:r w:rsidR="00EE514A">
        <w:t>inpatient</w:t>
      </w:r>
      <w:r>
        <w:t xml:space="preserve"> care</w:t>
      </w:r>
      <w:r w:rsidR="00EE514A">
        <w:t>.</w:t>
      </w:r>
      <w:r>
        <w:t xml:space="preserve"> </w:t>
      </w:r>
      <w:r w:rsidR="00EE514A">
        <w:t>T</w:t>
      </w:r>
      <w:r>
        <w:t>hese innovative</w:t>
      </w:r>
      <w:r w:rsidR="00EE514A">
        <w:t xml:space="preserve"> and life-saving</w:t>
      </w:r>
      <w:r>
        <w:t xml:space="preserve"> treatments are offered exclusively at comprehensive cancer centers like the Applicant or are offered at </w:t>
      </w:r>
      <w:r w:rsidR="00324469">
        <w:t>such comprehensive cancer care centers before they are offered anywhere else</w:t>
      </w:r>
      <w:r>
        <w:t xml:space="preserve">. </w:t>
      </w:r>
      <w:r w:rsidR="00805388">
        <w:t>T</w:t>
      </w:r>
      <w:r>
        <w:t xml:space="preserve">he impact of these technological </w:t>
      </w:r>
      <w:r w:rsidR="003C0E24">
        <w:t xml:space="preserve">advances </w:t>
      </w:r>
      <w:r>
        <w:t>and demographic shifts on the Applicant is especially pronounced</w:t>
      </w:r>
      <w:r w:rsidR="00805388">
        <w:t xml:space="preserve"> due to its provision of many new and experimental cancer treatments and its high-acuity patients</w:t>
      </w:r>
      <w:r w:rsidR="003D2868">
        <w:t>.</w:t>
      </w:r>
    </w:p>
    <w:p w14:paraId="3CDEF424" w14:textId="77777777" w:rsidR="00866168" w:rsidRDefault="00866168" w:rsidP="00866168">
      <w:pPr>
        <w:jc w:val="both"/>
      </w:pPr>
    </w:p>
    <w:p w14:paraId="42857E15" w14:textId="2F0BD4F8" w:rsidR="006D6A43" w:rsidRDefault="00866168" w:rsidP="00866168">
      <w:pPr>
        <w:jc w:val="both"/>
      </w:pPr>
      <w:r>
        <w:t xml:space="preserve">The Applicant </w:t>
      </w:r>
      <w:r w:rsidR="006D6A43">
        <w:t>face</w:t>
      </w:r>
      <w:r w:rsidR="00474B88">
        <w:t>s</w:t>
      </w:r>
      <w:r w:rsidR="006D6A43">
        <w:t xml:space="preserve"> the same demands as many other similarly situated</w:t>
      </w:r>
      <w:r>
        <w:t xml:space="preserve"> NCI-designated comprehensive cancer centers (</w:t>
      </w:r>
      <w:r>
        <w:rPr>
          <w:i/>
          <w:iCs/>
        </w:rPr>
        <w:t>e.g.</w:t>
      </w:r>
      <w:r>
        <w:t xml:space="preserve">, </w:t>
      </w:r>
      <w:r w:rsidRPr="00862A77">
        <w:t>Memoria</w:t>
      </w:r>
      <w:r w:rsidR="005A0560">
        <w:t xml:space="preserve">l </w:t>
      </w:r>
      <w:r w:rsidRPr="00862A77">
        <w:t>Sloan Kettering in New York City</w:t>
      </w:r>
      <w:r>
        <w:t>, Moffit</w:t>
      </w:r>
      <w:r w:rsidR="003C0E24">
        <w:t>t</w:t>
      </w:r>
      <w:r>
        <w:t xml:space="preserve"> Cancer Center in Tampa, Florida, </w:t>
      </w:r>
      <w:r>
        <w:rPr>
          <w:bCs/>
          <w:szCs w:val="24"/>
        </w:rPr>
        <w:t>MD Anderson Cancer Center in Houston and Austin, Texas</w:t>
      </w:r>
      <w:r w:rsidR="00C07C77">
        <w:rPr>
          <w:bCs/>
          <w:szCs w:val="24"/>
        </w:rPr>
        <w:t xml:space="preserve">, </w:t>
      </w:r>
      <w:r w:rsidR="00083B51">
        <w:t xml:space="preserve">City of Hope in Duarte and Irvine, California, </w:t>
      </w:r>
      <w:r w:rsidR="00083B51">
        <w:rPr>
          <w:bCs/>
          <w:szCs w:val="24"/>
        </w:rPr>
        <w:t xml:space="preserve">and </w:t>
      </w:r>
      <w:r w:rsidR="00C07C77" w:rsidRPr="00C07C77">
        <w:rPr>
          <w:bCs/>
          <w:szCs w:val="24"/>
        </w:rPr>
        <w:t>The James Cancer Hospital and Solove Research Institute</w:t>
      </w:r>
      <w:r w:rsidR="00C07C77">
        <w:rPr>
          <w:bCs/>
          <w:szCs w:val="24"/>
        </w:rPr>
        <w:t xml:space="preserve"> in Columbus, Ohio</w:t>
      </w:r>
      <w:r w:rsidR="00474B88">
        <w:t>).</w:t>
      </w:r>
      <w:r w:rsidR="006D6A43">
        <w:t xml:space="preserve"> These national peer institutions </w:t>
      </w:r>
      <w:r>
        <w:t xml:space="preserve">are responding to these </w:t>
      </w:r>
      <w:r w:rsidR="006D6A43">
        <w:t xml:space="preserve">same </w:t>
      </w:r>
      <w:r>
        <w:t>trends</w:t>
      </w:r>
      <w:r w:rsidR="006D6A43">
        <w:t xml:space="preserve"> </w:t>
      </w:r>
      <w:r w:rsidR="006D6A43">
        <w:lastRenderedPageBreak/>
        <w:t xml:space="preserve">and </w:t>
      </w:r>
      <w:r>
        <w:t>need</w:t>
      </w:r>
      <w:r w:rsidR="003C0E24">
        <w:t>s</w:t>
      </w:r>
      <w:r>
        <w:t xml:space="preserve"> by undertaking significant expansions of their inpatient capacity in new or renovated </w:t>
      </w:r>
      <w:r w:rsidRPr="00862A77">
        <w:t>facilities</w:t>
      </w:r>
      <w:r>
        <w:t xml:space="preserve"> that incorporate up-to-date technology and treatment tools. As of the date of this filing, MD Anderson Cancer Center has </w:t>
      </w:r>
      <w:r w:rsidRPr="008252C8">
        <w:t>757</w:t>
      </w:r>
      <w:r>
        <w:t xml:space="preserve"> inpatient beds, </w:t>
      </w:r>
      <w:r w:rsidRPr="00862A77">
        <w:t>Memorial-Sloan Kettering</w:t>
      </w:r>
      <w:r>
        <w:t xml:space="preserve"> has 514 inpatient beds,</w:t>
      </w:r>
      <w:r w:rsidR="00C07C77">
        <w:t xml:space="preserve"> </w:t>
      </w:r>
      <w:r w:rsidR="00C07C77" w:rsidRPr="00C07C77">
        <w:rPr>
          <w:bCs/>
        </w:rPr>
        <w:t>The James Cancer Hospital and Solove Research Institute</w:t>
      </w:r>
      <w:r w:rsidR="00C07C77">
        <w:rPr>
          <w:bCs/>
        </w:rPr>
        <w:t xml:space="preserve"> has 356</w:t>
      </w:r>
      <w:r w:rsidR="00083B51">
        <w:rPr>
          <w:bCs/>
        </w:rPr>
        <w:t xml:space="preserve"> inpatient beds</w:t>
      </w:r>
      <w:r w:rsidR="00751FA0">
        <w:t>,</w:t>
      </w:r>
      <w:r>
        <w:t xml:space="preserve"> </w:t>
      </w:r>
      <w:r w:rsidRPr="00862A77">
        <w:t>Moffi</w:t>
      </w:r>
      <w:r w:rsidR="00746128">
        <w:t>t</w:t>
      </w:r>
      <w:r w:rsidRPr="00862A77">
        <w:t>t Cancer Center</w:t>
      </w:r>
      <w:r>
        <w:t xml:space="preserve"> has 2</w:t>
      </w:r>
      <w:r w:rsidR="001E7284">
        <w:t>18</w:t>
      </w:r>
      <w:r>
        <w:t xml:space="preserve"> inpatient beds</w:t>
      </w:r>
      <w:r w:rsidR="008179EC">
        <w:t>, and City of Hope has 217 inpatient beds on its main campus in Duarte</w:t>
      </w:r>
      <w:r>
        <w:t xml:space="preserve">. </w:t>
      </w:r>
      <w:r w:rsidR="006D6A43">
        <w:t xml:space="preserve">These peer institutions </w:t>
      </w:r>
      <w:r w:rsidR="00805388">
        <w:t>also</w:t>
      </w:r>
      <w:r w:rsidR="006D6A43">
        <w:t xml:space="preserve"> have plans to </w:t>
      </w:r>
      <w:r w:rsidR="00324469">
        <w:t>expand inpatient capacity significantly</w:t>
      </w:r>
      <w:r w:rsidR="006D6A43">
        <w:t xml:space="preserve"> in the coming years. </w:t>
      </w:r>
    </w:p>
    <w:p w14:paraId="1845994C" w14:textId="77777777" w:rsidR="006D6A43" w:rsidRDefault="006D6A43" w:rsidP="00866168">
      <w:pPr>
        <w:jc w:val="both"/>
      </w:pPr>
    </w:p>
    <w:p w14:paraId="5048CACA" w14:textId="43DE5D34" w:rsidR="00866168" w:rsidRDefault="00866168" w:rsidP="00866168">
      <w:pPr>
        <w:jc w:val="both"/>
      </w:pPr>
      <w:r>
        <w:t>Meanwhile, the Applicant, despite its preeminence in the provision of cancer care and the industry-wide changes that necessitate provision of such care in an inpatient setting, has only 30 medical/surgical beds on its hospital license. The Applicant</w:t>
      </w:r>
      <w:r w:rsidR="002340EA">
        <w:t>’</w:t>
      </w:r>
      <w:r>
        <w:t>s beds s</w:t>
      </w:r>
      <w:r w:rsidR="002C3E5D">
        <w:t>it</w:t>
      </w:r>
      <w:r w:rsidR="006E2F2C">
        <w:t xml:space="preserve"> </w:t>
      </w:r>
      <w:r>
        <w:t xml:space="preserve">in space leased to the Applicant </w:t>
      </w:r>
      <w:r w:rsidR="00474B88">
        <w:t>by</w:t>
      </w:r>
      <w:r>
        <w:t xml:space="preserve"> Brigham and Women</w:t>
      </w:r>
      <w:r w:rsidR="002340EA">
        <w:t>’</w:t>
      </w:r>
      <w:r>
        <w:t>s Hospital (</w:t>
      </w:r>
      <w:r w:rsidR="002340EA">
        <w:t>“</w:t>
      </w:r>
      <w:r>
        <w:t>BWH</w:t>
      </w:r>
      <w:r w:rsidR="002340EA">
        <w:t>”</w:t>
      </w:r>
      <w:r>
        <w:t xml:space="preserve">), </w:t>
      </w:r>
      <w:r w:rsidRPr="00EE3F2B">
        <w:t>situated among beds licensed to BWH</w:t>
      </w:r>
      <w:r>
        <w:t xml:space="preserve">, for which the Applicant provides professional medical oncology services through a more than 25-year affiliation. </w:t>
      </w:r>
      <w:r w:rsidR="008832C8" w:rsidRPr="008832C8">
        <w:t>In addition to its own licensed beds, the Applicant provides care to patients in certain BWH-licensed beds, which are dispersed across multiple locations within BWH (two separate buildings and at least seven different floors)</w:t>
      </w:r>
      <w:r w:rsidR="008832C8">
        <w:t>.</w:t>
      </w:r>
      <w:r>
        <w:t xml:space="preserve"> While BWH and the Applicant have successfully collaborated to provide world-class cancer care for many years, the Applicant has determined that developments in cancer care require that operational and decision-making authority be vested in one entity</w:t>
      </w:r>
      <w:r w:rsidR="007F0196">
        <w:t xml:space="preserve"> for </w:t>
      </w:r>
      <w:r w:rsidR="002C3E5D">
        <w:t xml:space="preserve">all </w:t>
      </w:r>
      <w:r w:rsidR="00BD0555">
        <w:t xml:space="preserve">medical </w:t>
      </w:r>
      <w:r w:rsidR="002C3E5D">
        <w:t>oncology beds</w:t>
      </w:r>
      <w:r>
        <w:t xml:space="preserve"> to best serve patients</w:t>
      </w:r>
      <w:r w:rsidR="002D5417">
        <w:t xml:space="preserve"> and ensure the best outcomes</w:t>
      </w:r>
      <w:r>
        <w:t xml:space="preserve">. </w:t>
      </w:r>
    </w:p>
    <w:p w14:paraId="13988CB0" w14:textId="77777777" w:rsidR="00866168" w:rsidRDefault="00866168" w:rsidP="00866168">
      <w:pPr>
        <w:jc w:val="both"/>
      </w:pPr>
    </w:p>
    <w:p w14:paraId="3E9560E6" w14:textId="1054B583" w:rsidR="00866168" w:rsidRDefault="00866168" w:rsidP="00866168">
      <w:pPr>
        <w:jc w:val="both"/>
      </w:pPr>
      <w:r>
        <w:t>Increasingly, as the</w:t>
      </w:r>
      <w:r w:rsidR="003D2868">
        <w:t xml:space="preserve"> needs of the</w:t>
      </w:r>
      <w:r>
        <w:t xml:space="preserve"> Applicant</w:t>
      </w:r>
      <w:r w:rsidR="002340EA">
        <w:t>’</w:t>
      </w:r>
      <w:r>
        <w:t xml:space="preserve">s </w:t>
      </w:r>
      <w:r w:rsidR="006D6A43">
        <w:t>patient panel grow</w:t>
      </w:r>
      <w:r>
        <w:t xml:space="preserve"> more acute and the care it delivers more complex, there is a need for the Applicant to provide</w:t>
      </w:r>
      <w:r w:rsidR="00652E0C">
        <w:t>,</w:t>
      </w:r>
      <w:r>
        <w:t xml:space="preserve"> or coordinate the provision of</w:t>
      </w:r>
      <w:r w:rsidR="00652E0C">
        <w:t>,</w:t>
      </w:r>
      <w:r>
        <w:t xml:space="preserve"> sophisticated multidisciplinary care delivered by a number of different specialists, both within oncology and from other areas. Comprehensive cancer centers are, as a best practice, able to provide and coordinate the provision of such care most effectively through </w:t>
      </w:r>
      <w:r w:rsidRPr="00862A77">
        <w:t>facilities</w:t>
      </w:r>
      <w:r>
        <w:t xml:space="preserve"> that integrate inpatient and outpatient treatment areas with research, and through coordinated </w:t>
      </w:r>
      <w:r w:rsidRPr="00862A77">
        <w:t>quality</w:t>
      </w:r>
      <w:r>
        <w:t xml:space="preserve"> and safety practices and controls. </w:t>
      </w:r>
      <w:r w:rsidR="00AE2B54">
        <w:t xml:space="preserve">Further, </w:t>
      </w:r>
      <w:r w:rsidR="00AE2B54" w:rsidRPr="00AE2B54">
        <w:t>dedicated cancer centers have statistically significant</w:t>
      </w:r>
      <w:r w:rsidR="003D7FC8">
        <w:t>ly</w:t>
      </w:r>
      <w:r w:rsidR="00AE2B54" w:rsidRPr="00AE2B54">
        <w:t xml:space="preserve"> higher survival rates compared to</w:t>
      </w:r>
      <w:r>
        <w:rPr>
          <w:bCs/>
          <w:szCs w:val="24"/>
        </w:rPr>
        <w:t xml:space="preserve"> other NCI-designated centers, academic medical centers, and other treatment centers</w:t>
      </w:r>
      <w:r w:rsidR="003C0E24">
        <w:rPr>
          <w:bCs/>
          <w:szCs w:val="24"/>
        </w:rPr>
        <w:t xml:space="preserve"> that are not dedicated solely to cancer</w:t>
      </w:r>
      <w:r>
        <w:rPr>
          <w:bCs/>
          <w:szCs w:val="24"/>
        </w:rPr>
        <w:t>.</w:t>
      </w:r>
      <w:r>
        <w:t xml:space="preserve"> As </w:t>
      </w:r>
      <w:r w:rsidR="00525382">
        <w:t>one</w:t>
      </w:r>
      <w:r>
        <w:t xml:space="preserve"> example of innovation in better coordinated cancer care, the Applicant </w:t>
      </w:r>
      <w:r w:rsidR="00AD5383">
        <w:t>piloted</w:t>
      </w:r>
      <w:r>
        <w:t xml:space="preserve"> an oncology-specific acute care clinic </w:t>
      </w:r>
      <w:r w:rsidR="002D5417">
        <w:t>to serve</w:t>
      </w:r>
      <w:r>
        <w:t xml:space="preserve"> the urgent medical needs</w:t>
      </w:r>
      <w:r w:rsidR="00AD5383">
        <w:t xml:space="preserve"> </w:t>
      </w:r>
      <w:r>
        <w:t xml:space="preserve">of cancer patients that has </w:t>
      </w:r>
      <w:r w:rsidR="002D5417">
        <w:t xml:space="preserve">shown </w:t>
      </w:r>
      <w:r>
        <w:t>significantly reduced emergency department visits</w:t>
      </w:r>
      <w:r w:rsidR="00AD5383">
        <w:t xml:space="preserve"> and hospitalizations. This program has reduced emergency </w:t>
      </w:r>
      <w:r w:rsidR="00083B51">
        <w:t>department</w:t>
      </w:r>
      <w:r w:rsidR="00AD5383">
        <w:t xml:space="preserve"> visits by</w:t>
      </w:r>
      <w:r w:rsidR="00732447">
        <w:t xml:space="preserve"> approximately</w:t>
      </w:r>
      <w:r w:rsidR="00AD5383">
        <w:t xml:space="preserve"> 20% and </w:t>
      </w:r>
      <w:r w:rsidR="00083B51">
        <w:t>reduced subsequent hospitalizations for these patients by 80%</w:t>
      </w:r>
      <w:r w:rsidR="00AD5383">
        <w:t>,</w:t>
      </w:r>
      <w:r>
        <w:t xml:space="preserve"> improving patient outcomes and limiting costly, unnecessary acute care. </w:t>
      </w:r>
    </w:p>
    <w:p w14:paraId="0790AA49" w14:textId="77777777" w:rsidR="006D6A43" w:rsidRDefault="006D6A43" w:rsidP="00866168">
      <w:pPr>
        <w:jc w:val="both"/>
      </w:pPr>
    </w:p>
    <w:p w14:paraId="19313E7C" w14:textId="0D3FA471" w:rsidR="008273CE" w:rsidRDefault="00324469" w:rsidP="00715E54">
      <w:pPr>
        <w:jc w:val="both"/>
        <w:rPr>
          <w:szCs w:val="24"/>
        </w:rPr>
      </w:pPr>
      <w:r>
        <w:t xml:space="preserve">To ensure that it is able to meet this growing need for </w:t>
      </w:r>
      <w:r w:rsidR="00C143CC">
        <w:t>sophisticated</w:t>
      </w:r>
      <w:r>
        <w:t xml:space="preserve"> cancer care</w:t>
      </w:r>
      <w:r w:rsidR="00C143CC">
        <w:t>, the</w:t>
      </w:r>
      <w:r w:rsidR="00866168">
        <w:t xml:space="preserve"> Applicant submits this application (the </w:t>
      </w:r>
      <w:r w:rsidR="002340EA">
        <w:t>“</w:t>
      </w:r>
      <w:r w:rsidR="00866168" w:rsidRPr="00862A77">
        <w:t>Application</w:t>
      </w:r>
      <w:r w:rsidR="002340EA">
        <w:t>”</w:t>
      </w:r>
      <w:r w:rsidR="00866168">
        <w:t xml:space="preserve">) pursuant to the Determination of Need Regulations, 105 CMR 100 et seq. (the </w:t>
      </w:r>
      <w:r w:rsidR="002340EA">
        <w:t>“</w:t>
      </w:r>
      <w:r w:rsidR="00866168" w:rsidRPr="00862A77">
        <w:t>Regulations</w:t>
      </w:r>
      <w:r w:rsidR="002340EA">
        <w:t>”</w:t>
      </w:r>
      <w:r w:rsidR="00866168">
        <w:t>)</w:t>
      </w:r>
      <w:r w:rsidR="00FC587D">
        <w:t xml:space="preserve">, </w:t>
      </w:r>
      <w:r w:rsidR="00866168">
        <w:t>to</w:t>
      </w:r>
      <w:r w:rsidR="006D6A43">
        <w:t xml:space="preserve"> </w:t>
      </w:r>
      <w:r w:rsidR="00660608">
        <w:t>develop a freestanding, dedicated inpatient cancer hospital</w:t>
      </w:r>
      <w:r w:rsidR="00866168" w:rsidRPr="00EE3F2B">
        <w:rPr>
          <w:szCs w:val="24"/>
        </w:rPr>
        <w:t xml:space="preserve"> </w:t>
      </w:r>
      <w:r w:rsidR="00C143CC">
        <w:rPr>
          <w:szCs w:val="24"/>
        </w:rPr>
        <w:t>in Boston</w:t>
      </w:r>
      <w:r w:rsidR="00866168" w:rsidRPr="00EE3F2B">
        <w:rPr>
          <w:szCs w:val="24"/>
        </w:rPr>
        <w:t xml:space="preserve"> </w:t>
      </w:r>
      <w:r w:rsidR="00866168">
        <w:rPr>
          <w:szCs w:val="24"/>
        </w:rPr>
        <w:t xml:space="preserve">(the </w:t>
      </w:r>
      <w:r w:rsidR="002340EA">
        <w:rPr>
          <w:szCs w:val="24"/>
        </w:rPr>
        <w:t>“</w:t>
      </w:r>
      <w:r w:rsidR="00866168" w:rsidRPr="00862A77">
        <w:rPr>
          <w:szCs w:val="24"/>
        </w:rPr>
        <w:t>Facility</w:t>
      </w:r>
      <w:r w:rsidR="002340EA">
        <w:rPr>
          <w:szCs w:val="24"/>
        </w:rPr>
        <w:t>”</w:t>
      </w:r>
      <w:r w:rsidR="00866168">
        <w:rPr>
          <w:szCs w:val="24"/>
        </w:rPr>
        <w:t xml:space="preserve">) </w:t>
      </w:r>
      <w:r w:rsidR="00660608">
        <w:rPr>
          <w:szCs w:val="24"/>
        </w:rPr>
        <w:t>with imaging and radiation oncology capabilities</w:t>
      </w:r>
      <w:r w:rsidR="00C143CC">
        <w:rPr>
          <w:szCs w:val="24"/>
        </w:rPr>
        <w:t>. Further, to ensure that the Applicant</w:t>
      </w:r>
      <w:r w:rsidR="002340EA">
        <w:rPr>
          <w:szCs w:val="24"/>
        </w:rPr>
        <w:t>’</w:t>
      </w:r>
      <w:r w:rsidR="00C143CC">
        <w:rPr>
          <w:szCs w:val="24"/>
        </w:rPr>
        <w:t>s patients have access to the full continuum of services and support</w:t>
      </w:r>
      <w:r w:rsidR="00751EA2">
        <w:rPr>
          <w:szCs w:val="24"/>
        </w:rPr>
        <w:t xml:space="preserve"> services</w:t>
      </w:r>
      <w:r w:rsidR="00C143CC">
        <w:rPr>
          <w:szCs w:val="24"/>
        </w:rPr>
        <w:t xml:space="preserve"> offered within the setting of a fully integrated, dedicated cancer center, the new Facility will be located adjacent to, Beth Israel Deaconess Medical Center (</w:t>
      </w:r>
      <w:r w:rsidR="002340EA">
        <w:rPr>
          <w:szCs w:val="24"/>
        </w:rPr>
        <w:t>“</w:t>
      </w:r>
      <w:r w:rsidR="00C143CC">
        <w:rPr>
          <w:szCs w:val="24"/>
        </w:rPr>
        <w:t>BIDMC</w:t>
      </w:r>
      <w:r w:rsidR="002340EA">
        <w:rPr>
          <w:szCs w:val="24"/>
        </w:rPr>
        <w:t>”</w:t>
      </w:r>
      <w:r w:rsidR="00C143CC">
        <w:rPr>
          <w:szCs w:val="24"/>
        </w:rPr>
        <w:t>)</w:t>
      </w:r>
      <w:r w:rsidR="00856FA6">
        <w:rPr>
          <w:szCs w:val="24"/>
        </w:rPr>
        <w:t xml:space="preserve">, and will be physically connected to BIDMC by way of a bridge over Pilgrim Road. </w:t>
      </w:r>
    </w:p>
    <w:p w14:paraId="77DB064F" w14:textId="77777777" w:rsidR="003624D0" w:rsidRDefault="003624D0" w:rsidP="000F5C76">
      <w:pPr>
        <w:jc w:val="both"/>
        <w:rPr>
          <w:szCs w:val="24"/>
        </w:rPr>
      </w:pPr>
    </w:p>
    <w:p w14:paraId="6F7080A3" w14:textId="77777777" w:rsidR="008E2761" w:rsidRDefault="008E2761" w:rsidP="000F5C76">
      <w:pPr>
        <w:jc w:val="both"/>
        <w:rPr>
          <w:szCs w:val="24"/>
        </w:rPr>
        <w:sectPr w:rsidR="008E2761" w:rsidSect="00DA6EAA">
          <w:footerReference w:type="default" r:id="rId13"/>
          <w:pgSz w:w="12240" w:h="15840"/>
          <w:pgMar w:top="1440" w:right="1440" w:bottom="1440" w:left="1440" w:header="720" w:footer="720" w:gutter="0"/>
          <w:pgNumType w:start="1"/>
          <w:cols w:space="720"/>
          <w:docGrid w:linePitch="360"/>
        </w:sectPr>
      </w:pPr>
    </w:p>
    <w:p w14:paraId="27908CA6" w14:textId="77777777" w:rsidR="008E2761" w:rsidRDefault="008E2761" w:rsidP="000F5C76">
      <w:pPr>
        <w:jc w:val="both"/>
        <w:rPr>
          <w:szCs w:val="24"/>
        </w:rPr>
      </w:pPr>
    </w:p>
    <w:p w14:paraId="7FA070B5" w14:textId="181DC763" w:rsidR="003624D0" w:rsidRPr="00FA1DD3" w:rsidRDefault="003624D0" w:rsidP="003624D0">
      <w:pPr>
        <w:jc w:val="center"/>
        <w:rPr>
          <w:b/>
          <w:szCs w:val="24"/>
          <w:u w:val="single"/>
        </w:rPr>
      </w:pPr>
      <w:r w:rsidRPr="00FA1DD3">
        <w:rPr>
          <w:b/>
          <w:szCs w:val="24"/>
          <w:u w:val="single"/>
        </w:rPr>
        <w:t>Project Description</w:t>
      </w:r>
    </w:p>
    <w:p w14:paraId="4910DC3F" w14:textId="77777777" w:rsidR="003624D0" w:rsidRPr="00FA1DD3" w:rsidRDefault="003624D0" w:rsidP="003624D0">
      <w:pPr>
        <w:jc w:val="both"/>
        <w:rPr>
          <w:szCs w:val="24"/>
        </w:rPr>
      </w:pPr>
    </w:p>
    <w:p w14:paraId="0F619829" w14:textId="693E19EF" w:rsidR="00866168" w:rsidRDefault="00866168" w:rsidP="00866168">
      <w:pPr>
        <w:jc w:val="both"/>
        <w:rPr>
          <w:szCs w:val="24"/>
        </w:rPr>
      </w:pPr>
      <w:r w:rsidRPr="00FA1DD3">
        <w:rPr>
          <w:szCs w:val="24"/>
        </w:rPr>
        <w:t xml:space="preserve">The Applicant has filed this Application in connection with the proposed </w:t>
      </w:r>
      <w:r>
        <w:rPr>
          <w:szCs w:val="24"/>
        </w:rPr>
        <w:t>acquisition of site by</w:t>
      </w:r>
      <w:r w:rsidR="000D6D0A">
        <w:rPr>
          <w:szCs w:val="24"/>
        </w:rPr>
        <w:t xml:space="preserve"> </w:t>
      </w:r>
      <w:r>
        <w:rPr>
          <w:szCs w:val="24"/>
        </w:rPr>
        <w:t>lease</w:t>
      </w:r>
      <w:r w:rsidRPr="00FA1DD3">
        <w:rPr>
          <w:szCs w:val="24"/>
        </w:rPr>
        <w:t xml:space="preserve"> and </w:t>
      </w:r>
      <w:r w:rsidRPr="00FA1DD3">
        <w:t>construction, fit-out, and equipping of an approximately</w:t>
      </w:r>
      <w:r>
        <w:t xml:space="preserve"> 688,100 square-</w:t>
      </w:r>
      <w:r w:rsidRPr="00FA1DD3">
        <w:t xml:space="preserve">foot </w:t>
      </w:r>
      <w:r>
        <w:rPr>
          <w:szCs w:val="24"/>
        </w:rPr>
        <w:t xml:space="preserve">inpatient hospital </w:t>
      </w:r>
      <w:r w:rsidR="00D1045C">
        <w:rPr>
          <w:szCs w:val="24"/>
        </w:rPr>
        <w:t>F</w:t>
      </w:r>
      <w:r>
        <w:rPr>
          <w:szCs w:val="24"/>
        </w:rPr>
        <w:t xml:space="preserve">acility to be located </w:t>
      </w:r>
      <w:r w:rsidRPr="00FA1DD3">
        <w:rPr>
          <w:szCs w:val="24"/>
        </w:rPr>
        <w:t xml:space="preserve">at </w:t>
      </w:r>
      <w:bookmarkStart w:id="1" w:name="_Hlk144392686"/>
      <w:r>
        <w:t>1 Joslin Place</w:t>
      </w:r>
      <w:bookmarkEnd w:id="1"/>
      <w:r>
        <w:t>, Boston, Massachusetts 02215</w:t>
      </w:r>
      <w:r w:rsidR="000B0800">
        <w:t xml:space="preserve"> </w:t>
      </w:r>
      <w:r>
        <w:t>and to include 30</w:t>
      </w:r>
      <w:r w:rsidR="000B0800">
        <w:t>0</w:t>
      </w:r>
      <w:r>
        <w:t xml:space="preserve"> adult inpatient beds</w:t>
      </w:r>
      <w:r w:rsidR="00235292">
        <w:t xml:space="preserve"> and the addition</w:t>
      </w:r>
      <w:r w:rsidR="00CC63C7">
        <w:t xml:space="preserve"> of</w:t>
      </w:r>
      <w:r w:rsidR="00CC63C7" w:rsidRPr="00CC63C7">
        <w:rPr>
          <w:szCs w:val="24"/>
        </w:rPr>
        <w:t xml:space="preserve"> </w:t>
      </w:r>
      <w:r w:rsidR="00CC63C7">
        <w:rPr>
          <w:szCs w:val="24"/>
        </w:rPr>
        <w:t>two magnetic resonance imaging (</w:t>
      </w:r>
      <w:r w:rsidR="002340EA">
        <w:rPr>
          <w:szCs w:val="24"/>
        </w:rPr>
        <w:t>“</w:t>
      </w:r>
      <w:r w:rsidR="00CC63C7">
        <w:rPr>
          <w:szCs w:val="24"/>
        </w:rPr>
        <w:t>MRI</w:t>
      </w:r>
      <w:r w:rsidR="002340EA">
        <w:rPr>
          <w:szCs w:val="24"/>
        </w:rPr>
        <w:t>”</w:t>
      </w:r>
      <w:r w:rsidR="00CC63C7">
        <w:rPr>
          <w:szCs w:val="24"/>
        </w:rPr>
        <w:t>) machines, two computerized tomography (</w:t>
      </w:r>
      <w:r w:rsidR="002340EA">
        <w:rPr>
          <w:szCs w:val="24"/>
        </w:rPr>
        <w:t>“</w:t>
      </w:r>
      <w:r w:rsidR="00CC63C7">
        <w:rPr>
          <w:szCs w:val="24"/>
        </w:rPr>
        <w:t>CT</w:t>
      </w:r>
      <w:r w:rsidR="002340EA">
        <w:rPr>
          <w:szCs w:val="24"/>
        </w:rPr>
        <w:t>”</w:t>
      </w:r>
      <w:r w:rsidR="00CC63C7">
        <w:rPr>
          <w:szCs w:val="24"/>
        </w:rPr>
        <w:t>) machines, one positron emission tomography machine (</w:t>
      </w:r>
      <w:r w:rsidR="002340EA">
        <w:rPr>
          <w:szCs w:val="24"/>
        </w:rPr>
        <w:t>“</w:t>
      </w:r>
      <w:r w:rsidR="00CC63C7">
        <w:rPr>
          <w:szCs w:val="24"/>
        </w:rPr>
        <w:t>PET-CT</w:t>
      </w:r>
      <w:r w:rsidR="002340EA">
        <w:rPr>
          <w:szCs w:val="24"/>
        </w:rPr>
        <w:t>”</w:t>
      </w:r>
      <w:r w:rsidR="00CC63C7">
        <w:rPr>
          <w:szCs w:val="24"/>
        </w:rPr>
        <w:t xml:space="preserve">) </w:t>
      </w:r>
      <w:r w:rsidR="00CC63C7">
        <w:t xml:space="preserve">(collectively, the </w:t>
      </w:r>
      <w:r w:rsidR="002340EA">
        <w:t>“</w:t>
      </w:r>
      <w:r w:rsidR="00CC63C7">
        <w:t>Inpatient Imaging Equipment</w:t>
      </w:r>
      <w:r w:rsidR="002340EA">
        <w:t>”</w:t>
      </w:r>
      <w:r w:rsidR="00CC63C7">
        <w:t xml:space="preserve">), </w:t>
      </w:r>
      <w:r w:rsidR="00CC63C7">
        <w:rPr>
          <w:szCs w:val="24"/>
        </w:rPr>
        <w:t>two CT simulator machines, and three linear accelerators (</w:t>
      </w:r>
      <w:r w:rsidR="002340EA">
        <w:rPr>
          <w:szCs w:val="24"/>
        </w:rPr>
        <w:t>“</w:t>
      </w:r>
      <w:r w:rsidR="00CC63C7">
        <w:rPr>
          <w:szCs w:val="24"/>
        </w:rPr>
        <w:t>LINACs</w:t>
      </w:r>
      <w:r w:rsidR="002340EA">
        <w:rPr>
          <w:szCs w:val="24"/>
        </w:rPr>
        <w:t>”</w:t>
      </w:r>
      <w:r w:rsidR="00CC63C7">
        <w:rPr>
          <w:szCs w:val="24"/>
        </w:rPr>
        <w:t>)</w:t>
      </w:r>
      <w:r>
        <w:t xml:space="preserve"> (the </w:t>
      </w:r>
      <w:r w:rsidR="002340EA">
        <w:t>“</w:t>
      </w:r>
      <w:r>
        <w:t xml:space="preserve">New </w:t>
      </w:r>
      <w:r w:rsidR="00235292">
        <w:t>Radiation Oncology Equipment</w:t>
      </w:r>
      <w:r w:rsidR="002340EA">
        <w:t>”</w:t>
      </w:r>
      <w:r>
        <w:t>)</w:t>
      </w:r>
      <w:r w:rsidR="00660608">
        <w:t xml:space="preserve"> (collectively, the </w:t>
      </w:r>
      <w:r w:rsidR="002340EA">
        <w:t>“</w:t>
      </w:r>
      <w:r w:rsidR="00660608">
        <w:t>Proposed Project</w:t>
      </w:r>
      <w:r w:rsidR="002340EA">
        <w:t>”</w:t>
      </w:r>
      <w:r w:rsidR="00660608">
        <w:t>)</w:t>
      </w:r>
      <w:r w:rsidRPr="000B0800">
        <w:rPr>
          <w:bCs/>
          <w:szCs w:val="24"/>
        </w:rPr>
        <w:t>.</w:t>
      </w:r>
      <w:r w:rsidR="000B0800" w:rsidRPr="000B0800">
        <w:rPr>
          <w:rStyle w:val="FootnoteReference"/>
          <w:bCs/>
          <w:szCs w:val="24"/>
        </w:rPr>
        <w:t xml:space="preserve"> </w:t>
      </w:r>
      <w:r w:rsidR="00903194">
        <w:rPr>
          <w:szCs w:val="24"/>
        </w:rPr>
        <w:t>Of the inpatient beds, 30 would be transferred from the Applicant</w:t>
      </w:r>
      <w:r w:rsidR="002340EA">
        <w:rPr>
          <w:szCs w:val="24"/>
        </w:rPr>
        <w:t>’</w:t>
      </w:r>
      <w:r w:rsidR="00903194">
        <w:rPr>
          <w:szCs w:val="24"/>
        </w:rPr>
        <w:t>s current bed complement at 75 Francis Street, Boston, Massachusetts 02115 and 270 would represent new beds on the Applicant</w:t>
      </w:r>
      <w:r w:rsidR="002340EA">
        <w:rPr>
          <w:szCs w:val="24"/>
        </w:rPr>
        <w:t>’</w:t>
      </w:r>
      <w:r w:rsidR="00903194">
        <w:rPr>
          <w:szCs w:val="24"/>
        </w:rPr>
        <w:t xml:space="preserve">s license dedicated to inpatient cancer care. </w:t>
      </w:r>
      <w:r w:rsidR="00C269BB">
        <w:rPr>
          <w:szCs w:val="24"/>
        </w:rPr>
        <w:t>The Applicant</w:t>
      </w:r>
      <w:r w:rsidR="002340EA">
        <w:rPr>
          <w:szCs w:val="24"/>
        </w:rPr>
        <w:t>’</w:t>
      </w:r>
      <w:r w:rsidR="00C269BB">
        <w:rPr>
          <w:szCs w:val="24"/>
        </w:rPr>
        <w:t>s existing</w:t>
      </w:r>
      <w:r w:rsidR="00903194">
        <w:rPr>
          <w:szCs w:val="24"/>
        </w:rPr>
        <w:t xml:space="preserve"> three</w:t>
      </w:r>
      <w:r w:rsidR="00C269BB">
        <w:rPr>
          <w:szCs w:val="24"/>
        </w:rPr>
        <w:t xml:space="preserve"> LINACs</w:t>
      </w:r>
      <w:r w:rsidR="00903194">
        <w:rPr>
          <w:szCs w:val="24"/>
        </w:rPr>
        <w:t xml:space="preserve"> at 75 Francis Street, Boston, Massachusetts 02115</w:t>
      </w:r>
      <w:r w:rsidR="00C269BB">
        <w:rPr>
          <w:szCs w:val="24"/>
        </w:rPr>
        <w:t xml:space="preserve"> will also be </w:t>
      </w:r>
      <w:r w:rsidR="00903194">
        <w:rPr>
          <w:szCs w:val="24"/>
        </w:rPr>
        <w:t>transferred</w:t>
      </w:r>
      <w:r w:rsidR="00C269BB">
        <w:rPr>
          <w:szCs w:val="24"/>
        </w:rPr>
        <w:t xml:space="preserve"> to the Facility. </w:t>
      </w:r>
      <w:r>
        <w:rPr>
          <w:szCs w:val="24"/>
        </w:rPr>
        <w:t xml:space="preserve">The Proposed Project will also include </w:t>
      </w:r>
      <w:r w:rsidR="00853F7E">
        <w:rPr>
          <w:szCs w:val="24"/>
        </w:rPr>
        <w:t>20</w:t>
      </w:r>
      <w:r>
        <w:rPr>
          <w:szCs w:val="24"/>
        </w:rPr>
        <w:t xml:space="preserve"> observation beds.</w:t>
      </w:r>
      <w:r w:rsidR="00853F7E">
        <w:rPr>
          <w:szCs w:val="24"/>
        </w:rPr>
        <w:t xml:space="preserve"> </w:t>
      </w:r>
      <w:r w:rsidRPr="00CB4492">
        <w:rPr>
          <w:szCs w:val="24"/>
        </w:rPr>
        <w:t xml:space="preserve">The </w:t>
      </w:r>
      <w:r>
        <w:rPr>
          <w:szCs w:val="24"/>
        </w:rPr>
        <w:t xml:space="preserve">Proposed </w:t>
      </w:r>
      <w:r w:rsidRPr="00CB4492">
        <w:rPr>
          <w:szCs w:val="24"/>
        </w:rPr>
        <w:t>Project</w:t>
      </w:r>
      <w:r w:rsidR="00235292">
        <w:rPr>
          <w:szCs w:val="24"/>
        </w:rPr>
        <w:t xml:space="preserve"> will</w:t>
      </w:r>
      <w:r w:rsidRPr="00CB4492">
        <w:rPr>
          <w:szCs w:val="24"/>
        </w:rPr>
        <w:t xml:space="preserve"> also </w:t>
      </w:r>
      <w:r w:rsidR="00235292">
        <w:rPr>
          <w:szCs w:val="24"/>
        </w:rPr>
        <w:t>include</w:t>
      </w:r>
      <w:r w:rsidRPr="00CB4492">
        <w:rPr>
          <w:szCs w:val="24"/>
        </w:rPr>
        <w:t xml:space="preserve"> a tunnel under</w:t>
      </w:r>
      <w:r w:rsidR="00AF73E6">
        <w:rPr>
          <w:szCs w:val="24"/>
        </w:rPr>
        <w:t xml:space="preserve"> </w:t>
      </w:r>
      <w:r w:rsidR="00AF73E6" w:rsidRPr="00AF73E6">
        <w:rPr>
          <w:szCs w:val="24"/>
        </w:rPr>
        <w:t>and a bridge over</w:t>
      </w:r>
      <w:r w:rsidR="00253894">
        <w:rPr>
          <w:szCs w:val="24"/>
        </w:rPr>
        <w:t xml:space="preserve"> </w:t>
      </w:r>
      <w:r w:rsidRPr="00862A77">
        <w:rPr>
          <w:szCs w:val="24"/>
        </w:rPr>
        <w:t>Brookline Avenue</w:t>
      </w:r>
      <w:r w:rsidRPr="00CB4492">
        <w:rPr>
          <w:szCs w:val="24"/>
        </w:rPr>
        <w:t xml:space="preserve"> connecting the </w:t>
      </w:r>
      <w:r w:rsidR="005602AF">
        <w:rPr>
          <w:szCs w:val="24"/>
        </w:rPr>
        <w:t>Facility</w:t>
      </w:r>
      <w:r w:rsidRPr="00CB4492">
        <w:rPr>
          <w:szCs w:val="24"/>
        </w:rPr>
        <w:t xml:space="preserve"> to </w:t>
      </w:r>
      <w:r>
        <w:rPr>
          <w:szCs w:val="24"/>
        </w:rPr>
        <w:t>the Applicant</w:t>
      </w:r>
      <w:r w:rsidR="002340EA">
        <w:rPr>
          <w:szCs w:val="24"/>
        </w:rPr>
        <w:t>’</w:t>
      </w:r>
      <w:r>
        <w:rPr>
          <w:szCs w:val="24"/>
        </w:rPr>
        <w:t>s</w:t>
      </w:r>
      <w:r w:rsidRPr="00CB4492">
        <w:rPr>
          <w:szCs w:val="24"/>
        </w:rPr>
        <w:t xml:space="preserve"> </w:t>
      </w:r>
      <w:r w:rsidRPr="00862A77">
        <w:rPr>
          <w:szCs w:val="24"/>
        </w:rPr>
        <w:t>Dana Building</w:t>
      </w:r>
      <w:r w:rsidRPr="00CB4492">
        <w:rPr>
          <w:szCs w:val="24"/>
        </w:rPr>
        <w:t xml:space="preserve"> at 440 Brookline Avenue</w:t>
      </w:r>
      <w:r>
        <w:rPr>
          <w:szCs w:val="24"/>
        </w:rPr>
        <w:t>.</w:t>
      </w:r>
      <w:r w:rsidR="00903194">
        <w:rPr>
          <w:rStyle w:val="FootnoteReference"/>
          <w:szCs w:val="24"/>
        </w:rPr>
        <w:footnoteReference w:id="1"/>
      </w:r>
      <w:r>
        <w:rPr>
          <w:szCs w:val="24"/>
        </w:rPr>
        <w:t xml:space="preserve"> </w:t>
      </w:r>
      <w:bookmarkStart w:id="2" w:name="_Hlk147246084"/>
      <w:r>
        <w:rPr>
          <w:szCs w:val="24"/>
        </w:rPr>
        <w:t>The maximum capital expenditure for the Proposed Project is estimated to be</w:t>
      </w:r>
      <w:r w:rsidR="003E4370">
        <w:rPr>
          <w:szCs w:val="24"/>
        </w:rPr>
        <w:t xml:space="preserve"> </w:t>
      </w:r>
      <w:r w:rsidR="003E4370">
        <w:rPr>
          <w:rFonts w:eastAsia="Times New Roman"/>
        </w:rPr>
        <w:t>$1,675,700,000</w:t>
      </w:r>
      <w:r w:rsidR="00A72DED">
        <w:rPr>
          <w:szCs w:val="24"/>
        </w:rPr>
        <w:t>.</w:t>
      </w:r>
    </w:p>
    <w:bookmarkEnd w:id="2"/>
    <w:p w14:paraId="31E9950D" w14:textId="77777777" w:rsidR="002E5AD9" w:rsidRDefault="002E5AD9" w:rsidP="00D21C19">
      <w:pPr>
        <w:jc w:val="both"/>
        <w:rPr>
          <w:szCs w:val="24"/>
        </w:rPr>
      </w:pPr>
    </w:p>
    <w:p w14:paraId="79396A13" w14:textId="77777777" w:rsidR="002E5AD9" w:rsidRDefault="002E5AD9">
      <w:pPr>
        <w:spacing w:after="160" w:line="259" w:lineRule="auto"/>
        <w:rPr>
          <w:b/>
          <w:szCs w:val="24"/>
          <w:u w:val="single"/>
        </w:rPr>
      </w:pPr>
      <w:r>
        <w:rPr>
          <w:b/>
          <w:szCs w:val="24"/>
          <w:u w:val="single"/>
        </w:rPr>
        <w:br w:type="page"/>
      </w:r>
    </w:p>
    <w:p w14:paraId="05642055" w14:textId="433F94BA" w:rsidR="00CE1B56" w:rsidRPr="00FA1DD3" w:rsidRDefault="00CE1B56" w:rsidP="00CE1B56">
      <w:pPr>
        <w:keepNext/>
        <w:jc w:val="both"/>
        <w:rPr>
          <w:b/>
          <w:szCs w:val="24"/>
          <w:u w:val="single"/>
        </w:rPr>
      </w:pPr>
      <w:r w:rsidRPr="00FA1DD3">
        <w:rPr>
          <w:b/>
          <w:szCs w:val="24"/>
          <w:u w:val="single"/>
        </w:rPr>
        <w:lastRenderedPageBreak/>
        <w:t>Factor 1</w:t>
      </w:r>
      <w:r w:rsidRPr="00FA1DD3">
        <w:rPr>
          <w:b/>
          <w:szCs w:val="24"/>
          <w:u w:val="single"/>
        </w:rPr>
        <w:tab/>
        <w:t>Applicant</w:t>
      </w:r>
      <w:r w:rsidR="002611F1">
        <w:rPr>
          <w:b/>
          <w:szCs w:val="24"/>
          <w:u w:val="single"/>
        </w:rPr>
        <w:t xml:space="preserve"> </w:t>
      </w:r>
      <w:r w:rsidR="005C1729">
        <w:rPr>
          <w:b/>
          <w:szCs w:val="24"/>
          <w:u w:val="single"/>
        </w:rPr>
        <w:t>P</w:t>
      </w:r>
      <w:r w:rsidR="00744BA5">
        <w:rPr>
          <w:b/>
          <w:szCs w:val="24"/>
          <w:u w:val="single"/>
        </w:rPr>
        <w:t xml:space="preserve">atient </w:t>
      </w:r>
      <w:r w:rsidR="005C1729">
        <w:rPr>
          <w:b/>
          <w:szCs w:val="24"/>
          <w:u w:val="single"/>
        </w:rPr>
        <w:t>P</w:t>
      </w:r>
      <w:r w:rsidR="00744BA5">
        <w:rPr>
          <w:b/>
          <w:szCs w:val="24"/>
          <w:u w:val="single"/>
        </w:rPr>
        <w:t>anel</w:t>
      </w:r>
      <w:r w:rsidRPr="00FA1DD3">
        <w:rPr>
          <w:b/>
          <w:szCs w:val="24"/>
          <w:u w:val="single"/>
        </w:rPr>
        <w:t xml:space="preserve"> Need, Public Health Values and Operational Objectives</w:t>
      </w:r>
    </w:p>
    <w:p w14:paraId="6D3915BF" w14:textId="77777777" w:rsidR="00CE1B56" w:rsidRPr="00FA1DD3" w:rsidRDefault="00CE1B56" w:rsidP="00CE1B56">
      <w:pPr>
        <w:keepNext/>
        <w:jc w:val="both"/>
        <w:rPr>
          <w:b/>
          <w:szCs w:val="24"/>
        </w:rPr>
      </w:pPr>
    </w:p>
    <w:p w14:paraId="42043B6B" w14:textId="4B205ED7" w:rsidR="00CE1B56" w:rsidRPr="00FA1DD3" w:rsidRDefault="00CE1B56" w:rsidP="00CE1B56">
      <w:pPr>
        <w:keepNext/>
        <w:jc w:val="both"/>
        <w:rPr>
          <w:b/>
          <w:szCs w:val="24"/>
        </w:rPr>
      </w:pPr>
      <w:r w:rsidRPr="00FA1DD3">
        <w:rPr>
          <w:b/>
          <w:szCs w:val="24"/>
          <w:u w:val="single"/>
        </w:rPr>
        <w:t>F1.a.i.</w:t>
      </w:r>
      <w:r w:rsidR="002611F1">
        <w:rPr>
          <w:b/>
          <w:szCs w:val="24"/>
          <w:u w:val="single"/>
        </w:rPr>
        <w:t xml:space="preserve"> </w:t>
      </w:r>
      <w:r w:rsidR="005C1729">
        <w:rPr>
          <w:b/>
          <w:szCs w:val="24"/>
          <w:u w:val="single"/>
        </w:rPr>
        <w:t>P</w:t>
      </w:r>
      <w:r w:rsidR="00744BA5">
        <w:rPr>
          <w:b/>
          <w:szCs w:val="24"/>
          <w:u w:val="single"/>
        </w:rPr>
        <w:t xml:space="preserve">atient </w:t>
      </w:r>
      <w:r w:rsidR="005C1729">
        <w:rPr>
          <w:b/>
          <w:szCs w:val="24"/>
          <w:u w:val="single"/>
        </w:rPr>
        <w:t>P</w:t>
      </w:r>
      <w:r w:rsidR="00744BA5">
        <w:rPr>
          <w:b/>
          <w:szCs w:val="24"/>
          <w:u w:val="single"/>
        </w:rPr>
        <w:t>anel</w:t>
      </w:r>
    </w:p>
    <w:p w14:paraId="37685B9A" w14:textId="18277A44" w:rsidR="00CE1B56" w:rsidRPr="00FA1DD3" w:rsidRDefault="00CE1B56" w:rsidP="00F6671F">
      <w:pPr>
        <w:jc w:val="both"/>
        <w:rPr>
          <w:b/>
          <w:szCs w:val="24"/>
        </w:rPr>
      </w:pPr>
      <w:r w:rsidRPr="00FA1DD3">
        <w:rPr>
          <w:b/>
          <w:szCs w:val="24"/>
        </w:rPr>
        <w:t>Describe your existing</w:t>
      </w:r>
      <w:r w:rsidR="002611F1">
        <w:rPr>
          <w:b/>
          <w:szCs w:val="24"/>
        </w:rPr>
        <w:t xml:space="preserve"> </w:t>
      </w:r>
      <w:r w:rsidR="0083124C">
        <w:rPr>
          <w:b/>
          <w:szCs w:val="24"/>
        </w:rPr>
        <w:t>P</w:t>
      </w:r>
      <w:r w:rsidR="00744BA5">
        <w:rPr>
          <w:b/>
          <w:szCs w:val="24"/>
        </w:rPr>
        <w:t xml:space="preserve">atient </w:t>
      </w:r>
      <w:r w:rsidR="0083124C">
        <w:rPr>
          <w:b/>
          <w:szCs w:val="24"/>
        </w:rPr>
        <w:t>P</w:t>
      </w:r>
      <w:r w:rsidR="00744BA5">
        <w:rPr>
          <w:b/>
          <w:szCs w:val="24"/>
        </w:rPr>
        <w:t>anel</w:t>
      </w:r>
      <w:r w:rsidRPr="00FA1DD3">
        <w:rPr>
          <w:b/>
          <w:szCs w:val="24"/>
        </w:rPr>
        <w:t xml:space="preserve">, including incidence or prevalence of disease or behavioral risk factors, acuity mix, noted health disparities, geographic breakdown expressed in zip codes or other appropriate measure, demographics including age, gender and sexual identity, race, ethnicity, socioeconomic </w:t>
      </w:r>
      <w:r w:rsidR="00AE2B54" w:rsidRPr="00FA1DD3">
        <w:rPr>
          <w:b/>
          <w:szCs w:val="24"/>
        </w:rPr>
        <w:t>status,</w:t>
      </w:r>
      <w:r w:rsidRPr="00FA1DD3">
        <w:rPr>
          <w:b/>
          <w:szCs w:val="24"/>
        </w:rPr>
        <w:t xml:space="preserve"> and other priority populations relevant to the </w:t>
      </w:r>
      <w:bookmarkStart w:id="3" w:name="_9kMHG5YVt4886AIQG2ztleqA"/>
      <w:r w:rsidRPr="00FA1DD3">
        <w:rPr>
          <w:b/>
          <w:szCs w:val="24"/>
        </w:rPr>
        <w:t>Applicant</w:t>
      </w:r>
      <w:r w:rsidR="002340EA">
        <w:rPr>
          <w:b/>
          <w:szCs w:val="24"/>
        </w:rPr>
        <w:t>’</w:t>
      </w:r>
      <w:r w:rsidRPr="00FA1DD3">
        <w:rPr>
          <w:b/>
          <w:szCs w:val="24"/>
        </w:rPr>
        <w:t>s</w:t>
      </w:r>
      <w:bookmarkEnd w:id="3"/>
      <w:r w:rsidRPr="00FA1DD3">
        <w:rPr>
          <w:b/>
          <w:szCs w:val="24"/>
        </w:rPr>
        <w:t xml:space="preserve"> existing</w:t>
      </w:r>
      <w:r w:rsidR="002611F1">
        <w:rPr>
          <w:b/>
          <w:szCs w:val="24"/>
        </w:rPr>
        <w:t xml:space="preserve"> </w:t>
      </w:r>
      <w:r w:rsidR="00744BA5">
        <w:rPr>
          <w:b/>
          <w:szCs w:val="24"/>
        </w:rPr>
        <w:t>patient panel</w:t>
      </w:r>
      <w:r w:rsidRPr="00FA1DD3">
        <w:rPr>
          <w:b/>
          <w:szCs w:val="24"/>
        </w:rPr>
        <w:t xml:space="preserve"> and payer</w:t>
      </w:r>
      <w:r w:rsidR="00744BA5">
        <w:rPr>
          <w:b/>
          <w:szCs w:val="24"/>
        </w:rPr>
        <w:t xml:space="preserve"> mix</w:t>
      </w:r>
      <w:r w:rsidRPr="00FA1DD3">
        <w:rPr>
          <w:b/>
          <w:szCs w:val="24"/>
        </w:rPr>
        <w:t>.</w:t>
      </w:r>
    </w:p>
    <w:p w14:paraId="398EF3B8" w14:textId="77777777" w:rsidR="00CE1B56" w:rsidRDefault="00CE1B56" w:rsidP="003624D0">
      <w:pPr>
        <w:keepNext/>
        <w:jc w:val="both"/>
        <w:rPr>
          <w:szCs w:val="24"/>
        </w:rPr>
      </w:pPr>
    </w:p>
    <w:p w14:paraId="1D732257" w14:textId="4357D0D9" w:rsidR="00866168" w:rsidRDefault="00744BA5" w:rsidP="00866168">
      <w:pPr>
        <w:keepNext/>
        <w:jc w:val="both"/>
        <w:rPr>
          <w:szCs w:val="24"/>
        </w:rPr>
      </w:pPr>
      <w:r>
        <w:rPr>
          <w:b/>
          <w:bCs/>
          <w:i/>
          <w:iCs/>
          <w:szCs w:val="24"/>
        </w:rPr>
        <w:t xml:space="preserve">Patient </w:t>
      </w:r>
      <w:r w:rsidR="005C1729">
        <w:rPr>
          <w:b/>
          <w:bCs/>
          <w:i/>
          <w:iCs/>
          <w:szCs w:val="24"/>
        </w:rPr>
        <w:t>P</w:t>
      </w:r>
      <w:r>
        <w:rPr>
          <w:b/>
          <w:bCs/>
          <w:i/>
          <w:iCs/>
          <w:szCs w:val="24"/>
        </w:rPr>
        <w:t>anel</w:t>
      </w:r>
      <w:r w:rsidR="00C57A71">
        <w:rPr>
          <w:b/>
          <w:bCs/>
          <w:i/>
          <w:iCs/>
          <w:szCs w:val="24"/>
        </w:rPr>
        <w:t xml:space="preserve"> Demographics</w:t>
      </w:r>
    </w:p>
    <w:p w14:paraId="71D7C62F" w14:textId="77777777" w:rsidR="009C45E7" w:rsidRDefault="009C45E7" w:rsidP="009C45E7">
      <w:pPr>
        <w:jc w:val="both"/>
        <w:rPr>
          <w:szCs w:val="24"/>
        </w:rPr>
      </w:pPr>
    </w:p>
    <w:p w14:paraId="798FCF65" w14:textId="61F9DB6F" w:rsidR="009C45E7" w:rsidRPr="00035E84" w:rsidRDefault="009C45E7" w:rsidP="009C45E7">
      <w:pPr>
        <w:jc w:val="both"/>
        <w:rPr>
          <w:szCs w:val="24"/>
        </w:rPr>
      </w:pPr>
      <w:r w:rsidRPr="002E37FB">
        <w:rPr>
          <w:szCs w:val="24"/>
          <w:u w:val="single"/>
        </w:rPr>
        <w:t>Table 1</w:t>
      </w:r>
      <w:r w:rsidRPr="002E37FB">
        <w:rPr>
          <w:szCs w:val="24"/>
        </w:rPr>
        <w:t xml:space="preserve"> provides the demographic and geographic profile for the Applicant</w:t>
      </w:r>
      <w:r w:rsidR="002340EA">
        <w:rPr>
          <w:szCs w:val="24"/>
        </w:rPr>
        <w:t>’</w:t>
      </w:r>
      <w:r w:rsidRPr="002E37FB">
        <w:rPr>
          <w:szCs w:val="24"/>
        </w:rPr>
        <w:t xml:space="preserve">s </w:t>
      </w:r>
      <w:r w:rsidR="001E7284">
        <w:rPr>
          <w:szCs w:val="24"/>
        </w:rPr>
        <w:t>p</w:t>
      </w:r>
      <w:r w:rsidR="002611F1">
        <w:rPr>
          <w:szCs w:val="24"/>
        </w:rPr>
        <w:t xml:space="preserve">atient </w:t>
      </w:r>
      <w:r w:rsidR="001E7284">
        <w:rPr>
          <w:szCs w:val="24"/>
        </w:rPr>
        <w:t>p</w:t>
      </w:r>
      <w:r w:rsidR="002611F1">
        <w:rPr>
          <w:szCs w:val="24"/>
        </w:rPr>
        <w:t>anel</w:t>
      </w:r>
      <w:r w:rsidR="009E3BC9">
        <w:rPr>
          <w:szCs w:val="24"/>
        </w:rPr>
        <w:t xml:space="preserve">. </w:t>
      </w:r>
      <w:r w:rsidR="009E3BC9">
        <w:rPr>
          <w:szCs w:val="24"/>
          <w:u w:val="single"/>
        </w:rPr>
        <w:t xml:space="preserve">Table </w:t>
      </w:r>
      <w:r w:rsidR="009E3BC9" w:rsidRPr="009E3BC9">
        <w:rPr>
          <w:szCs w:val="24"/>
          <w:u w:val="single"/>
        </w:rPr>
        <w:t>2</w:t>
      </w:r>
      <w:r w:rsidR="009E3BC9">
        <w:rPr>
          <w:szCs w:val="24"/>
        </w:rPr>
        <w:t xml:space="preserve"> sets out the same profile for inpatients </w:t>
      </w:r>
      <w:r w:rsidR="00C143CC">
        <w:rPr>
          <w:szCs w:val="24"/>
        </w:rPr>
        <w:t>admitted to beds on the Applicant</w:t>
      </w:r>
      <w:r w:rsidR="002340EA">
        <w:rPr>
          <w:szCs w:val="24"/>
        </w:rPr>
        <w:t>’</w:t>
      </w:r>
      <w:r w:rsidR="00C143CC">
        <w:rPr>
          <w:szCs w:val="24"/>
        </w:rPr>
        <w:t>s license</w:t>
      </w:r>
      <w:r w:rsidR="00FF3EB2">
        <w:rPr>
          <w:szCs w:val="24"/>
        </w:rPr>
        <w:t>,</w:t>
      </w:r>
      <w:r w:rsidR="00C143CC">
        <w:rPr>
          <w:szCs w:val="24"/>
        </w:rPr>
        <w:t xml:space="preserve"> as well as </w:t>
      </w:r>
      <w:r w:rsidR="009006E5">
        <w:rPr>
          <w:szCs w:val="24"/>
        </w:rPr>
        <w:t>in</w:t>
      </w:r>
      <w:r w:rsidR="00C143CC">
        <w:rPr>
          <w:szCs w:val="24"/>
        </w:rPr>
        <w:t>patients admitted to BWH-licensed beds under the care of the Applicant</w:t>
      </w:r>
      <w:r w:rsidR="002340EA">
        <w:rPr>
          <w:szCs w:val="24"/>
        </w:rPr>
        <w:t>’</w:t>
      </w:r>
      <w:r w:rsidR="00C143CC">
        <w:rPr>
          <w:szCs w:val="24"/>
        </w:rPr>
        <w:t>s medical oncologists</w:t>
      </w:r>
      <w:r w:rsidRPr="002E37FB">
        <w:rPr>
          <w:szCs w:val="24"/>
        </w:rPr>
        <w:t>.</w:t>
      </w:r>
      <w:r>
        <w:rPr>
          <w:szCs w:val="24"/>
        </w:rPr>
        <w:t xml:space="preserve"> </w:t>
      </w:r>
      <w:r>
        <w:rPr>
          <w:szCs w:val="24"/>
          <w:u w:val="single"/>
        </w:rPr>
        <w:t xml:space="preserve">Table </w:t>
      </w:r>
      <w:r w:rsidR="009006E5">
        <w:rPr>
          <w:szCs w:val="24"/>
          <w:u w:val="single"/>
        </w:rPr>
        <w:t>3</w:t>
      </w:r>
      <w:r>
        <w:rPr>
          <w:szCs w:val="24"/>
        </w:rPr>
        <w:t xml:space="preserve"> </w:t>
      </w:r>
      <w:r w:rsidR="009E3BC9">
        <w:rPr>
          <w:szCs w:val="24"/>
        </w:rPr>
        <w:t>set out the same for the Applicant’s outpatients</w:t>
      </w:r>
      <w:r>
        <w:rPr>
          <w:szCs w:val="24"/>
        </w:rPr>
        <w:t>.</w:t>
      </w:r>
      <w:r w:rsidRPr="002E37FB">
        <w:rPr>
          <w:szCs w:val="24"/>
        </w:rPr>
        <w:t xml:space="preserve"> </w:t>
      </w:r>
      <w:r>
        <w:rPr>
          <w:szCs w:val="24"/>
        </w:rPr>
        <w:t>The s</w:t>
      </w:r>
      <w:r w:rsidRPr="005F1872">
        <w:rPr>
          <w:szCs w:val="24"/>
        </w:rPr>
        <w:t>ource of data</w:t>
      </w:r>
      <w:r w:rsidR="005C1729">
        <w:rPr>
          <w:szCs w:val="24"/>
        </w:rPr>
        <w:t xml:space="preserve"> in this Application</w:t>
      </w:r>
      <w:r w:rsidRPr="005F1872">
        <w:rPr>
          <w:szCs w:val="24"/>
        </w:rPr>
        <w:t xml:space="preserve"> </w:t>
      </w:r>
      <w:r w:rsidR="00437613">
        <w:rPr>
          <w:szCs w:val="24"/>
        </w:rPr>
        <w:t>are</w:t>
      </w:r>
      <w:r w:rsidRPr="005F1872">
        <w:rPr>
          <w:szCs w:val="24"/>
        </w:rPr>
        <w:t xml:space="preserve"> the records of </w:t>
      </w:r>
      <w:r w:rsidR="00CC3552">
        <w:rPr>
          <w:szCs w:val="24"/>
        </w:rPr>
        <w:t xml:space="preserve">the </w:t>
      </w:r>
      <w:r w:rsidRPr="005F1872">
        <w:rPr>
          <w:szCs w:val="24"/>
        </w:rPr>
        <w:t>Applicant</w:t>
      </w:r>
      <w:r w:rsidR="002340EA">
        <w:rPr>
          <w:szCs w:val="24"/>
        </w:rPr>
        <w:t>’</w:t>
      </w:r>
      <w:r w:rsidRPr="005F1872">
        <w:rPr>
          <w:szCs w:val="24"/>
        </w:rPr>
        <w:t>s management unless otherwise noted.</w:t>
      </w:r>
      <w:r>
        <w:rPr>
          <w:szCs w:val="24"/>
        </w:rPr>
        <w:t xml:space="preserve"> </w:t>
      </w:r>
      <w:r w:rsidR="005C1729">
        <w:rPr>
          <w:szCs w:val="24"/>
        </w:rPr>
        <w:t xml:space="preserve">As the Proposed Project </w:t>
      </w:r>
      <w:r w:rsidR="00F718D9">
        <w:rPr>
          <w:szCs w:val="24"/>
        </w:rPr>
        <w:t xml:space="preserve">relates only to adult oncology care, and not to pediatric oncology care, all data presented includes only adult patients. </w:t>
      </w:r>
      <w:r w:rsidRPr="00DC1E8D">
        <w:rPr>
          <w:szCs w:val="24"/>
        </w:rPr>
        <w:t>The volume of patients seeking cancer care services from the Applicant has</w:t>
      </w:r>
      <w:r>
        <w:rPr>
          <w:szCs w:val="24"/>
        </w:rPr>
        <w:t xml:space="preserve"> increased</w:t>
      </w:r>
      <w:r w:rsidRPr="002E37FB">
        <w:rPr>
          <w:szCs w:val="24"/>
        </w:rPr>
        <w:t xml:space="preserve"> over the preceding three years by </w:t>
      </w:r>
      <w:r>
        <w:rPr>
          <w:szCs w:val="24"/>
        </w:rPr>
        <w:t xml:space="preserve">approximately </w:t>
      </w:r>
      <w:r w:rsidR="009006E5">
        <w:rPr>
          <w:szCs w:val="24"/>
        </w:rPr>
        <w:t>9</w:t>
      </w:r>
      <w:r w:rsidRPr="002E37FB">
        <w:rPr>
          <w:szCs w:val="24"/>
        </w:rPr>
        <w:t>%</w:t>
      </w:r>
      <w:r>
        <w:rPr>
          <w:szCs w:val="24"/>
        </w:rPr>
        <w:t xml:space="preserve"> for patients requiring inpatient care, and </w:t>
      </w:r>
      <w:r w:rsidR="0025508E">
        <w:rPr>
          <w:szCs w:val="24"/>
        </w:rPr>
        <w:t>approximately 16</w:t>
      </w:r>
      <w:r>
        <w:rPr>
          <w:szCs w:val="24"/>
        </w:rPr>
        <w:t>% for those patients that receive outpatient care</w:t>
      </w:r>
      <w:r w:rsidRPr="002E37FB">
        <w:rPr>
          <w:szCs w:val="24"/>
        </w:rPr>
        <w:t>.</w:t>
      </w:r>
      <w:r>
        <w:rPr>
          <w:szCs w:val="24"/>
        </w:rPr>
        <w:t xml:space="preserve"> </w:t>
      </w:r>
      <w:r w:rsidR="00F718D9">
        <w:rPr>
          <w:szCs w:val="24"/>
        </w:rPr>
        <w:t>The vast majority of the</w:t>
      </w:r>
      <w:r>
        <w:rPr>
          <w:szCs w:val="24"/>
        </w:rPr>
        <w:t xml:space="preserve"> Applicant</w:t>
      </w:r>
      <w:r w:rsidR="002340EA">
        <w:rPr>
          <w:szCs w:val="24"/>
        </w:rPr>
        <w:t>’</w:t>
      </w:r>
      <w:r>
        <w:rPr>
          <w:szCs w:val="24"/>
        </w:rPr>
        <w:t>s patients reside in Massachusetts</w:t>
      </w:r>
      <w:r w:rsidR="00F718D9">
        <w:rPr>
          <w:szCs w:val="24"/>
        </w:rPr>
        <w:t xml:space="preserve"> and most patients are referred to the Applicant from across the Commonwealth, including from community providers and hospitals. The Applicant does not seek to retain patients in its system, instead it focuses on referring patients back to their community provider for ongoing care and supervision.</w:t>
      </w:r>
      <w:r>
        <w:rPr>
          <w:szCs w:val="24"/>
        </w:rPr>
        <w:t xml:space="preserve"> Approximately 2</w:t>
      </w:r>
      <w:r w:rsidR="009B50D9">
        <w:rPr>
          <w:szCs w:val="24"/>
        </w:rPr>
        <w:t>6.9</w:t>
      </w:r>
      <w:r>
        <w:rPr>
          <w:szCs w:val="24"/>
        </w:rPr>
        <w:t>% of inpatients in fiscal year (</w:t>
      </w:r>
      <w:r w:rsidR="002340EA">
        <w:rPr>
          <w:szCs w:val="24"/>
        </w:rPr>
        <w:t>“</w:t>
      </w:r>
      <w:r>
        <w:rPr>
          <w:szCs w:val="24"/>
        </w:rPr>
        <w:t>FY</w:t>
      </w:r>
      <w:r w:rsidR="002340EA">
        <w:rPr>
          <w:szCs w:val="24"/>
        </w:rPr>
        <w:t>”</w:t>
      </w:r>
      <w:r>
        <w:rPr>
          <w:szCs w:val="24"/>
        </w:rPr>
        <w:t>) 2022 came from outside Massachusetts.</w:t>
      </w:r>
      <w:r w:rsidR="00EA7085">
        <w:rPr>
          <w:rStyle w:val="FootnoteReference"/>
          <w:szCs w:val="24"/>
        </w:rPr>
        <w:footnoteReference w:id="2"/>
      </w:r>
      <w:r>
        <w:rPr>
          <w:szCs w:val="24"/>
        </w:rPr>
        <w:t xml:space="preserve"> A significant plurality of the Applicant</w:t>
      </w:r>
      <w:r w:rsidR="002340EA">
        <w:rPr>
          <w:szCs w:val="24"/>
        </w:rPr>
        <w:t>’</w:t>
      </w:r>
      <w:r>
        <w:rPr>
          <w:szCs w:val="24"/>
        </w:rPr>
        <w:t>s patients—nearly 50%—are enrolled in Medicare</w:t>
      </w:r>
      <w:r w:rsidR="00656252">
        <w:rPr>
          <w:szCs w:val="24"/>
        </w:rPr>
        <w:t xml:space="preserve">, as </w:t>
      </w:r>
      <w:r w:rsidR="00902410">
        <w:rPr>
          <w:szCs w:val="24"/>
        </w:rPr>
        <w:t xml:space="preserve">shown in </w:t>
      </w:r>
      <w:r w:rsidR="00656252" w:rsidRPr="00656252">
        <w:rPr>
          <w:szCs w:val="24"/>
          <w:u w:val="single"/>
        </w:rPr>
        <w:t xml:space="preserve">Table </w:t>
      </w:r>
      <w:r w:rsidR="009E6E7E">
        <w:rPr>
          <w:szCs w:val="24"/>
          <w:u w:val="single"/>
        </w:rPr>
        <w:t>10</w:t>
      </w:r>
      <w:r w:rsidR="00656252">
        <w:rPr>
          <w:szCs w:val="24"/>
        </w:rPr>
        <w:t>,</w:t>
      </w:r>
      <w:r>
        <w:rPr>
          <w:szCs w:val="24"/>
        </w:rPr>
        <w:t xml:space="preserve"> and more than </w:t>
      </w:r>
      <w:r w:rsidR="00060F21">
        <w:rPr>
          <w:szCs w:val="24"/>
        </w:rPr>
        <w:t>two</w:t>
      </w:r>
      <w:r>
        <w:rPr>
          <w:szCs w:val="24"/>
        </w:rPr>
        <w:t>-</w:t>
      </w:r>
      <w:r w:rsidR="00060F21">
        <w:rPr>
          <w:szCs w:val="24"/>
        </w:rPr>
        <w:t>thirds</w:t>
      </w:r>
      <w:r>
        <w:rPr>
          <w:szCs w:val="24"/>
        </w:rPr>
        <w:t xml:space="preserve"> of the Applicant</w:t>
      </w:r>
      <w:r w:rsidR="002340EA">
        <w:rPr>
          <w:szCs w:val="24"/>
        </w:rPr>
        <w:t>’</w:t>
      </w:r>
      <w:r>
        <w:rPr>
          <w:szCs w:val="24"/>
        </w:rPr>
        <w:t>s patients are over the age of 56</w:t>
      </w:r>
      <w:r w:rsidR="00A72DED">
        <w:rPr>
          <w:szCs w:val="24"/>
        </w:rPr>
        <w:t xml:space="preserve">. </w:t>
      </w:r>
    </w:p>
    <w:p w14:paraId="1D144EC7" w14:textId="77777777" w:rsidR="009C45E7" w:rsidRDefault="009C45E7" w:rsidP="009C45E7">
      <w:pPr>
        <w:jc w:val="both"/>
        <w:rPr>
          <w:szCs w:val="24"/>
          <w:lang w:val="en"/>
        </w:rPr>
      </w:pPr>
    </w:p>
    <w:p w14:paraId="2F1EF027" w14:textId="77777777" w:rsidR="009C45E7" w:rsidRDefault="009C45E7" w:rsidP="009C45E7">
      <w:pPr>
        <w:jc w:val="both"/>
        <w:rPr>
          <w:b/>
          <w:bCs/>
          <w:i/>
          <w:iCs/>
          <w:szCs w:val="24"/>
          <w:lang w:val="en"/>
        </w:rPr>
      </w:pPr>
      <w:r>
        <w:rPr>
          <w:b/>
          <w:bCs/>
          <w:i/>
          <w:iCs/>
          <w:szCs w:val="24"/>
          <w:lang w:val="en"/>
        </w:rPr>
        <w:t xml:space="preserve">Prevalence of Disease </w:t>
      </w:r>
    </w:p>
    <w:p w14:paraId="191B0DD0" w14:textId="399051E7" w:rsidR="009C45E7" w:rsidRDefault="009C45E7" w:rsidP="009C45E7">
      <w:pPr>
        <w:jc w:val="both"/>
      </w:pPr>
      <w:r>
        <w:rPr>
          <w:szCs w:val="24"/>
          <w:lang w:val="en"/>
        </w:rPr>
        <w:t>C</w:t>
      </w:r>
      <w:r w:rsidRPr="002E37FB">
        <w:rPr>
          <w:szCs w:val="24"/>
          <w:lang w:val="en"/>
        </w:rPr>
        <w:t xml:space="preserve">ancer is </w:t>
      </w:r>
      <w:r>
        <w:rPr>
          <w:szCs w:val="24"/>
          <w:lang w:val="en"/>
        </w:rPr>
        <w:t>a</w:t>
      </w:r>
      <w:r w:rsidRPr="002E37FB">
        <w:rPr>
          <w:szCs w:val="24"/>
          <w:lang w:val="en"/>
        </w:rPr>
        <w:t xml:space="preserve"> leading cause of death</w:t>
      </w:r>
      <w:r>
        <w:rPr>
          <w:szCs w:val="24"/>
          <w:lang w:val="en"/>
        </w:rPr>
        <w:t xml:space="preserve"> in the Commonwealth and the United States</w:t>
      </w:r>
      <w:r>
        <w:rPr>
          <w:rStyle w:val="FootnoteReference"/>
          <w:szCs w:val="24"/>
          <w:lang w:val="en"/>
        </w:rPr>
        <w:footnoteReference w:id="3"/>
      </w:r>
      <w:r>
        <w:rPr>
          <w:szCs w:val="24"/>
          <w:lang w:val="en"/>
        </w:rPr>
        <w:t xml:space="preserve"> and accounts for nearly one in six deaths worldwide</w:t>
      </w:r>
      <w:r w:rsidRPr="002E37FB">
        <w:rPr>
          <w:szCs w:val="24"/>
          <w:lang w:val="en"/>
        </w:rPr>
        <w:t>.</w:t>
      </w:r>
      <w:r>
        <w:rPr>
          <w:rStyle w:val="FootnoteReference"/>
          <w:szCs w:val="24"/>
          <w:lang w:val="en"/>
        </w:rPr>
        <w:footnoteReference w:id="4"/>
      </w:r>
      <w:r>
        <w:rPr>
          <w:szCs w:val="24"/>
          <w:lang w:val="en"/>
        </w:rPr>
        <w:t xml:space="preserve"> Cancer is a disease in which mutations to genes that control cell growth and function cause the body</w:t>
      </w:r>
      <w:r w:rsidR="002340EA">
        <w:rPr>
          <w:szCs w:val="24"/>
          <w:lang w:val="en"/>
        </w:rPr>
        <w:t>’</w:t>
      </w:r>
      <w:r>
        <w:rPr>
          <w:szCs w:val="24"/>
          <w:lang w:val="en"/>
        </w:rPr>
        <w:t>s cells to grow abnormally and uncontrollably.</w:t>
      </w:r>
      <w:r>
        <w:rPr>
          <w:rStyle w:val="FootnoteReference"/>
          <w:szCs w:val="24"/>
          <w:lang w:val="en"/>
        </w:rPr>
        <w:footnoteReference w:id="5"/>
      </w:r>
      <w:r>
        <w:rPr>
          <w:szCs w:val="24"/>
          <w:lang w:val="en"/>
        </w:rPr>
        <w:t xml:space="preserve"> As these abnormal cells continue to grow, they spread throughout the body and crowd out the normal, functioning cells needed to stay alive.</w:t>
      </w:r>
      <w:r>
        <w:rPr>
          <w:rStyle w:val="FootnoteReference"/>
          <w:szCs w:val="24"/>
          <w:lang w:val="en"/>
        </w:rPr>
        <w:footnoteReference w:id="6"/>
      </w:r>
      <w:r>
        <w:rPr>
          <w:szCs w:val="24"/>
          <w:lang w:val="en"/>
        </w:rPr>
        <w:t xml:space="preserve"> The genetic mutations and cell growth described above have a number of causes. The most frequently cited causes include genetics and family history, tobacco usage, poor diet, excessive alcohol consumption, excessive body weight, exposure to certain types of radiation (</w:t>
      </w:r>
      <w:r>
        <w:rPr>
          <w:i/>
          <w:iCs/>
          <w:szCs w:val="24"/>
          <w:lang w:val="en"/>
        </w:rPr>
        <w:t>e.g.</w:t>
      </w:r>
      <w:r>
        <w:rPr>
          <w:szCs w:val="24"/>
          <w:lang w:val="en"/>
        </w:rPr>
        <w:t>, ultraviolet radiation, radon, x-rays and gamma rays), and exposure to certain chemicals (</w:t>
      </w:r>
      <w:r>
        <w:rPr>
          <w:i/>
          <w:iCs/>
          <w:szCs w:val="24"/>
          <w:lang w:val="en"/>
        </w:rPr>
        <w:t>e.g.</w:t>
      </w:r>
      <w:r>
        <w:rPr>
          <w:szCs w:val="24"/>
          <w:lang w:val="en"/>
        </w:rPr>
        <w:t>, asbestos</w:t>
      </w:r>
      <w:r w:rsidR="00907564">
        <w:rPr>
          <w:szCs w:val="24"/>
          <w:lang w:val="en"/>
        </w:rPr>
        <w:t xml:space="preserve"> </w:t>
      </w:r>
      <w:r>
        <w:rPr>
          <w:szCs w:val="24"/>
          <w:lang w:val="en"/>
        </w:rPr>
        <w:t>and diesel exhaust).</w:t>
      </w:r>
      <w:r>
        <w:rPr>
          <w:rStyle w:val="FootnoteReference"/>
          <w:szCs w:val="24"/>
          <w:lang w:val="en"/>
        </w:rPr>
        <w:footnoteReference w:id="7"/>
      </w:r>
      <w:r>
        <w:rPr>
          <w:szCs w:val="24"/>
          <w:lang w:val="en"/>
        </w:rPr>
        <w:t xml:space="preserve"> </w:t>
      </w:r>
      <w:r w:rsidRPr="00FA1DD3">
        <w:t xml:space="preserve">According to the NCI, advancing age is </w:t>
      </w:r>
      <w:r w:rsidRPr="00FA1DD3">
        <w:lastRenderedPageBreak/>
        <w:t>the most important risk factor for cancer overall and for many individual cancer types.</w:t>
      </w:r>
      <w:r w:rsidRPr="00FA1DD3">
        <w:rPr>
          <w:rStyle w:val="FootnoteReference"/>
        </w:rPr>
        <w:footnoteReference w:id="8"/>
      </w:r>
      <w:r w:rsidRPr="00FA1DD3">
        <w:t xml:space="preserve"> Age is a recognized risk factor for cancer development as the normal aging process impacts important biological processes within the body causing proteins and DNA </w:t>
      </w:r>
      <w:r w:rsidR="00907564">
        <w:t xml:space="preserve">in </w:t>
      </w:r>
      <w:r w:rsidRPr="00FA1DD3">
        <w:t xml:space="preserve">cells to deteriorate and </w:t>
      </w:r>
      <w:r w:rsidR="00586138">
        <w:t>mutate over time</w:t>
      </w:r>
      <w:r w:rsidRPr="00FA1DD3">
        <w:t>, causing the formation and spread of cancer.</w:t>
      </w:r>
      <w:r w:rsidRPr="00FA1DD3">
        <w:rPr>
          <w:rStyle w:val="FootnoteReference"/>
        </w:rPr>
        <w:footnoteReference w:id="9"/>
      </w:r>
      <w:r w:rsidRPr="00FA1DD3">
        <w:t xml:space="preserve"> </w:t>
      </w:r>
      <w:r w:rsidR="002340EA">
        <w:t>“</w:t>
      </w:r>
      <w:r w:rsidRPr="00FA1DD3">
        <w:t>Beyond these intrinsic cellular changes, other bodily processes become less effective with age. The body</w:t>
      </w:r>
      <w:r w:rsidR="002340EA">
        <w:t>’</w:t>
      </w:r>
      <w:r w:rsidRPr="00FA1DD3">
        <w:t>s immune system, for example, becomes less protective and resilient, and is less efficient in detecting and fighting infection and diseases, including cancer.</w:t>
      </w:r>
      <w:r w:rsidR="002340EA">
        <w:t>”</w:t>
      </w:r>
      <w:r w:rsidRPr="00FA1DD3">
        <w:rPr>
          <w:rStyle w:val="FootnoteReference"/>
        </w:rPr>
        <w:footnoteReference w:id="10"/>
      </w:r>
      <w:r>
        <w:t xml:space="preserve"> </w:t>
      </w:r>
    </w:p>
    <w:p w14:paraId="3DEDA59A" w14:textId="77777777" w:rsidR="009C45E7" w:rsidRDefault="009C45E7" w:rsidP="009C45E7">
      <w:pPr>
        <w:jc w:val="both"/>
      </w:pPr>
    </w:p>
    <w:p w14:paraId="60F6D1E5" w14:textId="1D1DD845" w:rsidR="009C45E7" w:rsidRDefault="009C45E7" w:rsidP="009C45E7">
      <w:pPr>
        <w:jc w:val="both"/>
        <w:rPr>
          <w:szCs w:val="24"/>
          <w:lang w:val="en"/>
        </w:rPr>
      </w:pPr>
      <w:r>
        <w:rPr>
          <w:szCs w:val="24"/>
          <w:lang w:val="en"/>
        </w:rPr>
        <w:t>There are two main categories of cancer — hematologic cancers (</w:t>
      </w:r>
      <w:r>
        <w:rPr>
          <w:i/>
          <w:iCs/>
          <w:szCs w:val="24"/>
          <w:lang w:val="en"/>
        </w:rPr>
        <w:t>i.e.</w:t>
      </w:r>
      <w:r w:rsidRPr="00310F4A">
        <w:rPr>
          <w:szCs w:val="24"/>
          <w:lang w:val="en"/>
        </w:rPr>
        <w:t>,</w:t>
      </w:r>
      <w:r>
        <w:rPr>
          <w:szCs w:val="24"/>
          <w:lang w:val="en"/>
        </w:rPr>
        <w:t xml:space="preserve"> cancers affecting blood cells) and solid tumor cancers (</w:t>
      </w:r>
      <w:r>
        <w:rPr>
          <w:i/>
          <w:iCs/>
          <w:szCs w:val="24"/>
          <w:lang w:val="en"/>
        </w:rPr>
        <w:t>i.e.</w:t>
      </w:r>
      <w:r>
        <w:rPr>
          <w:szCs w:val="24"/>
          <w:lang w:val="en"/>
        </w:rPr>
        <w:t>, cancers of any other bodily organ or tissue, where the rapid cell growth described above causes tumors to grow).</w:t>
      </w:r>
      <w:r>
        <w:rPr>
          <w:rStyle w:val="FootnoteReference"/>
          <w:szCs w:val="24"/>
          <w:lang w:val="en"/>
        </w:rPr>
        <w:footnoteReference w:id="11"/>
      </w:r>
      <w:r>
        <w:rPr>
          <w:szCs w:val="24"/>
          <w:lang w:val="en"/>
        </w:rPr>
        <w:t xml:space="preserve"> Within these broad categories are many different cancer types. The most common types of cancer worldwide are breast, lung, colorectal, prostate, skin (non-melanoma), and stomach cancers.</w:t>
      </w:r>
      <w:r>
        <w:rPr>
          <w:rStyle w:val="FootnoteReference"/>
          <w:szCs w:val="24"/>
          <w:lang w:val="en"/>
        </w:rPr>
        <w:footnoteReference w:id="12"/>
      </w:r>
      <w:r>
        <w:rPr>
          <w:szCs w:val="24"/>
          <w:lang w:val="en"/>
        </w:rPr>
        <w:t xml:space="preserve"> The NCI estimates that, in 2023, lung cancer will be the deadliest form of cancer and that pancreatic cancer, liver and intrahepatic bile duct cancer, </w:t>
      </w:r>
      <w:r w:rsidR="006C6AA8">
        <w:rPr>
          <w:szCs w:val="24"/>
          <w:lang w:val="en"/>
        </w:rPr>
        <w:t>as well as</w:t>
      </w:r>
      <w:r>
        <w:rPr>
          <w:szCs w:val="24"/>
          <w:lang w:val="en"/>
        </w:rPr>
        <w:t xml:space="preserve"> lung cancer</w:t>
      </w:r>
      <w:r w:rsidR="003D6A9B">
        <w:rPr>
          <w:szCs w:val="24"/>
          <w:lang w:val="en"/>
        </w:rPr>
        <w:t>,</w:t>
      </w:r>
      <w:r>
        <w:rPr>
          <w:szCs w:val="24"/>
          <w:lang w:val="en"/>
        </w:rPr>
        <w:t xml:space="preserve"> will cause the most deaths as a proportion of new cases over the same time period.</w:t>
      </w:r>
      <w:r>
        <w:rPr>
          <w:rStyle w:val="FootnoteReference"/>
          <w:szCs w:val="24"/>
          <w:lang w:val="en"/>
        </w:rPr>
        <w:footnoteReference w:id="13"/>
      </w:r>
    </w:p>
    <w:p w14:paraId="77DF2CEF" w14:textId="77777777" w:rsidR="009C45E7" w:rsidRDefault="009C45E7" w:rsidP="009C45E7">
      <w:pPr>
        <w:jc w:val="both"/>
        <w:rPr>
          <w:szCs w:val="24"/>
          <w:lang w:val="en"/>
        </w:rPr>
      </w:pPr>
    </w:p>
    <w:p w14:paraId="25566913" w14:textId="6C3E6DCD" w:rsidR="00A9740F" w:rsidRDefault="00751EA2" w:rsidP="009C45E7">
      <w:pPr>
        <w:jc w:val="both"/>
        <w:rPr>
          <w:szCs w:val="24"/>
          <w:lang w:val="en"/>
        </w:rPr>
      </w:pPr>
      <w:r w:rsidRPr="00751EA2">
        <w:rPr>
          <w:szCs w:val="24"/>
        </w:rPr>
        <w:t>Cancer inciden</w:t>
      </w:r>
      <w:r w:rsidR="00C07C77">
        <w:rPr>
          <w:szCs w:val="24"/>
        </w:rPr>
        <w:t>ce</w:t>
      </w:r>
      <w:r w:rsidRPr="00751EA2">
        <w:rPr>
          <w:szCs w:val="24"/>
        </w:rPr>
        <w:t xml:space="preserve"> rates in Massachusetts are greater than the national inciden</w:t>
      </w:r>
      <w:r w:rsidR="00C07C77">
        <w:rPr>
          <w:szCs w:val="24"/>
        </w:rPr>
        <w:t xml:space="preserve">ce </w:t>
      </w:r>
      <w:r w:rsidRPr="00751EA2">
        <w:rPr>
          <w:szCs w:val="24"/>
        </w:rPr>
        <w:t xml:space="preserve">rates. </w:t>
      </w:r>
      <w:r>
        <w:rPr>
          <w:szCs w:val="24"/>
        </w:rPr>
        <w:t xml:space="preserve">Specifically, </w:t>
      </w:r>
      <w:r w:rsidR="006B061D">
        <w:rPr>
          <w:szCs w:val="24"/>
        </w:rPr>
        <w:t xml:space="preserve">in Massachusetts </w:t>
      </w:r>
      <w:r w:rsidR="006B061D">
        <w:rPr>
          <w:szCs w:val="24"/>
          <w:lang w:val="en"/>
        </w:rPr>
        <w:t xml:space="preserve">the </w:t>
      </w:r>
      <w:r w:rsidR="009C45E7" w:rsidRPr="002E37FB">
        <w:rPr>
          <w:szCs w:val="24"/>
          <w:lang w:val="en"/>
        </w:rPr>
        <w:t>age-adjusted overall</w:t>
      </w:r>
      <w:r w:rsidR="00071D9E">
        <w:rPr>
          <w:szCs w:val="24"/>
          <w:lang w:val="en"/>
        </w:rPr>
        <w:t xml:space="preserve"> </w:t>
      </w:r>
      <w:r w:rsidR="009C45E7" w:rsidRPr="002E37FB">
        <w:rPr>
          <w:szCs w:val="24"/>
          <w:lang w:val="en"/>
        </w:rPr>
        <w:t xml:space="preserve">cancer incidence rate </w:t>
      </w:r>
      <w:r w:rsidR="006B061D">
        <w:rPr>
          <w:szCs w:val="24"/>
          <w:lang w:val="en"/>
        </w:rPr>
        <w:t>was</w:t>
      </w:r>
      <w:r w:rsidR="009C45E7" w:rsidRPr="002E37FB">
        <w:rPr>
          <w:szCs w:val="24"/>
          <w:lang w:val="en"/>
        </w:rPr>
        <w:t xml:space="preserve"> </w:t>
      </w:r>
      <w:r w:rsidR="000608D9">
        <w:rPr>
          <w:szCs w:val="24"/>
        </w:rPr>
        <w:t>4</w:t>
      </w:r>
      <w:r w:rsidR="006B061D">
        <w:rPr>
          <w:szCs w:val="24"/>
        </w:rPr>
        <w:t>54</w:t>
      </w:r>
      <w:r w:rsidR="00071D9E">
        <w:rPr>
          <w:szCs w:val="24"/>
        </w:rPr>
        <w:t>.</w:t>
      </w:r>
      <w:r w:rsidR="006B061D">
        <w:rPr>
          <w:szCs w:val="24"/>
        </w:rPr>
        <w:t>8</w:t>
      </w:r>
      <w:r w:rsidR="009C45E7" w:rsidRPr="002E37FB">
        <w:rPr>
          <w:szCs w:val="24"/>
          <w:lang w:val="en"/>
        </w:rPr>
        <w:t xml:space="preserve"> per 100,000 persons</w:t>
      </w:r>
      <w:r w:rsidR="00A9740F">
        <w:rPr>
          <w:szCs w:val="24"/>
          <w:lang w:val="en"/>
        </w:rPr>
        <w:t xml:space="preserve"> per year</w:t>
      </w:r>
      <w:r w:rsidR="0032702D">
        <w:rPr>
          <w:szCs w:val="24"/>
          <w:lang w:val="en"/>
        </w:rPr>
        <w:t xml:space="preserve"> for years</w:t>
      </w:r>
      <w:r w:rsidR="00586138">
        <w:rPr>
          <w:szCs w:val="24"/>
          <w:lang w:val="en"/>
        </w:rPr>
        <w:t xml:space="preserve"> between </w:t>
      </w:r>
      <w:r w:rsidR="00586138" w:rsidRPr="002E37FB">
        <w:rPr>
          <w:szCs w:val="24"/>
          <w:lang w:val="en"/>
        </w:rPr>
        <w:t>201</w:t>
      </w:r>
      <w:r w:rsidR="00E33B35">
        <w:rPr>
          <w:szCs w:val="24"/>
          <w:lang w:val="en"/>
        </w:rPr>
        <w:t>5</w:t>
      </w:r>
      <w:r w:rsidR="00586138">
        <w:rPr>
          <w:szCs w:val="24"/>
          <w:lang w:val="en"/>
        </w:rPr>
        <w:t xml:space="preserve"> </w:t>
      </w:r>
      <w:r w:rsidR="00586138" w:rsidRPr="00586138">
        <w:rPr>
          <w:szCs w:val="24"/>
        </w:rPr>
        <w:t>and</w:t>
      </w:r>
      <w:r w:rsidR="00586138">
        <w:rPr>
          <w:b/>
          <w:bCs/>
          <w:szCs w:val="24"/>
        </w:rPr>
        <w:t xml:space="preserve"> </w:t>
      </w:r>
      <w:r w:rsidR="00586138" w:rsidRPr="002E37FB">
        <w:rPr>
          <w:szCs w:val="24"/>
          <w:lang w:val="en"/>
        </w:rPr>
        <w:t>201</w:t>
      </w:r>
      <w:r w:rsidR="00E33B35">
        <w:rPr>
          <w:szCs w:val="24"/>
          <w:lang w:val="en"/>
        </w:rPr>
        <w:t>9</w:t>
      </w:r>
      <w:r w:rsidR="00586138" w:rsidRPr="002E37FB">
        <w:rPr>
          <w:szCs w:val="24"/>
          <w:lang w:val="en"/>
        </w:rPr>
        <w:t>, which is greater than the national incidence rate</w:t>
      </w:r>
      <w:r w:rsidR="00586138">
        <w:rPr>
          <w:szCs w:val="24"/>
          <w:lang w:val="en"/>
        </w:rPr>
        <w:t xml:space="preserve"> of</w:t>
      </w:r>
      <w:r w:rsidR="00A71EC0">
        <w:rPr>
          <w:szCs w:val="24"/>
          <w:lang w:val="en"/>
        </w:rPr>
        <w:t xml:space="preserve"> 4</w:t>
      </w:r>
      <w:r w:rsidR="006B061D">
        <w:rPr>
          <w:szCs w:val="24"/>
        </w:rPr>
        <w:t>49</w:t>
      </w:r>
      <w:r w:rsidR="00A71EC0" w:rsidRPr="008A263E">
        <w:rPr>
          <w:szCs w:val="24"/>
        </w:rPr>
        <w:t>.</w:t>
      </w:r>
      <w:r w:rsidR="006B061D">
        <w:rPr>
          <w:szCs w:val="24"/>
        </w:rPr>
        <w:t>2</w:t>
      </w:r>
      <w:r w:rsidR="00A71EC0" w:rsidRPr="008A263E">
        <w:rPr>
          <w:szCs w:val="24"/>
        </w:rPr>
        <w:t xml:space="preserve"> per 100,000 </w:t>
      </w:r>
      <w:r w:rsidR="00A71EC0">
        <w:rPr>
          <w:szCs w:val="24"/>
        </w:rPr>
        <w:t xml:space="preserve">persons </w:t>
      </w:r>
      <w:r w:rsidR="00A71EC0" w:rsidRPr="008A263E">
        <w:rPr>
          <w:szCs w:val="24"/>
        </w:rPr>
        <w:t>per year</w:t>
      </w:r>
      <w:r w:rsidR="00A71EC0">
        <w:rPr>
          <w:szCs w:val="24"/>
        </w:rPr>
        <w:t xml:space="preserve"> for years between 201</w:t>
      </w:r>
      <w:r w:rsidR="006B061D">
        <w:rPr>
          <w:szCs w:val="24"/>
        </w:rPr>
        <w:t>5</w:t>
      </w:r>
      <w:r w:rsidR="00A71EC0">
        <w:rPr>
          <w:szCs w:val="24"/>
        </w:rPr>
        <w:t xml:space="preserve"> </w:t>
      </w:r>
      <w:r w:rsidR="00A71EC0">
        <w:rPr>
          <w:szCs w:val="24"/>
          <w:lang w:val="en"/>
        </w:rPr>
        <w:t>and</w:t>
      </w:r>
      <w:r w:rsidR="00A71EC0">
        <w:rPr>
          <w:szCs w:val="24"/>
        </w:rPr>
        <w:t xml:space="preserve"> 20</w:t>
      </w:r>
      <w:r w:rsidR="006B061D">
        <w:rPr>
          <w:szCs w:val="24"/>
        </w:rPr>
        <w:t>19</w:t>
      </w:r>
      <w:r w:rsidR="00A71EC0" w:rsidRPr="002E37FB">
        <w:rPr>
          <w:szCs w:val="24"/>
          <w:lang w:val="en"/>
        </w:rPr>
        <w:t>.</w:t>
      </w:r>
      <w:r w:rsidR="00A71EC0">
        <w:rPr>
          <w:rStyle w:val="FootnoteReference"/>
          <w:szCs w:val="24"/>
          <w:lang w:val="en"/>
        </w:rPr>
        <w:footnoteReference w:id="14"/>
      </w:r>
      <w:r w:rsidR="00A71EC0">
        <w:rPr>
          <w:szCs w:val="24"/>
          <w:lang w:val="en"/>
        </w:rPr>
        <w:t xml:space="preserve"> </w:t>
      </w:r>
      <w:r w:rsidR="00586138" w:rsidRPr="002E37FB">
        <w:rPr>
          <w:szCs w:val="24"/>
          <w:lang w:val="en"/>
        </w:rPr>
        <w:t>The most commonly diagnosed types of cancer in Massachusetts for men during 201</w:t>
      </w:r>
      <w:r w:rsidR="00701BA1">
        <w:rPr>
          <w:szCs w:val="24"/>
          <w:lang w:val="en"/>
        </w:rPr>
        <w:t>5</w:t>
      </w:r>
      <w:r w:rsidR="00586138">
        <w:rPr>
          <w:szCs w:val="24"/>
          <w:lang w:val="en"/>
        </w:rPr>
        <w:t xml:space="preserve"> and </w:t>
      </w:r>
      <w:r w:rsidR="00586138" w:rsidRPr="002E37FB">
        <w:rPr>
          <w:szCs w:val="24"/>
          <w:lang w:val="en"/>
        </w:rPr>
        <w:t>201</w:t>
      </w:r>
      <w:r w:rsidR="00701BA1">
        <w:rPr>
          <w:szCs w:val="24"/>
          <w:lang w:val="en"/>
        </w:rPr>
        <w:t>9</w:t>
      </w:r>
      <w:r w:rsidR="00586138" w:rsidRPr="002E37FB">
        <w:rPr>
          <w:szCs w:val="24"/>
          <w:lang w:val="en"/>
        </w:rPr>
        <w:t xml:space="preserve"> were prostate cancer, followed by cancers of the bronchus and lung, colon/rectum, urinary bladder</w:t>
      </w:r>
      <w:r w:rsidR="00586138">
        <w:rPr>
          <w:szCs w:val="24"/>
          <w:lang w:val="en"/>
        </w:rPr>
        <w:t>, and melanomas.</w:t>
      </w:r>
      <w:r w:rsidR="00586138" w:rsidRPr="002E37FB">
        <w:rPr>
          <w:szCs w:val="24"/>
          <w:vertAlign w:val="superscript"/>
          <w:lang w:val="en"/>
        </w:rPr>
        <w:footnoteReference w:id="15"/>
      </w:r>
      <w:r w:rsidR="00586138" w:rsidRPr="002E37FB">
        <w:rPr>
          <w:szCs w:val="24"/>
          <w:lang w:val="en"/>
        </w:rPr>
        <w:t xml:space="preserve"> Among women in Massachusetts, the most commonly diagnosed cancer types were cancers of the breast, bronchus and lung, colon/rectum, corpus uteri and uterus, and </w:t>
      </w:r>
      <w:r w:rsidR="00586138">
        <w:rPr>
          <w:szCs w:val="24"/>
          <w:lang w:val="en"/>
        </w:rPr>
        <w:t>thyroid</w:t>
      </w:r>
      <w:r w:rsidR="00586138" w:rsidRPr="002E37FB">
        <w:rPr>
          <w:szCs w:val="24"/>
          <w:lang w:val="en"/>
        </w:rPr>
        <w:t>.</w:t>
      </w:r>
      <w:r w:rsidR="00586138" w:rsidRPr="002E37FB">
        <w:rPr>
          <w:szCs w:val="24"/>
          <w:vertAlign w:val="superscript"/>
          <w:lang w:val="en"/>
        </w:rPr>
        <w:footnoteReference w:id="16"/>
      </w:r>
      <w:r w:rsidR="00586138" w:rsidRPr="002E37FB">
        <w:rPr>
          <w:szCs w:val="24"/>
          <w:lang w:val="en"/>
        </w:rPr>
        <w:t xml:space="preserve"> </w:t>
      </w:r>
      <w:r w:rsidR="00AC2E7F">
        <w:t>Between 2015 and 2019, there were 63,589 cancer deaths in Massachusetts, an average of 12,718 deaths per year.</w:t>
      </w:r>
      <w:r w:rsidR="00586138" w:rsidRPr="002E37FB">
        <w:rPr>
          <w:szCs w:val="24"/>
          <w:vertAlign w:val="superscript"/>
          <w:lang w:val="en"/>
        </w:rPr>
        <w:footnoteReference w:id="17"/>
      </w:r>
      <w:r w:rsidR="00586138" w:rsidRPr="002E37FB">
        <w:rPr>
          <w:szCs w:val="24"/>
          <w:lang w:val="en"/>
        </w:rPr>
        <w:t xml:space="preserve"> </w:t>
      </w:r>
    </w:p>
    <w:p w14:paraId="33D231CC" w14:textId="77777777" w:rsidR="00A9740F" w:rsidRDefault="00A9740F" w:rsidP="009C45E7">
      <w:pPr>
        <w:jc w:val="both"/>
        <w:rPr>
          <w:szCs w:val="24"/>
          <w:lang w:val="en"/>
        </w:rPr>
      </w:pPr>
    </w:p>
    <w:p w14:paraId="47CBB87F" w14:textId="24C40660" w:rsidR="009C45E7" w:rsidRPr="00DB4A56" w:rsidRDefault="009C45E7" w:rsidP="009C45E7">
      <w:pPr>
        <w:jc w:val="both"/>
        <w:rPr>
          <w:szCs w:val="24"/>
        </w:rPr>
      </w:pPr>
      <w:r w:rsidRPr="00C3015E">
        <w:rPr>
          <w:szCs w:val="24"/>
          <w:lang w:val="en"/>
        </w:rPr>
        <w:t>Despite an increase in the incidence of cancer, statistics demonstrate that cancer mortality rates have decreased since 2013.</w:t>
      </w:r>
      <w:r w:rsidRPr="002E37FB">
        <w:rPr>
          <w:szCs w:val="24"/>
          <w:vertAlign w:val="superscript"/>
          <w:lang w:val="en"/>
        </w:rPr>
        <w:footnoteReference w:id="18"/>
      </w:r>
      <w:r>
        <w:rPr>
          <w:szCs w:val="24"/>
          <w:lang w:val="en"/>
        </w:rPr>
        <w:t xml:space="preserve"> </w:t>
      </w:r>
      <w:r w:rsidRPr="002E37FB">
        <w:rPr>
          <w:szCs w:val="24"/>
          <w:lang w:val="en"/>
        </w:rPr>
        <w:t xml:space="preserve">These decreases in overall cancer </w:t>
      </w:r>
      <w:r>
        <w:rPr>
          <w:szCs w:val="24"/>
          <w:lang w:val="en"/>
        </w:rPr>
        <w:t xml:space="preserve">mortality </w:t>
      </w:r>
      <w:r w:rsidRPr="002E37FB">
        <w:rPr>
          <w:szCs w:val="24"/>
          <w:lang w:val="en"/>
        </w:rPr>
        <w:t>rates are evidence that treatment services,</w:t>
      </w:r>
      <w:r>
        <w:rPr>
          <w:szCs w:val="24"/>
          <w:lang w:val="en"/>
        </w:rPr>
        <w:t xml:space="preserve"> access to screening, early </w:t>
      </w:r>
      <w:r w:rsidR="00A72DED">
        <w:rPr>
          <w:szCs w:val="24"/>
          <w:lang w:val="en"/>
        </w:rPr>
        <w:t>detection,</w:t>
      </w:r>
      <w:r>
        <w:rPr>
          <w:szCs w:val="24"/>
          <w:lang w:val="en"/>
        </w:rPr>
        <w:t xml:space="preserve"> and prevention,</w:t>
      </w:r>
      <w:r w:rsidRPr="002E37FB">
        <w:rPr>
          <w:szCs w:val="24"/>
          <w:lang w:val="en"/>
        </w:rPr>
        <w:t xml:space="preserve"> along with new technology and scientific discoveries</w:t>
      </w:r>
      <w:r>
        <w:rPr>
          <w:szCs w:val="24"/>
          <w:lang w:val="en"/>
        </w:rPr>
        <w:t>,</w:t>
      </w:r>
      <w:r w:rsidRPr="002E37FB">
        <w:rPr>
          <w:szCs w:val="24"/>
          <w:lang w:val="en"/>
        </w:rPr>
        <w:t xml:space="preserve"> are leading to improved outcomes</w:t>
      </w:r>
      <w:r w:rsidR="00A9740F">
        <w:rPr>
          <w:szCs w:val="24"/>
          <w:lang w:val="en"/>
        </w:rPr>
        <w:t>.</w:t>
      </w:r>
      <w:r w:rsidRPr="002E37FB">
        <w:rPr>
          <w:szCs w:val="24"/>
          <w:lang w:val="en"/>
        </w:rPr>
        <w:t xml:space="preserve"> However,</w:t>
      </w:r>
      <w:r w:rsidR="00027726">
        <w:rPr>
          <w:szCs w:val="24"/>
          <w:lang w:val="en"/>
        </w:rPr>
        <w:t xml:space="preserve"> according to the Applicant</w:t>
      </w:r>
      <w:r w:rsidR="002340EA">
        <w:rPr>
          <w:szCs w:val="24"/>
          <w:lang w:val="en"/>
        </w:rPr>
        <w:t>’</w:t>
      </w:r>
      <w:r w:rsidR="00027726">
        <w:rPr>
          <w:szCs w:val="24"/>
          <w:lang w:val="en"/>
        </w:rPr>
        <w:t xml:space="preserve">s </w:t>
      </w:r>
      <w:r w:rsidR="00027726" w:rsidRPr="009A20AA">
        <w:rPr>
          <w:szCs w:val="24"/>
        </w:rPr>
        <w:t>Community Health Needs Assessment (</w:t>
      </w:r>
      <w:r w:rsidR="002340EA">
        <w:rPr>
          <w:szCs w:val="24"/>
        </w:rPr>
        <w:t>“</w:t>
      </w:r>
      <w:r w:rsidR="00027726" w:rsidRPr="009A20AA">
        <w:rPr>
          <w:szCs w:val="24"/>
        </w:rPr>
        <w:t>CHNA</w:t>
      </w:r>
      <w:r w:rsidR="002340EA">
        <w:rPr>
          <w:szCs w:val="24"/>
        </w:rPr>
        <w:t>”</w:t>
      </w:r>
      <w:r w:rsidR="00027726" w:rsidRPr="009A20AA">
        <w:rPr>
          <w:szCs w:val="24"/>
        </w:rPr>
        <w:t>)</w:t>
      </w:r>
      <w:r w:rsidR="00027726">
        <w:rPr>
          <w:szCs w:val="24"/>
        </w:rPr>
        <w:t>,</w:t>
      </w:r>
      <w:r w:rsidRPr="002E37FB">
        <w:rPr>
          <w:szCs w:val="24"/>
          <w:lang w:val="en"/>
        </w:rPr>
        <w:t xml:space="preserve"> cancer remains pervasive</w:t>
      </w:r>
      <w:r w:rsidR="00F44CAF">
        <w:rPr>
          <w:szCs w:val="24"/>
          <w:lang w:val="en"/>
        </w:rPr>
        <w:t xml:space="preserve"> in the Commonwealth</w:t>
      </w:r>
      <w:r w:rsidRPr="002E37FB">
        <w:rPr>
          <w:szCs w:val="24"/>
          <w:lang w:val="en"/>
        </w:rPr>
        <w:t>, leading to more deaths in Massachusetts</w:t>
      </w:r>
      <w:r>
        <w:rPr>
          <w:szCs w:val="24"/>
          <w:lang w:val="en"/>
        </w:rPr>
        <w:t xml:space="preserve"> and Boston than any other disease, except for COVID-19.</w:t>
      </w:r>
      <w:r w:rsidRPr="002E37FB">
        <w:rPr>
          <w:szCs w:val="24"/>
          <w:lang w:val="en"/>
        </w:rPr>
        <w:t xml:space="preserve"> </w:t>
      </w:r>
      <w:r w:rsidR="00027726">
        <w:rPr>
          <w:szCs w:val="24"/>
          <w:lang w:val="en"/>
        </w:rPr>
        <w:t>Additionally</w:t>
      </w:r>
      <w:r>
        <w:rPr>
          <w:szCs w:val="24"/>
        </w:rPr>
        <w:t>,</w:t>
      </w:r>
      <w:r w:rsidR="00027726">
        <w:rPr>
          <w:szCs w:val="24"/>
        </w:rPr>
        <w:t xml:space="preserve"> the Applicant</w:t>
      </w:r>
      <w:r w:rsidR="002340EA">
        <w:rPr>
          <w:szCs w:val="24"/>
        </w:rPr>
        <w:t>’</w:t>
      </w:r>
      <w:r w:rsidR="00027726">
        <w:rPr>
          <w:szCs w:val="24"/>
        </w:rPr>
        <w:t>s CHNA found that</w:t>
      </w:r>
      <w:r>
        <w:rPr>
          <w:szCs w:val="24"/>
          <w:lang w:val="en"/>
        </w:rPr>
        <w:t xml:space="preserve"> </w:t>
      </w:r>
      <w:r w:rsidRPr="00DB4A56">
        <w:rPr>
          <w:szCs w:val="24"/>
        </w:rPr>
        <w:t>Black residents in Boston continue to experience the highest rates of overall cancer mortality,</w:t>
      </w:r>
      <w:r>
        <w:rPr>
          <w:szCs w:val="24"/>
        </w:rPr>
        <w:t xml:space="preserve"> s</w:t>
      </w:r>
      <w:r w:rsidRPr="00DB4A56">
        <w:rPr>
          <w:szCs w:val="24"/>
        </w:rPr>
        <w:t>tatistically significantly higher than White residents</w:t>
      </w:r>
      <w:r>
        <w:rPr>
          <w:szCs w:val="24"/>
        </w:rPr>
        <w:t xml:space="preserve">. </w:t>
      </w:r>
      <w:r w:rsidR="0044481B">
        <w:rPr>
          <w:szCs w:val="24"/>
        </w:rPr>
        <w:t>T</w:t>
      </w:r>
      <w:r>
        <w:rPr>
          <w:szCs w:val="24"/>
        </w:rPr>
        <w:t xml:space="preserve">here are significant disparities in cancer screenings, with lower </w:t>
      </w:r>
      <w:r>
        <w:rPr>
          <w:szCs w:val="24"/>
        </w:rPr>
        <w:lastRenderedPageBreak/>
        <w:t xml:space="preserve">screening among certain subgroups, including </w:t>
      </w:r>
      <w:r w:rsidRPr="0079383E">
        <w:rPr>
          <w:szCs w:val="24"/>
        </w:rPr>
        <w:t>Asian, Latino, Black, immigrant, low-income, and unemployed residents</w:t>
      </w:r>
      <w:r>
        <w:rPr>
          <w:szCs w:val="24"/>
        </w:rPr>
        <w:t>.</w:t>
      </w:r>
      <w:r w:rsidR="003D2043">
        <w:rPr>
          <w:szCs w:val="24"/>
          <w:lang w:val="en"/>
        </w:rPr>
        <w:t xml:space="preserve"> See Factor</w:t>
      </w:r>
      <w:r w:rsidR="009A1155">
        <w:rPr>
          <w:szCs w:val="24"/>
          <w:lang w:val="en"/>
        </w:rPr>
        <w:t xml:space="preserve"> 1.b.iii and Factor 2.c</w:t>
      </w:r>
      <w:r w:rsidR="003D2043">
        <w:rPr>
          <w:szCs w:val="24"/>
          <w:lang w:val="en"/>
        </w:rPr>
        <w:t xml:space="preserve"> for a description of actions the Applicant has taken to address these disparities and </w:t>
      </w:r>
      <w:r w:rsidR="00B37D52">
        <w:rPr>
          <w:szCs w:val="24"/>
          <w:lang w:val="en"/>
        </w:rPr>
        <w:t>improve</w:t>
      </w:r>
      <w:r w:rsidR="006404DB">
        <w:rPr>
          <w:szCs w:val="24"/>
          <w:lang w:val="en"/>
        </w:rPr>
        <w:t xml:space="preserve"> equitable</w:t>
      </w:r>
      <w:r w:rsidR="00B37D52">
        <w:rPr>
          <w:szCs w:val="24"/>
          <w:lang w:val="en"/>
        </w:rPr>
        <w:t xml:space="preserve"> access to</w:t>
      </w:r>
      <w:r>
        <w:rPr>
          <w:szCs w:val="24"/>
          <w:lang w:val="en"/>
        </w:rPr>
        <w:t xml:space="preserve"> </w:t>
      </w:r>
      <w:r w:rsidRPr="002E37FB">
        <w:rPr>
          <w:szCs w:val="24"/>
          <w:lang w:val="en"/>
        </w:rPr>
        <w:t xml:space="preserve">cancer care </w:t>
      </w:r>
      <w:r>
        <w:rPr>
          <w:szCs w:val="24"/>
          <w:lang w:val="en"/>
        </w:rPr>
        <w:t>prevention, diagnostic</w:t>
      </w:r>
      <w:r w:rsidR="00BD13F5">
        <w:rPr>
          <w:szCs w:val="24"/>
          <w:lang w:val="en"/>
        </w:rPr>
        <w:t>,</w:t>
      </w:r>
      <w:r>
        <w:rPr>
          <w:szCs w:val="24"/>
          <w:lang w:val="en"/>
        </w:rPr>
        <w:t xml:space="preserve"> and treatment </w:t>
      </w:r>
      <w:r w:rsidRPr="002E37FB">
        <w:rPr>
          <w:szCs w:val="24"/>
          <w:lang w:val="en"/>
        </w:rPr>
        <w:t>services,</w:t>
      </w:r>
      <w:r>
        <w:rPr>
          <w:szCs w:val="24"/>
          <w:lang w:val="en"/>
        </w:rPr>
        <w:t xml:space="preserve"> including to communities of color</w:t>
      </w:r>
      <w:r w:rsidR="003D2043">
        <w:rPr>
          <w:szCs w:val="24"/>
          <w:lang w:val="en"/>
        </w:rPr>
        <w:t>.</w:t>
      </w:r>
    </w:p>
    <w:p w14:paraId="6D71BAB9" w14:textId="77777777" w:rsidR="009C45E7" w:rsidRPr="003A3FB4" w:rsidRDefault="009C45E7" w:rsidP="009C45E7">
      <w:pPr>
        <w:jc w:val="both"/>
        <w:rPr>
          <w:szCs w:val="24"/>
          <w:lang w:val="en"/>
        </w:rPr>
      </w:pPr>
    </w:p>
    <w:p w14:paraId="227AA169" w14:textId="10AC23E8" w:rsidR="008809CE" w:rsidRDefault="003D2043" w:rsidP="009C45E7">
      <w:pPr>
        <w:pStyle w:val="RBNBasicNoSpace"/>
        <w:jc w:val="both"/>
        <w:rPr>
          <w:szCs w:val="24"/>
        </w:rPr>
      </w:pPr>
      <w:r>
        <w:rPr>
          <w:szCs w:val="24"/>
        </w:rPr>
        <w:t>M</w:t>
      </w:r>
      <w:r w:rsidR="009C45E7">
        <w:rPr>
          <w:szCs w:val="24"/>
        </w:rPr>
        <w:t>any of the Commonwealth</w:t>
      </w:r>
      <w:r w:rsidR="002340EA">
        <w:rPr>
          <w:szCs w:val="24"/>
        </w:rPr>
        <w:t>’</w:t>
      </w:r>
      <w:r w:rsidR="009C45E7">
        <w:rPr>
          <w:szCs w:val="24"/>
        </w:rPr>
        <w:t xml:space="preserve">s sickest and most acute cancer patients receive treatment </w:t>
      </w:r>
      <w:r>
        <w:rPr>
          <w:szCs w:val="24"/>
        </w:rPr>
        <w:t>from</w:t>
      </w:r>
      <w:r w:rsidR="009C45E7">
        <w:rPr>
          <w:szCs w:val="24"/>
        </w:rPr>
        <w:t xml:space="preserve"> the Applicant, including a high volume of patients with rare and orphan cancers who r</w:t>
      </w:r>
      <w:r>
        <w:rPr>
          <w:szCs w:val="24"/>
        </w:rPr>
        <w:t xml:space="preserve">equire subspeciality </w:t>
      </w:r>
      <w:r w:rsidR="009C45E7">
        <w:rPr>
          <w:szCs w:val="24"/>
        </w:rPr>
        <w:t>care. Consequently, the Applicant</w:t>
      </w:r>
      <w:r w:rsidR="002340EA">
        <w:rPr>
          <w:szCs w:val="24"/>
        </w:rPr>
        <w:t>’</w:t>
      </w:r>
      <w:r w:rsidR="009C45E7">
        <w:rPr>
          <w:szCs w:val="24"/>
        </w:rPr>
        <w:t xml:space="preserve">s </w:t>
      </w:r>
      <w:r w:rsidR="00BE78CA">
        <w:rPr>
          <w:szCs w:val="24"/>
        </w:rPr>
        <w:t>C</w:t>
      </w:r>
      <w:r w:rsidR="009C45E7">
        <w:rPr>
          <w:szCs w:val="24"/>
        </w:rPr>
        <w:t xml:space="preserve">ase </w:t>
      </w:r>
      <w:r w:rsidR="00BE78CA">
        <w:rPr>
          <w:szCs w:val="24"/>
        </w:rPr>
        <w:t>M</w:t>
      </w:r>
      <w:r w:rsidR="009C45E7">
        <w:rPr>
          <w:szCs w:val="24"/>
        </w:rPr>
        <w:t xml:space="preserve">ix </w:t>
      </w:r>
      <w:r w:rsidR="00BE78CA">
        <w:rPr>
          <w:szCs w:val="24"/>
        </w:rPr>
        <w:t>I</w:t>
      </w:r>
      <w:r w:rsidR="009C45E7">
        <w:rPr>
          <w:szCs w:val="24"/>
        </w:rPr>
        <w:t>ndex (</w:t>
      </w:r>
      <w:r w:rsidR="002340EA">
        <w:rPr>
          <w:szCs w:val="24"/>
        </w:rPr>
        <w:t>“</w:t>
      </w:r>
      <w:r w:rsidR="009C45E7">
        <w:rPr>
          <w:szCs w:val="24"/>
        </w:rPr>
        <w:t>CMI</w:t>
      </w:r>
      <w:r w:rsidR="002340EA">
        <w:rPr>
          <w:szCs w:val="24"/>
        </w:rPr>
        <w:t>”</w:t>
      </w:r>
      <w:r w:rsidR="009C45E7">
        <w:rPr>
          <w:szCs w:val="24"/>
        </w:rPr>
        <w:t>)</w:t>
      </w:r>
      <w:r w:rsidR="00F93B2B">
        <w:rPr>
          <w:szCs w:val="24"/>
        </w:rPr>
        <w:t xml:space="preserve"> for medical oncology patients</w:t>
      </w:r>
      <w:r w:rsidR="009C45E7">
        <w:rPr>
          <w:szCs w:val="24"/>
        </w:rPr>
        <w:t xml:space="preserve"> is higher than any other provider in the </w:t>
      </w:r>
      <w:r w:rsidR="00682895">
        <w:rPr>
          <w:szCs w:val="24"/>
        </w:rPr>
        <w:t>Commonwealth</w:t>
      </w:r>
      <w:r w:rsidR="009C45E7">
        <w:rPr>
          <w:szCs w:val="24"/>
        </w:rPr>
        <w:t>.</w:t>
      </w:r>
      <w:r w:rsidR="009C45E7">
        <w:rPr>
          <w:rStyle w:val="FootnoteReference"/>
          <w:szCs w:val="24"/>
        </w:rPr>
        <w:footnoteReference w:id="19"/>
      </w:r>
      <w:r w:rsidR="009C45E7">
        <w:rPr>
          <w:szCs w:val="24"/>
        </w:rPr>
        <w:t xml:space="preserve"> </w:t>
      </w:r>
      <w:r w:rsidR="00EE07B3">
        <w:rPr>
          <w:bCs/>
          <w:szCs w:val="24"/>
        </w:rPr>
        <w:t xml:space="preserve">In FY22, the Applicant saw a 9% </w:t>
      </w:r>
      <w:r w:rsidR="00B37D52">
        <w:rPr>
          <w:bCs/>
          <w:szCs w:val="24"/>
        </w:rPr>
        <w:t xml:space="preserve">increase </w:t>
      </w:r>
      <w:r w:rsidR="00EE07B3">
        <w:rPr>
          <w:bCs/>
          <w:szCs w:val="24"/>
        </w:rPr>
        <w:t>in the average length of stay and a</w:t>
      </w:r>
      <w:r w:rsidR="00C05AFD">
        <w:rPr>
          <w:bCs/>
          <w:szCs w:val="24"/>
        </w:rPr>
        <w:t>n 18</w:t>
      </w:r>
      <w:r w:rsidR="00F93B2B">
        <w:rPr>
          <w:bCs/>
          <w:szCs w:val="24"/>
        </w:rPr>
        <w:t>.1</w:t>
      </w:r>
      <w:r w:rsidR="00EE07B3">
        <w:rPr>
          <w:bCs/>
          <w:szCs w:val="24"/>
        </w:rPr>
        <w:t>% increase in CMI</w:t>
      </w:r>
      <w:r w:rsidR="00B37D52">
        <w:rPr>
          <w:bCs/>
          <w:szCs w:val="24"/>
        </w:rPr>
        <w:t>,</w:t>
      </w:r>
      <w:r w:rsidR="00EE07B3">
        <w:rPr>
          <w:bCs/>
          <w:szCs w:val="24"/>
        </w:rPr>
        <w:t xml:space="preserve"> highlighting the higher acuity of patients seen by the Applicant.</w:t>
      </w:r>
      <w:r w:rsidR="00FE19F0">
        <w:rPr>
          <w:rStyle w:val="FootnoteReference"/>
          <w:bCs/>
          <w:szCs w:val="24"/>
        </w:rPr>
        <w:footnoteReference w:id="20"/>
      </w:r>
      <w:r w:rsidR="00EE07B3">
        <w:rPr>
          <w:bCs/>
          <w:szCs w:val="24"/>
        </w:rPr>
        <w:t xml:space="preserve"> </w:t>
      </w:r>
      <w:r w:rsidR="00EA7085" w:rsidRPr="00EA7085">
        <w:rPr>
          <w:szCs w:val="24"/>
        </w:rPr>
        <w:t>This reflects that the Applicant</w:t>
      </w:r>
      <w:r w:rsidR="002340EA">
        <w:rPr>
          <w:szCs w:val="24"/>
        </w:rPr>
        <w:t>’</w:t>
      </w:r>
      <w:r w:rsidR="00EA7085" w:rsidRPr="00EA7085">
        <w:rPr>
          <w:szCs w:val="24"/>
        </w:rPr>
        <w:t xml:space="preserve">s patient panel, on average, has higher acuity conditions than </w:t>
      </w:r>
      <w:r w:rsidR="00460FDD">
        <w:rPr>
          <w:szCs w:val="24"/>
        </w:rPr>
        <w:t xml:space="preserve">most </w:t>
      </w:r>
      <w:r w:rsidR="00EA7085" w:rsidRPr="00EA7085">
        <w:rPr>
          <w:szCs w:val="24"/>
        </w:rPr>
        <w:t>other providers</w:t>
      </w:r>
      <w:r w:rsidR="002340EA">
        <w:rPr>
          <w:szCs w:val="24"/>
        </w:rPr>
        <w:t>’</w:t>
      </w:r>
      <w:r w:rsidR="00EA7085" w:rsidRPr="00EA7085">
        <w:rPr>
          <w:szCs w:val="24"/>
        </w:rPr>
        <w:t xml:space="preserve"> panels and tends to require more prolonged inpatient management and intervention</w:t>
      </w:r>
      <w:r w:rsidR="00460FDD">
        <w:rPr>
          <w:szCs w:val="24"/>
        </w:rPr>
        <w:t>.</w:t>
      </w:r>
    </w:p>
    <w:p w14:paraId="67CA996A" w14:textId="77777777" w:rsidR="008809CE" w:rsidRDefault="008809CE" w:rsidP="009C45E7">
      <w:pPr>
        <w:pStyle w:val="RBNBasicNoSpace"/>
        <w:jc w:val="both"/>
        <w:rPr>
          <w:szCs w:val="24"/>
        </w:rPr>
      </w:pPr>
    </w:p>
    <w:p w14:paraId="49E262C5" w14:textId="0910EDEB" w:rsidR="00B37D52" w:rsidRDefault="004A1F7D" w:rsidP="009C45E7">
      <w:pPr>
        <w:pStyle w:val="RBNBasicNoSpace"/>
        <w:jc w:val="both"/>
        <w:rPr>
          <w:szCs w:val="24"/>
        </w:rPr>
      </w:pPr>
      <w:r>
        <w:rPr>
          <w:szCs w:val="24"/>
        </w:rPr>
        <w:t>P</w:t>
      </w:r>
      <w:r w:rsidR="009C45E7">
        <w:rPr>
          <w:szCs w:val="24"/>
        </w:rPr>
        <w:t>atients seek cancer care services from the Applicant for numerous types of cancer</w:t>
      </w:r>
      <w:r w:rsidR="00525382">
        <w:rPr>
          <w:szCs w:val="24"/>
        </w:rPr>
        <w:t>, including rare cancers</w:t>
      </w:r>
      <w:r w:rsidR="009C45E7">
        <w:rPr>
          <w:szCs w:val="24"/>
        </w:rPr>
        <w:t xml:space="preserve">. </w:t>
      </w:r>
      <w:r w:rsidR="008809CE" w:rsidRPr="002D3659">
        <w:rPr>
          <w:szCs w:val="28"/>
          <w:u w:val="single"/>
        </w:rPr>
        <w:t xml:space="preserve">Table </w:t>
      </w:r>
      <w:r w:rsidR="009E6E7E">
        <w:rPr>
          <w:szCs w:val="28"/>
          <w:u w:val="single"/>
        </w:rPr>
        <w:t>4</w:t>
      </w:r>
      <w:r w:rsidR="008809CE">
        <w:rPr>
          <w:szCs w:val="28"/>
        </w:rPr>
        <w:t xml:space="preserve"> provides </w:t>
      </w:r>
      <w:r w:rsidR="00F574DF">
        <w:rPr>
          <w:szCs w:val="28"/>
        </w:rPr>
        <w:t>the Applicant</w:t>
      </w:r>
      <w:r w:rsidR="002340EA">
        <w:rPr>
          <w:szCs w:val="28"/>
        </w:rPr>
        <w:t>’</w:t>
      </w:r>
      <w:r w:rsidR="00F574DF">
        <w:rPr>
          <w:szCs w:val="28"/>
        </w:rPr>
        <w:t xml:space="preserve">s </w:t>
      </w:r>
      <w:r w:rsidR="008809CE">
        <w:rPr>
          <w:szCs w:val="28"/>
        </w:rPr>
        <w:t>inpatient utilization by disease cente</w:t>
      </w:r>
      <w:r w:rsidR="00B70A4F">
        <w:rPr>
          <w:szCs w:val="28"/>
        </w:rPr>
        <w:t>r</w:t>
      </w:r>
      <w:r w:rsidR="008809CE">
        <w:rPr>
          <w:szCs w:val="28"/>
        </w:rPr>
        <w:t xml:space="preserve">. </w:t>
      </w:r>
      <w:r w:rsidR="009C45E7">
        <w:rPr>
          <w:szCs w:val="24"/>
        </w:rPr>
        <w:t>In FY22, the most frequent diagnoses among the Applicant</w:t>
      </w:r>
      <w:r w:rsidR="002340EA">
        <w:rPr>
          <w:szCs w:val="24"/>
        </w:rPr>
        <w:t>’</w:t>
      </w:r>
      <w:r w:rsidR="009C45E7">
        <w:rPr>
          <w:szCs w:val="24"/>
        </w:rPr>
        <w:t>s inpatient</w:t>
      </w:r>
      <w:r w:rsidR="002611F1">
        <w:rPr>
          <w:szCs w:val="24"/>
        </w:rPr>
        <w:t xml:space="preserve"> </w:t>
      </w:r>
      <w:r w:rsidR="00744BA5">
        <w:rPr>
          <w:szCs w:val="24"/>
        </w:rPr>
        <w:t>patient panel</w:t>
      </w:r>
      <w:r w:rsidR="009C45E7">
        <w:rPr>
          <w:szCs w:val="24"/>
        </w:rPr>
        <w:t xml:space="preserve"> were </w:t>
      </w:r>
      <w:r w:rsidR="00A315AD" w:rsidRPr="0075779D">
        <w:rPr>
          <w:szCs w:val="24"/>
        </w:rPr>
        <w:t>gastrointestinal</w:t>
      </w:r>
      <w:r w:rsidR="00A315AD">
        <w:rPr>
          <w:szCs w:val="24"/>
        </w:rPr>
        <w:t>,</w:t>
      </w:r>
      <w:r w:rsidR="00A315AD" w:rsidRPr="0075779D">
        <w:rPr>
          <w:szCs w:val="24"/>
        </w:rPr>
        <w:t xml:space="preserve"> lymphoma,</w:t>
      </w:r>
      <w:r w:rsidR="00A315AD">
        <w:rPr>
          <w:szCs w:val="24"/>
        </w:rPr>
        <w:t xml:space="preserve"> </w:t>
      </w:r>
      <w:r w:rsidR="00A315AD" w:rsidRPr="0075779D">
        <w:rPr>
          <w:szCs w:val="24"/>
        </w:rPr>
        <w:t>transplan</w:t>
      </w:r>
      <w:r w:rsidR="00A315AD">
        <w:rPr>
          <w:szCs w:val="24"/>
        </w:rPr>
        <w:t>t</w:t>
      </w:r>
      <w:r w:rsidR="00A315AD" w:rsidRPr="0075779D">
        <w:rPr>
          <w:szCs w:val="24"/>
        </w:rPr>
        <w:t>,</w:t>
      </w:r>
      <w:r w:rsidR="008A0A7D">
        <w:rPr>
          <w:szCs w:val="24"/>
        </w:rPr>
        <w:t xml:space="preserve"> thoracic,</w:t>
      </w:r>
      <w:r w:rsidR="00A315AD" w:rsidRPr="0075779D">
        <w:rPr>
          <w:szCs w:val="24"/>
        </w:rPr>
        <w:t xml:space="preserve"> </w:t>
      </w:r>
      <w:r w:rsidR="008809CE">
        <w:rPr>
          <w:szCs w:val="24"/>
        </w:rPr>
        <w:t xml:space="preserve">and </w:t>
      </w:r>
      <w:r w:rsidR="00A315AD" w:rsidRPr="0075779D">
        <w:rPr>
          <w:szCs w:val="24"/>
        </w:rPr>
        <w:t>genitourinar</w:t>
      </w:r>
      <w:r w:rsidR="00A315AD">
        <w:rPr>
          <w:szCs w:val="24"/>
        </w:rPr>
        <w:t>y</w:t>
      </w:r>
      <w:r w:rsidR="008809CE">
        <w:rPr>
          <w:szCs w:val="24"/>
        </w:rPr>
        <w:t xml:space="preserve"> cancers.</w:t>
      </w:r>
      <w:r w:rsidR="00656252">
        <w:rPr>
          <w:szCs w:val="24"/>
        </w:rPr>
        <w:t xml:space="preserve"> </w:t>
      </w:r>
    </w:p>
    <w:p w14:paraId="0740B61F" w14:textId="77777777" w:rsidR="00B37D52" w:rsidRPr="00D33848" w:rsidRDefault="00B37D52" w:rsidP="009C45E7">
      <w:pPr>
        <w:pStyle w:val="RBNBasicNoSpace"/>
        <w:jc w:val="both"/>
        <w:rPr>
          <w:szCs w:val="24"/>
        </w:rPr>
      </w:pPr>
    </w:p>
    <w:p w14:paraId="05065769" w14:textId="6F178EFC" w:rsidR="00C05AFD" w:rsidRDefault="00C05AFD" w:rsidP="00C05AFD">
      <w:pPr>
        <w:pStyle w:val="RBNBasicNoSpace"/>
        <w:jc w:val="both"/>
        <w:rPr>
          <w:szCs w:val="28"/>
        </w:rPr>
      </w:pPr>
      <w:r>
        <w:rPr>
          <w:szCs w:val="24"/>
        </w:rPr>
        <w:t xml:space="preserve">Inpatient bed need </w:t>
      </w:r>
      <w:r w:rsidRPr="00AF6390">
        <w:rPr>
          <w:szCs w:val="24"/>
        </w:rPr>
        <w:t>has increased between 2020 and 2022</w:t>
      </w:r>
      <w:r>
        <w:rPr>
          <w:szCs w:val="24"/>
        </w:rPr>
        <w:t xml:space="preserve">. </w:t>
      </w:r>
      <w:r w:rsidR="0042618E">
        <w:rPr>
          <w:szCs w:val="24"/>
        </w:rPr>
        <w:t xml:space="preserve">Over 60% </w:t>
      </w:r>
      <w:r>
        <w:rPr>
          <w:szCs w:val="24"/>
        </w:rPr>
        <w:t>of the Applicant</w:t>
      </w:r>
      <w:r w:rsidR="002340EA">
        <w:rPr>
          <w:szCs w:val="24"/>
        </w:rPr>
        <w:t>’</w:t>
      </w:r>
      <w:r>
        <w:rPr>
          <w:szCs w:val="24"/>
        </w:rPr>
        <w:t xml:space="preserve">s inpatients were admitted through </w:t>
      </w:r>
      <w:r w:rsidR="00CA3CF4">
        <w:rPr>
          <w:szCs w:val="24"/>
        </w:rPr>
        <w:t>BWH</w:t>
      </w:r>
      <w:r w:rsidR="002340EA">
        <w:rPr>
          <w:szCs w:val="24"/>
        </w:rPr>
        <w:t>’</w:t>
      </w:r>
      <w:r w:rsidR="00CA3CF4">
        <w:rPr>
          <w:szCs w:val="24"/>
        </w:rPr>
        <w:t>s</w:t>
      </w:r>
      <w:r>
        <w:rPr>
          <w:szCs w:val="24"/>
        </w:rPr>
        <w:t xml:space="preserve"> emergency department in FY22.</w:t>
      </w:r>
      <w:r w:rsidR="00BD0555">
        <w:rPr>
          <w:rStyle w:val="FootnoteReference"/>
          <w:szCs w:val="24"/>
        </w:rPr>
        <w:footnoteReference w:id="21"/>
      </w:r>
      <w:r>
        <w:rPr>
          <w:szCs w:val="24"/>
        </w:rPr>
        <w:t xml:space="preserve"> The average length of stay in the BWH emergency department increased from 6.9 hours in 2018 to 8.6 hours in 2022, a 25% increase.</w:t>
      </w:r>
      <w:r w:rsidR="003B22C8">
        <w:rPr>
          <w:rStyle w:val="FootnoteReference"/>
          <w:szCs w:val="24"/>
        </w:rPr>
        <w:footnoteReference w:id="22"/>
      </w:r>
      <w:r>
        <w:rPr>
          <w:szCs w:val="24"/>
        </w:rPr>
        <w:t xml:space="preserve"> </w:t>
      </w:r>
      <w:r w:rsidR="00185EE7">
        <w:rPr>
          <w:szCs w:val="24"/>
        </w:rPr>
        <w:t>P</w:t>
      </w:r>
      <w:r>
        <w:rPr>
          <w:szCs w:val="24"/>
        </w:rPr>
        <w:t xml:space="preserve">atients </w:t>
      </w:r>
      <w:r w:rsidR="00C07C77">
        <w:rPr>
          <w:szCs w:val="24"/>
        </w:rPr>
        <w:t xml:space="preserve">receive </w:t>
      </w:r>
      <w:r>
        <w:rPr>
          <w:szCs w:val="24"/>
        </w:rPr>
        <w:t xml:space="preserve">treatment in the emergency department to manage their symptoms, and some </w:t>
      </w:r>
      <w:r w:rsidR="00C07C77">
        <w:rPr>
          <w:szCs w:val="24"/>
        </w:rPr>
        <w:t>leave</w:t>
      </w:r>
      <w:r>
        <w:rPr>
          <w:szCs w:val="24"/>
        </w:rPr>
        <w:t xml:space="preserve"> without being seen by a medical oncologist for cancer-specific care. The emergency department </w:t>
      </w:r>
      <w:r w:rsidRPr="00D91B67">
        <w:rPr>
          <w:szCs w:val="24"/>
        </w:rPr>
        <w:t xml:space="preserve">is </w:t>
      </w:r>
      <w:r>
        <w:rPr>
          <w:szCs w:val="24"/>
        </w:rPr>
        <w:t xml:space="preserve">not an </w:t>
      </w:r>
      <w:r w:rsidRPr="00D91B67">
        <w:rPr>
          <w:szCs w:val="24"/>
        </w:rPr>
        <w:t>optimal setting for patients with cancer</w:t>
      </w:r>
      <w:r>
        <w:rPr>
          <w:szCs w:val="24"/>
        </w:rPr>
        <w:t xml:space="preserve">, who are </w:t>
      </w:r>
      <w:r w:rsidRPr="00D91B67">
        <w:rPr>
          <w:szCs w:val="24"/>
        </w:rPr>
        <w:t>at risk for complications, including nosocomial infections</w:t>
      </w:r>
      <w:r>
        <w:rPr>
          <w:szCs w:val="24"/>
        </w:rPr>
        <w:t>.</w:t>
      </w:r>
      <w:r>
        <w:rPr>
          <w:rStyle w:val="FootnoteReference"/>
          <w:szCs w:val="24"/>
        </w:rPr>
        <w:footnoteReference w:id="23"/>
      </w:r>
      <w:r>
        <w:rPr>
          <w:szCs w:val="24"/>
        </w:rPr>
        <w:t xml:space="preserve"> See </w:t>
      </w:r>
      <w:r w:rsidRPr="00670705">
        <w:rPr>
          <w:bCs/>
          <w:szCs w:val="24"/>
        </w:rPr>
        <w:t>Factor 1.a.ii</w:t>
      </w:r>
      <w:r>
        <w:rPr>
          <w:bCs/>
          <w:szCs w:val="24"/>
        </w:rPr>
        <w:t xml:space="preserve"> for further discussion regarding the impact of wait times on the Applicant</w:t>
      </w:r>
      <w:r w:rsidR="002340EA">
        <w:rPr>
          <w:bCs/>
          <w:szCs w:val="24"/>
        </w:rPr>
        <w:t>’</w:t>
      </w:r>
      <w:r>
        <w:rPr>
          <w:bCs/>
          <w:szCs w:val="24"/>
        </w:rPr>
        <w:t xml:space="preserve">s patient panel inpatient bed need. </w:t>
      </w:r>
    </w:p>
    <w:p w14:paraId="4ABCDBC9" w14:textId="77777777" w:rsidR="00C05AFD" w:rsidRPr="00BA365D" w:rsidRDefault="00C05AFD">
      <w:pPr>
        <w:jc w:val="both"/>
        <w:rPr>
          <w:b/>
          <w:bCs/>
          <w:i/>
          <w:iCs/>
          <w:szCs w:val="24"/>
        </w:rPr>
      </w:pPr>
    </w:p>
    <w:p w14:paraId="74BA4F82" w14:textId="6E18C4B0" w:rsidR="009C45E7" w:rsidRDefault="009C45E7" w:rsidP="009C45E7">
      <w:pPr>
        <w:jc w:val="both"/>
        <w:rPr>
          <w:b/>
          <w:bCs/>
          <w:i/>
          <w:iCs/>
          <w:szCs w:val="24"/>
        </w:rPr>
      </w:pPr>
      <w:r w:rsidRPr="00BA365D">
        <w:rPr>
          <w:b/>
          <w:bCs/>
          <w:i/>
          <w:iCs/>
          <w:szCs w:val="24"/>
        </w:rPr>
        <w:t>Imaging Equipment</w:t>
      </w:r>
    </w:p>
    <w:p w14:paraId="2A89237E" w14:textId="77777777" w:rsidR="009C45E7" w:rsidRDefault="009C45E7" w:rsidP="009C45E7">
      <w:pPr>
        <w:jc w:val="both"/>
        <w:rPr>
          <w:b/>
          <w:bCs/>
          <w:i/>
          <w:iCs/>
          <w:szCs w:val="24"/>
        </w:rPr>
      </w:pPr>
    </w:p>
    <w:p w14:paraId="2AC4EC79" w14:textId="75CEB200" w:rsidR="00BE3B01" w:rsidRPr="00310BA6" w:rsidRDefault="00B37D52" w:rsidP="006363FC">
      <w:pPr>
        <w:jc w:val="both"/>
        <w:rPr>
          <w:szCs w:val="28"/>
        </w:rPr>
      </w:pPr>
      <w:r>
        <w:rPr>
          <w:szCs w:val="28"/>
        </w:rPr>
        <w:t>I</w:t>
      </w:r>
      <w:r w:rsidRPr="000C7301">
        <w:rPr>
          <w:szCs w:val="28"/>
        </w:rPr>
        <w:t xml:space="preserve">maging is an essential component of </w:t>
      </w:r>
      <w:r w:rsidR="006404DB">
        <w:rPr>
          <w:szCs w:val="28"/>
        </w:rPr>
        <w:t>care for a c</w:t>
      </w:r>
      <w:r w:rsidRPr="000C7301">
        <w:rPr>
          <w:szCs w:val="28"/>
        </w:rPr>
        <w:t>ancer patient, utilized throughout the</w:t>
      </w:r>
      <w:r>
        <w:rPr>
          <w:szCs w:val="28"/>
        </w:rPr>
        <w:t xml:space="preserve"> </w:t>
      </w:r>
      <w:r w:rsidRPr="000C7301">
        <w:rPr>
          <w:szCs w:val="28"/>
        </w:rPr>
        <w:t>lifecycle of a cancer patient</w:t>
      </w:r>
      <w:r w:rsidR="002340EA">
        <w:rPr>
          <w:szCs w:val="28"/>
        </w:rPr>
        <w:t>’</w:t>
      </w:r>
      <w:r w:rsidRPr="000C7301">
        <w:rPr>
          <w:szCs w:val="28"/>
        </w:rPr>
        <w:t>s treatment, including those treatments provided by the Applicant</w:t>
      </w:r>
      <w:r>
        <w:rPr>
          <w:szCs w:val="28"/>
        </w:rPr>
        <w:t xml:space="preserve"> </w:t>
      </w:r>
      <w:r w:rsidRPr="000C7301">
        <w:rPr>
          <w:szCs w:val="28"/>
        </w:rPr>
        <w:t>that require an inpatient stay.</w:t>
      </w:r>
      <w:r>
        <w:rPr>
          <w:szCs w:val="28"/>
        </w:rPr>
        <w:t xml:space="preserve"> </w:t>
      </w:r>
      <w:r w:rsidR="00065DE1">
        <w:rPr>
          <w:rFonts w:eastAsia="Times New Roman"/>
        </w:rPr>
        <w:t xml:space="preserve">Imaging is also an essential diagnostic modality in the inpatient setting to detect and treat non-oncologic conditions such as infection, trauma, or other acute conditions. </w:t>
      </w:r>
      <w:r w:rsidRPr="000C7301">
        <w:rPr>
          <w:szCs w:val="28"/>
        </w:rPr>
        <w:t>Imaging equipment assists physicians in the detection and</w:t>
      </w:r>
      <w:r>
        <w:rPr>
          <w:szCs w:val="28"/>
        </w:rPr>
        <w:t xml:space="preserve"> </w:t>
      </w:r>
      <w:r w:rsidRPr="000C7301">
        <w:rPr>
          <w:szCs w:val="28"/>
        </w:rPr>
        <w:t>diagnosis of cancers, the determination of a cancer</w:t>
      </w:r>
      <w:r w:rsidR="002340EA">
        <w:rPr>
          <w:szCs w:val="28"/>
        </w:rPr>
        <w:t>’</w:t>
      </w:r>
      <w:r w:rsidRPr="000C7301">
        <w:rPr>
          <w:szCs w:val="28"/>
        </w:rPr>
        <w:t>s spread, the approach for delivering certain</w:t>
      </w:r>
      <w:r>
        <w:rPr>
          <w:szCs w:val="28"/>
        </w:rPr>
        <w:t xml:space="preserve"> </w:t>
      </w:r>
      <w:r w:rsidRPr="000C7301">
        <w:rPr>
          <w:szCs w:val="28"/>
        </w:rPr>
        <w:t>treatments, and the assessment of the efficacy of a particular treatment</w:t>
      </w:r>
      <w:r>
        <w:rPr>
          <w:szCs w:val="28"/>
        </w:rPr>
        <w:t xml:space="preserve">. </w:t>
      </w:r>
      <w:r w:rsidR="009025EE" w:rsidRPr="00E67893">
        <w:rPr>
          <w:szCs w:val="28"/>
          <w:u w:val="single"/>
        </w:rPr>
        <w:t xml:space="preserve">Table </w:t>
      </w:r>
      <w:r w:rsidR="009E6E7E">
        <w:rPr>
          <w:szCs w:val="28"/>
          <w:u w:val="single"/>
        </w:rPr>
        <w:t>6</w:t>
      </w:r>
      <w:r w:rsidR="009025EE">
        <w:rPr>
          <w:szCs w:val="28"/>
        </w:rPr>
        <w:t xml:space="preserve"> provides Inpatient Imaging Equipment utilization</w:t>
      </w:r>
      <w:r w:rsidR="00F574DF">
        <w:rPr>
          <w:szCs w:val="28"/>
        </w:rPr>
        <w:t xml:space="preserve"> </w:t>
      </w:r>
      <w:r w:rsidR="00BD0555">
        <w:rPr>
          <w:szCs w:val="28"/>
        </w:rPr>
        <w:t>in the Applicant</w:t>
      </w:r>
      <w:r w:rsidR="002340EA">
        <w:rPr>
          <w:szCs w:val="28"/>
        </w:rPr>
        <w:t>’</w:t>
      </w:r>
      <w:r w:rsidR="00BD0555">
        <w:rPr>
          <w:szCs w:val="28"/>
        </w:rPr>
        <w:t xml:space="preserve">s 30 licensed beds </w:t>
      </w:r>
      <w:r w:rsidR="00F574DF">
        <w:rPr>
          <w:szCs w:val="28"/>
        </w:rPr>
        <w:t>b</w:t>
      </w:r>
      <w:r w:rsidR="00F574DF">
        <w:rPr>
          <w:bCs/>
          <w:szCs w:val="24"/>
        </w:rPr>
        <w:t>y the Applicant</w:t>
      </w:r>
      <w:r w:rsidR="002340EA">
        <w:rPr>
          <w:bCs/>
          <w:szCs w:val="24"/>
        </w:rPr>
        <w:t>’</w:t>
      </w:r>
      <w:r w:rsidR="00F574DF">
        <w:rPr>
          <w:bCs/>
          <w:szCs w:val="24"/>
        </w:rPr>
        <w:t>s patient panel</w:t>
      </w:r>
      <w:r w:rsidR="009025EE">
        <w:rPr>
          <w:szCs w:val="28"/>
        </w:rPr>
        <w:t>. The percentage of oncology admissions requiring use of Inpatient Imaging Equipment increased substantially between 2020 and 2022</w:t>
      </w:r>
      <w:r w:rsidR="00FB0D00" w:rsidRPr="002248D7">
        <w:rPr>
          <w:rFonts w:ascii="Roboto" w:hAnsi="Roboto"/>
        </w:rPr>
        <w:t>—</w:t>
      </w:r>
      <w:r w:rsidR="009025EE">
        <w:rPr>
          <w:szCs w:val="28"/>
        </w:rPr>
        <w:t>by approximately 40% for</w:t>
      </w:r>
      <w:r w:rsidR="00E67893">
        <w:rPr>
          <w:szCs w:val="28"/>
        </w:rPr>
        <w:t xml:space="preserve"> MRI scans, 25% for CT scans, and 43% for PET-CT scans. </w:t>
      </w:r>
      <w:r w:rsidR="00310BA6">
        <w:rPr>
          <w:szCs w:val="28"/>
        </w:rPr>
        <w:t xml:space="preserve">Additionally, </w:t>
      </w:r>
      <w:r w:rsidR="00310BA6" w:rsidRPr="00E67893">
        <w:rPr>
          <w:szCs w:val="28"/>
          <w:u w:val="single"/>
        </w:rPr>
        <w:t xml:space="preserve">Table </w:t>
      </w:r>
      <w:r w:rsidR="009E6E7E">
        <w:rPr>
          <w:szCs w:val="28"/>
          <w:u w:val="single"/>
        </w:rPr>
        <w:t>7</w:t>
      </w:r>
      <w:r w:rsidR="00310BA6">
        <w:rPr>
          <w:szCs w:val="28"/>
        </w:rPr>
        <w:t xml:space="preserve"> provides utilization of imaging equipment such as MRI, </w:t>
      </w:r>
      <w:r w:rsidR="00A50248">
        <w:rPr>
          <w:szCs w:val="28"/>
        </w:rPr>
        <w:t>CT,</w:t>
      </w:r>
      <w:r w:rsidR="00310BA6">
        <w:rPr>
          <w:szCs w:val="28"/>
        </w:rPr>
        <w:t xml:space="preserve"> and PET-CT in </w:t>
      </w:r>
      <w:r w:rsidR="00310BA6">
        <w:rPr>
          <w:szCs w:val="28"/>
        </w:rPr>
        <w:lastRenderedPageBreak/>
        <w:t>an outpatient settin</w:t>
      </w:r>
      <w:r w:rsidR="00F574DF">
        <w:rPr>
          <w:szCs w:val="28"/>
        </w:rPr>
        <w:t xml:space="preserve">g </w:t>
      </w:r>
      <w:r w:rsidR="00310BA6">
        <w:rPr>
          <w:szCs w:val="28"/>
        </w:rPr>
        <w:t xml:space="preserve">(collectively </w:t>
      </w:r>
      <w:r w:rsidR="002340EA">
        <w:rPr>
          <w:szCs w:val="28"/>
        </w:rPr>
        <w:t>“</w:t>
      </w:r>
      <w:r w:rsidR="00310BA6">
        <w:rPr>
          <w:szCs w:val="28"/>
        </w:rPr>
        <w:t>Outpatient Imaging Equipment</w:t>
      </w:r>
      <w:r w:rsidR="002340EA">
        <w:rPr>
          <w:szCs w:val="28"/>
        </w:rPr>
        <w:t>”</w:t>
      </w:r>
      <w:r w:rsidR="00310BA6">
        <w:rPr>
          <w:szCs w:val="28"/>
        </w:rPr>
        <w:t xml:space="preserve">). </w:t>
      </w:r>
      <w:bookmarkStart w:id="5" w:name="_Hlk148524482"/>
      <w:r w:rsidR="00310BA6">
        <w:rPr>
          <w:szCs w:val="28"/>
        </w:rPr>
        <w:t xml:space="preserve">The Applicant saw increased utilization of Outpatient Imaging Equipment on the Longwood </w:t>
      </w:r>
      <w:r w:rsidR="00E601AD">
        <w:rPr>
          <w:szCs w:val="28"/>
        </w:rPr>
        <w:t>m</w:t>
      </w:r>
      <w:r w:rsidR="00310BA6">
        <w:rPr>
          <w:szCs w:val="28"/>
        </w:rPr>
        <w:t xml:space="preserve">edical </w:t>
      </w:r>
      <w:r w:rsidR="00E601AD">
        <w:rPr>
          <w:szCs w:val="28"/>
        </w:rPr>
        <w:t>c</w:t>
      </w:r>
      <w:r w:rsidR="00310BA6">
        <w:rPr>
          <w:szCs w:val="28"/>
        </w:rPr>
        <w:t>ampus</w:t>
      </w:r>
      <w:r w:rsidR="00E601AD">
        <w:rPr>
          <w:szCs w:val="28"/>
        </w:rPr>
        <w:t>, which includes</w:t>
      </w:r>
      <w:r w:rsidR="006363FC">
        <w:rPr>
          <w:szCs w:val="28"/>
        </w:rPr>
        <w:t xml:space="preserve"> the Applicant</w:t>
      </w:r>
      <w:r w:rsidR="002340EA">
        <w:rPr>
          <w:szCs w:val="28"/>
        </w:rPr>
        <w:t>’</w:t>
      </w:r>
      <w:r w:rsidR="006363FC">
        <w:rPr>
          <w:szCs w:val="28"/>
        </w:rPr>
        <w:t>s</w:t>
      </w:r>
      <w:r w:rsidR="006363FC" w:rsidRPr="006363FC">
        <w:rPr>
          <w:szCs w:val="28"/>
        </w:rPr>
        <w:t xml:space="preserve"> main campus in</w:t>
      </w:r>
      <w:r w:rsidR="006363FC">
        <w:rPr>
          <w:szCs w:val="28"/>
        </w:rPr>
        <w:t xml:space="preserve"> </w:t>
      </w:r>
      <w:r w:rsidR="006363FC" w:rsidRPr="006363FC">
        <w:rPr>
          <w:szCs w:val="28"/>
        </w:rPr>
        <w:t>Boston as well as its</w:t>
      </w:r>
      <w:r w:rsidR="006363FC">
        <w:rPr>
          <w:szCs w:val="28"/>
        </w:rPr>
        <w:t xml:space="preserve"> </w:t>
      </w:r>
      <w:r w:rsidR="006363FC" w:rsidRPr="006363FC">
        <w:rPr>
          <w:szCs w:val="28"/>
        </w:rPr>
        <w:t>site in Chestnut</w:t>
      </w:r>
      <w:r w:rsidR="006363FC">
        <w:rPr>
          <w:szCs w:val="28"/>
        </w:rPr>
        <w:t xml:space="preserve"> </w:t>
      </w:r>
      <w:r w:rsidR="006363FC" w:rsidRPr="006363FC">
        <w:rPr>
          <w:szCs w:val="28"/>
        </w:rPr>
        <w:t>Hill</w:t>
      </w:r>
      <w:r w:rsidR="006363FC">
        <w:rPr>
          <w:szCs w:val="28"/>
        </w:rPr>
        <w:t xml:space="preserve"> (</w:t>
      </w:r>
      <w:r w:rsidR="002340EA">
        <w:rPr>
          <w:szCs w:val="28"/>
        </w:rPr>
        <w:t>“</w:t>
      </w:r>
      <w:r w:rsidR="006363FC">
        <w:rPr>
          <w:szCs w:val="28"/>
        </w:rPr>
        <w:t>Longwood Medical Campus</w:t>
      </w:r>
      <w:r w:rsidR="002340EA">
        <w:rPr>
          <w:szCs w:val="28"/>
        </w:rPr>
        <w:t>”</w:t>
      </w:r>
      <w:r w:rsidR="006363FC">
        <w:rPr>
          <w:szCs w:val="28"/>
        </w:rPr>
        <w:t>),</w:t>
      </w:r>
      <w:r w:rsidR="00310BA6">
        <w:rPr>
          <w:szCs w:val="28"/>
        </w:rPr>
        <w:t xml:space="preserve"> between 2021 and 2023. Specifically, there was an approximately 81% increase in MRI scans, 38% increase in CT scans, and 22% increase in PET-CT scans</w:t>
      </w:r>
      <w:r w:rsidR="00A50248">
        <w:rPr>
          <w:szCs w:val="28"/>
        </w:rPr>
        <w:t>.</w:t>
      </w:r>
      <w:r w:rsidR="00751FA0">
        <w:rPr>
          <w:szCs w:val="28"/>
        </w:rPr>
        <w:t xml:space="preserve"> </w:t>
      </w:r>
      <w:bookmarkStart w:id="6" w:name="_Hlk148524466"/>
      <w:r w:rsidR="00751FA0">
        <w:rPr>
          <w:szCs w:val="28"/>
        </w:rPr>
        <w:t xml:space="preserve">This increase can be attributed </w:t>
      </w:r>
      <w:r w:rsidR="0050425B">
        <w:rPr>
          <w:szCs w:val="28"/>
        </w:rPr>
        <w:t xml:space="preserve">partially </w:t>
      </w:r>
      <w:r w:rsidR="00751FA0">
        <w:rPr>
          <w:szCs w:val="28"/>
        </w:rPr>
        <w:t xml:space="preserve">to </w:t>
      </w:r>
      <w:r w:rsidR="00D7272A">
        <w:rPr>
          <w:szCs w:val="28"/>
        </w:rPr>
        <w:t>an</w:t>
      </w:r>
      <w:r w:rsidR="00460FDD">
        <w:rPr>
          <w:szCs w:val="28"/>
        </w:rPr>
        <w:t xml:space="preserve"> </w:t>
      </w:r>
      <w:r w:rsidR="00D7272A">
        <w:rPr>
          <w:szCs w:val="28"/>
        </w:rPr>
        <w:t>increase in number of outpatient</w:t>
      </w:r>
      <w:r w:rsidR="004349F1">
        <w:rPr>
          <w:szCs w:val="28"/>
        </w:rPr>
        <w:t xml:space="preserve">s </w:t>
      </w:r>
      <w:r w:rsidR="00D7272A">
        <w:rPr>
          <w:szCs w:val="28"/>
        </w:rPr>
        <w:t xml:space="preserve">following the </w:t>
      </w:r>
      <w:r w:rsidR="00460FDD">
        <w:rPr>
          <w:szCs w:val="28"/>
        </w:rPr>
        <w:t>opening of the</w:t>
      </w:r>
      <w:r w:rsidR="00751FA0">
        <w:rPr>
          <w:szCs w:val="28"/>
        </w:rPr>
        <w:t xml:space="preserve"> Applicant</w:t>
      </w:r>
      <w:r w:rsidR="002340EA">
        <w:rPr>
          <w:szCs w:val="28"/>
        </w:rPr>
        <w:t>’</w:t>
      </w:r>
      <w:r w:rsidR="00751FA0">
        <w:rPr>
          <w:szCs w:val="28"/>
        </w:rPr>
        <w:t xml:space="preserve">s </w:t>
      </w:r>
      <w:r w:rsidR="00460FDD">
        <w:rPr>
          <w:szCs w:val="28"/>
        </w:rPr>
        <w:t>site in Chestnut Hill in 2021</w:t>
      </w:r>
      <w:r w:rsidR="00D7272A">
        <w:rPr>
          <w:szCs w:val="28"/>
        </w:rPr>
        <w:t xml:space="preserve">, as shown in </w:t>
      </w:r>
      <w:r w:rsidR="00D7272A">
        <w:rPr>
          <w:szCs w:val="28"/>
          <w:u w:val="single"/>
        </w:rPr>
        <w:t xml:space="preserve">Table </w:t>
      </w:r>
      <w:r w:rsidR="009E6E7E">
        <w:rPr>
          <w:szCs w:val="28"/>
          <w:u w:val="single"/>
        </w:rPr>
        <w:t>3</w:t>
      </w:r>
      <w:r w:rsidR="00751FA0">
        <w:rPr>
          <w:szCs w:val="28"/>
        </w:rPr>
        <w:t xml:space="preserve">. </w:t>
      </w:r>
      <w:bookmarkEnd w:id="5"/>
    </w:p>
    <w:bookmarkEnd w:id="6"/>
    <w:p w14:paraId="68BDB313" w14:textId="77777777" w:rsidR="009C45E7" w:rsidRDefault="009C45E7" w:rsidP="009C45E7">
      <w:pPr>
        <w:pStyle w:val="RBNBasicNoSpace"/>
        <w:rPr>
          <w:b/>
          <w:bCs/>
          <w:i/>
          <w:iCs/>
          <w:szCs w:val="24"/>
        </w:rPr>
      </w:pPr>
    </w:p>
    <w:p w14:paraId="508BC009" w14:textId="77777777" w:rsidR="009C45E7" w:rsidRPr="00E67A61" w:rsidRDefault="009C45E7" w:rsidP="009C45E7">
      <w:pPr>
        <w:pStyle w:val="RBNBasicNoSpace"/>
        <w:rPr>
          <w:szCs w:val="24"/>
        </w:rPr>
      </w:pPr>
      <w:r w:rsidRPr="00E67A61">
        <w:rPr>
          <w:b/>
          <w:bCs/>
          <w:i/>
          <w:iCs/>
          <w:szCs w:val="24"/>
        </w:rPr>
        <w:t>Radiation Therapy</w:t>
      </w:r>
    </w:p>
    <w:p w14:paraId="1C52F4D6" w14:textId="77777777" w:rsidR="009C45E7" w:rsidRPr="0057649D" w:rsidRDefault="009C45E7" w:rsidP="009C45E7">
      <w:pPr>
        <w:pStyle w:val="RBNBasicNoSpace"/>
        <w:ind w:left="720"/>
        <w:rPr>
          <w:szCs w:val="24"/>
        </w:rPr>
      </w:pPr>
    </w:p>
    <w:p w14:paraId="5D7446E3" w14:textId="4B83A960" w:rsidR="00F574DF" w:rsidRDefault="00104764" w:rsidP="004B1AA5">
      <w:pPr>
        <w:jc w:val="both"/>
        <w:rPr>
          <w:bCs/>
          <w:szCs w:val="24"/>
        </w:rPr>
      </w:pPr>
      <w:r w:rsidRPr="000133A1">
        <w:t>Radiation therapy is an important component of curing and palliating cancer</w:t>
      </w:r>
      <w:r w:rsidR="004831C0">
        <w:t xml:space="preserve"> and is </w:t>
      </w:r>
      <w:r w:rsidR="004831C0">
        <w:rPr>
          <w:bCs/>
          <w:szCs w:val="24"/>
        </w:rPr>
        <w:t>deployed across almost all cancer types.</w:t>
      </w:r>
      <w:r w:rsidR="004831C0">
        <w:rPr>
          <w:rStyle w:val="FootnoteReference"/>
          <w:bCs/>
          <w:szCs w:val="24"/>
        </w:rPr>
        <w:footnoteReference w:id="24"/>
      </w:r>
      <w:r w:rsidRPr="000133A1">
        <w:t xml:space="preserve"> </w:t>
      </w:r>
      <w:r w:rsidR="00AD0C0A" w:rsidRPr="000133A1">
        <w:t>Radiation can be used alone or with other modalities of treatment including chemotherapy</w:t>
      </w:r>
      <w:r w:rsidR="006C6AA8">
        <w:t>,</w:t>
      </w:r>
      <w:r w:rsidR="00AD0C0A" w:rsidRPr="000133A1">
        <w:t xml:space="preserve"> immunotherapy</w:t>
      </w:r>
      <w:r w:rsidR="006C6AA8">
        <w:t>,</w:t>
      </w:r>
      <w:r w:rsidR="00AD0C0A" w:rsidRPr="000133A1">
        <w:t xml:space="preserve"> or surgery.</w:t>
      </w:r>
      <w:r w:rsidR="00AD0C0A">
        <w:t xml:space="preserve"> </w:t>
      </w:r>
      <w:r w:rsidR="00235AB3">
        <w:rPr>
          <w:bCs/>
          <w:szCs w:val="24"/>
        </w:rPr>
        <w:t>In high-income countries like the United States, radiation therapy is used in more than half of all cancer cases</w:t>
      </w:r>
      <w:r w:rsidR="00235AB3">
        <w:rPr>
          <w:rStyle w:val="FootnoteReference"/>
          <w:bCs/>
          <w:szCs w:val="24"/>
        </w:rPr>
        <w:footnoteReference w:id="25"/>
      </w:r>
      <w:r w:rsidR="00235AB3">
        <w:rPr>
          <w:bCs/>
          <w:szCs w:val="24"/>
        </w:rPr>
        <w:t xml:space="preserve"> and contributes towards 40% of curative treatment.</w:t>
      </w:r>
      <w:r w:rsidR="00235AB3">
        <w:rPr>
          <w:rStyle w:val="FootnoteReference"/>
          <w:bCs/>
          <w:szCs w:val="24"/>
        </w:rPr>
        <w:footnoteReference w:id="26"/>
      </w:r>
    </w:p>
    <w:p w14:paraId="6561D799" w14:textId="77777777" w:rsidR="00F574DF" w:rsidRDefault="00F574DF" w:rsidP="004B1AA5">
      <w:pPr>
        <w:jc w:val="both"/>
        <w:rPr>
          <w:bCs/>
          <w:szCs w:val="24"/>
        </w:rPr>
      </w:pPr>
    </w:p>
    <w:p w14:paraId="5936A29E" w14:textId="4486F2F2" w:rsidR="004831C0" w:rsidRPr="00F574DF" w:rsidRDefault="004831C0" w:rsidP="004B1AA5">
      <w:pPr>
        <w:jc w:val="both"/>
      </w:pPr>
      <w:r>
        <w:rPr>
          <w:bCs/>
          <w:szCs w:val="24"/>
        </w:rPr>
        <w:t>LINAC-based radiation therapy is the most commonly used technique to deliver radiation therapy to patients.</w:t>
      </w:r>
      <w:r>
        <w:rPr>
          <w:rStyle w:val="FootnoteReference"/>
          <w:bCs/>
          <w:szCs w:val="24"/>
        </w:rPr>
        <w:footnoteReference w:id="27"/>
      </w:r>
      <w:r>
        <w:rPr>
          <w:bCs/>
          <w:szCs w:val="24"/>
        </w:rPr>
        <w:t xml:space="preserve"> LINACs are machines used to deliver external beam radiation treatments to cancer patients to treat malignant tumors in a targeted fashion through the delivery of high doses of x-rays or electrons.</w:t>
      </w:r>
      <w:r>
        <w:rPr>
          <w:rStyle w:val="FootnoteReference"/>
          <w:bCs/>
          <w:szCs w:val="24"/>
        </w:rPr>
        <w:footnoteReference w:id="28"/>
      </w:r>
      <w:r>
        <w:rPr>
          <w:bCs/>
          <w:szCs w:val="24"/>
        </w:rPr>
        <w:t xml:space="preserve"> </w:t>
      </w:r>
      <w:r w:rsidR="00F574DF">
        <w:rPr>
          <w:bCs/>
          <w:szCs w:val="24"/>
          <w:u w:val="single"/>
        </w:rPr>
        <w:t xml:space="preserve">Table </w:t>
      </w:r>
      <w:r w:rsidR="009E6E7E">
        <w:rPr>
          <w:bCs/>
          <w:szCs w:val="24"/>
          <w:u w:val="single"/>
        </w:rPr>
        <w:t>9</w:t>
      </w:r>
      <w:r w:rsidR="00F574DF">
        <w:rPr>
          <w:bCs/>
          <w:szCs w:val="24"/>
        </w:rPr>
        <w:t xml:space="preserve"> provides LINAC therapy utilization by the Applicant</w:t>
      </w:r>
      <w:r w:rsidR="002340EA">
        <w:rPr>
          <w:bCs/>
          <w:szCs w:val="24"/>
        </w:rPr>
        <w:t>’</w:t>
      </w:r>
      <w:r w:rsidR="00F574DF">
        <w:rPr>
          <w:bCs/>
          <w:szCs w:val="24"/>
        </w:rPr>
        <w:t xml:space="preserve">s patient panel. </w:t>
      </w:r>
      <w:r w:rsidR="006B67E5">
        <w:rPr>
          <w:bCs/>
          <w:szCs w:val="24"/>
        </w:rPr>
        <w:t>Patient panel utilization</w:t>
      </w:r>
      <w:r w:rsidR="00F574DF">
        <w:rPr>
          <w:bCs/>
          <w:szCs w:val="24"/>
        </w:rPr>
        <w:t xml:space="preserve"> of LINAC therapy increased by approximately 18% between 2020 and 2022. </w:t>
      </w:r>
    </w:p>
    <w:p w14:paraId="20097DB6" w14:textId="77777777" w:rsidR="004831C0" w:rsidRDefault="004831C0" w:rsidP="004831C0">
      <w:pPr>
        <w:jc w:val="both"/>
        <w:rPr>
          <w:bCs/>
          <w:szCs w:val="24"/>
        </w:rPr>
      </w:pPr>
    </w:p>
    <w:p w14:paraId="272881B1" w14:textId="7FACAF14" w:rsidR="004831C0" w:rsidRDefault="004831C0" w:rsidP="004831C0">
      <w:pPr>
        <w:jc w:val="both"/>
        <w:rPr>
          <w:bCs/>
          <w:szCs w:val="24"/>
        </w:rPr>
      </w:pPr>
      <w:r>
        <w:rPr>
          <w:bCs/>
          <w:szCs w:val="24"/>
        </w:rPr>
        <w:t xml:space="preserve">In addition, to prepare for radiation treatment, the majority of patients will undergo imaging with a CT simulator. CT simulator machines are equipped with much of the same technology as a CT machine, </w:t>
      </w:r>
      <w:r w:rsidR="006A437E">
        <w:rPr>
          <w:bCs/>
          <w:szCs w:val="24"/>
        </w:rPr>
        <w:t>but</w:t>
      </w:r>
      <w:r>
        <w:rPr>
          <w:bCs/>
          <w:szCs w:val="24"/>
        </w:rPr>
        <w:t xml:space="preserve"> they </w:t>
      </w:r>
      <w:r w:rsidR="006A437E">
        <w:rPr>
          <w:bCs/>
          <w:szCs w:val="24"/>
        </w:rPr>
        <w:t xml:space="preserve">also </w:t>
      </w:r>
      <w:r>
        <w:rPr>
          <w:bCs/>
          <w:szCs w:val="24"/>
        </w:rPr>
        <w:t>include multi-image display and treatment planning technology that allow doctors to create custom treatment plans for patients and are also used</w:t>
      </w:r>
      <w:r w:rsidR="006404DB">
        <w:rPr>
          <w:bCs/>
          <w:szCs w:val="24"/>
        </w:rPr>
        <w:t xml:space="preserve"> to</w:t>
      </w:r>
      <w:r w:rsidRPr="00B01E02">
        <w:rPr>
          <w:bCs/>
          <w:szCs w:val="24"/>
        </w:rPr>
        <w:t xml:space="preserve"> investigate causes of symptoms, complications of the disease</w:t>
      </w:r>
      <w:r w:rsidR="00BA48AC">
        <w:rPr>
          <w:bCs/>
          <w:szCs w:val="24"/>
        </w:rPr>
        <w:t>,</w:t>
      </w:r>
      <w:r w:rsidRPr="00B01E02">
        <w:rPr>
          <w:bCs/>
          <w:szCs w:val="24"/>
        </w:rPr>
        <w:t xml:space="preserve"> and its treatment</w:t>
      </w:r>
      <w:r>
        <w:rPr>
          <w:bCs/>
          <w:szCs w:val="24"/>
        </w:rPr>
        <w:t>.</w:t>
      </w:r>
      <w:r>
        <w:rPr>
          <w:rStyle w:val="FootnoteReference"/>
          <w:bCs/>
          <w:szCs w:val="24"/>
        </w:rPr>
        <w:footnoteReference w:id="29"/>
      </w:r>
      <w:r>
        <w:rPr>
          <w:bCs/>
          <w:szCs w:val="24"/>
        </w:rPr>
        <w:t xml:space="preserve"> </w:t>
      </w:r>
    </w:p>
    <w:p w14:paraId="56B2E2CE" w14:textId="27B3E63C" w:rsidR="00B37D52" w:rsidRDefault="00B37D52" w:rsidP="004831C0">
      <w:pPr>
        <w:jc w:val="both"/>
        <w:rPr>
          <w:bCs/>
          <w:szCs w:val="24"/>
        </w:rPr>
      </w:pPr>
    </w:p>
    <w:p w14:paraId="1CA80A34" w14:textId="407D84D9" w:rsidR="001D765B" w:rsidRPr="00D7272A" w:rsidRDefault="00B37D52" w:rsidP="00D7272A">
      <w:pPr>
        <w:jc w:val="both"/>
      </w:pPr>
      <w:r>
        <w:rPr>
          <w:u w:val="single"/>
        </w:rPr>
        <w:t xml:space="preserve">Table </w:t>
      </w:r>
      <w:r w:rsidR="009E6E7E">
        <w:rPr>
          <w:u w:val="single"/>
        </w:rPr>
        <w:t>8</w:t>
      </w:r>
      <w:r>
        <w:t xml:space="preserve"> provides radiation</w:t>
      </w:r>
      <w:r w:rsidR="006A437E">
        <w:t xml:space="preserve"> therapy</w:t>
      </w:r>
      <w:r>
        <w:t xml:space="preserve"> patient volumes by disease center. The number of unique patients receiving radiation therapy increased by approximately 12% between 2020 and 2022. The Applicant provided the highest radiation therapy volume to patients with</w:t>
      </w:r>
      <w:r w:rsidR="006A437E">
        <w:t xml:space="preserve"> </w:t>
      </w:r>
      <w:r w:rsidR="006A437E" w:rsidRPr="006A437E">
        <w:t>breast, head and neck, thoracic, and genitourinary cancers</w:t>
      </w:r>
      <w:r>
        <w:t>.</w:t>
      </w:r>
      <w:r w:rsidR="00B50276">
        <w:t xml:space="preserve"> </w:t>
      </w:r>
      <w:r w:rsidR="00B50276">
        <w:rPr>
          <w:bCs/>
          <w:szCs w:val="24"/>
        </w:rPr>
        <w:t>Patients in the Applicant</w:t>
      </w:r>
      <w:r w:rsidR="002340EA">
        <w:rPr>
          <w:bCs/>
          <w:szCs w:val="24"/>
        </w:rPr>
        <w:t>’</w:t>
      </w:r>
      <w:r w:rsidR="00B50276">
        <w:rPr>
          <w:bCs/>
          <w:szCs w:val="24"/>
        </w:rPr>
        <w:t xml:space="preserve">s patient panel </w:t>
      </w:r>
      <w:r w:rsidR="00B50276">
        <w:t xml:space="preserve">receive radiation therapy treatment either </w:t>
      </w:r>
      <w:r w:rsidR="0023038B">
        <w:t xml:space="preserve">in the </w:t>
      </w:r>
      <w:r w:rsidR="00B50276">
        <w:t>Applicant</w:t>
      </w:r>
      <w:r w:rsidR="002340EA">
        <w:t>’</w:t>
      </w:r>
      <w:r w:rsidR="0023038B">
        <w:t xml:space="preserve">s Radiation Oncology department </w:t>
      </w:r>
      <w:r w:rsidR="00B50276">
        <w:t xml:space="preserve">or </w:t>
      </w:r>
      <w:r w:rsidR="0023038B">
        <w:t xml:space="preserve">at </w:t>
      </w:r>
      <w:r w:rsidR="00B50276">
        <w:t>BWH</w:t>
      </w:r>
      <w:r w:rsidR="0023038B">
        <w:t>,</w:t>
      </w:r>
      <w:r w:rsidR="00B50276">
        <w:t xml:space="preserve"> based on the patient</w:t>
      </w:r>
      <w:r w:rsidR="002340EA">
        <w:t>’</w:t>
      </w:r>
      <w:r w:rsidR="00B50276">
        <w:t>s disease center</w:t>
      </w:r>
      <w:r w:rsidR="001D765B">
        <w:t xml:space="preserve"> and/or need for specialized treatment</w:t>
      </w:r>
      <w:r w:rsidR="00B50276">
        <w:t>.</w:t>
      </w:r>
    </w:p>
    <w:p w14:paraId="6A4B795A" w14:textId="30071C34" w:rsidR="008A4B72" w:rsidRPr="00FA1DD3" w:rsidRDefault="008A4B72" w:rsidP="008A4B72">
      <w:pPr>
        <w:spacing w:line="259" w:lineRule="auto"/>
        <w:jc w:val="center"/>
        <w:rPr>
          <w:b/>
          <w:bCs/>
          <w:szCs w:val="24"/>
        </w:rPr>
      </w:pPr>
      <w:r w:rsidRPr="00FA1DD3">
        <w:rPr>
          <w:b/>
          <w:bCs/>
          <w:szCs w:val="24"/>
        </w:rPr>
        <w:t xml:space="preserve">Table </w:t>
      </w:r>
      <w:r>
        <w:rPr>
          <w:b/>
          <w:bCs/>
          <w:szCs w:val="24"/>
        </w:rPr>
        <w:t>1</w:t>
      </w:r>
      <w:r>
        <w:rPr>
          <w:rStyle w:val="FootnoteReference"/>
          <w:b/>
          <w:bCs/>
          <w:szCs w:val="24"/>
        </w:rPr>
        <w:footnoteReference w:id="30"/>
      </w:r>
    </w:p>
    <w:p w14:paraId="6C7B57F8" w14:textId="79F6E69B" w:rsidR="008A4B72" w:rsidRPr="00FA1DD3" w:rsidRDefault="008A4B72" w:rsidP="008A4B72">
      <w:pPr>
        <w:pStyle w:val="RBNBasicNoSpace"/>
        <w:spacing w:after="120"/>
        <w:contextualSpacing/>
        <w:jc w:val="center"/>
        <w:rPr>
          <w:b/>
          <w:bCs/>
          <w:szCs w:val="24"/>
        </w:rPr>
      </w:pPr>
      <w:r w:rsidRPr="00FA1DD3">
        <w:rPr>
          <w:b/>
          <w:bCs/>
          <w:szCs w:val="24"/>
        </w:rPr>
        <w:lastRenderedPageBreak/>
        <w:t>Total Unique Patients, Demographics, and Geography</w:t>
      </w:r>
    </w:p>
    <w:tbl>
      <w:tblPr>
        <w:tblStyle w:val="TableGrid"/>
        <w:tblW w:w="5555" w:type="pct"/>
        <w:jc w:val="center"/>
        <w:tblLayout w:type="fixed"/>
        <w:tblLook w:val="04A0" w:firstRow="1" w:lastRow="0" w:firstColumn="1" w:lastColumn="0" w:noHBand="0" w:noVBand="1"/>
      </w:tblPr>
      <w:tblGrid>
        <w:gridCol w:w="2421"/>
        <w:gridCol w:w="1327"/>
        <w:gridCol w:w="1328"/>
        <w:gridCol w:w="1328"/>
        <w:gridCol w:w="1328"/>
        <w:gridCol w:w="1328"/>
        <w:gridCol w:w="1328"/>
      </w:tblGrid>
      <w:tr w:rsidR="008A4B72" w:rsidRPr="009964C5" w14:paraId="2A255804" w14:textId="77777777" w:rsidTr="00DB4032">
        <w:trPr>
          <w:cantSplit/>
          <w:trHeight w:val="288"/>
          <w:tblHeader/>
          <w:jc w:val="center"/>
        </w:trPr>
        <w:tc>
          <w:tcPr>
            <w:tcW w:w="2421" w:type="dxa"/>
            <w:noWrap/>
            <w:hideMark/>
          </w:tcPr>
          <w:p w14:paraId="2ADE5244" w14:textId="77777777" w:rsidR="008A4B72" w:rsidRPr="009964C5" w:rsidRDefault="008A4B72" w:rsidP="00843106">
            <w:pPr>
              <w:contextualSpacing/>
              <w:jc w:val="center"/>
              <w:rPr>
                <w:rFonts w:eastAsia="Times New Roman"/>
                <w:color w:val="000000"/>
                <w:sz w:val="20"/>
              </w:rPr>
            </w:pPr>
          </w:p>
        </w:tc>
        <w:tc>
          <w:tcPr>
            <w:tcW w:w="1327" w:type="dxa"/>
            <w:noWrap/>
            <w:hideMark/>
          </w:tcPr>
          <w:p w14:paraId="2E06C7E1" w14:textId="07C94499" w:rsidR="008A4B72" w:rsidRPr="009964C5" w:rsidRDefault="008B1BD5" w:rsidP="00843106">
            <w:pPr>
              <w:contextualSpacing/>
              <w:jc w:val="center"/>
              <w:rPr>
                <w:rFonts w:eastAsia="Times New Roman"/>
                <w:color w:val="000000"/>
                <w:sz w:val="20"/>
              </w:rPr>
            </w:pPr>
            <w:r w:rsidRPr="009964C5">
              <w:rPr>
                <w:rFonts w:eastAsia="Times New Roman"/>
                <w:b/>
                <w:bCs/>
                <w:color w:val="000000"/>
                <w:sz w:val="20"/>
              </w:rPr>
              <w:t>2020</w:t>
            </w:r>
            <w:r>
              <w:rPr>
                <w:rFonts w:eastAsia="Times New Roman"/>
                <w:b/>
                <w:bCs/>
                <w:color w:val="000000"/>
                <w:sz w:val="20"/>
              </w:rPr>
              <w:t xml:space="preserve"> </w:t>
            </w:r>
            <w:r w:rsidR="008A4B72" w:rsidRPr="009964C5">
              <w:rPr>
                <w:rFonts w:eastAsia="Times New Roman"/>
                <w:color w:val="000000"/>
                <w:sz w:val="20"/>
              </w:rPr>
              <w:t>Count</w:t>
            </w:r>
          </w:p>
        </w:tc>
        <w:tc>
          <w:tcPr>
            <w:tcW w:w="1328" w:type="dxa"/>
            <w:noWrap/>
            <w:hideMark/>
          </w:tcPr>
          <w:p w14:paraId="552EE006" w14:textId="2ED68C81" w:rsidR="008A4B72" w:rsidRPr="009964C5" w:rsidRDefault="008B1BD5" w:rsidP="00843106">
            <w:pPr>
              <w:contextualSpacing/>
              <w:jc w:val="center"/>
              <w:rPr>
                <w:rFonts w:eastAsia="Times New Roman"/>
                <w:color w:val="000000"/>
                <w:sz w:val="20"/>
              </w:rPr>
            </w:pPr>
            <w:r w:rsidRPr="009964C5">
              <w:rPr>
                <w:rFonts w:eastAsia="Times New Roman"/>
                <w:b/>
                <w:bCs/>
                <w:color w:val="000000"/>
                <w:sz w:val="20"/>
              </w:rPr>
              <w:t>2020</w:t>
            </w:r>
            <w:r>
              <w:rPr>
                <w:rFonts w:eastAsia="Times New Roman"/>
                <w:b/>
                <w:bCs/>
                <w:color w:val="000000"/>
                <w:sz w:val="20"/>
              </w:rPr>
              <w:t xml:space="preserve"> </w:t>
            </w:r>
            <w:r w:rsidR="008A4B72" w:rsidRPr="009964C5">
              <w:rPr>
                <w:rFonts w:eastAsia="Times New Roman"/>
                <w:color w:val="000000"/>
                <w:sz w:val="20"/>
              </w:rPr>
              <w:t>%</w:t>
            </w:r>
          </w:p>
        </w:tc>
        <w:tc>
          <w:tcPr>
            <w:tcW w:w="1328" w:type="dxa"/>
            <w:noWrap/>
            <w:hideMark/>
          </w:tcPr>
          <w:p w14:paraId="0255257E" w14:textId="2EF2984D" w:rsidR="008A4B72" w:rsidRPr="009964C5" w:rsidRDefault="008B1BD5" w:rsidP="00843106">
            <w:pPr>
              <w:contextualSpacing/>
              <w:jc w:val="center"/>
              <w:rPr>
                <w:rFonts w:eastAsia="Times New Roman"/>
                <w:color w:val="000000"/>
                <w:sz w:val="20"/>
              </w:rPr>
            </w:pPr>
            <w:r w:rsidRPr="009964C5">
              <w:rPr>
                <w:rFonts w:eastAsia="Times New Roman"/>
                <w:b/>
                <w:bCs/>
                <w:color w:val="000000"/>
                <w:sz w:val="20"/>
              </w:rPr>
              <w:t>202</w:t>
            </w:r>
            <w:r>
              <w:rPr>
                <w:rFonts w:eastAsia="Times New Roman"/>
                <w:b/>
                <w:bCs/>
                <w:color w:val="000000"/>
                <w:sz w:val="20"/>
              </w:rPr>
              <w:t xml:space="preserve">1 </w:t>
            </w:r>
            <w:r w:rsidR="008A4B72" w:rsidRPr="009964C5">
              <w:rPr>
                <w:rFonts w:eastAsia="Times New Roman"/>
                <w:color w:val="000000"/>
                <w:sz w:val="20"/>
              </w:rPr>
              <w:t>Count</w:t>
            </w:r>
          </w:p>
        </w:tc>
        <w:tc>
          <w:tcPr>
            <w:tcW w:w="1328" w:type="dxa"/>
            <w:noWrap/>
            <w:hideMark/>
          </w:tcPr>
          <w:p w14:paraId="178C080D" w14:textId="68E2F0C3" w:rsidR="008A4B72" w:rsidRPr="009964C5" w:rsidRDefault="008B1BD5" w:rsidP="00843106">
            <w:pPr>
              <w:contextualSpacing/>
              <w:jc w:val="center"/>
              <w:rPr>
                <w:rFonts w:eastAsia="Times New Roman"/>
                <w:color w:val="000000"/>
                <w:sz w:val="20"/>
              </w:rPr>
            </w:pPr>
            <w:r w:rsidRPr="009964C5">
              <w:rPr>
                <w:rFonts w:eastAsia="Times New Roman"/>
                <w:b/>
                <w:bCs/>
                <w:color w:val="000000"/>
                <w:sz w:val="20"/>
              </w:rPr>
              <w:t>202</w:t>
            </w:r>
            <w:r>
              <w:rPr>
                <w:rFonts w:eastAsia="Times New Roman"/>
                <w:b/>
                <w:bCs/>
                <w:color w:val="000000"/>
                <w:sz w:val="20"/>
              </w:rPr>
              <w:t xml:space="preserve">1 </w:t>
            </w:r>
            <w:r w:rsidR="008A4B72" w:rsidRPr="009964C5">
              <w:rPr>
                <w:rFonts w:eastAsia="Times New Roman"/>
                <w:color w:val="000000"/>
                <w:sz w:val="20"/>
              </w:rPr>
              <w:t>%</w:t>
            </w:r>
          </w:p>
        </w:tc>
        <w:tc>
          <w:tcPr>
            <w:tcW w:w="1328" w:type="dxa"/>
            <w:noWrap/>
            <w:hideMark/>
          </w:tcPr>
          <w:p w14:paraId="721D93D1" w14:textId="15399572" w:rsidR="008A4B72" w:rsidRPr="009964C5" w:rsidRDefault="008B1BD5" w:rsidP="00843106">
            <w:pPr>
              <w:contextualSpacing/>
              <w:jc w:val="center"/>
              <w:rPr>
                <w:rFonts w:eastAsia="Times New Roman"/>
                <w:color w:val="000000"/>
                <w:sz w:val="20"/>
              </w:rPr>
            </w:pPr>
            <w:r w:rsidRPr="009964C5">
              <w:rPr>
                <w:rFonts w:eastAsia="Times New Roman"/>
                <w:b/>
                <w:bCs/>
                <w:color w:val="000000"/>
                <w:sz w:val="20"/>
              </w:rPr>
              <w:t>202</w:t>
            </w:r>
            <w:r>
              <w:rPr>
                <w:rFonts w:eastAsia="Times New Roman"/>
                <w:b/>
                <w:bCs/>
                <w:color w:val="000000"/>
                <w:sz w:val="20"/>
              </w:rPr>
              <w:t xml:space="preserve">2 </w:t>
            </w:r>
            <w:r w:rsidR="008A4B72" w:rsidRPr="009964C5">
              <w:rPr>
                <w:rFonts w:eastAsia="Times New Roman"/>
                <w:color w:val="000000"/>
                <w:sz w:val="20"/>
              </w:rPr>
              <w:t>Count</w:t>
            </w:r>
          </w:p>
        </w:tc>
        <w:tc>
          <w:tcPr>
            <w:tcW w:w="1328" w:type="dxa"/>
            <w:noWrap/>
            <w:hideMark/>
          </w:tcPr>
          <w:p w14:paraId="73BCB980" w14:textId="3075FFB1" w:rsidR="008A4B72" w:rsidRPr="009964C5" w:rsidRDefault="008B1BD5" w:rsidP="00843106">
            <w:pPr>
              <w:contextualSpacing/>
              <w:jc w:val="center"/>
              <w:rPr>
                <w:rFonts w:eastAsia="Times New Roman"/>
                <w:color w:val="000000"/>
                <w:sz w:val="20"/>
              </w:rPr>
            </w:pPr>
            <w:r w:rsidRPr="009964C5">
              <w:rPr>
                <w:rFonts w:eastAsia="Times New Roman"/>
                <w:b/>
                <w:bCs/>
                <w:color w:val="000000"/>
                <w:sz w:val="20"/>
              </w:rPr>
              <w:t>202</w:t>
            </w:r>
            <w:r>
              <w:rPr>
                <w:rFonts w:eastAsia="Times New Roman"/>
                <w:b/>
                <w:bCs/>
                <w:color w:val="000000"/>
                <w:sz w:val="20"/>
              </w:rPr>
              <w:t xml:space="preserve">2 </w:t>
            </w:r>
            <w:r w:rsidR="008A4B72" w:rsidRPr="009964C5">
              <w:rPr>
                <w:rFonts w:eastAsia="Times New Roman"/>
                <w:color w:val="000000"/>
                <w:sz w:val="20"/>
              </w:rPr>
              <w:t>%</w:t>
            </w:r>
          </w:p>
        </w:tc>
      </w:tr>
      <w:tr w:rsidR="008A4B72" w:rsidRPr="009964C5" w14:paraId="748282E6" w14:textId="77777777" w:rsidTr="00DB4032">
        <w:trPr>
          <w:cantSplit/>
          <w:trHeight w:val="413"/>
          <w:jc w:val="center"/>
        </w:trPr>
        <w:tc>
          <w:tcPr>
            <w:tcW w:w="2421" w:type="dxa"/>
            <w:noWrap/>
            <w:hideMark/>
          </w:tcPr>
          <w:p w14:paraId="75AE564F" w14:textId="77777777" w:rsidR="008A4B72" w:rsidRPr="009964C5" w:rsidRDefault="008A4B72" w:rsidP="00843106">
            <w:pPr>
              <w:contextualSpacing/>
              <w:jc w:val="center"/>
              <w:rPr>
                <w:rFonts w:eastAsia="Times New Roman"/>
                <w:color w:val="000000"/>
                <w:sz w:val="20"/>
              </w:rPr>
            </w:pPr>
            <w:r w:rsidRPr="009964C5">
              <w:rPr>
                <w:rFonts w:eastAsia="Times New Roman"/>
                <w:color w:val="000000"/>
                <w:sz w:val="20"/>
              </w:rPr>
              <w:t>Total (unique patients)</w:t>
            </w:r>
          </w:p>
        </w:tc>
        <w:tc>
          <w:tcPr>
            <w:tcW w:w="1327" w:type="dxa"/>
            <w:noWrap/>
            <w:hideMark/>
          </w:tcPr>
          <w:p w14:paraId="51A7829B" w14:textId="1FEEB534"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60,203</w:t>
            </w:r>
          </w:p>
          <w:p w14:paraId="3C321221" w14:textId="6DB3069E" w:rsidR="008A4B72" w:rsidRPr="009964C5" w:rsidRDefault="008A4B72" w:rsidP="00843106">
            <w:pPr>
              <w:contextualSpacing/>
              <w:jc w:val="center"/>
              <w:rPr>
                <w:rFonts w:eastAsia="Times New Roman"/>
                <w:color w:val="000000"/>
                <w:sz w:val="20"/>
              </w:rPr>
            </w:pPr>
          </w:p>
        </w:tc>
        <w:tc>
          <w:tcPr>
            <w:tcW w:w="1328" w:type="dxa"/>
            <w:noWrap/>
            <w:hideMark/>
          </w:tcPr>
          <w:p w14:paraId="67EE5886" w14:textId="77777777" w:rsidR="008A4B72" w:rsidRPr="009964C5" w:rsidRDefault="008A4B72" w:rsidP="00843106">
            <w:pPr>
              <w:contextualSpacing/>
              <w:rPr>
                <w:rFonts w:eastAsia="Times New Roman"/>
                <w:color w:val="000000"/>
                <w:sz w:val="20"/>
              </w:rPr>
            </w:pPr>
          </w:p>
        </w:tc>
        <w:tc>
          <w:tcPr>
            <w:tcW w:w="1328" w:type="dxa"/>
            <w:noWrap/>
            <w:hideMark/>
          </w:tcPr>
          <w:p w14:paraId="51C60ECA" w14:textId="23AA564C"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66,241</w:t>
            </w:r>
          </w:p>
          <w:p w14:paraId="3DC6F308" w14:textId="43545754" w:rsidR="008A4B72" w:rsidRPr="009964C5" w:rsidRDefault="008A4B72" w:rsidP="00843106">
            <w:pPr>
              <w:contextualSpacing/>
              <w:jc w:val="center"/>
              <w:rPr>
                <w:rFonts w:eastAsia="Times New Roman"/>
                <w:color w:val="000000"/>
                <w:sz w:val="20"/>
              </w:rPr>
            </w:pPr>
          </w:p>
        </w:tc>
        <w:tc>
          <w:tcPr>
            <w:tcW w:w="1328" w:type="dxa"/>
            <w:noWrap/>
            <w:hideMark/>
          </w:tcPr>
          <w:p w14:paraId="14665865" w14:textId="77777777" w:rsidR="008A4B72" w:rsidRPr="009964C5" w:rsidRDefault="008A4B72" w:rsidP="00843106">
            <w:pPr>
              <w:contextualSpacing/>
              <w:rPr>
                <w:rFonts w:eastAsia="Times New Roman"/>
                <w:color w:val="000000"/>
                <w:sz w:val="20"/>
              </w:rPr>
            </w:pPr>
          </w:p>
        </w:tc>
        <w:tc>
          <w:tcPr>
            <w:tcW w:w="1328" w:type="dxa"/>
            <w:noWrap/>
            <w:hideMark/>
          </w:tcPr>
          <w:p w14:paraId="10B58B2F" w14:textId="58BD633F"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69,891</w:t>
            </w:r>
          </w:p>
          <w:p w14:paraId="3559D00B" w14:textId="4831BD37" w:rsidR="008A4B72" w:rsidRPr="009964C5" w:rsidRDefault="008A4B72" w:rsidP="00843106">
            <w:pPr>
              <w:contextualSpacing/>
              <w:jc w:val="center"/>
              <w:rPr>
                <w:rFonts w:eastAsia="Times New Roman"/>
                <w:color w:val="000000"/>
                <w:sz w:val="20"/>
              </w:rPr>
            </w:pPr>
          </w:p>
        </w:tc>
        <w:tc>
          <w:tcPr>
            <w:tcW w:w="1328" w:type="dxa"/>
            <w:noWrap/>
            <w:hideMark/>
          </w:tcPr>
          <w:p w14:paraId="518EF60F" w14:textId="77777777" w:rsidR="008A4B72" w:rsidRPr="009964C5" w:rsidRDefault="008A4B72" w:rsidP="00843106">
            <w:pPr>
              <w:contextualSpacing/>
              <w:jc w:val="center"/>
              <w:rPr>
                <w:rFonts w:eastAsia="Times New Roman"/>
                <w:color w:val="000000"/>
                <w:sz w:val="20"/>
              </w:rPr>
            </w:pPr>
          </w:p>
        </w:tc>
      </w:tr>
      <w:tr w:rsidR="008A4B72" w:rsidRPr="009964C5" w14:paraId="33001236" w14:textId="77777777" w:rsidTr="00DB4032">
        <w:trPr>
          <w:cantSplit/>
          <w:trHeight w:val="288"/>
          <w:jc w:val="center"/>
        </w:trPr>
        <w:tc>
          <w:tcPr>
            <w:tcW w:w="2421" w:type="dxa"/>
            <w:noWrap/>
            <w:hideMark/>
          </w:tcPr>
          <w:p w14:paraId="1B78FE6C" w14:textId="77777777" w:rsidR="008A4B72" w:rsidRPr="009964C5" w:rsidRDefault="008A4B72" w:rsidP="00843106">
            <w:pPr>
              <w:contextualSpacing/>
              <w:jc w:val="center"/>
              <w:rPr>
                <w:rFonts w:eastAsia="Times New Roman"/>
                <w:b/>
                <w:bCs/>
                <w:color w:val="000000"/>
                <w:sz w:val="20"/>
              </w:rPr>
            </w:pPr>
            <w:r w:rsidRPr="009964C5">
              <w:rPr>
                <w:rFonts w:eastAsia="Times New Roman"/>
                <w:b/>
                <w:bCs/>
                <w:color w:val="000000"/>
                <w:sz w:val="20"/>
              </w:rPr>
              <w:t>Gender</w:t>
            </w:r>
          </w:p>
        </w:tc>
        <w:tc>
          <w:tcPr>
            <w:tcW w:w="1327" w:type="dxa"/>
            <w:noWrap/>
          </w:tcPr>
          <w:p w14:paraId="0BC54017" w14:textId="77777777" w:rsidR="008A4B72" w:rsidRPr="009964C5" w:rsidRDefault="008A4B72" w:rsidP="00843106">
            <w:pPr>
              <w:contextualSpacing/>
              <w:jc w:val="center"/>
              <w:rPr>
                <w:rFonts w:eastAsia="Times New Roman"/>
                <w:color w:val="000000"/>
                <w:sz w:val="20"/>
              </w:rPr>
            </w:pPr>
          </w:p>
        </w:tc>
        <w:tc>
          <w:tcPr>
            <w:tcW w:w="1328" w:type="dxa"/>
            <w:noWrap/>
          </w:tcPr>
          <w:p w14:paraId="29387771" w14:textId="77777777" w:rsidR="008A4B72" w:rsidRPr="009964C5" w:rsidRDefault="008A4B72" w:rsidP="00843106">
            <w:pPr>
              <w:contextualSpacing/>
              <w:jc w:val="center"/>
              <w:rPr>
                <w:rFonts w:eastAsia="Times New Roman"/>
                <w:color w:val="000000"/>
                <w:sz w:val="20"/>
              </w:rPr>
            </w:pPr>
          </w:p>
        </w:tc>
        <w:tc>
          <w:tcPr>
            <w:tcW w:w="1328" w:type="dxa"/>
            <w:noWrap/>
          </w:tcPr>
          <w:p w14:paraId="764AEFA8" w14:textId="77777777" w:rsidR="008A4B72" w:rsidRPr="009964C5" w:rsidRDefault="008A4B72" w:rsidP="00843106">
            <w:pPr>
              <w:contextualSpacing/>
              <w:jc w:val="center"/>
              <w:rPr>
                <w:rFonts w:eastAsia="Times New Roman"/>
                <w:color w:val="000000"/>
                <w:sz w:val="20"/>
              </w:rPr>
            </w:pPr>
          </w:p>
        </w:tc>
        <w:tc>
          <w:tcPr>
            <w:tcW w:w="1328" w:type="dxa"/>
            <w:noWrap/>
          </w:tcPr>
          <w:p w14:paraId="33D8F66B" w14:textId="77777777" w:rsidR="008A4B72" w:rsidRPr="009964C5" w:rsidRDefault="008A4B72" w:rsidP="00843106">
            <w:pPr>
              <w:contextualSpacing/>
              <w:jc w:val="center"/>
              <w:rPr>
                <w:rFonts w:eastAsia="Times New Roman"/>
                <w:color w:val="000000"/>
                <w:sz w:val="20"/>
              </w:rPr>
            </w:pPr>
          </w:p>
        </w:tc>
        <w:tc>
          <w:tcPr>
            <w:tcW w:w="1328" w:type="dxa"/>
            <w:noWrap/>
          </w:tcPr>
          <w:p w14:paraId="2572406A" w14:textId="77777777" w:rsidR="008A4B72" w:rsidRPr="009964C5" w:rsidRDefault="008A4B72" w:rsidP="00843106">
            <w:pPr>
              <w:contextualSpacing/>
              <w:jc w:val="center"/>
              <w:rPr>
                <w:rFonts w:eastAsia="Times New Roman"/>
                <w:color w:val="000000"/>
                <w:sz w:val="20"/>
              </w:rPr>
            </w:pPr>
          </w:p>
        </w:tc>
        <w:tc>
          <w:tcPr>
            <w:tcW w:w="1328" w:type="dxa"/>
            <w:noWrap/>
          </w:tcPr>
          <w:p w14:paraId="2B1DD84F" w14:textId="77777777" w:rsidR="008A4B72" w:rsidRPr="009964C5" w:rsidRDefault="008A4B72" w:rsidP="00843106">
            <w:pPr>
              <w:contextualSpacing/>
              <w:jc w:val="center"/>
              <w:rPr>
                <w:rFonts w:eastAsia="Times New Roman"/>
                <w:color w:val="000000"/>
                <w:sz w:val="20"/>
              </w:rPr>
            </w:pPr>
          </w:p>
        </w:tc>
      </w:tr>
      <w:tr w:rsidR="00DE5E4D" w:rsidRPr="009964C5" w14:paraId="187B9AA9" w14:textId="77777777" w:rsidTr="00DB4032">
        <w:trPr>
          <w:cantSplit/>
          <w:trHeight w:val="288"/>
          <w:jc w:val="center"/>
        </w:trPr>
        <w:tc>
          <w:tcPr>
            <w:tcW w:w="2421" w:type="dxa"/>
            <w:noWrap/>
            <w:hideMark/>
          </w:tcPr>
          <w:p w14:paraId="24C76E59"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Female</w:t>
            </w:r>
          </w:p>
        </w:tc>
        <w:tc>
          <w:tcPr>
            <w:tcW w:w="1327" w:type="dxa"/>
            <w:noWrap/>
            <w:vAlign w:val="bottom"/>
            <w:hideMark/>
          </w:tcPr>
          <w:p w14:paraId="11E0FFD0" w14:textId="74F343A6" w:rsidR="00DE5E4D" w:rsidRPr="009964C5" w:rsidRDefault="00DE5E4D" w:rsidP="00DE5E4D">
            <w:pPr>
              <w:contextualSpacing/>
              <w:jc w:val="center"/>
              <w:rPr>
                <w:rFonts w:eastAsia="Times New Roman"/>
                <w:color w:val="000000"/>
                <w:sz w:val="20"/>
              </w:rPr>
            </w:pPr>
            <w:r w:rsidRPr="009964C5">
              <w:rPr>
                <w:color w:val="000000"/>
                <w:sz w:val="20"/>
              </w:rPr>
              <w:t>37,018</w:t>
            </w:r>
          </w:p>
        </w:tc>
        <w:tc>
          <w:tcPr>
            <w:tcW w:w="1328" w:type="dxa"/>
            <w:noWrap/>
            <w:vAlign w:val="bottom"/>
            <w:hideMark/>
          </w:tcPr>
          <w:p w14:paraId="7FC279DE" w14:textId="1868E38C" w:rsidR="00DE5E4D" w:rsidRPr="009964C5" w:rsidRDefault="00DE5E4D" w:rsidP="001B243D">
            <w:pPr>
              <w:tabs>
                <w:tab w:val="left" w:pos="803"/>
              </w:tabs>
              <w:ind w:right="41"/>
              <w:contextualSpacing/>
              <w:jc w:val="right"/>
              <w:rPr>
                <w:rFonts w:eastAsia="Times New Roman"/>
                <w:color w:val="000000"/>
                <w:sz w:val="20"/>
              </w:rPr>
            </w:pPr>
            <w:r w:rsidRPr="009964C5">
              <w:rPr>
                <w:color w:val="000000"/>
                <w:sz w:val="20"/>
              </w:rPr>
              <w:t>61.5</w:t>
            </w:r>
            <w:r w:rsidR="001B243D" w:rsidRPr="009964C5">
              <w:rPr>
                <w:color w:val="000000"/>
                <w:sz w:val="20"/>
              </w:rPr>
              <w:t xml:space="preserve">   </w:t>
            </w:r>
            <w:r w:rsidRPr="009964C5">
              <w:rPr>
                <w:color w:val="000000"/>
                <w:sz w:val="20"/>
              </w:rPr>
              <w:t>%</w:t>
            </w:r>
          </w:p>
        </w:tc>
        <w:tc>
          <w:tcPr>
            <w:tcW w:w="1328" w:type="dxa"/>
            <w:noWrap/>
            <w:vAlign w:val="bottom"/>
            <w:hideMark/>
          </w:tcPr>
          <w:p w14:paraId="62CA3966" w14:textId="6825FF89" w:rsidR="00DE5E4D" w:rsidRPr="009964C5" w:rsidRDefault="00DE5E4D" w:rsidP="00DE5E4D">
            <w:pPr>
              <w:contextualSpacing/>
              <w:jc w:val="center"/>
              <w:rPr>
                <w:rFonts w:eastAsia="Times New Roman"/>
                <w:color w:val="000000"/>
                <w:sz w:val="20"/>
              </w:rPr>
            </w:pPr>
            <w:r w:rsidRPr="009964C5">
              <w:rPr>
                <w:color w:val="000000"/>
                <w:sz w:val="20"/>
              </w:rPr>
              <w:t>40,750</w:t>
            </w:r>
          </w:p>
        </w:tc>
        <w:tc>
          <w:tcPr>
            <w:tcW w:w="1328" w:type="dxa"/>
            <w:noWrap/>
            <w:vAlign w:val="bottom"/>
            <w:hideMark/>
          </w:tcPr>
          <w:p w14:paraId="0308F2B9" w14:textId="6C3AF000" w:rsidR="00DE5E4D" w:rsidRPr="009964C5" w:rsidRDefault="00DE5E4D" w:rsidP="001B243D">
            <w:pPr>
              <w:ind w:right="86"/>
              <w:contextualSpacing/>
              <w:jc w:val="right"/>
              <w:rPr>
                <w:rFonts w:eastAsia="Times New Roman"/>
                <w:color w:val="000000"/>
                <w:sz w:val="20"/>
              </w:rPr>
            </w:pPr>
            <w:r w:rsidRPr="009964C5">
              <w:rPr>
                <w:color w:val="000000"/>
                <w:sz w:val="20"/>
              </w:rPr>
              <w:t>61.5</w:t>
            </w:r>
            <w:r w:rsidR="001B243D" w:rsidRPr="009964C5">
              <w:rPr>
                <w:color w:val="000000"/>
                <w:sz w:val="20"/>
              </w:rPr>
              <w:t xml:space="preserve">  </w:t>
            </w:r>
            <w:r w:rsidRPr="009964C5">
              <w:rPr>
                <w:color w:val="000000"/>
                <w:sz w:val="20"/>
              </w:rPr>
              <w:t>%</w:t>
            </w:r>
          </w:p>
        </w:tc>
        <w:tc>
          <w:tcPr>
            <w:tcW w:w="1328" w:type="dxa"/>
            <w:noWrap/>
            <w:vAlign w:val="bottom"/>
            <w:hideMark/>
          </w:tcPr>
          <w:p w14:paraId="09544F91" w14:textId="0105223D" w:rsidR="00DE5E4D" w:rsidRPr="009964C5" w:rsidRDefault="00DE5E4D" w:rsidP="00DE5E4D">
            <w:pPr>
              <w:contextualSpacing/>
              <w:jc w:val="center"/>
              <w:rPr>
                <w:rFonts w:eastAsia="Times New Roman"/>
                <w:color w:val="000000"/>
                <w:sz w:val="20"/>
              </w:rPr>
            </w:pPr>
            <w:r w:rsidRPr="009964C5">
              <w:rPr>
                <w:color w:val="000000"/>
                <w:sz w:val="20"/>
              </w:rPr>
              <w:t>43,177</w:t>
            </w:r>
          </w:p>
        </w:tc>
        <w:tc>
          <w:tcPr>
            <w:tcW w:w="1328" w:type="dxa"/>
            <w:noWrap/>
            <w:vAlign w:val="bottom"/>
            <w:hideMark/>
          </w:tcPr>
          <w:p w14:paraId="027D358A" w14:textId="74D1B4CF" w:rsidR="00DE5E4D" w:rsidRPr="009964C5" w:rsidRDefault="00DE5E4D" w:rsidP="001B243D">
            <w:pPr>
              <w:tabs>
                <w:tab w:val="left" w:pos="796"/>
              </w:tabs>
              <w:contextualSpacing/>
              <w:jc w:val="right"/>
              <w:rPr>
                <w:rFonts w:eastAsia="Times New Roman"/>
                <w:color w:val="000000"/>
                <w:sz w:val="20"/>
              </w:rPr>
            </w:pPr>
            <w:r w:rsidRPr="009964C5">
              <w:rPr>
                <w:color w:val="000000"/>
                <w:sz w:val="20"/>
              </w:rPr>
              <w:t>61.8</w:t>
            </w:r>
            <w:r w:rsidR="001B243D" w:rsidRPr="009964C5">
              <w:rPr>
                <w:color w:val="000000"/>
                <w:sz w:val="20"/>
              </w:rPr>
              <w:t xml:space="preserve">    </w:t>
            </w:r>
            <w:r w:rsidRPr="009964C5">
              <w:rPr>
                <w:color w:val="000000"/>
                <w:sz w:val="20"/>
              </w:rPr>
              <w:t>%</w:t>
            </w:r>
          </w:p>
        </w:tc>
      </w:tr>
      <w:tr w:rsidR="00DE5E4D" w:rsidRPr="009964C5" w14:paraId="7AF324BB" w14:textId="77777777" w:rsidTr="00DB4032">
        <w:trPr>
          <w:cantSplit/>
          <w:trHeight w:val="288"/>
          <w:jc w:val="center"/>
        </w:trPr>
        <w:tc>
          <w:tcPr>
            <w:tcW w:w="2421" w:type="dxa"/>
            <w:noWrap/>
            <w:hideMark/>
          </w:tcPr>
          <w:p w14:paraId="58E8FE12"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Male</w:t>
            </w:r>
          </w:p>
        </w:tc>
        <w:tc>
          <w:tcPr>
            <w:tcW w:w="1327" w:type="dxa"/>
            <w:noWrap/>
            <w:vAlign w:val="bottom"/>
            <w:hideMark/>
          </w:tcPr>
          <w:p w14:paraId="7D67D6B4" w14:textId="00CFBA03" w:rsidR="00DE5E4D" w:rsidRPr="009964C5" w:rsidRDefault="00DE5E4D" w:rsidP="00DE5E4D">
            <w:pPr>
              <w:contextualSpacing/>
              <w:jc w:val="center"/>
              <w:rPr>
                <w:rFonts w:eastAsia="Times New Roman"/>
                <w:color w:val="000000"/>
                <w:sz w:val="20"/>
              </w:rPr>
            </w:pPr>
            <w:r w:rsidRPr="009964C5">
              <w:rPr>
                <w:color w:val="000000"/>
                <w:sz w:val="20"/>
              </w:rPr>
              <w:t>23,167</w:t>
            </w:r>
          </w:p>
        </w:tc>
        <w:tc>
          <w:tcPr>
            <w:tcW w:w="1328" w:type="dxa"/>
            <w:noWrap/>
            <w:vAlign w:val="bottom"/>
            <w:hideMark/>
          </w:tcPr>
          <w:p w14:paraId="13A4A577" w14:textId="4FA13C7F" w:rsidR="00DE5E4D" w:rsidRPr="009964C5" w:rsidRDefault="00DE5E4D" w:rsidP="00DE5E4D">
            <w:pPr>
              <w:contextualSpacing/>
              <w:jc w:val="center"/>
              <w:rPr>
                <w:rFonts w:eastAsia="Times New Roman"/>
                <w:color w:val="000000"/>
                <w:sz w:val="20"/>
              </w:rPr>
            </w:pPr>
            <w:r w:rsidRPr="009964C5">
              <w:rPr>
                <w:color w:val="000000"/>
                <w:sz w:val="20"/>
              </w:rPr>
              <w:t>38.5</w:t>
            </w:r>
          </w:p>
        </w:tc>
        <w:tc>
          <w:tcPr>
            <w:tcW w:w="1328" w:type="dxa"/>
            <w:noWrap/>
            <w:vAlign w:val="bottom"/>
            <w:hideMark/>
          </w:tcPr>
          <w:p w14:paraId="2E6C7344" w14:textId="04A202B6" w:rsidR="00DE5E4D" w:rsidRPr="009964C5" w:rsidRDefault="00DE5E4D" w:rsidP="00DE5E4D">
            <w:pPr>
              <w:contextualSpacing/>
              <w:jc w:val="center"/>
              <w:rPr>
                <w:rFonts w:eastAsia="Times New Roman"/>
                <w:color w:val="000000"/>
                <w:sz w:val="20"/>
              </w:rPr>
            </w:pPr>
            <w:r w:rsidRPr="009964C5">
              <w:rPr>
                <w:color w:val="000000"/>
                <w:sz w:val="20"/>
              </w:rPr>
              <w:t>25,229</w:t>
            </w:r>
          </w:p>
        </w:tc>
        <w:tc>
          <w:tcPr>
            <w:tcW w:w="1328" w:type="dxa"/>
            <w:noWrap/>
            <w:vAlign w:val="bottom"/>
            <w:hideMark/>
          </w:tcPr>
          <w:p w14:paraId="118EB18D" w14:textId="61C6FB64" w:rsidR="00DE5E4D" w:rsidRPr="009964C5" w:rsidRDefault="00DE5E4D" w:rsidP="00DE5E4D">
            <w:pPr>
              <w:contextualSpacing/>
              <w:jc w:val="center"/>
              <w:rPr>
                <w:rFonts w:eastAsia="Times New Roman"/>
                <w:color w:val="000000"/>
                <w:sz w:val="20"/>
              </w:rPr>
            </w:pPr>
            <w:r w:rsidRPr="009964C5">
              <w:rPr>
                <w:color w:val="000000"/>
                <w:sz w:val="20"/>
              </w:rPr>
              <w:t>38.1</w:t>
            </w:r>
          </w:p>
        </w:tc>
        <w:tc>
          <w:tcPr>
            <w:tcW w:w="1328" w:type="dxa"/>
            <w:noWrap/>
            <w:vAlign w:val="bottom"/>
            <w:hideMark/>
          </w:tcPr>
          <w:p w14:paraId="2A3E2A64" w14:textId="240378B1" w:rsidR="00DE5E4D" w:rsidRPr="009964C5" w:rsidRDefault="00DE5E4D" w:rsidP="00DE5E4D">
            <w:pPr>
              <w:contextualSpacing/>
              <w:jc w:val="center"/>
              <w:rPr>
                <w:rFonts w:eastAsia="Times New Roman"/>
                <w:color w:val="000000"/>
                <w:sz w:val="20"/>
              </w:rPr>
            </w:pPr>
            <w:r w:rsidRPr="009964C5">
              <w:rPr>
                <w:color w:val="000000"/>
                <w:sz w:val="20"/>
              </w:rPr>
              <w:t>26,691</w:t>
            </w:r>
          </w:p>
        </w:tc>
        <w:tc>
          <w:tcPr>
            <w:tcW w:w="1328" w:type="dxa"/>
            <w:noWrap/>
            <w:vAlign w:val="bottom"/>
            <w:hideMark/>
          </w:tcPr>
          <w:p w14:paraId="2DED12B3" w14:textId="13369C65" w:rsidR="00DE5E4D" w:rsidRPr="009964C5" w:rsidRDefault="00DE5E4D" w:rsidP="00DE5E4D">
            <w:pPr>
              <w:contextualSpacing/>
              <w:jc w:val="center"/>
              <w:rPr>
                <w:rFonts w:eastAsia="Times New Roman"/>
                <w:color w:val="000000"/>
                <w:sz w:val="20"/>
              </w:rPr>
            </w:pPr>
            <w:r w:rsidRPr="009964C5">
              <w:rPr>
                <w:color w:val="000000"/>
                <w:sz w:val="20"/>
              </w:rPr>
              <w:t>38.2</w:t>
            </w:r>
          </w:p>
        </w:tc>
      </w:tr>
      <w:tr w:rsidR="00DE5E4D" w:rsidRPr="009964C5" w14:paraId="71EA09B4" w14:textId="77777777" w:rsidTr="00DB4032">
        <w:trPr>
          <w:cantSplit/>
          <w:trHeight w:val="288"/>
          <w:jc w:val="center"/>
        </w:trPr>
        <w:tc>
          <w:tcPr>
            <w:tcW w:w="2421" w:type="dxa"/>
            <w:noWrap/>
            <w:hideMark/>
          </w:tcPr>
          <w:p w14:paraId="5CD5139E"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Unknown</w:t>
            </w:r>
          </w:p>
        </w:tc>
        <w:tc>
          <w:tcPr>
            <w:tcW w:w="1327" w:type="dxa"/>
            <w:noWrap/>
            <w:vAlign w:val="bottom"/>
            <w:hideMark/>
          </w:tcPr>
          <w:p w14:paraId="755E6DA3" w14:textId="257D20EF" w:rsidR="00DE5E4D" w:rsidRPr="009964C5" w:rsidRDefault="00DE5E4D" w:rsidP="00DE5E4D">
            <w:pPr>
              <w:contextualSpacing/>
              <w:jc w:val="center"/>
              <w:rPr>
                <w:rFonts w:eastAsia="Times New Roman"/>
                <w:color w:val="000000"/>
                <w:sz w:val="20"/>
              </w:rPr>
            </w:pPr>
            <w:r w:rsidRPr="009964C5">
              <w:rPr>
                <w:color w:val="000000"/>
                <w:sz w:val="20"/>
              </w:rPr>
              <w:t>18</w:t>
            </w:r>
          </w:p>
        </w:tc>
        <w:tc>
          <w:tcPr>
            <w:tcW w:w="1328" w:type="dxa"/>
            <w:noWrap/>
            <w:vAlign w:val="bottom"/>
            <w:hideMark/>
          </w:tcPr>
          <w:p w14:paraId="42A0ECDE" w14:textId="779AC0EE" w:rsidR="00DE5E4D" w:rsidRPr="009964C5" w:rsidRDefault="00DE5E4D" w:rsidP="00DE5E4D">
            <w:pPr>
              <w:contextualSpacing/>
              <w:jc w:val="center"/>
              <w:rPr>
                <w:rFonts w:eastAsia="Times New Roman"/>
                <w:color w:val="000000"/>
                <w:sz w:val="20"/>
              </w:rPr>
            </w:pPr>
            <w:r w:rsidRPr="009964C5">
              <w:rPr>
                <w:color w:val="000000"/>
                <w:sz w:val="20"/>
              </w:rPr>
              <w:t>0.0</w:t>
            </w:r>
          </w:p>
        </w:tc>
        <w:tc>
          <w:tcPr>
            <w:tcW w:w="1328" w:type="dxa"/>
            <w:noWrap/>
            <w:vAlign w:val="bottom"/>
            <w:hideMark/>
          </w:tcPr>
          <w:p w14:paraId="32ABD4CB" w14:textId="23300CB2" w:rsidR="00DE5E4D" w:rsidRPr="009964C5" w:rsidRDefault="00DE5E4D" w:rsidP="00DE5E4D">
            <w:pPr>
              <w:contextualSpacing/>
              <w:jc w:val="center"/>
              <w:rPr>
                <w:rFonts w:eastAsia="Times New Roman"/>
                <w:color w:val="000000"/>
                <w:sz w:val="20"/>
              </w:rPr>
            </w:pPr>
            <w:r w:rsidRPr="009964C5">
              <w:rPr>
                <w:color w:val="000000"/>
                <w:sz w:val="20"/>
              </w:rPr>
              <w:t>262</w:t>
            </w:r>
          </w:p>
        </w:tc>
        <w:tc>
          <w:tcPr>
            <w:tcW w:w="1328" w:type="dxa"/>
            <w:noWrap/>
            <w:vAlign w:val="bottom"/>
            <w:hideMark/>
          </w:tcPr>
          <w:p w14:paraId="050F48EA" w14:textId="29A714C1" w:rsidR="00DE5E4D" w:rsidRPr="009964C5" w:rsidRDefault="00DE5E4D" w:rsidP="00DE5E4D">
            <w:pPr>
              <w:contextualSpacing/>
              <w:jc w:val="center"/>
              <w:rPr>
                <w:rFonts w:eastAsia="Times New Roman"/>
                <w:color w:val="000000"/>
                <w:sz w:val="20"/>
              </w:rPr>
            </w:pPr>
            <w:r w:rsidRPr="009964C5">
              <w:rPr>
                <w:color w:val="000000"/>
                <w:sz w:val="20"/>
              </w:rPr>
              <w:t>0.4</w:t>
            </w:r>
          </w:p>
        </w:tc>
        <w:tc>
          <w:tcPr>
            <w:tcW w:w="1328" w:type="dxa"/>
            <w:noWrap/>
            <w:vAlign w:val="bottom"/>
            <w:hideMark/>
          </w:tcPr>
          <w:p w14:paraId="366CF254" w14:textId="2E7E53ED" w:rsidR="00DE5E4D" w:rsidRPr="009964C5" w:rsidRDefault="00DE5E4D" w:rsidP="00DE5E4D">
            <w:pPr>
              <w:contextualSpacing/>
              <w:jc w:val="center"/>
              <w:rPr>
                <w:rFonts w:eastAsia="Times New Roman"/>
                <w:color w:val="000000"/>
                <w:sz w:val="20"/>
              </w:rPr>
            </w:pPr>
            <w:r w:rsidRPr="009964C5">
              <w:rPr>
                <w:color w:val="000000"/>
                <w:sz w:val="20"/>
              </w:rPr>
              <w:t>23</w:t>
            </w:r>
          </w:p>
        </w:tc>
        <w:tc>
          <w:tcPr>
            <w:tcW w:w="1328" w:type="dxa"/>
            <w:noWrap/>
            <w:vAlign w:val="bottom"/>
            <w:hideMark/>
          </w:tcPr>
          <w:p w14:paraId="0C9958A2" w14:textId="311A870A" w:rsidR="00DE5E4D" w:rsidRPr="009964C5" w:rsidRDefault="00DE5E4D" w:rsidP="00DE5E4D">
            <w:pPr>
              <w:contextualSpacing/>
              <w:jc w:val="center"/>
              <w:rPr>
                <w:rFonts w:eastAsia="Times New Roman"/>
                <w:color w:val="000000"/>
                <w:sz w:val="20"/>
              </w:rPr>
            </w:pPr>
            <w:r w:rsidRPr="009964C5">
              <w:rPr>
                <w:color w:val="000000"/>
                <w:sz w:val="20"/>
              </w:rPr>
              <w:t>0.0</w:t>
            </w:r>
          </w:p>
        </w:tc>
      </w:tr>
      <w:tr w:rsidR="008A4B72" w:rsidRPr="009964C5" w14:paraId="5E37F9A7" w14:textId="77777777" w:rsidTr="00DB4032">
        <w:trPr>
          <w:cantSplit/>
          <w:trHeight w:val="288"/>
          <w:jc w:val="center"/>
        </w:trPr>
        <w:tc>
          <w:tcPr>
            <w:tcW w:w="2421" w:type="dxa"/>
            <w:noWrap/>
            <w:hideMark/>
          </w:tcPr>
          <w:p w14:paraId="4A1E7FC2" w14:textId="77777777" w:rsidR="008A4B72" w:rsidRPr="009964C5" w:rsidRDefault="008A4B72" w:rsidP="00843106">
            <w:pPr>
              <w:contextualSpacing/>
              <w:jc w:val="center"/>
              <w:rPr>
                <w:rFonts w:eastAsia="Times New Roman"/>
                <w:b/>
                <w:bCs/>
                <w:color w:val="000000"/>
                <w:sz w:val="20"/>
              </w:rPr>
            </w:pPr>
            <w:r w:rsidRPr="009964C5">
              <w:rPr>
                <w:rFonts w:eastAsia="Times New Roman"/>
                <w:b/>
                <w:bCs/>
                <w:color w:val="000000"/>
                <w:sz w:val="20"/>
              </w:rPr>
              <w:t>Race &amp; Ethnicity</w:t>
            </w:r>
          </w:p>
        </w:tc>
        <w:tc>
          <w:tcPr>
            <w:tcW w:w="1327" w:type="dxa"/>
            <w:noWrap/>
          </w:tcPr>
          <w:p w14:paraId="0F180102" w14:textId="77777777" w:rsidR="008A4B72" w:rsidRPr="009964C5" w:rsidRDefault="008A4B72" w:rsidP="00843106">
            <w:pPr>
              <w:contextualSpacing/>
              <w:jc w:val="center"/>
              <w:rPr>
                <w:rFonts w:eastAsia="Times New Roman"/>
                <w:color w:val="000000"/>
                <w:sz w:val="20"/>
              </w:rPr>
            </w:pPr>
          </w:p>
        </w:tc>
        <w:tc>
          <w:tcPr>
            <w:tcW w:w="1328" w:type="dxa"/>
            <w:noWrap/>
          </w:tcPr>
          <w:p w14:paraId="26EB60CD" w14:textId="77777777" w:rsidR="008A4B72" w:rsidRPr="009964C5" w:rsidRDefault="008A4B72" w:rsidP="00DE5E4D">
            <w:pPr>
              <w:contextualSpacing/>
              <w:jc w:val="center"/>
              <w:rPr>
                <w:rFonts w:eastAsia="Times New Roman"/>
                <w:color w:val="000000"/>
                <w:sz w:val="20"/>
              </w:rPr>
            </w:pPr>
          </w:p>
        </w:tc>
        <w:tc>
          <w:tcPr>
            <w:tcW w:w="1328" w:type="dxa"/>
            <w:noWrap/>
          </w:tcPr>
          <w:p w14:paraId="2EED5F5B" w14:textId="77777777" w:rsidR="008A4B72" w:rsidRPr="009964C5" w:rsidRDefault="008A4B72" w:rsidP="00843106">
            <w:pPr>
              <w:contextualSpacing/>
              <w:jc w:val="center"/>
              <w:rPr>
                <w:rFonts w:eastAsia="Times New Roman"/>
                <w:color w:val="000000"/>
                <w:sz w:val="20"/>
              </w:rPr>
            </w:pPr>
          </w:p>
        </w:tc>
        <w:tc>
          <w:tcPr>
            <w:tcW w:w="1328" w:type="dxa"/>
            <w:noWrap/>
          </w:tcPr>
          <w:p w14:paraId="636FF974" w14:textId="77777777" w:rsidR="008A4B72" w:rsidRPr="009964C5" w:rsidRDefault="008A4B72" w:rsidP="00DE5E4D">
            <w:pPr>
              <w:contextualSpacing/>
              <w:jc w:val="center"/>
              <w:rPr>
                <w:rFonts w:eastAsia="Times New Roman"/>
                <w:color w:val="000000"/>
                <w:sz w:val="20"/>
              </w:rPr>
            </w:pPr>
          </w:p>
        </w:tc>
        <w:tc>
          <w:tcPr>
            <w:tcW w:w="1328" w:type="dxa"/>
            <w:noWrap/>
          </w:tcPr>
          <w:p w14:paraId="59C1B759" w14:textId="77777777" w:rsidR="008A4B72" w:rsidRPr="009964C5" w:rsidRDefault="008A4B72" w:rsidP="00843106">
            <w:pPr>
              <w:contextualSpacing/>
              <w:jc w:val="center"/>
              <w:rPr>
                <w:rFonts w:eastAsia="Times New Roman"/>
                <w:color w:val="000000"/>
                <w:sz w:val="20"/>
              </w:rPr>
            </w:pPr>
          </w:p>
        </w:tc>
        <w:tc>
          <w:tcPr>
            <w:tcW w:w="1328" w:type="dxa"/>
            <w:noWrap/>
          </w:tcPr>
          <w:p w14:paraId="77A3B3DC" w14:textId="77777777" w:rsidR="008A4B72" w:rsidRPr="009964C5" w:rsidRDefault="008A4B72" w:rsidP="00DE5E4D">
            <w:pPr>
              <w:contextualSpacing/>
              <w:jc w:val="center"/>
              <w:rPr>
                <w:rFonts w:eastAsia="Times New Roman"/>
                <w:color w:val="000000"/>
                <w:sz w:val="20"/>
              </w:rPr>
            </w:pPr>
          </w:p>
        </w:tc>
      </w:tr>
      <w:tr w:rsidR="00DE5E4D" w:rsidRPr="009964C5" w14:paraId="24470A28" w14:textId="77777777" w:rsidTr="00DB4032">
        <w:trPr>
          <w:cantSplit/>
          <w:trHeight w:val="288"/>
          <w:jc w:val="center"/>
        </w:trPr>
        <w:tc>
          <w:tcPr>
            <w:tcW w:w="2421" w:type="dxa"/>
            <w:noWrap/>
            <w:hideMark/>
          </w:tcPr>
          <w:p w14:paraId="247169E4"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Asian Non-Hispanic or Latino</w:t>
            </w:r>
          </w:p>
        </w:tc>
        <w:tc>
          <w:tcPr>
            <w:tcW w:w="1327" w:type="dxa"/>
            <w:noWrap/>
            <w:vAlign w:val="bottom"/>
            <w:hideMark/>
          </w:tcPr>
          <w:p w14:paraId="2DF80AB9" w14:textId="1245CE87" w:rsidR="00DE5E4D" w:rsidRPr="009964C5" w:rsidRDefault="00DE5E4D" w:rsidP="00DE5E4D">
            <w:pPr>
              <w:contextualSpacing/>
              <w:jc w:val="center"/>
              <w:rPr>
                <w:sz w:val="20"/>
              </w:rPr>
            </w:pPr>
            <w:r w:rsidRPr="009964C5">
              <w:rPr>
                <w:color w:val="000000"/>
                <w:sz w:val="20"/>
              </w:rPr>
              <w:t>1,807</w:t>
            </w:r>
          </w:p>
        </w:tc>
        <w:tc>
          <w:tcPr>
            <w:tcW w:w="1328" w:type="dxa"/>
            <w:noWrap/>
            <w:vAlign w:val="bottom"/>
            <w:hideMark/>
          </w:tcPr>
          <w:p w14:paraId="1FC02C35" w14:textId="06E860C7" w:rsidR="00DE5E4D" w:rsidRPr="009964C5" w:rsidRDefault="00DE5E4D" w:rsidP="00DE5E4D">
            <w:pPr>
              <w:contextualSpacing/>
              <w:jc w:val="center"/>
              <w:rPr>
                <w:rFonts w:eastAsia="Times New Roman"/>
                <w:color w:val="000000"/>
                <w:sz w:val="20"/>
              </w:rPr>
            </w:pPr>
            <w:r w:rsidRPr="009964C5">
              <w:rPr>
                <w:color w:val="000000"/>
                <w:sz w:val="20"/>
              </w:rPr>
              <w:t>3.0</w:t>
            </w:r>
          </w:p>
        </w:tc>
        <w:tc>
          <w:tcPr>
            <w:tcW w:w="1328" w:type="dxa"/>
            <w:noWrap/>
            <w:vAlign w:val="bottom"/>
            <w:hideMark/>
          </w:tcPr>
          <w:p w14:paraId="2A6CAE4B" w14:textId="1CCAA12B" w:rsidR="00DE5E4D" w:rsidRPr="009964C5" w:rsidRDefault="00DE5E4D" w:rsidP="00DE5E4D">
            <w:pPr>
              <w:contextualSpacing/>
              <w:jc w:val="center"/>
              <w:rPr>
                <w:rFonts w:eastAsia="Times New Roman"/>
                <w:color w:val="000000"/>
                <w:sz w:val="20"/>
              </w:rPr>
            </w:pPr>
            <w:r w:rsidRPr="009964C5">
              <w:rPr>
                <w:color w:val="000000"/>
                <w:sz w:val="20"/>
              </w:rPr>
              <w:t>2,063</w:t>
            </w:r>
          </w:p>
        </w:tc>
        <w:tc>
          <w:tcPr>
            <w:tcW w:w="1328" w:type="dxa"/>
            <w:noWrap/>
            <w:vAlign w:val="bottom"/>
            <w:hideMark/>
          </w:tcPr>
          <w:p w14:paraId="26674033" w14:textId="09D3F966" w:rsidR="00DE5E4D" w:rsidRPr="009964C5" w:rsidRDefault="00DE5E4D" w:rsidP="00DE5E4D">
            <w:pPr>
              <w:contextualSpacing/>
              <w:jc w:val="center"/>
              <w:rPr>
                <w:rFonts w:eastAsia="Times New Roman"/>
                <w:color w:val="000000"/>
                <w:sz w:val="20"/>
              </w:rPr>
            </w:pPr>
            <w:r w:rsidRPr="009964C5">
              <w:rPr>
                <w:color w:val="000000"/>
                <w:sz w:val="20"/>
              </w:rPr>
              <w:t>3.1</w:t>
            </w:r>
          </w:p>
        </w:tc>
        <w:tc>
          <w:tcPr>
            <w:tcW w:w="1328" w:type="dxa"/>
            <w:noWrap/>
            <w:vAlign w:val="bottom"/>
            <w:hideMark/>
          </w:tcPr>
          <w:p w14:paraId="6216ACE8" w14:textId="4D2B2612" w:rsidR="00DE5E4D" w:rsidRPr="009964C5" w:rsidRDefault="00DE5E4D" w:rsidP="00DE5E4D">
            <w:pPr>
              <w:contextualSpacing/>
              <w:jc w:val="center"/>
              <w:rPr>
                <w:rFonts w:eastAsia="Times New Roman"/>
                <w:color w:val="000000"/>
                <w:sz w:val="20"/>
              </w:rPr>
            </w:pPr>
            <w:r w:rsidRPr="009964C5">
              <w:rPr>
                <w:color w:val="000000"/>
                <w:sz w:val="20"/>
              </w:rPr>
              <w:t>2,376</w:t>
            </w:r>
          </w:p>
        </w:tc>
        <w:tc>
          <w:tcPr>
            <w:tcW w:w="1328" w:type="dxa"/>
            <w:noWrap/>
            <w:vAlign w:val="bottom"/>
            <w:hideMark/>
          </w:tcPr>
          <w:p w14:paraId="1AF42BF5" w14:textId="61BB54E3" w:rsidR="00DE5E4D" w:rsidRPr="009964C5" w:rsidRDefault="00DE5E4D" w:rsidP="00DE5E4D">
            <w:pPr>
              <w:contextualSpacing/>
              <w:jc w:val="center"/>
              <w:rPr>
                <w:rFonts w:eastAsia="Times New Roman"/>
                <w:color w:val="000000"/>
                <w:sz w:val="20"/>
              </w:rPr>
            </w:pPr>
            <w:r w:rsidRPr="009964C5">
              <w:rPr>
                <w:color w:val="000000"/>
                <w:sz w:val="20"/>
              </w:rPr>
              <w:t>3.4</w:t>
            </w:r>
          </w:p>
        </w:tc>
      </w:tr>
      <w:tr w:rsidR="00DE5E4D" w:rsidRPr="009964C5" w14:paraId="3ABE96F6" w14:textId="77777777" w:rsidTr="00DB4032">
        <w:trPr>
          <w:cantSplit/>
          <w:trHeight w:val="288"/>
          <w:jc w:val="center"/>
        </w:trPr>
        <w:tc>
          <w:tcPr>
            <w:tcW w:w="2421" w:type="dxa"/>
            <w:noWrap/>
            <w:hideMark/>
          </w:tcPr>
          <w:p w14:paraId="545D6431"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Black or African American</w:t>
            </w:r>
          </w:p>
        </w:tc>
        <w:tc>
          <w:tcPr>
            <w:tcW w:w="1327" w:type="dxa"/>
            <w:noWrap/>
            <w:vAlign w:val="bottom"/>
            <w:hideMark/>
          </w:tcPr>
          <w:p w14:paraId="1DD98677" w14:textId="2B78FC29" w:rsidR="00DE5E4D" w:rsidRPr="009964C5" w:rsidRDefault="00DE5E4D" w:rsidP="00DE5E4D">
            <w:pPr>
              <w:contextualSpacing/>
              <w:jc w:val="center"/>
              <w:rPr>
                <w:rFonts w:eastAsia="Times New Roman"/>
                <w:color w:val="000000"/>
                <w:sz w:val="20"/>
              </w:rPr>
            </w:pPr>
            <w:r w:rsidRPr="009964C5">
              <w:rPr>
                <w:color w:val="000000"/>
                <w:sz w:val="20"/>
              </w:rPr>
              <w:t>2,483</w:t>
            </w:r>
          </w:p>
        </w:tc>
        <w:tc>
          <w:tcPr>
            <w:tcW w:w="1328" w:type="dxa"/>
            <w:noWrap/>
            <w:vAlign w:val="bottom"/>
            <w:hideMark/>
          </w:tcPr>
          <w:p w14:paraId="3D0854D4" w14:textId="1BD55E94" w:rsidR="00DE5E4D" w:rsidRPr="009964C5" w:rsidRDefault="00DE5E4D" w:rsidP="00DE5E4D">
            <w:pPr>
              <w:contextualSpacing/>
              <w:jc w:val="center"/>
              <w:rPr>
                <w:rFonts w:eastAsia="Times New Roman"/>
                <w:color w:val="000000"/>
                <w:sz w:val="20"/>
              </w:rPr>
            </w:pPr>
            <w:r w:rsidRPr="009964C5">
              <w:rPr>
                <w:color w:val="000000"/>
                <w:sz w:val="20"/>
              </w:rPr>
              <w:t>4.1</w:t>
            </w:r>
          </w:p>
        </w:tc>
        <w:tc>
          <w:tcPr>
            <w:tcW w:w="1328" w:type="dxa"/>
            <w:noWrap/>
            <w:vAlign w:val="bottom"/>
            <w:hideMark/>
          </w:tcPr>
          <w:p w14:paraId="03AB1B71" w14:textId="7CA40F97" w:rsidR="00DE5E4D" w:rsidRPr="009964C5" w:rsidRDefault="00DE5E4D" w:rsidP="00DE5E4D">
            <w:pPr>
              <w:contextualSpacing/>
              <w:jc w:val="center"/>
              <w:rPr>
                <w:rFonts w:eastAsia="Times New Roman"/>
                <w:color w:val="000000"/>
                <w:sz w:val="20"/>
              </w:rPr>
            </w:pPr>
            <w:r w:rsidRPr="009964C5">
              <w:rPr>
                <w:color w:val="000000"/>
                <w:sz w:val="20"/>
              </w:rPr>
              <w:t>2,845</w:t>
            </w:r>
          </w:p>
        </w:tc>
        <w:tc>
          <w:tcPr>
            <w:tcW w:w="1328" w:type="dxa"/>
            <w:noWrap/>
            <w:vAlign w:val="bottom"/>
            <w:hideMark/>
          </w:tcPr>
          <w:p w14:paraId="56486A08" w14:textId="241363E5" w:rsidR="00DE5E4D" w:rsidRPr="009964C5" w:rsidRDefault="00DE5E4D" w:rsidP="00DE5E4D">
            <w:pPr>
              <w:contextualSpacing/>
              <w:jc w:val="center"/>
              <w:rPr>
                <w:rFonts w:eastAsia="Times New Roman"/>
                <w:color w:val="000000"/>
                <w:sz w:val="20"/>
              </w:rPr>
            </w:pPr>
            <w:r w:rsidRPr="009964C5">
              <w:rPr>
                <w:color w:val="000000"/>
                <w:sz w:val="20"/>
              </w:rPr>
              <w:t>4.3</w:t>
            </w:r>
          </w:p>
        </w:tc>
        <w:tc>
          <w:tcPr>
            <w:tcW w:w="1328" w:type="dxa"/>
            <w:noWrap/>
            <w:vAlign w:val="bottom"/>
            <w:hideMark/>
          </w:tcPr>
          <w:p w14:paraId="3318A6A6" w14:textId="775DE898" w:rsidR="00DE5E4D" w:rsidRPr="009964C5" w:rsidRDefault="00DE5E4D" w:rsidP="00DE5E4D">
            <w:pPr>
              <w:contextualSpacing/>
              <w:jc w:val="center"/>
              <w:rPr>
                <w:rFonts w:eastAsia="Times New Roman"/>
                <w:color w:val="000000"/>
                <w:sz w:val="20"/>
              </w:rPr>
            </w:pPr>
            <w:r w:rsidRPr="009964C5">
              <w:rPr>
                <w:color w:val="000000"/>
                <w:sz w:val="20"/>
              </w:rPr>
              <w:t>3,108</w:t>
            </w:r>
          </w:p>
        </w:tc>
        <w:tc>
          <w:tcPr>
            <w:tcW w:w="1328" w:type="dxa"/>
            <w:noWrap/>
            <w:vAlign w:val="bottom"/>
            <w:hideMark/>
          </w:tcPr>
          <w:p w14:paraId="53BDFDCD" w14:textId="6AB46287" w:rsidR="00DE5E4D" w:rsidRPr="009964C5" w:rsidRDefault="00DE5E4D" w:rsidP="00DE5E4D">
            <w:pPr>
              <w:contextualSpacing/>
              <w:jc w:val="center"/>
              <w:rPr>
                <w:rFonts w:eastAsia="Times New Roman"/>
                <w:color w:val="000000"/>
                <w:sz w:val="20"/>
              </w:rPr>
            </w:pPr>
            <w:r w:rsidRPr="009964C5">
              <w:rPr>
                <w:color w:val="000000"/>
                <w:sz w:val="20"/>
              </w:rPr>
              <w:t>4.4</w:t>
            </w:r>
          </w:p>
        </w:tc>
      </w:tr>
      <w:tr w:rsidR="00DE5E4D" w:rsidRPr="009964C5" w14:paraId="44990D23" w14:textId="77777777" w:rsidTr="00DB4032">
        <w:trPr>
          <w:cantSplit/>
          <w:trHeight w:val="288"/>
          <w:jc w:val="center"/>
        </w:trPr>
        <w:tc>
          <w:tcPr>
            <w:tcW w:w="2421" w:type="dxa"/>
            <w:noWrap/>
            <w:hideMark/>
          </w:tcPr>
          <w:p w14:paraId="3CB22E03"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Hispanic or Latino</w:t>
            </w:r>
          </w:p>
        </w:tc>
        <w:tc>
          <w:tcPr>
            <w:tcW w:w="1327" w:type="dxa"/>
            <w:noWrap/>
            <w:vAlign w:val="bottom"/>
            <w:hideMark/>
          </w:tcPr>
          <w:p w14:paraId="1A9C1058" w14:textId="30E3972A" w:rsidR="00DE5E4D" w:rsidRPr="009964C5" w:rsidRDefault="00DE5E4D" w:rsidP="00DE5E4D">
            <w:pPr>
              <w:contextualSpacing/>
              <w:jc w:val="center"/>
              <w:rPr>
                <w:rFonts w:eastAsia="Times New Roman"/>
                <w:color w:val="000000"/>
                <w:sz w:val="20"/>
              </w:rPr>
            </w:pPr>
            <w:r w:rsidRPr="009964C5">
              <w:rPr>
                <w:color w:val="000000"/>
                <w:sz w:val="20"/>
              </w:rPr>
              <w:t>2,424</w:t>
            </w:r>
          </w:p>
        </w:tc>
        <w:tc>
          <w:tcPr>
            <w:tcW w:w="1328" w:type="dxa"/>
            <w:noWrap/>
            <w:vAlign w:val="bottom"/>
            <w:hideMark/>
          </w:tcPr>
          <w:p w14:paraId="702BBEFB" w14:textId="639A14A7" w:rsidR="00DE5E4D" w:rsidRPr="009964C5" w:rsidRDefault="00DE5E4D" w:rsidP="00DE5E4D">
            <w:pPr>
              <w:contextualSpacing/>
              <w:jc w:val="center"/>
              <w:rPr>
                <w:rFonts w:eastAsia="Times New Roman"/>
                <w:color w:val="000000"/>
                <w:sz w:val="20"/>
              </w:rPr>
            </w:pPr>
            <w:r w:rsidRPr="009964C5">
              <w:rPr>
                <w:color w:val="000000"/>
                <w:sz w:val="20"/>
              </w:rPr>
              <w:t>4.0</w:t>
            </w:r>
          </w:p>
        </w:tc>
        <w:tc>
          <w:tcPr>
            <w:tcW w:w="1328" w:type="dxa"/>
            <w:noWrap/>
            <w:vAlign w:val="bottom"/>
            <w:hideMark/>
          </w:tcPr>
          <w:p w14:paraId="594A9A2B" w14:textId="0F7956B1" w:rsidR="00DE5E4D" w:rsidRPr="009964C5" w:rsidRDefault="00DE5E4D" w:rsidP="00DE5E4D">
            <w:pPr>
              <w:contextualSpacing/>
              <w:jc w:val="center"/>
              <w:rPr>
                <w:rFonts w:eastAsia="Times New Roman"/>
                <w:color w:val="000000"/>
                <w:sz w:val="20"/>
              </w:rPr>
            </w:pPr>
            <w:r w:rsidRPr="009964C5">
              <w:rPr>
                <w:color w:val="000000"/>
                <w:sz w:val="20"/>
              </w:rPr>
              <w:t>2,729</w:t>
            </w:r>
          </w:p>
        </w:tc>
        <w:tc>
          <w:tcPr>
            <w:tcW w:w="1328" w:type="dxa"/>
            <w:noWrap/>
            <w:vAlign w:val="bottom"/>
            <w:hideMark/>
          </w:tcPr>
          <w:p w14:paraId="1E094E8C" w14:textId="16EC179E" w:rsidR="00DE5E4D" w:rsidRPr="009964C5" w:rsidRDefault="00DE5E4D" w:rsidP="00DE5E4D">
            <w:pPr>
              <w:contextualSpacing/>
              <w:jc w:val="center"/>
              <w:rPr>
                <w:rFonts w:eastAsia="Times New Roman"/>
                <w:color w:val="000000"/>
                <w:sz w:val="20"/>
              </w:rPr>
            </w:pPr>
            <w:r w:rsidRPr="009964C5">
              <w:rPr>
                <w:color w:val="000000"/>
                <w:sz w:val="20"/>
              </w:rPr>
              <w:t>4.1</w:t>
            </w:r>
          </w:p>
        </w:tc>
        <w:tc>
          <w:tcPr>
            <w:tcW w:w="1328" w:type="dxa"/>
            <w:noWrap/>
            <w:vAlign w:val="bottom"/>
            <w:hideMark/>
          </w:tcPr>
          <w:p w14:paraId="66170C0D" w14:textId="4A1DF49B" w:rsidR="00DE5E4D" w:rsidRPr="009964C5" w:rsidRDefault="00DE5E4D" w:rsidP="00DE5E4D">
            <w:pPr>
              <w:contextualSpacing/>
              <w:jc w:val="center"/>
              <w:rPr>
                <w:rFonts w:eastAsia="Times New Roman"/>
                <w:color w:val="000000"/>
                <w:sz w:val="20"/>
              </w:rPr>
            </w:pPr>
            <w:r w:rsidRPr="009964C5">
              <w:rPr>
                <w:color w:val="000000"/>
                <w:sz w:val="20"/>
              </w:rPr>
              <w:t>3,085</w:t>
            </w:r>
          </w:p>
        </w:tc>
        <w:tc>
          <w:tcPr>
            <w:tcW w:w="1328" w:type="dxa"/>
            <w:noWrap/>
            <w:vAlign w:val="bottom"/>
            <w:hideMark/>
          </w:tcPr>
          <w:p w14:paraId="1D363B99" w14:textId="2534BB9F" w:rsidR="00DE5E4D" w:rsidRPr="009964C5" w:rsidRDefault="00DE5E4D" w:rsidP="00DE5E4D">
            <w:pPr>
              <w:contextualSpacing/>
              <w:jc w:val="center"/>
              <w:rPr>
                <w:rFonts w:eastAsia="Times New Roman"/>
                <w:color w:val="000000"/>
                <w:sz w:val="20"/>
              </w:rPr>
            </w:pPr>
            <w:r w:rsidRPr="009964C5">
              <w:rPr>
                <w:color w:val="000000"/>
                <w:sz w:val="20"/>
              </w:rPr>
              <w:t>4.4</w:t>
            </w:r>
          </w:p>
        </w:tc>
      </w:tr>
      <w:tr w:rsidR="00DE5E4D" w:rsidRPr="009964C5" w14:paraId="67F0437B" w14:textId="77777777" w:rsidTr="00DB4032">
        <w:trPr>
          <w:cantSplit/>
          <w:trHeight w:val="288"/>
          <w:jc w:val="center"/>
        </w:trPr>
        <w:tc>
          <w:tcPr>
            <w:tcW w:w="2421" w:type="dxa"/>
            <w:noWrap/>
            <w:hideMark/>
          </w:tcPr>
          <w:p w14:paraId="3E99C62A"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Multiracial, non-Hispanic</w:t>
            </w:r>
          </w:p>
        </w:tc>
        <w:tc>
          <w:tcPr>
            <w:tcW w:w="1327" w:type="dxa"/>
            <w:noWrap/>
            <w:vAlign w:val="bottom"/>
            <w:hideMark/>
          </w:tcPr>
          <w:p w14:paraId="2C5419EB" w14:textId="7297B2D4" w:rsidR="00DE5E4D" w:rsidRPr="009964C5" w:rsidRDefault="00DE5E4D" w:rsidP="00DE5E4D">
            <w:pPr>
              <w:contextualSpacing/>
              <w:jc w:val="center"/>
              <w:rPr>
                <w:rFonts w:eastAsia="Times New Roman"/>
                <w:color w:val="000000"/>
                <w:sz w:val="20"/>
              </w:rPr>
            </w:pPr>
            <w:r w:rsidRPr="009964C5">
              <w:rPr>
                <w:color w:val="000000"/>
                <w:sz w:val="20"/>
              </w:rPr>
              <w:t>467</w:t>
            </w:r>
          </w:p>
        </w:tc>
        <w:tc>
          <w:tcPr>
            <w:tcW w:w="1328" w:type="dxa"/>
            <w:noWrap/>
            <w:vAlign w:val="bottom"/>
            <w:hideMark/>
          </w:tcPr>
          <w:p w14:paraId="31730BFD" w14:textId="2917300C" w:rsidR="00DE5E4D" w:rsidRPr="009964C5" w:rsidRDefault="00DE5E4D" w:rsidP="00DE5E4D">
            <w:pPr>
              <w:contextualSpacing/>
              <w:jc w:val="center"/>
              <w:rPr>
                <w:rFonts w:eastAsia="Times New Roman"/>
                <w:color w:val="000000"/>
                <w:sz w:val="20"/>
              </w:rPr>
            </w:pPr>
            <w:r w:rsidRPr="009964C5">
              <w:rPr>
                <w:color w:val="000000"/>
                <w:sz w:val="20"/>
              </w:rPr>
              <w:t>0.8</w:t>
            </w:r>
          </w:p>
        </w:tc>
        <w:tc>
          <w:tcPr>
            <w:tcW w:w="1328" w:type="dxa"/>
            <w:noWrap/>
            <w:vAlign w:val="bottom"/>
            <w:hideMark/>
          </w:tcPr>
          <w:p w14:paraId="259FA48E" w14:textId="12BFAEB6" w:rsidR="00DE5E4D" w:rsidRPr="009964C5" w:rsidRDefault="00DE5E4D" w:rsidP="00DE5E4D">
            <w:pPr>
              <w:contextualSpacing/>
              <w:jc w:val="center"/>
              <w:rPr>
                <w:rFonts w:eastAsia="Times New Roman"/>
                <w:color w:val="000000"/>
                <w:sz w:val="20"/>
              </w:rPr>
            </w:pPr>
            <w:r w:rsidRPr="009964C5">
              <w:rPr>
                <w:color w:val="000000"/>
                <w:sz w:val="20"/>
              </w:rPr>
              <w:t>607</w:t>
            </w:r>
          </w:p>
        </w:tc>
        <w:tc>
          <w:tcPr>
            <w:tcW w:w="1328" w:type="dxa"/>
            <w:noWrap/>
            <w:vAlign w:val="bottom"/>
            <w:hideMark/>
          </w:tcPr>
          <w:p w14:paraId="7878A589" w14:textId="7A52D08D" w:rsidR="00DE5E4D" w:rsidRPr="009964C5" w:rsidRDefault="00DE5E4D" w:rsidP="00DE5E4D">
            <w:pPr>
              <w:contextualSpacing/>
              <w:jc w:val="center"/>
              <w:rPr>
                <w:rFonts w:eastAsia="Times New Roman"/>
                <w:color w:val="000000"/>
                <w:sz w:val="20"/>
              </w:rPr>
            </w:pPr>
            <w:r w:rsidRPr="009964C5">
              <w:rPr>
                <w:color w:val="000000"/>
                <w:sz w:val="20"/>
              </w:rPr>
              <w:t>0.9</w:t>
            </w:r>
          </w:p>
        </w:tc>
        <w:tc>
          <w:tcPr>
            <w:tcW w:w="1328" w:type="dxa"/>
            <w:noWrap/>
            <w:vAlign w:val="bottom"/>
            <w:hideMark/>
          </w:tcPr>
          <w:p w14:paraId="477383B0" w14:textId="779C2687" w:rsidR="00DE5E4D" w:rsidRPr="009964C5" w:rsidRDefault="00DE5E4D" w:rsidP="00DE5E4D">
            <w:pPr>
              <w:contextualSpacing/>
              <w:jc w:val="center"/>
              <w:rPr>
                <w:rFonts w:eastAsia="Times New Roman"/>
                <w:color w:val="000000"/>
                <w:sz w:val="20"/>
              </w:rPr>
            </w:pPr>
            <w:r w:rsidRPr="009964C5">
              <w:rPr>
                <w:color w:val="000000"/>
                <w:sz w:val="20"/>
              </w:rPr>
              <w:t>895</w:t>
            </w:r>
          </w:p>
        </w:tc>
        <w:tc>
          <w:tcPr>
            <w:tcW w:w="1328" w:type="dxa"/>
            <w:noWrap/>
            <w:vAlign w:val="bottom"/>
            <w:hideMark/>
          </w:tcPr>
          <w:p w14:paraId="358FC7C9" w14:textId="730E8FC9" w:rsidR="00DE5E4D" w:rsidRPr="009964C5" w:rsidRDefault="00DE5E4D" w:rsidP="00DE5E4D">
            <w:pPr>
              <w:contextualSpacing/>
              <w:jc w:val="center"/>
              <w:rPr>
                <w:rFonts w:eastAsia="Times New Roman"/>
                <w:color w:val="000000"/>
                <w:sz w:val="20"/>
              </w:rPr>
            </w:pPr>
            <w:r w:rsidRPr="009964C5">
              <w:rPr>
                <w:color w:val="000000"/>
                <w:sz w:val="20"/>
              </w:rPr>
              <w:t>1.3</w:t>
            </w:r>
          </w:p>
        </w:tc>
      </w:tr>
      <w:tr w:rsidR="00DE5E4D" w:rsidRPr="009964C5" w14:paraId="471294CB" w14:textId="77777777" w:rsidTr="00DB4032">
        <w:trPr>
          <w:cantSplit/>
          <w:trHeight w:val="288"/>
          <w:jc w:val="center"/>
        </w:trPr>
        <w:tc>
          <w:tcPr>
            <w:tcW w:w="2421" w:type="dxa"/>
            <w:noWrap/>
            <w:hideMark/>
          </w:tcPr>
          <w:p w14:paraId="0759C13E"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 xml:space="preserve">Unknown &amp; Other </w:t>
            </w:r>
          </w:p>
        </w:tc>
        <w:tc>
          <w:tcPr>
            <w:tcW w:w="1327" w:type="dxa"/>
            <w:noWrap/>
            <w:vAlign w:val="bottom"/>
            <w:hideMark/>
          </w:tcPr>
          <w:p w14:paraId="19572F28" w14:textId="47F0C78D" w:rsidR="00DE5E4D" w:rsidRPr="009964C5" w:rsidRDefault="00DE5E4D" w:rsidP="00DE5E4D">
            <w:pPr>
              <w:contextualSpacing/>
              <w:jc w:val="center"/>
              <w:rPr>
                <w:rFonts w:eastAsia="Times New Roman"/>
                <w:color w:val="000000"/>
                <w:sz w:val="20"/>
              </w:rPr>
            </w:pPr>
            <w:r w:rsidRPr="009964C5">
              <w:rPr>
                <w:color w:val="000000"/>
                <w:sz w:val="20"/>
              </w:rPr>
              <w:t>6,699</w:t>
            </w:r>
          </w:p>
        </w:tc>
        <w:tc>
          <w:tcPr>
            <w:tcW w:w="1328" w:type="dxa"/>
            <w:noWrap/>
            <w:vAlign w:val="bottom"/>
            <w:hideMark/>
          </w:tcPr>
          <w:p w14:paraId="40B8DDE2" w14:textId="799B0CFB" w:rsidR="00DE5E4D" w:rsidRPr="009964C5" w:rsidRDefault="00DE5E4D" w:rsidP="00DE5E4D">
            <w:pPr>
              <w:contextualSpacing/>
              <w:jc w:val="center"/>
              <w:rPr>
                <w:rFonts w:eastAsia="Times New Roman"/>
                <w:color w:val="000000"/>
                <w:sz w:val="20"/>
              </w:rPr>
            </w:pPr>
            <w:r w:rsidRPr="009964C5">
              <w:rPr>
                <w:color w:val="000000"/>
                <w:sz w:val="20"/>
              </w:rPr>
              <w:t>11.1</w:t>
            </w:r>
          </w:p>
        </w:tc>
        <w:tc>
          <w:tcPr>
            <w:tcW w:w="1328" w:type="dxa"/>
            <w:noWrap/>
            <w:vAlign w:val="bottom"/>
            <w:hideMark/>
          </w:tcPr>
          <w:p w14:paraId="0F250477" w14:textId="0E04C9F4" w:rsidR="00DE5E4D" w:rsidRPr="009964C5" w:rsidRDefault="00DE5E4D" w:rsidP="00DE5E4D">
            <w:pPr>
              <w:contextualSpacing/>
              <w:jc w:val="center"/>
              <w:rPr>
                <w:rFonts w:eastAsia="Times New Roman"/>
                <w:color w:val="000000"/>
                <w:sz w:val="20"/>
              </w:rPr>
            </w:pPr>
            <w:r w:rsidRPr="009964C5">
              <w:rPr>
                <w:color w:val="000000"/>
                <w:sz w:val="20"/>
              </w:rPr>
              <w:t>6,931</w:t>
            </w:r>
          </w:p>
        </w:tc>
        <w:tc>
          <w:tcPr>
            <w:tcW w:w="1328" w:type="dxa"/>
            <w:noWrap/>
            <w:vAlign w:val="bottom"/>
            <w:hideMark/>
          </w:tcPr>
          <w:p w14:paraId="1A290926" w14:textId="050525F7" w:rsidR="00DE5E4D" w:rsidRPr="009964C5" w:rsidRDefault="00DE5E4D" w:rsidP="00DE5E4D">
            <w:pPr>
              <w:contextualSpacing/>
              <w:jc w:val="center"/>
              <w:rPr>
                <w:rFonts w:eastAsia="Times New Roman"/>
                <w:color w:val="000000"/>
                <w:sz w:val="20"/>
              </w:rPr>
            </w:pPr>
            <w:r w:rsidRPr="009964C5">
              <w:rPr>
                <w:color w:val="000000"/>
                <w:sz w:val="20"/>
              </w:rPr>
              <w:t>10.5</w:t>
            </w:r>
          </w:p>
        </w:tc>
        <w:tc>
          <w:tcPr>
            <w:tcW w:w="1328" w:type="dxa"/>
            <w:noWrap/>
            <w:vAlign w:val="bottom"/>
            <w:hideMark/>
          </w:tcPr>
          <w:p w14:paraId="3350A7F5" w14:textId="7D5212B2" w:rsidR="00DE5E4D" w:rsidRPr="009964C5" w:rsidRDefault="00DE5E4D" w:rsidP="00DE5E4D">
            <w:pPr>
              <w:contextualSpacing/>
              <w:jc w:val="center"/>
              <w:rPr>
                <w:rFonts w:eastAsia="Times New Roman"/>
                <w:color w:val="000000"/>
                <w:sz w:val="20"/>
              </w:rPr>
            </w:pPr>
            <w:r w:rsidRPr="009964C5">
              <w:rPr>
                <w:color w:val="000000"/>
                <w:sz w:val="20"/>
              </w:rPr>
              <w:t>6,924</w:t>
            </w:r>
          </w:p>
        </w:tc>
        <w:tc>
          <w:tcPr>
            <w:tcW w:w="1328" w:type="dxa"/>
            <w:noWrap/>
            <w:vAlign w:val="bottom"/>
            <w:hideMark/>
          </w:tcPr>
          <w:p w14:paraId="384841D7" w14:textId="10AF07BC" w:rsidR="00DE5E4D" w:rsidRPr="009964C5" w:rsidRDefault="00DE5E4D" w:rsidP="00DE5E4D">
            <w:pPr>
              <w:contextualSpacing/>
              <w:jc w:val="center"/>
              <w:rPr>
                <w:rFonts w:eastAsia="Times New Roman"/>
                <w:color w:val="000000"/>
                <w:sz w:val="20"/>
              </w:rPr>
            </w:pPr>
            <w:r w:rsidRPr="009964C5">
              <w:rPr>
                <w:color w:val="000000"/>
                <w:sz w:val="20"/>
              </w:rPr>
              <w:t>9.9</w:t>
            </w:r>
          </w:p>
        </w:tc>
      </w:tr>
      <w:tr w:rsidR="00DE5E4D" w:rsidRPr="009964C5" w14:paraId="4DE3B32D" w14:textId="77777777" w:rsidTr="00DB4032">
        <w:trPr>
          <w:cantSplit/>
          <w:trHeight w:val="288"/>
          <w:jc w:val="center"/>
        </w:trPr>
        <w:tc>
          <w:tcPr>
            <w:tcW w:w="2421" w:type="dxa"/>
            <w:noWrap/>
            <w:hideMark/>
          </w:tcPr>
          <w:p w14:paraId="2EE318B9"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White or Caucasian Non-Hispanic or Latino</w:t>
            </w:r>
          </w:p>
        </w:tc>
        <w:tc>
          <w:tcPr>
            <w:tcW w:w="1327" w:type="dxa"/>
            <w:noWrap/>
            <w:vAlign w:val="bottom"/>
            <w:hideMark/>
          </w:tcPr>
          <w:p w14:paraId="5938370A" w14:textId="6DEB3B37" w:rsidR="00DE5E4D" w:rsidRPr="009964C5" w:rsidRDefault="00DE5E4D" w:rsidP="00DE5E4D">
            <w:pPr>
              <w:contextualSpacing/>
              <w:jc w:val="center"/>
              <w:rPr>
                <w:rFonts w:eastAsia="Times New Roman"/>
                <w:color w:val="000000"/>
                <w:sz w:val="20"/>
              </w:rPr>
            </w:pPr>
            <w:r w:rsidRPr="009964C5">
              <w:rPr>
                <w:color w:val="000000"/>
                <w:sz w:val="20"/>
              </w:rPr>
              <w:t>46,323</w:t>
            </w:r>
          </w:p>
        </w:tc>
        <w:tc>
          <w:tcPr>
            <w:tcW w:w="1328" w:type="dxa"/>
            <w:noWrap/>
            <w:vAlign w:val="bottom"/>
            <w:hideMark/>
          </w:tcPr>
          <w:p w14:paraId="5CA45F8F" w14:textId="035ED958" w:rsidR="00DE5E4D" w:rsidRPr="009964C5" w:rsidRDefault="00DE5E4D" w:rsidP="00DE5E4D">
            <w:pPr>
              <w:contextualSpacing/>
              <w:jc w:val="center"/>
              <w:rPr>
                <w:rFonts w:eastAsia="Times New Roman"/>
                <w:color w:val="000000"/>
                <w:sz w:val="20"/>
              </w:rPr>
            </w:pPr>
            <w:r w:rsidRPr="009964C5">
              <w:rPr>
                <w:color w:val="000000"/>
                <w:sz w:val="20"/>
              </w:rPr>
              <w:t>76.9</w:t>
            </w:r>
          </w:p>
        </w:tc>
        <w:tc>
          <w:tcPr>
            <w:tcW w:w="1328" w:type="dxa"/>
            <w:noWrap/>
            <w:vAlign w:val="bottom"/>
            <w:hideMark/>
          </w:tcPr>
          <w:p w14:paraId="28F2E47E" w14:textId="1AF63490" w:rsidR="00DE5E4D" w:rsidRPr="009964C5" w:rsidRDefault="00DE5E4D" w:rsidP="00DE5E4D">
            <w:pPr>
              <w:contextualSpacing/>
              <w:jc w:val="center"/>
              <w:rPr>
                <w:rFonts w:eastAsia="Times New Roman"/>
                <w:color w:val="000000"/>
                <w:sz w:val="20"/>
              </w:rPr>
            </w:pPr>
            <w:r w:rsidRPr="009964C5">
              <w:rPr>
                <w:color w:val="000000"/>
                <w:sz w:val="20"/>
              </w:rPr>
              <w:t>51,066</w:t>
            </w:r>
          </w:p>
        </w:tc>
        <w:tc>
          <w:tcPr>
            <w:tcW w:w="1328" w:type="dxa"/>
            <w:noWrap/>
            <w:vAlign w:val="bottom"/>
            <w:hideMark/>
          </w:tcPr>
          <w:p w14:paraId="09346CB3" w14:textId="318E3A7D" w:rsidR="00DE5E4D" w:rsidRPr="009964C5" w:rsidRDefault="00DE5E4D" w:rsidP="00DE5E4D">
            <w:pPr>
              <w:contextualSpacing/>
              <w:jc w:val="center"/>
              <w:rPr>
                <w:rFonts w:eastAsia="Times New Roman"/>
                <w:color w:val="000000"/>
                <w:sz w:val="20"/>
              </w:rPr>
            </w:pPr>
            <w:r w:rsidRPr="009964C5">
              <w:rPr>
                <w:color w:val="000000"/>
                <w:sz w:val="20"/>
              </w:rPr>
              <w:t>77.1</w:t>
            </w:r>
          </w:p>
        </w:tc>
        <w:tc>
          <w:tcPr>
            <w:tcW w:w="1328" w:type="dxa"/>
            <w:noWrap/>
            <w:vAlign w:val="bottom"/>
            <w:hideMark/>
          </w:tcPr>
          <w:p w14:paraId="3B3AC7F9" w14:textId="4F68158D" w:rsidR="00DE5E4D" w:rsidRPr="009964C5" w:rsidRDefault="00DE5E4D" w:rsidP="00DE5E4D">
            <w:pPr>
              <w:contextualSpacing/>
              <w:jc w:val="center"/>
              <w:rPr>
                <w:rFonts w:eastAsia="Times New Roman"/>
                <w:color w:val="000000"/>
                <w:sz w:val="20"/>
              </w:rPr>
            </w:pPr>
            <w:r w:rsidRPr="009964C5">
              <w:rPr>
                <w:color w:val="000000"/>
                <w:sz w:val="20"/>
              </w:rPr>
              <w:t>53,503</w:t>
            </w:r>
          </w:p>
        </w:tc>
        <w:tc>
          <w:tcPr>
            <w:tcW w:w="1328" w:type="dxa"/>
            <w:noWrap/>
            <w:vAlign w:val="bottom"/>
            <w:hideMark/>
          </w:tcPr>
          <w:p w14:paraId="59167718" w14:textId="25C87890" w:rsidR="00DE5E4D" w:rsidRPr="009964C5" w:rsidRDefault="00DE5E4D" w:rsidP="00DE5E4D">
            <w:pPr>
              <w:contextualSpacing/>
              <w:jc w:val="center"/>
              <w:rPr>
                <w:rFonts w:eastAsia="Times New Roman"/>
                <w:color w:val="000000"/>
                <w:sz w:val="20"/>
              </w:rPr>
            </w:pPr>
            <w:r w:rsidRPr="009964C5">
              <w:rPr>
                <w:color w:val="000000"/>
                <w:sz w:val="20"/>
              </w:rPr>
              <w:t>76.6</w:t>
            </w:r>
          </w:p>
        </w:tc>
      </w:tr>
      <w:tr w:rsidR="008A4B72" w:rsidRPr="009964C5" w14:paraId="5947FABF" w14:textId="77777777" w:rsidTr="00DB4032">
        <w:trPr>
          <w:cantSplit/>
          <w:trHeight w:val="288"/>
          <w:jc w:val="center"/>
        </w:trPr>
        <w:tc>
          <w:tcPr>
            <w:tcW w:w="2421" w:type="dxa"/>
            <w:noWrap/>
            <w:hideMark/>
          </w:tcPr>
          <w:p w14:paraId="6B6571C3" w14:textId="34C97C96" w:rsidR="008A4B72" w:rsidRPr="009964C5" w:rsidRDefault="008A4B72" w:rsidP="00843106">
            <w:pPr>
              <w:contextualSpacing/>
              <w:jc w:val="center"/>
              <w:rPr>
                <w:rFonts w:eastAsia="Times New Roman"/>
                <w:b/>
                <w:bCs/>
                <w:color w:val="000000"/>
                <w:sz w:val="20"/>
              </w:rPr>
            </w:pPr>
            <w:r w:rsidRPr="009964C5">
              <w:rPr>
                <w:rFonts w:eastAsia="Times New Roman"/>
                <w:b/>
                <w:bCs/>
                <w:color w:val="000000"/>
                <w:sz w:val="20"/>
              </w:rPr>
              <w:t>Age</w:t>
            </w:r>
            <w:r w:rsidR="00EA25E1" w:rsidRPr="009964C5">
              <w:rPr>
                <w:rStyle w:val="FootnoteReference"/>
                <w:rFonts w:eastAsia="Times New Roman"/>
                <w:b/>
                <w:bCs/>
                <w:color w:val="000000"/>
                <w:sz w:val="20"/>
              </w:rPr>
              <w:footnoteReference w:id="31"/>
            </w:r>
          </w:p>
        </w:tc>
        <w:tc>
          <w:tcPr>
            <w:tcW w:w="1327" w:type="dxa"/>
            <w:noWrap/>
          </w:tcPr>
          <w:p w14:paraId="2DCA3AA8" w14:textId="77777777" w:rsidR="008A4B72" w:rsidRPr="009964C5" w:rsidRDefault="008A4B72" w:rsidP="00843106">
            <w:pPr>
              <w:contextualSpacing/>
              <w:jc w:val="center"/>
              <w:rPr>
                <w:rFonts w:eastAsia="Times New Roman"/>
                <w:color w:val="000000"/>
                <w:sz w:val="20"/>
              </w:rPr>
            </w:pPr>
          </w:p>
        </w:tc>
        <w:tc>
          <w:tcPr>
            <w:tcW w:w="1328" w:type="dxa"/>
            <w:noWrap/>
          </w:tcPr>
          <w:p w14:paraId="4238F967" w14:textId="77777777" w:rsidR="008A4B72" w:rsidRPr="009964C5" w:rsidRDefault="008A4B72" w:rsidP="00843106">
            <w:pPr>
              <w:contextualSpacing/>
              <w:jc w:val="center"/>
              <w:rPr>
                <w:rFonts w:eastAsia="Times New Roman"/>
                <w:color w:val="000000"/>
                <w:sz w:val="20"/>
              </w:rPr>
            </w:pPr>
          </w:p>
        </w:tc>
        <w:tc>
          <w:tcPr>
            <w:tcW w:w="1328" w:type="dxa"/>
            <w:noWrap/>
          </w:tcPr>
          <w:p w14:paraId="1EC4AB01" w14:textId="77777777" w:rsidR="008A4B72" w:rsidRPr="009964C5" w:rsidRDefault="008A4B72" w:rsidP="00843106">
            <w:pPr>
              <w:contextualSpacing/>
              <w:jc w:val="center"/>
              <w:rPr>
                <w:rFonts w:eastAsia="Times New Roman"/>
                <w:color w:val="000000"/>
                <w:sz w:val="20"/>
              </w:rPr>
            </w:pPr>
          </w:p>
        </w:tc>
        <w:tc>
          <w:tcPr>
            <w:tcW w:w="1328" w:type="dxa"/>
            <w:noWrap/>
          </w:tcPr>
          <w:p w14:paraId="79E0FCE2" w14:textId="77777777" w:rsidR="008A4B72" w:rsidRPr="009964C5" w:rsidRDefault="008A4B72" w:rsidP="00DE5E4D">
            <w:pPr>
              <w:contextualSpacing/>
              <w:jc w:val="center"/>
              <w:rPr>
                <w:rFonts w:eastAsia="Times New Roman"/>
                <w:color w:val="000000"/>
                <w:sz w:val="20"/>
              </w:rPr>
            </w:pPr>
          </w:p>
        </w:tc>
        <w:tc>
          <w:tcPr>
            <w:tcW w:w="1328" w:type="dxa"/>
            <w:noWrap/>
          </w:tcPr>
          <w:p w14:paraId="47525ACB" w14:textId="77777777" w:rsidR="008A4B72" w:rsidRPr="009964C5" w:rsidRDefault="008A4B72" w:rsidP="00843106">
            <w:pPr>
              <w:contextualSpacing/>
              <w:jc w:val="center"/>
              <w:rPr>
                <w:rFonts w:eastAsia="Times New Roman"/>
                <w:color w:val="000000"/>
                <w:sz w:val="20"/>
              </w:rPr>
            </w:pPr>
          </w:p>
        </w:tc>
        <w:tc>
          <w:tcPr>
            <w:tcW w:w="1328" w:type="dxa"/>
            <w:noWrap/>
          </w:tcPr>
          <w:p w14:paraId="3D71FEC7" w14:textId="77777777" w:rsidR="008A4B72" w:rsidRPr="009964C5" w:rsidRDefault="008A4B72" w:rsidP="00DE5E4D">
            <w:pPr>
              <w:contextualSpacing/>
              <w:jc w:val="center"/>
              <w:rPr>
                <w:rFonts w:eastAsia="Times New Roman"/>
                <w:color w:val="000000"/>
                <w:sz w:val="20"/>
              </w:rPr>
            </w:pPr>
          </w:p>
        </w:tc>
      </w:tr>
      <w:tr w:rsidR="00EA25E1" w:rsidRPr="009964C5" w14:paraId="30FCD357" w14:textId="77777777" w:rsidTr="00DB4032">
        <w:trPr>
          <w:cantSplit/>
          <w:trHeight w:val="288"/>
          <w:jc w:val="center"/>
        </w:trPr>
        <w:tc>
          <w:tcPr>
            <w:tcW w:w="2421" w:type="dxa"/>
            <w:noWrap/>
          </w:tcPr>
          <w:p w14:paraId="001801F8" w14:textId="30E1DD4B" w:rsidR="00EA25E1" w:rsidRPr="009964C5" w:rsidRDefault="00EA25E1" w:rsidP="00EA25E1">
            <w:pPr>
              <w:contextualSpacing/>
              <w:jc w:val="center"/>
              <w:rPr>
                <w:rFonts w:eastAsia="Times New Roman"/>
                <w:color w:val="000000"/>
                <w:sz w:val="20"/>
              </w:rPr>
            </w:pPr>
            <w:r w:rsidRPr="009964C5">
              <w:rPr>
                <w:rFonts w:eastAsia="Times New Roman"/>
                <w:color w:val="000000"/>
                <w:sz w:val="20"/>
              </w:rPr>
              <w:t>0-18</w:t>
            </w:r>
            <w:r w:rsidRPr="009964C5">
              <w:rPr>
                <w:rStyle w:val="FootnoteReference"/>
                <w:rFonts w:eastAsia="Times New Roman"/>
                <w:color w:val="000000"/>
                <w:sz w:val="20"/>
              </w:rPr>
              <w:footnoteReference w:id="32"/>
            </w:r>
          </w:p>
        </w:tc>
        <w:tc>
          <w:tcPr>
            <w:tcW w:w="1327" w:type="dxa"/>
            <w:noWrap/>
            <w:vAlign w:val="bottom"/>
          </w:tcPr>
          <w:p w14:paraId="3410260A" w14:textId="796B8C48" w:rsidR="00EA25E1" w:rsidRPr="009964C5" w:rsidRDefault="00EA25E1" w:rsidP="00EA25E1">
            <w:pPr>
              <w:contextualSpacing/>
              <w:jc w:val="center"/>
              <w:rPr>
                <w:color w:val="000000"/>
                <w:sz w:val="20"/>
              </w:rPr>
            </w:pPr>
            <w:r w:rsidRPr="009964C5">
              <w:rPr>
                <w:color w:val="000000"/>
                <w:sz w:val="20"/>
              </w:rPr>
              <w:t>72</w:t>
            </w:r>
          </w:p>
        </w:tc>
        <w:tc>
          <w:tcPr>
            <w:tcW w:w="1328" w:type="dxa"/>
            <w:noWrap/>
            <w:vAlign w:val="bottom"/>
          </w:tcPr>
          <w:p w14:paraId="6A902825" w14:textId="2DF1B066" w:rsidR="00EA25E1" w:rsidRPr="009964C5" w:rsidRDefault="00EA25E1" w:rsidP="00EA25E1">
            <w:pPr>
              <w:contextualSpacing/>
              <w:jc w:val="center"/>
              <w:rPr>
                <w:color w:val="000000"/>
                <w:sz w:val="20"/>
              </w:rPr>
            </w:pPr>
            <w:r w:rsidRPr="009964C5">
              <w:rPr>
                <w:color w:val="000000"/>
                <w:sz w:val="20"/>
              </w:rPr>
              <w:t>0.1%</w:t>
            </w:r>
          </w:p>
        </w:tc>
        <w:tc>
          <w:tcPr>
            <w:tcW w:w="1328" w:type="dxa"/>
            <w:noWrap/>
            <w:vAlign w:val="bottom"/>
          </w:tcPr>
          <w:p w14:paraId="37610B1A" w14:textId="2C0917D7" w:rsidR="00EA25E1" w:rsidRPr="009964C5" w:rsidRDefault="00EA25E1" w:rsidP="00EA25E1">
            <w:pPr>
              <w:contextualSpacing/>
              <w:jc w:val="center"/>
              <w:rPr>
                <w:color w:val="000000"/>
                <w:sz w:val="20"/>
              </w:rPr>
            </w:pPr>
            <w:r w:rsidRPr="009964C5">
              <w:rPr>
                <w:color w:val="000000"/>
                <w:sz w:val="20"/>
              </w:rPr>
              <w:t>112</w:t>
            </w:r>
          </w:p>
        </w:tc>
        <w:tc>
          <w:tcPr>
            <w:tcW w:w="1328" w:type="dxa"/>
            <w:noWrap/>
            <w:vAlign w:val="bottom"/>
          </w:tcPr>
          <w:p w14:paraId="20F3C15C" w14:textId="73E46453" w:rsidR="00EA25E1" w:rsidRPr="009964C5" w:rsidRDefault="00EA25E1" w:rsidP="00EA25E1">
            <w:pPr>
              <w:contextualSpacing/>
              <w:jc w:val="center"/>
              <w:rPr>
                <w:color w:val="000000"/>
                <w:sz w:val="20"/>
              </w:rPr>
            </w:pPr>
            <w:r w:rsidRPr="009964C5">
              <w:rPr>
                <w:color w:val="000000"/>
                <w:sz w:val="20"/>
              </w:rPr>
              <w:t>0.2%</w:t>
            </w:r>
          </w:p>
        </w:tc>
        <w:tc>
          <w:tcPr>
            <w:tcW w:w="1328" w:type="dxa"/>
            <w:noWrap/>
            <w:vAlign w:val="bottom"/>
          </w:tcPr>
          <w:p w14:paraId="424DA2E4" w14:textId="1BE9C076" w:rsidR="00EA25E1" w:rsidRPr="009964C5" w:rsidRDefault="00EA25E1" w:rsidP="00EA25E1">
            <w:pPr>
              <w:contextualSpacing/>
              <w:jc w:val="center"/>
              <w:rPr>
                <w:color w:val="000000"/>
                <w:sz w:val="20"/>
              </w:rPr>
            </w:pPr>
            <w:r w:rsidRPr="009964C5">
              <w:rPr>
                <w:color w:val="000000"/>
                <w:sz w:val="20"/>
              </w:rPr>
              <w:t>70</w:t>
            </w:r>
          </w:p>
        </w:tc>
        <w:tc>
          <w:tcPr>
            <w:tcW w:w="1328" w:type="dxa"/>
            <w:noWrap/>
            <w:vAlign w:val="bottom"/>
          </w:tcPr>
          <w:p w14:paraId="376ECEB5" w14:textId="7987DE1F" w:rsidR="00EA25E1" w:rsidRPr="009964C5" w:rsidRDefault="00EA25E1" w:rsidP="00EA25E1">
            <w:pPr>
              <w:contextualSpacing/>
              <w:jc w:val="center"/>
              <w:rPr>
                <w:color w:val="000000"/>
                <w:sz w:val="20"/>
              </w:rPr>
            </w:pPr>
            <w:r w:rsidRPr="009964C5">
              <w:rPr>
                <w:color w:val="000000"/>
                <w:sz w:val="20"/>
              </w:rPr>
              <w:t>0.1</w:t>
            </w:r>
          </w:p>
        </w:tc>
      </w:tr>
      <w:tr w:rsidR="00EA25E1" w:rsidRPr="009964C5" w14:paraId="7B0300DA" w14:textId="77777777" w:rsidTr="00DB4032">
        <w:trPr>
          <w:cantSplit/>
          <w:trHeight w:val="288"/>
          <w:jc w:val="center"/>
        </w:trPr>
        <w:tc>
          <w:tcPr>
            <w:tcW w:w="2421" w:type="dxa"/>
            <w:noWrap/>
            <w:hideMark/>
          </w:tcPr>
          <w:p w14:paraId="396B6527" w14:textId="77777777" w:rsidR="00EA25E1" w:rsidRPr="009964C5" w:rsidRDefault="00EA25E1" w:rsidP="00EA25E1">
            <w:pPr>
              <w:contextualSpacing/>
              <w:jc w:val="center"/>
              <w:rPr>
                <w:rFonts w:eastAsia="Times New Roman"/>
                <w:color w:val="000000"/>
                <w:sz w:val="20"/>
              </w:rPr>
            </w:pPr>
            <w:r w:rsidRPr="009964C5">
              <w:rPr>
                <w:rFonts w:eastAsia="Times New Roman"/>
                <w:color w:val="000000"/>
                <w:sz w:val="20"/>
              </w:rPr>
              <w:t>19-35</w:t>
            </w:r>
          </w:p>
        </w:tc>
        <w:tc>
          <w:tcPr>
            <w:tcW w:w="1327" w:type="dxa"/>
            <w:noWrap/>
            <w:vAlign w:val="bottom"/>
            <w:hideMark/>
          </w:tcPr>
          <w:p w14:paraId="681454FE" w14:textId="60EC48DF" w:rsidR="00EA25E1" w:rsidRPr="009964C5" w:rsidRDefault="00EA25E1" w:rsidP="00EA25E1">
            <w:pPr>
              <w:contextualSpacing/>
              <w:jc w:val="center"/>
              <w:rPr>
                <w:rFonts w:eastAsia="Times New Roman"/>
                <w:color w:val="000000"/>
                <w:sz w:val="20"/>
              </w:rPr>
            </w:pPr>
            <w:r w:rsidRPr="009964C5">
              <w:rPr>
                <w:color w:val="000000"/>
                <w:sz w:val="20"/>
              </w:rPr>
              <w:t>3,903</w:t>
            </w:r>
          </w:p>
        </w:tc>
        <w:tc>
          <w:tcPr>
            <w:tcW w:w="1328" w:type="dxa"/>
            <w:noWrap/>
            <w:vAlign w:val="bottom"/>
            <w:hideMark/>
          </w:tcPr>
          <w:p w14:paraId="6F0D8D94" w14:textId="203BA545" w:rsidR="00EA25E1" w:rsidRPr="009964C5" w:rsidRDefault="00EA25E1" w:rsidP="00EA25E1">
            <w:pPr>
              <w:contextualSpacing/>
              <w:jc w:val="center"/>
              <w:rPr>
                <w:rFonts w:eastAsia="Times New Roman"/>
                <w:color w:val="000000"/>
                <w:sz w:val="20"/>
              </w:rPr>
            </w:pPr>
            <w:r w:rsidRPr="009964C5">
              <w:rPr>
                <w:color w:val="000000"/>
                <w:sz w:val="20"/>
              </w:rPr>
              <w:t>6.5%</w:t>
            </w:r>
          </w:p>
        </w:tc>
        <w:tc>
          <w:tcPr>
            <w:tcW w:w="1328" w:type="dxa"/>
            <w:noWrap/>
            <w:vAlign w:val="bottom"/>
            <w:hideMark/>
          </w:tcPr>
          <w:p w14:paraId="75FD69E3" w14:textId="515CACC3" w:rsidR="00EA25E1" w:rsidRPr="009964C5" w:rsidRDefault="00EA25E1" w:rsidP="00EA25E1">
            <w:pPr>
              <w:contextualSpacing/>
              <w:jc w:val="center"/>
              <w:rPr>
                <w:rFonts w:eastAsia="Times New Roman"/>
                <w:color w:val="000000"/>
                <w:sz w:val="20"/>
              </w:rPr>
            </w:pPr>
            <w:r w:rsidRPr="009964C5">
              <w:rPr>
                <w:color w:val="000000"/>
                <w:sz w:val="20"/>
              </w:rPr>
              <w:t>4,472</w:t>
            </w:r>
          </w:p>
        </w:tc>
        <w:tc>
          <w:tcPr>
            <w:tcW w:w="1328" w:type="dxa"/>
            <w:noWrap/>
            <w:vAlign w:val="bottom"/>
            <w:hideMark/>
          </w:tcPr>
          <w:p w14:paraId="15D424E0" w14:textId="58E31A7E" w:rsidR="00EA25E1" w:rsidRPr="009964C5" w:rsidRDefault="00EA25E1" w:rsidP="00EA25E1">
            <w:pPr>
              <w:contextualSpacing/>
              <w:jc w:val="center"/>
              <w:rPr>
                <w:rFonts w:eastAsia="Times New Roman"/>
                <w:color w:val="000000"/>
                <w:sz w:val="20"/>
              </w:rPr>
            </w:pPr>
            <w:r w:rsidRPr="009964C5">
              <w:rPr>
                <w:color w:val="000000"/>
                <w:sz w:val="20"/>
              </w:rPr>
              <w:t>6.8%</w:t>
            </w:r>
          </w:p>
        </w:tc>
        <w:tc>
          <w:tcPr>
            <w:tcW w:w="1328" w:type="dxa"/>
            <w:noWrap/>
            <w:vAlign w:val="bottom"/>
            <w:hideMark/>
          </w:tcPr>
          <w:p w14:paraId="06975F26" w14:textId="09C5C57B" w:rsidR="00EA25E1" w:rsidRPr="009964C5" w:rsidRDefault="00EA25E1" w:rsidP="00EA25E1">
            <w:pPr>
              <w:contextualSpacing/>
              <w:jc w:val="center"/>
              <w:rPr>
                <w:rFonts w:eastAsia="Times New Roman"/>
                <w:color w:val="000000"/>
                <w:sz w:val="20"/>
              </w:rPr>
            </w:pPr>
            <w:r w:rsidRPr="009964C5">
              <w:rPr>
                <w:color w:val="000000"/>
                <w:sz w:val="20"/>
              </w:rPr>
              <w:t>4,693</w:t>
            </w:r>
          </w:p>
        </w:tc>
        <w:tc>
          <w:tcPr>
            <w:tcW w:w="1328" w:type="dxa"/>
            <w:noWrap/>
            <w:vAlign w:val="bottom"/>
            <w:hideMark/>
          </w:tcPr>
          <w:p w14:paraId="7829EA00" w14:textId="599D1051" w:rsidR="00EA25E1" w:rsidRPr="009964C5" w:rsidRDefault="00EA25E1" w:rsidP="00EA25E1">
            <w:pPr>
              <w:contextualSpacing/>
              <w:jc w:val="center"/>
              <w:rPr>
                <w:rFonts w:eastAsia="Times New Roman"/>
                <w:color w:val="000000"/>
                <w:sz w:val="20"/>
              </w:rPr>
            </w:pPr>
            <w:r w:rsidRPr="009964C5">
              <w:rPr>
                <w:color w:val="000000"/>
                <w:sz w:val="20"/>
              </w:rPr>
              <w:t>6.7</w:t>
            </w:r>
          </w:p>
        </w:tc>
      </w:tr>
      <w:tr w:rsidR="00EA25E1" w:rsidRPr="009964C5" w14:paraId="51081FA0" w14:textId="77777777" w:rsidTr="00DB4032">
        <w:trPr>
          <w:cantSplit/>
          <w:trHeight w:val="288"/>
          <w:jc w:val="center"/>
        </w:trPr>
        <w:tc>
          <w:tcPr>
            <w:tcW w:w="2421" w:type="dxa"/>
            <w:noWrap/>
            <w:hideMark/>
          </w:tcPr>
          <w:p w14:paraId="3D4498F7" w14:textId="77777777" w:rsidR="00EA25E1" w:rsidRPr="009964C5" w:rsidRDefault="00EA25E1" w:rsidP="00EA25E1">
            <w:pPr>
              <w:contextualSpacing/>
              <w:jc w:val="center"/>
              <w:rPr>
                <w:rFonts w:eastAsia="Times New Roman"/>
                <w:color w:val="000000"/>
                <w:sz w:val="20"/>
              </w:rPr>
            </w:pPr>
            <w:r w:rsidRPr="009964C5">
              <w:rPr>
                <w:rFonts w:eastAsia="Times New Roman"/>
                <w:color w:val="000000"/>
                <w:sz w:val="20"/>
              </w:rPr>
              <w:t>36-55</w:t>
            </w:r>
          </w:p>
        </w:tc>
        <w:tc>
          <w:tcPr>
            <w:tcW w:w="1327" w:type="dxa"/>
            <w:noWrap/>
            <w:vAlign w:val="bottom"/>
            <w:hideMark/>
          </w:tcPr>
          <w:p w14:paraId="0BAD199E" w14:textId="1724F45C" w:rsidR="00EA25E1" w:rsidRPr="009964C5" w:rsidRDefault="00EA25E1" w:rsidP="00EA25E1">
            <w:pPr>
              <w:contextualSpacing/>
              <w:jc w:val="center"/>
              <w:rPr>
                <w:rFonts w:eastAsia="Times New Roman"/>
                <w:color w:val="000000"/>
                <w:sz w:val="20"/>
              </w:rPr>
            </w:pPr>
            <w:r w:rsidRPr="009964C5">
              <w:rPr>
                <w:color w:val="000000"/>
                <w:sz w:val="20"/>
              </w:rPr>
              <w:t>15,400</w:t>
            </w:r>
          </w:p>
        </w:tc>
        <w:tc>
          <w:tcPr>
            <w:tcW w:w="1328" w:type="dxa"/>
            <w:noWrap/>
            <w:vAlign w:val="bottom"/>
            <w:hideMark/>
          </w:tcPr>
          <w:p w14:paraId="0ABC8CBB" w14:textId="66155E6B" w:rsidR="00EA25E1" w:rsidRPr="009964C5" w:rsidRDefault="00EA25E1" w:rsidP="00EA25E1">
            <w:pPr>
              <w:contextualSpacing/>
              <w:jc w:val="center"/>
              <w:rPr>
                <w:rFonts w:eastAsia="Times New Roman"/>
                <w:color w:val="000000"/>
                <w:sz w:val="20"/>
              </w:rPr>
            </w:pPr>
            <w:r w:rsidRPr="009964C5">
              <w:rPr>
                <w:color w:val="000000"/>
                <w:sz w:val="20"/>
              </w:rPr>
              <w:t>25.6%</w:t>
            </w:r>
          </w:p>
        </w:tc>
        <w:tc>
          <w:tcPr>
            <w:tcW w:w="1328" w:type="dxa"/>
            <w:noWrap/>
            <w:vAlign w:val="bottom"/>
            <w:hideMark/>
          </w:tcPr>
          <w:p w14:paraId="7E6F9C99" w14:textId="4FDD2314" w:rsidR="00EA25E1" w:rsidRPr="009964C5" w:rsidRDefault="00EA25E1" w:rsidP="00EA25E1">
            <w:pPr>
              <w:contextualSpacing/>
              <w:jc w:val="center"/>
              <w:rPr>
                <w:rFonts w:eastAsia="Times New Roman"/>
                <w:color w:val="000000"/>
                <w:sz w:val="20"/>
              </w:rPr>
            </w:pPr>
            <w:r w:rsidRPr="009964C5">
              <w:rPr>
                <w:color w:val="000000"/>
                <w:sz w:val="20"/>
              </w:rPr>
              <w:t>16,638</w:t>
            </w:r>
          </w:p>
        </w:tc>
        <w:tc>
          <w:tcPr>
            <w:tcW w:w="1328" w:type="dxa"/>
            <w:noWrap/>
            <w:vAlign w:val="bottom"/>
            <w:hideMark/>
          </w:tcPr>
          <w:p w14:paraId="1AD7A267" w14:textId="5F4F242B" w:rsidR="00EA25E1" w:rsidRPr="009964C5" w:rsidRDefault="00EA25E1" w:rsidP="00EA25E1">
            <w:pPr>
              <w:contextualSpacing/>
              <w:jc w:val="center"/>
              <w:rPr>
                <w:rFonts w:eastAsia="Times New Roman"/>
                <w:color w:val="000000"/>
                <w:sz w:val="20"/>
              </w:rPr>
            </w:pPr>
            <w:r w:rsidRPr="009964C5">
              <w:rPr>
                <w:color w:val="000000"/>
                <w:sz w:val="20"/>
              </w:rPr>
              <w:t>25.1%</w:t>
            </w:r>
          </w:p>
        </w:tc>
        <w:tc>
          <w:tcPr>
            <w:tcW w:w="1328" w:type="dxa"/>
            <w:noWrap/>
            <w:vAlign w:val="bottom"/>
            <w:hideMark/>
          </w:tcPr>
          <w:p w14:paraId="5D7E16F8" w14:textId="6E757277" w:rsidR="00EA25E1" w:rsidRPr="009964C5" w:rsidRDefault="00EA25E1" w:rsidP="00EA25E1">
            <w:pPr>
              <w:contextualSpacing/>
              <w:jc w:val="center"/>
              <w:rPr>
                <w:rFonts w:eastAsia="Times New Roman"/>
                <w:color w:val="000000"/>
                <w:sz w:val="20"/>
              </w:rPr>
            </w:pPr>
            <w:r w:rsidRPr="009964C5">
              <w:rPr>
                <w:color w:val="000000"/>
                <w:sz w:val="20"/>
              </w:rPr>
              <w:t>17,564</w:t>
            </w:r>
          </w:p>
        </w:tc>
        <w:tc>
          <w:tcPr>
            <w:tcW w:w="1328" w:type="dxa"/>
            <w:noWrap/>
            <w:vAlign w:val="bottom"/>
            <w:hideMark/>
          </w:tcPr>
          <w:p w14:paraId="494401DC" w14:textId="2EFDCC8D" w:rsidR="00EA25E1" w:rsidRPr="009964C5" w:rsidRDefault="00EA25E1" w:rsidP="00EA25E1">
            <w:pPr>
              <w:contextualSpacing/>
              <w:jc w:val="center"/>
              <w:rPr>
                <w:rFonts w:eastAsia="Times New Roman"/>
                <w:color w:val="000000"/>
                <w:sz w:val="20"/>
              </w:rPr>
            </w:pPr>
            <w:r w:rsidRPr="009964C5">
              <w:rPr>
                <w:color w:val="000000"/>
                <w:sz w:val="20"/>
              </w:rPr>
              <w:t>25.1</w:t>
            </w:r>
          </w:p>
        </w:tc>
      </w:tr>
      <w:tr w:rsidR="00EA25E1" w:rsidRPr="009964C5" w14:paraId="712261E6" w14:textId="77777777" w:rsidTr="00DB4032">
        <w:trPr>
          <w:cantSplit/>
          <w:trHeight w:val="288"/>
          <w:jc w:val="center"/>
        </w:trPr>
        <w:tc>
          <w:tcPr>
            <w:tcW w:w="2421" w:type="dxa"/>
            <w:noWrap/>
            <w:hideMark/>
          </w:tcPr>
          <w:p w14:paraId="3FB21AA3" w14:textId="77777777" w:rsidR="00EA25E1" w:rsidRPr="009964C5" w:rsidRDefault="00EA25E1" w:rsidP="00EA25E1">
            <w:pPr>
              <w:contextualSpacing/>
              <w:jc w:val="center"/>
              <w:rPr>
                <w:rFonts w:eastAsia="Times New Roman"/>
                <w:color w:val="000000"/>
                <w:sz w:val="20"/>
              </w:rPr>
            </w:pPr>
            <w:r w:rsidRPr="009964C5">
              <w:rPr>
                <w:color w:val="000000"/>
                <w:sz w:val="20"/>
              </w:rPr>
              <w:t>56-75</w:t>
            </w:r>
          </w:p>
        </w:tc>
        <w:tc>
          <w:tcPr>
            <w:tcW w:w="1327" w:type="dxa"/>
            <w:noWrap/>
            <w:vAlign w:val="bottom"/>
            <w:hideMark/>
          </w:tcPr>
          <w:p w14:paraId="2EB4AD11" w14:textId="736B8731" w:rsidR="00EA25E1" w:rsidRPr="009964C5" w:rsidRDefault="00EA25E1" w:rsidP="00EA25E1">
            <w:pPr>
              <w:contextualSpacing/>
              <w:jc w:val="center"/>
              <w:rPr>
                <w:rFonts w:eastAsia="Times New Roman"/>
                <w:color w:val="000000"/>
                <w:sz w:val="20"/>
              </w:rPr>
            </w:pPr>
            <w:r w:rsidRPr="009964C5">
              <w:rPr>
                <w:color w:val="000000"/>
                <w:sz w:val="20"/>
              </w:rPr>
              <w:t>33,349</w:t>
            </w:r>
          </w:p>
        </w:tc>
        <w:tc>
          <w:tcPr>
            <w:tcW w:w="1328" w:type="dxa"/>
            <w:noWrap/>
            <w:vAlign w:val="bottom"/>
            <w:hideMark/>
          </w:tcPr>
          <w:p w14:paraId="64603473" w14:textId="2E76F31E" w:rsidR="00EA25E1" w:rsidRPr="009964C5" w:rsidRDefault="00EA25E1" w:rsidP="00EA25E1">
            <w:pPr>
              <w:contextualSpacing/>
              <w:jc w:val="center"/>
              <w:rPr>
                <w:rFonts w:eastAsia="Times New Roman"/>
                <w:color w:val="000000"/>
                <w:sz w:val="20"/>
              </w:rPr>
            </w:pPr>
            <w:r w:rsidRPr="009964C5">
              <w:rPr>
                <w:color w:val="000000"/>
                <w:sz w:val="20"/>
              </w:rPr>
              <w:t>55.4%</w:t>
            </w:r>
          </w:p>
        </w:tc>
        <w:tc>
          <w:tcPr>
            <w:tcW w:w="1328" w:type="dxa"/>
            <w:noWrap/>
            <w:vAlign w:val="bottom"/>
            <w:hideMark/>
          </w:tcPr>
          <w:p w14:paraId="59C9005C" w14:textId="1D1869EC" w:rsidR="00EA25E1" w:rsidRPr="009964C5" w:rsidRDefault="00EA25E1" w:rsidP="00EA25E1">
            <w:pPr>
              <w:contextualSpacing/>
              <w:jc w:val="center"/>
              <w:rPr>
                <w:rFonts w:eastAsia="Times New Roman"/>
                <w:color w:val="000000"/>
                <w:sz w:val="20"/>
              </w:rPr>
            </w:pPr>
            <w:r w:rsidRPr="009964C5">
              <w:rPr>
                <w:color w:val="000000"/>
                <w:sz w:val="20"/>
              </w:rPr>
              <w:t>36,415</w:t>
            </w:r>
          </w:p>
        </w:tc>
        <w:tc>
          <w:tcPr>
            <w:tcW w:w="1328" w:type="dxa"/>
            <w:noWrap/>
            <w:vAlign w:val="bottom"/>
            <w:hideMark/>
          </w:tcPr>
          <w:p w14:paraId="0F1FA86F" w14:textId="5389BE3C" w:rsidR="00EA25E1" w:rsidRPr="009964C5" w:rsidRDefault="00EA25E1" w:rsidP="00EA25E1">
            <w:pPr>
              <w:contextualSpacing/>
              <w:jc w:val="center"/>
              <w:rPr>
                <w:rFonts w:eastAsia="Times New Roman"/>
                <w:color w:val="000000"/>
                <w:sz w:val="20"/>
              </w:rPr>
            </w:pPr>
            <w:r w:rsidRPr="009964C5">
              <w:rPr>
                <w:color w:val="000000"/>
                <w:sz w:val="20"/>
              </w:rPr>
              <w:t>55.0%</w:t>
            </w:r>
          </w:p>
        </w:tc>
        <w:tc>
          <w:tcPr>
            <w:tcW w:w="1328" w:type="dxa"/>
            <w:noWrap/>
            <w:vAlign w:val="bottom"/>
            <w:hideMark/>
          </w:tcPr>
          <w:p w14:paraId="4C8D6A16" w14:textId="3D1C68D9" w:rsidR="00EA25E1" w:rsidRPr="009964C5" w:rsidRDefault="00EA25E1" w:rsidP="00EA25E1">
            <w:pPr>
              <w:contextualSpacing/>
              <w:jc w:val="center"/>
              <w:rPr>
                <w:rFonts w:eastAsia="Times New Roman"/>
                <w:color w:val="000000"/>
                <w:sz w:val="20"/>
              </w:rPr>
            </w:pPr>
            <w:r w:rsidRPr="009964C5">
              <w:rPr>
                <w:color w:val="000000"/>
                <w:sz w:val="20"/>
              </w:rPr>
              <w:t>38,211</w:t>
            </w:r>
          </w:p>
        </w:tc>
        <w:tc>
          <w:tcPr>
            <w:tcW w:w="1328" w:type="dxa"/>
            <w:noWrap/>
            <w:vAlign w:val="bottom"/>
            <w:hideMark/>
          </w:tcPr>
          <w:p w14:paraId="682BBDEF" w14:textId="073247EC" w:rsidR="00EA25E1" w:rsidRPr="009964C5" w:rsidRDefault="00EA25E1" w:rsidP="00EA25E1">
            <w:pPr>
              <w:contextualSpacing/>
              <w:jc w:val="center"/>
              <w:rPr>
                <w:rFonts w:eastAsia="Times New Roman"/>
                <w:color w:val="000000"/>
                <w:sz w:val="20"/>
              </w:rPr>
            </w:pPr>
            <w:r w:rsidRPr="009964C5">
              <w:rPr>
                <w:color w:val="000000"/>
                <w:sz w:val="20"/>
              </w:rPr>
              <w:t>54.7</w:t>
            </w:r>
          </w:p>
        </w:tc>
      </w:tr>
      <w:tr w:rsidR="00EA25E1" w:rsidRPr="009964C5" w14:paraId="4C455FED" w14:textId="77777777" w:rsidTr="00DB4032">
        <w:trPr>
          <w:cantSplit/>
          <w:trHeight w:val="288"/>
          <w:jc w:val="center"/>
        </w:trPr>
        <w:tc>
          <w:tcPr>
            <w:tcW w:w="2421" w:type="dxa"/>
            <w:noWrap/>
          </w:tcPr>
          <w:p w14:paraId="4F1299DB" w14:textId="77777777" w:rsidR="00EA25E1" w:rsidRPr="009964C5" w:rsidRDefault="00EA25E1" w:rsidP="00EA25E1">
            <w:pPr>
              <w:contextualSpacing/>
              <w:jc w:val="center"/>
              <w:rPr>
                <w:rFonts w:eastAsia="Times New Roman"/>
                <w:color w:val="000000"/>
                <w:sz w:val="20"/>
              </w:rPr>
            </w:pPr>
            <w:r w:rsidRPr="009964C5">
              <w:rPr>
                <w:color w:val="000000"/>
                <w:sz w:val="20"/>
              </w:rPr>
              <w:t>&gt;75</w:t>
            </w:r>
          </w:p>
        </w:tc>
        <w:tc>
          <w:tcPr>
            <w:tcW w:w="1327" w:type="dxa"/>
            <w:noWrap/>
            <w:vAlign w:val="bottom"/>
          </w:tcPr>
          <w:p w14:paraId="17A55694" w14:textId="176C9275" w:rsidR="00EA25E1" w:rsidRPr="009964C5" w:rsidRDefault="00EA25E1" w:rsidP="00EA25E1">
            <w:pPr>
              <w:contextualSpacing/>
              <w:jc w:val="center"/>
              <w:rPr>
                <w:rFonts w:eastAsia="Times New Roman"/>
                <w:color w:val="000000"/>
                <w:sz w:val="20"/>
              </w:rPr>
            </w:pPr>
            <w:r w:rsidRPr="009964C5">
              <w:rPr>
                <w:color w:val="000000"/>
                <w:sz w:val="20"/>
              </w:rPr>
              <w:t>8,444</w:t>
            </w:r>
          </w:p>
        </w:tc>
        <w:tc>
          <w:tcPr>
            <w:tcW w:w="1328" w:type="dxa"/>
            <w:noWrap/>
            <w:vAlign w:val="bottom"/>
          </w:tcPr>
          <w:p w14:paraId="3CF73472" w14:textId="6B6E8610" w:rsidR="00EA25E1" w:rsidRPr="009964C5" w:rsidRDefault="00EA25E1" w:rsidP="00EA25E1">
            <w:pPr>
              <w:contextualSpacing/>
              <w:jc w:val="center"/>
              <w:rPr>
                <w:rFonts w:eastAsia="Times New Roman"/>
                <w:color w:val="000000"/>
                <w:sz w:val="20"/>
              </w:rPr>
            </w:pPr>
            <w:r w:rsidRPr="009964C5">
              <w:rPr>
                <w:color w:val="000000"/>
                <w:sz w:val="20"/>
              </w:rPr>
              <w:t>14.0%</w:t>
            </w:r>
          </w:p>
        </w:tc>
        <w:tc>
          <w:tcPr>
            <w:tcW w:w="1328" w:type="dxa"/>
            <w:noWrap/>
            <w:vAlign w:val="bottom"/>
          </w:tcPr>
          <w:p w14:paraId="72A3DA98" w14:textId="2093A7D9" w:rsidR="00EA25E1" w:rsidRPr="009964C5" w:rsidRDefault="00EA25E1" w:rsidP="00EA25E1">
            <w:pPr>
              <w:contextualSpacing/>
              <w:jc w:val="center"/>
              <w:rPr>
                <w:rFonts w:eastAsia="Times New Roman"/>
                <w:color w:val="000000"/>
                <w:sz w:val="20"/>
              </w:rPr>
            </w:pPr>
            <w:r w:rsidRPr="009964C5">
              <w:rPr>
                <w:color w:val="000000"/>
                <w:sz w:val="20"/>
              </w:rPr>
              <w:t>9,627</w:t>
            </w:r>
          </w:p>
        </w:tc>
        <w:tc>
          <w:tcPr>
            <w:tcW w:w="1328" w:type="dxa"/>
            <w:noWrap/>
            <w:vAlign w:val="bottom"/>
          </w:tcPr>
          <w:p w14:paraId="1305E99D" w14:textId="6153F0C1" w:rsidR="00EA25E1" w:rsidRPr="009964C5" w:rsidRDefault="00EA25E1" w:rsidP="00EA25E1">
            <w:pPr>
              <w:contextualSpacing/>
              <w:jc w:val="center"/>
              <w:rPr>
                <w:rFonts w:eastAsia="Times New Roman"/>
                <w:color w:val="000000"/>
                <w:sz w:val="20"/>
              </w:rPr>
            </w:pPr>
            <w:r w:rsidRPr="009964C5">
              <w:rPr>
                <w:color w:val="000000"/>
                <w:sz w:val="20"/>
              </w:rPr>
              <w:t>14.5%</w:t>
            </w:r>
          </w:p>
        </w:tc>
        <w:tc>
          <w:tcPr>
            <w:tcW w:w="1328" w:type="dxa"/>
            <w:noWrap/>
            <w:vAlign w:val="bottom"/>
          </w:tcPr>
          <w:p w14:paraId="64DFF131" w14:textId="2495CB0F" w:rsidR="00EA25E1" w:rsidRPr="009964C5" w:rsidRDefault="00EA25E1" w:rsidP="00EA25E1">
            <w:pPr>
              <w:contextualSpacing/>
              <w:jc w:val="center"/>
              <w:rPr>
                <w:rFonts w:eastAsia="Times New Roman"/>
                <w:color w:val="000000"/>
                <w:sz w:val="20"/>
              </w:rPr>
            </w:pPr>
            <w:r w:rsidRPr="009964C5">
              <w:rPr>
                <w:color w:val="000000"/>
                <w:sz w:val="20"/>
              </w:rPr>
              <w:t>10,482</w:t>
            </w:r>
          </w:p>
        </w:tc>
        <w:tc>
          <w:tcPr>
            <w:tcW w:w="1328" w:type="dxa"/>
            <w:noWrap/>
            <w:vAlign w:val="bottom"/>
          </w:tcPr>
          <w:p w14:paraId="7E34D7BD" w14:textId="4F0B7FCA" w:rsidR="00EA25E1" w:rsidRPr="009964C5" w:rsidRDefault="00EA25E1" w:rsidP="00EA25E1">
            <w:pPr>
              <w:contextualSpacing/>
              <w:jc w:val="center"/>
              <w:rPr>
                <w:rFonts w:eastAsia="Times New Roman"/>
                <w:color w:val="000000"/>
                <w:sz w:val="20"/>
              </w:rPr>
            </w:pPr>
            <w:r w:rsidRPr="009964C5">
              <w:rPr>
                <w:color w:val="000000"/>
                <w:sz w:val="20"/>
              </w:rPr>
              <w:t>15.0</w:t>
            </w:r>
          </w:p>
        </w:tc>
      </w:tr>
      <w:tr w:rsidR="008A4B72" w:rsidRPr="009964C5" w14:paraId="7DCE0A02" w14:textId="77777777" w:rsidTr="00DB4032">
        <w:trPr>
          <w:cantSplit/>
          <w:trHeight w:val="288"/>
          <w:jc w:val="center"/>
        </w:trPr>
        <w:tc>
          <w:tcPr>
            <w:tcW w:w="2421" w:type="dxa"/>
            <w:noWrap/>
            <w:hideMark/>
          </w:tcPr>
          <w:p w14:paraId="032986F6" w14:textId="77777777" w:rsidR="008A4B72" w:rsidRPr="009964C5" w:rsidRDefault="008A4B72" w:rsidP="00843106">
            <w:pPr>
              <w:contextualSpacing/>
              <w:jc w:val="center"/>
              <w:rPr>
                <w:rFonts w:eastAsia="Times New Roman"/>
                <w:b/>
                <w:bCs/>
                <w:color w:val="000000"/>
                <w:sz w:val="20"/>
              </w:rPr>
            </w:pPr>
            <w:r w:rsidRPr="009964C5">
              <w:rPr>
                <w:rFonts w:eastAsia="Times New Roman"/>
                <w:b/>
                <w:bCs/>
                <w:color w:val="000000"/>
                <w:sz w:val="20"/>
              </w:rPr>
              <w:t>Geography</w:t>
            </w:r>
            <w:r w:rsidRPr="009964C5">
              <w:rPr>
                <w:rStyle w:val="FootnoteReference"/>
                <w:rFonts w:eastAsia="Times New Roman"/>
                <w:b/>
                <w:bCs/>
                <w:color w:val="000000"/>
                <w:sz w:val="20"/>
              </w:rPr>
              <w:footnoteReference w:id="33"/>
            </w:r>
          </w:p>
        </w:tc>
        <w:tc>
          <w:tcPr>
            <w:tcW w:w="1327" w:type="dxa"/>
            <w:noWrap/>
          </w:tcPr>
          <w:p w14:paraId="6B2B42D0" w14:textId="77777777" w:rsidR="008A4B72" w:rsidRPr="009964C5" w:rsidRDefault="008A4B72" w:rsidP="00843106">
            <w:pPr>
              <w:contextualSpacing/>
              <w:jc w:val="center"/>
              <w:rPr>
                <w:rFonts w:eastAsia="Times New Roman"/>
                <w:color w:val="000000"/>
                <w:sz w:val="20"/>
              </w:rPr>
            </w:pPr>
          </w:p>
        </w:tc>
        <w:tc>
          <w:tcPr>
            <w:tcW w:w="1328" w:type="dxa"/>
            <w:noWrap/>
          </w:tcPr>
          <w:p w14:paraId="75AF0F49" w14:textId="77777777" w:rsidR="008A4B72" w:rsidRPr="009964C5" w:rsidRDefault="008A4B72" w:rsidP="00843106">
            <w:pPr>
              <w:contextualSpacing/>
              <w:jc w:val="center"/>
              <w:rPr>
                <w:rFonts w:eastAsia="Times New Roman"/>
                <w:color w:val="000000"/>
                <w:sz w:val="20"/>
              </w:rPr>
            </w:pPr>
          </w:p>
        </w:tc>
        <w:tc>
          <w:tcPr>
            <w:tcW w:w="1328" w:type="dxa"/>
            <w:noWrap/>
          </w:tcPr>
          <w:p w14:paraId="57EA5FAD" w14:textId="77777777" w:rsidR="008A4B72" w:rsidRPr="009964C5" w:rsidRDefault="008A4B72" w:rsidP="00843106">
            <w:pPr>
              <w:contextualSpacing/>
              <w:jc w:val="center"/>
              <w:rPr>
                <w:rFonts w:eastAsia="Times New Roman"/>
                <w:color w:val="000000"/>
                <w:sz w:val="20"/>
              </w:rPr>
            </w:pPr>
          </w:p>
        </w:tc>
        <w:tc>
          <w:tcPr>
            <w:tcW w:w="1328" w:type="dxa"/>
            <w:noWrap/>
          </w:tcPr>
          <w:p w14:paraId="556548F0" w14:textId="77777777" w:rsidR="008A4B72" w:rsidRPr="009964C5" w:rsidRDefault="008A4B72" w:rsidP="00DE5E4D">
            <w:pPr>
              <w:contextualSpacing/>
              <w:jc w:val="center"/>
              <w:rPr>
                <w:rFonts w:eastAsia="Times New Roman"/>
                <w:color w:val="000000"/>
                <w:sz w:val="20"/>
              </w:rPr>
            </w:pPr>
          </w:p>
        </w:tc>
        <w:tc>
          <w:tcPr>
            <w:tcW w:w="1328" w:type="dxa"/>
            <w:noWrap/>
          </w:tcPr>
          <w:p w14:paraId="29ABF7E7" w14:textId="77777777" w:rsidR="008A4B72" w:rsidRPr="009964C5" w:rsidRDefault="008A4B72" w:rsidP="00843106">
            <w:pPr>
              <w:contextualSpacing/>
              <w:jc w:val="center"/>
              <w:rPr>
                <w:rFonts w:eastAsia="Times New Roman"/>
                <w:color w:val="000000"/>
                <w:sz w:val="20"/>
              </w:rPr>
            </w:pPr>
          </w:p>
        </w:tc>
        <w:tc>
          <w:tcPr>
            <w:tcW w:w="1328" w:type="dxa"/>
            <w:noWrap/>
          </w:tcPr>
          <w:p w14:paraId="45523528" w14:textId="77777777" w:rsidR="008A4B72" w:rsidRPr="009964C5" w:rsidRDefault="008A4B72" w:rsidP="00DE5E4D">
            <w:pPr>
              <w:contextualSpacing/>
              <w:jc w:val="center"/>
              <w:rPr>
                <w:rFonts w:eastAsia="Times New Roman"/>
                <w:color w:val="000000"/>
                <w:sz w:val="20"/>
              </w:rPr>
            </w:pPr>
          </w:p>
        </w:tc>
      </w:tr>
      <w:tr w:rsidR="00DE5E4D" w:rsidRPr="009964C5" w14:paraId="3DC89CC5" w14:textId="77777777" w:rsidTr="00DB4032">
        <w:trPr>
          <w:cantSplit/>
          <w:trHeight w:val="288"/>
          <w:jc w:val="center"/>
        </w:trPr>
        <w:tc>
          <w:tcPr>
            <w:tcW w:w="2421" w:type="dxa"/>
            <w:noWrap/>
            <w:hideMark/>
          </w:tcPr>
          <w:p w14:paraId="6462DDB2"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Massachusetts</w:t>
            </w:r>
          </w:p>
        </w:tc>
        <w:tc>
          <w:tcPr>
            <w:tcW w:w="1327" w:type="dxa"/>
            <w:noWrap/>
            <w:vAlign w:val="bottom"/>
            <w:hideMark/>
          </w:tcPr>
          <w:p w14:paraId="3FDFCFF4" w14:textId="65340113" w:rsidR="00DE5E4D" w:rsidRPr="009964C5" w:rsidRDefault="00DE5E4D" w:rsidP="00DE5E4D">
            <w:pPr>
              <w:contextualSpacing/>
              <w:jc w:val="center"/>
              <w:rPr>
                <w:rFonts w:eastAsia="Times New Roman"/>
                <w:color w:val="000000"/>
                <w:sz w:val="20"/>
              </w:rPr>
            </w:pPr>
            <w:r w:rsidRPr="009964C5">
              <w:rPr>
                <w:color w:val="000000"/>
                <w:sz w:val="20"/>
              </w:rPr>
              <w:t>41,145</w:t>
            </w:r>
          </w:p>
        </w:tc>
        <w:tc>
          <w:tcPr>
            <w:tcW w:w="1328" w:type="dxa"/>
            <w:noWrap/>
            <w:vAlign w:val="bottom"/>
            <w:hideMark/>
          </w:tcPr>
          <w:p w14:paraId="083998C3" w14:textId="2B70990B" w:rsidR="00DE5E4D" w:rsidRPr="009964C5" w:rsidRDefault="00DE5E4D" w:rsidP="00DE5E4D">
            <w:pPr>
              <w:contextualSpacing/>
              <w:jc w:val="center"/>
              <w:rPr>
                <w:rFonts w:eastAsia="Times New Roman"/>
                <w:color w:val="000000"/>
                <w:sz w:val="20"/>
              </w:rPr>
            </w:pPr>
            <w:r w:rsidRPr="009964C5">
              <w:rPr>
                <w:color w:val="000000"/>
                <w:sz w:val="20"/>
              </w:rPr>
              <w:t>68.3</w:t>
            </w:r>
          </w:p>
        </w:tc>
        <w:tc>
          <w:tcPr>
            <w:tcW w:w="1328" w:type="dxa"/>
            <w:noWrap/>
            <w:vAlign w:val="bottom"/>
            <w:hideMark/>
          </w:tcPr>
          <w:p w14:paraId="24A63181" w14:textId="55F20E9B" w:rsidR="00DE5E4D" w:rsidRPr="009964C5" w:rsidRDefault="00DE5E4D" w:rsidP="00DE5E4D">
            <w:pPr>
              <w:contextualSpacing/>
              <w:jc w:val="center"/>
              <w:rPr>
                <w:rFonts w:eastAsia="Times New Roman"/>
                <w:color w:val="000000"/>
                <w:sz w:val="20"/>
              </w:rPr>
            </w:pPr>
            <w:r w:rsidRPr="009964C5">
              <w:rPr>
                <w:color w:val="000000"/>
                <w:sz w:val="20"/>
              </w:rPr>
              <w:t>45,737</w:t>
            </w:r>
          </w:p>
        </w:tc>
        <w:tc>
          <w:tcPr>
            <w:tcW w:w="1328" w:type="dxa"/>
            <w:noWrap/>
            <w:vAlign w:val="bottom"/>
            <w:hideMark/>
          </w:tcPr>
          <w:p w14:paraId="16C5F257" w14:textId="6DFBDF3D" w:rsidR="00DE5E4D" w:rsidRPr="009964C5" w:rsidRDefault="00DE5E4D" w:rsidP="00DE5E4D">
            <w:pPr>
              <w:contextualSpacing/>
              <w:jc w:val="center"/>
              <w:rPr>
                <w:rFonts w:eastAsia="Times New Roman"/>
                <w:color w:val="000000"/>
                <w:sz w:val="20"/>
              </w:rPr>
            </w:pPr>
            <w:r w:rsidRPr="009964C5">
              <w:rPr>
                <w:color w:val="000000"/>
                <w:sz w:val="20"/>
              </w:rPr>
              <w:t>69.0</w:t>
            </w:r>
          </w:p>
        </w:tc>
        <w:tc>
          <w:tcPr>
            <w:tcW w:w="1328" w:type="dxa"/>
            <w:noWrap/>
            <w:vAlign w:val="bottom"/>
            <w:hideMark/>
          </w:tcPr>
          <w:p w14:paraId="42EEAA3A" w14:textId="12E5033B" w:rsidR="00DE5E4D" w:rsidRPr="009964C5" w:rsidRDefault="00DE5E4D" w:rsidP="00DE5E4D">
            <w:pPr>
              <w:contextualSpacing/>
              <w:jc w:val="center"/>
              <w:rPr>
                <w:rFonts w:eastAsia="Times New Roman"/>
                <w:color w:val="000000"/>
                <w:sz w:val="20"/>
              </w:rPr>
            </w:pPr>
            <w:r w:rsidRPr="009964C5">
              <w:rPr>
                <w:color w:val="000000"/>
                <w:sz w:val="20"/>
              </w:rPr>
              <w:t>49,504</w:t>
            </w:r>
          </w:p>
        </w:tc>
        <w:tc>
          <w:tcPr>
            <w:tcW w:w="1328" w:type="dxa"/>
            <w:noWrap/>
            <w:vAlign w:val="bottom"/>
            <w:hideMark/>
          </w:tcPr>
          <w:p w14:paraId="59055CDE" w14:textId="68644D18" w:rsidR="00DE5E4D" w:rsidRPr="009964C5" w:rsidRDefault="00DE5E4D" w:rsidP="00DE5E4D">
            <w:pPr>
              <w:contextualSpacing/>
              <w:jc w:val="center"/>
              <w:rPr>
                <w:rFonts w:eastAsia="Times New Roman"/>
                <w:color w:val="000000"/>
                <w:sz w:val="20"/>
              </w:rPr>
            </w:pPr>
            <w:r w:rsidRPr="009964C5">
              <w:rPr>
                <w:color w:val="000000"/>
                <w:sz w:val="20"/>
              </w:rPr>
              <w:t>70.8</w:t>
            </w:r>
          </w:p>
        </w:tc>
      </w:tr>
      <w:tr w:rsidR="00DE5E4D" w:rsidRPr="009964C5" w14:paraId="7F035BB4" w14:textId="77777777" w:rsidTr="00DB4032">
        <w:trPr>
          <w:cantSplit/>
          <w:trHeight w:val="288"/>
          <w:jc w:val="center"/>
        </w:trPr>
        <w:tc>
          <w:tcPr>
            <w:tcW w:w="2421" w:type="dxa"/>
            <w:noWrap/>
            <w:hideMark/>
          </w:tcPr>
          <w:p w14:paraId="54330F87"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New York</w:t>
            </w:r>
          </w:p>
        </w:tc>
        <w:tc>
          <w:tcPr>
            <w:tcW w:w="1327" w:type="dxa"/>
            <w:noWrap/>
            <w:vAlign w:val="bottom"/>
            <w:hideMark/>
          </w:tcPr>
          <w:p w14:paraId="45E77F57" w14:textId="3979CF79" w:rsidR="00DE5E4D" w:rsidRPr="009964C5" w:rsidRDefault="00DE5E4D" w:rsidP="00DE5E4D">
            <w:pPr>
              <w:contextualSpacing/>
              <w:jc w:val="center"/>
              <w:rPr>
                <w:rFonts w:eastAsia="Times New Roman"/>
                <w:color w:val="000000"/>
                <w:sz w:val="20"/>
              </w:rPr>
            </w:pPr>
            <w:r w:rsidRPr="009964C5">
              <w:rPr>
                <w:color w:val="000000"/>
                <w:sz w:val="20"/>
              </w:rPr>
              <w:t>2,240</w:t>
            </w:r>
          </w:p>
        </w:tc>
        <w:tc>
          <w:tcPr>
            <w:tcW w:w="1328" w:type="dxa"/>
            <w:noWrap/>
            <w:vAlign w:val="bottom"/>
            <w:hideMark/>
          </w:tcPr>
          <w:p w14:paraId="5D0D0984" w14:textId="19ABFA17" w:rsidR="00DE5E4D" w:rsidRPr="009964C5" w:rsidRDefault="00DE5E4D" w:rsidP="00DE5E4D">
            <w:pPr>
              <w:contextualSpacing/>
              <w:jc w:val="center"/>
              <w:rPr>
                <w:rFonts w:eastAsia="Times New Roman"/>
                <w:color w:val="000000"/>
                <w:sz w:val="20"/>
              </w:rPr>
            </w:pPr>
            <w:r w:rsidRPr="009964C5">
              <w:rPr>
                <w:color w:val="000000"/>
                <w:sz w:val="20"/>
              </w:rPr>
              <w:t>3.7</w:t>
            </w:r>
          </w:p>
        </w:tc>
        <w:tc>
          <w:tcPr>
            <w:tcW w:w="1328" w:type="dxa"/>
            <w:noWrap/>
            <w:vAlign w:val="bottom"/>
            <w:hideMark/>
          </w:tcPr>
          <w:p w14:paraId="5832EFC8" w14:textId="1C9A176E" w:rsidR="00DE5E4D" w:rsidRPr="009964C5" w:rsidRDefault="00DE5E4D" w:rsidP="00DE5E4D">
            <w:pPr>
              <w:contextualSpacing/>
              <w:jc w:val="center"/>
              <w:rPr>
                <w:rFonts w:eastAsia="Times New Roman"/>
                <w:color w:val="000000"/>
                <w:sz w:val="20"/>
              </w:rPr>
            </w:pPr>
            <w:r w:rsidRPr="009964C5">
              <w:rPr>
                <w:color w:val="000000"/>
                <w:sz w:val="20"/>
              </w:rPr>
              <w:t>2,465</w:t>
            </w:r>
          </w:p>
        </w:tc>
        <w:tc>
          <w:tcPr>
            <w:tcW w:w="1328" w:type="dxa"/>
            <w:noWrap/>
            <w:vAlign w:val="bottom"/>
            <w:hideMark/>
          </w:tcPr>
          <w:p w14:paraId="3525BBE6" w14:textId="72B02B1B" w:rsidR="00DE5E4D" w:rsidRPr="009964C5" w:rsidRDefault="00DE5E4D" w:rsidP="00DE5E4D">
            <w:pPr>
              <w:contextualSpacing/>
              <w:jc w:val="center"/>
              <w:rPr>
                <w:rFonts w:eastAsia="Times New Roman"/>
                <w:color w:val="000000"/>
                <w:sz w:val="20"/>
              </w:rPr>
            </w:pPr>
            <w:r w:rsidRPr="009964C5">
              <w:rPr>
                <w:color w:val="000000"/>
                <w:sz w:val="20"/>
              </w:rPr>
              <w:t>3.7</w:t>
            </w:r>
          </w:p>
        </w:tc>
        <w:tc>
          <w:tcPr>
            <w:tcW w:w="1328" w:type="dxa"/>
            <w:noWrap/>
            <w:vAlign w:val="bottom"/>
            <w:hideMark/>
          </w:tcPr>
          <w:p w14:paraId="03A64425" w14:textId="65D5695F" w:rsidR="00DE5E4D" w:rsidRPr="009964C5" w:rsidRDefault="00DE5E4D" w:rsidP="00DE5E4D">
            <w:pPr>
              <w:contextualSpacing/>
              <w:jc w:val="center"/>
              <w:rPr>
                <w:rFonts w:eastAsia="Times New Roman"/>
                <w:color w:val="000000"/>
                <w:sz w:val="20"/>
              </w:rPr>
            </w:pPr>
            <w:r w:rsidRPr="009964C5">
              <w:rPr>
                <w:color w:val="000000"/>
                <w:sz w:val="20"/>
              </w:rPr>
              <w:t>2,244</w:t>
            </w:r>
          </w:p>
        </w:tc>
        <w:tc>
          <w:tcPr>
            <w:tcW w:w="1328" w:type="dxa"/>
            <w:noWrap/>
            <w:vAlign w:val="bottom"/>
            <w:hideMark/>
          </w:tcPr>
          <w:p w14:paraId="1C90EDE6" w14:textId="6AEE7200" w:rsidR="00DE5E4D" w:rsidRPr="009964C5" w:rsidRDefault="00DE5E4D" w:rsidP="00DE5E4D">
            <w:pPr>
              <w:contextualSpacing/>
              <w:jc w:val="center"/>
              <w:rPr>
                <w:rFonts w:eastAsia="Times New Roman"/>
                <w:color w:val="000000"/>
                <w:sz w:val="20"/>
              </w:rPr>
            </w:pPr>
            <w:r w:rsidRPr="009964C5">
              <w:rPr>
                <w:color w:val="000000"/>
                <w:sz w:val="20"/>
              </w:rPr>
              <w:t>3.2</w:t>
            </w:r>
          </w:p>
        </w:tc>
      </w:tr>
      <w:tr w:rsidR="00DE5E4D" w:rsidRPr="009964C5" w14:paraId="30501451" w14:textId="77777777" w:rsidTr="00DB4032">
        <w:trPr>
          <w:cantSplit/>
          <w:trHeight w:val="288"/>
          <w:jc w:val="center"/>
        </w:trPr>
        <w:tc>
          <w:tcPr>
            <w:tcW w:w="2421" w:type="dxa"/>
            <w:noWrap/>
          </w:tcPr>
          <w:p w14:paraId="3EE20FB6"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 xml:space="preserve">Outside MA </w:t>
            </w:r>
          </w:p>
          <w:p w14:paraId="018194C2"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(New England)</w:t>
            </w:r>
            <w:r w:rsidRPr="009964C5">
              <w:rPr>
                <w:rStyle w:val="FootnoteReference"/>
                <w:rFonts w:eastAsia="Times New Roman"/>
                <w:color w:val="000000"/>
                <w:sz w:val="20"/>
              </w:rPr>
              <w:t xml:space="preserve"> </w:t>
            </w:r>
            <w:r w:rsidRPr="009964C5">
              <w:rPr>
                <w:rStyle w:val="FootnoteReference"/>
                <w:rFonts w:eastAsia="Times New Roman"/>
                <w:color w:val="000000"/>
                <w:sz w:val="20"/>
              </w:rPr>
              <w:footnoteReference w:id="34"/>
            </w:r>
          </w:p>
        </w:tc>
        <w:tc>
          <w:tcPr>
            <w:tcW w:w="1327" w:type="dxa"/>
            <w:noWrap/>
            <w:vAlign w:val="bottom"/>
          </w:tcPr>
          <w:p w14:paraId="63348F92" w14:textId="01ACEEC2" w:rsidR="00DE5E4D" w:rsidRPr="009964C5" w:rsidRDefault="00DE5E4D" w:rsidP="00DE5E4D">
            <w:pPr>
              <w:contextualSpacing/>
              <w:jc w:val="center"/>
              <w:rPr>
                <w:rFonts w:eastAsia="Times New Roman"/>
                <w:color w:val="000000"/>
                <w:sz w:val="20"/>
              </w:rPr>
            </w:pPr>
            <w:r w:rsidRPr="009964C5">
              <w:rPr>
                <w:color w:val="000000"/>
                <w:sz w:val="20"/>
              </w:rPr>
              <w:t>11,893</w:t>
            </w:r>
          </w:p>
        </w:tc>
        <w:tc>
          <w:tcPr>
            <w:tcW w:w="1328" w:type="dxa"/>
            <w:noWrap/>
            <w:vAlign w:val="bottom"/>
          </w:tcPr>
          <w:p w14:paraId="7274BD9D" w14:textId="75A5F595" w:rsidR="00DE5E4D" w:rsidRPr="009964C5" w:rsidRDefault="00DE5E4D" w:rsidP="00DE5E4D">
            <w:pPr>
              <w:contextualSpacing/>
              <w:jc w:val="center"/>
              <w:rPr>
                <w:rFonts w:eastAsia="Times New Roman"/>
                <w:color w:val="000000"/>
                <w:sz w:val="20"/>
              </w:rPr>
            </w:pPr>
            <w:r w:rsidRPr="009964C5">
              <w:rPr>
                <w:color w:val="000000"/>
                <w:sz w:val="20"/>
              </w:rPr>
              <w:t>19.8</w:t>
            </w:r>
          </w:p>
        </w:tc>
        <w:tc>
          <w:tcPr>
            <w:tcW w:w="1328" w:type="dxa"/>
            <w:noWrap/>
            <w:vAlign w:val="bottom"/>
          </w:tcPr>
          <w:p w14:paraId="039B12B8" w14:textId="17F2D3F1" w:rsidR="00DE5E4D" w:rsidRPr="009964C5" w:rsidRDefault="00DE5E4D" w:rsidP="00DE5E4D">
            <w:pPr>
              <w:contextualSpacing/>
              <w:jc w:val="center"/>
              <w:rPr>
                <w:rFonts w:eastAsia="Times New Roman"/>
                <w:color w:val="000000"/>
                <w:sz w:val="20"/>
              </w:rPr>
            </w:pPr>
            <w:r w:rsidRPr="009964C5">
              <w:rPr>
                <w:color w:val="000000"/>
                <w:sz w:val="20"/>
              </w:rPr>
              <w:t>12,762</w:t>
            </w:r>
          </w:p>
        </w:tc>
        <w:tc>
          <w:tcPr>
            <w:tcW w:w="1328" w:type="dxa"/>
            <w:noWrap/>
            <w:vAlign w:val="bottom"/>
          </w:tcPr>
          <w:p w14:paraId="6F29D8DC" w14:textId="6B72A610" w:rsidR="00DE5E4D" w:rsidRPr="009964C5" w:rsidRDefault="00DE5E4D" w:rsidP="00DE5E4D">
            <w:pPr>
              <w:contextualSpacing/>
              <w:jc w:val="center"/>
              <w:rPr>
                <w:rFonts w:eastAsia="Times New Roman"/>
                <w:color w:val="000000"/>
                <w:sz w:val="20"/>
              </w:rPr>
            </w:pPr>
            <w:r w:rsidRPr="009964C5">
              <w:rPr>
                <w:color w:val="000000"/>
                <w:sz w:val="20"/>
              </w:rPr>
              <w:t>19.3</w:t>
            </w:r>
          </w:p>
        </w:tc>
        <w:tc>
          <w:tcPr>
            <w:tcW w:w="1328" w:type="dxa"/>
            <w:noWrap/>
            <w:vAlign w:val="bottom"/>
          </w:tcPr>
          <w:p w14:paraId="33715CB8" w14:textId="5FC72D02" w:rsidR="00DE5E4D" w:rsidRPr="009964C5" w:rsidRDefault="00DE5E4D" w:rsidP="00DE5E4D">
            <w:pPr>
              <w:contextualSpacing/>
              <w:jc w:val="center"/>
              <w:rPr>
                <w:rFonts w:eastAsia="Times New Roman"/>
                <w:color w:val="000000"/>
                <w:sz w:val="20"/>
              </w:rPr>
            </w:pPr>
            <w:r w:rsidRPr="009964C5">
              <w:rPr>
                <w:color w:val="000000"/>
                <w:sz w:val="20"/>
              </w:rPr>
              <w:t>13,345</w:t>
            </w:r>
          </w:p>
        </w:tc>
        <w:tc>
          <w:tcPr>
            <w:tcW w:w="1328" w:type="dxa"/>
            <w:noWrap/>
            <w:vAlign w:val="bottom"/>
          </w:tcPr>
          <w:p w14:paraId="1EFECECB" w14:textId="5898537F" w:rsidR="00DE5E4D" w:rsidRPr="009964C5" w:rsidRDefault="00DE5E4D" w:rsidP="00DE5E4D">
            <w:pPr>
              <w:contextualSpacing/>
              <w:jc w:val="center"/>
              <w:rPr>
                <w:rFonts w:eastAsia="Times New Roman"/>
                <w:color w:val="000000"/>
                <w:sz w:val="20"/>
              </w:rPr>
            </w:pPr>
            <w:r w:rsidRPr="009964C5">
              <w:rPr>
                <w:color w:val="000000"/>
                <w:sz w:val="20"/>
              </w:rPr>
              <w:t>19.1</w:t>
            </w:r>
          </w:p>
        </w:tc>
      </w:tr>
      <w:tr w:rsidR="00DE5E4D" w:rsidRPr="009964C5" w14:paraId="054662CF" w14:textId="77777777" w:rsidTr="00DB4032">
        <w:trPr>
          <w:cantSplit/>
          <w:trHeight w:val="288"/>
          <w:jc w:val="center"/>
        </w:trPr>
        <w:tc>
          <w:tcPr>
            <w:tcW w:w="2421" w:type="dxa"/>
            <w:noWrap/>
          </w:tcPr>
          <w:p w14:paraId="0B2847B6"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Outside MA</w:t>
            </w:r>
          </w:p>
          <w:p w14:paraId="2353D441" w14:textId="77777777" w:rsidR="00DE5E4D" w:rsidRPr="009964C5" w:rsidRDefault="00DE5E4D" w:rsidP="00DE5E4D">
            <w:pPr>
              <w:contextualSpacing/>
              <w:jc w:val="center"/>
              <w:rPr>
                <w:rFonts w:eastAsia="Times New Roman"/>
                <w:color w:val="000000"/>
                <w:sz w:val="20"/>
              </w:rPr>
            </w:pPr>
            <w:r w:rsidRPr="009964C5">
              <w:rPr>
                <w:rFonts w:eastAsia="Times New Roman"/>
                <w:color w:val="000000"/>
                <w:sz w:val="20"/>
              </w:rPr>
              <w:t xml:space="preserve"> (United States)</w:t>
            </w:r>
            <w:r w:rsidRPr="009964C5">
              <w:rPr>
                <w:rStyle w:val="FootnoteReference"/>
                <w:rFonts w:eastAsia="Times New Roman"/>
                <w:color w:val="000000"/>
                <w:sz w:val="20"/>
              </w:rPr>
              <w:t xml:space="preserve"> </w:t>
            </w:r>
            <w:r w:rsidRPr="009964C5">
              <w:rPr>
                <w:rStyle w:val="FootnoteReference"/>
                <w:rFonts w:eastAsia="Times New Roman"/>
                <w:color w:val="000000"/>
                <w:sz w:val="20"/>
              </w:rPr>
              <w:footnoteReference w:id="35"/>
            </w:r>
          </w:p>
        </w:tc>
        <w:tc>
          <w:tcPr>
            <w:tcW w:w="1327" w:type="dxa"/>
            <w:noWrap/>
            <w:vAlign w:val="bottom"/>
          </w:tcPr>
          <w:p w14:paraId="620291DC" w14:textId="5495332A" w:rsidR="00DE5E4D" w:rsidRPr="009964C5" w:rsidRDefault="00DE5E4D" w:rsidP="00DE5E4D">
            <w:pPr>
              <w:contextualSpacing/>
              <w:jc w:val="center"/>
              <w:rPr>
                <w:rFonts w:eastAsia="Times New Roman"/>
                <w:color w:val="000000"/>
                <w:sz w:val="20"/>
              </w:rPr>
            </w:pPr>
            <w:r w:rsidRPr="009964C5">
              <w:rPr>
                <w:color w:val="000000"/>
                <w:sz w:val="20"/>
              </w:rPr>
              <w:t>18,414</w:t>
            </w:r>
          </w:p>
        </w:tc>
        <w:tc>
          <w:tcPr>
            <w:tcW w:w="1328" w:type="dxa"/>
            <w:noWrap/>
            <w:vAlign w:val="bottom"/>
          </w:tcPr>
          <w:p w14:paraId="17A2935E" w14:textId="7ACB3BED" w:rsidR="00DE5E4D" w:rsidRPr="009964C5" w:rsidRDefault="00DE5E4D" w:rsidP="00DE5E4D">
            <w:pPr>
              <w:contextualSpacing/>
              <w:jc w:val="center"/>
              <w:rPr>
                <w:rFonts w:eastAsia="Times New Roman"/>
                <w:color w:val="000000"/>
                <w:sz w:val="20"/>
              </w:rPr>
            </w:pPr>
            <w:r w:rsidRPr="009964C5">
              <w:rPr>
                <w:color w:val="000000"/>
                <w:sz w:val="20"/>
              </w:rPr>
              <w:t>30.6</w:t>
            </w:r>
          </w:p>
        </w:tc>
        <w:tc>
          <w:tcPr>
            <w:tcW w:w="1328" w:type="dxa"/>
            <w:noWrap/>
            <w:vAlign w:val="bottom"/>
          </w:tcPr>
          <w:p w14:paraId="52FC4CF2" w14:textId="514C341B" w:rsidR="00DE5E4D" w:rsidRPr="009964C5" w:rsidRDefault="00DE5E4D" w:rsidP="00DE5E4D">
            <w:pPr>
              <w:contextualSpacing/>
              <w:jc w:val="center"/>
              <w:rPr>
                <w:rFonts w:eastAsia="Times New Roman"/>
                <w:color w:val="000000"/>
                <w:sz w:val="20"/>
              </w:rPr>
            </w:pPr>
            <w:r w:rsidRPr="009964C5">
              <w:rPr>
                <w:color w:val="000000"/>
                <w:sz w:val="20"/>
              </w:rPr>
              <w:t>19,852</w:t>
            </w:r>
          </w:p>
        </w:tc>
        <w:tc>
          <w:tcPr>
            <w:tcW w:w="1328" w:type="dxa"/>
            <w:noWrap/>
            <w:vAlign w:val="bottom"/>
          </w:tcPr>
          <w:p w14:paraId="3420CAEA" w14:textId="2859AC60" w:rsidR="00DE5E4D" w:rsidRPr="009964C5" w:rsidRDefault="00DE5E4D" w:rsidP="00DE5E4D">
            <w:pPr>
              <w:contextualSpacing/>
              <w:jc w:val="center"/>
              <w:rPr>
                <w:rFonts w:eastAsia="Times New Roman"/>
                <w:color w:val="000000"/>
                <w:sz w:val="20"/>
              </w:rPr>
            </w:pPr>
            <w:r w:rsidRPr="009964C5">
              <w:rPr>
                <w:color w:val="000000"/>
                <w:sz w:val="20"/>
              </w:rPr>
              <w:t>30.0</w:t>
            </w:r>
          </w:p>
        </w:tc>
        <w:tc>
          <w:tcPr>
            <w:tcW w:w="1328" w:type="dxa"/>
            <w:noWrap/>
            <w:vAlign w:val="bottom"/>
          </w:tcPr>
          <w:p w14:paraId="6915352B" w14:textId="3B3E1495" w:rsidR="00DE5E4D" w:rsidRPr="009964C5" w:rsidRDefault="00DE5E4D" w:rsidP="00DE5E4D">
            <w:pPr>
              <w:contextualSpacing/>
              <w:jc w:val="center"/>
              <w:rPr>
                <w:rFonts w:eastAsia="Times New Roman"/>
                <w:color w:val="000000"/>
                <w:sz w:val="20"/>
              </w:rPr>
            </w:pPr>
            <w:r w:rsidRPr="009964C5">
              <w:rPr>
                <w:color w:val="000000"/>
                <w:sz w:val="20"/>
              </w:rPr>
              <w:t>19,558</w:t>
            </w:r>
          </w:p>
        </w:tc>
        <w:tc>
          <w:tcPr>
            <w:tcW w:w="1328" w:type="dxa"/>
            <w:noWrap/>
            <w:vAlign w:val="bottom"/>
          </w:tcPr>
          <w:p w14:paraId="6DA59B5E" w14:textId="66C825BF" w:rsidR="00DE5E4D" w:rsidRPr="009964C5" w:rsidRDefault="00DE5E4D" w:rsidP="00DE5E4D">
            <w:pPr>
              <w:contextualSpacing/>
              <w:jc w:val="center"/>
              <w:rPr>
                <w:rFonts w:eastAsia="Times New Roman"/>
                <w:color w:val="000000"/>
                <w:sz w:val="20"/>
              </w:rPr>
            </w:pPr>
            <w:r w:rsidRPr="009964C5">
              <w:rPr>
                <w:color w:val="000000"/>
                <w:sz w:val="20"/>
              </w:rPr>
              <w:t>28.0</w:t>
            </w:r>
          </w:p>
        </w:tc>
      </w:tr>
      <w:tr w:rsidR="000111E7" w:rsidRPr="000111E7" w14:paraId="55D799D2" w14:textId="77777777" w:rsidTr="00DB4032">
        <w:trPr>
          <w:cantSplit/>
          <w:trHeight w:val="77"/>
          <w:jc w:val="center"/>
        </w:trPr>
        <w:tc>
          <w:tcPr>
            <w:tcW w:w="2421" w:type="dxa"/>
            <w:noWrap/>
            <w:hideMark/>
          </w:tcPr>
          <w:p w14:paraId="784943D6" w14:textId="77777777" w:rsidR="000111E7" w:rsidRPr="000111E7" w:rsidRDefault="000111E7" w:rsidP="000111E7">
            <w:pPr>
              <w:contextualSpacing/>
              <w:jc w:val="center"/>
              <w:rPr>
                <w:rFonts w:eastAsia="Times New Roman"/>
                <w:color w:val="000000"/>
                <w:sz w:val="20"/>
              </w:rPr>
            </w:pPr>
            <w:r w:rsidRPr="000111E7">
              <w:rPr>
                <w:rFonts w:eastAsia="Times New Roman"/>
                <w:color w:val="000000"/>
                <w:sz w:val="20"/>
              </w:rPr>
              <w:t>Outside MA (International)</w:t>
            </w:r>
            <w:r w:rsidRPr="000111E7">
              <w:rPr>
                <w:rStyle w:val="FootnoteReference"/>
                <w:rFonts w:eastAsia="Times New Roman"/>
                <w:color w:val="000000"/>
                <w:sz w:val="20"/>
              </w:rPr>
              <w:t xml:space="preserve"> </w:t>
            </w:r>
            <w:r w:rsidRPr="000111E7">
              <w:rPr>
                <w:rStyle w:val="FootnoteReference"/>
                <w:rFonts w:eastAsia="Times New Roman"/>
                <w:color w:val="000000"/>
                <w:sz w:val="20"/>
              </w:rPr>
              <w:footnoteReference w:id="36"/>
            </w:r>
          </w:p>
        </w:tc>
        <w:tc>
          <w:tcPr>
            <w:tcW w:w="1327" w:type="dxa"/>
            <w:noWrap/>
            <w:hideMark/>
          </w:tcPr>
          <w:p w14:paraId="2DBC6221" w14:textId="5687F819" w:rsidR="000111E7" w:rsidRPr="000111E7" w:rsidRDefault="000111E7" w:rsidP="000111E7">
            <w:pPr>
              <w:contextualSpacing/>
              <w:jc w:val="center"/>
              <w:rPr>
                <w:rFonts w:eastAsia="Times New Roman"/>
                <w:color w:val="000000"/>
                <w:sz w:val="20"/>
              </w:rPr>
            </w:pPr>
            <w:r w:rsidRPr="000111E7">
              <w:rPr>
                <w:sz w:val="20"/>
              </w:rPr>
              <w:t>659</w:t>
            </w:r>
          </w:p>
        </w:tc>
        <w:tc>
          <w:tcPr>
            <w:tcW w:w="1328" w:type="dxa"/>
            <w:noWrap/>
            <w:hideMark/>
          </w:tcPr>
          <w:p w14:paraId="2F0D495B" w14:textId="44FF789C" w:rsidR="000111E7" w:rsidRPr="000111E7" w:rsidRDefault="000111E7" w:rsidP="000111E7">
            <w:pPr>
              <w:contextualSpacing/>
              <w:jc w:val="center"/>
              <w:rPr>
                <w:rFonts w:eastAsia="Times New Roman"/>
                <w:color w:val="000000"/>
                <w:sz w:val="20"/>
              </w:rPr>
            </w:pPr>
            <w:r w:rsidRPr="000111E7">
              <w:rPr>
                <w:sz w:val="20"/>
              </w:rPr>
              <w:t>1.1%</w:t>
            </w:r>
          </w:p>
        </w:tc>
        <w:tc>
          <w:tcPr>
            <w:tcW w:w="1328" w:type="dxa"/>
            <w:noWrap/>
            <w:hideMark/>
          </w:tcPr>
          <w:p w14:paraId="2BC3F8D5" w14:textId="26B40D0B" w:rsidR="000111E7" w:rsidRPr="000111E7" w:rsidRDefault="000111E7" w:rsidP="000111E7">
            <w:pPr>
              <w:contextualSpacing/>
              <w:jc w:val="center"/>
              <w:rPr>
                <w:rFonts w:eastAsia="Times New Roman"/>
                <w:color w:val="000000"/>
                <w:sz w:val="20"/>
              </w:rPr>
            </w:pPr>
            <w:r w:rsidRPr="000111E7">
              <w:rPr>
                <w:sz w:val="20"/>
              </w:rPr>
              <w:t>631</w:t>
            </w:r>
          </w:p>
        </w:tc>
        <w:tc>
          <w:tcPr>
            <w:tcW w:w="1328" w:type="dxa"/>
            <w:noWrap/>
            <w:hideMark/>
          </w:tcPr>
          <w:p w14:paraId="182DD5E1" w14:textId="150C776D" w:rsidR="000111E7" w:rsidRPr="000111E7" w:rsidRDefault="000111E7" w:rsidP="000111E7">
            <w:pPr>
              <w:contextualSpacing/>
              <w:jc w:val="center"/>
              <w:rPr>
                <w:rFonts w:eastAsia="Times New Roman"/>
                <w:color w:val="000000"/>
                <w:sz w:val="20"/>
              </w:rPr>
            </w:pPr>
            <w:r w:rsidRPr="000111E7">
              <w:rPr>
                <w:sz w:val="20"/>
              </w:rPr>
              <w:t>1.0%</w:t>
            </w:r>
          </w:p>
        </w:tc>
        <w:tc>
          <w:tcPr>
            <w:tcW w:w="1328" w:type="dxa"/>
            <w:noWrap/>
            <w:hideMark/>
          </w:tcPr>
          <w:p w14:paraId="3172CBB1" w14:textId="469F29B2" w:rsidR="000111E7" w:rsidRPr="000111E7" w:rsidRDefault="000111E7" w:rsidP="000111E7">
            <w:pPr>
              <w:contextualSpacing/>
              <w:jc w:val="center"/>
              <w:rPr>
                <w:rFonts w:eastAsia="Times New Roman"/>
                <w:color w:val="000000"/>
                <w:sz w:val="20"/>
              </w:rPr>
            </w:pPr>
            <w:r w:rsidRPr="000111E7">
              <w:rPr>
                <w:sz w:val="20"/>
              </w:rPr>
              <w:t>871</w:t>
            </w:r>
          </w:p>
        </w:tc>
        <w:tc>
          <w:tcPr>
            <w:tcW w:w="1328" w:type="dxa"/>
            <w:noWrap/>
            <w:hideMark/>
          </w:tcPr>
          <w:p w14:paraId="1BFD0C8F" w14:textId="62E97688" w:rsidR="000111E7" w:rsidRPr="000111E7" w:rsidRDefault="000111E7" w:rsidP="000111E7">
            <w:pPr>
              <w:contextualSpacing/>
              <w:jc w:val="center"/>
              <w:rPr>
                <w:rFonts w:eastAsia="Times New Roman"/>
                <w:color w:val="000000"/>
                <w:sz w:val="20"/>
              </w:rPr>
            </w:pPr>
            <w:r w:rsidRPr="000111E7">
              <w:rPr>
                <w:sz w:val="20"/>
              </w:rPr>
              <w:t>1.2%</w:t>
            </w:r>
          </w:p>
        </w:tc>
      </w:tr>
    </w:tbl>
    <w:p w14:paraId="7D0EF2D1" w14:textId="36EEB514" w:rsidR="00C22FD4" w:rsidRPr="00FA1DD3" w:rsidRDefault="00C22FD4" w:rsidP="000111E7">
      <w:pPr>
        <w:spacing w:line="259" w:lineRule="auto"/>
        <w:jc w:val="center"/>
        <w:rPr>
          <w:b/>
          <w:bCs/>
          <w:szCs w:val="24"/>
        </w:rPr>
      </w:pPr>
      <w:r w:rsidRPr="00FA1DD3">
        <w:rPr>
          <w:b/>
          <w:bCs/>
          <w:szCs w:val="24"/>
        </w:rPr>
        <w:t xml:space="preserve">Table </w:t>
      </w:r>
      <w:r w:rsidR="008A4B72">
        <w:rPr>
          <w:b/>
          <w:bCs/>
          <w:szCs w:val="24"/>
        </w:rPr>
        <w:t>2</w:t>
      </w:r>
      <w:r w:rsidR="00090558">
        <w:rPr>
          <w:rStyle w:val="FootnoteReference"/>
          <w:b/>
          <w:bCs/>
          <w:szCs w:val="24"/>
        </w:rPr>
        <w:footnoteReference w:id="37"/>
      </w:r>
    </w:p>
    <w:p w14:paraId="3DA085B8" w14:textId="422F33A5" w:rsidR="00C02103" w:rsidRPr="00FA1DD3" w:rsidRDefault="00C22FD4" w:rsidP="00C02103">
      <w:pPr>
        <w:pStyle w:val="RBNBasicNoSpace"/>
        <w:spacing w:after="120"/>
        <w:contextualSpacing/>
        <w:jc w:val="center"/>
        <w:rPr>
          <w:b/>
          <w:bCs/>
          <w:szCs w:val="24"/>
        </w:rPr>
      </w:pPr>
      <w:r w:rsidRPr="00FA1DD3">
        <w:rPr>
          <w:b/>
          <w:bCs/>
          <w:szCs w:val="24"/>
        </w:rPr>
        <w:t xml:space="preserve">Total Unique </w:t>
      </w:r>
      <w:r w:rsidR="00BD0555">
        <w:rPr>
          <w:b/>
          <w:bCs/>
          <w:szCs w:val="24"/>
        </w:rPr>
        <w:t xml:space="preserve">Inpatient </w:t>
      </w:r>
      <w:r w:rsidRPr="00FA1DD3">
        <w:rPr>
          <w:b/>
          <w:bCs/>
          <w:szCs w:val="24"/>
        </w:rPr>
        <w:t>Patients, Demographics, and Geography</w:t>
      </w:r>
    </w:p>
    <w:tbl>
      <w:tblPr>
        <w:tblStyle w:val="TableGrid"/>
        <w:tblW w:w="10387" w:type="dxa"/>
        <w:jc w:val="center"/>
        <w:tblLayout w:type="fixed"/>
        <w:tblLook w:val="04A0" w:firstRow="1" w:lastRow="0" w:firstColumn="1" w:lastColumn="0" w:noHBand="0" w:noVBand="1"/>
      </w:tblPr>
      <w:tblGrid>
        <w:gridCol w:w="2420"/>
        <w:gridCol w:w="1327"/>
        <w:gridCol w:w="1328"/>
        <w:gridCol w:w="1328"/>
        <w:gridCol w:w="1328"/>
        <w:gridCol w:w="1328"/>
        <w:gridCol w:w="1328"/>
      </w:tblGrid>
      <w:tr w:rsidR="00005CA8" w:rsidRPr="006A437E" w14:paraId="1993ACB5" w14:textId="77777777" w:rsidTr="00585583">
        <w:trPr>
          <w:cantSplit/>
          <w:trHeight w:val="288"/>
          <w:tblHeader/>
          <w:jc w:val="center"/>
        </w:trPr>
        <w:tc>
          <w:tcPr>
            <w:tcW w:w="2420" w:type="dxa"/>
            <w:noWrap/>
            <w:hideMark/>
          </w:tcPr>
          <w:p w14:paraId="1F3659DD" w14:textId="77777777" w:rsidR="00005CA8" w:rsidRPr="006A437E" w:rsidRDefault="00005CA8" w:rsidP="00C02103">
            <w:pPr>
              <w:contextualSpacing/>
              <w:jc w:val="center"/>
              <w:rPr>
                <w:rFonts w:eastAsia="Times New Roman"/>
                <w:color w:val="000000"/>
                <w:sz w:val="22"/>
                <w:szCs w:val="22"/>
              </w:rPr>
            </w:pPr>
          </w:p>
        </w:tc>
        <w:tc>
          <w:tcPr>
            <w:tcW w:w="1327" w:type="dxa"/>
            <w:noWrap/>
            <w:hideMark/>
          </w:tcPr>
          <w:p w14:paraId="03224470" w14:textId="637662B7" w:rsidR="00005CA8" w:rsidRPr="006A437E" w:rsidRDefault="00103B35" w:rsidP="00C02103">
            <w:pPr>
              <w:contextualSpacing/>
              <w:jc w:val="center"/>
              <w:rPr>
                <w:rFonts w:eastAsia="Times New Roman"/>
                <w:color w:val="000000"/>
                <w:sz w:val="22"/>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00005CA8" w:rsidRPr="006A437E">
              <w:rPr>
                <w:rFonts w:eastAsia="Times New Roman"/>
                <w:color w:val="000000"/>
                <w:sz w:val="22"/>
                <w:szCs w:val="22"/>
              </w:rPr>
              <w:t>Count</w:t>
            </w:r>
          </w:p>
        </w:tc>
        <w:tc>
          <w:tcPr>
            <w:tcW w:w="1328" w:type="dxa"/>
            <w:noWrap/>
            <w:hideMark/>
          </w:tcPr>
          <w:p w14:paraId="54A8254C" w14:textId="11EF5E7F" w:rsidR="00005CA8" w:rsidRPr="006A437E" w:rsidRDefault="00103B35" w:rsidP="00C02103">
            <w:pPr>
              <w:contextualSpacing/>
              <w:jc w:val="center"/>
              <w:rPr>
                <w:rFonts w:eastAsia="Times New Roman"/>
                <w:color w:val="000000"/>
                <w:sz w:val="22"/>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00005CA8" w:rsidRPr="006A437E">
              <w:rPr>
                <w:rFonts w:eastAsia="Times New Roman"/>
                <w:color w:val="000000"/>
                <w:sz w:val="22"/>
                <w:szCs w:val="22"/>
              </w:rPr>
              <w:t>%</w:t>
            </w:r>
          </w:p>
        </w:tc>
        <w:tc>
          <w:tcPr>
            <w:tcW w:w="1328" w:type="dxa"/>
            <w:noWrap/>
            <w:hideMark/>
          </w:tcPr>
          <w:p w14:paraId="51ABBFAF" w14:textId="5CAF63F6" w:rsidR="00005CA8" w:rsidRPr="006A437E" w:rsidRDefault="00103B35" w:rsidP="00C02103">
            <w:pPr>
              <w:contextualSpacing/>
              <w:jc w:val="center"/>
              <w:rPr>
                <w:rFonts w:eastAsia="Times New Roman"/>
                <w:color w:val="000000"/>
                <w:sz w:val="22"/>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00005CA8" w:rsidRPr="006A437E">
              <w:rPr>
                <w:rFonts w:eastAsia="Times New Roman"/>
                <w:color w:val="000000"/>
                <w:sz w:val="22"/>
                <w:szCs w:val="22"/>
              </w:rPr>
              <w:t>Count</w:t>
            </w:r>
          </w:p>
        </w:tc>
        <w:tc>
          <w:tcPr>
            <w:tcW w:w="1328" w:type="dxa"/>
            <w:noWrap/>
            <w:hideMark/>
          </w:tcPr>
          <w:p w14:paraId="44E57CB5" w14:textId="1A767749" w:rsidR="00005CA8" w:rsidRPr="006A437E" w:rsidRDefault="00103B35" w:rsidP="00C02103">
            <w:pPr>
              <w:contextualSpacing/>
              <w:jc w:val="center"/>
              <w:rPr>
                <w:rFonts w:eastAsia="Times New Roman"/>
                <w:color w:val="000000"/>
                <w:sz w:val="22"/>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00005CA8" w:rsidRPr="006A437E">
              <w:rPr>
                <w:rFonts w:eastAsia="Times New Roman"/>
                <w:color w:val="000000"/>
                <w:sz w:val="22"/>
                <w:szCs w:val="22"/>
              </w:rPr>
              <w:t>%</w:t>
            </w:r>
          </w:p>
        </w:tc>
        <w:tc>
          <w:tcPr>
            <w:tcW w:w="1328" w:type="dxa"/>
            <w:noWrap/>
            <w:hideMark/>
          </w:tcPr>
          <w:p w14:paraId="32EE0751" w14:textId="694F8B5A" w:rsidR="00005CA8" w:rsidRPr="006A437E" w:rsidRDefault="00103B35" w:rsidP="00C02103">
            <w:pPr>
              <w:contextualSpacing/>
              <w:jc w:val="center"/>
              <w:rPr>
                <w:rFonts w:eastAsia="Times New Roman"/>
                <w:color w:val="000000"/>
                <w:sz w:val="22"/>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00005CA8" w:rsidRPr="006A437E">
              <w:rPr>
                <w:rFonts w:eastAsia="Times New Roman"/>
                <w:color w:val="000000"/>
                <w:sz w:val="22"/>
                <w:szCs w:val="22"/>
              </w:rPr>
              <w:t>Count</w:t>
            </w:r>
          </w:p>
        </w:tc>
        <w:tc>
          <w:tcPr>
            <w:tcW w:w="1328" w:type="dxa"/>
            <w:noWrap/>
            <w:hideMark/>
          </w:tcPr>
          <w:p w14:paraId="709B86EA" w14:textId="25C0B77B" w:rsidR="00005CA8" w:rsidRPr="006A437E" w:rsidRDefault="00103B35" w:rsidP="00C02103">
            <w:pPr>
              <w:contextualSpacing/>
              <w:jc w:val="center"/>
              <w:rPr>
                <w:rFonts w:eastAsia="Times New Roman"/>
                <w:color w:val="000000"/>
                <w:sz w:val="22"/>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00005CA8" w:rsidRPr="006A437E">
              <w:rPr>
                <w:rFonts w:eastAsia="Times New Roman"/>
                <w:color w:val="000000"/>
                <w:sz w:val="22"/>
                <w:szCs w:val="22"/>
              </w:rPr>
              <w:t>%</w:t>
            </w:r>
          </w:p>
        </w:tc>
      </w:tr>
      <w:tr w:rsidR="00005CA8" w:rsidRPr="006A437E" w14:paraId="2F6FDD53" w14:textId="77777777" w:rsidTr="00585583">
        <w:trPr>
          <w:cantSplit/>
          <w:trHeight w:val="288"/>
          <w:jc w:val="center"/>
        </w:trPr>
        <w:tc>
          <w:tcPr>
            <w:tcW w:w="2420" w:type="dxa"/>
            <w:noWrap/>
            <w:hideMark/>
          </w:tcPr>
          <w:p w14:paraId="51554C3B" w14:textId="77777777" w:rsidR="00005CA8" w:rsidRPr="006A437E" w:rsidRDefault="00005CA8" w:rsidP="00C02103">
            <w:pPr>
              <w:contextualSpacing/>
              <w:jc w:val="center"/>
              <w:rPr>
                <w:rFonts w:eastAsia="Times New Roman"/>
                <w:color w:val="000000"/>
                <w:sz w:val="22"/>
                <w:szCs w:val="22"/>
              </w:rPr>
            </w:pPr>
            <w:r w:rsidRPr="006A437E">
              <w:rPr>
                <w:rFonts w:eastAsia="Times New Roman"/>
                <w:color w:val="000000"/>
                <w:sz w:val="22"/>
                <w:szCs w:val="22"/>
              </w:rPr>
              <w:t>Total (unique patients)</w:t>
            </w:r>
          </w:p>
        </w:tc>
        <w:tc>
          <w:tcPr>
            <w:tcW w:w="1327" w:type="dxa"/>
            <w:noWrap/>
            <w:hideMark/>
          </w:tcPr>
          <w:p w14:paraId="505A6147" w14:textId="1707DDE0" w:rsidR="00005CA8" w:rsidRPr="006A437E" w:rsidRDefault="00005CA8" w:rsidP="00C02103">
            <w:pPr>
              <w:contextualSpacing/>
              <w:jc w:val="center"/>
              <w:rPr>
                <w:rFonts w:eastAsia="Times New Roman"/>
                <w:color w:val="000000"/>
                <w:sz w:val="22"/>
                <w:szCs w:val="22"/>
              </w:rPr>
            </w:pPr>
            <w:r w:rsidRPr="006A437E">
              <w:rPr>
                <w:rFonts w:eastAsia="Times New Roman"/>
                <w:color w:val="000000"/>
                <w:sz w:val="22"/>
                <w:szCs w:val="22"/>
              </w:rPr>
              <w:t>4,</w:t>
            </w:r>
            <w:r w:rsidR="002C5C43" w:rsidRPr="006A437E">
              <w:rPr>
                <w:rFonts w:eastAsia="Times New Roman"/>
                <w:color w:val="000000"/>
                <w:sz w:val="22"/>
                <w:szCs w:val="22"/>
              </w:rPr>
              <w:t>501</w:t>
            </w:r>
          </w:p>
        </w:tc>
        <w:tc>
          <w:tcPr>
            <w:tcW w:w="1328" w:type="dxa"/>
            <w:noWrap/>
            <w:hideMark/>
          </w:tcPr>
          <w:p w14:paraId="3652C593" w14:textId="77777777" w:rsidR="00005CA8" w:rsidRPr="006A437E" w:rsidRDefault="00005CA8" w:rsidP="00C02103">
            <w:pPr>
              <w:contextualSpacing/>
              <w:rPr>
                <w:rFonts w:eastAsia="Times New Roman"/>
                <w:color w:val="000000"/>
                <w:sz w:val="22"/>
                <w:szCs w:val="22"/>
              </w:rPr>
            </w:pPr>
          </w:p>
        </w:tc>
        <w:tc>
          <w:tcPr>
            <w:tcW w:w="1328" w:type="dxa"/>
            <w:noWrap/>
            <w:hideMark/>
          </w:tcPr>
          <w:p w14:paraId="207257A5" w14:textId="1C425FD4" w:rsidR="00005CA8" w:rsidRPr="006A437E" w:rsidRDefault="00005CA8" w:rsidP="00C02103">
            <w:pPr>
              <w:contextualSpacing/>
              <w:jc w:val="center"/>
              <w:rPr>
                <w:rFonts w:eastAsia="Times New Roman"/>
                <w:color w:val="000000"/>
                <w:sz w:val="22"/>
                <w:szCs w:val="22"/>
              </w:rPr>
            </w:pPr>
            <w:r w:rsidRPr="006A437E">
              <w:rPr>
                <w:rFonts w:eastAsia="Times New Roman"/>
                <w:color w:val="000000"/>
                <w:sz w:val="22"/>
                <w:szCs w:val="22"/>
              </w:rPr>
              <w:t>4,</w:t>
            </w:r>
            <w:r w:rsidR="002C5C43" w:rsidRPr="006A437E">
              <w:rPr>
                <w:rFonts w:eastAsia="Times New Roman"/>
                <w:color w:val="000000"/>
                <w:sz w:val="22"/>
                <w:szCs w:val="22"/>
              </w:rPr>
              <w:t>783</w:t>
            </w:r>
          </w:p>
        </w:tc>
        <w:tc>
          <w:tcPr>
            <w:tcW w:w="1328" w:type="dxa"/>
            <w:noWrap/>
            <w:hideMark/>
          </w:tcPr>
          <w:p w14:paraId="5D99141B" w14:textId="77777777" w:rsidR="00005CA8" w:rsidRPr="006A437E" w:rsidRDefault="00005CA8" w:rsidP="00C02103">
            <w:pPr>
              <w:contextualSpacing/>
              <w:rPr>
                <w:rFonts w:eastAsia="Times New Roman"/>
                <w:color w:val="000000"/>
                <w:sz w:val="22"/>
                <w:szCs w:val="22"/>
              </w:rPr>
            </w:pPr>
          </w:p>
        </w:tc>
        <w:tc>
          <w:tcPr>
            <w:tcW w:w="1328" w:type="dxa"/>
            <w:noWrap/>
            <w:hideMark/>
          </w:tcPr>
          <w:p w14:paraId="54A52E5E" w14:textId="31DFE1DC" w:rsidR="00005CA8" w:rsidRPr="006A437E" w:rsidRDefault="00005CA8" w:rsidP="00C02103">
            <w:pPr>
              <w:contextualSpacing/>
              <w:jc w:val="center"/>
              <w:rPr>
                <w:rFonts w:eastAsia="Times New Roman"/>
                <w:color w:val="000000"/>
                <w:sz w:val="22"/>
                <w:szCs w:val="22"/>
              </w:rPr>
            </w:pPr>
            <w:r w:rsidRPr="006A437E">
              <w:rPr>
                <w:rFonts w:eastAsia="Times New Roman"/>
                <w:color w:val="000000"/>
                <w:sz w:val="22"/>
                <w:szCs w:val="22"/>
              </w:rPr>
              <w:t>4,</w:t>
            </w:r>
            <w:r w:rsidR="002C5C43" w:rsidRPr="006A437E">
              <w:rPr>
                <w:rFonts w:eastAsia="Times New Roman"/>
                <w:color w:val="000000"/>
                <w:sz w:val="22"/>
                <w:szCs w:val="22"/>
              </w:rPr>
              <w:t>887</w:t>
            </w:r>
          </w:p>
        </w:tc>
        <w:tc>
          <w:tcPr>
            <w:tcW w:w="1328" w:type="dxa"/>
            <w:noWrap/>
            <w:hideMark/>
          </w:tcPr>
          <w:p w14:paraId="5FF0AED4" w14:textId="77777777" w:rsidR="00005CA8" w:rsidRPr="006A437E" w:rsidRDefault="00005CA8" w:rsidP="00C02103">
            <w:pPr>
              <w:contextualSpacing/>
              <w:jc w:val="center"/>
              <w:rPr>
                <w:rFonts w:eastAsia="Times New Roman"/>
                <w:color w:val="000000"/>
                <w:sz w:val="22"/>
                <w:szCs w:val="22"/>
              </w:rPr>
            </w:pPr>
          </w:p>
        </w:tc>
      </w:tr>
      <w:tr w:rsidR="00005CA8" w:rsidRPr="006A437E" w14:paraId="5D1220CD" w14:textId="77777777" w:rsidTr="00585583">
        <w:trPr>
          <w:cantSplit/>
          <w:trHeight w:val="288"/>
          <w:jc w:val="center"/>
        </w:trPr>
        <w:tc>
          <w:tcPr>
            <w:tcW w:w="2420" w:type="dxa"/>
            <w:noWrap/>
            <w:hideMark/>
          </w:tcPr>
          <w:p w14:paraId="18658604" w14:textId="77777777" w:rsidR="00005CA8" w:rsidRPr="006A437E" w:rsidRDefault="00005CA8" w:rsidP="00C02103">
            <w:pPr>
              <w:contextualSpacing/>
              <w:jc w:val="center"/>
              <w:rPr>
                <w:rFonts w:eastAsia="Times New Roman"/>
                <w:b/>
                <w:bCs/>
                <w:color w:val="000000"/>
                <w:sz w:val="22"/>
                <w:szCs w:val="22"/>
              </w:rPr>
            </w:pPr>
            <w:r w:rsidRPr="006A437E">
              <w:rPr>
                <w:rFonts w:eastAsia="Times New Roman"/>
                <w:b/>
                <w:bCs/>
                <w:color w:val="000000"/>
                <w:sz w:val="22"/>
                <w:szCs w:val="22"/>
              </w:rPr>
              <w:lastRenderedPageBreak/>
              <w:t>Gender</w:t>
            </w:r>
          </w:p>
        </w:tc>
        <w:tc>
          <w:tcPr>
            <w:tcW w:w="1327" w:type="dxa"/>
            <w:noWrap/>
          </w:tcPr>
          <w:p w14:paraId="09D2F995"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7DBD9075"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6C5BD5B5"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1A226EAD"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35FCA84F"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38D1A0C9" w14:textId="77777777" w:rsidR="00005CA8" w:rsidRPr="006A437E" w:rsidRDefault="00005CA8" w:rsidP="00C02103">
            <w:pPr>
              <w:contextualSpacing/>
              <w:jc w:val="center"/>
              <w:rPr>
                <w:rFonts w:eastAsia="Times New Roman"/>
                <w:color w:val="000000"/>
                <w:sz w:val="22"/>
                <w:szCs w:val="22"/>
              </w:rPr>
            </w:pPr>
          </w:p>
        </w:tc>
      </w:tr>
      <w:tr w:rsidR="007241D9" w:rsidRPr="006A437E" w14:paraId="1DA57D8F" w14:textId="77777777" w:rsidTr="00585583">
        <w:trPr>
          <w:cantSplit/>
          <w:trHeight w:val="288"/>
          <w:jc w:val="center"/>
        </w:trPr>
        <w:tc>
          <w:tcPr>
            <w:tcW w:w="2420" w:type="dxa"/>
            <w:noWrap/>
            <w:hideMark/>
          </w:tcPr>
          <w:p w14:paraId="1B8133E3" w14:textId="77777777"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Female</w:t>
            </w:r>
          </w:p>
        </w:tc>
        <w:tc>
          <w:tcPr>
            <w:tcW w:w="1327" w:type="dxa"/>
            <w:noWrap/>
            <w:hideMark/>
          </w:tcPr>
          <w:p w14:paraId="46B05605" w14:textId="0BF37ED6" w:rsidR="007241D9" w:rsidRPr="006A437E" w:rsidRDefault="007241D9" w:rsidP="00C02103">
            <w:pPr>
              <w:contextualSpacing/>
              <w:jc w:val="center"/>
              <w:rPr>
                <w:rFonts w:eastAsia="Times New Roman"/>
                <w:color w:val="000000"/>
                <w:sz w:val="22"/>
                <w:szCs w:val="22"/>
              </w:rPr>
            </w:pPr>
            <w:r w:rsidRPr="006A437E">
              <w:rPr>
                <w:sz w:val="22"/>
                <w:szCs w:val="22"/>
              </w:rPr>
              <w:t xml:space="preserve"> 2,245 </w:t>
            </w:r>
          </w:p>
        </w:tc>
        <w:tc>
          <w:tcPr>
            <w:tcW w:w="1328" w:type="dxa"/>
            <w:noWrap/>
            <w:hideMark/>
          </w:tcPr>
          <w:p w14:paraId="75E0CD63" w14:textId="43736965" w:rsidR="007241D9" w:rsidRPr="006A437E" w:rsidRDefault="007241D9" w:rsidP="00C02103">
            <w:pPr>
              <w:tabs>
                <w:tab w:val="left" w:pos="803"/>
              </w:tabs>
              <w:ind w:right="41"/>
              <w:contextualSpacing/>
              <w:jc w:val="right"/>
              <w:rPr>
                <w:rFonts w:eastAsia="Times New Roman"/>
                <w:color w:val="000000"/>
                <w:sz w:val="22"/>
                <w:szCs w:val="22"/>
              </w:rPr>
            </w:pPr>
            <w:r w:rsidRPr="006A437E">
              <w:rPr>
                <w:rFonts w:eastAsia="Times New Roman"/>
                <w:color w:val="000000"/>
                <w:sz w:val="22"/>
                <w:szCs w:val="22"/>
              </w:rPr>
              <w:t>49.</w:t>
            </w:r>
            <w:r w:rsidR="006C2E56" w:rsidRPr="006A437E">
              <w:rPr>
                <w:rFonts w:eastAsia="Times New Roman"/>
                <w:color w:val="000000"/>
                <w:sz w:val="22"/>
                <w:szCs w:val="22"/>
              </w:rPr>
              <w:t xml:space="preserve">9 </w:t>
            </w:r>
            <w:r w:rsidRPr="006A437E">
              <w:rPr>
                <w:rFonts w:eastAsia="Times New Roman"/>
                <w:color w:val="000000"/>
                <w:sz w:val="22"/>
                <w:szCs w:val="22"/>
              </w:rPr>
              <w:t xml:space="preserve"> </w:t>
            </w:r>
            <w:r w:rsidR="006C2E56" w:rsidRPr="006A437E">
              <w:rPr>
                <w:rFonts w:eastAsia="Times New Roman"/>
                <w:color w:val="000000"/>
                <w:sz w:val="22"/>
                <w:szCs w:val="22"/>
              </w:rPr>
              <w:t xml:space="preserve"> </w:t>
            </w:r>
            <w:r w:rsidRPr="006A437E">
              <w:rPr>
                <w:rFonts w:eastAsia="Times New Roman"/>
                <w:color w:val="000000"/>
                <w:sz w:val="22"/>
                <w:szCs w:val="22"/>
              </w:rPr>
              <w:t>%</w:t>
            </w:r>
          </w:p>
        </w:tc>
        <w:tc>
          <w:tcPr>
            <w:tcW w:w="1328" w:type="dxa"/>
            <w:noWrap/>
            <w:hideMark/>
          </w:tcPr>
          <w:p w14:paraId="4C344B6C" w14:textId="4524E131" w:rsidR="007241D9" w:rsidRPr="006A437E" w:rsidRDefault="007241D9" w:rsidP="00C02103">
            <w:pPr>
              <w:contextualSpacing/>
              <w:jc w:val="center"/>
              <w:rPr>
                <w:rFonts w:eastAsia="Times New Roman"/>
                <w:color w:val="000000"/>
                <w:sz w:val="22"/>
                <w:szCs w:val="22"/>
              </w:rPr>
            </w:pPr>
            <w:r w:rsidRPr="006A437E">
              <w:rPr>
                <w:sz w:val="22"/>
                <w:szCs w:val="22"/>
              </w:rPr>
              <w:t xml:space="preserve"> 2,361 </w:t>
            </w:r>
          </w:p>
        </w:tc>
        <w:tc>
          <w:tcPr>
            <w:tcW w:w="1328" w:type="dxa"/>
            <w:noWrap/>
            <w:hideMark/>
          </w:tcPr>
          <w:p w14:paraId="0D3E3CD6" w14:textId="1613E43B" w:rsidR="007241D9" w:rsidRPr="006A437E" w:rsidRDefault="007241D9" w:rsidP="00C02103">
            <w:pPr>
              <w:ind w:right="86"/>
              <w:contextualSpacing/>
              <w:jc w:val="right"/>
              <w:rPr>
                <w:rFonts w:eastAsia="Times New Roman"/>
                <w:color w:val="000000"/>
                <w:sz w:val="22"/>
                <w:szCs w:val="22"/>
              </w:rPr>
            </w:pPr>
            <w:r w:rsidRPr="006A437E">
              <w:rPr>
                <w:rFonts w:eastAsia="Times New Roman"/>
                <w:color w:val="000000"/>
                <w:sz w:val="22"/>
                <w:szCs w:val="22"/>
              </w:rPr>
              <w:t>49.</w:t>
            </w:r>
            <w:r w:rsidR="006C2E56" w:rsidRPr="006A437E">
              <w:rPr>
                <w:rFonts w:eastAsia="Times New Roman"/>
                <w:color w:val="000000"/>
                <w:sz w:val="22"/>
                <w:szCs w:val="22"/>
              </w:rPr>
              <w:t>4</w:t>
            </w:r>
            <w:r w:rsidRPr="006A437E">
              <w:rPr>
                <w:rFonts w:eastAsia="Times New Roman"/>
                <w:color w:val="000000"/>
                <w:sz w:val="22"/>
                <w:szCs w:val="22"/>
              </w:rPr>
              <w:t xml:space="preserve">  %</w:t>
            </w:r>
          </w:p>
        </w:tc>
        <w:tc>
          <w:tcPr>
            <w:tcW w:w="1328" w:type="dxa"/>
            <w:noWrap/>
            <w:hideMark/>
          </w:tcPr>
          <w:p w14:paraId="27B0A5FA" w14:textId="304A5085" w:rsidR="007241D9" w:rsidRPr="006A437E" w:rsidRDefault="007241D9" w:rsidP="00C02103">
            <w:pPr>
              <w:contextualSpacing/>
              <w:jc w:val="center"/>
              <w:rPr>
                <w:rFonts w:eastAsia="Times New Roman"/>
                <w:color w:val="000000"/>
                <w:sz w:val="22"/>
                <w:szCs w:val="22"/>
              </w:rPr>
            </w:pPr>
            <w:r w:rsidRPr="006A437E">
              <w:rPr>
                <w:sz w:val="22"/>
                <w:szCs w:val="22"/>
              </w:rPr>
              <w:t xml:space="preserve"> 2,424 </w:t>
            </w:r>
          </w:p>
        </w:tc>
        <w:tc>
          <w:tcPr>
            <w:tcW w:w="1328" w:type="dxa"/>
            <w:noWrap/>
            <w:hideMark/>
          </w:tcPr>
          <w:p w14:paraId="3EDC1F31" w14:textId="7B24979E" w:rsidR="007241D9" w:rsidRPr="006A437E" w:rsidRDefault="007241D9" w:rsidP="00C02103">
            <w:pPr>
              <w:tabs>
                <w:tab w:val="left" w:pos="796"/>
              </w:tabs>
              <w:contextualSpacing/>
              <w:jc w:val="right"/>
              <w:rPr>
                <w:rFonts w:eastAsia="Times New Roman"/>
                <w:color w:val="000000"/>
                <w:sz w:val="22"/>
                <w:szCs w:val="22"/>
              </w:rPr>
            </w:pPr>
            <w:r w:rsidRPr="006A437E">
              <w:rPr>
                <w:rFonts w:eastAsia="Times New Roman"/>
                <w:color w:val="000000"/>
                <w:sz w:val="22"/>
                <w:szCs w:val="22"/>
              </w:rPr>
              <w:t>49.6   %</w:t>
            </w:r>
          </w:p>
        </w:tc>
      </w:tr>
      <w:tr w:rsidR="007241D9" w:rsidRPr="006A437E" w14:paraId="69B65194" w14:textId="77777777" w:rsidTr="00585583">
        <w:trPr>
          <w:cantSplit/>
          <w:trHeight w:val="288"/>
          <w:jc w:val="center"/>
        </w:trPr>
        <w:tc>
          <w:tcPr>
            <w:tcW w:w="2420" w:type="dxa"/>
            <w:noWrap/>
            <w:hideMark/>
          </w:tcPr>
          <w:p w14:paraId="70CE99DC" w14:textId="77777777"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Male</w:t>
            </w:r>
          </w:p>
        </w:tc>
        <w:tc>
          <w:tcPr>
            <w:tcW w:w="1327" w:type="dxa"/>
            <w:noWrap/>
            <w:hideMark/>
          </w:tcPr>
          <w:p w14:paraId="40F16EA1" w14:textId="45B9CCD0" w:rsidR="007241D9" w:rsidRPr="006A437E" w:rsidRDefault="007241D9" w:rsidP="00C02103">
            <w:pPr>
              <w:contextualSpacing/>
              <w:jc w:val="center"/>
              <w:rPr>
                <w:rFonts w:eastAsia="Times New Roman"/>
                <w:color w:val="000000"/>
                <w:sz w:val="22"/>
                <w:szCs w:val="22"/>
              </w:rPr>
            </w:pPr>
            <w:r w:rsidRPr="006A437E">
              <w:rPr>
                <w:sz w:val="22"/>
                <w:szCs w:val="22"/>
              </w:rPr>
              <w:t xml:space="preserve"> 2,239 </w:t>
            </w:r>
          </w:p>
        </w:tc>
        <w:tc>
          <w:tcPr>
            <w:tcW w:w="1328" w:type="dxa"/>
            <w:noWrap/>
            <w:hideMark/>
          </w:tcPr>
          <w:p w14:paraId="092DEAF0" w14:textId="7AC348EC"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49.7</w:t>
            </w:r>
          </w:p>
        </w:tc>
        <w:tc>
          <w:tcPr>
            <w:tcW w:w="1328" w:type="dxa"/>
            <w:noWrap/>
            <w:hideMark/>
          </w:tcPr>
          <w:p w14:paraId="419AA180" w14:textId="5220CEC7" w:rsidR="007241D9" w:rsidRPr="006A437E" w:rsidRDefault="007241D9" w:rsidP="00C02103">
            <w:pPr>
              <w:contextualSpacing/>
              <w:jc w:val="center"/>
              <w:rPr>
                <w:rFonts w:eastAsia="Times New Roman"/>
                <w:color w:val="000000"/>
                <w:sz w:val="22"/>
                <w:szCs w:val="22"/>
              </w:rPr>
            </w:pPr>
            <w:r w:rsidRPr="006A437E">
              <w:rPr>
                <w:sz w:val="22"/>
                <w:szCs w:val="22"/>
              </w:rPr>
              <w:t xml:space="preserve"> 2,368 </w:t>
            </w:r>
          </w:p>
        </w:tc>
        <w:tc>
          <w:tcPr>
            <w:tcW w:w="1328" w:type="dxa"/>
            <w:noWrap/>
            <w:hideMark/>
          </w:tcPr>
          <w:p w14:paraId="64327AB3" w14:textId="36CAEACA"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49.5</w:t>
            </w:r>
          </w:p>
        </w:tc>
        <w:tc>
          <w:tcPr>
            <w:tcW w:w="1328" w:type="dxa"/>
            <w:noWrap/>
            <w:hideMark/>
          </w:tcPr>
          <w:p w14:paraId="7F99FEA3" w14:textId="499E9904" w:rsidR="007241D9" w:rsidRPr="006A437E" w:rsidRDefault="007241D9" w:rsidP="00C02103">
            <w:pPr>
              <w:contextualSpacing/>
              <w:jc w:val="center"/>
              <w:rPr>
                <w:rFonts w:eastAsia="Times New Roman"/>
                <w:color w:val="000000"/>
                <w:sz w:val="22"/>
                <w:szCs w:val="22"/>
              </w:rPr>
            </w:pPr>
            <w:r w:rsidRPr="006A437E">
              <w:rPr>
                <w:sz w:val="22"/>
                <w:szCs w:val="22"/>
              </w:rPr>
              <w:t xml:space="preserve"> 2,443 </w:t>
            </w:r>
          </w:p>
        </w:tc>
        <w:tc>
          <w:tcPr>
            <w:tcW w:w="1328" w:type="dxa"/>
            <w:noWrap/>
            <w:hideMark/>
          </w:tcPr>
          <w:p w14:paraId="51CABCB5" w14:textId="45D99078"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50.0</w:t>
            </w:r>
          </w:p>
        </w:tc>
      </w:tr>
      <w:tr w:rsidR="007241D9" w:rsidRPr="006A437E" w14:paraId="084C68AD" w14:textId="77777777" w:rsidTr="00585583">
        <w:trPr>
          <w:cantSplit/>
          <w:trHeight w:val="288"/>
          <w:jc w:val="center"/>
        </w:trPr>
        <w:tc>
          <w:tcPr>
            <w:tcW w:w="2420" w:type="dxa"/>
            <w:noWrap/>
            <w:hideMark/>
          </w:tcPr>
          <w:p w14:paraId="12649534" w14:textId="77777777"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Unknown</w:t>
            </w:r>
          </w:p>
        </w:tc>
        <w:tc>
          <w:tcPr>
            <w:tcW w:w="1327" w:type="dxa"/>
            <w:noWrap/>
            <w:hideMark/>
          </w:tcPr>
          <w:p w14:paraId="37BC97B9" w14:textId="1FEB0E63" w:rsidR="007241D9" w:rsidRPr="006A437E" w:rsidRDefault="007241D9" w:rsidP="00C02103">
            <w:pPr>
              <w:contextualSpacing/>
              <w:jc w:val="center"/>
              <w:rPr>
                <w:rFonts w:eastAsia="Times New Roman"/>
                <w:color w:val="000000"/>
                <w:sz w:val="22"/>
                <w:szCs w:val="22"/>
              </w:rPr>
            </w:pPr>
            <w:r w:rsidRPr="006A437E">
              <w:rPr>
                <w:sz w:val="22"/>
                <w:szCs w:val="22"/>
              </w:rPr>
              <w:t xml:space="preserve"> 17 </w:t>
            </w:r>
          </w:p>
        </w:tc>
        <w:tc>
          <w:tcPr>
            <w:tcW w:w="1328" w:type="dxa"/>
            <w:noWrap/>
            <w:hideMark/>
          </w:tcPr>
          <w:p w14:paraId="59157803" w14:textId="3106373C"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0.</w:t>
            </w:r>
            <w:r w:rsidR="0023038B" w:rsidRPr="006A437E">
              <w:rPr>
                <w:rFonts w:eastAsia="Times New Roman"/>
                <w:color w:val="000000"/>
                <w:sz w:val="22"/>
                <w:szCs w:val="22"/>
              </w:rPr>
              <w:t>4</w:t>
            </w:r>
          </w:p>
        </w:tc>
        <w:tc>
          <w:tcPr>
            <w:tcW w:w="1328" w:type="dxa"/>
            <w:noWrap/>
            <w:hideMark/>
          </w:tcPr>
          <w:p w14:paraId="27A9E2D5" w14:textId="75A4C57A" w:rsidR="007241D9" w:rsidRPr="006A437E" w:rsidRDefault="007241D9" w:rsidP="00C02103">
            <w:pPr>
              <w:contextualSpacing/>
              <w:jc w:val="center"/>
              <w:rPr>
                <w:rFonts w:eastAsia="Times New Roman"/>
                <w:color w:val="000000"/>
                <w:sz w:val="22"/>
                <w:szCs w:val="22"/>
              </w:rPr>
            </w:pPr>
            <w:r w:rsidRPr="006A437E">
              <w:rPr>
                <w:sz w:val="22"/>
                <w:szCs w:val="22"/>
              </w:rPr>
              <w:t xml:space="preserve"> 5</w:t>
            </w:r>
            <w:r w:rsidR="002B5D4B">
              <w:rPr>
                <w:sz w:val="22"/>
                <w:szCs w:val="22"/>
              </w:rPr>
              <w:t>4</w:t>
            </w:r>
            <w:r w:rsidRPr="006A437E">
              <w:rPr>
                <w:sz w:val="22"/>
                <w:szCs w:val="22"/>
              </w:rPr>
              <w:t xml:space="preserve"> </w:t>
            </w:r>
          </w:p>
        </w:tc>
        <w:tc>
          <w:tcPr>
            <w:tcW w:w="1328" w:type="dxa"/>
            <w:noWrap/>
            <w:hideMark/>
          </w:tcPr>
          <w:p w14:paraId="3B6FD3C1" w14:textId="14277B03"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1.1</w:t>
            </w:r>
          </w:p>
        </w:tc>
        <w:tc>
          <w:tcPr>
            <w:tcW w:w="1328" w:type="dxa"/>
            <w:noWrap/>
            <w:hideMark/>
          </w:tcPr>
          <w:p w14:paraId="4C1B6CCD" w14:textId="359A01E6" w:rsidR="007241D9" w:rsidRPr="006A437E" w:rsidRDefault="007241D9" w:rsidP="00C02103">
            <w:pPr>
              <w:contextualSpacing/>
              <w:jc w:val="center"/>
              <w:rPr>
                <w:rFonts w:eastAsia="Times New Roman"/>
                <w:color w:val="000000"/>
                <w:sz w:val="22"/>
                <w:szCs w:val="22"/>
              </w:rPr>
            </w:pPr>
            <w:r w:rsidRPr="006A437E">
              <w:rPr>
                <w:sz w:val="22"/>
                <w:szCs w:val="22"/>
              </w:rPr>
              <w:t xml:space="preserve"> 1</w:t>
            </w:r>
            <w:r w:rsidR="002B5D4B">
              <w:rPr>
                <w:sz w:val="22"/>
                <w:szCs w:val="22"/>
              </w:rPr>
              <w:t>9</w:t>
            </w:r>
            <w:r w:rsidRPr="006A437E">
              <w:rPr>
                <w:sz w:val="22"/>
                <w:szCs w:val="22"/>
              </w:rPr>
              <w:t xml:space="preserve"> </w:t>
            </w:r>
          </w:p>
        </w:tc>
        <w:tc>
          <w:tcPr>
            <w:tcW w:w="1328" w:type="dxa"/>
            <w:noWrap/>
            <w:hideMark/>
          </w:tcPr>
          <w:p w14:paraId="5329DE92" w14:textId="4F601BE6" w:rsidR="007241D9" w:rsidRPr="006A437E" w:rsidRDefault="007241D9" w:rsidP="00C02103">
            <w:pPr>
              <w:contextualSpacing/>
              <w:jc w:val="center"/>
              <w:rPr>
                <w:rFonts w:eastAsia="Times New Roman"/>
                <w:color w:val="000000"/>
                <w:sz w:val="22"/>
                <w:szCs w:val="22"/>
              </w:rPr>
            </w:pPr>
            <w:r w:rsidRPr="006A437E">
              <w:rPr>
                <w:rFonts w:eastAsia="Times New Roman"/>
                <w:color w:val="000000"/>
                <w:sz w:val="22"/>
                <w:szCs w:val="22"/>
              </w:rPr>
              <w:t>0.</w:t>
            </w:r>
            <w:r w:rsidR="006C2E56" w:rsidRPr="006A437E">
              <w:rPr>
                <w:rFonts w:eastAsia="Times New Roman"/>
                <w:color w:val="000000"/>
                <w:sz w:val="22"/>
                <w:szCs w:val="22"/>
              </w:rPr>
              <w:t>4</w:t>
            </w:r>
          </w:p>
        </w:tc>
      </w:tr>
      <w:tr w:rsidR="00005CA8" w:rsidRPr="006A437E" w14:paraId="6E1225A1" w14:textId="77777777" w:rsidTr="00585583">
        <w:trPr>
          <w:cantSplit/>
          <w:trHeight w:val="288"/>
          <w:jc w:val="center"/>
        </w:trPr>
        <w:tc>
          <w:tcPr>
            <w:tcW w:w="2420" w:type="dxa"/>
            <w:noWrap/>
            <w:hideMark/>
          </w:tcPr>
          <w:p w14:paraId="7E4CC63A" w14:textId="77777777" w:rsidR="00005CA8" w:rsidRPr="006A437E" w:rsidRDefault="00005CA8" w:rsidP="00C02103">
            <w:pPr>
              <w:contextualSpacing/>
              <w:jc w:val="center"/>
              <w:rPr>
                <w:rFonts w:eastAsia="Times New Roman"/>
                <w:b/>
                <w:bCs/>
                <w:color w:val="000000"/>
                <w:sz w:val="22"/>
                <w:szCs w:val="22"/>
              </w:rPr>
            </w:pPr>
            <w:r w:rsidRPr="006A437E">
              <w:rPr>
                <w:rFonts w:eastAsia="Times New Roman"/>
                <w:b/>
                <w:bCs/>
                <w:color w:val="000000"/>
                <w:sz w:val="22"/>
                <w:szCs w:val="22"/>
              </w:rPr>
              <w:t>Race &amp; Ethnicity</w:t>
            </w:r>
          </w:p>
        </w:tc>
        <w:tc>
          <w:tcPr>
            <w:tcW w:w="1327" w:type="dxa"/>
            <w:noWrap/>
          </w:tcPr>
          <w:p w14:paraId="625D9741"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3B807FF1"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4BB90689"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143C8246"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705E7C5C"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73D5D9D1" w14:textId="77777777" w:rsidR="00005CA8" w:rsidRPr="006A437E" w:rsidRDefault="00005CA8" w:rsidP="00C02103">
            <w:pPr>
              <w:contextualSpacing/>
              <w:jc w:val="center"/>
              <w:rPr>
                <w:rFonts w:eastAsia="Times New Roman"/>
                <w:color w:val="000000"/>
                <w:sz w:val="22"/>
                <w:szCs w:val="22"/>
              </w:rPr>
            </w:pPr>
          </w:p>
        </w:tc>
      </w:tr>
      <w:tr w:rsidR="00240738" w:rsidRPr="006A437E" w14:paraId="70D7913E" w14:textId="77777777" w:rsidTr="00585583">
        <w:trPr>
          <w:cantSplit/>
          <w:trHeight w:val="288"/>
          <w:jc w:val="center"/>
        </w:trPr>
        <w:tc>
          <w:tcPr>
            <w:tcW w:w="2420" w:type="dxa"/>
            <w:noWrap/>
            <w:hideMark/>
          </w:tcPr>
          <w:p w14:paraId="493A7152" w14:textId="77777777"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Asian Non-Hispanic or Latino</w:t>
            </w:r>
          </w:p>
        </w:tc>
        <w:tc>
          <w:tcPr>
            <w:tcW w:w="1327" w:type="dxa"/>
            <w:noWrap/>
            <w:hideMark/>
          </w:tcPr>
          <w:p w14:paraId="621A3CEA" w14:textId="1F481FD1" w:rsidR="00240738" w:rsidRPr="006A437E" w:rsidRDefault="00240738" w:rsidP="00C02103">
            <w:pPr>
              <w:contextualSpacing/>
              <w:jc w:val="center"/>
              <w:rPr>
                <w:sz w:val="22"/>
                <w:szCs w:val="22"/>
              </w:rPr>
            </w:pPr>
            <w:r w:rsidRPr="006A437E">
              <w:rPr>
                <w:sz w:val="22"/>
                <w:szCs w:val="22"/>
              </w:rPr>
              <w:t>173</w:t>
            </w:r>
          </w:p>
        </w:tc>
        <w:tc>
          <w:tcPr>
            <w:tcW w:w="1328" w:type="dxa"/>
            <w:noWrap/>
            <w:hideMark/>
          </w:tcPr>
          <w:p w14:paraId="239FCCF4" w14:textId="135BCA9D" w:rsidR="00240738" w:rsidRPr="006A437E" w:rsidRDefault="00240738" w:rsidP="00C02103">
            <w:pPr>
              <w:contextualSpacing/>
              <w:jc w:val="center"/>
              <w:rPr>
                <w:rFonts w:eastAsia="Times New Roman"/>
                <w:color w:val="000000"/>
                <w:sz w:val="22"/>
                <w:szCs w:val="22"/>
              </w:rPr>
            </w:pPr>
            <w:r w:rsidRPr="006A437E">
              <w:rPr>
                <w:sz w:val="22"/>
                <w:szCs w:val="22"/>
              </w:rPr>
              <w:t>3.8</w:t>
            </w:r>
          </w:p>
        </w:tc>
        <w:tc>
          <w:tcPr>
            <w:tcW w:w="1328" w:type="dxa"/>
            <w:noWrap/>
            <w:hideMark/>
          </w:tcPr>
          <w:p w14:paraId="44866E5A" w14:textId="503ED02E" w:rsidR="00240738" w:rsidRPr="006A437E" w:rsidRDefault="002B5D4B" w:rsidP="00C02103">
            <w:pPr>
              <w:contextualSpacing/>
              <w:jc w:val="center"/>
              <w:rPr>
                <w:rFonts w:eastAsia="Times New Roman"/>
                <w:color w:val="000000"/>
                <w:sz w:val="22"/>
                <w:szCs w:val="22"/>
              </w:rPr>
            </w:pPr>
            <w:r w:rsidRPr="006A437E">
              <w:rPr>
                <w:rFonts w:eastAsia="Times New Roman"/>
                <w:color w:val="000000"/>
                <w:sz w:val="22"/>
                <w:szCs w:val="22"/>
              </w:rPr>
              <w:t>17</w:t>
            </w:r>
            <w:r>
              <w:rPr>
                <w:rFonts w:eastAsia="Times New Roman"/>
                <w:color w:val="000000"/>
                <w:sz w:val="22"/>
                <w:szCs w:val="22"/>
              </w:rPr>
              <w:t>2</w:t>
            </w:r>
          </w:p>
        </w:tc>
        <w:tc>
          <w:tcPr>
            <w:tcW w:w="1328" w:type="dxa"/>
            <w:noWrap/>
            <w:hideMark/>
          </w:tcPr>
          <w:p w14:paraId="744457FF" w14:textId="77EC9A2F" w:rsidR="00240738" w:rsidRPr="006A437E" w:rsidRDefault="00240738" w:rsidP="00C02103">
            <w:pPr>
              <w:contextualSpacing/>
              <w:jc w:val="center"/>
              <w:rPr>
                <w:rFonts w:eastAsia="Times New Roman"/>
                <w:color w:val="000000"/>
                <w:sz w:val="22"/>
                <w:szCs w:val="22"/>
              </w:rPr>
            </w:pPr>
            <w:r w:rsidRPr="006A437E">
              <w:rPr>
                <w:sz w:val="22"/>
                <w:szCs w:val="22"/>
              </w:rPr>
              <w:t>3.</w:t>
            </w:r>
            <w:r w:rsidR="006C2E56" w:rsidRPr="006A437E">
              <w:rPr>
                <w:sz w:val="22"/>
                <w:szCs w:val="22"/>
              </w:rPr>
              <w:t>7</w:t>
            </w:r>
          </w:p>
        </w:tc>
        <w:tc>
          <w:tcPr>
            <w:tcW w:w="1328" w:type="dxa"/>
            <w:noWrap/>
            <w:hideMark/>
          </w:tcPr>
          <w:p w14:paraId="7CF0C1A7" w14:textId="43469608" w:rsidR="00240738" w:rsidRPr="006A437E" w:rsidRDefault="00240738" w:rsidP="00C02103">
            <w:pPr>
              <w:contextualSpacing/>
              <w:jc w:val="center"/>
              <w:rPr>
                <w:rFonts w:eastAsia="Times New Roman"/>
                <w:color w:val="000000"/>
                <w:sz w:val="22"/>
                <w:szCs w:val="22"/>
              </w:rPr>
            </w:pPr>
            <w:r w:rsidRPr="006A437E">
              <w:rPr>
                <w:sz w:val="22"/>
                <w:szCs w:val="22"/>
              </w:rPr>
              <w:t>181</w:t>
            </w:r>
          </w:p>
        </w:tc>
        <w:tc>
          <w:tcPr>
            <w:tcW w:w="1328" w:type="dxa"/>
            <w:noWrap/>
            <w:hideMark/>
          </w:tcPr>
          <w:p w14:paraId="3B4212CA" w14:textId="56D9B964" w:rsidR="00240738" w:rsidRPr="006A437E" w:rsidRDefault="00240738" w:rsidP="00C02103">
            <w:pPr>
              <w:contextualSpacing/>
              <w:jc w:val="center"/>
              <w:rPr>
                <w:rFonts w:eastAsia="Times New Roman"/>
                <w:color w:val="000000"/>
                <w:sz w:val="22"/>
                <w:szCs w:val="22"/>
              </w:rPr>
            </w:pPr>
            <w:r w:rsidRPr="006A437E">
              <w:rPr>
                <w:sz w:val="22"/>
                <w:szCs w:val="22"/>
              </w:rPr>
              <w:t>3.</w:t>
            </w:r>
            <w:r w:rsidR="006C2E56" w:rsidRPr="006A437E">
              <w:rPr>
                <w:sz w:val="22"/>
                <w:szCs w:val="22"/>
              </w:rPr>
              <w:t>8</w:t>
            </w:r>
          </w:p>
        </w:tc>
      </w:tr>
      <w:tr w:rsidR="00240738" w:rsidRPr="006A437E" w14:paraId="1A4F8A6E" w14:textId="77777777" w:rsidTr="00585583">
        <w:trPr>
          <w:cantSplit/>
          <w:trHeight w:val="288"/>
          <w:jc w:val="center"/>
        </w:trPr>
        <w:tc>
          <w:tcPr>
            <w:tcW w:w="2420" w:type="dxa"/>
            <w:noWrap/>
            <w:hideMark/>
          </w:tcPr>
          <w:p w14:paraId="18EBEAC4" w14:textId="77777777"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Black or African American</w:t>
            </w:r>
          </w:p>
        </w:tc>
        <w:tc>
          <w:tcPr>
            <w:tcW w:w="1327" w:type="dxa"/>
            <w:noWrap/>
            <w:hideMark/>
          </w:tcPr>
          <w:p w14:paraId="2D9A22C4" w14:textId="749D2F18" w:rsidR="00240738" w:rsidRPr="006A437E" w:rsidRDefault="00240738" w:rsidP="00C02103">
            <w:pPr>
              <w:contextualSpacing/>
              <w:jc w:val="center"/>
              <w:rPr>
                <w:rFonts w:eastAsia="Times New Roman"/>
                <w:color w:val="000000"/>
                <w:sz w:val="22"/>
                <w:szCs w:val="22"/>
              </w:rPr>
            </w:pPr>
            <w:r w:rsidRPr="006A437E">
              <w:rPr>
                <w:sz w:val="22"/>
                <w:szCs w:val="22"/>
              </w:rPr>
              <w:t>266</w:t>
            </w:r>
          </w:p>
        </w:tc>
        <w:tc>
          <w:tcPr>
            <w:tcW w:w="1328" w:type="dxa"/>
            <w:noWrap/>
            <w:hideMark/>
          </w:tcPr>
          <w:p w14:paraId="0D349093" w14:textId="4378A1E8" w:rsidR="00240738" w:rsidRPr="006A437E" w:rsidRDefault="00240738" w:rsidP="00C02103">
            <w:pPr>
              <w:contextualSpacing/>
              <w:jc w:val="center"/>
              <w:rPr>
                <w:rFonts w:eastAsia="Times New Roman"/>
                <w:color w:val="000000"/>
                <w:sz w:val="22"/>
                <w:szCs w:val="22"/>
              </w:rPr>
            </w:pPr>
            <w:r w:rsidRPr="006A437E">
              <w:rPr>
                <w:sz w:val="22"/>
                <w:szCs w:val="22"/>
              </w:rPr>
              <w:t>5.9</w:t>
            </w:r>
          </w:p>
        </w:tc>
        <w:tc>
          <w:tcPr>
            <w:tcW w:w="1328" w:type="dxa"/>
            <w:noWrap/>
            <w:hideMark/>
          </w:tcPr>
          <w:p w14:paraId="349B02F0" w14:textId="3DAEC306"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294</w:t>
            </w:r>
          </w:p>
        </w:tc>
        <w:tc>
          <w:tcPr>
            <w:tcW w:w="1328" w:type="dxa"/>
            <w:noWrap/>
            <w:hideMark/>
          </w:tcPr>
          <w:p w14:paraId="39CC791F" w14:textId="6740D6A9" w:rsidR="00240738" w:rsidRPr="006A437E" w:rsidRDefault="00240738" w:rsidP="00C02103">
            <w:pPr>
              <w:contextualSpacing/>
              <w:jc w:val="center"/>
              <w:rPr>
                <w:rFonts w:eastAsia="Times New Roman"/>
                <w:color w:val="000000"/>
                <w:sz w:val="22"/>
                <w:szCs w:val="22"/>
              </w:rPr>
            </w:pPr>
            <w:r w:rsidRPr="006A437E">
              <w:rPr>
                <w:sz w:val="22"/>
                <w:szCs w:val="22"/>
              </w:rPr>
              <w:t>6.</w:t>
            </w:r>
            <w:r w:rsidR="006C2E56" w:rsidRPr="006A437E">
              <w:rPr>
                <w:sz w:val="22"/>
                <w:szCs w:val="22"/>
              </w:rPr>
              <w:t>6</w:t>
            </w:r>
          </w:p>
        </w:tc>
        <w:tc>
          <w:tcPr>
            <w:tcW w:w="1328" w:type="dxa"/>
            <w:noWrap/>
            <w:hideMark/>
          </w:tcPr>
          <w:p w14:paraId="744F5C1F" w14:textId="5E6F1078" w:rsidR="00240738" w:rsidRPr="006A437E" w:rsidRDefault="00240738" w:rsidP="00C02103">
            <w:pPr>
              <w:contextualSpacing/>
              <w:jc w:val="center"/>
              <w:rPr>
                <w:rFonts w:eastAsia="Times New Roman"/>
                <w:color w:val="000000"/>
                <w:sz w:val="22"/>
                <w:szCs w:val="22"/>
              </w:rPr>
            </w:pPr>
            <w:r w:rsidRPr="006A437E">
              <w:rPr>
                <w:sz w:val="22"/>
                <w:szCs w:val="22"/>
              </w:rPr>
              <w:t>318</w:t>
            </w:r>
          </w:p>
        </w:tc>
        <w:tc>
          <w:tcPr>
            <w:tcW w:w="1328" w:type="dxa"/>
            <w:noWrap/>
            <w:hideMark/>
          </w:tcPr>
          <w:p w14:paraId="238E0481" w14:textId="7A6302BC" w:rsidR="00240738" w:rsidRPr="006A437E" w:rsidRDefault="00240738" w:rsidP="00C02103">
            <w:pPr>
              <w:contextualSpacing/>
              <w:jc w:val="center"/>
              <w:rPr>
                <w:rFonts w:eastAsia="Times New Roman"/>
                <w:color w:val="000000"/>
                <w:sz w:val="22"/>
                <w:szCs w:val="22"/>
              </w:rPr>
            </w:pPr>
            <w:r w:rsidRPr="006A437E">
              <w:rPr>
                <w:sz w:val="22"/>
                <w:szCs w:val="22"/>
              </w:rPr>
              <w:t>7.</w:t>
            </w:r>
            <w:r w:rsidR="006C2E56" w:rsidRPr="006A437E">
              <w:rPr>
                <w:sz w:val="22"/>
                <w:szCs w:val="22"/>
              </w:rPr>
              <w:t>2</w:t>
            </w:r>
          </w:p>
        </w:tc>
      </w:tr>
      <w:tr w:rsidR="00240738" w:rsidRPr="006A437E" w14:paraId="7ACF6409" w14:textId="77777777" w:rsidTr="00585583">
        <w:trPr>
          <w:cantSplit/>
          <w:trHeight w:val="288"/>
          <w:jc w:val="center"/>
        </w:trPr>
        <w:tc>
          <w:tcPr>
            <w:tcW w:w="2420" w:type="dxa"/>
            <w:noWrap/>
            <w:hideMark/>
          </w:tcPr>
          <w:p w14:paraId="787E4EF6" w14:textId="77777777"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Hispanic or Latino</w:t>
            </w:r>
          </w:p>
        </w:tc>
        <w:tc>
          <w:tcPr>
            <w:tcW w:w="1327" w:type="dxa"/>
            <w:noWrap/>
            <w:hideMark/>
          </w:tcPr>
          <w:p w14:paraId="20A82BA1" w14:textId="0F6C1685" w:rsidR="00240738" w:rsidRPr="006A437E" w:rsidRDefault="00240738" w:rsidP="00C02103">
            <w:pPr>
              <w:contextualSpacing/>
              <w:jc w:val="center"/>
              <w:rPr>
                <w:rFonts w:eastAsia="Times New Roman"/>
                <w:color w:val="000000"/>
                <w:sz w:val="22"/>
                <w:szCs w:val="22"/>
              </w:rPr>
            </w:pPr>
            <w:r w:rsidRPr="006A437E">
              <w:rPr>
                <w:sz w:val="22"/>
                <w:szCs w:val="22"/>
              </w:rPr>
              <w:t>186</w:t>
            </w:r>
          </w:p>
        </w:tc>
        <w:tc>
          <w:tcPr>
            <w:tcW w:w="1328" w:type="dxa"/>
            <w:noWrap/>
            <w:hideMark/>
          </w:tcPr>
          <w:p w14:paraId="6E9E877E" w14:textId="05E815F4" w:rsidR="00240738" w:rsidRPr="006A437E" w:rsidRDefault="00240738" w:rsidP="00C02103">
            <w:pPr>
              <w:contextualSpacing/>
              <w:jc w:val="center"/>
              <w:rPr>
                <w:rFonts w:eastAsia="Times New Roman"/>
                <w:color w:val="000000"/>
                <w:sz w:val="22"/>
                <w:szCs w:val="22"/>
              </w:rPr>
            </w:pPr>
            <w:r w:rsidRPr="006A437E">
              <w:rPr>
                <w:sz w:val="22"/>
                <w:szCs w:val="22"/>
              </w:rPr>
              <w:t>4.1</w:t>
            </w:r>
          </w:p>
        </w:tc>
        <w:tc>
          <w:tcPr>
            <w:tcW w:w="1328" w:type="dxa"/>
            <w:noWrap/>
            <w:hideMark/>
          </w:tcPr>
          <w:p w14:paraId="52C0DBF7" w14:textId="00F1A4B6"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252</w:t>
            </w:r>
          </w:p>
        </w:tc>
        <w:tc>
          <w:tcPr>
            <w:tcW w:w="1328" w:type="dxa"/>
            <w:noWrap/>
            <w:hideMark/>
          </w:tcPr>
          <w:p w14:paraId="4BC381D9" w14:textId="1DAF3977" w:rsidR="00240738" w:rsidRPr="006A437E" w:rsidRDefault="00240738" w:rsidP="00C02103">
            <w:pPr>
              <w:contextualSpacing/>
              <w:jc w:val="center"/>
              <w:rPr>
                <w:rFonts w:eastAsia="Times New Roman"/>
                <w:color w:val="000000"/>
                <w:sz w:val="22"/>
                <w:szCs w:val="22"/>
              </w:rPr>
            </w:pPr>
            <w:r w:rsidRPr="006A437E">
              <w:rPr>
                <w:sz w:val="22"/>
                <w:szCs w:val="22"/>
              </w:rPr>
              <w:t>5.</w:t>
            </w:r>
            <w:r w:rsidR="006C2E56" w:rsidRPr="006A437E">
              <w:rPr>
                <w:sz w:val="22"/>
                <w:szCs w:val="22"/>
              </w:rPr>
              <w:t>3</w:t>
            </w:r>
          </w:p>
        </w:tc>
        <w:tc>
          <w:tcPr>
            <w:tcW w:w="1328" w:type="dxa"/>
            <w:noWrap/>
            <w:hideMark/>
          </w:tcPr>
          <w:p w14:paraId="265949FC" w14:textId="21C66D63" w:rsidR="00240738" w:rsidRPr="006A437E" w:rsidRDefault="00240738" w:rsidP="00C02103">
            <w:pPr>
              <w:contextualSpacing/>
              <w:jc w:val="center"/>
              <w:rPr>
                <w:rFonts w:eastAsia="Times New Roman"/>
                <w:color w:val="000000"/>
                <w:sz w:val="22"/>
                <w:szCs w:val="22"/>
              </w:rPr>
            </w:pPr>
            <w:r w:rsidRPr="006A437E">
              <w:rPr>
                <w:sz w:val="22"/>
                <w:szCs w:val="22"/>
              </w:rPr>
              <w:t>240</w:t>
            </w:r>
          </w:p>
        </w:tc>
        <w:tc>
          <w:tcPr>
            <w:tcW w:w="1328" w:type="dxa"/>
            <w:noWrap/>
            <w:hideMark/>
          </w:tcPr>
          <w:p w14:paraId="4A780E74" w14:textId="53D73367" w:rsidR="00240738" w:rsidRPr="006A437E" w:rsidRDefault="00240738" w:rsidP="00C02103">
            <w:pPr>
              <w:contextualSpacing/>
              <w:jc w:val="center"/>
              <w:rPr>
                <w:rFonts w:eastAsia="Times New Roman"/>
                <w:color w:val="000000"/>
                <w:sz w:val="22"/>
                <w:szCs w:val="22"/>
              </w:rPr>
            </w:pPr>
            <w:r w:rsidRPr="006A437E">
              <w:rPr>
                <w:sz w:val="22"/>
                <w:szCs w:val="22"/>
              </w:rPr>
              <w:t>4.</w:t>
            </w:r>
            <w:r w:rsidR="006C2E56" w:rsidRPr="006A437E">
              <w:rPr>
                <w:sz w:val="22"/>
                <w:szCs w:val="22"/>
              </w:rPr>
              <w:t>9</w:t>
            </w:r>
          </w:p>
        </w:tc>
      </w:tr>
      <w:tr w:rsidR="00240738" w:rsidRPr="006A437E" w14:paraId="29B31EE8" w14:textId="77777777" w:rsidTr="00585583">
        <w:trPr>
          <w:cantSplit/>
          <w:trHeight w:val="288"/>
          <w:jc w:val="center"/>
        </w:trPr>
        <w:tc>
          <w:tcPr>
            <w:tcW w:w="2420" w:type="dxa"/>
            <w:noWrap/>
            <w:hideMark/>
          </w:tcPr>
          <w:p w14:paraId="013D9CB1" w14:textId="77777777"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Multiracial, non-Hispanic</w:t>
            </w:r>
          </w:p>
        </w:tc>
        <w:tc>
          <w:tcPr>
            <w:tcW w:w="1327" w:type="dxa"/>
            <w:noWrap/>
            <w:hideMark/>
          </w:tcPr>
          <w:p w14:paraId="33B0E9AD" w14:textId="2328FC57" w:rsidR="00240738" w:rsidRPr="006A437E" w:rsidRDefault="00240738" w:rsidP="00C02103">
            <w:pPr>
              <w:contextualSpacing/>
              <w:jc w:val="center"/>
              <w:rPr>
                <w:rFonts w:eastAsia="Times New Roman"/>
                <w:color w:val="000000"/>
                <w:sz w:val="22"/>
                <w:szCs w:val="22"/>
              </w:rPr>
            </w:pPr>
            <w:r w:rsidRPr="006A437E">
              <w:rPr>
                <w:sz w:val="22"/>
                <w:szCs w:val="22"/>
              </w:rPr>
              <w:t>26</w:t>
            </w:r>
          </w:p>
        </w:tc>
        <w:tc>
          <w:tcPr>
            <w:tcW w:w="1328" w:type="dxa"/>
            <w:noWrap/>
            <w:hideMark/>
          </w:tcPr>
          <w:p w14:paraId="25014E3E" w14:textId="33E15D37" w:rsidR="00240738" w:rsidRPr="006A437E" w:rsidRDefault="00240738" w:rsidP="00C02103">
            <w:pPr>
              <w:contextualSpacing/>
              <w:jc w:val="center"/>
              <w:rPr>
                <w:rFonts w:eastAsia="Times New Roman"/>
                <w:color w:val="000000"/>
                <w:sz w:val="22"/>
                <w:szCs w:val="22"/>
              </w:rPr>
            </w:pPr>
            <w:r w:rsidRPr="006A437E">
              <w:rPr>
                <w:sz w:val="22"/>
                <w:szCs w:val="22"/>
              </w:rPr>
              <w:t>0.</w:t>
            </w:r>
            <w:r w:rsidR="006C2E56" w:rsidRPr="006A437E">
              <w:rPr>
                <w:sz w:val="22"/>
                <w:szCs w:val="22"/>
              </w:rPr>
              <w:t>6</w:t>
            </w:r>
          </w:p>
        </w:tc>
        <w:tc>
          <w:tcPr>
            <w:tcW w:w="1328" w:type="dxa"/>
            <w:noWrap/>
            <w:hideMark/>
          </w:tcPr>
          <w:p w14:paraId="3E236EF0" w14:textId="7D275CC6"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38</w:t>
            </w:r>
          </w:p>
        </w:tc>
        <w:tc>
          <w:tcPr>
            <w:tcW w:w="1328" w:type="dxa"/>
            <w:noWrap/>
            <w:hideMark/>
          </w:tcPr>
          <w:p w14:paraId="7063B72D" w14:textId="50C35C4A" w:rsidR="00240738" w:rsidRPr="006A437E" w:rsidRDefault="00240738" w:rsidP="00C02103">
            <w:pPr>
              <w:contextualSpacing/>
              <w:jc w:val="center"/>
              <w:rPr>
                <w:rFonts w:eastAsia="Times New Roman"/>
                <w:color w:val="000000"/>
                <w:sz w:val="22"/>
                <w:szCs w:val="22"/>
              </w:rPr>
            </w:pPr>
            <w:r w:rsidRPr="006A437E">
              <w:rPr>
                <w:sz w:val="22"/>
                <w:szCs w:val="22"/>
              </w:rPr>
              <w:t>0.</w:t>
            </w:r>
            <w:r w:rsidR="006C2E56" w:rsidRPr="006A437E">
              <w:rPr>
                <w:sz w:val="22"/>
                <w:szCs w:val="22"/>
              </w:rPr>
              <w:t>4</w:t>
            </w:r>
          </w:p>
        </w:tc>
        <w:tc>
          <w:tcPr>
            <w:tcW w:w="1328" w:type="dxa"/>
            <w:noWrap/>
            <w:hideMark/>
          </w:tcPr>
          <w:p w14:paraId="3C773488" w14:textId="654DE5F5" w:rsidR="00240738" w:rsidRPr="006A437E" w:rsidRDefault="00240738" w:rsidP="00C02103">
            <w:pPr>
              <w:contextualSpacing/>
              <w:jc w:val="center"/>
              <w:rPr>
                <w:rFonts w:eastAsia="Times New Roman"/>
                <w:color w:val="000000"/>
                <w:sz w:val="22"/>
                <w:szCs w:val="22"/>
              </w:rPr>
            </w:pPr>
            <w:r w:rsidRPr="006A437E">
              <w:rPr>
                <w:sz w:val="22"/>
                <w:szCs w:val="22"/>
              </w:rPr>
              <w:t>55</w:t>
            </w:r>
          </w:p>
        </w:tc>
        <w:tc>
          <w:tcPr>
            <w:tcW w:w="1328" w:type="dxa"/>
            <w:noWrap/>
            <w:hideMark/>
          </w:tcPr>
          <w:p w14:paraId="4427108F" w14:textId="240EA32A" w:rsidR="00240738" w:rsidRPr="006A437E" w:rsidRDefault="00240738" w:rsidP="00C02103">
            <w:pPr>
              <w:contextualSpacing/>
              <w:jc w:val="center"/>
              <w:rPr>
                <w:rFonts w:eastAsia="Times New Roman"/>
                <w:color w:val="000000"/>
                <w:sz w:val="22"/>
                <w:szCs w:val="22"/>
              </w:rPr>
            </w:pPr>
            <w:r w:rsidRPr="006A437E">
              <w:rPr>
                <w:sz w:val="22"/>
                <w:szCs w:val="22"/>
              </w:rPr>
              <w:t>0.</w:t>
            </w:r>
            <w:r w:rsidR="006C2E56" w:rsidRPr="006A437E">
              <w:rPr>
                <w:sz w:val="22"/>
                <w:szCs w:val="22"/>
              </w:rPr>
              <w:t>6</w:t>
            </w:r>
          </w:p>
        </w:tc>
      </w:tr>
      <w:tr w:rsidR="001960E2" w:rsidRPr="006A437E" w14:paraId="77B8DB25" w14:textId="77777777" w:rsidTr="00585583">
        <w:trPr>
          <w:cantSplit/>
          <w:trHeight w:val="288"/>
          <w:jc w:val="center"/>
        </w:trPr>
        <w:tc>
          <w:tcPr>
            <w:tcW w:w="2420" w:type="dxa"/>
            <w:noWrap/>
            <w:hideMark/>
          </w:tcPr>
          <w:p w14:paraId="57B585C4" w14:textId="606237BC" w:rsidR="001960E2" w:rsidRPr="006A437E" w:rsidRDefault="00090558" w:rsidP="00C02103">
            <w:pPr>
              <w:contextualSpacing/>
              <w:jc w:val="center"/>
              <w:rPr>
                <w:rFonts w:eastAsia="Times New Roman"/>
                <w:color w:val="000000"/>
                <w:sz w:val="22"/>
                <w:szCs w:val="22"/>
              </w:rPr>
            </w:pPr>
            <w:r w:rsidRPr="006A437E">
              <w:rPr>
                <w:rFonts w:eastAsia="Times New Roman"/>
                <w:color w:val="000000"/>
                <w:sz w:val="22"/>
                <w:szCs w:val="22"/>
              </w:rPr>
              <w:t xml:space="preserve">Unknown &amp; Other </w:t>
            </w:r>
          </w:p>
        </w:tc>
        <w:tc>
          <w:tcPr>
            <w:tcW w:w="1327" w:type="dxa"/>
            <w:noWrap/>
            <w:hideMark/>
          </w:tcPr>
          <w:p w14:paraId="69D9A816" w14:textId="26CB5B24" w:rsidR="001960E2" w:rsidRPr="006A437E" w:rsidRDefault="001960E2" w:rsidP="00C02103">
            <w:pPr>
              <w:contextualSpacing/>
              <w:jc w:val="center"/>
              <w:rPr>
                <w:rFonts w:eastAsia="Times New Roman"/>
                <w:color w:val="000000"/>
                <w:sz w:val="22"/>
                <w:szCs w:val="22"/>
              </w:rPr>
            </w:pPr>
            <w:r w:rsidRPr="006A437E">
              <w:rPr>
                <w:sz w:val="22"/>
                <w:szCs w:val="22"/>
              </w:rPr>
              <w:t>206</w:t>
            </w:r>
          </w:p>
        </w:tc>
        <w:tc>
          <w:tcPr>
            <w:tcW w:w="1328" w:type="dxa"/>
            <w:noWrap/>
            <w:hideMark/>
          </w:tcPr>
          <w:p w14:paraId="5E1245CF" w14:textId="62507D81" w:rsidR="001960E2" w:rsidRPr="006A437E" w:rsidRDefault="001960E2" w:rsidP="00C02103">
            <w:pPr>
              <w:contextualSpacing/>
              <w:jc w:val="center"/>
              <w:rPr>
                <w:rFonts w:eastAsia="Times New Roman"/>
                <w:color w:val="000000"/>
                <w:sz w:val="22"/>
                <w:szCs w:val="22"/>
              </w:rPr>
            </w:pPr>
            <w:r w:rsidRPr="006A437E">
              <w:rPr>
                <w:sz w:val="22"/>
                <w:szCs w:val="22"/>
              </w:rPr>
              <w:t>4.</w:t>
            </w:r>
            <w:r w:rsidR="006C2E56" w:rsidRPr="006A437E">
              <w:rPr>
                <w:sz w:val="22"/>
                <w:szCs w:val="22"/>
              </w:rPr>
              <w:t>6</w:t>
            </w:r>
          </w:p>
        </w:tc>
        <w:tc>
          <w:tcPr>
            <w:tcW w:w="1328" w:type="dxa"/>
            <w:noWrap/>
            <w:hideMark/>
          </w:tcPr>
          <w:p w14:paraId="7E0CECAA" w14:textId="0E59DA9C" w:rsidR="001960E2" w:rsidRPr="006A437E" w:rsidRDefault="001960E2" w:rsidP="00C02103">
            <w:pPr>
              <w:contextualSpacing/>
              <w:jc w:val="center"/>
              <w:rPr>
                <w:rFonts w:eastAsia="Times New Roman"/>
                <w:color w:val="000000"/>
                <w:sz w:val="22"/>
                <w:szCs w:val="22"/>
              </w:rPr>
            </w:pPr>
            <w:r w:rsidRPr="006A437E">
              <w:rPr>
                <w:sz w:val="22"/>
                <w:szCs w:val="22"/>
              </w:rPr>
              <w:t>212</w:t>
            </w:r>
          </w:p>
        </w:tc>
        <w:tc>
          <w:tcPr>
            <w:tcW w:w="1328" w:type="dxa"/>
            <w:noWrap/>
            <w:hideMark/>
          </w:tcPr>
          <w:p w14:paraId="50E02720" w14:textId="02C6B2BA" w:rsidR="001960E2" w:rsidRPr="006A437E" w:rsidRDefault="001960E2" w:rsidP="00C02103">
            <w:pPr>
              <w:contextualSpacing/>
              <w:jc w:val="center"/>
              <w:rPr>
                <w:rFonts w:eastAsia="Times New Roman"/>
                <w:color w:val="000000"/>
                <w:sz w:val="22"/>
                <w:szCs w:val="22"/>
              </w:rPr>
            </w:pPr>
            <w:r w:rsidRPr="006A437E">
              <w:rPr>
                <w:sz w:val="22"/>
                <w:szCs w:val="22"/>
              </w:rPr>
              <w:t>4.</w:t>
            </w:r>
            <w:r w:rsidR="006C2E56" w:rsidRPr="006A437E">
              <w:rPr>
                <w:sz w:val="22"/>
                <w:szCs w:val="22"/>
              </w:rPr>
              <w:t>1</w:t>
            </w:r>
          </w:p>
        </w:tc>
        <w:tc>
          <w:tcPr>
            <w:tcW w:w="1328" w:type="dxa"/>
            <w:noWrap/>
            <w:hideMark/>
          </w:tcPr>
          <w:p w14:paraId="4249C9B8" w14:textId="3FB40289" w:rsidR="001960E2" w:rsidRPr="006A437E" w:rsidRDefault="001960E2" w:rsidP="00C02103">
            <w:pPr>
              <w:contextualSpacing/>
              <w:jc w:val="center"/>
              <w:rPr>
                <w:rFonts w:eastAsia="Times New Roman"/>
                <w:color w:val="000000"/>
                <w:sz w:val="22"/>
                <w:szCs w:val="22"/>
              </w:rPr>
            </w:pPr>
            <w:r w:rsidRPr="006A437E">
              <w:rPr>
                <w:sz w:val="22"/>
                <w:szCs w:val="22"/>
              </w:rPr>
              <w:t>236</w:t>
            </w:r>
          </w:p>
        </w:tc>
        <w:tc>
          <w:tcPr>
            <w:tcW w:w="1328" w:type="dxa"/>
            <w:noWrap/>
            <w:hideMark/>
          </w:tcPr>
          <w:p w14:paraId="23CC828B" w14:textId="60963CC6" w:rsidR="001960E2" w:rsidRPr="006A437E" w:rsidRDefault="001960E2" w:rsidP="00C02103">
            <w:pPr>
              <w:contextualSpacing/>
              <w:jc w:val="center"/>
              <w:rPr>
                <w:rFonts w:eastAsia="Times New Roman"/>
                <w:color w:val="000000"/>
                <w:sz w:val="22"/>
                <w:szCs w:val="22"/>
              </w:rPr>
            </w:pPr>
            <w:r w:rsidRPr="006A437E">
              <w:rPr>
                <w:sz w:val="22"/>
                <w:szCs w:val="22"/>
              </w:rPr>
              <w:t>4.7</w:t>
            </w:r>
          </w:p>
        </w:tc>
      </w:tr>
      <w:tr w:rsidR="001960E2" w:rsidRPr="006A437E" w14:paraId="2391D646" w14:textId="77777777" w:rsidTr="00585583">
        <w:trPr>
          <w:cantSplit/>
          <w:trHeight w:val="288"/>
          <w:jc w:val="center"/>
        </w:trPr>
        <w:tc>
          <w:tcPr>
            <w:tcW w:w="2420" w:type="dxa"/>
            <w:noWrap/>
            <w:hideMark/>
          </w:tcPr>
          <w:p w14:paraId="09BC13AE" w14:textId="77777777" w:rsidR="001960E2" w:rsidRPr="006A437E" w:rsidRDefault="001960E2" w:rsidP="00C02103">
            <w:pPr>
              <w:contextualSpacing/>
              <w:jc w:val="center"/>
              <w:rPr>
                <w:rFonts w:eastAsia="Times New Roman"/>
                <w:color w:val="000000"/>
                <w:sz w:val="22"/>
                <w:szCs w:val="22"/>
              </w:rPr>
            </w:pPr>
            <w:r w:rsidRPr="006A437E">
              <w:rPr>
                <w:rFonts w:eastAsia="Times New Roman"/>
                <w:color w:val="000000"/>
                <w:sz w:val="22"/>
                <w:szCs w:val="22"/>
              </w:rPr>
              <w:t>White or Caucasian Non-Hispanic or Latino</w:t>
            </w:r>
          </w:p>
        </w:tc>
        <w:tc>
          <w:tcPr>
            <w:tcW w:w="1327" w:type="dxa"/>
            <w:noWrap/>
            <w:hideMark/>
          </w:tcPr>
          <w:p w14:paraId="0F4BA9CB" w14:textId="1D40C2B5" w:rsidR="001960E2" w:rsidRPr="006A437E" w:rsidRDefault="001960E2" w:rsidP="00C02103">
            <w:pPr>
              <w:contextualSpacing/>
              <w:jc w:val="center"/>
              <w:rPr>
                <w:rFonts w:eastAsia="Times New Roman"/>
                <w:color w:val="000000"/>
                <w:sz w:val="22"/>
                <w:szCs w:val="22"/>
              </w:rPr>
            </w:pPr>
            <w:r w:rsidRPr="006A437E">
              <w:rPr>
                <w:sz w:val="22"/>
                <w:szCs w:val="22"/>
              </w:rPr>
              <w:t>3,644</w:t>
            </w:r>
          </w:p>
        </w:tc>
        <w:tc>
          <w:tcPr>
            <w:tcW w:w="1328" w:type="dxa"/>
            <w:noWrap/>
            <w:hideMark/>
          </w:tcPr>
          <w:p w14:paraId="64BD9155" w14:textId="15A96A97" w:rsidR="001960E2" w:rsidRPr="006A437E" w:rsidRDefault="001960E2" w:rsidP="00C02103">
            <w:pPr>
              <w:contextualSpacing/>
              <w:jc w:val="center"/>
              <w:rPr>
                <w:rFonts w:eastAsia="Times New Roman"/>
                <w:color w:val="000000"/>
                <w:sz w:val="22"/>
                <w:szCs w:val="22"/>
              </w:rPr>
            </w:pPr>
            <w:r w:rsidRPr="006A437E">
              <w:rPr>
                <w:sz w:val="22"/>
                <w:szCs w:val="22"/>
              </w:rPr>
              <w:t>8</w:t>
            </w:r>
            <w:r w:rsidR="006C2E56" w:rsidRPr="006A437E">
              <w:rPr>
                <w:sz w:val="22"/>
                <w:szCs w:val="22"/>
              </w:rPr>
              <w:t>1.0</w:t>
            </w:r>
          </w:p>
        </w:tc>
        <w:tc>
          <w:tcPr>
            <w:tcW w:w="1328" w:type="dxa"/>
            <w:noWrap/>
            <w:hideMark/>
          </w:tcPr>
          <w:p w14:paraId="577D59BF" w14:textId="13420A5E" w:rsidR="001960E2" w:rsidRPr="006A437E" w:rsidRDefault="001960E2" w:rsidP="00C02103">
            <w:pPr>
              <w:contextualSpacing/>
              <w:jc w:val="center"/>
              <w:rPr>
                <w:rFonts w:eastAsia="Times New Roman"/>
                <w:color w:val="000000"/>
                <w:sz w:val="22"/>
                <w:szCs w:val="22"/>
              </w:rPr>
            </w:pPr>
            <w:r w:rsidRPr="006A437E">
              <w:rPr>
                <w:sz w:val="22"/>
                <w:szCs w:val="22"/>
              </w:rPr>
              <w:t>3,815</w:t>
            </w:r>
          </w:p>
        </w:tc>
        <w:tc>
          <w:tcPr>
            <w:tcW w:w="1328" w:type="dxa"/>
            <w:noWrap/>
            <w:hideMark/>
          </w:tcPr>
          <w:p w14:paraId="7EE8D57E" w14:textId="39918218" w:rsidR="001960E2" w:rsidRPr="006A437E" w:rsidRDefault="001960E2" w:rsidP="00C02103">
            <w:pPr>
              <w:contextualSpacing/>
              <w:jc w:val="center"/>
              <w:rPr>
                <w:rFonts w:eastAsia="Times New Roman"/>
                <w:color w:val="000000"/>
                <w:sz w:val="22"/>
                <w:szCs w:val="22"/>
              </w:rPr>
            </w:pPr>
            <w:r w:rsidRPr="006A437E">
              <w:rPr>
                <w:sz w:val="22"/>
                <w:szCs w:val="22"/>
              </w:rPr>
              <w:t>80.</w:t>
            </w:r>
            <w:r w:rsidR="006C2E56" w:rsidRPr="006A437E">
              <w:rPr>
                <w:sz w:val="22"/>
                <w:szCs w:val="22"/>
              </w:rPr>
              <w:t>1</w:t>
            </w:r>
          </w:p>
        </w:tc>
        <w:tc>
          <w:tcPr>
            <w:tcW w:w="1328" w:type="dxa"/>
            <w:noWrap/>
            <w:hideMark/>
          </w:tcPr>
          <w:p w14:paraId="45532C33" w14:textId="53827572" w:rsidR="001960E2" w:rsidRPr="006A437E" w:rsidRDefault="001960E2" w:rsidP="00C02103">
            <w:pPr>
              <w:contextualSpacing/>
              <w:jc w:val="center"/>
              <w:rPr>
                <w:rFonts w:eastAsia="Times New Roman"/>
                <w:color w:val="000000"/>
                <w:sz w:val="22"/>
                <w:szCs w:val="22"/>
              </w:rPr>
            </w:pPr>
            <w:r w:rsidRPr="006A437E">
              <w:rPr>
                <w:sz w:val="22"/>
                <w:szCs w:val="22"/>
              </w:rPr>
              <w:t>3,857</w:t>
            </w:r>
          </w:p>
        </w:tc>
        <w:tc>
          <w:tcPr>
            <w:tcW w:w="1328" w:type="dxa"/>
            <w:noWrap/>
            <w:hideMark/>
          </w:tcPr>
          <w:p w14:paraId="22D369E2" w14:textId="3139EFF8" w:rsidR="001960E2" w:rsidRPr="006A437E" w:rsidRDefault="001960E2" w:rsidP="00C02103">
            <w:pPr>
              <w:contextualSpacing/>
              <w:jc w:val="center"/>
              <w:rPr>
                <w:rFonts w:eastAsia="Times New Roman"/>
                <w:color w:val="000000"/>
                <w:sz w:val="22"/>
                <w:szCs w:val="22"/>
              </w:rPr>
            </w:pPr>
            <w:r w:rsidRPr="006A437E">
              <w:rPr>
                <w:sz w:val="22"/>
                <w:szCs w:val="22"/>
              </w:rPr>
              <w:t>7</w:t>
            </w:r>
            <w:r w:rsidR="006C2E56" w:rsidRPr="006A437E">
              <w:rPr>
                <w:sz w:val="22"/>
                <w:szCs w:val="22"/>
              </w:rPr>
              <w:t>9.0</w:t>
            </w:r>
          </w:p>
        </w:tc>
      </w:tr>
      <w:tr w:rsidR="00005CA8" w:rsidRPr="006A437E" w14:paraId="710D80FC" w14:textId="77777777" w:rsidTr="00585583">
        <w:trPr>
          <w:cantSplit/>
          <w:trHeight w:val="288"/>
          <w:jc w:val="center"/>
        </w:trPr>
        <w:tc>
          <w:tcPr>
            <w:tcW w:w="2420" w:type="dxa"/>
            <w:noWrap/>
            <w:hideMark/>
          </w:tcPr>
          <w:p w14:paraId="0C37380B" w14:textId="77777777" w:rsidR="00005CA8" w:rsidRPr="006A437E" w:rsidRDefault="00005CA8" w:rsidP="00C02103">
            <w:pPr>
              <w:contextualSpacing/>
              <w:jc w:val="center"/>
              <w:rPr>
                <w:rFonts w:eastAsia="Times New Roman"/>
                <w:b/>
                <w:bCs/>
                <w:color w:val="000000"/>
                <w:sz w:val="22"/>
                <w:szCs w:val="22"/>
              </w:rPr>
            </w:pPr>
            <w:r w:rsidRPr="006A437E">
              <w:rPr>
                <w:rFonts w:eastAsia="Times New Roman"/>
                <w:b/>
                <w:bCs/>
                <w:color w:val="000000"/>
                <w:sz w:val="22"/>
                <w:szCs w:val="22"/>
              </w:rPr>
              <w:t>Age</w:t>
            </w:r>
          </w:p>
        </w:tc>
        <w:tc>
          <w:tcPr>
            <w:tcW w:w="1327" w:type="dxa"/>
            <w:noWrap/>
          </w:tcPr>
          <w:p w14:paraId="3D6DBB23"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35B10FF2"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64BD95C5"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5827A51E"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03F66816"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1F03D4F5" w14:textId="77777777" w:rsidR="00005CA8" w:rsidRPr="006A437E" w:rsidRDefault="00005CA8" w:rsidP="00C02103">
            <w:pPr>
              <w:contextualSpacing/>
              <w:jc w:val="center"/>
              <w:rPr>
                <w:rFonts w:eastAsia="Times New Roman"/>
                <w:color w:val="000000"/>
                <w:sz w:val="22"/>
                <w:szCs w:val="22"/>
              </w:rPr>
            </w:pPr>
          </w:p>
        </w:tc>
      </w:tr>
      <w:tr w:rsidR="002B5D4B" w:rsidRPr="006A437E" w14:paraId="0E1F56BD" w14:textId="77777777" w:rsidTr="00585583">
        <w:trPr>
          <w:cantSplit/>
          <w:trHeight w:val="288"/>
          <w:jc w:val="center"/>
        </w:trPr>
        <w:tc>
          <w:tcPr>
            <w:tcW w:w="2420" w:type="dxa"/>
            <w:noWrap/>
          </w:tcPr>
          <w:p w14:paraId="63829C3C" w14:textId="5DEB67C8" w:rsidR="002B5D4B" w:rsidRPr="006A437E" w:rsidRDefault="002B5D4B" w:rsidP="002B5D4B">
            <w:pPr>
              <w:contextualSpacing/>
              <w:jc w:val="center"/>
              <w:rPr>
                <w:rFonts w:eastAsia="Times New Roman"/>
                <w:color w:val="000000"/>
                <w:sz w:val="22"/>
                <w:szCs w:val="22"/>
              </w:rPr>
            </w:pPr>
            <w:r>
              <w:rPr>
                <w:rFonts w:eastAsia="Times New Roman"/>
                <w:color w:val="000000"/>
                <w:sz w:val="22"/>
                <w:szCs w:val="22"/>
              </w:rPr>
              <w:t>0</w:t>
            </w:r>
            <w:r w:rsidR="009E3BC9">
              <w:rPr>
                <w:rFonts w:eastAsia="Times New Roman"/>
                <w:color w:val="000000"/>
                <w:sz w:val="22"/>
                <w:szCs w:val="22"/>
              </w:rPr>
              <w:t>-1</w:t>
            </w:r>
            <w:r>
              <w:rPr>
                <w:rFonts w:eastAsia="Times New Roman"/>
                <w:color w:val="000000"/>
                <w:sz w:val="22"/>
                <w:szCs w:val="22"/>
              </w:rPr>
              <w:t>8</w:t>
            </w:r>
          </w:p>
        </w:tc>
        <w:tc>
          <w:tcPr>
            <w:tcW w:w="1327" w:type="dxa"/>
            <w:noWrap/>
          </w:tcPr>
          <w:p w14:paraId="24B0A462" w14:textId="1C26CDE9" w:rsidR="002B5D4B" w:rsidRPr="006A437E" w:rsidRDefault="002B5D4B" w:rsidP="002B5D4B">
            <w:pPr>
              <w:contextualSpacing/>
              <w:jc w:val="center"/>
              <w:rPr>
                <w:sz w:val="22"/>
                <w:szCs w:val="22"/>
              </w:rPr>
            </w:pPr>
            <w:r>
              <w:rPr>
                <w:sz w:val="22"/>
                <w:szCs w:val="22"/>
              </w:rPr>
              <w:t>18</w:t>
            </w:r>
          </w:p>
        </w:tc>
        <w:tc>
          <w:tcPr>
            <w:tcW w:w="1328" w:type="dxa"/>
            <w:noWrap/>
          </w:tcPr>
          <w:p w14:paraId="279EFD60" w14:textId="17B61746" w:rsidR="002B5D4B" w:rsidRPr="006A437E" w:rsidRDefault="002B5D4B" w:rsidP="002B5D4B">
            <w:pPr>
              <w:contextualSpacing/>
              <w:jc w:val="center"/>
              <w:rPr>
                <w:sz w:val="22"/>
                <w:szCs w:val="22"/>
              </w:rPr>
            </w:pPr>
            <w:r>
              <w:rPr>
                <w:sz w:val="22"/>
                <w:szCs w:val="22"/>
              </w:rPr>
              <w:t>0.4</w:t>
            </w:r>
          </w:p>
        </w:tc>
        <w:tc>
          <w:tcPr>
            <w:tcW w:w="1328" w:type="dxa"/>
            <w:noWrap/>
          </w:tcPr>
          <w:p w14:paraId="196B0114" w14:textId="3FA791AD" w:rsidR="002B5D4B" w:rsidRPr="006A437E" w:rsidRDefault="002B5D4B" w:rsidP="002B5D4B">
            <w:pPr>
              <w:contextualSpacing/>
              <w:jc w:val="center"/>
              <w:rPr>
                <w:sz w:val="22"/>
                <w:szCs w:val="22"/>
              </w:rPr>
            </w:pPr>
            <w:r>
              <w:rPr>
                <w:sz w:val="22"/>
                <w:szCs w:val="22"/>
              </w:rPr>
              <w:t>56</w:t>
            </w:r>
          </w:p>
        </w:tc>
        <w:tc>
          <w:tcPr>
            <w:tcW w:w="1328" w:type="dxa"/>
            <w:noWrap/>
          </w:tcPr>
          <w:p w14:paraId="39150E65" w14:textId="1A8C6AFF" w:rsidR="002B5D4B" w:rsidRPr="006A437E" w:rsidRDefault="002B5D4B" w:rsidP="002B5D4B">
            <w:pPr>
              <w:contextualSpacing/>
              <w:jc w:val="center"/>
              <w:rPr>
                <w:sz w:val="22"/>
                <w:szCs w:val="22"/>
              </w:rPr>
            </w:pPr>
            <w:r>
              <w:rPr>
                <w:sz w:val="22"/>
                <w:szCs w:val="22"/>
              </w:rPr>
              <w:t>1.2</w:t>
            </w:r>
          </w:p>
        </w:tc>
        <w:tc>
          <w:tcPr>
            <w:tcW w:w="1328" w:type="dxa"/>
            <w:noWrap/>
          </w:tcPr>
          <w:p w14:paraId="77D60005" w14:textId="17F1879D" w:rsidR="002B5D4B" w:rsidRPr="006A437E" w:rsidRDefault="002B5D4B" w:rsidP="002B5D4B">
            <w:pPr>
              <w:contextualSpacing/>
              <w:jc w:val="center"/>
              <w:rPr>
                <w:sz w:val="22"/>
                <w:szCs w:val="22"/>
              </w:rPr>
            </w:pPr>
            <w:r>
              <w:rPr>
                <w:sz w:val="22"/>
                <w:szCs w:val="22"/>
              </w:rPr>
              <w:t>19</w:t>
            </w:r>
          </w:p>
        </w:tc>
        <w:tc>
          <w:tcPr>
            <w:tcW w:w="1328" w:type="dxa"/>
            <w:noWrap/>
          </w:tcPr>
          <w:p w14:paraId="67CBBD05" w14:textId="27EC56BF" w:rsidR="002B5D4B" w:rsidRPr="006A437E" w:rsidRDefault="002B5D4B" w:rsidP="002B5D4B">
            <w:pPr>
              <w:contextualSpacing/>
              <w:jc w:val="center"/>
              <w:rPr>
                <w:sz w:val="22"/>
                <w:szCs w:val="22"/>
              </w:rPr>
            </w:pPr>
            <w:r>
              <w:rPr>
                <w:sz w:val="22"/>
                <w:szCs w:val="22"/>
              </w:rPr>
              <w:t>0.4</w:t>
            </w:r>
          </w:p>
        </w:tc>
      </w:tr>
      <w:tr w:rsidR="00240738" w:rsidRPr="006A437E" w14:paraId="272E8000" w14:textId="77777777" w:rsidTr="00585583">
        <w:trPr>
          <w:cantSplit/>
          <w:trHeight w:val="288"/>
          <w:jc w:val="center"/>
        </w:trPr>
        <w:tc>
          <w:tcPr>
            <w:tcW w:w="2420" w:type="dxa"/>
            <w:noWrap/>
            <w:hideMark/>
          </w:tcPr>
          <w:p w14:paraId="2E1A366A" w14:textId="416D4426"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19-35</w:t>
            </w:r>
          </w:p>
        </w:tc>
        <w:tc>
          <w:tcPr>
            <w:tcW w:w="1327" w:type="dxa"/>
            <w:noWrap/>
            <w:hideMark/>
          </w:tcPr>
          <w:p w14:paraId="3EA64584" w14:textId="79452CC6" w:rsidR="00240738" w:rsidRPr="006A437E" w:rsidRDefault="00240738" w:rsidP="00C02103">
            <w:pPr>
              <w:contextualSpacing/>
              <w:jc w:val="center"/>
              <w:rPr>
                <w:rFonts w:eastAsia="Times New Roman"/>
                <w:color w:val="000000"/>
                <w:sz w:val="22"/>
                <w:szCs w:val="22"/>
              </w:rPr>
            </w:pPr>
            <w:r w:rsidRPr="006A437E">
              <w:rPr>
                <w:sz w:val="22"/>
                <w:szCs w:val="22"/>
              </w:rPr>
              <w:t xml:space="preserve"> 186 </w:t>
            </w:r>
          </w:p>
        </w:tc>
        <w:tc>
          <w:tcPr>
            <w:tcW w:w="1328" w:type="dxa"/>
            <w:noWrap/>
            <w:hideMark/>
          </w:tcPr>
          <w:p w14:paraId="0BC5BDF6" w14:textId="63CA8741" w:rsidR="00240738" w:rsidRPr="006A437E" w:rsidRDefault="00240738" w:rsidP="00C02103">
            <w:pPr>
              <w:contextualSpacing/>
              <w:jc w:val="center"/>
              <w:rPr>
                <w:rFonts w:eastAsia="Times New Roman"/>
                <w:color w:val="000000"/>
                <w:sz w:val="22"/>
                <w:szCs w:val="22"/>
              </w:rPr>
            </w:pPr>
            <w:r w:rsidRPr="006A437E">
              <w:rPr>
                <w:sz w:val="22"/>
                <w:szCs w:val="22"/>
              </w:rPr>
              <w:t>4.</w:t>
            </w:r>
            <w:r w:rsidR="006C2E56" w:rsidRPr="006A437E">
              <w:rPr>
                <w:sz w:val="22"/>
                <w:szCs w:val="22"/>
              </w:rPr>
              <w:t>2</w:t>
            </w:r>
          </w:p>
        </w:tc>
        <w:tc>
          <w:tcPr>
            <w:tcW w:w="1328" w:type="dxa"/>
            <w:noWrap/>
            <w:hideMark/>
          </w:tcPr>
          <w:p w14:paraId="3C153426" w14:textId="7873C431" w:rsidR="00240738" w:rsidRPr="006A437E" w:rsidRDefault="00240738" w:rsidP="00C02103">
            <w:pPr>
              <w:contextualSpacing/>
              <w:jc w:val="center"/>
              <w:rPr>
                <w:rFonts w:eastAsia="Times New Roman"/>
                <w:color w:val="000000"/>
                <w:sz w:val="22"/>
                <w:szCs w:val="22"/>
              </w:rPr>
            </w:pPr>
            <w:r w:rsidRPr="006A437E">
              <w:rPr>
                <w:sz w:val="22"/>
                <w:szCs w:val="22"/>
              </w:rPr>
              <w:t xml:space="preserve"> 196 </w:t>
            </w:r>
          </w:p>
        </w:tc>
        <w:tc>
          <w:tcPr>
            <w:tcW w:w="1328" w:type="dxa"/>
            <w:noWrap/>
            <w:hideMark/>
          </w:tcPr>
          <w:p w14:paraId="147E6EF9" w14:textId="73709D52" w:rsidR="00240738" w:rsidRPr="006A437E" w:rsidRDefault="00240738" w:rsidP="00C02103">
            <w:pPr>
              <w:contextualSpacing/>
              <w:jc w:val="center"/>
              <w:rPr>
                <w:rFonts w:eastAsia="Times New Roman"/>
                <w:color w:val="000000"/>
                <w:sz w:val="22"/>
                <w:szCs w:val="22"/>
              </w:rPr>
            </w:pPr>
            <w:r w:rsidRPr="006A437E">
              <w:rPr>
                <w:sz w:val="22"/>
                <w:szCs w:val="22"/>
              </w:rPr>
              <w:t>4.</w:t>
            </w:r>
            <w:r w:rsidR="006C2E56" w:rsidRPr="006A437E">
              <w:rPr>
                <w:sz w:val="22"/>
                <w:szCs w:val="22"/>
              </w:rPr>
              <w:t>2</w:t>
            </w:r>
          </w:p>
        </w:tc>
        <w:tc>
          <w:tcPr>
            <w:tcW w:w="1328" w:type="dxa"/>
            <w:noWrap/>
            <w:hideMark/>
          </w:tcPr>
          <w:p w14:paraId="5173FFC7" w14:textId="19839566" w:rsidR="00240738" w:rsidRPr="006A437E" w:rsidRDefault="00240738" w:rsidP="00C02103">
            <w:pPr>
              <w:contextualSpacing/>
              <w:jc w:val="center"/>
              <w:rPr>
                <w:rFonts w:eastAsia="Times New Roman"/>
                <w:color w:val="000000"/>
                <w:sz w:val="22"/>
                <w:szCs w:val="22"/>
              </w:rPr>
            </w:pPr>
            <w:r w:rsidRPr="006A437E">
              <w:rPr>
                <w:sz w:val="22"/>
                <w:szCs w:val="22"/>
              </w:rPr>
              <w:t xml:space="preserve"> 218 </w:t>
            </w:r>
          </w:p>
        </w:tc>
        <w:tc>
          <w:tcPr>
            <w:tcW w:w="1328" w:type="dxa"/>
            <w:noWrap/>
            <w:hideMark/>
          </w:tcPr>
          <w:p w14:paraId="6A284D68" w14:textId="0ACB2473" w:rsidR="00240738" w:rsidRPr="006A437E" w:rsidRDefault="00240738" w:rsidP="00C02103">
            <w:pPr>
              <w:contextualSpacing/>
              <w:jc w:val="center"/>
              <w:rPr>
                <w:rFonts w:eastAsia="Times New Roman"/>
                <w:color w:val="000000"/>
                <w:sz w:val="22"/>
                <w:szCs w:val="22"/>
              </w:rPr>
            </w:pPr>
            <w:r w:rsidRPr="006A437E">
              <w:rPr>
                <w:sz w:val="22"/>
                <w:szCs w:val="22"/>
              </w:rPr>
              <w:t>4.</w:t>
            </w:r>
            <w:r w:rsidR="006C2E56" w:rsidRPr="006A437E">
              <w:rPr>
                <w:sz w:val="22"/>
                <w:szCs w:val="22"/>
              </w:rPr>
              <w:t>5</w:t>
            </w:r>
          </w:p>
        </w:tc>
      </w:tr>
      <w:tr w:rsidR="00240738" w:rsidRPr="006A437E" w14:paraId="0C02A938" w14:textId="77777777" w:rsidTr="00585583">
        <w:trPr>
          <w:cantSplit/>
          <w:trHeight w:val="288"/>
          <w:jc w:val="center"/>
        </w:trPr>
        <w:tc>
          <w:tcPr>
            <w:tcW w:w="2420" w:type="dxa"/>
            <w:noWrap/>
            <w:hideMark/>
          </w:tcPr>
          <w:p w14:paraId="3DF14516" w14:textId="77777777" w:rsidR="00240738" w:rsidRPr="006A437E" w:rsidRDefault="00240738" w:rsidP="00C02103">
            <w:pPr>
              <w:contextualSpacing/>
              <w:jc w:val="center"/>
              <w:rPr>
                <w:rFonts w:eastAsia="Times New Roman"/>
                <w:color w:val="000000"/>
                <w:sz w:val="22"/>
                <w:szCs w:val="22"/>
              </w:rPr>
            </w:pPr>
            <w:r w:rsidRPr="006A437E">
              <w:rPr>
                <w:rFonts w:eastAsia="Times New Roman"/>
                <w:color w:val="000000"/>
                <w:sz w:val="22"/>
                <w:szCs w:val="22"/>
              </w:rPr>
              <w:t>36-55</w:t>
            </w:r>
          </w:p>
        </w:tc>
        <w:tc>
          <w:tcPr>
            <w:tcW w:w="1327" w:type="dxa"/>
            <w:noWrap/>
            <w:hideMark/>
          </w:tcPr>
          <w:p w14:paraId="6BF42299" w14:textId="73A57664" w:rsidR="00240738" w:rsidRPr="006A437E" w:rsidRDefault="00240738" w:rsidP="00C02103">
            <w:pPr>
              <w:contextualSpacing/>
              <w:jc w:val="center"/>
              <w:rPr>
                <w:rFonts w:eastAsia="Times New Roman"/>
                <w:color w:val="000000"/>
                <w:sz w:val="22"/>
                <w:szCs w:val="22"/>
              </w:rPr>
            </w:pPr>
            <w:r w:rsidRPr="006A437E">
              <w:rPr>
                <w:sz w:val="22"/>
                <w:szCs w:val="22"/>
              </w:rPr>
              <w:t xml:space="preserve"> 794 </w:t>
            </w:r>
          </w:p>
        </w:tc>
        <w:tc>
          <w:tcPr>
            <w:tcW w:w="1328" w:type="dxa"/>
            <w:noWrap/>
            <w:hideMark/>
          </w:tcPr>
          <w:p w14:paraId="0FE03DF9" w14:textId="6BB3AE70" w:rsidR="00240738" w:rsidRPr="006A437E" w:rsidRDefault="00240738" w:rsidP="00C02103">
            <w:pPr>
              <w:contextualSpacing/>
              <w:jc w:val="center"/>
              <w:rPr>
                <w:rFonts w:eastAsia="Times New Roman"/>
                <w:color w:val="000000"/>
                <w:sz w:val="22"/>
                <w:szCs w:val="22"/>
              </w:rPr>
            </w:pPr>
            <w:r w:rsidRPr="006A437E">
              <w:rPr>
                <w:sz w:val="22"/>
                <w:szCs w:val="22"/>
              </w:rPr>
              <w:t>17.7</w:t>
            </w:r>
          </w:p>
        </w:tc>
        <w:tc>
          <w:tcPr>
            <w:tcW w:w="1328" w:type="dxa"/>
            <w:noWrap/>
            <w:hideMark/>
          </w:tcPr>
          <w:p w14:paraId="28B62CA3" w14:textId="79F1EF1C" w:rsidR="00240738" w:rsidRPr="006A437E" w:rsidRDefault="00240738" w:rsidP="00C02103">
            <w:pPr>
              <w:contextualSpacing/>
              <w:jc w:val="center"/>
              <w:rPr>
                <w:rFonts w:eastAsia="Times New Roman"/>
                <w:color w:val="000000"/>
                <w:sz w:val="22"/>
                <w:szCs w:val="22"/>
              </w:rPr>
            </w:pPr>
            <w:r w:rsidRPr="006A437E">
              <w:rPr>
                <w:sz w:val="22"/>
                <w:szCs w:val="22"/>
              </w:rPr>
              <w:t xml:space="preserve"> 836 </w:t>
            </w:r>
          </w:p>
        </w:tc>
        <w:tc>
          <w:tcPr>
            <w:tcW w:w="1328" w:type="dxa"/>
            <w:noWrap/>
            <w:hideMark/>
          </w:tcPr>
          <w:p w14:paraId="6FDB1F03" w14:textId="5B2C04F9" w:rsidR="00240738" w:rsidRPr="006A437E" w:rsidRDefault="00240738" w:rsidP="00C02103">
            <w:pPr>
              <w:contextualSpacing/>
              <w:jc w:val="center"/>
              <w:rPr>
                <w:rFonts w:eastAsia="Times New Roman"/>
                <w:color w:val="000000"/>
                <w:sz w:val="22"/>
                <w:szCs w:val="22"/>
              </w:rPr>
            </w:pPr>
            <w:r w:rsidRPr="006A437E">
              <w:rPr>
                <w:sz w:val="22"/>
                <w:szCs w:val="22"/>
              </w:rPr>
              <w:t>17.</w:t>
            </w:r>
            <w:r w:rsidR="006C2E56" w:rsidRPr="006A437E">
              <w:rPr>
                <w:sz w:val="22"/>
                <w:szCs w:val="22"/>
              </w:rPr>
              <w:t>7</w:t>
            </w:r>
          </w:p>
        </w:tc>
        <w:tc>
          <w:tcPr>
            <w:tcW w:w="1328" w:type="dxa"/>
            <w:noWrap/>
            <w:hideMark/>
          </w:tcPr>
          <w:p w14:paraId="44419FF7" w14:textId="3D46AFD0" w:rsidR="00240738" w:rsidRPr="006A437E" w:rsidRDefault="00240738" w:rsidP="00C02103">
            <w:pPr>
              <w:contextualSpacing/>
              <w:jc w:val="center"/>
              <w:rPr>
                <w:rFonts w:eastAsia="Times New Roman"/>
                <w:color w:val="000000"/>
                <w:sz w:val="22"/>
                <w:szCs w:val="22"/>
              </w:rPr>
            </w:pPr>
            <w:r w:rsidRPr="006A437E">
              <w:rPr>
                <w:sz w:val="22"/>
                <w:szCs w:val="22"/>
              </w:rPr>
              <w:t xml:space="preserve"> 879 </w:t>
            </w:r>
          </w:p>
        </w:tc>
        <w:tc>
          <w:tcPr>
            <w:tcW w:w="1328" w:type="dxa"/>
            <w:noWrap/>
            <w:hideMark/>
          </w:tcPr>
          <w:p w14:paraId="24A29389" w14:textId="72DDB179" w:rsidR="00240738" w:rsidRPr="006A437E" w:rsidRDefault="00240738" w:rsidP="00C02103">
            <w:pPr>
              <w:contextualSpacing/>
              <w:jc w:val="center"/>
              <w:rPr>
                <w:rFonts w:eastAsia="Times New Roman"/>
                <w:color w:val="000000"/>
                <w:sz w:val="22"/>
                <w:szCs w:val="22"/>
              </w:rPr>
            </w:pPr>
            <w:r w:rsidRPr="006A437E">
              <w:rPr>
                <w:sz w:val="22"/>
                <w:szCs w:val="22"/>
              </w:rPr>
              <w:t>18.</w:t>
            </w:r>
            <w:r w:rsidR="006C2E56" w:rsidRPr="006A437E">
              <w:rPr>
                <w:sz w:val="22"/>
                <w:szCs w:val="22"/>
              </w:rPr>
              <w:t>1</w:t>
            </w:r>
          </w:p>
        </w:tc>
      </w:tr>
      <w:tr w:rsidR="00240738" w:rsidRPr="006A437E" w14:paraId="7F569A62" w14:textId="77777777" w:rsidTr="00585583">
        <w:trPr>
          <w:cantSplit/>
          <w:trHeight w:val="288"/>
          <w:jc w:val="center"/>
        </w:trPr>
        <w:tc>
          <w:tcPr>
            <w:tcW w:w="2420" w:type="dxa"/>
            <w:noWrap/>
            <w:hideMark/>
          </w:tcPr>
          <w:p w14:paraId="5D227088" w14:textId="77777777" w:rsidR="00240738" w:rsidRPr="006A437E" w:rsidRDefault="00240738" w:rsidP="00C02103">
            <w:pPr>
              <w:contextualSpacing/>
              <w:jc w:val="center"/>
              <w:rPr>
                <w:rFonts w:eastAsia="Times New Roman"/>
                <w:color w:val="000000"/>
                <w:sz w:val="22"/>
                <w:szCs w:val="22"/>
              </w:rPr>
            </w:pPr>
            <w:r w:rsidRPr="006A437E">
              <w:rPr>
                <w:color w:val="000000"/>
                <w:sz w:val="22"/>
                <w:szCs w:val="22"/>
              </w:rPr>
              <w:t>56-75</w:t>
            </w:r>
          </w:p>
        </w:tc>
        <w:tc>
          <w:tcPr>
            <w:tcW w:w="1327" w:type="dxa"/>
            <w:noWrap/>
            <w:hideMark/>
          </w:tcPr>
          <w:p w14:paraId="0D43EB2C" w14:textId="55F7A58C" w:rsidR="00240738" w:rsidRPr="006A437E" w:rsidRDefault="00240738" w:rsidP="00C02103">
            <w:pPr>
              <w:contextualSpacing/>
              <w:jc w:val="center"/>
              <w:rPr>
                <w:rFonts w:eastAsia="Times New Roman"/>
                <w:color w:val="000000"/>
                <w:sz w:val="22"/>
                <w:szCs w:val="22"/>
              </w:rPr>
            </w:pPr>
            <w:r w:rsidRPr="006A437E">
              <w:rPr>
                <w:sz w:val="22"/>
                <w:szCs w:val="22"/>
              </w:rPr>
              <w:t xml:space="preserve"> 2,575 </w:t>
            </w:r>
          </w:p>
        </w:tc>
        <w:tc>
          <w:tcPr>
            <w:tcW w:w="1328" w:type="dxa"/>
            <w:noWrap/>
            <w:hideMark/>
          </w:tcPr>
          <w:p w14:paraId="01A1C1B1" w14:textId="6737F91E" w:rsidR="00240738" w:rsidRPr="006A437E" w:rsidRDefault="00240738" w:rsidP="00C02103">
            <w:pPr>
              <w:contextualSpacing/>
              <w:jc w:val="center"/>
              <w:rPr>
                <w:rFonts w:eastAsia="Times New Roman"/>
                <w:color w:val="000000"/>
                <w:sz w:val="22"/>
                <w:szCs w:val="22"/>
              </w:rPr>
            </w:pPr>
            <w:r w:rsidRPr="006A437E">
              <w:rPr>
                <w:sz w:val="22"/>
                <w:szCs w:val="22"/>
              </w:rPr>
              <w:t>57.4</w:t>
            </w:r>
          </w:p>
        </w:tc>
        <w:tc>
          <w:tcPr>
            <w:tcW w:w="1328" w:type="dxa"/>
            <w:noWrap/>
            <w:hideMark/>
          </w:tcPr>
          <w:p w14:paraId="35905A73" w14:textId="1EE42ECA" w:rsidR="00240738" w:rsidRPr="006A437E" w:rsidRDefault="00240738" w:rsidP="00C02103">
            <w:pPr>
              <w:contextualSpacing/>
              <w:jc w:val="center"/>
              <w:rPr>
                <w:rFonts w:eastAsia="Times New Roman"/>
                <w:color w:val="000000"/>
                <w:sz w:val="22"/>
                <w:szCs w:val="22"/>
              </w:rPr>
            </w:pPr>
            <w:r w:rsidRPr="006A437E">
              <w:rPr>
                <w:sz w:val="22"/>
                <w:szCs w:val="22"/>
              </w:rPr>
              <w:t xml:space="preserve"> 2,668 </w:t>
            </w:r>
          </w:p>
        </w:tc>
        <w:tc>
          <w:tcPr>
            <w:tcW w:w="1328" w:type="dxa"/>
            <w:noWrap/>
            <w:hideMark/>
          </w:tcPr>
          <w:p w14:paraId="7DEABBA0" w14:textId="42C7B79F" w:rsidR="00240738" w:rsidRPr="006A437E" w:rsidRDefault="00240738" w:rsidP="00C02103">
            <w:pPr>
              <w:contextualSpacing/>
              <w:jc w:val="center"/>
              <w:rPr>
                <w:rFonts w:eastAsia="Times New Roman"/>
                <w:color w:val="000000"/>
                <w:sz w:val="22"/>
                <w:szCs w:val="22"/>
              </w:rPr>
            </w:pPr>
            <w:r w:rsidRPr="006A437E">
              <w:rPr>
                <w:sz w:val="22"/>
                <w:szCs w:val="22"/>
              </w:rPr>
              <w:t>56.4</w:t>
            </w:r>
          </w:p>
        </w:tc>
        <w:tc>
          <w:tcPr>
            <w:tcW w:w="1328" w:type="dxa"/>
            <w:noWrap/>
            <w:hideMark/>
          </w:tcPr>
          <w:p w14:paraId="312CEA3A" w14:textId="680886AE" w:rsidR="00240738" w:rsidRPr="006A437E" w:rsidRDefault="00240738" w:rsidP="00C02103">
            <w:pPr>
              <w:contextualSpacing/>
              <w:jc w:val="center"/>
              <w:rPr>
                <w:rFonts w:eastAsia="Times New Roman"/>
                <w:color w:val="000000"/>
                <w:sz w:val="22"/>
                <w:szCs w:val="22"/>
              </w:rPr>
            </w:pPr>
            <w:r w:rsidRPr="006A437E">
              <w:rPr>
                <w:sz w:val="22"/>
                <w:szCs w:val="22"/>
              </w:rPr>
              <w:t xml:space="preserve"> 2,848 </w:t>
            </w:r>
          </w:p>
        </w:tc>
        <w:tc>
          <w:tcPr>
            <w:tcW w:w="1328" w:type="dxa"/>
            <w:noWrap/>
            <w:hideMark/>
          </w:tcPr>
          <w:p w14:paraId="23228BB6" w14:textId="36C533D5" w:rsidR="00240738" w:rsidRPr="006A437E" w:rsidRDefault="00240738" w:rsidP="00C02103">
            <w:pPr>
              <w:contextualSpacing/>
              <w:jc w:val="center"/>
              <w:rPr>
                <w:rFonts w:eastAsia="Times New Roman"/>
                <w:color w:val="000000"/>
                <w:sz w:val="22"/>
                <w:szCs w:val="22"/>
              </w:rPr>
            </w:pPr>
            <w:r w:rsidRPr="006A437E">
              <w:rPr>
                <w:sz w:val="22"/>
                <w:szCs w:val="22"/>
              </w:rPr>
              <w:t>58.</w:t>
            </w:r>
            <w:r w:rsidR="006C2E56" w:rsidRPr="006A437E">
              <w:rPr>
                <w:sz w:val="22"/>
                <w:szCs w:val="22"/>
              </w:rPr>
              <w:t>5</w:t>
            </w:r>
          </w:p>
        </w:tc>
      </w:tr>
      <w:tr w:rsidR="00240738" w:rsidRPr="006A437E" w14:paraId="34C272FF" w14:textId="77777777" w:rsidTr="00585583">
        <w:trPr>
          <w:cantSplit/>
          <w:trHeight w:val="288"/>
          <w:jc w:val="center"/>
        </w:trPr>
        <w:tc>
          <w:tcPr>
            <w:tcW w:w="2420" w:type="dxa"/>
            <w:noWrap/>
          </w:tcPr>
          <w:p w14:paraId="386D9691" w14:textId="77777777" w:rsidR="00240738" w:rsidRPr="006A437E" w:rsidRDefault="00240738" w:rsidP="00C02103">
            <w:pPr>
              <w:contextualSpacing/>
              <w:jc w:val="center"/>
              <w:rPr>
                <w:rFonts w:eastAsia="Times New Roman"/>
                <w:color w:val="000000"/>
                <w:sz w:val="22"/>
                <w:szCs w:val="22"/>
              </w:rPr>
            </w:pPr>
            <w:r w:rsidRPr="006A437E">
              <w:rPr>
                <w:color w:val="000000"/>
                <w:sz w:val="22"/>
                <w:szCs w:val="22"/>
              </w:rPr>
              <w:t>&gt;75</w:t>
            </w:r>
          </w:p>
        </w:tc>
        <w:tc>
          <w:tcPr>
            <w:tcW w:w="1327" w:type="dxa"/>
            <w:noWrap/>
          </w:tcPr>
          <w:p w14:paraId="5F3600FB" w14:textId="6836FFA3" w:rsidR="00240738" w:rsidRPr="006A437E" w:rsidRDefault="00240738" w:rsidP="00C02103">
            <w:pPr>
              <w:contextualSpacing/>
              <w:jc w:val="center"/>
              <w:rPr>
                <w:rFonts w:eastAsia="Times New Roman"/>
                <w:color w:val="000000"/>
                <w:sz w:val="22"/>
                <w:szCs w:val="22"/>
              </w:rPr>
            </w:pPr>
            <w:r w:rsidRPr="006A437E">
              <w:rPr>
                <w:sz w:val="22"/>
                <w:szCs w:val="22"/>
              </w:rPr>
              <w:t xml:space="preserve"> 928 </w:t>
            </w:r>
          </w:p>
        </w:tc>
        <w:tc>
          <w:tcPr>
            <w:tcW w:w="1328" w:type="dxa"/>
            <w:noWrap/>
          </w:tcPr>
          <w:p w14:paraId="35D081E3" w14:textId="695CEC9B" w:rsidR="00240738" w:rsidRPr="006A437E" w:rsidRDefault="00240738" w:rsidP="00C02103">
            <w:pPr>
              <w:contextualSpacing/>
              <w:jc w:val="center"/>
              <w:rPr>
                <w:rFonts w:eastAsia="Times New Roman"/>
                <w:color w:val="000000"/>
                <w:sz w:val="22"/>
                <w:szCs w:val="22"/>
              </w:rPr>
            </w:pPr>
            <w:r w:rsidRPr="006A437E">
              <w:rPr>
                <w:sz w:val="22"/>
                <w:szCs w:val="22"/>
              </w:rPr>
              <w:t>20.7</w:t>
            </w:r>
          </w:p>
        </w:tc>
        <w:tc>
          <w:tcPr>
            <w:tcW w:w="1328" w:type="dxa"/>
            <w:noWrap/>
          </w:tcPr>
          <w:p w14:paraId="1B13C01A" w14:textId="6036F020" w:rsidR="00240738" w:rsidRPr="006A437E" w:rsidRDefault="00240738" w:rsidP="00C02103">
            <w:pPr>
              <w:contextualSpacing/>
              <w:jc w:val="center"/>
              <w:rPr>
                <w:rFonts w:eastAsia="Times New Roman"/>
                <w:color w:val="000000"/>
                <w:sz w:val="22"/>
                <w:szCs w:val="22"/>
              </w:rPr>
            </w:pPr>
            <w:r w:rsidRPr="006A437E">
              <w:rPr>
                <w:sz w:val="22"/>
                <w:szCs w:val="22"/>
              </w:rPr>
              <w:t xml:space="preserve"> 1,027 </w:t>
            </w:r>
          </w:p>
        </w:tc>
        <w:tc>
          <w:tcPr>
            <w:tcW w:w="1328" w:type="dxa"/>
            <w:noWrap/>
          </w:tcPr>
          <w:p w14:paraId="5FBD68BB" w14:textId="02DC2F93" w:rsidR="00240738" w:rsidRPr="006A437E" w:rsidRDefault="00240738" w:rsidP="00C02103">
            <w:pPr>
              <w:contextualSpacing/>
              <w:jc w:val="center"/>
              <w:rPr>
                <w:rFonts w:eastAsia="Times New Roman"/>
                <w:color w:val="000000"/>
                <w:sz w:val="22"/>
                <w:szCs w:val="22"/>
              </w:rPr>
            </w:pPr>
            <w:r w:rsidRPr="006A437E">
              <w:rPr>
                <w:sz w:val="22"/>
                <w:szCs w:val="22"/>
              </w:rPr>
              <w:t>21.7</w:t>
            </w:r>
          </w:p>
        </w:tc>
        <w:tc>
          <w:tcPr>
            <w:tcW w:w="1328" w:type="dxa"/>
            <w:noWrap/>
          </w:tcPr>
          <w:p w14:paraId="0067AC1F" w14:textId="1511C59F" w:rsidR="00240738" w:rsidRPr="006A437E" w:rsidRDefault="00240738" w:rsidP="00C02103">
            <w:pPr>
              <w:contextualSpacing/>
              <w:jc w:val="center"/>
              <w:rPr>
                <w:rFonts w:eastAsia="Times New Roman"/>
                <w:color w:val="000000"/>
                <w:sz w:val="22"/>
                <w:szCs w:val="22"/>
              </w:rPr>
            </w:pPr>
            <w:r w:rsidRPr="006A437E">
              <w:rPr>
                <w:sz w:val="22"/>
                <w:szCs w:val="22"/>
              </w:rPr>
              <w:t xml:space="preserve"> 923 </w:t>
            </w:r>
          </w:p>
        </w:tc>
        <w:tc>
          <w:tcPr>
            <w:tcW w:w="1328" w:type="dxa"/>
            <w:noWrap/>
          </w:tcPr>
          <w:p w14:paraId="2442E11A" w14:textId="3F34DCAD" w:rsidR="00240738" w:rsidRPr="006A437E" w:rsidRDefault="00240738" w:rsidP="00C02103">
            <w:pPr>
              <w:contextualSpacing/>
              <w:jc w:val="center"/>
              <w:rPr>
                <w:rFonts w:eastAsia="Times New Roman"/>
                <w:color w:val="000000"/>
                <w:sz w:val="22"/>
                <w:szCs w:val="22"/>
              </w:rPr>
            </w:pPr>
            <w:r w:rsidRPr="006A437E">
              <w:rPr>
                <w:sz w:val="22"/>
                <w:szCs w:val="22"/>
              </w:rPr>
              <w:t>1</w:t>
            </w:r>
            <w:r w:rsidR="006C2E56" w:rsidRPr="006A437E">
              <w:rPr>
                <w:sz w:val="22"/>
                <w:szCs w:val="22"/>
              </w:rPr>
              <w:t>9.0</w:t>
            </w:r>
          </w:p>
        </w:tc>
      </w:tr>
      <w:tr w:rsidR="00005CA8" w:rsidRPr="006A437E" w14:paraId="15E9AFE1" w14:textId="77777777" w:rsidTr="00585583">
        <w:trPr>
          <w:cantSplit/>
          <w:trHeight w:val="288"/>
          <w:jc w:val="center"/>
        </w:trPr>
        <w:tc>
          <w:tcPr>
            <w:tcW w:w="2420" w:type="dxa"/>
            <w:noWrap/>
            <w:hideMark/>
          </w:tcPr>
          <w:p w14:paraId="58319B52" w14:textId="3FE5F8B5" w:rsidR="00005CA8" w:rsidRPr="006A437E" w:rsidRDefault="00005CA8" w:rsidP="00C02103">
            <w:pPr>
              <w:contextualSpacing/>
              <w:jc w:val="center"/>
              <w:rPr>
                <w:rFonts w:eastAsia="Times New Roman"/>
                <w:b/>
                <w:bCs/>
                <w:color w:val="000000"/>
                <w:sz w:val="22"/>
                <w:szCs w:val="22"/>
              </w:rPr>
            </w:pPr>
            <w:r w:rsidRPr="006A437E">
              <w:rPr>
                <w:rFonts w:eastAsia="Times New Roman"/>
                <w:b/>
                <w:bCs/>
                <w:color w:val="000000"/>
                <w:sz w:val="22"/>
                <w:szCs w:val="22"/>
              </w:rPr>
              <w:t>Geography</w:t>
            </w:r>
          </w:p>
        </w:tc>
        <w:tc>
          <w:tcPr>
            <w:tcW w:w="1327" w:type="dxa"/>
            <w:noWrap/>
          </w:tcPr>
          <w:p w14:paraId="02206E96"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313F2325"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5E341430"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0EF76CCD"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4515B583" w14:textId="77777777" w:rsidR="00005CA8" w:rsidRPr="006A437E" w:rsidRDefault="00005CA8" w:rsidP="00C02103">
            <w:pPr>
              <w:contextualSpacing/>
              <w:jc w:val="center"/>
              <w:rPr>
                <w:rFonts w:eastAsia="Times New Roman"/>
                <w:color w:val="000000"/>
                <w:sz w:val="22"/>
                <w:szCs w:val="22"/>
              </w:rPr>
            </w:pPr>
          </w:p>
        </w:tc>
        <w:tc>
          <w:tcPr>
            <w:tcW w:w="1328" w:type="dxa"/>
            <w:noWrap/>
          </w:tcPr>
          <w:p w14:paraId="6CE12F8A" w14:textId="77777777" w:rsidR="00005CA8" w:rsidRPr="006A437E" w:rsidRDefault="00005CA8" w:rsidP="00C02103">
            <w:pPr>
              <w:contextualSpacing/>
              <w:jc w:val="center"/>
              <w:rPr>
                <w:rFonts w:eastAsia="Times New Roman"/>
                <w:color w:val="000000"/>
                <w:sz w:val="22"/>
                <w:szCs w:val="22"/>
              </w:rPr>
            </w:pPr>
          </w:p>
        </w:tc>
      </w:tr>
      <w:tr w:rsidR="006F1D33" w:rsidRPr="006A437E" w14:paraId="69EC885A" w14:textId="77777777" w:rsidTr="00585583">
        <w:trPr>
          <w:cantSplit/>
          <w:trHeight w:val="288"/>
          <w:jc w:val="center"/>
        </w:trPr>
        <w:tc>
          <w:tcPr>
            <w:tcW w:w="2420" w:type="dxa"/>
            <w:noWrap/>
            <w:hideMark/>
          </w:tcPr>
          <w:p w14:paraId="410D1032" w14:textId="77777777" w:rsidR="006F1D33" w:rsidRPr="006A437E" w:rsidRDefault="006F1D33" w:rsidP="00C02103">
            <w:pPr>
              <w:contextualSpacing/>
              <w:jc w:val="center"/>
              <w:rPr>
                <w:rFonts w:eastAsia="Times New Roman"/>
                <w:color w:val="000000"/>
                <w:sz w:val="22"/>
                <w:szCs w:val="22"/>
              </w:rPr>
            </w:pPr>
            <w:r w:rsidRPr="006A437E">
              <w:rPr>
                <w:rFonts w:eastAsia="Times New Roman"/>
                <w:color w:val="000000"/>
                <w:sz w:val="22"/>
                <w:szCs w:val="22"/>
              </w:rPr>
              <w:t>Massachusetts</w:t>
            </w:r>
          </w:p>
        </w:tc>
        <w:tc>
          <w:tcPr>
            <w:tcW w:w="1327" w:type="dxa"/>
            <w:noWrap/>
            <w:hideMark/>
          </w:tcPr>
          <w:p w14:paraId="2D33369E" w14:textId="4798BF1E" w:rsidR="006F1D33" w:rsidRPr="006A437E" w:rsidRDefault="006F1D33" w:rsidP="00C02103">
            <w:pPr>
              <w:contextualSpacing/>
              <w:jc w:val="center"/>
              <w:rPr>
                <w:rFonts w:eastAsia="Times New Roman"/>
                <w:color w:val="000000"/>
                <w:sz w:val="22"/>
                <w:szCs w:val="22"/>
              </w:rPr>
            </w:pPr>
            <w:r w:rsidRPr="006A437E">
              <w:rPr>
                <w:sz w:val="22"/>
                <w:szCs w:val="22"/>
              </w:rPr>
              <w:t>3,252</w:t>
            </w:r>
          </w:p>
        </w:tc>
        <w:tc>
          <w:tcPr>
            <w:tcW w:w="1328" w:type="dxa"/>
            <w:noWrap/>
            <w:hideMark/>
          </w:tcPr>
          <w:p w14:paraId="20C306D2" w14:textId="154B2818" w:rsidR="006F1D33" w:rsidRPr="006A437E" w:rsidRDefault="006F1D33" w:rsidP="00C02103">
            <w:pPr>
              <w:contextualSpacing/>
              <w:jc w:val="center"/>
              <w:rPr>
                <w:rFonts w:eastAsia="Times New Roman"/>
                <w:color w:val="000000"/>
                <w:sz w:val="22"/>
                <w:szCs w:val="22"/>
              </w:rPr>
            </w:pPr>
            <w:r w:rsidRPr="006A437E">
              <w:rPr>
                <w:sz w:val="22"/>
                <w:szCs w:val="22"/>
              </w:rPr>
              <w:t>72.</w:t>
            </w:r>
            <w:r w:rsidR="006C2E56" w:rsidRPr="006A437E">
              <w:rPr>
                <w:sz w:val="22"/>
                <w:szCs w:val="22"/>
              </w:rPr>
              <w:t>3</w:t>
            </w:r>
          </w:p>
        </w:tc>
        <w:tc>
          <w:tcPr>
            <w:tcW w:w="1328" w:type="dxa"/>
            <w:noWrap/>
            <w:hideMark/>
          </w:tcPr>
          <w:p w14:paraId="74E95B56" w14:textId="016E4837" w:rsidR="006F1D33" w:rsidRPr="006A437E" w:rsidRDefault="006F1D33" w:rsidP="00C02103">
            <w:pPr>
              <w:contextualSpacing/>
              <w:jc w:val="center"/>
              <w:rPr>
                <w:rFonts w:eastAsia="Times New Roman"/>
                <w:color w:val="000000"/>
                <w:sz w:val="22"/>
                <w:szCs w:val="22"/>
              </w:rPr>
            </w:pPr>
            <w:r w:rsidRPr="006A437E">
              <w:rPr>
                <w:sz w:val="22"/>
                <w:szCs w:val="22"/>
              </w:rPr>
              <w:t>3,518</w:t>
            </w:r>
          </w:p>
        </w:tc>
        <w:tc>
          <w:tcPr>
            <w:tcW w:w="1328" w:type="dxa"/>
            <w:noWrap/>
            <w:hideMark/>
          </w:tcPr>
          <w:p w14:paraId="3761E329" w14:textId="3DDAA1CE" w:rsidR="006F1D33" w:rsidRPr="006A437E" w:rsidRDefault="006F1D33" w:rsidP="00C02103">
            <w:pPr>
              <w:contextualSpacing/>
              <w:jc w:val="center"/>
              <w:rPr>
                <w:rFonts w:eastAsia="Times New Roman"/>
                <w:color w:val="000000"/>
                <w:sz w:val="22"/>
                <w:szCs w:val="22"/>
              </w:rPr>
            </w:pPr>
            <w:r w:rsidRPr="006A437E">
              <w:rPr>
                <w:sz w:val="22"/>
                <w:szCs w:val="22"/>
              </w:rPr>
              <w:t>73.</w:t>
            </w:r>
            <w:r w:rsidR="0023038B" w:rsidRPr="006A437E">
              <w:rPr>
                <w:sz w:val="22"/>
                <w:szCs w:val="22"/>
              </w:rPr>
              <w:t>6</w:t>
            </w:r>
          </w:p>
        </w:tc>
        <w:tc>
          <w:tcPr>
            <w:tcW w:w="1328" w:type="dxa"/>
            <w:noWrap/>
            <w:hideMark/>
          </w:tcPr>
          <w:p w14:paraId="41546B8B" w14:textId="4ECE7FBB" w:rsidR="006F1D33" w:rsidRPr="006A437E" w:rsidRDefault="006F1D33" w:rsidP="00C02103">
            <w:pPr>
              <w:contextualSpacing/>
              <w:jc w:val="center"/>
              <w:rPr>
                <w:rFonts w:eastAsia="Times New Roman"/>
                <w:color w:val="000000"/>
                <w:sz w:val="22"/>
                <w:szCs w:val="22"/>
              </w:rPr>
            </w:pPr>
            <w:r w:rsidRPr="006A437E">
              <w:rPr>
                <w:sz w:val="22"/>
                <w:szCs w:val="22"/>
              </w:rPr>
              <w:t>3,572</w:t>
            </w:r>
          </w:p>
        </w:tc>
        <w:tc>
          <w:tcPr>
            <w:tcW w:w="1328" w:type="dxa"/>
            <w:noWrap/>
            <w:hideMark/>
          </w:tcPr>
          <w:p w14:paraId="5EAE908E" w14:textId="08D858A8" w:rsidR="006F1D33" w:rsidRPr="006A437E" w:rsidRDefault="006F1D33" w:rsidP="00C02103">
            <w:pPr>
              <w:contextualSpacing/>
              <w:jc w:val="center"/>
              <w:rPr>
                <w:rFonts w:eastAsia="Times New Roman"/>
                <w:color w:val="000000"/>
                <w:sz w:val="22"/>
                <w:szCs w:val="22"/>
              </w:rPr>
            </w:pPr>
            <w:r w:rsidRPr="006A437E">
              <w:rPr>
                <w:sz w:val="22"/>
                <w:szCs w:val="22"/>
              </w:rPr>
              <w:t>73.</w:t>
            </w:r>
            <w:r w:rsidR="006C2E56" w:rsidRPr="006A437E">
              <w:rPr>
                <w:sz w:val="22"/>
                <w:szCs w:val="22"/>
              </w:rPr>
              <w:t>1</w:t>
            </w:r>
          </w:p>
        </w:tc>
      </w:tr>
      <w:tr w:rsidR="006F1D33" w:rsidRPr="006A437E" w14:paraId="4C61C01C" w14:textId="77777777" w:rsidTr="00585583">
        <w:trPr>
          <w:cantSplit/>
          <w:trHeight w:val="288"/>
          <w:jc w:val="center"/>
        </w:trPr>
        <w:tc>
          <w:tcPr>
            <w:tcW w:w="2420" w:type="dxa"/>
            <w:noWrap/>
            <w:hideMark/>
          </w:tcPr>
          <w:p w14:paraId="3237CCB2" w14:textId="77777777" w:rsidR="006F1D33" w:rsidRPr="006A437E" w:rsidRDefault="006F1D33" w:rsidP="00C02103">
            <w:pPr>
              <w:contextualSpacing/>
              <w:jc w:val="center"/>
              <w:rPr>
                <w:rFonts w:eastAsia="Times New Roman"/>
                <w:color w:val="000000"/>
                <w:sz w:val="22"/>
                <w:szCs w:val="22"/>
              </w:rPr>
            </w:pPr>
            <w:r w:rsidRPr="006A437E">
              <w:rPr>
                <w:rFonts w:eastAsia="Times New Roman"/>
                <w:color w:val="000000"/>
                <w:sz w:val="22"/>
                <w:szCs w:val="22"/>
              </w:rPr>
              <w:t>New York</w:t>
            </w:r>
          </w:p>
        </w:tc>
        <w:tc>
          <w:tcPr>
            <w:tcW w:w="1327" w:type="dxa"/>
            <w:noWrap/>
            <w:hideMark/>
          </w:tcPr>
          <w:p w14:paraId="21B4A700" w14:textId="1F3BB504" w:rsidR="006F1D33" w:rsidRPr="006A437E" w:rsidRDefault="006F1D33" w:rsidP="00C02103">
            <w:pPr>
              <w:contextualSpacing/>
              <w:jc w:val="center"/>
              <w:rPr>
                <w:rFonts w:eastAsia="Times New Roman"/>
                <w:color w:val="000000"/>
                <w:sz w:val="22"/>
                <w:szCs w:val="22"/>
              </w:rPr>
            </w:pPr>
            <w:r w:rsidRPr="006A437E">
              <w:rPr>
                <w:sz w:val="22"/>
                <w:szCs w:val="22"/>
              </w:rPr>
              <w:t>121</w:t>
            </w:r>
          </w:p>
        </w:tc>
        <w:tc>
          <w:tcPr>
            <w:tcW w:w="1328" w:type="dxa"/>
            <w:noWrap/>
            <w:hideMark/>
          </w:tcPr>
          <w:p w14:paraId="2A7778C7" w14:textId="0CA118BA" w:rsidR="006F1D33" w:rsidRPr="006A437E" w:rsidRDefault="0023038B" w:rsidP="00C02103">
            <w:pPr>
              <w:contextualSpacing/>
              <w:jc w:val="center"/>
              <w:rPr>
                <w:rFonts w:eastAsia="Times New Roman"/>
                <w:color w:val="000000"/>
                <w:sz w:val="22"/>
                <w:szCs w:val="22"/>
              </w:rPr>
            </w:pPr>
            <w:r w:rsidRPr="006A437E">
              <w:rPr>
                <w:sz w:val="22"/>
                <w:szCs w:val="22"/>
              </w:rPr>
              <w:t>2.7</w:t>
            </w:r>
          </w:p>
        </w:tc>
        <w:tc>
          <w:tcPr>
            <w:tcW w:w="1328" w:type="dxa"/>
            <w:noWrap/>
            <w:hideMark/>
          </w:tcPr>
          <w:p w14:paraId="44613299" w14:textId="12A33D87" w:rsidR="006F1D33" w:rsidRPr="006A437E" w:rsidRDefault="006F1D33" w:rsidP="00C02103">
            <w:pPr>
              <w:contextualSpacing/>
              <w:jc w:val="center"/>
              <w:rPr>
                <w:rFonts w:eastAsia="Times New Roman"/>
                <w:color w:val="000000"/>
                <w:sz w:val="22"/>
                <w:szCs w:val="22"/>
              </w:rPr>
            </w:pPr>
            <w:r w:rsidRPr="006A437E">
              <w:rPr>
                <w:sz w:val="22"/>
                <w:szCs w:val="22"/>
              </w:rPr>
              <w:t>114</w:t>
            </w:r>
          </w:p>
        </w:tc>
        <w:tc>
          <w:tcPr>
            <w:tcW w:w="1328" w:type="dxa"/>
            <w:noWrap/>
            <w:hideMark/>
          </w:tcPr>
          <w:p w14:paraId="5FDEFC49" w14:textId="1BABE16C" w:rsidR="006F1D33" w:rsidRPr="006A437E" w:rsidRDefault="006F1D33" w:rsidP="00C02103">
            <w:pPr>
              <w:contextualSpacing/>
              <w:jc w:val="center"/>
              <w:rPr>
                <w:rFonts w:eastAsia="Times New Roman"/>
                <w:color w:val="000000"/>
                <w:sz w:val="22"/>
                <w:szCs w:val="22"/>
              </w:rPr>
            </w:pPr>
            <w:r w:rsidRPr="006A437E">
              <w:rPr>
                <w:sz w:val="22"/>
                <w:szCs w:val="22"/>
              </w:rPr>
              <w:t>2.</w:t>
            </w:r>
            <w:r w:rsidR="0023038B" w:rsidRPr="006A437E">
              <w:rPr>
                <w:sz w:val="22"/>
                <w:szCs w:val="22"/>
              </w:rPr>
              <w:t>4</w:t>
            </w:r>
          </w:p>
        </w:tc>
        <w:tc>
          <w:tcPr>
            <w:tcW w:w="1328" w:type="dxa"/>
            <w:noWrap/>
            <w:hideMark/>
          </w:tcPr>
          <w:p w14:paraId="08815B28" w14:textId="01742871" w:rsidR="006F1D33" w:rsidRPr="006A437E" w:rsidRDefault="006F1D33" w:rsidP="00C02103">
            <w:pPr>
              <w:contextualSpacing/>
              <w:jc w:val="center"/>
              <w:rPr>
                <w:rFonts w:eastAsia="Times New Roman"/>
                <w:color w:val="000000"/>
                <w:sz w:val="22"/>
                <w:szCs w:val="22"/>
              </w:rPr>
            </w:pPr>
            <w:r w:rsidRPr="006A437E">
              <w:rPr>
                <w:sz w:val="22"/>
                <w:szCs w:val="22"/>
              </w:rPr>
              <w:t>109</w:t>
            </w:r>
          </w:p>
        </w:tc>
        <w:tc>
          <w:tcPr>
            <w:tcW w:w="1328" w:type="dxa"/>
            <w:noWrap/>
            <w:hideMark/>
          </w:tcPr>
          <w:p w14:paraId="6592D0D1" w14:textId="6ECDC7DF" w:rsidR="006F1D33" w:rsidRPr="006A437E" w:rsidRDefault="006F1D33" w:rsidP="00C02103">
            <w:pPr>
              <w:contextualSpacing/>
              <w:jc w:val="center"/>
              <w:rPr>
                <w:rFonts w:eastAsia="Times New Roman"/>
                <w:color w:val="000000"/>
                <w:sz w:val="22"/>
                <w:szCs w:val="22"/>
              </w:rPr>
            </w:pPr>
            <w:r w:rsidRPr="006A437E">
              <w:rPr>
                <w:sz w:val="22"/>
                <w:szCs w:val="22"/>
              </w:rPr>
              <w:t>2.2</w:t>
            </w:r>
          </w:p>
        </w:tc>
      </w:tr>
      <w:tr w:rsidR="006F1D33" w:rsidRPr="006A437E" w14:paraId="298BB6F4" w14:textId="77777777" w:rsidTr="00585583">
        <w:trPr>
          <w:cantSplit/>
          <w:trHeight w:val="288"/>
          <w:jc w:val="center"/>
        </w:trPr>
        <w:tc>
          <w:tcPr>
            <w:tcW w:w="2420" w:type="dxa"/>
            <w:noWrap/>
          </w:tcPr>
          <w:p w14:paraId="5D13D85F" w14:textId="77777777" w:rsidR="006F1D33" w:rsidRPr="006A437E" w:rsidRDefault="006F1D33" w:rsidP="00C02103">
            <w:pPr>
              <w:contextualSpacing/>
              <w:jc w:val="center"/>
              <w:rPr>
                <w:rFonts w:eastAsia="Times New Roman"/>
                <w:color w:val="000000"/>
                <w:sz w:val="22"/>
                <w:szCs w:val="22"/>
              </w:rPr>
            </w:pPr>
            <w:r w:rsidRPr="006A437E">
              <w:rPr>
                <w:rFonts w:eastAsia="Times New Roman"/>
                <w:color w:val="000000"/>
                <w:sz w:val="22"/>
                <w:szCs w:val="22"/>
              </w:rPr>
              <w:t xml:space="preserve">Outside MA </w:t>
            </w:r>
          </w:p>
          <w:p w14:paraId="5D60AB6C" w14:textId="0A6E2165" w:rsidR="006F1D33" w:rsidRPr="006A437E" w:rsidRDefault="006F1D33" w:rsidP="00C02103">
            <w:pPr>
              <w:contextualSpacing/>
              <w:jc w:val="center"/>
              <w:rPr>
                <w:rFonts w:eastAsia="Times New Roman"/>
                <w:color w:val="000000"/>
                <w:sz w:val="22"/>
                <w:szCs w:val="22"/>
              </w:rPr>
            </w:pPr>
            <w:r w:rsidRPr="006A437E">
              <w:rPr>
                <w:rFonts w:eastAsia="Times New Roman"/>
                <w:color w:val="000000"/>
                <w:sz w:val="22"/>
                <w:szCs w:val="22"/>
              </w:rPr>
              <w:t>(New England)</w:t>
            </w:r>
            <w:r w:rsidRPr="006A437E">
              <w:rPr>
                <w:rStyle w:val="FootnoteReference"/>
                <w:rFonts w:eastAsia="Times New Roman"/>
                <w:color w:val="000000"/>
                <w:sz w:val="22"/>
                <w:szCs w:val="22"/>
              </w:rPr>
              <w:t xml:space="preserve"> </w:t>
            </w:r>
          </w:p>
        </w:tc>
        <w:tc>
          <w:tcPr>
            <w:tcW w:w="1327" w:type="dxa"/>
            <w:noWrap/>
          </w:tcPr>
          <w:p w14:paraId="609D3230" w14:textId="1998041D" w:rsidR="006F1D33" w:rsidRPr="006A437E" w:rsidRDefault="006F1D33" w:rsidP="00C02103">
            <w:pPr>
              <w:contextualSpacing/>
              <w:jc w:val="center"/>
              <w:rPr>
                <w:rFonts w:eastAsia="Times New Roman"/>
                <w:color w:val="000000"/>
                <w:sz w:val="22"/>
                <w:szCs w:val="22"/>
              </w:rPr>
            </w:pPr>
            <w:r w:rsidRPr="006A437E">
              <w:rPr>
                <w:sz w:val="22"/>
                <w:szCs w:val="22"/>
              </w:rPr>
              <w:t>833</w:t>
            </w:r>
          </w:p>
        </w:tc>
        <w:tc>
          <w:tcPr>
            <w:tcW w:w="1328" w:type="dxa"/>
            <w:noWrap/>
          </w:tcPr>
          <w:p w14:paraId="099B411E" w14:textId="1F6AE219" w:rsidR="006F1D33" w:rsidRPr="006A437E" w:rsidRDefault="006F1D33" w:rsidP="00C02103">
            <w:pPr>
              <w:contextualSpacing/>
              <w:jc w:val="center"/>
              <w:rPr>
                <w:rFonts w:eastAsia="Times New Roman"/>
                <w:color w:val="000000"/>
                <w:sz w:val="22"/>
                <w:szCs w:val="22"/>
              </w:rPr>
            </w:pPr>
            <w:r w:rsidRPr="006A437E">
              <w:rPr>
                <w:sz w:val="22"/>
                <w:szCs w:val="22"/>
              </w:rPr>
              <w:t>18.5</w:t>
            </w:r>
          </w:p>
        </w:tc>
        <w:tc>
          <w:tcPr>
            <w:tcW w:w="1328" w:type="dxa"/>
            <w:noWrap/>
          </w:tcPr>
          <w:p w14:paraId="241DE209" w14:textId="4A160514" w:rsidR="006F1D33" w:rsidRPr="006A437E" w:rsidRDefault="006F1D33" w:rsidP="00C02103">
            <w:pPr>
              <w:contextualSpacing/>
              <w:jc w:val="center"/>
              <w:rPr>
                <w:rFonts w:eastAsia="Times New Roman"/>
                <w:color w:val="000000"/>
                <w:sz w:val="22"/>
                <w:szCs w:val="22"/>
              </w:rPr>
            </w:pPr>
            <w:r w:rsidRPr="006A437E">
              <w:rPr>
                <w:sz w:val="22"/>
                <w:szCs w:val="22"/>
              </w:rPr>
              <w:t>818</w:t>
            </w:r>
          </w:p>
        </w:tc>
        <w:tc>
          <w:tcPr>
            <w:tcW w:w="1328" w:type="dxa"/>
            <w:noWrap/>
          </w:tcPr>
          <w:p w14:paraId="29752759" w14:textId="2BF3BC1C" w:rsidR="006F1D33" w:rsidRPr="006A437E" w:rsidRDefault="006F1D33" w:rsidP="00C02103">
            <w:pPr>
              <w:contextualSpacing/>
              <w:jc w:val="center"/>
              <w:rPr>
                <w:rFonts w:eastAsia="Times New Roman"/>
                <w:color w:val="000000"/>
                <w:sz w:val="22"/>
                <w:szCs w:val="22"/>
              </w:rPr>
            </w:pPr>
            <w:r w:rsidRPr="006A437E">
              <w:rPr>
                <w:sz w:val="22"/>
                <w:szCs w:val="22"/>
              </w:rPr>
              <w:t>17.1</w:t>
            </w:r>
          </w:p>
        </w:tc>
        <w:tc>
          <w:tcPr>
            <w:tcW w:w="1328" w:type="dxa"/>
            <w:noWrap/>
          </w:tcPr>
          <w:p w14:paraId="0E733E07" w14:textId="7020B534" w:rsidR="006F1D33" w:rsidRPr="006A437E" w:rsidRDefault="006F1D33" w:rsidP="00C02103">
            <w:pPr>
              <w:contextualSpacing/>
              <w:jc w:val="center"/>
              <w:rPr>
                <w:rFonts w:eastAsia="Times New Roman"/>
                <w:color w:val="000000"/>
                <w:sz w:val="22"/>
                <w:szCs w:val="22"/>
              </w:rPr>
            </w:pPr>
            <w:r w:rsidRPr="006A437E">
              <w:rPr>
                <w:sz w:val="22"/>
                <w:szCs w:val="22"/>
              </w:rPr>
              <w:t>932</w:t>
            </w:r>
          </w:p>
        </w:tc>
        <w:tc>
          <w:tcPr>
            <w:tcW w:w="1328" w:type="dxa"/>
            <w:noWrap/>
          </w:tcPr>
          <w:p w14:paraId="761F4AF6" w14:textId="00507921" w:rsidR="006F1D33" w:rsidRPr="006A437E" w:rsidRDefault="006F1D33" w:rsidP="00C02103">
            <w:pPr>
              <w:contextualSpacing/>
              <w:jc w:val="center"/>
              <w:rPr>
                <w:rFonts w:eastAsia="Times New Roman"/>
                <w:color w:val="000000"/>
                <w:sz w:val="22"/>
                <w:szCs w:val="22"/>
              </w:rPr>
            </w:pPr>
            <w:r w:rsidRPr="006A437E">
              <w:rPr>
                <w:sz w:val="22"/>
                <w:szCs w:val="22"/>
              </w:rPr>
              <w:t>19.</w:t>
            </w:r>
            <w:r w:rsidR="006C2E56" w:rsidRPr="006A437E">
              <w:rPr>
                <w:sz w:val="22"/>
                <w:szCs w:val="22"/>
              </w:rPr>
              <w:t>1</w:t>
            </w:r>
          </w:p>
        </w:tc>
      </w:tr>
      <w:tr w:rsidR="006F1D33" w:rsidRPr="006A437E" w14:paraId="364C349A" w14:textId="77777777" w:rsidTr="00585583">
        <w:trPr>
          <w:cantSplit/>
          <w:trHeight w:val="288"/>
          <w:jc w:val="center"/>
        </w:trPr>
        <w:tc>
          <w:tcPr>
            <w:tcW w:w="2420" w:type="dxa"/>
            <w:noWrap/>
          </w:tcPr>
          <w:p w14:paraId="6FF68495" w14:textId="77777777" w:rsidR="006F1D33" w:rsidRPr="006A437E" w:rsidRDefault="006F1D33" w:rsidP="00C02103">
            <w:pPr>
              <w:contextualSpacing/>
              <w:jc w:val="center"/>
              <w:rPr>
                <w:rFonts w:eastAsia="Times New Roman"/>
                <w:color w:val="000000"/>
                <w:sz w:val="22"/>
                <w:szCs w:val="22"/>
              </w:rPr>
            </w:pPr>
            <w:r w:rsidRPr="006A437E">
              <w:rPr>
                <w:rFonts w:eastAsia="Times New Roman"/>
                <w:color w:val="000000"/>
                <w:sz w:val="22"/>
                <w:szCs w:val="22"/>
              </w:rPr>
              <w:t>Outside MA</w:t>
            </w:r>
          </w:p>
          <w:p w14:paraId="5F492F14" w14:textId="3E03E30D" w:rsidR="006F1D33" w:rsidRPr="006A437E" w:rsidRDefault="006F1D33" w:rsidP="00C02103">
            <w:pPr>
              <w:contextualSpacing/>
              <w:jc w:val="center"/>
              <w:rPr>
                <w:rFonts w:eastAsia="Times New Roman"/>
                <w:color w:val="000000"/>
                <w:sz w:val="22"/>
                <w:szCs w:val="22"/>
              </w:rPr>
            </w:pPr>
            <w:r w:rsidRPr="006A437E">
              <w:rPr>
                <w:rFonts w:eastAsia="Times New Roman"/>
                <w:color w:val="000000"/>
                <w:sz w:val="22"/>
                <w:szCs w:val="22"/>
              </w:rPr>
              <w:t xml:space="preserve"> (United States)</w:t>
            </w:r>
            <w:r w:rsidRPr="006A437E">
              <w:rPr>
                <w:rStyle w:val="FootnoteReference"/>
                <w:rFonts w:eastAsia="Times New Roman"/>
                <w:color w:val="000000"/>
                <w:sz w:val="22"/>
                <w:szCs w:val="22"/>
              </w:rPr>
              <w:t xml:space="preserve"> </w:t>
            </w:r>
          </w:p>
        </w:tc>
        <w:tc>
          <w:tcPr>
            <w:tcW w:w="1327" w:type="dxa"/>
            <w:noWrap/>
          </w:tcPr>
          <w:p w14:paraId="15A00249" w14:textId="42430423" w:rsidR="006F1D33" w:rsidRPr="006A437E" w:rsidRDefault="006F1D33" w:rsidP="00C02103">
            <w:pPr>
              <w:contextualSpacing/>
              <w:jc w:val="center"/>
              <w:rPr>
                <w:rFonts w:eastAsia="Times New Roman"/>
                <w:color w:val="000000"/>
                <w:sz w:val="22"/>
                <w:szCs w:val="22"/>
              </w:rPr>
            </w:pPr>
            <w:r w:rsidRPr="006A437E">
              <w:rPr>
                <w:sz w:val="22"/>
                <w:szCs w:val="22"/>
              </w:rPr>
              <w:t>1,119</w:t>
            </w:r>
          </w:p>
        </w:tc>
        <w:tc>
          <w:tcPr>
            <w:tcW w:w="1328" w:type="dxa"/>
            <w:noWrap/>
          </w:tcPr>
          <w:p w14:paraId="36847333" w14:textId="14920319" w:rsidR="006F1D33" w:rsidRPr="006A437E" w:rsidRDefault="006F1D33" w:rsidP="00C02103">
            <w:pPr>
              <w:contextualSpacing/>
              <w:jc w:val="center"/>
              <w:rPr>
                <w:rFonts w:eastAsia="Times New Roman"/>
                <w:color w:val="000000"/>
                <w:sz w:val="22"/>
                <w:szCs w:val="22"/>
              </w:rPr>
            </w:pPr>
            <w:r w:rsidRPr="006A437E">
              <w:rPr>
                <w:sz w:val="22"/>
                <w:szCs w:val="22"/>
              </w:rPr>
              <w:t>24.</w:t>
            </w:r>
            <w:r w:rsidR="006C2E56" w:rsidRPr="006A437E">
              <w:rPr>
                <w:sz w:val="22"/>
                <w:szCs w:val="22"/>
              </w:rPr>
              <w:t>9</w:t>
            </w:r>
          </w:p>
        </w:tc>
        <w:tc>
          <w:tcPr>
            <w:tcW w:w="1328" w:type="dxa"/>
            <w:noWrap/>
          </w:tcPr>
          <w:p w14:paraId="12444CB6" w14:textId="1E32C59D" w:rsidR="006F1D33" w:rsidRPr="006A437E" w:rsidRDefault="006F1D33" w:rsidP="00C02103">
            <w:pPr>
              <w:contextualSpacing/>
              <w:jc w:val="center"/>
              <w:rPr>
                <w:rFonts w:eastAsia="Times New Roman"/>
                <w:color w:val="000000"/>
                <w:sz w:val="22"/>
                <w:szCs w:val="22"/>
              </w:rPr>
            </w:pPr>
            <w:r w:rsidRPr="006A437E">
              <w:rPr>
                <w:sz w:val="22"/>
                <w:szCs w:val="22"/>
              </w:rPr>
              <w:t>1,119</w:t>
            </w:r>
          </w:p>
        </w:tc>
        <w:tc>
          <w:tcPr>
            <w:tcW w:w="1328" w:type="dxa"/>
            <w:noWrap/>
          </w:tcPr>
          <w:p w14:paraId="613FAC25" w14:textId="408449C6" w:rsidR="006F1D33" w:rsidRPr="006A437E" w:rsidRDefault="006F1D33" w:rsidP="00C02103">
            <w:pPr>
              <w:contextualSpacing/>
              <w:jc w:val="center"/>
              <w:rPr>
                <w:rFonts w:eastAsia="Times New Roman"/>
                <w:color w:val="000000"/>
                <w:sz w:val="22"/>
                <w:szCs w:val="22"/>
              </w:rPr>
            </w:pPr>
            <w:r w:rsidRPr="006A437E">
              <w:rPr>
                <w:sz w:val="22"/>
                <w:szCs w:val="22"/>
              </w:rPr>
              <w:t>23.4</w:t>
            </w:r>
          </w:p>
        </w:tc>
        <w:tc>
          <w:tcPr>
            <w:tcW w:w="1328" w:type="dxa"/>
            <w:noWrap/>
          </w:tcPr>
          <w:p w14:paraId="62BBF2F6" w14:textId="0424D2EA" w:rsidR="006F1D33" w:rsidRPr="006A437E" w:rsidRDefault="006F1D33" w:rsidP="00C02103">
            <w:pPr>
              <w:contextualSpacing/>
              <w:jc w:val="center"/>
              <w:rPr>
                <w:rFonts w:eastAsia="Times New Roman"/>
                <w:color w:val="000000"/>
                <w:sz w:val="22"/>
                <w:szCs w:val="22"/>
              </w:rPr>
            </w:pPr>
            <w:r w:rsidRPr="006A437E">
              <w:rPr>
                <w:sz w:val="22"/>
                <w:szCs w:val="22"/>
              </w:rPr>
              <w:t>1,202</w:t>
            </w:r>
          </w:p>
        </w:tc>
        <w:tc>
          <w:tcPr>
            <w:tcW w:w="1328" w:type="dxa"/>
            <w:noWrap/>
          </w:tcPr>
          <w:p w14:paraId="5F64BA4E" w14:textId="2A439AEA" w:rsidR="006F1D33" w:rsidRPr="006A437E" w:rsidRDefault="006F1D33" w:rsidP="00C02103">
            <w:pPr>
              <w:contextualSpacing/>
              <w:jc w:val="center"/>
              <w:rPr>
                <w:rFonts w:eastAsia="Times New Roman"/>
                <w:color w:val="000000"/>
                <w:sz w:val="22"/>
                <w:szCs w:val="22"/>
              </w:rPr>
            </w:pPr>
            <w:r w:rsidRPr="006A437E">
              <w:rPr>
                <w:sz w:val="22"/>
                <w:szCs w:val="22"/>
              </w:rPr>
              <w:t>24.6</w:t>
            </w:r>
          </w:p>
        </w:tc>
      </w:tr>
      <w:tr w:rsidR="006F1D33" w:rsidRPr="006A437E" w14:paraId="1DE1C58F" w14:textId="77777777" w:rsidTr="00585583">
        <w:trPr>
          <w:cantSplit/>
          <w:trHeight w:val="288"/>
          <w:jc w:val="center"/>
        </w:trPr>
        <w:tc>
          <w:tcPr>
            <w:tcW w:w="2420" w:type="dxa"/>
            <w:noWrap/>
            <w:hideMark/>
          </w:tcPr>
          <w:p w14:paraId="248AD1DC" w14:textId="3C4BB831" w:rsidR="006F1D33" w:rsidRPr="006A437E" w:rsidRDefault="006F1D33" w:rsidP="00C02103">
            <w:pPr>
              <w:contextualSpacing/>
              <w:jc w:val="center"/>
              <w:rPr>
                <w:rFonts w:eastAsia="Times New Roman"/>
                <w:color w:val="000000"/>
                <w:sz w:val="22"/>
                <w:szCs w:val="22"/>
              </w:rPr>
            </w:pPr>
            <w:r w:rsidRPr="006A437E">
              <w:rPr>
                <w:rFonts w:eastAsia="Times New Roman"/>
                <w:color w:val="000000"/>
                <w:sz w:val="22"/>
                <w:szCs w:val="22"/>
              </w:rPr>
              <w:t>Outside MA (International)</w:t>
            </w:r>
            <w:r w:rsidRPr="006A437E">
              <w:rPr>
                <w:rStyle w:val="FootnoteReference"/>
                <w:rFonts w:eastAsia="Times New Roman"/>
                <w:color w:val="000000"/>
                <w:sz w:val="22"/>
                <w:szCs w:val="22"/>
              </w:rPr>
              <w:t xml:space="preserve"> </w:t>
            </w:r>
          </w:p>
        </w:tc>
        <w:tc>
          <w:tcPr>
            <w:tcW w:w="1327" w:type="dxa"/>
            <w:noWrap/>
            <w:hideMark/>
          </w:tcPr>
          <w:p w14:paraId="7CA1BD8F" w14:textId="2DC9FC25" w:rsidR="006F1D33" w:rsidRPr="006A437E" w:rsidRDefault="006F1D33" w:rsidP="00C02103">
            <w:pPr>
              <w:contextualSpacing/>
              <w:jc w:val="center"/>
              <w:rPr>
                <w:rFonts w:eastAsia="Times New Roman"/>
                <w:color w:val="000000"/>
                <w:sz w:val="22"/>
                <w:szCs w:val="22"/>
              </w:rPr>
            </w:pPr>
            <w:r w:rsidRPr="006A437E">
              <w:rPr>
                <w:sz w:val="22"/>
                <w:szCs w:val="22"/>
              </w:rPr>
              <w:t>133</w:t>
            </w:r>
          </w:p>
        </w:tc>
        <w:tc>
          <w:tcPr>
            <w:tcW w:w="1328" w:type="dxa"/>
            <w:noWrap/>
            <w:hideMark/>
          </w:tcPr>
          <w:p w14:paraId="63F21294" w14:textId="38DD78AA" w:rsidR="006F1D33" w:rsidRPr="006A437E" w:rsidRDefault="006C2E56" w:rsidP="00C02103">
            <w:pPr>
              <w:contextualSpacing/>
              <w:jc w:val="center"/>
              <w:rPr>
                <w:rFonts w:eastAsia="Times New Roman"/>
                <w:color w:val="000000"/>
                <w:sz w:val="22"/>
                <w:szCs w:val="22"/>
              </w:rPr>
            </w:pPr>
            <w:r w:rsidRPr="006A437E">
              <w:rPr>
                <w:sz w:val="22"/>
                <w:szCs w:val="22"/>
              </w:rPr>
              <w:t>3.0</w:t>
            </w:r>
          </w:p>
        </w:tc>
        <w:tc>
          <w:tcPr>
            <w:tcW w:w="1328" w:type="dxa"/>
            <w:noWrap/>
            <w:hideMark/>
          </w:tcPr>
          <w:p w14:paraId="58BFACE1" w14:textId="42EE42C0" w:rsidR="006F1D33" w:rsidRPr="006A437E" w:rsidRDefault="006F1D33" w:rsidP="00C02103">
            <w:pPr>
              <w:contextualSpacing/>
              <w:jc w:val="center"/>
              <w:rPr>
                <w:rFonts w:eastAsia="Times New Roman"/>
                <w:color w:val="000000"/>
                <w:sz w:val="22"/>
                <w:szCs w:val="22"/>
              </w:rPr>
            </w:pPr>
            <w:r w:rsidRPr="006A437E">
              <w:rPr>
                <w:sz w:val="22"/>
                <w:szCs w:val="22"/>
              </w:rPr>
              <w:t>147</w:t>
            </w:r>
          </w:p>
        </w:tc>
        <w:tc>
          <w:tcPr>
            <w:tcW w:w="1328" w:type="dxa"/>
            <w:noWrap/>
            <w:hideMark/>
          </w:tcPr>
          <w:p w14:paraId="4C5809E8" w14:textId="3B746714" w:rsidR="006F1D33" w:rsidRPr="006A437E" w:rsidRDefault="006F1D33" w:rsidP="00C02103">
            <w:pPr>
              <w:contextualSpacing/>
              <w:jc w:val="center"/>
              <w:rPr>
                <w:rFonts w:eastAsia="Times New Roman"/>
                <w:color w:val="000000"/>
                <w:sz w:val="22"/>
                <w:szCs w:val="22"/>
              </w:rPr>
            </w:pPr>
            <w:r w:rsidRPr="006A437E">
              <w:rPr>
                <w:sz w:val="22"/>
                <w:szCs w:val="22"/>
              </w:rPr>
              <w:t>3.</w:t>
            </w:r>
            <w:r w:rsidR="00627A07" w:rsidRPr="006A437E">
              <w:rPr>
                <w:sz w:val="22"/>
                <w:szCs w:val="22"/>
              </w:rPr>
              <w:t>1</w:t>
            </w:r>
          </w:p>
        </w:tc>
        <w:tc>
          <w:tcPr>
            <w:tcW w:w="1328" w:type="dxa"/>
            <w:noWrap/>
            <w:hideMark/>
          </w:tcPr>
          <w:p w14:paraId="6880DEC6" w14:textId="584EEB89" w:rsidR="006F1D33" w:rsidRPr="006A437E" w:rsidRDefault="006F1D33" w:rsidP="00C02103">
            <w:pPr>
              <w:contextualSpacing/>
              <w:jc w:val="center"/>
              <w:rPr>
                <w:rFonts w:eastAsia="Times New Roman"/>
                <w:color w:val="000000"/>
                <w:sz w:val="22"/>
                <w:szCs w:val="22"/>
              </w:rPr>
            </w:pPr>
            <w:r w:rsidRPr="006A437E">
              <w:rPr>
                <w:sz w:val="22"/>
                <w:szCs w:val="22"/>
              </w:rPr>
              <w:t>115</w:t>
            </w:r>
          </w:p>
        </w:tc>
        <w:tc>
          <w:tcPr>
            <w:tcW w:w="1328" w:type="dxa"/>
            <w:noWrap/>
            <w:hideMark/>
          </w:tcPr>
          <w:p w14:paraId="32EF3570" w14:textId="74330062" w:rsidR="006F1D33" w:rsidRPr="006A437E" w:rsidRDefault="006F1D33" w:rsidP="00C02103">
            <w:pPr>
              <w:contextualSpacing/>
              <w:jc w:val="center"/>
              <w:rPr>
                <w:rFonts w:eastAsia="Times New Roman"/>
                <w:color w:val="000000"/>
                <w:sz w:val="22"/>
                <w:szCs w:val="22"/>
              </w:rPr>
            </w:pPr>
            <w:r w:rsidRPr="006A437E">
              <w:rPr>
                <w:sz w:val="22"/>
                <w:szCs w:val="22"/>
              </w:rPr>
              <w:t>2.</w:t>
            </w:r>
            <w:r w:rsidR="006C2E56" w:rsidRPr="006A437E">
              <w:rPr>
                <w:sz w:val="22"/>
                <w:szCs w:val="22"/>
              </w:rPr>
              <w:t>4</w:t>
            </w:r>
          </w:p>
        </w:tc>
      </w:tr>
    </w:tbl>
    <w:p w14:paraId="19A1FDCC" w14:textId="77777777" w:rsidR="002B5D4B" w:rsidRDefault="002B5D4B" w:rsidP="001D7C1D">
      <w:pPr>
        <w:spacing w:line="259" w:lineRule="auto"/>
        <w:jc w:val="center"/>
        <w:rPr>
          <w:b/>
          <w:bCs/>
          <w:szCs w:val="24"/>
        </w:rPr>
      </w:pPr>
    </w:p>
    <w:p w14:paraId="2F93EC44" w14:textId="77777777" w:rsidR="000111E7" w:rsidRDefault="000111E7" w:rsidP="001D7C1D">
      <w:pPr>
        <w:spacing w:line="259" w:lineRule="auto"/>
        <w:jc w:val="center"/>
        <w:rPr>
          <w:b/>
          <w:bCs/>
          <w:szCs w:val="24"/>
        </w:rPr>
      </w:pPr>
    </w:p>
    <w:p w14:paraId="55E2A49E" w14:textId="4F594AB5" w:rsidR="00B22C3D" w:rsidRPr="005475F1" w:rsidRDefault="00B22C3D" w:rsidP="001D7C1D">
      <w:pPr>
        <w:spacing w:line="259" w:lineRule="auto"/>
        <w:jc w:val="center"/>
        <w:rPr>
          <w:szCs w:val="24"/>
        </w:rPr>
      </w:pPr>
      <w:r w:rsidRPr="00FA1DD3">
        <w:rPr>
          <w:b/>
          <w:bCs/>
          <w:szCs w:val="24"/>
        </w:rPr>
        <w:t xml:space="preserve">Table </w:t>
      </w:r>
      <w:r w:rsidR="001B243D">
        <w:rPr>
          <w:b/>
          <w:bCs/>
          <w:szCs w:val="24"/>
        </w:rPr>
        <w:t>3</w:t>
      </w:r>
    </w:p>
    <w:p w14:paraId="05A9FB46" w14:textId="6882EB76" w:rsidR="00B22C3D" w:rsidRDefault="00B22C3D" w:rsidP="001D7C1D">
      <w:pPr>
        <w:pStyle w:val="RBNBasicNoSpace"/>
        <w:jc w:val="center"/>
        <w:rPr>
          <w:b/>
          <w:bCs/>
          <w:szCs w:val="24"/>
        </w:rPr>
      </w:pPr>
      <w:r w:rsidRPr="00FA1DD3">
        <w:rPr>
          <w:b/>
          <w:bCs/>
          <w:szCs w:val="24"/>
        </w:rPr>
        <w:t xml:space="preserve">Total Unique </w:t>
      </w:r>
      <w:r w:rsidR="005E1CB3">
        <w:rPr>
          <w:b/>
          <w:bCs/>
          <w:szCs w:val="24"/>
        </w:rPr>
        <w:t xml:space="preserve">Outpatient </w:t>
      </w:r>
      <w:r w:rsidRPr="00FA1DD3">
        <w:rPr>
          <w:b/>
          <w:bCs/>
          <w:szCs w:val="24"/>
        </w:rPr>
        <w:t>Patients, Demographics, and Geography</w:t>
      </w:r>
      <w:r>
        <w:rPr>
          <w:b/>
          <w:bCs/>
          <w:szCs w:val="24"/>
        </w:rPr>
        <w:t xml:space="preserve"> </w:t>
      </w:r>
    </w:p>
    <w:p w14:paraId="018FF858" w14:textId="3A1341B9" w:rsidR="002D2D4F" w:rsidRDefault="002D2D4F" w:rsidP="001D7C1D">
      <w:pPr>
        <w:pStyle w:val="RBNBasicNoSpace"/>
        <w:jc w:val="center"/>
        <w:rPr>
          <w:b/>
          <w:bCs/>
          <w:szCs w:val="24"/>
        </w:rPr>
      </w:pPr>
      <w:r>
        <w:rPr>
          <w:b/>
          <w:bCs/>
          <w:szCs w:val="24"/>
        </w:rPr>
        <w:t>Longwood Medical Campus</w:t>
      </w:r>
    </w:p>
    <w:p w14:paraId="12EAD29E" w14:textId="77777777" w:rsidR="00E21510" w:rsidRPr="00B22C3D" w:rsidRDefault="00E21510" w:rsidP="00B22C3D">
      <w:pPr>
        <w:pStyle w:val="RBNBasicNoSpace"/>
        <w:jc w:val="center"/>
        <w:rPr>
          <w:b/>
          <w:bCs/>
          <w:szCs w:val="24"/>
        </w:rPr>
      </w:pPr>
    </w:p>
    <w:tbl>
      <w:tblPr>
        <w:tblStyle w:val="TableGrid"/>
        <w:tblW w:w="10710" w:type="dxa"/>
        <w:jc w:val="center"/>
        <w:tblLayout w:type="fixed"/>
        <w:tblLook w:val="04A0" w:firstRow="1" w:lastRow="0" w:firstColumn="1" w:lastColumn="0" w:noHBand="0" w:noVBand="1"/>
      </w:tblPr>
      <w:tblGrid>
        <w:gridCol w:w="2385"/>
        <w:gridCol w:w="1387"/>
        <w:gridCol w:w="1388"/>
        <w:gridCol w:w="1387"/>
        <w:gridCol w:w="1388"/>
        <w:gridCol w:w="1387"/>
        <w:gridCol w:w="1388"/>
      </w:tblGrid>
      <w:tr w:rsidR="006A58E5" w:rsidRPr="0006648E" w14:paraId="0B4F40AE" w14:textId="77777777" w:rsidTr="004270B8">
        <w:trPr>
          <w:cantSplit/>
          <w:trHeight w:val="288"/>
          <w:tblHeader/>
          <w:jc w:val="center"/>
        </w:trPr>
        <w:tc>
          <w:tcPr>
            <w:tcW w:w="2385" w:type="dxa"/>
            <w:noWrap/>
            <w:hideMark/>
          </w:tcPr>
          <w:p w14:paraId="61C6BBB5" w14:textId="77777777" w:rsidR="006A58E5" w:rsidRPr="0006648E" w:rsidRDefault="006A58E5" w:rsidP="006A58E5">
            <w:pPr>
              <w:rPr>
                <w:rFonts w:eastAsia="Times New Roman"/>
                <w:color w:val="000000"/>
                <w:szCs w:val="22"/>
              </w:rPr>
            </w:pPr>
            <w:r w:rsidRPr="0006648E">
              <w:rPr>
                <w:rFonts w:eastAsia="Times New Roman"/>
                <w:color w:val="000000"/>
                <w:sz w:val="22"/>
                <w:szCs w:val="22"/>
              </w:rPr>
              <w:t> </w:t>
            </w:r>
          </w:p>
        </w:tc>
        <w:tc>
          <w:tcPr>
            <w:tcW w:w="1387" w:type="dxa"/>
            <w:noWrap/>
            <w:hideMark/>
          </w:tcPr>
          <w:p w14:paraId="201C0358" w14:textId="330F4627" w:rsidR="006A58E5" w:rsidRPr="0006648E" w:rsidRDefault="006A58E5" w:rsidP="006A58E5">
            <w:pPr>
              <w:jc w:val="center"/>
              <w:rPr>
                <w:rFonts w:eastAsia="Times New Roman"/>
                <w:color w:val="000000"/>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Count</w:t>
            </w:r>
          </w:p>
        </w:tc>
        <w:tc>
          <w:tcPr>
            <w:tcW w:w="1388" w:type="dxa"/>
            <w:noWrap/>
            <w:hideMark/>
          </w:tcPr>
          <w:p w14:paraId="6DB912B8" w14:textId="4FCFF44F" w:rsidR="006A58E5" w:rsidRPr="0006648E" w:rsidRDefault="006A58E5" w:rsidP="006A58E5">
            <w:pPr>
              <w:jc w:val="center"/>
              <w:rPr>
                <w:rFonts w:eastAsia="Times New Roman"/>
                <w:color w:val="000000"/>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w:t>
            </w:r>
          </w:p>
        </w:tc>
        <w:tc>
          <w:tcPr>
            <w:tcW w:w="1387" w:type="dxa"/>
            <w:noWrap/>
            <w:hideMark/>
          </w:tcPr>
          <w:p w14:paraId="70100F2F" w14:textId="5E24DB74" w:rsidR="006A58E5" w:rsidRPr="0006648E" w:rsidRDefault="006A58E5" w:rsidP="006A58E5">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Count</w:t>
            </w:r>
          </w:p>
        </w:tc>
        <w:tc>
          <w:tcPr>
            <w:tcW w:w="1388" w:type="dxa"/>
            <w:noWrap/>
            <w:hideMark/>
          </w:tcPr>
          <w:p w14:paraId="33235F1C" w14:textId="7A4C314C" w:rsidR="006A58E5" w:rsidRPr="0006648E" w:rsidRDefault="006A58E5" w:rsidP="006A58E5">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w:t>
            </w:r>
          </w:p>
        </w:tc>
        <w:tc>
          <w:tcPr>
            <w:tcW w:w="1387" w:type="dxa"/>
            <w:noWrap/>
            <w:hideMark/>
          </w:tcPr>
          <w:p w14:paraId="6F047156" w14:textId="6571BC0D" w:rsidR="006A58E5" w:rsidRPr="0006648E" w:rsidRDefault="006A58E5" w:rsidP="006A58E5">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Count</w:t>
            </w:r>
          </w:p>
        </w:tc>
        <w:tc>
          <w:tcPr>
            <w:tcW w:w="1388" w:type="dxa"/>
            <w:noWrap/>
            <w:hideMark/>
          </w:tcPr>
          <w:p w14:paraId="187CEAFA" w14:textId="06476271" w:rsidR="006A58E5" w:rsidRPr="0006648E" w:rsidRDefault="006A58E5" w:rsidP="006A58E5">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w:t>
            </w:r>
          </w:p>
        </w:tc>
      </w:tr>
      <w:tr w:rsidR="0075083B" w:rsidRPr="0006648E" w14:paraId="1DBC2C37" w14:textId="77777777" w:rsidTr="004270B8">
        <w:trPr>
          <w:cantSplit/>
          <w:trHeight w:val="288"/>
          <w:jc w:val="center"/>
        </w:trPr>
        <w:tc>
          <w:tcPr>
            <w:tcW w:w="2385" w:type="dxa"/>
            <w:noWrap/>
            <w:hideMark/>
          </w:tcPr>
          <w:p w14:paraId="7A710E1A" w14:textId="77777777" w:rsidR="0075083B" w:rsidRPr="00BA32AA" w:rsidRDefault="0075083B" w:rsidP="0075083B">
            <w:pPr>
              <w:jc w:val="center"/>
              <w:rPr>
                <w:rFonts w:eastAsia="Times New Roman"/>
                <w:color w:val="000000"/>
                <w:szCs w:val="22"/>
              </w:rPr>
            </w:pPr>
            <w:r w:rsidRPr="00BA32AA">
              <w:rPr>
                <w:rFonts w:eastAsia="Times New Roman"/>
                <w:color w:val="000000"/>
                <w:sz w:val="22"/>
                <w:szCs w:val="22"/>
              </w:rPr>
              <w:t>Total (unique</w:t>
            </w:r>
            <w:r>
              <w:rPr>
                <w:rFonts w:eastAsia="Times New Roman"/>
                <w:color w:val="000000"/>
                <w:sz w:val="22"/>
                <w:szCs w:val="22"/>
              </w:rPr>
              <w:t xml:space="preserve"> </w:t>
            </w:r>
            <w:r w:rsidRPr="00BA32AA">
              <w:rPr>
                <w:rFonts w:eastAsia="Times New Roman"/>
                <w:color w:val="000000"/>
                <w:sz w:val="22"/>
                <w:szCs w:val="22"/>
              </w:rPr>
              <w:t>patients)</w:t>
            </w:r>
          </w:p>
        </w:tc>
        <w:tc>
          <w:tcPr>
            <w:tcW w:w="1387" w:type="dxa"/>
            <w:noWrap/>
            <w:hideMark/>
          </w:tcPr>
          <w:p w14:paraId="5E36F2CE" w14:textId="62A2EB99" w:rsidR="0075083B" w:rsidRPr="0075083B" w:rsidRDefault="0075083B" w:rsidP="0075083B">
            <w:pPr>
              <w:jc w:val="center"/>
              <w:rPr>
                <w:rFonts w:eastAsia="Times New Roman"/>
                <w:color w:val="000000"/>
                <w:szCs w:val="18"/>
              </w:rPr>
            </w:pPr>
            <w:r w:rsidRPr="0075083B">
              <w:rPr>
                <w:sz w:val="22"/>
                <w:szCs w:val="18"/>
              </w:rPr>
              <w:t>59,745</w:t>
            </w:r>
          </w:p>
        </w:tc>
        <w:tc>
          <w:tcPr>
            <w:tcW w:w="1388" w:type="dxa"/>
            <w:noWrap/>
            <w:hideMark/>
          </w:tcPr>
          <w:p w14:paraId="7D0DB04F" w14:textId="77777777" w:rsidR="0075083B" w:rsidRPr="0075083B" w:rsidRDefault="0075083B" w:rsidP="0075083B">
            <w:pPr>
              <w:ind w:right="103"/>
              <w:jc w:val="right"/>
              <w:rPr>
                <w:rFonts w:eastAsia="Times New Roman"/>
                <w:color w:val="000000"/>
                <w:szCs w:val="18"/>
              </w:rPr>
            </w:pPr>
          </w:p>
        </w:tc>
        <w:tc>
          <w:tcPr>
            <w:tcW w:w="1387" w:type="dxa"/>
            <w:noWrap/>
            <w:hideMark/>
          </w:tcPr>
          <w:p w14:paraId="1131C0FC" w14:textId="58AA8564" w:rsidR="0075083B" w:rsidRPr="0075083B" w:rsidRDefault="0075083B" w:rsidP="0075083B">
            <w:pPr>
              <w:jc w:val="center"/>
              <w:rPr>
                <w:rFonts w:eastAsia="Times New Roman"/>
                <w:color w:val="000000"/>
                <w:szCs w:val="18"/>
              </w:rPr>
            </w:pPr>
            <w:r w:rsidRPr="0075083B">
              <w:rPr>
                <w:sz w:val="22"/>
                <w:szCs w:val="18"/>
              </w:rPr>
              <w:t>65,613</w:t>
            </w:r>
          </w:p>
        </w:tc>
        <w:tc>
          <w:tcPr>
            <w:tcW w:w="1388" w:type="dxa"/>
            <w:noWrap/>
            <w:hideMark/>
          </w:tcPr>
          <w:p w14:paraId="3CC547CF" w14:textId="77777777" w:rsidR="0075083B" w:rsidRPr="0075083B" w:rsidRDefault="0075083B" w:rsidP="0075083B">
            <w:pPr>
              <w:ind w:right="480"/>
              <w:rPr>
                <w:rFonts w:eastAsia="Times New Roman"/>
                <w:color w:val="000000"/>
                <w:szCs w:val="18"/>
              </w:rPr>
            </w:pPr>
          </w:p>
        </w:tc>
        <w:tc>
          <w:tcPr>
            <w:tcW w:w="1387" w:type="dxa"/>
            <w:noWrap/>
            <w:hideMark/>
          </w:tcPr>
          <w:p w14:paraId="776095E1" w14:textId="55EFECCC" w:rsidR="0075083B" w:rsidRPr="0075083B" w:rsidRDefault="0075083B" w:rsidP="0075083B">
            <w:pPr>
              <w:jc w:val="center"/>
              <w:rPr>
                <w:rFonts w:eastAsia="Times New Roman"/>
                <w:color w:val="000000"/>
                <w:szCs w:val="18"/>
              </w:rPr>
            </w:pPr>
            <w:r w:rsidRPr="0075083B">
              <w:rPr>
                <w:sz w:val="22"/>
                <w:szCs w:val="18"/>
              </w:rPr>
              <w:t>69,296</w:t>
            </w:r>
          </w:p>
        </w:tc>
        <w:tc>
          <w:tcPr>
            <w:tcW w:w="1388" w:type="dxa"/>
            <w:noWrap/>
            <w:hideMark/>
          </w:tcPr>
          <w:p w14:paraId="4F62D618" w14:textId="77777777" w:rsidR="0075083B" w:rsidRPr="0011376D" w:rsidRDefault="0075083B" w:rsidP="0075083B">
            <w:pPr>
              <w:rPr>
                <w:rFonts w:eastAsia="Times New Roman"/>
                <w:color w:val="000000"/>
                <w:szCs w:val="22"/>
              </w:rPr>
            </w:pPr>
          </w:p>
        </w:tc>
      </w:tr>
      <w:tr w:rsidR="00005CA8" w:rsidRPr="0006648E" w14:paraId="1475C8A5" w14:textId="77777777" w:rsidTr="004270B8">
        <w:trPr>
          <w:cantSplit/>
          <w:trHeight w:val="288"/>
          <w:jc w:val="center"/>
        </w:trPr>
        <w:tc>
          <w:tcPr>
            <w:tcW w:w="2385" w:type="dxa"/>
            <w:noWrap/>
            <w:hideMark/>
          </w:tcPr>
          <w:p w14:paraId="30C84296" w14:textId="77777777" w:rsidR="00005CA8" w:rsidRPr="0006648E" w:rsidRDefault="00005CA8" w:rsidP="000075C5">
            <w:pPr>
              <w:jc w:val="center"/>
              <w:rPr>
                <w:rFonts w:eastAsia="Times New Roman"/>
                <w:b/>
                <w:bCs/>
                <w:color w:val="000000"/>
                <w:szCs w:val="22"/>
              </w:rPr>
            </w:pPr>
            <w:r w:rsidRPr="0006648E">
              <w:rPr>
                <w:rFonts w:eastAsia="Times New Roman"/>
                <w:b/>
                <w:bCs/>
                <w:color w:val="000000"/>
                <w:sz w:val="22"/>
                <w:szCs w:val="22"/>
              </w:rPr>
              <w:t>Gender</w:t>
            </w:r>
          </w:p>
        </w:tc>
        <w:tc>
          <w:tcPr>
            <w:tcW w:w="1387" w:type="dxa"/>
            <w:noWrap/>
            <w:hideMark/>
          </w:tcPr>
          <w:p w14:paraId="0DAF342F"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1571B1B0"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45BA72C5"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1CD1D47F"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38D1D950"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658AAF59"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r>
      <w:tr w:rsidR="0075083B" w:rsidRPr="0006648E" w14:paraId="49912A56" w14:textId="77777777" w:rsidTr="004270B8">
        <w:trPr>
          <w:cantSplit/>
          <w:trHeight w:val="285"/>
          <w:jc w:val="center"/>
        </w:trPr>
        <w:tc>
          <w:tcPr>
            <w:tcW w:w="2385" w:type="dxa"/>
            <w:noWrap/>
            <w:hideMark/>
          </w:tcPr>
          <w:p w14:paraId="059F1738" w14:textId="77777777" w:rsidR="0075083B" w:rsidRPr="0006648E" w:rsidRDefault="0075083B" w:rsidP="0075083B">
            <w:pPr>
              <w:jc w:val="center"/>
              <w:rPr>
                <w:rFonts w:eastAsia="Times New Roman"/>
                <w:color w:val="000000"/>
                <w:szCs w:val="22"/>
              </w:rPr>
            </w:pPr>
            <w:r w:rsidRPr="0006648E">
              <w:rPr>
                <w:rFonts w:eastAsia="Times New Roman"/>
                <w:color w:val="000000"/>
                <w:sz w:val="22"/>
                <w:szCs w:val="22"/>
              </w:rPr>
              <w:t>Female</w:t>
            </w:r>
          </w:p>
        </w:tc>
        <w:tc>
          <w:tcPr>
            <w:tcW w:w="1387" w:type="dxa"/>
            <w:noWrap/>
            <w:hideMark/>
          </w:tcPr>
          <w:p w14:paraId="434A7870" w14:textId="2BC7350A" w:rsidR="0075083B" w:rsidRPr="0075083B" w:rsidRDefault="0075083B" w:rsidP="0075083B">
            <w:pPr>
              <w:jc w:val="center"/>
              <w:rPr>
                <w:rFonts w:eastAsia="Times New Roman"/>
                <w:color w:val="000000"/>
                <w:szCs w:val="18"/>
              </w:rPr>
            </w:pPr>
            <w:r w:rsidRPr="0075083B">
              <w:rPr>
                <w:sz w:val="22"/>
                <w:szCs w:val="18"/>
              </w:rPr>
              <w:t>36,783</w:t>
            </w:r>
          </w:p>
        </w:tc>
        <w:tc>
          <w:tcPr>
            <w:tcW w:w="1388" w:type="dxa"/>
            <w:noWrap/>
            <w:hideMark/>
          </w:tcPr>
          <w:p w14:paraId="1AFB4A44" w14:textId="307EE51F" w:rsidR="0075083B" w:rsidRPr="0006648E" w:rsidRDefault="0075083B" w:rsidP="0075083B">
            <w:pPr>
              <w:tabs>
                <w:tab w:val="left" w:pos="624"/>
                <w:tab w:val="left" w:pos="1127"/>
              </w:tabs>
              <w:ind w:left="-318" w:right="-647"/>
              <w:jc w:val="center"/>
              <w:rPr>
                <w:rFonts w:eastAsia="Times New Roman"/>
                <w:color w:val="000000"/>
                <w:szCs w:val="22"/>
              </w:rPr>
            </w:pPr>
            <w:r w:rsidRPr="0006648E">
              <w:rPr>
                <w:rFonts w:eastAsia="Times New Roman"/>
                <w:color w:val="000000"/>
                <w:sz w:val="22"/>
                <w:szCs w:val="22"/>
              </w:rPr>
              <w:t>6</w:t>
            </w:r>
            <w:r>
              <w:rPr>
                <w:rFonts w:eastAsia="Times New Roman"/>
                <w:color w:val="000000"/>
                <w:sz w:val="22"/>
                <w:szCs w:val="22"/>
              </w:rPr>
              <w:t>1</w:t>
            </w:r>
            <w:r w:rsidRPr="0006648E">
              <w:rPr>
                <w:rFonts w:eastAsia="Times New Roman"/>
                <w:color w:val="000000"/>
                <w:sz w:val="22"/>
                <w:szCs w:val="22"/>
              </w:rPr>
              <w:t>.</w:t>
            </w:r>
            <w:r>
              <w:rPr>
                <w:rFonts w:eastAsia="Times New Roman"/>
                <w:color w:val="000000"/>
                <w:sz w:val="22"/>
                <w:szCs w:val="22"/>
              </w:rPr>
              <w:t>6   %</w:t>
            </w:r>
          </w:p>
        </w:tc>
        <w:tc>
          <w:tcPr>
            <w:tcW w:w="1387" w:type="dxa"/>
            <w:noWrap/>
            <w:hideMark/>
          </w:tcPr>
          <w:p w14:paraId="355CC38F" w14:textId="7B063725" w:rsidR="0075083B" w:rsidRPr="0006648E" w:rsidRDefault="0075083B" w:rsidP="0075083B">
            <w:pPr>
              <w:jc w:val="center"/>
              <w:rPr>
                <w:rFonts w:eastAsia="Times New Roman"/>
                <w:color w:val="000000"/>
                <w:szCs w:val="22"/>
              </w:rPr>
            </w:pPr>
            <w:r>
              <w:rPr>
                <w:color w:val="000000"/>
                <w:sz w:val="22"/>
                <w:szCs w:val="22"/>
              </w:rPr>
              <w:t>40,672</w:t>
            </w:r>
          </w:p>
        </w:tc>
        <w:tc>
          <w:tcPr>
            <w:tcW w:w="1388" w:type="dxa"/>
            <w:noWrap/>
            <w:hideMark/>
          </w:tcPr>
          <w:p w14:paraId="42C708E9" w14:textId="63C0C68C" w:rsidR="0075083B" w:rsidRPr="0006648E" w:rsidRDefault="0075083B" w:rsidP="0075083B">
            <w:pPr>
              <w:ind w:right="-328"/>
              <w:jc w:val="center"/>
              <w:rPr>
                <w:rFonts w:eastAsia="Times New Roman"/>
                <w:color w:val="000000"/>
                <w:szCs w:val="22"/>
              </w:rPr>
            </w:pPr>
            <w:r w:rsidRPr="0006648E">
              <w:rPr>
                <w:rFonts w:eastAsia="Times New Roman"/>
                <w:color w:val="000000"/>
                <w:sz w:val="22"/>
                <w:szCs w:val="22"/>
              </w:rPr>
              <w:t>62.</w:t>
            </w:r>
            <w:r>
              <w:rPr>
                <w:rFonts w:eastAsia="Times New Roman"/>
                <w:color w:val="000000"/>
                <w:sz w:val="22"/>
                <w:szCs w:val="22"/>
              </w:rPr>
              <w:t>0   %</w:t>
            </w:r>
          </w:p>
        </w:tc>
        <w:tc>
          <w:tcPr>
            <w:tcW w:w="1387" w:type="dxa"/>
            <w:noWrap/>
            <w:hideMark/>
          </w:tcPr>
          <w:p w14:paraId="68ADA2D1" w14:textId="0602E655" w:rsidR="0075083B" w:rsidRPr="0075083B" w:rsidRDefault="0075083B" w:rsidP="0075083B">
            <w:pPr>
              <w:jc w:val="center"/>
              <w:rPr>
                <w:rFonts w:eastAsia="Times New Roman"/>
                <w:color w:val="000000"/>
                <w:szCs w:val="18"/>
              </w:rPr>
            </w:pPr>
            <w:r w:rsidRPr="0075083B">
              <w:rPr>
                <w:sz w:val="22"/>
                <w:szCs w:val="18"/>
              </w:rPr>
              <w:t>42,909</w:t>
            </w:r>
          </w:p>
        </w:tc>
        <w:tc>
          <w:tcPr>
            <w:tcW w:w="1388" w:type="dxa"/>
            <w:noWrap/>
            <w:hideMark/>
          </w:tcPr>
          <w:p w14:paraId="684C1366" w14:textId="0FCB8ED9" w:rsidR="0075083B" w:rsidRPr="0006648E" w:rsidRDefault="0075083B" w:rsidP="0075083B">
            <w:pPr>
              <w:ind w:right="68"/>
              <w:jc w:val="right"/>
              <w:rPr>
                <w:rFonts w:eastAsia="Times New Roman"/>
                <w:color w:val="000000"/>
                <w:szCs w:val="22"/>
              </w:rPr>
            </w:pPr>
            <w:r w:rsidRPr="0006648E">
              <w:rPr>
                <w:rFonts w:eastAsia="Times New Roman"/>
                <w:color w:val="000000"/>
                <w:sz w:val="22"/>
                <w:szCs w:val="22"/>
              </w:rPr>
              <w:t>6</w:t>
            </w:r>
            <w:r>
              <w:rPr>
                <w:rFonts w:eastAsia="Times New Roman"/>
                <w:color w:val="000000"/>
                <w:sz w:val="22"/>
                <w:szCs w:val="22"/>
              </w:rPr>
              <w:t>1</w:t>
            </w:r>
            <w:r w:rsidRPr="0006648E">
              <w:rPr>
                <w:rFonts w:eastAsia="Times New Roman"/>
                <w:color w:val="000000"/>
                <w:sz w:val="22"/>
                <w:szCs w:val="22"/>
              </w:rPr>
              <w:t>.</w:t>
            </w:r>
            <w:r>
              <w:rPr>
                <w:rFonts w:eastAsia="Times New Roman"/>
                <w:color w:val="000000"/>
                <w:sz w:val="22"/>
                <w:szCs w:val="22"/>
              </w:rPr>
              <w:t>9   %</w:t>
            </w:r>
          </w:p>
        </w:tc>
      </w:tr>
      <w:tr w:rsidR="0075083B" w:rsidRPr="0006648E" w14:paraId="7358E3E7" w14:textId="77777777" w:rsidTr="004270B8">
        <w:trPr>
          <w:cantSplit/>
          <w:trHeight w:val="285"/>
          <w:jc w:val="center"/>
        </w:trPr>
        <w:tc>
          <w:tcPr>
            <w:tcW w:w="2385" w:type="dxa"/>
            <w:noWrap/>
            <w:hideMark/>
          </w:tcPr>
          <w:p w14:paraId="61120FDD" w14:textId="77777777" w:rsidR="0075083B" w:rsidRPr="0006648E" w:rsidRDefault="0075083B" w:rsidP="0075083B">
            <w:pPr>
              <w:jc w:val="center"/>
              <w:rPr>
                <w:rFonts w:eastAsia="Times New Roman"/>
                <w:color w:val="000000"/>
                <w:szCs w:val="22"/>
              </w:rPr>
            </w:pPr>
            <w:r w:rsidRPr="0006648E">
              <w:rPr>
                <w:rFonts w:eastAsia="Times New Roman"/>
                <w:color w:val="000000"/>
                <w:sz w:val="22"/>
                <w:szCs w:val="22"/>
              </w:rPr>
              <w:t>Male</w:t>
            </w:r>
          </w:p>
        </w:tc>
        <w:tc>
          <w:tcPr>
            <w:tcW w:w="1387" w:type="dxa"/>
            <w:noWrap/>
            <w:hideMark/>
          </w:tcPr>
          <w:p w14:paraId="0CF77D56" w14:textId="088B99E1" w:rsidR="0075083B" w:rsidRPr="0075083B" w:rsidRDefault="0075083B" w:rsidP="0075083B">
            <w:pPr>
              <w:jc w:val="center"/>
              <w:rPr>
                <w:rFonts w:eastAsia="Times New Roman"/>
                <w:color w:val="000000"/>
                <w:szCs w:val="18"/>
              </w:rPr>
            </w:pPr>
            <w:r w:rsidRPr="0075083B">
              <w:rPr>
                <w:sz w:val="22"/>
                <w:szCs w:val="18"/>
              </w:rPr>
              <w:t>22,961</w:t>
            </w:r>
          </w:p>
        </w:tc>
        <w:tc>
          <w:tcPr>
            <w:tcW w:w="1388" w:type="dxa"/>
            <w:noWrap/>
            <w:hideMark/>
          </w:tcPr>
          <w:p w14:paraId="0D8FFCE0" w14:textId="3A57E9B1" w:rsidR="0075083B" w:rsidRPr="0006648E" w:rsidRDefault="0075083B" w:rsidP="0075083B">
            <w:pPr>
              <w:jc w:val="center"/>
              <w:rPr>
                <w:rFonts w:eastAsia="Times New Roman"/>
                <w:color w:val="000000"/>
                <w:szCs w:val="22"/>
              </w:rPr>
            </w:pPr>
            <w:r w:rsidRPr="0006648E">
              <w:rPr>
                <w:rFonts w:eastAsia="Times New Roman"/>
                <w:color w:val="000000"/>
                <w:sz w:val="22"/>
                <w:szCs w:val="22"/>
              </w:rPr>
              <w:t>3</w:t>
            </w:r>
            <w:r>
              <w:rPr>
                <w:rFonts w:eastAsia="Times New Roman"/>
                <w:color w:val="000000"/>
                <w:sz w:val="22"/>
                <w:szCs w:val="22"/>
              </w:rPr>
              <w:t>8</w:t>
            </w:r>
            <w:r w:rsidRPr="0006648E">
              <w:rPr>
                <w:rFonts w:eastAsia="Times New Roman"/>
                <w:color w:val="000000"/>
                <w:sz w:val="22"/>
                <w:szCs w:val="22"/>
              </w:rPr>
              <w:t>.</w:t>
            </w:r>
            <w:r>
              <w:rPr>
                <w:rFonts w:eastAsia="Times New Roman"/>
                <w:color w:val="000000"/>
                <w:sz w:val="22"/>
                <w:szCs w:val="22"/>
              </w:rPr>
              <w:t>4</w:t>
            </w:r>
          </w:p>
        </w:tc>
        <w:tc>
          <w:tcPr>
            <w:tcW w:w="1387" w:type="dxa"/>
            <w:noWrap/>
            <w:hideMark/>
          </w:tcPr>
          <w:p w14:paraId="67E4CC6E" w14:textId="664E58B9" w:rsidR="0075083B" w:rsidRPr="0006648E" w:rsidRDefault="0075083B" w:rsidP="0075083B">
            <w:pPr>
              <w:jc w:val="center"/>
              <w:rPr>
                <w:rFonts w:eastAsia="Times New Roman"/>
                <w:color w:val="000000"/>
                <w:szCs w:val="22"/>
              </w:rPr>
            </w:pPr>
            <w:r>
              <w:rPr>
                <w:color w:val="000000"/>
                <w:sz w:val="22"/>
                <w:szCs w:val="22"/>
              </w:rPr>
              <w:t>24,940</w:t>
            </w:r>
          </w:p>
        </w:tc>
        <w:tc>
          <w:tcPr>
            <w:tcW w:w="1388" w:type="dxa"/>
            <w:noWrap/>
            <w:hideMark/>
          </w:tcPr>
          <w:p w14:paraId="4F83747F" w14:textId="199034EF" w:rsidR="0075083B" w:rsidRPr="0006648E" w:rsidRDefault="0075083B" w:rsidP="0075083B">
            <w:pPr>
              <w:jc w:val="center"/>
              <w:rPr>
                <w:rFonts w:eastAsia="Times New Roman"/>
                <w:color w:val="000000"/>
                <w:szCs w:val="22"/>
              </w:rPr>
            </w:pPr>
            <w:r w:rsidRPr="0006648E">
              <w:rPr>
                <w:rFonts w:eastAsia="Times New Roman"/>
                <w:color w:val="000000"/>
                <w:sz w:val="22"/>
                <w:szCs w:val="22"/>
              </w:rPr>
              <w:t>3</w:t>
            </w:r>
            <w:r>
              <w:rPr>
                <w:rFonts w:eastAsia="Times New Roman"/>
                <w:color w:val="000000"/>
                <w:sz w:val="22"/>
                <w:szCs w:val="22"/>
              </w:rPr>
              <w:t>8</w:t>
            </w:r>
            <w:r w:rsidRPr="0006648E">
              <w:rPr>
                <w:rFonts w:eastAsia="Times New Roman"/>
                <w:color w:val="000000"/>
                <w:sz w:val="22"/>
                <w:szCs w:val="22"/>
              </w:rPr>
              <w:t>.</w:t>
            </w:r>
            <w:r>
              <w:rPr>
                <w:rFonts w:eastAsia="Times New Roman"/>
                <w:color w:val="000000"/>
                <w:sz w:val="22"/>
                <w:szCs w:val="22"/>
              </w:rPr>
              <w:t>0</w:t>
            </w:r>
          </w:p>
        </w:tc>
        <w:tc>
          <w:tcPr>
            <w:tcW w:w="1387" w:type="dxa"/>
            <w:noWrap/>
            <w:hideMark/>
          </w:tcPr>
          <w:p w14:paraId="0119127E" w14:textId="2DED732D" w:rsidR="0075083B" w:rsidRPr="0075083B" w:rsidRDefault="0075083B" w:rsidP="0075083B">
            <w:pPr>
              <w:jc w:val="center"/>
              <w:rPr>
                <w:rFonts w:eastAsia="Times New Roman"/>
                <w:color w:val="000000"/>
                <w:szCs w:val="18"/>
              </w:rPr>
            </w:pPr>
            <w:r w:rsidRPr="0075083B">
              <w:rPr>
                <w:sz w:val="22"/>
                <w:szCs w:val="18"/>
              </w:rPr>
              <w:t>26,383</w:t>
            </w:r>
          </w:p>
        </w:tc>
        <w:tc>
          <w:tcPr>
            <w:tcW w:w="1388" w:type="dxa"/>
            <w:noWrap/>
            <w:hideMark/>
          </w:tcPr>
          <w:p w14:paraId="39E723E5" w14:textId="7AD5E542" w:rsidR="0075083B" w:rsidRPr="0006648E" w:rsidRDefault="0075083B" w:rsidP="0075083B">
            <w:pPr>
              <w:jc w:val="center"/>
              <w:rPr>
                <w:rFonts w:eastAsia="Times New Roman"/>
                <w:color w:val="000000"/>
                <w:szCs w:val="22"/>
              </w:rPr>
            </w:pPr>
            <w:r w:rsidRPr="0006648E">
              <w:rPr>
                <w:rFonts w:eastAsia="Times New Roman"/>
                <w:color w:val="000000"/>
                <w:sz w:val="22"/>
                <w:szCs w:val="22"/>
              </w:rPr>
              <w:t>3</w:t>
            </w:r>
            <w:r>
              <w:rPr>
                <w:rFonts w:eastAsia="Times New Roman"/>
                <w:color w:val="000000"/>
                <w:sz w:val="22"/>
                <w:szCs w:val="22"/>
              </w:rPr>
              <w:t>8</w:t>
            </w:r>
            <w:r w:rsidRPr="0006648E">
              <w:rPr>
                <w:rFonts w:eastAsia="Times New Roman"/>
                <w:color w:val="000000"/>
                <w:sz w:val="22"/>
                <w:szCs w:val="22"/>
              </w:rPr>
              <w:t>.</w:t>
            </w:r>
            <w:r>
              <w:rPr>
                <w:rFonts w:eastAsia="Times New Roman"/>
                <w:color w:val="000000"/>
                <w:sz w:val="22"/>
                <w:szCs w:val="22"/>
              </w:rPr>
              <w:t>1</w:t>
            </w:r>
          </w:p>
        </w:tc>
      </w:tr>
      <w:tr w:rsidR="00091B11" w:rsidRPr="0006648E" w14:paraId="37230AE6" w14:textId="77777777" w:rsidTr="004270B8">
        <w:trPr>
          <w:cantSplit/>
          <w:trHeight w:val="285"/>
          <w:jc w:val="center"/>
        </w:trPr>
        <w:tc>
          <w:tcPr>
            <w:tcW w:w="2385" w:type="dxa"/>
            <w:noWrap/>
          </w:tcPr>
          <w:p w14:paraId="5198603B" w14:textId="22E69C85" w:rsidR="00091B11" w:rsidRPr="0006648E" w:rsidRDefault="00091B11" w:rsidP="00091B11">
            <w:pPr>
              <w:jc w:val="center"/>
              <w:rPr>
                <w:rFonts w:eastAsia="Times New Roman"/>
                <w:color w:val="000000"/>
                <w:sz w:val="22"/>
                <w:szCs w:val="22"/>
              </w:rPr>
            </w:pPr>
            <w:r>
              <w:rPr>
                <w:rFonts w:eastAsia="Times New Roman"/>
                <w:color w:val="000000"/>
                <w:sz w:val="22"/>
                <w:szCs w:val="22"/>
              </w:rPr>
              <w:t>Other</w:t>
            </w:r>
          </w:p>
        </w:tc>
        <w:tc>
          <w:tcPr>
            <w:tcW w:w="1387" w:type="dxa"/>
            <w:noWrap/>
          </w:tcPr>
          <w:p w14:paraId="5DB0A9EC" w14:textId="1A441DB8" w:rsidR="00091B11" w:rsidRPr="0075083B" w:rsidRDefault="007147E0" w:rsidP="00091B11">
            <w:pPr>
              <w:jc w:val="center"/>
              <w:rPr>
                <w:sz w:val="22"/>
                <w:szCs w:val="18"/>
              </w:rPr>
            </w:pPr>
            <w:r>
              <w:rPr>
                <w:sz w:val="22"/>
                <w:szCs w:val="18"/>
              </w:rPr>
              <w:t xml:space="preserve">&lt; </w:t>
            </w:r>
            <w:r w:rsidR="00091B11">
              <w:rPr>
                <w:sz w:val="22"/>
                <w:szCs w:val="18"/>
              </w:rPr>
              <w:t>11</w:t>
            </w:r>
          </w:p>
        </w:tc>
        <w:tc>
          <w:tcPr>
            <w:tcW w:w="1388" w:type="dxa"/>
            <w:noWrap/>
          </w:tcPr>
          <w:p w14:paraId="5D73B18D" w14:textId="5D95DF78" w:rsidR="00091B11" w:rsidRPr="0006648E" w:rsidRDefault="0087179C" w:rsidP="00091B11">
            <w:pPr>
              <w:jc w:val="center"/>
              <w:rPr>
                <w:rFonts w:eastAsia="Times New Roman"/>
                <w:color w:val="000000"/>
                <w:sz w:val="22"/>
                <w:szCs w:val="22"/>
              </w:rPr>
            </w:pPr>
            <w:r>
              <w:rPr>
                <w:rFonts w:eastAsia="Times New Roman"/>
                <w:color w:val="000000"/>
                <w:sz w:val="22"/>
                <w:szCs w:val="22"/>
              </w:rPr>
              <w:t>&lt;1.0</w:t>
            </w:r>
          </w:p>
        </w:tc>
        <w:tc>
          <w:tcPr>
            <w:tcW w:w="1387" w:type="dxa"/>
            <w:noWrap/>
          </w:tcPr>
          <w:p w14:paraId="3A6F60DD" w14:textId="16EBA4DB" w:rsidR="00091B11" w:rsidRDefault="007147E0" w:rsidP="00091B11">
            <w:pPr>
              <w:jc w:val="center"/>
              <w:rPr>
                <w:color w:val="000000"/>
                <w:sz w:val="22"/>
                <w:szCs w:val="22"/>
              </w:rPr>
            </w:pPr>
            <w:r>
              <w:rPr>
                <w:sz w:val="22"/>
                <w:szCs w:val="18"/>
              </w:rPr>
              <w:t xml:space="preserve">&lt; </w:t>
            </w:r>
            <w:r w:rsidR="00091B11">
              <w:rPr>
                <w:sz w:val="22"/>
                <w:szCs w:val="18"/>
              </w:rPr>
              <w:t>11</w:t>
            </w:r>
          </w:p>
        </w:tc>
        <w:tc>
          <w:tcPr>
            <w:tcW w:w="1388" w:type="dxa"/>
            <w:noWrap/>
          </w:tcPr>
          <w:p w14:paraId="5DE3D4AD" w14:textId="7E00CC73" w:rsidR="00091B11" w:rsidRPr="0006648E" w:rsidRDefault="0087179C" w:rsidP="00091B11">
            <w:pPr>
              <w:jc w:val="center"/>
              <w:rPr>
                <w:rFonts w:eastAsia="Times New Roman"/>
                <w:color w:val="000000"/>
                <w:sz w:val="22"/>
                <w:szCs w:val="22"/>
              </w:rPr>
            </w:pPr>
            <w:r>
              <w:rPr>
                <w:rFonts w:eastAsia="Times New Roman"/>
                <w:color w:val="000000"/>
                <w:sz w:val="22"/>
                <w:szCs w:val="22"/>
              </w:rPr>
              <w:t>&lt;1.0</w:t>
            </w:r>
          </w:p>
        </w:tc>
        <w:tc>
          <w:tcPr>
            <w:tcW w:w="1387" w:type="dxa"/>
            <w:noWrap/>
          </w:tcPr>
          <w:p w14:paraId="0862DB40" w14:textId="4F3E1FB3" w:rsidR="00091B11" w:rsidRPr="0075083B" w:rsidRDefault="007147E0" w:rsidP="00091B11">
            <w:pPr>
              <w:jc w:val="center"/>
              <w:rPr>
                <w:sz w:val="22"/>
                <w:szCs w:val="18"/>
              </w:rPr>
            </w:pPr>
            <w:r>
              <w:rPr>
                <w:sz w:val="22"/>
                <w:szCs w:val="18"/>
              </w:rPr>
              <w:t xml:space="preserve">&lt; </w:t>
            </w:r>
            <w:r w:rsidR="00091B11">
              <w:rPr>
                <w:sz w:val="22"/>
                <w:szCs w:val="18"/>
              </w:rPr>
              <w:t>11</w:t>
            </w:r>
          </w:p>
        </w:tc>
        <w:tc>
          <w:tcPr>
            <w:tcW w:w="1388" w:type="dxa"/>
            <w:noWrap/>
          </w:tcPr>
          <w:p w14:paraId="5381D707" w14:textId="29B09B01" w:rsidR="00091B11" w:rsidRPr="0006648E" w:rsidRDefault="0087179C" w:rsidP="00091B11">
            <w:pPr>
              <w:jc w:val="center"/>
              <w:rPr>
                <w:rFonts w:eastAsia="Times New Roman"/>
                <w:color w:val="000000"/>
                <w:sz w:val="22"/>
                <w:szCs w:val="22"/>
              </w:rPr>
            </w:pPr>
            <w:r>
              <w:rPr>
                <w:rFonts w:eastAsia="Times New Roman"/>
                <w:color w:val="000000"/>
                <w:sz w:val="22"/>
                <w:szCs w:val="22"/>
              </w:rPr>
              <w:t>&lt;1.0</w:t>
            </w:r>
          </w:p>
        </w:tc>
      </w:tr>
      <w:tr w:rsidR="00005CA8" w:rsidRPr="0006648E" w14:paraId="00B4087A" w14:textId="77777777" w:rsidTr="004270B8">
        <w:trPr>
          <w:cantSplit/>
          <w:trHeight w:val="288"/>
          <w:jc w:val="center"/>
        </w:trPr>
        <w:tc>
          <w:tcPr>
            <w:tcW w:w="2385" w:type="dxa"/>
            <w:noWrap/>
            <w:hideMark/>
          </w:tcPr>
          <w:p w14:paraId="7E4CF0EA" w14:textId="77777777" w:rsidR="00005CA8" w:rsidRPr="0006648E" w:rsidRDefault="00005CA8" w:rsidP="000075C5">
            <w:pPr>
              <w:jc w:val="center"/>
              <w:rPr>
                <w:rFonts w:eastAsia="Times New Roman"/>
                <w:b/>
                <w:bCs/>
                <w:color w:val="000000"/>
                <w:szCs w:val="22"/>
              </w:rPr>
            </w:pPr>
            <w:r w:rsidRPr="0006648E">
              <w:rPr>
                <w:rFonts w:eastAsia="Times New Roman"/>
                <w:b/>
                <w:bCs/>
                <w:color w:val="000000"/>
                <w:sz w:val="22"/>
                <w:szCs w:val="22"/>
              </w:rPr>
              <w:t>Age</w:t>
            </w:r>
          </w:p>
        </w:tc>
        <w:tc>
          <w:tcPr>
            <w:tcW w:w="1387" w:type="dxa"/>
            <w:noWrap/>
            <w:hideMark/>
          </w:tcPr>
          <w:p w14:paraId="68C33F56"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2561A9AD"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2EB706C0"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3E8AB05E"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699CDDF6"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41FC2213" w14:textId="77777777" w:rsidR="00005CA8" w:rsidRPr="0006648E" w:rsidRDefault="00005CA8" w:rsidP="000075C5">
            <w:pPr>
              <w:jc w:val="center"/>
              <w:rPr>
                <w:rFonts w:eastAsia="Times New Roman"/>
                <w:color w:val="000000"/>
                <w:szCs w:val="22"/>
              </w:rPr>
            </w:pPr>
            <w:r w:rsidRPr="0006648E">
              <w:rPr>
                <w:rFonts w:eastAsia="Times New Roman"/>
                <w:color w:val="000000"/>
                <w:sz w:val="22"/>
                <w:szCs w:val="22"/>
              </w:rPr>
              <w:t> </w:t>
            </w:r>
          </w:p>
        </w:tc>
      </w:tr>
      <w:tr w:rsidR="002B5D4B" w:rsidRPr="0006648E" w14:paraId="401C32A2" w14:textId="77777777" w:rsidTr="004270B8">
        <w:trPr>
          <w:cantSplit/>
          <w:trHeight w:val="288"/>
          <w:jc w:val="center"/>
        </w:trPr>
        <w:tc>
          <w:tcPr>
            <w:tcW w:w="2385" w:type="dxa"/>
            <w:noWrap/>
          </w:tcPr>
          <w:p w14:paraId="7F97F754" w14:textId="76A691A5" w:rsidR="002B5D4B" w:rsidRPr="00110EF0" w:rsidRDefault="002B5D4B" w:rsidP="002B5D4B">
            <w:pPr>
              <w:jc w:val="center"/>
              <w:rPr>
                <w:rFonts w:eastAsia="Times New Roman"/>
                <w:color w:val="000000"/>
                <w:sz w:val="22"/>
                <w:szCs w:val="22"/>
              </w:rPr>
            </w:pPr>
            <w:r>
              <w:rPr>
                <w:rFonts w:eastAsia="Times New Roman"/>
                <w:color w:val="000000"/>
                <w:sz w:val="22"/>
                <w:szCs w:val="22"/>
              </w:rPr>
              <w:t>0</w:t>
            </w:r>
            <w:r w:rsidR="009E3BC9">
              <w:rPr>
                <w:rFonts w:eastAsia="Times New Roman"/>
                <w:color w:val="000000"/>
                <w:sz w:val="22"/>
                <w:szCs w:val="22"/>
              </w:rPr>
              <w:t>-</w:t>
            </w:r>
            <w:r>
              <w:rPr>
                <w:rFonts w:eastAsia="Times New Roman"/>
                <w:color w:val="000000"/>
                <w:sz w:val="22"/>
                <w:szCs w:val="22"/>
              </w:rPr>
              <w:t>18</w:t>
            </w:r>
          </w:p>
        </w:tc>
        <w:tc>
          <w:tcPr>
            <w:tcW w:w="1387" w:type="dxa"/>
            <w:noWrap/>
          </w:tcPr>
          <w:p w14:paraId="03F846DB" w14:textId="6E2C8E6B" w:rsidR="002B5D4B" w:rsidRPr="00D64EFA" w:rsidRDefault="002B5D4B" w:rsidP="002B5D4B">
            <w:pPr>
              <w:jc w:val="center"/>
              <w:rPr>
                <w:sz w:val="22"/>
                <w:szCs w:val="18"/>
              </w:rPr>
            </w:pPr>
            <w:r>
              <w:rPr>
                <w:sz w:val="22"/>
                <w:szCs w:val="18"/>
              </w:rPr>
              <w:t>52</w:t>
            </w:r>
          </w:p>
        </w:tc>
        <w:tc>
          <w:tcPr>
            <w:tcW w:w="1388" w:type="dxa"/>
            <w:noWrap/>
          </w:tcPr>
          <w:p w14:paraId="66C3046A" w14:textId="3E609F39" w:rsidR="002B5D4B" w:rsidRPr="00D64EFA" w:rsidRDefault="002B5D4B" w:rsidP="002B5D4B">
            <w:pPr>
              <w:jc w:val="center"/>
              <w:rPr>
                <w:sz w:val="22"/>
                <w:szCs w:val="18"/>
              </w:rPr>
            </w:pPr>
            <w:r>
              <w:rPr>
                <w:sz w:val="22"/>
                <w:szCs w:val="18"/>
              </w:rPr>
              <w:t>0.1</w:t>
            </w:r>
          </w:p>
        </w:tc>
        <w:tc>
          <w:tcPr>
            <w:tcW w:w="1387" w:type="dxa"/>
            <w:noWrap/>
          </w:tcPr>
          <w:p w14:paraId="628D53F0" w14:textId="1BC92D65" w:rsidR="002B5D4B" w:rsidRPr="00D64EFA" w:rsidRDefault="002B5D4B" w:rsidP="002B5D4B">
            <w:pPr>
              <w:jc w:val="center"/>
              <w:rPr>
                <w:sz w:val="22"/>
                <w:szCs w:val="18"/>
              </w:rPr>
            </w:pPr>
            <w:r>
              <w:rPr>
                <w:sz w:val="22"/>
                <w:szCs w:val="18"/>
              </w:rPr>
              <w:t>56</w:t>
            </w:r>
          </w:p>
        </w:tc>
        <w:tc>
          <w:tcPr>
            <w:tcW w:w="1388" w:type="dxa"/>
            <w:noWrap/>
          </w:tcPr>
          <w:p w14:paraId="62D9FA93" w14:textId="0FDF2D72" w:rsidR="002B5D4B" w:rsidRPr="00D64EFA" w:rsidRDefault="002B5D4B" w:rsidP="002B5D4B">
            <w:pPr>
              <w:jc w:val="center"/>
              <w:rPr>
                <w:sz w:val="22"/>
                <w:szCs w:val="18"/>
              </w:rPr>
            </w:pPr>
            <w:r>
              <w:rPr>
                <w:sz w:val="22"/>
                <w:szCs w:val="18"/>
              </w:rPr>
              <w:t>0.1</w:t>
            </w:r>
          </w:p>
        </w:tc>
        <w:tc>
          <w:tcPr>
            <w:tcW w:w="1387" w:type="dxa"/>
            <w:noWrap/>
          </w:tcPr>
          <w:p w14:paraId="5F6EB1D1" w14:textId="7FDF3944" w:rsidR="002B5D4B" w:rsidRPr="00D64EFA" w:rsidRDefault="002B5D4B" w:rsidP="002B5D4B">
            <w:pPr>
              <w:jc w:val="center"/>
              <w:rPr>
                <w:sz w:val="22"/>
                <w:szCs w:val="18"/>
              </w:rPr>
            </w:pPr>
            <w:r>
              <w:rPr>
                <w:sz w:val="22"/>
                <w:szCs w:val="18"/>
              </w:rPr>
              <w:t>51</w:t>
            </w:r>
          </w:p>
        </w:tc>
        <w:tc>
          <w:tcPr>
            <w:tcW w:w="1388" w:type="dxa"/>
            <w:noWrap/>
          </w:tcPr>
          <w:p w14:paraId="34A885A7" w14:textId="31A4D127" w:rsidR="002B5D4B" w:rsidRPr="00D64EFA" w:rsidRDefault="002B5D4B" w:rsidP="002B5D4B">
            <w:pPr>
              <w:jc w:val="center"/>
              <w:rPr>
                <w:sz w:val="22"/>
                <w:szCs w:val="18"/>
              </w:rPr>
            </w:pPr>
            <w:r>
              <w:rPr>
                <w:sz w:val="22"/>
                <w:szCs w:val="18"/>
              </w:rPr>
              <w:t>0.1</w:t>
            </w:r>
          </w:p>
        </w:tc>
      </w:tr>
      <w:tr w:rsidR="002B5D4B" w:rsidRPr="0006648E" w14:paraId="1D35226B" w14:textId="77777777" w:rsidTr="004270B8">
        <w:trPr>
          <w:cantSplit/>
          <w:trHeight w:val="288"/>
          <w:jc w:val="center"/>
        </w:trPr>
        <w:tc>
          <w:tcPr>
            <w:tcW w:w="2385" w:type="dxa"/>
            <w:noWrap/>
            <w:hideMark/>
          </w:tcPr>
          <w:p w14:paraId="15B5CE12" w14:textId="77777777" w:rsidR="002B5D4B" w:rsidRPr="00110EF0" w:rsidRDefault="002B5D4B" w:rsidP="002B5D4B">
            <w:pPr>
              <w:jc w:val="center"/>
              <w:rPr>
                <w:rFonts w:eastAsia="Times New Roman"/>
                <w:color w:val="000000"/>
                <w:szCs w:val="22"/>
              </w:rPr>
            </w:pPr>
            <w:r w:rsidRPr="00110EF0">
              <w:rPr>
                <w:rFonts w:eastAsia="Times New Roman"/>
                <w:color w:val="000000"/>
                <w:sz w:val="22"/>
                <w:szCs w:val="22"/>
              </w:rPr>
              <w:lastRenderedPageBreak/>
              <w:t>19-35</w:t>
            </w:r>
          </w:p>
        </w:tc>
        <w:tc>
          <w:tcPr>
            <w:tcW w:w="1387" w:type="dxa"/>
            <w:noWrap/>
            <w:hideMark/>
          </w:tcPr>
          <w:p w14:paraId="7AAF4049" w14:textId="1F506A11" w:rsidR="002B5D4B" w:rsidRPr="00D64EFA" w:rsidRDefault="002B5D4B" w:rsidP="002B5D4B">
            <w:pPr>
              <w:jc w:val="center"/>
              <w:rPr>
                <w:rFonts w:eastAsia="Times New Roman"/>
                <w:color w:val="000000"/>
                <w:szCs w:val="18"/>
              </w:rPr>
            </w:pPr>
            <w:r w:rsidRPr="00D64EFA">
              <w:rPr>
                <w:sz w:val="22"/>
                <w:szCs w:val="18"/>
              </w:rPr>
              <w:t>3,885</w:t>
            </w:r>
          </w:p>
        </w:tc>
        <w:tc>
          <w:tcPr>
            <w:tcW w:w="1388" w:type="dxa"/>
            <w:noWrap/>
            <w:hideMark/>
          </w:tcPr>
          <w:p w14:paraId="30421B42" w14:textId="18C2ECF3" w:rsidR="002B5D4B" w:rsidRPr="00D64EFA" w:rsidRDefault="002B5D4B" w:rsidP="002B5D4B">
            <w:pPr>
              <w:jc w:val="center"/>
              <w:rPr>
                <w:rFonts w:eastAsia="Times New Roman"/>
                <w:color w:val="000000"/>
                <w:szCs w:val="18"/>
              </w:rPr>
            </w:pPr>
            <w:r w:rsidRPr="00D64EFA">
              <w:rPr>
                <w:sz w:val="22"/>
                <w:szCs w:val="18"/>
              </w:rPr>
              <w:t>6.5</w:t>
            </w:r>
          </w:p>
        </w:tc>
        <w:tc>
          <w:tcPr>
            <w:tcW w:w="1387" w:type="dxa"/>
            <w:noWrap/>
            <w:hideMark/>
          </w:tcPr>
          <w:p w14:paraId="731C700A" w14:textId="174A085D" w:rsidR="002B5D4B" w:rsidRPr="00D64EFA" w:rsidRDefault="002B5D4B" w:rsidP="002B5D4B">
            <w:pPr>
              <w:jc w:val="center"/>
              <w:rPr>
                <w:rFonts w:eastAsia="Times New Roman"/>
                <w:color w:val="000000"/>
                <w:szCs w:val="18"/>
              </w:rPr>
            </w:pPr>
            <w:r w:rsidRPr="00D64EFA">
              <w:rPr>
                <w:sz w:val="22"/>
                <w:szCs w:val="18"/>
              </w:rPr>
              <w:t>4425</w:t>
            </w:r>
          </w:p>
        </w:tc>
        <w:tc>
          <w:tcPr>
            <w:tcW w:w="1388" w:type="dxa"/>
            <w:noWrap/>
            <w:hideMark/>
          </w:tcPr>
          <w:p w14:paraId="25033143" w14:textId="43F3390D" w:rsidR="002B5D4B" w:rsidRPr="00D64EFA" w:rsidRDefault="002B5D4B" w:rsidP="002B5D4B">
            <w:pPr>
              <w:jc w:val="center"/>
              <w:rPr>
                <w:rFonts w:eastAsia="Times New Roman"/>
                <w:color w:val="000000"/>
                <w:szCs w:val="18"/>
              </w:rPr>
            </w:pPr>
            <w:r w:rsidRPr="00D64EFA">
              <w:rPr>
                <w:sz w:val="22"/>
                <w:szCs w:val="18"/>
              </w:rPr>
              <w:t>6.7</w:t>
            </w:r>
          </w:p>
        </w:tc>
        <w:tc>
          <w:tcPr>
            <w:tcW w:w="1387" w:type="dxa"/>
            <w:noWrap/>
            <w:hideMark/>
          </w:tcPr>
          <w:p w14:paraId="0685941C" w14:textId="320CD405" w:rsidR="002B5D4B" w:rsidRPr="00D64EFA" w:rsidRDefault="002B5D4B" w:rsidP="002B5D4B">
            <w:pPr>
              <w:jc w:val="center"/>
              <w:rPr>
                <w:rFonts w:eastAsia="Times New Roman"/>
                <w:color w:val="000000"/>
                <w:szCs w:val="18"/>
              </w:rPr>
            </w:pPr>
            <w:r w:rsidRPr="00D64EFA">
              <w:rPr>
                <w:sz w:val="22"/>
                <w:szCs w:val="18"/>
              </w:rPr>
              <w:t>4,647</w:t>
            </w:r>
          </w:p>
        </w:tc>
        <w:tc>
          <w:tcPr>
            <w:tcW w:w="1388" w:type="dxa"/>
            <w:noWrap/>
            <w:hideMark/>
          </w:tcPr>
          <w:p w14:paraId="4D8FB590" w14:textId="049B7F66" w:rsidR="002B5D4B" w:rsidRPr="00D64EFA" w:rsidRDefault="002B5D4B" w:rsidP="002B5D4B">
            <w:pPr>
              <w:jc w:val="center"/>
              <w:rPr>
                <w:rFonts w:eastAsia="Times New Roman"/>
                <w:color w:val="000000"/>
                <w:szCs w:val="18"/>
              </w:rPr>
            </w:pPr>
            <w:r w:rsidRPr="00D64EFA">
              <w:rPr>
                <w:sz w:val="22"/>
                <w:szCs w:val="18"/>
              </w:rPr>
              <w:t>6.7</w:t>
            </w:r>
          </w:p>
        </w:tc>
      </w:tr>
      <w:tr w:rsidR="002B5D4B" w:rsidRPr="0006648E" w14:paraId="1F710A87" w14:textId="77777777" w:rsidTr="004270B8">
        <w:trPr>
          <w:cantSplit/>
          <w:trHeight w:val="288"/>
          <w:jc w:val="center"/>
        </w:trPr>
        <w:tc>
          <w:tcPr>
            <w:tcW w:w="2385" w:type="dxa"/>
            <w:noWrap/>
            <w:hideMark/>
          </w:tcPr>
          <w:p w14:paraId="1A7612D4" w14:textId="2AF9595F" w:rsidR="002B5D4B" w:rsidRPr="00110EF0" w:rsidRDefault="002B5D4B" w:rsidP="002B5D4B">
            <w:pPr>
              <w:jc w:val="center"/>
              <w:rPr>
                <w:rFonts w:eastAsia="Times New Roman"/>
                <w:color w:val="000000"/>
                <w:szCs w:val="22"/>
              </w:rPr>
            </w:pPr>
            <w:r w:rsidRPr="00110EF0">
              <w:rPr>
                <w:rFonts w:eastAsia="Times New Roman"/>
                <w:color w:val="000000"/>
                <w:sz w:val="22"/>
                <w:szCs w:val="22"/>
              </w:rPr>
              <w:t>36-55</w:t>
            </w:r>
          </w:p>
        </w:tc>
        <w:tc>
          <w:tcPr>
            <w:tcW w:w="1387" w:type="dxa"/>
            <w:noWrap/>
            <w:hideMark/>
          </w:tcPr>
          <w:p w14:paraId="3EBD0C15" w14:textId="46C34BD3" w:rsidR="002B5D4B" w:rsidRPr="00D64EFA" w:rsidRDefault="002B5D4B" w:rsidP="002B5D4B">
            <w:pPr>
              <w:jc w:val="center"/>
              <w:rPr>
                <w:rFonts w:eastAsia="Times New Roman"/>
                <w:color w:val="000000"/>
                <w:szCs w:val="18"/>
              </w:rPr>
            </w:pPr>
            <w:r w:rsidRPr="00D64EFA">
              <w:rPr>
                <w:sz w:val="22"/>
                <w:szCs w:val="18"/>
              </w:rPr>
              <w:t>15347</w:t>
            </w:r>
          </w:p>
        </w:tc>
        <w:tc>
          <w:tcPr>
            <w:tcW w:w="1388" w:type="dxa"/>
            <w:noWrap/>
            <w:hideMark/>
          </w:tcPr>
          <w:p w14:paraId="75855CE3" w14:textId="0908E166" w:rsidR="002B5D4B" w:rsidRPr="00D64EFA" w:rsidRDefault="002B5D4B" w:rsidP="002B5D4B">
            <w:pPr>
              <w:jc w:val="center"/>
              <w:rPr>
                <w:rFonts w:eastAsia="Times New Roman"/>
                <w:color w:val="000000"/>
                <w:szCs w:val="18"/>
              </w:rPr>
            </w:pPr>
            <w:r w:rsidRPr="00D64EFA">
              <w:rPr>
                <w:sz w:val="22"/>
                <w:szCs w:val="18"/>
              </w:rPr>
              <w:t>25.7</w:t>
            </w:r>
          </w:p>
        </w:tc>
        <w:tc>
          <w:tcPr>
            <w:tcW w:w="1387" w:type="dxa"/>
            <w:noWrap/>
            <w:hideMark/>
          </w:tcPr>
          <w:p w14:paraId="184979D0" w14:textId="243071BA" w:rsidR="002B5D4B" w:rsidRPr="00D64EFA" w:rsidRDefault="002B5D4B" w:rsidP="002B5D4B">
            <w:pPr>
              <w:jc w:val="center"/>
              <w:rPr>
                <w:rFonts w:eastAsia="Times New Roman"/>
                <w:color w:val="000000"/>
                <w:szCs w:val="18"/>
              </w:rPr>
            </w:pPr>
            <w:r w:rsidRPr="00D64EFA">
              <w:rPr>
                <w:sz w:val="22"/>
                <w:szCs w:val="18"/>
              </w:rPr>
              <w:t>16571</w:t>
            </w:r>
          </w:p>
        </w:tc>
        <w:tc>
          <w:tcPr>
            <w:tcW w:w="1388" w:type="dxa"/>
            <w:noWrap/>
            <w:hideMark/>
          </w:tcPr>
          <w:p w14:paraId="55D2D217" w14:textId="64E08BE6" w:rsidR="002B5D4B" w:rsidRPr="00D64EFA" w:rsidRDefault="002B5D4B" w:rsidP="002B5D4B">
            <w:pPr>
              <w:jc w:val="center"/>
              <w:rPr>
                <w:rFonts w:eastAsia="Times New Roman"/>
                <w:color w:val="000000"/>
                <w:szCs w:val="18"/>
              </w:rPr>
            </w:pPr>
            <w:r w:rsidRPr="00D64EFA">
              <w:rPr>
                <w:sz w:val="22"/>
                <w:szCs w:val="18"/>
              </w:rPr>
              <w:t>25.3</w:t>
            </w:r>
          </w:p>
        </w:tc>
        <w:tc>
          <w:tcPr>
            <w:tcW w:w="1387" w:type="dxa"/>
            <w:noWrap/>
            <w:hideMark/>
          </w:tcPr>
          <w:p w14:paraId="13D298AC" w14:textId="7496FA1A" w:rsidR="002B5D4B" w:rsidRPr="00D64EFA" w:rsidRDefault="002B5D4B" w:rsidP="002B5D4B">
            <w:pPr>
              <w:jc w:val="center"/>
              <w:rPr>
                <w:rFonts w:eastAsia="Times New Roman"/>
                <w:color w:val="000000"/>
                <w:szCs w:val="18"/>
              </w:rPr>
            </w:pPr>
            <w:r w:rsidRPr="00D64EFA">
              <w:rPr>
                <w:sz w:val="22"/>
                <w:szCs w:val="18"/>
              </w:rPr>
              <w:t>17,498</w:t>
            </w:r>
          </w:p>
        </w:tc>
        <w:tc>
          <w:tcPr>
            <w:tcW w:w="1388" w:type="dxa"/>
            <w:noWrap/>
            <w:hideMark/>
          </w:tcPr>
          <w:p w14:paraId="1137A992" w14:textId="5C731E2E" w:rsidR="002B5D4B" w:rsidRPr="00D64EFA" w:rsidRDefault="002B5D4B" w:rsidP="002B5D4B">
            <w:pPr>
              <w:jc w:val="center"/>
              <w:rPr>
                <w:rFonts w:eastAsia="Times New Roman"/>
                <w:color w:val="000000"/>
                <w:szCs w:val="18"/>
              </w:rPr>
            </w:pPr>
            <w:r w:rsidRPr="00D64EFA">
              <w:rPr>
                <w:sz w:val="22"/>
                <w:szCs w:val="18"/>
              </w:rPr>
              <w:t>25.3</w:t>
            </w:r>
          </w:p>
        </w:tc>
      </w:tr>
      <w:tr w:rsidR="002B5D4B" w:rsidRPr="0006648E" w14:paraId="54166629" w14:textId="77777777" w:rsidTr="004270B8">
        <w:trPr>
          <w:cantSplit/>
          <w:trHeight w:val="288"/>
          <w:jc w:val="center"/>
        </w:trPr>
        <w:tc>
          <w:tcPr>
            <w:tcW w:w="2385" w:type="dxa"/>
            <w:noWrap/>
            <w:hideMark/>
          </w:tcPr>
          <w:p w14:paraId="4EAD9144" w14:textId="77777777" w:rsidR="002B5D4B" w:rsidRPr="00110EF0" w:rsidRDefault="002B5D4B" w:rsidP="002B5D4B">
            <w:pPr>
              <w:jc w:val="center"/>
              <w:rPr>
                <w:rFonts w:eastAsia="Times New Roman"/>
                <w:color w:val="000000"/>
                <w:szCs w:val="22"/>
              </w:rPr>
            </w:pPr>
            <w:r w:rsidRPr="00110EF0">
              <w:rPr>
                <w:sz w:val="22"/>
                <w:szCs w:val="22"/>
              </w:rPr>
              <w:t>56-75</w:t>
            </w:r>
          </w:p>
        </w:tc>
        <w:tc>
          <w:tcPr>
            <w:tcW w:w="1387" w:type="dxa"/>
            <w:noWrap/>
            <w:hideMark/>
          </w:tcPr>
          <w:p w14:paraId="73AACEB1" w14:textId="4E502621" w:rsidR="002B5D4B" w:rsidRPr="00D64EFA" w:rsidRDefault="002B5D4B" w:rsidP="002B5D4B">
            <w:pPr>
              <w:jc w:val="center"/>
              <w:rPr>
                <w:rFonts w:eastAsia="Times New Roman"/>
                <w:color w:val="000000"/>
                <w:szCs w:val="18"/>
              </w:rPr>
            </w:pPr>
            <w:r w:rsidRPr="00D64EFA">
              <w:rPr>
                <w:sz w:val="22"/>
                <w:szCs w:val="18"/>
              </w:rPr>
              <w:t>33,125</w:t>
            </w:r>
          </w:p>
        </w:tc>
        <w:tc>
          <w:tcPr>
            <w:tcW w:w="1388" w:type="dxa"/>
            <w:noWrap/>
            <w:hideMark/>
          </w:tcPr>
          <w:p w14:paraId="7AC85934" w14:textId="34BBC598" w:rsidR="002B5D4B" w:rsidRPr="00D64EFA" w:rsidRDefault="002B5D4B" w:rsidP="002B5D4B">
            <w:pPr>
              <w:jc w:val="center"/>
              <w:rPr>
                <w:rFonts w:eastAsia="Times New Roman"/>
                <w:color w:val="000000"/>
                <w:szCs w:val="18"/>
              </w:rPr>
            </w:pPr>
            <w:r w:rsidRPr="00D64EFA">
              <w:rPr>
                <w:sz w:val="22"/>
                <w:szCs w:val="18"/>
              </w:rPr>
              <w:t>55.4</w:t>
            </w:r>
          </w:p>
        </w:tc>
        <w:tc>
          <w:tcPr>
            <w:tcW w:w="1387" w:type="dxa"/>
            <w:noWrap/>
            <w:hideMark/>
          </w:tcPr>
          <w:p w14:paraId="7313184C" w14:textId="7D5D693C" w:rsidR="002B5D4B" w:rsidRPr="00D64EFA" w:rsidRDefault="002B5D4B" w:rsidP="002B5D4B">
            <w:pPr>
              <w:jc w:val="center"/>
              <w:rPr>
                <w:rFonts w:eastAsia="Times New Roman"/>
                <w:color w:val="000000"/>
                <w:szCs w:val="18"/>
              </w:rPr>
            </w:pPr>
            <w:r w:rsidRPr="00D64EFA">
              <w:rPr>
                <w:sz w:val="22"/>
                <w:szCs w:val="18"/>
              </w:rPr>
              <w:t>36110</w:t>
            </w:r>
          </w:p>
        </w:tc>
        <w:tc>
          <w:tcPr>
            <w:tcW w:w="1388" w:type="dxa"/>
            <w:noWrap/>
            <w:hideMark/>
          </w:tcPr>
          <w:p w14:paraId="3E9817EA" w14:textId="1563F124" w:rsidR="002B5D4B" w:rsidRPr="00D64EFA" w:rsidRDefault="002B5D4B" w:rsidP="002B5D4B">
            <w:pPr>
              <w:jc w:val="center"/>
              <w:rPr>
                <w:rFonts w:eastAsia="Times New Roman"/>
                <w:color w:val="000000"/>
                <w:szCs w:val="18"/>
              </w:rPr>
            </w:pPr>
            <w:r w:rsidRPr="00D64EFA">
              <w:rPr>
                <w:sz w:val="22"/>
                <w:szCs w:val="18"/>
              </w:rPr>
              <w:t>55.0</w:t>
            </w:r>
          </w:p>
        </w:tc>
        <w:tc>
          <w:tcPr>
            <w:tcW w:w="1387" w:type="dxa"/>
            <w:noWrap/>
            <w:hideMark/>
          </w:tcPr>
          <w:p w14:paraId="6BDA5308" w14:textId="66BFDCC0" w:rsidR="002B5D4B" w:rsidRPr="00D64EFA" w:rsidRDefault="002B5D4B" w:rsidP="002B5D4B">
            <w:pPr>
              <w:jc w:val="center"/>
              <w:rPr>
                <w:rFonts w:eastAsia="Times New Roman"/>
                <w:color w:val="000000"/>
                <w:szCs w:val="18"/>
              </w:rPr>
            </w:pPr>
            <w:r w:rsidRPr="00D64EFA">
              <w:rPr>
                <w:sz w:val="22"/>
                <w:szCs w:val="18"/>
              </w:rPr>
              <w:t>37,913</w:t>
            </w:r>
          </w:p>
        </w:tc>
        <w:tc>
          <w:tcPr>
            <w:tcW w:w="1388" w:type="dxa"/>
            <w:noWrap/>
            <w:hideMark/>
          </w:tcPr>
          <w:p w14:paraId="31B050BE" w14:textId="4759B868" w:rsidR="002B5D4B" w:rsidRPr="00D64EFA" w:rsidRDefault="002B5D4B" w:rsidP="002B5D4B">
            <w:pPr>
              <w:jc w:val="center"/>
              <w:rPr>
                <w:rFonts w:eastAsia="Times New Roman"/>
                <w:color w:val="000000"/>
                <w:szCs w:val="18"/>
              </w:rPr>
            </w:pPr>
            <w:r w:rsidRPr="00D64EFA">
              <w:rPr>
                <w:sz w:val="22"/>
                <w:szCs w:val="18"/>
              </w:rPr>
              <w:t>54.7</w:t>
            </w:r>
          </w:p>
        </w:tc>
      </w:tr>
      <w:tr w:rsidR="002B5D4B" w:rsidRPr="0006648E" w14:paraId="3C029551" w14:textId="77777777" w:rsidTr="004270B8">
        <w:trPr>
          <w:cantSplit/>
          <w:trHeight w:val="288"/>
          <w:jc w:val="center"/>
        </w:trPr>
        <w:tc>
          <w:tcPr>
            <w:tcW w:w="2385" w:type="dxa"/>
            <w:noWrap/>
          </w:tcPr>
          <w:p w14:paraId="7A5A0443" w14:textId="77777777" w:rsidR="002B5D4B" w:rsidRPr="00110EF0" w:rsidRDefault="002B5D4B" w:rsidP="002B5D4B">
            <w:pPr>
              <w:jc w:val="center"/>
              <w:rPr>
                <w:rFonts w:eastAsia="Times New Roman"/>
                <w:color w:val="000000"/>
                <w:szCs w:val="22"/>
              </w:rPr>
            </w:pPr>
            <w:r w:rsidRPr="00110EF0">
              <w:rPr>
                <w:sz w:val="22"/>
                <w:szCs w:val="22"/>
              </w:rPr>
              <w:t>&gt;75</w:t>
            </w:r>
          </w:p>
        </w:tc>
        <w:tc>
          <w:tcPr>
            <w:tcW w:w="1387" w:type="dxa"/>
            <w:noWrap/>
          </w:tcPr>
          <w:p w14:paraId="6A628895" w14:textId="48408039" w:rsidR="002B5D4B" w:rsidRPr="00D64EFA" w:rsidRDefault="002B5D4B" w:rsidP="002B5D4B">
            <w:pPr>
              <w:jc w:val="center"/>
              <w:rPr>
                <w:rFonts w:eastAsia="Times New Roman"/>
                <w:color w:val="000000"/>
                <w:szCs w:val="18"/>
              </w:rPr>
            </w:pPr>
            <w:r w:rsidRPr="00D64EFA">
              <w:rPr>
                <w:sz w:val="22"/>
                <w:szCs w:val="18"/>
              </w:rPr>
              <w:t>8,300</w:t>
            </w:r>
          </w:p>
        </w:tc>
        <w:tc>
          <w:tcPr>
            <w:tcW w:w="1388" w:type="dxa"/>
            <w:noWrap/>
          </w:tcPr>
          <w:p w14:paraId="611E9AE9" w14:textId="22983342" w:rsidR="002B5D4B" w:rsidRPr="00D64EFA" w:rsidRDefault="002B5D4B" w:rsidP="002B5D4B">
            <w:pPr>
              <w:jc w:val="center"/>
              <w:rPr>
                <w:rFonts w:eastAsia="Times New Roman"/>
                <w:color w:val="000000"/>
                <w:szCs w:val="18"/>
              </w:rPr>
            </w:pPr>
            <w:r w:rsidRPr="00D64EFA">
              <w:rPr>
                <w:sz w:val="22"/>
                <w:szCs w:val="18"/>
              </w:rPr>
              <w:t>13.9</w:t>
            </w:r>
          </w:p>
        </w:tc>
        <w:tc>
          <w:tcPr>
            <w:tcW w:w="1387" w:type="dxa"/>
            <w:noWrap/>
          </w:tcPr>
          <w:p w14:paraId="6E29D43A" w14:textId="06DE9B98" w:rsidR="002B5D4B" w:rsidRPr="00D64EFA" w:rsidRDefault="002B5D4B" w:rsidP="002B5D4B">
            <w:pPr>
              <w:jc w:val="center"/>
              <w:rPr>
                <w:rFonts w:eastAsia="Times New Roman"/>
                <w:color w:val="000000"/>
                <w:szCs w:val="18"/>
              </w:rPr>
            </w:pPr>
            <w:r w:rsidRPr="00D64EFA">
              <w:rPr>
                <w:sz w:val="22"/>
                <w:szCs w:val="18"/>
              </w:rPr>
              <w:t>9474</w:t>
            </w:r>
          </w:p>
        </w:tc>
        <w:tc>
          <w:tcPr>
            <w:tcW w:w="1388" w:type="dxa"/>
            <w:noWrap/>
          </w:tcPr>
          <w:p w14:paraId="55BFB160" w14:textId="3626ABD9" w:rsidR="002B5D4B" w:rsidRPr="00D64EFA" w:rsidRDefault="002B5D4B" w:rsidP="002B5D4B">
            <w:pPr>
              <w:jc w:val="center"/>
              <w:rPr>
                <w:rFonts w:eastAsia="Times New Roman"/>
                <w:color w:val="000000"/>
                <w:szCs w:val="18"/>
              </w:rPr>
            </w:pPr>
            <w:r w:rsidRPr="00D64EFA">
              <w:rPr>
                <w:sz w:val="22"/>
                <w:szCs w:val="18"/>
              </w:rPr>
              <w:t>14.4</w:t>
            </w:r>
          </w:p>
        </w:tc>
        <w:tc>
          <w:tcPr>
            <w:tcW w:w="1387" w:type="dxa"/>
            <w:noWrap/>
          </w:tcPr>
          <w:p w14:paraId="360496E7" w14:textId="5D4AF0B4" w:rsidR="002B5D4B" w:rsidRPr="00D64EFA" w:rsidRDefault="002B5D4B" w:rsidP="002B5D4B">
            <w:pPr>
              <w:jc w:val="center"/>
              <w:rPr>
                <w:rFonts w:eastAsia="Times New Roman"/>
                <w:color w:val="000000"/>
                <w:szCs w:val="18"/>
              </w:rPr>
            </w:pPr>
            <w:r w:rsidRPr="00D64EFA">
              <w:rPr>
                <w:sz w:val="22"/>
                <w:szCs w:val="18"/>
              </w:rPr>
              <w:t>10,325</w:t>
            </w:r>
          </w:p>
        </w:tc>
        <w:tc>
          <w:tcPr>
            <w:tcW w:w="1388" w:type="dxa"/>
            <w:noWrap/>
          </w:tcPr>
          <w:p w14:paraId="691DEC64" w14:textId="5804449F" w:rsidR="002B5D4B" w:rsidRPr="00D64EFA" w:rsidRDefault="002B5D4B" w:rsidP="002B5D4B">
            <w:pPr>
              <w:jc w:val="center"/>
              <w:rPr>
                <w:rFonts w:eastAsia="Times New Roman"/>
                <w:color w:val="000000"/>
                <w:szCs w:val="18"/>
              </w:rPr>
            </w:pPr>
            <w:r w:rsidRPr="00D64EFA">
              <w:rPr>
                <w:sz w:val="22"/>
                <w:szCs w:val="18"/>
              </w:rPr>
              <w:t>14.9</w:t>
            </w:r>
          </w:p>
        </w:tc>
      </w:tr>
      <w:tr w:rsidR="002B5D4B" w:rsidRPr="0006648E" w14:paraId="4E0FA8E5" w14:textId="77777777" w:rsidTr="004270B8">
        <w:trPr>
          <w:cantSplit/>
          <w:trHeight w:val="288"/>
          <w:jc w:val="center"/>
        </w:trPr>
        <w:tc>
          <w:tcPr>
            <w:tcW w:w="2385" w:type="dxa"/>
            <w:noWrap/>
            <w:hideMark/>
          </w:tcPr>
          <w:p w14:paraId="4D983188" w14:textId="77777777" w:rsidR="002B5D4B" w:rsidRPr="0006648E" w:rsidRDefault="002B5D4B" w:rsidP="002B5D4B">
            <w:pPr>
              <w:jc w:val="center"/>
              <w:rPr>
                <w:rFonts w:eastAsia="Times New Roman"/>
                <w:b/>
                <w:bCs/>
                <w:color w:val="000000"/>
                <w:szCs w:val="22"/>
              </w:rPr>
            </w:pPr>
            <w:r w:rsidRPr="0006648E">
              <w:rPr>
                <w:rFonts w:eastAsia="Times New Roman"/>
                <w:b/>
                <w:bCs/>
                <w:color w:val="000000"/>
                <w:sz w:val="22"/>
                <w:szCs w:val="22"/>
              </w:rPr>
              <w:t>Race/Ethnicity</w:t>
            </w:r>
          </w:p>
        </w:tc>
        <w:tc>
          <w:tcPr>
            <w:tcW w:w="1387" w:type="dxa"/>
            <w:noWrap/>
            <w:hideMark/>
          </w:tcPr>
          <w:p w14:paraId="62B0F9EF"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3A712343"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21628839"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5C10C61A"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0A8CB3A8"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52D4F033"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r>
      <w:tr w:rsidR="002B5D4B" w:rsidRPr="0006648E" w14:paraId="4F373660" w14:textId="77777777" w:rsidTr="004270B8">
        <w:trPr>
          <w:cantSplit/>
          <w:trHeight w:val="288"/>
          <w:jc w:val="center"/>
        </w:trPr>
        <w:tc>
          <w:tcPr>
            <w:tcW w:w="2385" w:type="dxa"/>
            <w:noWrap/>
            <w:hideMark/>
          </w:tcPr>
          <w:p w14:paraId="49CF4743"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Asian Non-Hispanic or Latino</w:t>
            </w:r>
          </w:p>
        </w:tc>
        <w:tc>
          <w:tcPr>
            <w:tcW w:w="1387" w:type="dxa"/>
            <w:noWrap/>
            <w:hideMark/>
          </w:tcPr>
          <w:p w14:paraId="2FEDA8A9" w14:textId="797F769C" w:rsidR="002B5D4B" w:rsidRPr="0006648E" w:rsidRDefault="002B5D4B" w:rsidP="002B5D4B">
            <w:pPr>
              <w:jc w:val="center"/>
              <w:rPr>
                <w:rFonts w:eastAsia="Times New Roman"/>
                <w:color w:val="000000"/>
                <w:szCs w:val="22"/>
              </w:rPr>
            </w:pPr>
            <w:r>
              <w:rPr>
                <w:color w:val="000000"/>
                <w:sz w:val="22"/>
                <w:szCs w:val="22"/>
              </w:rPr>
              <w:t>1,797</w:t>
            </w:r>
          </w:p>
        </w:tc>
        <w:tc>
          <w:tcPr>
            <w:tcW w:w="1388" w:type="dxa"/>
            <w:noWrap/>
            <w:hideMark/>
          </w:tcPr>
          <w:p w14:paraId="4B6C34A2" w14:textId="7FEE66D2" w:rsidR="002B5D4B" w:rsidRPr="0006648E" w:rsidRDefault="002B5D4B" w:rsidP="002B5D4B">
            <w:pPr>
              <w:jc w:val="center"/>
              <w:rPr>
                <w:rFonts w:eastAsia="Times New Roman"/>
                <w:color w:val="000000"/>
                <w:szCs w:val="22"/>
              </w:rPr>
            </w:pPr>
            <w:r>
              <w:rPr>
                <w:color w:val="000000"/>
                <w:sz w:val="22"/>
                <w:szCs w:val="22"/>
              </w:rPr>
              <w:t>3.0</w:t>
            </w:r>
          </w:p>
        </w:tc>
        <w:tc>
          <w:tcPr>
            <w:tcW w:w="1387" w:type="dxa"/>
            <w:noWrap/>
            <w:hideMark/>
          </w:tcPr>
          <w:p w14:paraId="112C1182" w14:textId="607C4419" w:rsidR="002B5D4B" w:rsidRPr="0006648E" w:rsidRDefault="002B5D4B" w:rsidP="002B5D4B">
            <w:pPr>
              <w:jc w:val="center"/>
              <w:rPr>
                <w:rFonts w:eastAsia="Times New Roman"/>
                <w:color w:val="000000"/>
                <w:szCs w:val="22"/>
              </w:rPr>
            </w:pPr>
            <w:r>
              <w:rPr>
                <w:color w:val="000000"/>
                <w:sz w:val="22"/>
                <w:szCs w:val="22"/>
              </w:rPr>
              <w:t>2,049</w:t>
            </w:r>
          </w:p>
        </w:tc>
        <w:tc>
          <w:tcPr>
            <w:tcW w:w="1388" w:type="dxa"/>
            <w:noWrap/>
            <w:hideMark/>
          </w:tcPr>
          <w:p w14:paraId="62A855DB" w14:textId="5AA16C96" w:rsidR="002B5D4B" w:rsidRPr="0006648E" w:rsidRDefault="002B5D4B" w:rsidP="002B5D4B">
            <w:pPr>
              <w:jc w:val="center"/>
              <w:rPr>
                <w:rFonts w:eastAsia="Times New Roman"/>
                <w:color w:val="000000"/>
                <w:szCs w:val="22"/>
              </w:rPr>
            </w:pPr>
            <w:r>
              <w:rPr>
                <w:color w:val="000000"/>
                <w:sz w:val="22"/>
                <w:szCs w:val="22"/>
              </w:rPr>
              <w:t>3.1</w:t>
            </w:r>
          </w:p>
        </w:tc>
        <w:tc>
          <w:tcPr>
            <w:tcW w:w="1387" w:type="dxa"/>
            <w:noWrap/>
            <w:hideMark/>
          </w:tcPr>
          <w:p w14:paraId="6EF2A426" w14:textId="02D3692C" w:rsidR="002B5D4B" w:rsidRPr="0006648E" w:rsidRDefault="002B5D4B" w:rsidP="002B5D4B">
            <w:pPr>
              <w:jc w:val="center"/>
              <w:rPr>
                <w:rFonts w:eastAsia="Times New Roman"/>
                <w:color w:val="000000"/>
                <w:szCs w:val="22"/>
              </w:rPr>
            </w:pPr>
            <w:r>
              <w:rPr>
                <w:color w:val="000000"/>
                <w:sz w:val="22"/>
                <w:szCs w:val="22"/>
              </w:rPr>
              <w:t>2,361</w:t>
            </w:r>
          </w:p>
        </w:tc>
        <w:tc>
          <w:tcPr>
            <w:tcW w:w="1388" w:type="dxa"/>
            <w:noWrap/>
            <w:hideMark/>
          </w:tcPr>
          <w:p w14:paraId="6D902DBA" w14:textId="253E7ADB" w:rsidR="002B5D4B" w:rsidRPr="0006648E" w:rsidRDefault="002B5D4B" w:rsidP="002B5D4B">
            <w:pPr>
              <w:jc w:val="center"/>
              <w:rPr>
                <w:rFonts w:eastAsia="Times New Roman"/>
                <w:color w:val="000000"/>
                <w:szCs w:val="22"/>
              </w:rPr>
            </w:pPr>
            <w:r>
              <w:rPr>
                <w:color w:val="000000"/>
                <w:sz w:val="22"/>
                <w:szCs w:val="22"/>
              </w:rPr>
              <w:t>3.4</w:t>
            </w:r>
          </w:p>
        </w:tc>
      </w:tr>
      <w:tr w:rsidR="002B5D4B" w:rsidRPr="0006648E" w14:paraId="4DF57C6A" w14:textId="77777777" w:rsidTr="004270B8">
        <w:trPr>
          <w:cantSplit/>
          <w:trHeight w:val="288"/>
          <w:jc w:val="center"/>
        </w:trPr>
        <w:tc>
          <w:tcPr>
            <w:tcW w:w="2385" w:type="dxa"/>
            <w:noWrap/>
            <w:hideMark/>
          </w:tcPr>
          <w:p w14:paraId="142DD9D1"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Black or African American</w:t>
            </w:r>
          </w:p>
        </w:tc>
        <w:tc>
          <w:tcPr>
            <w:tcW w:w="1387" w:type="dxa"/>
            <w:noWrap/>
            <w:hideMark/>
          </w:tcPr>
          <w:p w14:paraId="3E09F1B4" w14:textId="3C8B4B47" w:rsidR="002B5D4B" w:rsidRPr="0006648E" w:rsidRDefault="002B5D4B" w:rsidP="002B5D4B">
            <w:pPr>
              <w:jc w:val="center"/>
              <w:rPr>
                <w:rFonts w:eastAsia="Times New Roman"/>
                <w:color w:val="000000"/>
                <w:szCs w:val="22"/>
              </w:rPr>
            </w:pPr>
            <w:r>
              <w:rPr>
                <w:color w:val="000000"/>
                <w:sz w:val="22"/>
                <w:szCs w:val="22"/>
              </w:rPr>
              <w:t>2,451</w:t>
            </w:r>
          </w:p>
        </w:tc>
        <w:tc>
          <w:tcPr>
            <w:tcW w:w="1388" w:type="dxa"/>
            <w:noWrap/>
            <w:hideMark/>
          </w:tcPr>
          <w:p w14:paraId="1E8A6ADF" w14:textId="77EB9579" w:rsidR="002B5D4B" w:rsidRPr="0006648E" w:rsidRDefault="002B5D4B" w:rsidP="002B5D4B">
            <w:pPr>
              <w:jc w:val="center"/>
              <w:rPr>
                <w:rFonts w:eastAsia="Times New Roman"/>
                <w:color w:val="000000"/>
                <w:szCs w:val="22"/>
              </w:rPr>
            </w:pPr>
            <w:r>
              <w:rPr>
                <w:color w:val="000000"/>
                <w:sz w:val="22"/>
                <w:szCs w:val="22"/>
              </w:rPr>
              <w:t>4.1</w:t>
            </w:r>
          </w:p>
        </w:tc>
        <w:tc>
          <w:tcPr>
            <w:tcW w:w="1387" w:type="dxa"/>
            <w:noWrap/>
            <w:hideMark/>
          </w:tcPr>
          <w:p w14:paraId="3F32B6BE" w14:textId="55642C38" w:rsidR="002B5D4B" w:rsidRPr="0006648E" w:rsidRDefault="002B5D4B" w:rsidP="002B5D4B">
            <w:pPr>
              <w:jc w:val="center"/>
              <w:rPr>
                <w:rFonts w:eastAsia="Times New Roman"/>
                <w:color w:val="000000"/>
                <w:szCs w:val="22"/>
              </w:rPr>
            </w:pPr>
            <w:r>
              <w:rPr>
                <w:color w:val="000000"/>
                <w:sz w:val="22"/>
                <w:szCs w:val="22"/>
              </w:rPr>
              <w:t>2,789</w:t>
            </w:r>
          </w:p>
        </w:tc>
        <w:tc>
          <w:tcPr>
            <w:tcW w:w="1388" w:type="dxa"/>
            <w:noWrap/>
            <w:hideMark/>
          </w:tcPr>
          <w:p w14:paraId="179966AD" w14:textId="7DCFA396" w:rsidR="002B5D4B" w:rsidRPr="0006648E" w:rsidRDefault="002B5D4B" w:rsidP="002B5D4B">
            <w:pPr>
              <w:jc w:val="center"/>
              <w:rPr>
                <w:rFonts w:eastAsia="Times New Roman"/>
                <w:color w:val="000000"/>
                <w:szCs w:val="22"/>
              </w:rPr>
            </w:pPr>
            <w:r>
              <w:rPr>
                <w:color w:val="000000"/>
                <w:sz w:val="22"/>
                <w:szCs w:val="22"/>
              </w:rPr>
              <w:t>4.3</w:t>
            </w:r>
          </w:p>
        </w:tc>
        <w:tc>
          <w:tcPr>
            <w:tcW w:w="1387" w:type="dxa"/>
            <w:noWrap/>
            <w:hideMark/>
          </w:tcPr>
          <w:p w14:paraId="7304B18B" w14:textId="24A1F8F4" w:rsidR="002B5D4B" w:rsidRPr="0006648E" w:rsidRDefault="002B5D4B" w:rsidP="002B5D4B">
            <w:pPr>
              <w:jc w:val="center"/>
              <w:rPr>
                <w:rFonts w:eastAsia="Times New Roman"/>
                <w:color w:val="000000"/>
                <w:szCs w:val="22"/>
              </w:rPr>
            </w:pPr>
            <w:r>
              <w:rPr>
                <w:color w:val="000000"/>
                <w:sz w:val="22"/>
                <w:szCs w:val="22"/>
              </w:rPr>
              <w:t>3,061</w:t>
            </w:r>
          </w:p>
        </w:tc>
        <w:tc>
          <w:tcPr>
            <w:tcW w:w="1388" w:type="dxa"/>
            <w:noWrap/>
            <w:hideMark/>
          </w:tcPr>
          <w:p w14:paraId="161C1244" w14:textId="68FBEF9C" w:rsidR="002B5D4B" w:rsidRPr="0006648E" w:rsidRDefault="002B5D4B" w:rsidP="002B5D4B">
            <w:pPr>
              <w:jc w:val="center"/>
              <w:rPr>
                <w:rFonts w:eastAsia="Times New Roman"/>
                <w:color w:val="000000"/>
                <w:szCs w:val="22"/>
              </w:rPr>
            </w:pPr>
            <w:r>
              <w:rPr>
                <w:color w:val="000000"/>
                <w:sz w:val="22"/>
                <w:szCs w:val="22"/>
              </w:rPr>
              <w:t>4.4</w:t>
            </w:r>
          </w:p>
        </w:tc>
      </w:tr>
      <w:tr w:rsidR="002B5D4B" w:rsidRPr="0006648E" w14:paraId="7F4C6D16" w14:textId="77777777" w:rsidTr="004270B8">
        <w:trPr>
          <w:cantSplit/>
          <w:trHeight w:val="288"/>
          <w:jc w:val="center"/>
        </w:trPr>
        <w:tc>
          <w:tcPr>
            <w:tcW w:w="2385" w:type="dxa"/>
            <w:noWrap/>
            <w:hideMark/>
          </w:tcPr>
          <w:p w14:paraId="5DB2D3CF"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Hispanic or Latino</w:t>
            </w:r>
          </w:p>
        </w:tc>
        <w:tc>
          <w:tcPr>
            <w:tcW w:w="1387" w:type="dxa"/>
            <w:noWrap/>
            <w:hideMark/>
          </w:tcPr>
          <w:p w14:paraId="30749C38" w14:textId="15C7A043" w:rsidR="002B5D4B" w:rsidRPr="0006648E" w:rsidRDefault="002B5D4B" w:rsidP="002B5D4B">
            <w:pPr>
              <w:jc w:val="center"/>
              <w:rPr>
                <w:rFonts w:eastAsia="Times New Roman"/>
                <w:color w:val="000000"/>
                <w:szCs w:val="22"/>
              </w:rPr>
            </w:pPr>
            <w:r>
              <w:rPr>
                <w:color w:val="000000"/>
                <w:sz w:val="22"/>
                <w:szCs w:val="22"/>
              </w:rPr>
              <w:t>2,405</w:t>
            </w:r>
          </w:p>
        </w:tc>
        <w:tc>
          <w:tcPr>
            <w:tcW w:w="1388" w:type="dxa"/>
            <w:noWrap/>
            <w:hideMark/>
          </w:tcPr>
          <w:p w14:paraId="0499D907" w14:textId="23D247A8" w:rsidR="002B5D4B" w:rsidRPr="0006648E" w:rsidRDefault="002B5D4B" w:rsidP="002B5D4B">
            <w:pPr>
              <w:jc w:val="center"/>
              <w:rPr>
                <w:rFonts w:eastAsia="Times New Roman"/>
                <w:color w:val="000000"/>
                <w:szCs w:val="22"/>
              </w:rPr>
            </w:pPr>
            <w:r>
              <w:rPr>
                <w:color w:val="000000"/>
                <w:sz w:val="22"/>
                <w:szCs w:val="22"/>
              </w:rPr>
              <w:t>4.0</w:t>
            </w:r>
          </w:p>
        </w:tc>
        <w:tc>
          <w:tcPr>
            <w:tcW w:w="1387" w:type="dxa"/>
            <w:noWrap/>
            <w:hideMark/>
          </w:tcPr>
          <w:p w14:paraId="1D279C5D" w14:textId="239712C2" w:rsidR="002B5D4B" w:rsidRPr="0006648E" w:rsidRDefault="002B5D4B" w:rsidP="002B5D4B">
            <w:pPr>
              <w:jc w:val="center"/>
              <w:rPr>
                <w:rFonts w:eastAsia="Times New Roman"/>
                <w:color w:val="000000"/>
                <w:szCs w:val="22"/>
              </w:rPr>
            </w:pPr>
            <w:r>
              <w:rPr>
                <w:color w:val="000000"/>
                <w:sz w:val="22"/>
                <w:szCs w:val="22"/>
              </w:rPr>
              <w:t>2,680</w:t>
            </w:r>
          </w:p>
        </w:tc>
        <w:tc>
          <w:tcPr>
            <w:tcW w:w="1388" w:type="dxa"/>
            <w:noWrap/>
            <w:hideMark/>
          </w:tcPr>
          <w:p w14:paraId="13A665D1" w14:textId="21C39D51" w:rsidR="002B5D4B" w:rsidRPr="0006648E" w:rsidRDefault="002B5D4B" w:rsidP="002B5D4B">
            <w:pPr>
              <w:jc w:val="center"/>
              <w:rPr>
                <w:rFonts w:eastAsia="Times New Roman"/>
                <w:color w:val="000000"/>
                <w:szCs w:val="22"/>
              </w:rPr>
            </w:pPr>
            <w:r>
              <w:rPr>
                <w:color w:val="000000"/>
                <w:sz w:val="22"/>
                <w:szCs w:val="22"/>
              </w:rPr>
              <w:t>4.1</w:t>
            </w:r>
          </w:p>
        </w:tc>
        <w:tc>
          <w:tcPr>
            <w:tcW w:w="1387" w:type="dxa"/>
            <w:noWrap/>
            <w:hideMark/>
          </w:tcPr>
          <w:p w14:paraId="719CC815" w14:textId="76EF8676" w:rsidR="002B5D4B" w:rsidRPr="0006648E" w:rsidRDefault="002B5D4B" w:rsidP="002B5D4B">
            <w:pPr>
              <w:jc w:val="center"/>
              <w:rPr>
                <w:rFonts w:eastAsia="Times New Roman"/>
                <w:color w:val="000000"/>
                <w:szCs w:val="22"/>
              </w:rPr>
            </w:pPr>
            <w:r>
              <w:rPr>
                <w:color w:val="000000"/>
                <w:sz w:val="22"/>
                <w:szCs w:val="22"/>
              </w:rPr>
              <w:t>3,056</w:t>
            </w:r>
          </w:p>
        </w:tc>
        <w:tc>
          <w:tcPr>
            <w:tcW w:w="1388" w:type="dxa"/>
            <w:noWrap/>
            <w:hideMark/>
          </w:tcPr>
          <w:p w14:paraId="26B4C092" w14:textId="24241B86" w:rsidR="002B5D4B" w:rsidRPr="0006648E" w:rsidRDefault="002B5D4B" w:rsidP="002B5D4B">
            <w:pPr>
              <w:jc w:val="center"/>
              <w:rPr>
                <w:rFonts w:eastAsia="Times New Roman"/>
                <w:color w:val="000000"/>
                <w:szCs w:val="22"/>
              </w:rPr>
            </w:pPr>
            <w:r>
              <w:rPr>
                <w:color w:val="000000"/>
                <w:sz w:val="22"/>
                <w:szCs w:val="22"/>
              </w:rPr>
              <w:t>4.4</w:t>
            </w:r>
          </w:p>
        </w:tc>
      </w:tr>
      <w:tr w:rsidR="002B5D4B" w:rsidRPr="0006648E" w14:paraId="6F6F3995" w14:textId="77777777" w:rsidTr="004270B8">
        <w:trPr>
          <w:cantSplit/>
          <w:trHeight w:val="288"/>
          <w:jc w:val="center"/>
        </w:trPr>
        <w:tc>
          <w:tcPr>
            <w:tcW w:w="2385" w:type="dxa"/>
            <w:noWrap/>
            <w:hideMark/>
          </w:tcPr>
          <w:p w14:paraId="3201F335"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Multiracial, non-Hispanic</w:t>
            </w:r>
          </w:p>
        </w:tc>
        <w:tc>
          <w:tcPr>
            <w:tcW w:w="1387" w:type="dxa"/>
            <w:noWrap/>
            <w:hideMark/>
          </w:tcPr>
          <w:p w14:paraId="0FDC08CE" w14:textId="200A4FB1" w:rsidR="002B5D4B" w:rsidRPr="0006648E" w:rsidRDefault="002B5D4B" w:rsidP="002B5D4B">
            <w:pPr>
              <w:jc w:val="center"/>
              <w:rPr>
                <w:rFonts w:eastAsia="Times New Roman"/>
                <w:color w:val="000000"/>
                <w:szCs w:val="22"/>
              </w:rPr>
            </w:pPr>
            <w:r>
              <w:rPr>
                <w:color w:val="000000"/>
                <w:sz w:val="22"/>
                <w:szCs w:val="22"/>
              </w:rPr>
              <w:t>462</w:t>
            </w:r>
          </w:p>
        </w:tc>
        <w:tc>
          <w:tcPr>
            <w:tcW w:w="1388" w:type="dxa"/>
            <w:noWrap/>
            <w:hideMark/>
          </w:tcPr>
          <w:p w14:paraId="074A846E" w14:textId="5513C5E1" w:rsidR="002B5D4B" w:rsidRPr="0006648E" w:rsidRDefault="002B5D4B" w:rsidP="002B5D4B">
            <w:pPr>
              <w:jc w:val="center"/>
              <w:rPr>
                <w:rFonts w:eastAsia="Times New Roman"/>
                <w:color w:val="000000"/>
                <w:szCs w:val="22"/>
              </w:rPr>
            </w:pPr>
            <w:r>
              <w:rPr>
                <w:color w:val="000000"/>
                <w:sz w:val="22"/>
                <w:szCs w:val="22"/>
              </w:rPr>
              <w:t>0.8</w:t>
            </w:r>
          </w:p>
        </w:tc>
        <w:tc>
          <w:tcPr>
            <w:tcW w:w="1387" w:type="dxa"/>
            <w:noWrap/>
            <w:hideMark/>
          </w:tcPr>
          <w:p w14:paraId="50C72F46" w14:textId="2FE7B328" w:rsidR="002B5D4B" w:rsidRPr="0006648E" w:rsidRDefault="002B5D4B" w:rsidP="002B5D4B">
            <w:pPr>
              <w:jc w:val="center"/>
              <w:rPr>
                <w:rFonts w:eastAsia="Times New Roman"/>
                <w:color w:val="000000"/>
                <w:szCs w:val="22"/>
              </w:rPr>
            </w:pPr>
            <w:r>
              <w:rPr>
                <w:color w:val="000000"/>
                <w:sz w:val="22"/>
                <w:szCs w:val="22"/>
              </w:rPr>
              <w:t>602</w:t>
            </w:r>
          </w:p>
        </w:tc>
        <w:tc>
          <w:tcPr>
            <w:tcW w:w="1388" w:type="dxa"/>
            <w:noWrap/>
            <w:hideMark/>
          </w:tcPr>
          <w:p w14:paraId="046D7CEE" w14:textId="6876EE96" w:rsidR="002B5D4B" w:rsidRPr="0006648E" w:rsidRDefault="002B5D4B" w:rsidP="002B5D4B">
            <w:pPr>
              <w:jc w:val="center"/>
              <w:rPr>
                <w:rFonts w:eastAsia="Times New Roman"/>
                <w:color w:val="000000"/>
                <w:szCs w:val="22"/>
              </w:rPr>
            </w:pPr>
            <w:r>
              <w:rPr>
                <w:color w:val="000000"/>
                <w:sz w:val="22"/>
                <w:szCs w:val="22"/>
              </w:rPr>
              <w:t>0.9</w:t>
            </w:r>
          </w:p>
        </w:tc>
        <w:tc>
          <w:tcPr>
            <w:tcW w:w="1387" w:type="dxa"/>
            <w:noWrap/>
            <w:hideMark/>
          </w:tcPr>
          <w:p w14:paraId="775E6A88" w14:textId="52DA1CA9" w:rsidR="002B5D4B" w:rsidRPr="0006648E" w:rsidRDefault="002B5D4B" w:rsidP="002B5D4B">
            <w:pPr>
              <w:jc w:val="center"/>
              <w:rPr>
                <w:rFonts w:eastAsia="Times New Roman"/>
                <w:color w:val="000000"/>
                <w:szCs w:val="22"/>
              </w:rPr>
            </w:pPr>
            <w:r>
              <w:rPr>
                <w:color w:val="000000"/>
                <w:sz w:val="22"/>
                <w:szCs w:val="22"/>
              </w:rPr>
              <w:t>883</w:t>
            </w:r>
          </w:p>
        </w:tc>
        <w:tc>
          <w:tcPr>
            <w:tcW w:w="1388" w:type="dxa"/>
            <w:noWrap/>
            <w:hideMark/>
          </w:tcPr>
          <w:p w14:paraId="7C29ECD2" w14:textId="1840B415" w:rsidR="002B5D4B" w:rsidRPr="0006648E" w:rsidRDefault="002B5D4B" w:rsidP="002B5D4B">
            <w:pPr>
              <w:jc w:val="center"/>
              <w:rPr>
                <w:rFonts w:eastAsia="Times New Roman"/>
                <w:color w:val="000000"/>
                <w:szCs w:val="22"/>
              </w:rPr>
            </w:pPr>
            <w:r>
              <w:rPr>
                <w:color w:val="000000"/>
                <w:sz w:val="22"/>
                <w:szCs w:val="22"/>
              </w:rPr>
              <w:t>1.3</w:t>
            </w:r>
          </w:p>
        </w:tc>
      </w:tr>
      <w:tr w:rsidR="002B5D4B" w:rsidRPr="0006648E" w14:paraId="17E48F00" w14:textId="77777777" w:rsidTr="004270B8">
        <w:trPr>
          <w:cantSplit/>
          <w:trHeight w:val="288"/>
          <w:jc w:val="center"/>
        </w:trPr>
        <w:tc>
          <w:tcPr>
            <w:tcW w:w="2385" w:type="dxa"/>
            <w:noWrap/>
            <w:hideMark/>
          </w:tcPr>
          <w:p w14:paraId="19010EBB"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Null &amp; Other</w:t>
            </w:r>
          </w:p>
        </w:tc>
        <w:tc>
          <w:tcPr>
            <w:tcW w:w="1387" w:type="dxa"/>
            <w:noWrap/>
            <w:hideMark/>
          </w:tcPr>
          <w:p w14:paraId="589ECA50" w14:textId="6F21761A" w:rsidR="002B5D4B" w:rsidRPr="0006648E" w:rsidRDefault="002B5D4B" w:rsidP="002B5D4B">
            <w:pPr>
              <w:jc w:val="center"/>
              <w:rPr>
                <w:rFonts w:eastAsia="Times New Roman"/>
                <w:color w:val="000000"/>
                <w:szCs w:val="22"/>
              </w:rPr>
            </w:pPr>
            <w:r>
              <w:rPr>
                <w:color w:val="000000"/>
                <w:sz w:val="22"/>
                <w:szCs w:val="22"/>
              </w:rPr>
              <w:t>6,649</w:t>
            </w:r>
          </w:p>
        </w:tc>
        <w:tc>
          <w:tcPr>
            <w:tcW w:w="1388" w:type="dxa"/>
            <w:noWrap/>
            <w:hideMark/>
          </w:tcPr>
          <w:p w14:paraId="5EC4499C" w14:textId="729B3E5F" w:rsidR="002B5D4B" w:rsidRPr="0006648E" w:rsidRDefault="002B5D4B" w:rsidP="002B5D4B">
            <w:pPr>
              <w:jc w:val="center"/>
              <w:rPr>
                <w:rFonts w:eastAsia="Times New Roman"/>
                <w:color w:val="000000"/>
                <w:szCs w:val="22"/>
              </w:rPr>
            </w:pPr>
            <w:r>
              <w:rPr>
                <w:color w:val="000000"/>
                <w:sz w:val="22"/>
                <w:szCs w:val="22"/>
              </w:rPr>
              <w:t>11.1</w:t>
            </w:r>
          </w:p>
        </w:tc>
        <w:tc>
          <w:tcPr>
            <w:tcW w:w="1387" w:type="dxa"/>
            <w:noWrap/>
            <w:hideMark/>
          </w:tcPr>
          <w:p w14:paraId="2B48CAC0" w14:textId="60723183" w:rsidR="002B5D4B" w:rsidRPr="0006648E" w:rsidRDefault="002B5D4B" w:rsidP="002B5D4B">
            <w:pPr>
              <w:jc w:val="center"/>
              <w:rPr>
                <w:rFonts w:eastAsia="Times New Roman"/>
                <w:color w:val="000000"/>
                <w:szCs w:val="22"/>
              </w:rPr>
            </w:pPr>
            <w:r>
              <w:rPr>
                <w:color w:val="000000"/>
                <w:sz w:val="22"/>
                <w:szCs w:val="22"/>
              </w:rPr>
              <w:t>6,845</w:t>
            </w:r>
          </w:p>
        </w:tc>
        <w:tc>
          <w:tcPr>
            <w:tcW w:w="1388" w:type="dxa"/>
            <w:noWrap/>
            <w:hideMark/>
          </w:tcPr>
          <w:p w14:paraId="229702DD" w14:textId="35ABD93E" w:rsidR="002B5D4B" w:rsidRPr="0006648E" w:rsidRDefault="002B5D4B" w:rsidP="002B5D4B">
            <w:pPr>
              <w:jc w:val="center"/>
              <w:rPr>
                <w:rFonts w:eastAsia="Times New Roman"/>
                <w:color w:val="000000"/>
                <w:szCs w:val="22"/>
              </w:rPr>
            </w:pPr>
            <w:r>
              <w:rPr>
                <w:color w:val="000000"/>
                <w:sz w:val="22"/>
                <w:szCs w:val="22"/>
              </w:rPr>
              <w:t>10.4</w:t>
            </w:r>
          </w:p>
        </w:tc>
        <w:tc>
          <w:tcPr>
            <w:tcW w:w="1387" w:type="dxa"/>
            <w:noWrap/>
            <w:hideMark/>
          </w:tcPr>
          <w:p w14:paraId="1655AD55" w14:textId="1F79F7D6" w:rsidR="002B5D4B" w:rsidRPr="0006648E" w:rsidRDefault="002B5D4B" w:rsidP="002B5D4B">
            <w:pPr>
              <w:jc w:val="center"/>
              <w:rPr>
                <w:rFonts w:eastAsia="Times New Roman"/>
                <w:color w:val="000000"/>
                <w:szCs w:val="22"/>
              </w:rPr>
            </w:pPr>
            <w:r>
              <w:rPr>
                <w:color w:val="000000"/>
                <w:sz w:val="22"/>
                <w:szCs w:val="22"/>
              </w:rPr>
              <w:t>6,870</w:t>
            </w:r>
          </w:p>
        </w:tc>
        <w:tc>
          <w:tcPr>
            <w:tcW w:w="1388" w:type="dxa"/>
            <w:noWrap/>
            <w:hideMark/>
          </w:tcPr>
          <w:p w14:paraId="6FE74F92" w14:textId="0549394A" w:rsidR="002B5D4B" w:rsidRPr="0006648E" w:rsidRDefault="002B5D4B" w:rsidP="002B5D4B">
            <w:pPr>
              <w:jc w:val="center"/>
              <w:rPr>
                <w:rFonts w:eastAsia="Times New Roman"/>
                <w:color w:val="000000"/>
                <w:szCs w:val="22"/>
              </w:rPr>
            </w:pPr>
            <w:r>
              <w:rPr>
                <w:color w:val="000000"/>
                <w:sz w:val="22"/>
                <w:szCs w:val="22"/>
              </w:rPr>
              <w:t>9.9</w:t>
            </w:r>
          </w:p>
        </w:tc>
      </w:tr>
      <w:tr w:rsidR="002B5D4B" w:rsidRPr="0006648E" w14:paraId="76E7A4F1" w14:textId="77777777" w:rsidTr="004270B8">
        <w:trPr>
          <w:cantSplit/>
          <w:trHeight w:val="288"/>
          <w:jc w:val="center"/>
        </w:trPr>
        <w:tc>
          <w:tcPr>
            <w:tcW w:w="2385" w:type="dxa"/>
            <w:noWrap/>
            <w:hideMark/>
          </w:tcPr>
          <w:p w14:paraId="364EA953"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White or Caucasian Non-Hispanic or Latino</w:t>
            </w:r>
          </w:p>
        </w:tc>
        <w:tc>
          <w:tcPr>
            <w:tcW w:w="1387" w:type="dxa"/>
            <w:noWrap/>
            <w:hideMark/>
          </w:tcPr>
          <w:p w14:paraId="02C2A315" w14:textId="64F9E86F" w:rsidR="002B5D4B" w:rsidRPr="0006648E" w:rsidRDefault="002B5D4B" w:rsidP="002B5D4B">
            <w:pPr>
              <w:jc w:val="center"/>
              <w:rPr>
                <w:rFonts w:eastAsia="Times New Roman"/>
                <w:color w:val="000000"/>
                <w:szCs w:val="22"/>
              </w:rPr>
            </w:pPr>
            <w:r>
              <w:rPr>
                <w:color w:val="000000"/>
                <w:sz w:val="22"/>
                <w:szCs w:val="22"/>
              </w:rPr>
              <w:t>45,981</w:t>
            </w:r>
          </w:p>
        </w:tc>
        <w:tc>
          <w:tcPr>
            <w:tcW w:w="1388" w:type="dxa"/>
            <w:noWrap/>
            <w:hideMark/>
          </w:tcPr>
          <w:p w14:paraId="7FF70C81" w14:textId="48B4C975" w:rsidR="002B5D4B" w:rsidRPr="0006648E" w:rsidRDefault="002B5D4B" w:rsidP="002B5D4B">
            <w:pPr>
              <w:jc w:val="center"/>
              <w:rPr>
                <w:rFonts w:eastAsia="Times New Roman"/>
                <w:color w:val="000000"/>
                <w:szCs w:val="22"/>
              </w:rPr>
            </w:pPr>
            <w:r>
              <w:rPr>
                <w:color w:val="000000"/>
                <w:sz w:val="22"/>
                <w:szCs w:val="22"/>
              </w:rPr>
              <w:t>77.0</w:t>
            </w:r>
          </w:p>
        </w:tc>
        <w:tc>
          <w:tcPr>
            <w:tcW w:w="1387" w:type="dxa"/>
            <w:noWrap/>
            <w:hideMark/>
          </w:tcPr>
          <w:p w14:paraId="43A7B3B1" w14:textId="644BCA9D" w:rsidR="002B5D4B" w:rsidRPr="0006648E" w:rsidRDefault="002B5D4B" w:rsidP="002B5D4B">
            <w:pPr>
              <w:jc w:val="center"/>
              <w:rPr>
                <w:rFonts w:eastAsia="Times New Roman"/>
                <w:color w:val="000000"/>
                <w:szCs w:val="22"/>
              </w:rPr>
            </w:pPr>
            <w:r>
              <w:rPr>
                <w:color w:val="000000"/>
                <w:sz w:val="22"/>
                <w:szCs w:val="22"/>
              </w:rPr>
              <w:t>50,648</w:t>
            </w:r>
          </w:p>
        </w:tc>
        <w:tc>
          <w:tcPr>
            <w:tcW w:w="1388" w:type="dxa"/>
            <w:noWrap/>
            <w:hideMark/>
          </w:tcPr>
          <w:p w14:paraId="13A55D67" w14:textId="1CB9F6D1" w:rsidR="002B5D4B" w:rsidRPr="0006648E" w:rsidRDefault="002B5D4B" w:rsidP="002B5D4B">
            <w:pPr>
              <w:jc w:val="center"/>
              <w:rPr>
                <w:rFonts w:eastAsia="Times New Roman"/>
                <w:color w:val="000000"/>
                <w:szCs w:val="22"/>
              </w:rPr>
            </w:pPr>
            <w:r>
              <w:rPr>
                <w:color w:val="000000"/>
                <w:sz w:val="22"/>
                <w:szCs w:val="22"/>
              </w:rPr>
              <w:t>77.2</w:t>
            </w:r>
          </w:p>
        </w:tc>
        <w:tc>
          <w:tcPr>
            <w:tcW w:w="1387" w:type="dxa"/>
            <w:noWrap/>
            <w:hideMark/>
          </w:tcPr>
          <w:p w14:paraId="49FCF290" w14:textId="272A17C9" w:rsidR="002B5D4B" w:rsidRPr="0006648E" w:rsidRDefault="002B5D4B" w:rsidP="002B5D4B">
            <w:pPr>
              <w:jc w:val="center"/>
              <w:rPr>
                <w:rFonts w:eastAsia="Times New Roman"/>
                <w:color w:val="000000"/>
                <w:szCs w:val="22"/>
              </w:rPr>
            </w:pPr>
            <w:r>
              <w:rPr>
                <w:color w:val="000000"/>
                <w:sz w:val="22"/>
                <w:szCs w:val="22"/>
              </w:rPr>
              <w:t>53,065</w:t>
            </w:r>
          </w:p>
        </w:tc>
        <w:tc>
          <w:tcPr>
            <w:tcW w:w="1388" w:type="dxa"/>
            <w:noWrap/>
            <w:hideMark/>
          </w:tcPr>
          <w:p w14:paraId="07F2565B" w14:textId="65276D13" w:rsidR="002B5D4B" w:rsidRPr="0006648E" w:rsidRDefault="002B5D4B" w:rsidP="002B5D4B">
            <w:pPr>
              <w:jc w:val="center"/>
              <w:rPr>
                <w:rFonts w:eastAsia="Times New Roman"/>
                <w:color w:val="000000"/>
                <w:szCs w:val="22"/>
              </w:rPr>
            </w:pPr>
            <w:r>
              <w:rPr>
                <w:color w:val="000000"/>
                <w:sz w:val="22"/>
                <w:szCs w:val="22"/>
              </w:rPr>
              <w:t>76.6</w:t>
            </w:r>
          </w:p>
        </w:tc>
      </w:tr>
      <w:tr w:rsidR="002B5D4B" w:rsidRPr="0006648E" w14:paraId="1A985860" w14:textId="77777777" w:rsidTr="004270B8">
        <w:trPr>
          <w:cantSplit/>
          <w:trHeight w:val="288"/>
          <w:jc w:val="center"/>
        </w:trPr>
        <w:tc>
          <w:tcPr>
            <w:tcW w:w="2385" w:type="dxa"/>
            <w:noWrap/>
            <w:hideMark/>
          </w:tcPr>
          <w:p w14:paraId="7F1DCC9B" w14:textId="77777777" w:rsidR="002B5D4B" w:rsidRPr="0006648E" w:rsidRDefault="002B5D4B" w:rsidP="002B5D4B">
            <w:pPr>
              <w:jc w:val="center"/>
              <w:rPr>
                <w:rFonts w:eastAsia="Times New Roman"/>
                <w:b/>
                <w:bCs/>
                <w:color w:val="000000"/>
                <w:szCs w:val="22"/>
              </w:rPr>
            </w:pPr>
            <w:r w:rsidRPr="00E7773A">
              <w:rPr>
                <w:rFonts w:eastAsia="Times New Roman"/>
                <w:b/>
                <w:bCs/>
                <w:color w:val="000000"/>
                <w:sz w:val="22"/>
                <w:szCs w:val="22"/>
              </w:rPr>
              <w:t>Geography</w:t>
            </w:r>
          </w:p>
        </w:tc>
        <w:tc>
          <w:tcPr>
            <w:tcW w:w="1387" w:type="dxa"/>
            <w:noWrap/>
            <w:hideMark/>
          </w:tcPr>
          <w:p w14:paraId="353F4C2C"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585A032F"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1038FBB1"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751C7211"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7" w:type="dxa"/>
            <w:noWrap/>
            <w:hideMark/>
          </w:tcPr>
          <w:p w14:paraId="5F50DBED"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c>
          <w:tcPr>
            <w:tcW w:w="1388" w:type="dxa"/>
            <w:noWrap/>
            <w:hideMark/>
          </w:tcPr>
          <w:p w14:paraId="3C1206B6"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 </w:t>
            </w:r>
          </w:p>
        </w:tc>
      </w:tr>
      <w:tr w:rsidR="002B5D4B" w:rsidRPr="0006648E" w14:paraId="2FD920C7" w14:textId="77777777" w:rsidTr="004270B8">
        <w:trPr>
          <w:cantSplit/>
          <w:trHeight w:val="288"/>
          <w:jc w:val="center"/>
        </w:trPr>
        <w:tc>
          <w:tcPr>
            <w:tcW w:w="2385" w:type="dxa"/>
            <w:noWrap/>
            <w:hideMark/>
          </w:tcPr>
          <w:p w14:paraId="61830FB3"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Massachusetts</w:t>
            </w:r>
          </w:p>
        </w:tc>
        <w:tc>
          <w:tcPr>
            <w:tcW w:w="1387" w:type="dxa"/>
            <w:noWrap/>
            <w:hideMark/>
          </w:tcPr>
          <w:p w14:paraId="7BFE2209" w14:textId="1AA414FB" w:rsidR="002B5D4B" w:rsidRPr="0006648E" w:rsidRDefault="002B5D4B" w:rsidP="002B5D4B">
            <w:pPr>
              <w:jc w:val="center"/>
              <w:rPr>
                <w:rFonts w:eastAsia="Times New Roman"/>
                <w:color w:val="000000"/>
                <w:szCs w:val="22"/>
              </w:rPr>
            </w:pPr>
            <w:r>
              <w:rPr>
                <w:color w:val="000000"/>
                <w:sz w:val="22"/>
                <w:szCs w:val="22"/>
              </w:rPr>
              <w:t>40,782</w:t>
            </w:r>
          </w:p>
        </w:tc>
        <w:tc>
          <w:tcPr>
            <w:tcW w:w="1388" w:type="dxa"/>
            <w:noWrap/>
            <w:hideMark/>
          </w:tcPr>
          <w:p w14:paraId="5F6CB591" w14:textId="6CF29B26" w:rsidR="002B5D4B" w:rsidRPr="0006648E" w:rsidRDefault="002B5D4B" w:rsidP="002B5D4B">
            <w:pPr>
              <w:jc w:val="center"/>
              <w:rPr>
                <w:rFonts w:eastAsia="Times New Roman"/>
                <w:color w:val="000000"/>
                <w:szCs w:val="22"/>
              </w:rPr>
            </w:pPr>
            <w:r>
              <w:rPr>
                <w:color w:val="000000"/>
                <w:sz w:val="22"/>
                <w:szCs w:val="22"/>
              </w:rPr>
              <w:t>68.3</w:t>
            </w:r>
          </w:p>
        </w:tc>
        <w:tc>
          <w:tcPr>
            <w:tcW w:w="1387" w:type="dxa"/>
            <w:noWrap/>
            <w:hideMark/>
          </w:tcPr>
          <w:p w14:paraId="687E7715" w14:textId="4C5C2151" w:rsidR="002B5D4B" w:rsidRPr="0006648E" w:rsidRDefault="002B5D4B" w:rsidP="002B5D4B">
            <w:pPr>
              <w:jc w:val="center"/>
              <w:rPr>
                <w:rFonts w:eastAsia="Times New Roman"/>
                <w:color w:val="000000"/>
                <w:szCs w:val="22"/>
              </w:rPr>
            </w:pPr>
            <w:r>
              <w:rPr>
                <w:color w:val="000000"/>
                <w:sz w:val="22"/>
                <w:szCs w:val="22"/>
              </w:rPr>
              <w:t>45,266</w:t>
            </w:r>
          </w:p>
        </w:tc>
        <w:tc>
          <w:tcPr>
            <w:tcW w:w="1388" w:type="dxa"/>
            <w:noWrap/>
            <w:hideMark/>
          </w:tcPr>
          <w:p w14:paraId="56AB40B0" w14:textId="158B0BF3" w:rsidR="002B5D4B" w:rsidRPr="0006648E" w:rsidRDefault="002B5D4B" w:rsidP="002B5D4B">
            <w:pPr>
              <w:jc w:val="center"/>
              <w:rPr>
                <w:rFonts w:eastAsia="Times New Roman"/>
                <w:color w:val="000000"/>
                <w:szCs w:val="22"/>
              </w:rPr>
            </w:pPr>
            <w:r>
              <w:rPr>
                <w:color w:val="000000"/>
                <w:sz w:val="22"/>
                <w:szCs w:val="22"/>
              </w:rPr>
              <w:t>69.0</w:t>
            </w:r>
          </w:p>
        </w:tc>
        <w:tc>
          <w:tcPr>
            <w:tcW w:w="1387" w:type="dxa"/>
            <w:noWrap/>
            <w:hideMark/>
          </w:tcPr>
          <w:p w14:paraId="02DD7489" w14:textId="45DBB53C" w:rsidR="002B5D4B" w:rsidRPr="0006648E" w:rsidRDefault="002B5D4B" w:rsidP="002B5D4B">
            <w:pPr>
              <w:jc w:val="center"/>
              <w:rPr>
                <w:rFonts w:eastAsia="Times New Roman"/>
                <w:color w:val="000000"/>
                <w:szCs w:val="22"/>
              </w:rPr>
            </w:pPr>
            <w:r>
              <w:rPr>
                <w:color w:val="000000"/>
                <w:sz w:val="22"/>
                <w:szCs w:val="22"/>
              </w:rPr>
              <w:t>49,068</w:t>
            </w:r>
          </w:p>
        </w:tc>
        <w:tc>
          <w:tcPr>
            <w:tcW w:w="1388" w:type="dxa"/>
            <w:noWrap/>
            <w:hideMark/>
          </w:tcPr>
          <w:p w14:paraId="04CC6206" w14:textId="073C906A" w:rsidR="002B5D4B" w:rsidRPr="0006648E" w:rsidRDefault="002B5D4B" w:rsidP="002B5D4B">
            <w:pPr>
              <w:jc w:val="center"/>
              <w:rPr>
                <w:rFonts w:eastAsia="Times New Roman"/>
                <w:color w:val="000000"/>
                <w:szCs w:val="22"/>
              </w:rPr>
            </w:pPr>
            <w:r>
              <w:rPr>
                <w:color w:val="000000"/>
                <w:sz w:val="22"/>
                <w:szCs w:val="22"/>
              </w:rPr>
              <w:t>70.8</w:t>
            </w:r>
          </w:p>
        </w:tc>
      </w:tr>
      <w:tr w:rsidR="002B5D4B" w:rsidRPr="0006648E" w14:paraId="192FEF48" w14:textId="77777777" w:rsidTr="004270B8">
        <w:trPr>
          <w:cantSplit/>
          <w:trHeight w:val="288"/>
          <w:jc w:val="center"/>
        </w:trPr>
        <w:tc>
          <w:tcPr>
            <w:tcW w:w="2385" w:type="dxa"/>
            <w:noWrap/>
            <w:hideMark/>
          </w:tcPr>
          <w:p w14:paraId="37CB3D4A"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New York</w:t>
            </w:r>
          </w:p>
        </w:tc>
        <w:tc>
          <w:tcPr>
            <w:tcW w:w="1387" w:type="dxa"/>
            <w:noWrap/>
            <w:hideMark/>
          </w:tcPr>
          <w:p w14:paraId="0AFB03A9" w14:textId="4AA9FE86" w:rsidR="002B5D4B" w:rsidRPr="0006648E" w:rsidRDefault="002B5D4B" w:rsidP="002B5D4B">
            <w:pPr>
              <w:jc w:val="center"/>
              <w:rPr>
                <w:rFonts w:eastAsia="Times New Roman"/>
                <w:color w:val="000000"/>
                <w:szCs w:val="22"/>
              </w:rPr>
            </w:pPr>
            <w:r>
              <w:rPr>
                <w:color w:val="000000"/>
                <w:sz w:val="22"/>
                <w:szCs w:val="22"/>
              </w:rPr>
              <w:t>2,236</w:t>
            </w:r>
          </w:p>
        </w:tc>
        <w:tc>
          <w:tcPr>
            <w:tcW w:w="1388" w:type="dxa"/>
            <w:noWrap/>
            <w:hideMark/>
          </w:tcPr>
          <w:p w14:paraId="5AC81600" w14:textId="3236F9BD" w:rsidR="002B5D4B" w:rsidRPr="0006648E" w:rsidRDefault="002B5D4B" w:rsidP="002B5D4B">
            <w:pPr>
              <w:jc w:val="center"/>
              <w:rPr>
                <w:rFonts w:eastAsia="Times New Roman"/>
                <w:color w:val="000000"/>
                <w:szCs w:val="22"/>
              </w:rPr>
            </w:pPr>
            <w:r>
              <w:rPr>
                <w:color w:val="000000"/>
                <w:sz w:val="22"/>
                <w:szCs w:val="22"/>
              </w:rPr>
              <w:t>3.7</w:t>
            </w:r>
          </w:p>
        </w:tc>
        <w:tc>
          <w:tcPr>
            <w:tcW w:w="1387" w:type="dxa"/>
            <w:noWrap/>
            <w:hideMark/>
          </w:tcPr>
          <w:p w14:paraId="4900F343" w14:textId="37B69C4D" w:rsidR="002B5D4B" w:rsidRPr="0006648E" w:rsidRDefault="002B5D4B" w:rsidP="002B5D4B">
            <w:pPr>
              <w:jc w:val="center"/>
              <w:rPr>
                <w:rFonts w:eastAsia="Times New Roman"/>
                <w:color w:val="000000"/>
                <w:szCs w:val="22"/>
              </w:rPr>
            </w:pPr>
            <w:r>
              <w:rPr>
                <w:color w:val="000000"/>
                <w:sz w:val="22"/>
                <w:szCs w:val="22"/>
              </w:rPr>
              <w:t>2,458</w:t>
            </w:r>
          </w:p>
        </w:tc>
        <w:tc>
          <w:tcPr>
            <w:tcW w:w="1388" w:type="dxa"/>
            <w:noWrap/>
            <w:hideMark/>
          </w:tcPr>
          <w:p w14:paraId="44813572" w14:textId="125628F8" w:rsidR="002B5D4B" w:rsidRPr="0006648E" w:rsidRDefault="002B5D4B" w:rsidP="002B5D4B">
            <w:pPr>
              <w:jc w:val="center"/>
              <w:rPr>
                <w:rFonts w:eastAsia="Times New Roman"/>
                <w:color w:val="000000"/>
                <w:szCs w:val="22"/>
              </w:rPr>
            </w:pPr>
            <w:r>
              <w:rPr>
                <w:color w:val="000000"/>
                <w:sz w:val="22"/>
                <w:szCs w:val="22"/>
              </w:rPr>
              <w:t>3.7</w:t>
            </w:r>
          </w:p>
        </w:tc>
        <w:tc>
          <w:tcPr>
            <w:tcW w:w="1387" w:type="dxa"/>
            <w:noWrap/>
            <w:hideMark/>
          </w:tcPr>
          <w:p w14:paraId="2BEC23AB" w14:textId="4FE6795F" w:rsidR="002B5D4B" w:rsidRPr="0006648E" w:rsidRDefault="002B5D4B" w:rsidP="002B5D4B">
            <w:pPr>
              <w:jc w:val="center"/>
              <w:rPr>
                <w:rFonts w:eastAsia="Times New Roman"/>
                <w:color w:val="000000"/>
                <w:szCs w:val="22"/>
              </w:rPr>
            </w:pPr>
            <w:r>
              <w:rPr>
                <w:color w:val="000000"/>
                <w:sz w:val="22"/>
                <w:szCs w:val="22"/>
              </w:rPr>
              <w:t>2,236</w:t>
            </w:r>
          </w:p>
        </w:tc>
        <w:tc>
          <w:tcPr>
            <w:tcW w:w="1388" w:type="dxa"/>
            <w:noWrap/>
            <w:hideMark/>
          </w:tcPr>
          <w:p w14:paraId="1D211504" w14:textId="397CE96E" w:rsidR="002B5D4B" w:rsidRPr="0006648E" w:rsidRDefault="002B5D4B" w:rsidP="002B5D4B">
            <w:pPr>
              <w:jc w:val="center"/>
              <w:rPr>
                <w:rFonts w:eastAsia="Times New Roman"/>
                <w:color w:val="000000"/>
                <w:szCs w:val="22"/>
              </w:rPr>
            </w:pPr>
            <w:r>
              <w:rPr>
                <w:color w:val="000000"/>
                <w:sz w:val="22"/>
                <w:szCs w:val="22"/>
              </w:rPr>
              <w:t>3.2</w:t>
            </w:r>
          </w:p>
        </w:tc>
      </w:tr>
      <w:tr w:rsidR="002B5D4B" w:rsidRPr="0006648E" w14:paraId="76365F9D" w14:textId="77777777" w:rsidTr="004270B8">
        <w:trPr>
          <w:cantSplit/>
          <w:trHeight w:val="288"/>
          <w:jc w:val="center"/>
        </w:trPr>
        <w:tc>
          <w:tcPr>
            <w:tcW w:w="2385" w:type="dxa"/>
            <w:noWrap/>
            <w:hideMark/>
          </w:tcPr>
          <w:p w14:paraId="5EFB52CE"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Outside MA (New England)</w:t>
            </w:r>
          </w:p>
        </w:tc>
        <w:tc>
          <w:tcPr>
            <w:tcW w:w="1387" w:type="dxa"/>
            <w:noWrap/>
            <w:hideMark/>
          </w:tcPr>
          <w:p w14:paraId="6AA484C5" w14:textId="1ADD71BE" w:rsidR="002B5D4B" w:rsidRPr="0006648E" w:rsidRDefault="002B5D4B" w:rsidP="002B5D4B">
            <w:pPr>
              <w:jc w:val="center"/>
              <w:rPr>
                <w:rFonts w:eastAsia="Times New Roman"/>
                <w:color w:val="000000"/>
                <w:szCs w:val="22"/>
              </w:rPr>
            </w:pPr>
            <w:r>
              <w:rPr>
                <w:color w:val="000000"/>
                <w:sz w:val="22"/>
                <w:szCs w:val="22"/>
              </w:rPr>
              <w:t>11,841</w:t>
            </w:r>
          </w:p>
        </w:tc>
        <w:tc>
          <w:tcPr>
            <w:tcW w:w="1388" w:type="dxa"/>
            <w:noWrap/>
            <w:hideMark/>
          </w:tcPr>
          <w:p w14:paraId="448674E6" w14:textId="0217A819" w:rsidR="002B5D4B" w:rsidRPr="0006648E" w:rsidRDefault="002B5D4B" w:rsidP="002B5D4B">
            <w:pPr>
              <w:jc w:val="center"/>
              <w:rPr>
                <w:rFonts w:eastAsia="Times New Roman"/>
                <w:color w:val="000000"/>
                <w:szCs w:val="22"/>
              </w:rPr>
            </w:pPr>
            <w:r>
              <w:rPr>
                <w:color w:val="000000"/>
                <w:sz w:val="22"/>
                <w:szCs w:val="22"/>
              </w:rPr>
              <w:t>19.8</w:t>
            </w:r>
          </w:p>
        </w:tc>
        <w:tc>
          <w:tcPr>
            <w:tcW w:w="1387" w:type="dxa"/>
            <w:noWrap/>
            <w:hideMark/>
          </w:tcPr>
          <w:p w14:paraId="753F74A4" w14:textId="272376CA" w:rsidR="002B5D4B" w:rsidRPr="0006648E" w:rsidRDefault="002B5D4B" w:rsidP="002B5D4B">
            <w:pPr>
              <w:jc w:val="center"/>
              <w:rPr>
                <w:rFonts w:eastAsia="Times New Roman"/>
                <w:color w:val="000000"/>
                <w:szCs w:val="22"/>
              </w:rPr>
            </w:pPr>
            <w:r>
              <w:rPr>
                <w:color w:val="000000"/>
                <w:sz w:val="22"/>
                <w:szCs w:val="22"/>
              </w:rPr>
              <w:t>12,700</w:t>
            </w:r>
          </w:p>
        </w:tc>
        <w:tc>
          <w:tcPr>
            <w:tcW w:w="1388" w:type="dxa"/>
            <w:noWrap/>
            <w:hideMark/>
          </w:tcPr>
          <w:p w14:paraId="1E6AB6A9" w14:textId="0E6E74B5" w:rsidR="002B5D4B" w:rsidRPr="0006648E" w:rsidRDefault="002B5D4B" w:rsidP="002B5D4B">
            <w:pPr>
              <w:jc w:val="center"/>
              <w:rPr>
                <w:rFonts w:eastAsia="Times New Roman"/>
                <w:color w:val="000000"/>
                <w:szCs w:val="22"/>
              </w:rPr>
            </w:pPr>
            <w:r>
              <w:rPr>
                <w:color w:val="000000"/>
                <w:sz w:val="22"/>
                <w:szCs w:val="22"/>
              </w:rPr>
              <w:t>19.4</w:t>
            </w:r>
          </w:p>
        </w:tc>
        <w:tc>
          <w:tcPr>
            <w:tcW w:w="1387" w:type="dxa"/>
            <w:noWrap/>
            <w:hideMark/>
          </w:tcPr>
          <w:p w14:paraId="7EEE2744" w14:textId="4949D3AB" w:rsidR="002B5D4B" w:rsidRPr="0006648E" w:rsidRDefault="002B5D4B" w:rsidP="002B5D4B">
            <w:pPr>
              <w:jc w:val="center"/>
              <w:rPr>
                <w:rFonts w:eastAsia="Times New Roman"/>
                <w:color w:val="000000"/>
                <w:szCs w:val="22"/>
              </w:rPr>
            </w:pPr>
            <w:r>
              <w:rPr>
                <w:color w:val="000000"/>
                <w:sz w:val="22"/>
                <w:szCs w:val="22"/>
              </w:rPr>
              <w:t>13,236</w:t>
            </w:r>
          </w:p>
        </w:tc>
        <w:tc>
          <w:tcPr>
            <w:tcW w:w="1388" w:type="dxa"/>
            <w:noWrap/>
            <w:hideMark/>
          </w:tcPr>
          <w:p w14:paraId="11654C8C" w14:textId="08140046" w:rsidR="002B5D4B" w:rsidRPr="0006648E" w:rsidRDefault="002B5D4B" w:rsidP="002B5D4B">
            <w:pPr>
              <w:jc w:val="center"/>
              <w:rPr>
                <w:rFonts w:eastAsia="Times New Roman"/>
                <w:color w:val="000000"/>
                <w:szCs w:val="22"/>
              </w:rPr>
            </w:pPr>
            <w:r>
              <w:rPr>
                <w:color w:val="000000"/>
                <w:sz w:val="22"/>
                <w:szCs w:val="22"/>
              </w:rPr>
              <w:t>19.1</w:t>
            </w:r>
          </w:p>
        </w:tc>
      </w:tr>
      <w:tr w:rsidR="002B5D4B" w:rsidRPr="0006648E" w14:paraId="54068367" w14:textId="77777777" w:rsidTr="004270B8">
        <w:trPr>
          <w:cantSplit/>
          <w:trHeight w:val="288"/>
          <w:jc w:val="center"/>
        </w:trPr>
        <w:tc>
          <w:tcPr>
            <w:tcW w:w="2385" w:type="dxa"/>
            <w:noWrap/>
            <w:hideMark/>
          </w:tcPr>
          <w:p w14:paraId="1EFEF230"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Outside MA (United States</w:t>
            </w:r>
            <w:r>
              <w:rPr>
                <w:rFonts w:eastAsia="Times New Roman"/>
                <w:color w:val="000000"/>
                <w:sz w:val="22"/>
                <w:szCs w:val="22"/>
              </w:rPr>
              <w:t>)</w:t>
            </w:r>
          </w:p>
        </w:tc>
        <w:tc>
          <w:tcPr>
            <w:tcW w:w="1387" w:type="dxa"/>
            <w:noWrap/>
            <w:hideMark/>
          </w:tcPr>
          <w:p w14:paraId="359DE17F" w14:textId="17066BEE" w:rsidR="002B5D4B" w:rsidRPr="0006648E" w:rsidRDefault="002B5D4B" w:rsidP="002B5D4B">
            <w:pPr>
              <w:jc w:val="center"/>
              <w:rPr>
                <w:rFonts w:eastAsia="Times New Roman"/>
                <w:color w:val="000000"/>
                <w:szCs w:val="22"/>
              </w:rPr>
            </w:pPr>
            <w:r>
              <w:rPr>
                <w:color w:val="000000"/>
                <w:sz w:val="22"/>
                <w:szCs w:val="22"/>
              </w:rPr>
              <w:t>18,345</w:t>
            </w:r>
          </w:p>
        </w:tc>
        <w:tc>
          <w:tcPr>
            <w:tcW w:w="1388" w:type="dxa"/>
            <w:noWrap/>
            <w:hideMark/>
          </w:tcPr>
          <w:p w14:paraId="04E0989C" w14:textId="609871CA" w:rsidR="002B5D4B" w:rsidRPr="0006648E" w:rsidRDefault="002B5D4B" w:rsidP="002B5D4B">
            <w:pPr>
              <w:jc w:val="center"/>
              <w:rPr>
                <w:rFonts w:eastAsia="Times New Roman"/>
                <w:color w:val="000000"/>
                <w:szCs w:val="22"/>
              </w:rPr>
            </w:pPr>
            <w:r>
              <w:rPr>
                <w:color w:val="000000"/>
                <w:sz w:val="22"/>
                <w:szCs w:val="22"/>
              </w:rPr>
              <w:t>30.7</w:t>
            </w:r>
          </w:p>
        </w:tc>
        <w:tc>
          <w:tcPr>
            <w:tcW w:w="1387" w:type="dxa"/>
            <w:noWrap/>
            <w:hideMark/>
          </w:tcPr>
          <w:p w14:paraId="374B597C" w14:textId="74047238" w:rsidR="002B5D4B" w:rsidRPr="0006648E" w:rsidRDefault="002B5D4B" w:rsidP="002B5D4B">
            <w:pPr>
              <w:jc w:val="center"/>
              <w:rPr>
                <w:rFonts w:eastAsia="Times New Roman"/>
                <w:color w:val="000000"/>
                <w:szCs w:val="22"/>
              </w:rPr>
            </w:pPr>
            <w:r>
              <w:rPr>
                <w:color w:val="000000"/>
                <w:sz w:val="22"/>
                <w:szCs w:val="22"/>
              </w:rPr>
              <w:t>19,760</w:t>
            </w:r>
          </w:p>
        </w:tc>
        <w:tc>
          <w:tcPr>
            <w:tcW w:w="1388" w:type="dxa"/>
            <w:noWrap/>
            <w:hideMark/>
          </w:tcPr>
          <w:p w14:paraId="60B4C874" w14:textId="3E800996" w:rsidR="002B5D4B" w:rsidRPr="0006648E" w:rsidRDefault="002B5D4B" w:rsidP="002B5D4B">
            <w:pPr>
              <w:jc w:val="center"/>
              <w:rPr>
                <w:rFonts w:eastAsia="Times New Roman"/>
                <w:color w:val="000000"/>
                <w:szCs w:val="22"/>
              </w:rPr>
            </w:pPr>
            <w:r>
              <w:rPr>
                <w:color w:val="000000"/>
                <w:sz w:val="22"/>
                <w:szCs w:val="22"/>
              </w:rPr>
              <w:t>30.1</w:t>
            </w:r>
          </w:p>
        </w:tc>
        <w:tc>
          <w:tcPr>
            <w:tcW w:w="1387" w:type="dxa"/>
            <w:noWrap/>
            <w:hideMark/>
          </w:tcPr>
          <w:p w14:paraId="127B0540" w14:textId="5AE2D0A8" w:rsidR="002B5D4B" w:rsidRPr="0006648E" w:rsidRDefault="002B5D4B" w:rsidP="002B5D4B">
            <w:pPr>
              <w:jc w:val="center"/>
              <w:rPr>
                <w:rFonts w:eastAsia="Times New Roman"/>
                <w:color w:val="000000"/>
                <w:szCs w:val="22"/>
              </w:rPr>
            </w:pPr>
            <w:r>
              <w:rPr>
                <w:color w:val="000000"/>
                <w:sz w:val="22"/>
                <w:szCs w:val="22"/>
              </w:rPr>
              <w:t>19,424</w:t>
            </w:r>
          </w:p>
        </w:tc>
        <w:tc>
          <w:tcPr>
            <w:tcW w:w="1388" w:type="dxa"/>
            <w:noWrap/>
            <w:hideMark/>
          </w:tcPr>
          <w:p w14:paraId="14852C70" w14:textId="025B32B5" w:rsidR="002B5D4B" w:rsidRPr="0006648E" w:rsidRDefault="002B5D4B" w:rsidP="002B5D4B">
            <w:pPr>
              <w:jc w:val="center"/>
              <w:rPr>
                <w:rFonts w:eastAsia="Times New Roman"/>
                <w:color w:val="000000"/>
                <w:szCs w:val="22"/>
              </w:rPr>
            </w:pPr>
            <w:r>
              <w:rPr>
                <w:color w:val="000000"/>
                <w:sz w:val="22"/>
                <w:szCs w:val="22"/>
              </w:rPr>
              <w:t>28.0</w:t>
            </w:r>
          </w:p>
        </w:tc>
      </w:tr>
      <w:tr w:rsidR="002B5D4B" w:rsidRPr="0006648E" w14:paraId="61D4BCB7" w14:textId="77777777" w:rsidTr="004270B8">
        <w:trPr>
          <w:cantSplit/>
          <w:trHeight w:val="300"/>
          <w:jc w:val="center"/>
        </w:trPr>
        <w:tc>
          <w:tcPr>
            <w:tcW w:w="2385" w:type="dxa"/>
            <w:noWrap/>
            <w:hideMark/>
          </w:tcPr>
          <w:p w14:paraId="18EBE189" w14:textId="77777777" w:rsidR="002B5D4B" w:rsidRPr="0006648E" w:rsidRDefault="002B5D4B" w:rsidP="002B5D4B">
            <w:pPr>
              <w:jc w:val="center"/>
              <w:rPr>
                <w:rFonts w:eastAsia="Times New Roman"/>
                <w:color w:val="000000"/>
                <w:szCs w:val="22"/>
              </w:rPr>
            </w:pPr>
            <w:r w:rsidRPr="0006648E">
              <w:rPr>
                <w:rFonts w:eastAsia="Times New Roman"/>
                <w:color w:val="000000"/>
                <w:sz w:val="22"/>
                <w:szCs w:val="22"/>
              </w:rPr>
              <w:t>Outside MA (International)</w:t>
            </w:r>
          </w:p>
        </w:tc>
        <w:tc>
          <w:tcPr>
            <w:tcW w:w="1387" w:type="dxa"/>
            <w:noWrap/>
            <w:hideMark/>
          </w:tcPr>
          <w:p w14:paraId="2C37F374" w14:textId="37852E1F" w:rsidR="002B5D4B" w:rsidRPr="0006648E" w:rsidRDefault="002B5D4B" w:rsidP="002B5D4B">
            <w:pPr>
              <w:jc w:val="center"/>
              <w:rPr>
                <w:rFonts w:eastAsia="Times New Roman"/>
                <w:color w:val="000000"/>
                <w:szCs w:val="22"/>
              </w:rPr>
            </w:pPr>
            <w:r>
              <w:rPr>
                <w:color w:val="000000"/>
                <w:sz w:val="22"/>
                <w:szCs w:val="22"/>
              </w:rPr>
              <w:t>618</w:t>
            </w:r>
          </w:p>
        </w:tc>
        <w:tc>
          <w:tcPr>
            <w:tcW w:w="1388" w:type="dxa"/>
            <w:noWrap/>
            <w:hideMark/>
          </w:tcPr>
          <w:p w14:paraId="798362D5" w14:textId="535240C1" w:rsidR="002B5D4B" w:rsidRPr="0006648E" w:rsidRDefault="002B5D4B" w:rsidP="002B5D4B">
            <w:pPr>
              <w:jc w:val="center"/>
              <w:rPr>
                <w:rFonts w:eastAsia="Times New Roman"/>
                <w:color w:val="000000"/>
                <w:szCs w:val="22"/>
              </w:rPr>
            </w:pPr>
            <w:r>
              <w:rPr>
                <w:color w:val="000000"/>
                <w:sz w:val="22"/>
                <w:szCs w:val="22"/>
              </w:rPr>
              <w:t>1.0</w:t>
            </w:r>
          </w:p>
        </w:tc>
        <w:tc>
          <w:tcPr>
            <w:tcW w:w="1387" w:type="dxa"/>
            <w:noWrap/>
            <w:hideMark/>
          </w:tcPr>
          <w:p w14:paraId="40738056" w14:textId="0A14CA9B" w:rsidR="002B5D4B" w:rsidRPr="0006648E" w:rsidRDefault="002B5D4B" w:rsidP="002B5D4B">
            <w:pPr>
              <w:jc w:val="center"/>
              <w:rPr>
                <w:rFonts w:eastAsia="Times New Roman"/>
                <w:color w:val="000000"/>
                <w:szCs w:val="22"/>
              </w:rPr>
            </w:pPr>
            <w:r>
              <w:rPr>
                <w:color w:val="000000"/>
                <w:sz w:val="22"/>
                <w:szCs w:val="22"/>
              </w:rPr>
              <w:t>587</w:t>
            </w:r>
          </w:p>
        </w:tc>
        <w:tc>
          <w:tcPr>
            <w:tcW w:w="1388" w:type="dxa"/>
            <w:noWrap/>
            <w:hideMark/>
          </w:tcPr>
          <w:p w14:paraId="2A0F3FEE" w14:textId="50FCA46B" w:rsidR="002B5D4B" w:rsidRPr="0006648E" w:rsidRDefault="002B5D4B" w:rsidP="002B5D4B">
            <w:pPr>
              <w:jc w:val="center"/>
              <w:rPr>
                <w:rFonts w:eastAsia="Times New Roman"/>
                <w:color w:val="000000"/>
                <w:szCs w:val="22"/>
              </w:rPr>
            </w:pPr>
            <w:r>
              <w:rPr>
                <w:color w:val="000000"/>
                <w:sz w:val="22"/>
                <w:szCs w:val="22"/>
              </w:rPr>
              <w:t>0.9</w:t>
            </w:r>
          </w:p>
        </w:tc>
        <w:tc>
          <w:tcPr>
            <w:tcW w:w="1387" w:type="dxa"/>
            <w:noWrap/>
            <w:hideMark/>
          </w:tcPr>
          <w:p w14:paraId="26145B63" w14:textId="0BA82864" w:rsidR="002B5D4B" w:rsidRPr="0006648E" w:rsidRDefault="002B5D4B" w:rsidP="002B5D4B">
            <w:pPr>
              <w:jc w:val="center"/>
              <w:rPr>
                <w:rFonts w:eastAsia="Times New Roman"/>
                <w:color w:val="000000"/>
                <w:szCs w:val="22"/>
              </w:rPr>
            </w:pPr>
            <w:r>
              <w:rPr>
                <w:color w:val="000000"/>
                <w:sz w:val="22"/>
                <w:szCs w:val="22"/>
              </w:rPr>
              <w:t>804</w:t>
            </w:r>
          </w:p>
        </w:tc>
        <w:tc>
          <w:tcPr>
            <w:tcW w:w="1388" w:type="dxa"/>
            <w:noWrap/>
            <w:hideMark/>
          </w:tcPr>
          <w:p w14:paraId="7602BB34" w14:textId="7FB502D9" w:rsidR="002B5D4B" w:rsidRPr="0006648E" w:rsidRDefault="002B5D4B" w:rsidP="002B5D4B">
            <w:pPr>
              <w:jc w:val="center"/>
              <w:rPr>
                <w:rFonts w:eastAsia="Times New Roman"/>
                <w:color w:val="000000"/>
                <w:szCs w:val="22"/>
              </w:rPr>
            </w:pPr>
            <w:r>
              <w:rPr>
                <w:color w:val="000000"/>
                <w:sz w:val="22"/>
                <w:szCs w:val="22"/>
              </w:rPr>
              <w:t>1.2</w:t>
            </w:r>
          </w:p>
        </w:tc>
      </w:tr>
    </w:tbl>
    <w:p w14:paraId="1F20F309" w14:textId="77777777" w:rsidR="00E7773A" w:rsidRDefault="00E7773A" w:rsidP="00063570">
      <w:pPr>
        <w:pStyle w:val="RBNBasicNoSpace"/>
        <w:rPr>
          <w:b/>
          <w:bCs/>
          <w:szCs w:val="24"/>
        </w:rPr>
      </w:pPr>
    </w:p>
    <w:p w14:paraId="4EF8D01C" w14:textId="593D07C8" w:rsidR="00C22FD4" w:rsidRPr="00815BF6" w:rsidRDefault="00C22FD4" w:rsidP="00C22FD4">
      <w:pPr>
        <w:pStyle w:val="RBNBasicNoSpace"/>
        <w:jc w:val="center"/>
        <w:rPr>
          <w:b/>
          <w:bCs/>
          <w:szCs w:val="24"/>
        </w:rPr>
      </w:pPr>
      <w:r w:rsidRPr="00815BF6">
        <w:rPr>
          <w:b/>
          <w:bCs/>
          <w:szCs w:val="24"/>
        </w:rPr>
        <w:t xml:space="preserve">Table </w:t>
      </w:r>
      <w:r w:rsidR="001B243D">
        <w:rPr>
          <w:b/>
          <w:bCs/>
          <w:szCs w:val="24"/>
        </w:rPr>
        <w:t>4</w:t>
      </w:r>
      <w:r w:rsidR="00A70D12">
        <w:rPr>
          <w:rStyle w:val="FootnoteReference"/>
          <w:b/>
          <w:bCs/>
          <w:szCs w:val="24"/>
        </w:rPr>
        <w:footnoteReference w:id="38"/>
      </w:r>
    </w:p>
    <w:p w14:paraId="3A54A467" w14:textId="34F560EB" w:rsidR="00C22FD4" w:rsidRPr="00815BF6" w:rsidRDefault="005E1CB3" w:rsidP="00C22FD4">
      <w:pPr>
        <w:pStyle w:val="RBNBasicNoSpace"/>
        <w:jc w:val="center"/>
        <w:rPr>
          <w:b/>
          <w:bCs/>
          <w:szCs w:val="24"/>
        </w:rPr>
      </w:pPr>
      <w:r>
        <w:rPr>
          <w:b/>
          <w:bCs/>
          <w:szCs w:val="24"/>
        </w:rPr>
        <w:t xml:space="preserve">Inpatient </w:t>
      </w:r>
      <w:r w:rsidR="00C22FD4" w:rsidRPr="00815BF6">
        <w:rPr>
          <w:b/>
          <w:bCs/>
          <w:szCs w:val="24"/>
        </w:rPr>
        <w:t>Utilization</w:t>
      </w:r>
      <w:r w:rsidR="00090558">
        <w:rPr>
          <w:b/>
          <w:bCs/>
          <w:szCs w:val="24"/>
        </w:rPr>
        <w:t xml:space="preserve"> </w:t>
      </w:r>
      <w:r w:rsidR="00CE47B2" w:rsidRPr="00815BF6">
        <w:rPr>
          <w:b/>
          <w:bCs/>
          <w:szCs w:val="24"/>
        </w:rPr>
        <w:t>by Disease Center</w:t>
      </w:r>
      <w:r w:rsidR="00B22C3D" w:rsidRPr="00815BF6">
        <w:rPr>
          <w:b/>
          <w:bCs/>
          <w:szCs w:val="24"/>
        </w:rPr>
        <w:t xml:space="preserve"> </w:t>
      </w:r>
    </w:p>
    <w:p w14:paraId="5C33E247" w14:textId="77777777" w:rsidR="00C22FD4" w:rsidRPr="00815BF6" w:rsidRDefault="00C22FD4" w:rsidP="00C22FD4">
      <w:pPr>
        <w:pStyle w:val="RBNBasicNoSpace"/>
        <w:jc w:val="center"/>
        <w:rPr>
          <w:b/>
          <w:bCs/>
          <w:szCs w:val="24"/>
        </w:rPr>
      </w:pPr>
    </w:p>
    <w:tbl>
      <w:tblPr>
        <w:tblStyle w:val="TableGrid"/>
        <w:tblW w:w="10100" w:type="dxa"/>
        <w:jc w:val="center"/>
        <w:tblLayout w:type="fixed"/>
        <w:tblLook w:val="04A0" w:firstRow="1" w:lastRow="0" w:firstColumn="1" w:lastColumn="0" w:noHBand="0" w:noVBand="1"/>
      </w:tblPr>
      <w:tblGrid>
        <w:gridCol w:w="2870"/>
        <w:gridCol w:w="1205"/>
        <w:gridCol w:w="1205"/>
        <w:gridCol w:w="1205"/>
        <w:gridCol w:w="1205"/>
        <w:gridCol w:w="1205"/>
        <w:gridCol w:w="1205"/>
      </w:tblGrid>
      <w:tr w:rsidR="00150953" w:rsidRPr="0006648E" w14:paraId="7FBF7C43" w14:textId="77777777" w:rsidTr="00150953">
        <w:trPr>
          <w:cantSplit/>
          <w:trHeight w:val="276"/>
          <w:tblHeader/>
          <w:jc w:val="center"/>
        </w:trPr>
        <w:tc>
          <w:tcPr>
            <w:tcW w:w="2870" w:type="dxa"/>
            <w:noWrap/>
            <w:hideMark/>
          </w:tcPr>
          <w:p w14:paraId="5ED1E910" w14:textId="77777777" w:rsidR="00150953" w:rsidRPr="0006648E" w:rsidRDefault="00150953" w:rsidP="00150953">
            <w:pPr>
              <w:rPr>
                <w:rFonts w:eastAsia="Times New Roman"/>
                <w:color w:val="000000"/>
                <w:szCs w:val="22"/>
              </w:rPr>
            </w:pPr>
            <w:r w:rsidRPr="0006648E">
              <w:rPr>
                <w:rFonts w:eastAsia="Times New Roman"/>
                <w:color w:val="000000"/>
                <w:sz w:val="22"/>
                <w:szCs w:val="22"/>
              </w:rPr>
              <w:t> </w:t>
            </w:r>
          </w:p>
        </w:tc>
        <w:tc>
          <w:tcPr>
            <w:tcW w:w="1205" w:type="dxa"/>
            <w:noWrap/>
            <w:hideMark/>
          </w:tcPr>
          <w:p w14:paraId="35E6F3F0" w14:textId="68E683F9" w:rsidR="00150953" w:rsidRPr="0006648E" w:rsidRDefault="00150953" w:rsidP="00150953">
            <w:pPr>
              <w:jc w:val="center"/>
              <w:rPr>
                <w:rFonts w:eastAsia="Times New Roman"/>
                <w:color w:val="000000"/>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Count</w:t>
            </w:r>
          </w:p>
        </w:tc>
        <w:tc>
          <w:tcPr>
            <w:tcW w:w="1205" w:type="dxa"/>
            <w:noWrap/>
            <w:hideMark/>
          </w:tcPr>
          <w:p w14:paraId="782911F4" w14:textId="3C2F3982" w:rsidR="00150953" w:rsidRPr="0006648E" w:rsidRDefault="00150953" w:rsidP="00150953">
            <w:pPr>
              <w:jc w:val="center"/>
              <w:rPr>
                <w:rFonts w:eastAsia="Times New Roman"/>
                <w:color w:val="000000"/>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w:t>
            </w:r>
          </w:p>
        </w:tc>
        <w:tc>
          <w:tcPr>
            <w:tcW w:w="1205" w:type="dxa"/>
            <w:noWrap/>
            <w:hideMark/>
          </w:tcPr>
          <w:p w14:paraId="5AA2C0B0" w14:textId="669DCAF8" w:rsidR="00150953" w:rsidRPr="0006648E" w:rsidRDefault="00150953" w:rsidP="00150953">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Count</w:t>
            </w:r>
          </w:p>
        </w:tc>
        <w:tc>
          <w:tcPr>
            <w:tcW w:w="1205" w:type="dxa"/>
            <w:noWrap/>
            <w:hideMark/>
          </w:tcPr>
          <w:p w14:paraId="30C7144D" w14:textId="3020C47F" w:rsidR="00150953" w:rsidRPr="0006648E" w:rsidRDefault="00150953" w:rsidP="00150953">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w:t>
            </w:r>
          </w:p>
        </w:tc>
        <w:tc>
          <w:tcPr>
            <w:tcW w:w="1205" w:type="dxa"/>
            <w:noWrap/>
            <w:hideMark/>
          </w:tcPr>
          <w:p w14:paraId="6062AB2F" w14:textId="64E348C9" w:rsidR="00150953" w:rsidRPr="0006648E" w:rsidRDefault="00150953" w:rsidP="00150953">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Count</w:t>
            </w:r>
          </w:p>
        </w:tc>
        <w:tc>
          <w:tcPr>
            <w:tcW w:w="1205" w:type="dxa"/>
            <w:noWrap/>
            <w:hideMark/>
          </w:tcPr>
          <w:p w14:paraId="444E026A" w14:textId="1ADE286B" w:rsidR="00150953" w:rsidRPr="0006648E" w:rsidRDefault="00150953" w:rsidP="00150953">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w:t>
            </w:r>
          </w:p>
        </w:tc>
      </w:tr>
      <w:tr w:rsidR="00D245B8" w:rsidRPr="0006648E" w14:paraId="0566377D" w14:textId="77777777" w:rsidTr="00150953">
        <w:trPr>
          <w:cantSplit/>
          <w:trHeight w:val="276"/>
          <w:jc w:val="center"/>
        </w:trPr>
        <w:tc>
          <w:tcPr>
            <w:tcW w:w="2870" w:type="dxa"/>
            <w:noWrap/>
            <w:hideMark/>
          </w:tcPr>
          <w:p w14:paraId="700F1BC9" w14:textId="76022076" w:rsidR="00D245B8" w:rsidRPr="00D245B8" w:rsidRDefault="00D245B8" w:rsidP="00D245B8">
            <w:pPr>
              <w:rPr>
                <w:rFonts w:eastAsia="Times New Roman"/>
                <w:color w:val="000000"/>
                <w:szCs w:val="18"/>
              </w:rPr>
            </w:pPr>
            <w:r w:rsidRPr="00D245B8">
              <w:rPr>
                <w:sz w:val="22"/>
                <w:szCs w:val="18"/>
              </w:rPr>
              <w:t>Total (unique patients)</w:t>
            </w:r>
            <w:r w:rsidR="002A4042">
              <w:rPr>
                <w:rStyle w:val="FootnoteReference"/>
                <w:rFonts w:eastAsia="Times New Roman"/>
                <w:color w:val="000000"/>
                <w:sz w:val="22"/>
                <w:szCs w:val="22"/>
              </w:rPr>
              <w:t xml:space="preserve"> </w:t>
            </w:r>
            <w:r w:rsidR="002A4042">
              <w:rPr>
                <w:rStyle w:val="FootnoteReference"/>
                <w:rFonts w:eastAsia="Times New Roman"/>
                <w:color w:val="000000"/>
                <w:sz w:val="22"/>
                <w:szCs w:val="22"/>
              </w:rPr>
              <w:footnoteReference w:id="39"/>
            </w:r>
          </w:p>
        </w:tc>
        <w:tc>
          <w:tcPr>
            <w:tcW w:w="1205" w:type="dxa"/>
            <w:noWrap/>
            <w:hideMark/>
          </w:tcPr>
          <w:p w14:paraId="0EA9DB32" w14:textId="4C9E7069" w:rsidR="00D245B8" w:rsidRPr="000F3DEE" w:rsidRDefault="00D245B8" w:rsidP="00D245B8">
            <w:pPr>
              <w:jc w:val="center"/>
              <w:rPr>
                <w:rFonts w:eastAsia="Times New Roman"/>
                <w:color w:val="000000"/>
                <w:szCs w:val="18"/>
              </w:rPr>
            </w:pPr>
            <w:r w:rsidRPr="000F3DEE">
              <w:rPr>
                <w:sz w:val="22"/>
                <w:szCs w:val="18"/>
              </w:rPr>
              <w:t>4,501</w:t>
            </w:r>
          </w:p>
        </w:tc>
        <w:tc>
          <w:tcPr>
            <w:tcW w:w="1205" w:type="dxa"/>
            <w:noWrap/>
            <w:hideMark/>
          </w:tcPr>
          <w:p w14:paraId="254AB34E" w14:textId="77777777" w:rsidR="00D245B8" w:rsidRPr="000F3DEE" w:rsidRDefault="00D245B8" w:rsidP="00D245B8">
            <w:pPr>
              <w:jc w:val="right"/>
              <w:rPr>
                <w:rFonts w:eastAsia="Times New Roman"/>
                <w:color w:val="000000"/>
                <w:szCs w:val="22"/>
              </w:rPr>
            </w:pPr>
          </w:p>
        </w:tc>
        <w:tc>
          <w:tcPr>
            <w:tcW w:w="1205" w:type="dxa"/>
            <w:noWrap/>
            <w:hideMark/>
          </w:tcPr>
          <w:p w14:paraId="3DCD7C45" w14:textId="5D4A1A45" w:rsidR="00D245B8" w:rsidRPr="000F3DEE" w:rsidRDefault="00D245B8" w:rsidP="00D245B8">
            <w:pPr>
              <w:jc w:val="center"/>
              <w:rPr>
                <w:rFonts w:eastAsia="Times New Roman"/>
                <w:color w:val="000000"/>
                <w:szCs w:val="18"/>
              </w:rPr>
            </w:pPr>
            <w:r w:rsidRPr="000F3DEE">
              <w:rPr>
                <w:color w:val="000000"/>
                <w:sz w:val="22"/>
                <w:szCs w:val="18"/>
              </w:rPr>
              <w:t>4,783</w:t>
            </w:r>
          </w:p>
        </w:tc>
        <w:tc>
          <w:tcPr>
            <w:tcW w:w="1205" w:type="dxa"/>
            <w:noWrap/>
            <w:hideMark/>
          </w:tcPr>
          <w:p w14:paraId="0F25411B" w14:textId="77777777" w:rsidR="00D245B8" w:rsidRPr="000F3DEE" w:rsidRDefault="00D245B8" w:rsidP="00D245B8">
            <w:pPr>
              <w:jc w:val="right"/>
              <w:rPr>
                <w:rFonts w:eastAsia="Times New Roman"/>
                <w:color w:val="000000"/>
                <w:szCs w:val="22"/>
              </w:rPr>
            </w:pPr>
          </w:p>
        </w:tc>
        <w:tc>
          <w:tcPr>
            <w:tcW w:w="1205" w:type="dxa"/>
            <w:noWrap/>
            <w:hideMark/>
          </w:tcPr>
          <w:p w14:paraId="233F5AB7" w14:textId="44474FC1" w:rsidR="00D245B8" w:rsidRPr="000F3DEE" w:rsidRDefault="00D245B8" w:rsidP="00D245B8">
            <w:pPr>
              <w:jc w:val="center"/>
              <w:rPr>
                <w:rFonts w:eastAsia="Times New Roman"/>
                <w:color w:val="000000"/>
                <w:szCs w:val="18"/>
              </w:rPr>
            </w:pPr>
            <w:r w:rsidRPr="000F3DEE">
              <w:rPr>
                <w:color w:val="000000"/>
                <w:sz w:val="22"/>
                <w:szCs w:val="18"/>
              </w:rPr>
              <w:t>4,887</w:t>
            </w:r>
          </w:p>
        </w:tc>
        <w:tc>
          <w:tcPr>
            <w:tcW w:w="1205" w:type="dxa"/>
            <w:noWrap/>
            <w:hideMark/>
          </w:tcPr>
          <w:p w14:paraId="5087D0E8" w14:textId="77777777" w:rsidR="00D245B8" w:rsidRPr="000F3DEE" w:rsidRDefault="00D245B8" w:rsidP="00D245B8">
            <w:pPr>
              <w:jc w:val="right"/>
              <w:rPr>
                <w:rFonts w:eastAsia="Times New Roman"/>
                <w:color w:val="000000"/>
                <w:szCs w:val="22"/>
              </w:rPr>
            </w:pPr>
          </w:p>
        </w:tc>
      </w:tr>
      <w:tr w:rsidR="00B675C7" w:rsidRPr="0006648E" w14:paraId="3960E277" w14:textId="77777777" w:rsidTr="00150953">
        <w:trPr>
          <w:cantSplit/>
          <w:trHeight w:val="276"/>
          <w:jc w:val="center"/>
        </w:trPr>
        <w:tc>
          <w:tcPr>
            <w:tcW w:w="2870" w:type="dxa"/>
            <w:noWrap/>
            <w:hideMark/>
          </w:tcPr>
          <w:p w14:paraId="3D6B7CC5" w14:textId="6560D3DA" w:rsidR="00B675C7" w:rsidRPr="00D245B8" w:rsidRDefault="00B675C7" w:rsidP="00B675C7">
            <w:pPr>
              <w:rPr>
                <w:rFonts w:eastAsia="Times New Roman"/>
                <w:color w:val="000000"/>
                <w:szCs w:val="18"/>
              </w:rPr>
            </w:pPr>
            <w:r w:rsidRPr="00D245B8">
              <w:rPr>
                <w:sz w:val="22"/>
                <w:szCs w:val="18"/>
              </w:rPr>
              <w:t>Breast Oncology Center</w:t>
            </w:r>
          </w:p>
        </w:tc>
        <w:tc>
          <w:tcPr>
            <w:tcW w:w="1205" w:type="dxa"/>
            <w:noWrap/>
            <w:vAlign w:val="bottom"/>
            <w:hideMark/>
          </w:tcPr>
          <w:p w14:paraId="5F9E5A8C" w14:textId="6A08E0F8" w:rsidR="00B675C7" w:rsidRPr="000F3DEE" w:rsidRDefault="00B675C7" w:rsidP="000F3DEE">
            <w:pPr>
              <w:jc w:val="center"/>
              <w:rPr>
                <w:rFonts w:eastAsia="Times New Roman"/>
                <w:color w:val="000000"/>
                <w:szCs w:val="18"/>
              </w:rPr>
            </w:pPr>
            <w:r w:rsidRPr="000F3DEE">
              <w:rPr>
                <w:color w:val="000000"/>
                <w:sz w:val="22"/>
                <w:szCs w:val="22"/>
              </w:rPr>
              <w:t>262</w:t>
            </w:r>
          </w:p>
        </w:tc>
        <w:tc>
          <w:tcPr>
            <w:tcW w:w="1205" w:type="dxa"/>
            <w:noWrap/>
            <w:vAlign w:val="bottom"/>
            <w:hideMark/>
          </w:tcPr>
          <w:p w14:paraId="5904838D" w14:textId="140AB36F" w:rsidR="00B675C7" w:rsidRPr="000F3DEE" w:rsidRDefault="00B675C7" w:rsidP="000F3DEE">
            <w:pPr>
              <w:jc w:val="right"/>
              <w:rPr>
                <w:rFonts w:eastAsia="Times New Roman"/>
                <w:color w:val="000000"/>
                <w:szCs w:val="22"/>
              </w:rPr>
            </w:pPr>
            <w:r w:rsidRPr="000F3DEE">
              <w:rPr>
                <w:color w:val="000000"/>
                <w:sz w:val="22"/>
                <w:szCs w:val="22"/>
              </w:rPr>
              <w:t>5.8</w:t>
            </w:r>
            <w:r w:rsidR="000F3DEE">
              <w:rPr>
                <w:color w:val="000000"/>
                <w:sz w:val="22"/>
                <w:szCs w:val="22"/>
              </w:rPr>
              <w:t xml:space="preserve">   </w:t>
            </w:r>
            <w:r w:rsidRPr="000F3DEE">
              <w:rPr>
                <w:color w:val="000000"/>
                <w:sz w:val="22"/>
                <w:szCs w:val="22"/>
              </w:rPr>
              <w:t>%</w:t>
            </w:r>
          </w:p>
        </w:tc>
        <w:tc>
          <w:tcPr>
            <w:tcW w:w="1205" w:type="dxa"/>
            <w:noWrap/>
            <w:vAlign w:val="bottom"/>
            <w:hideMark/>
          </w:tcPr>
          <w:p w14:paraId="1D379822" w14:textId="7C889DDD" w:rsidR="00B675C7" w:rsidRPr="000F3DEE" w:rsidRDefault="00B675C7" w:rsidP="000F3DEE">
            <w:pPr>
              <w:jc w:val="center"/>
              <w:rPr>
                <w:rFonts w:eastAsia="Times New Roman"/>
                <w:color w:val="000000"/>
                <w:szCs w:val="18"/>
              </w:rPr>
            </w:pPr>
            <w:r w:rsidRPr="000F3DEE">
              <w:rPr>
                <w:color w:val="000000"/>
                <w:sz w:val="22"/>
                <w:szCs w:val="22"/>
              </w:rPr>
              <w:t>254</w:t>
            </w:r>
          </w:p>
        </w:tc>
        <w:tc>
          <w:tcPr>
            <w:tcW w:w="1205" w:type="dxa"/>
            <w:noWrap/>
            <w:vAlign w:val="bottom"/>
            <w:hideMark/>
          </w:tcPr>
          <w:p w14:paraId="78D41701" w14:textId="4BA0BF72" w:rsidR="00B675C7" w:rsidRPr="000F3DEE" w:rsidRDefault="00B675C7" w:rsidP="000F3DEE">
            <w:pPr>
              <w:jc w:val="right"/>
              <w:rPr>
                <w:rFonts w:eastAsia="Times New Roman"/>
                <w:color w:val="000000"/>
                <w:szCs w:val="22"/>
              </w:rPr>
            </w:pPr>
            <w:r w:rsidRPr="000F3DEE">
              <w:rPr>
                <w:color w:val="000000"/>
                <w:sz w:val="22"/>
                <w:szCs w:val="22"/>
              </w:rPr>
              <w:t>5.3</w:t>
            </w:r>
            <w:r w:rsidR="000F3DEE">
              <w:rPr>
                <w:color w:val="000000"/>
                <w:sz w:val="22"/>
                <w:szCs w:val="22"/>
              </w:rPr>
              <w:t xml:space="preserve">   </w:t>
            </w:r>
            <w:r w:rsidRPr="000F3DEE">
              <w:rPr>
                <w:color w:val="000000"/>
                <w:sz w:val="22"/>
                <w:szCs w:val="22"/>
              </w:rPr>
              <w:t>%</w:t>
            </w:r>
          </w:p>
        </w:tc>
        <w:tc>
          <w:tcPr>
            <w:tcW w:w="1205" w:type="dxa"/>
            <w:noWrap/>
            <w:vAlign w:val="bottom"/>
            <w:hideMark/>
          </w:tcPr>
          <w:p w14:paraId="7B838C94" w14:textId="06B4D220" w:rsidR="00B675C7" w:rsidRPr="000F3DEE" w:rsidRDefault="00B675C7" w:rsidP="000F3DEE">
            <w:pPr>
              <w:jc w:val="center"/>
              <w:rPr>
                <w:rFonts w:eastAsia="Times New Roman"/>
                <w:color w:val="000000"/>
                <w:szCs w:val="18"/>
              </w:rPr>
            </w:pPr>
            <w:r w:rsidRPr="000F3DEE">
              <w:rPr>
                <w:color w:val="000000"/>
                <w:sz w:val="22"/>
                <w:szCs w:val="22"/>
              </w:rPr>
              <w:t>311</w:t>
            </w:r>
          </w:p>
        </w:tc>
        <w:tc>
          <w:tcPr>
            <w:tcW w:w="1205" w:type="dxa"/>
            <w:noWrap/>
            <w:vAlign w:val="bottom"/>
            <w:hideMark/>
          </w:tcPr>
          <w:p w14:paraId="00B4F67E" w14:textId="5ACA6253" w:rsidR="00B675C7" w:rsidRPr="000F3DEE" w:rsidRDefault="00B675C7" w:rsidP="000F3DEE">
            <w:pPr>
              <w:jc w:val="right"/>
              <w:rPr>
                <w:rFonts w:eastAsia="Times New Roman"/>
                <w:color w:val="000000"/>
                <w:szCs w:val="22"/>
              </w:rPr>
            </w:pPr>
            <w:r w:rsidRPr="000F3DEE">
              <w:rPr>
                <w:color w:val="000000"/>
                <w:sz w:val="22"/>
                <w:szCs w:val="22"/>
              </w:rPr>
              <w:t>6.4</w:t>
            </w:r>
            <w:r w:rsidR="000F3DEE">
              <w:rPr>
                <w:color w:val="000000"/>
                <w:sz w:val="22"/>
                <w:szCs w:val="22"/>
              </w:rPr>
              <w:t xml:space="preserve">   </w:t>
            </w:r>
            <w:r w:rsidRPr="000F3DEE">
              <w:rPr>
                <w:color w:val="000000"/>
                <w:sz w:val="22"/>
                <w:szCs w:val="22"/>
              </w:rPr>
              <w:t>%</w:t>
            </w:r>
          </w:p>
        </w:tc>
      </w:tr>
      <w:tr w:rsidR="00B675C7" w:rsidRPr="0006648E" w14:paraId="609F8497" w14:textId="77777777" w:rsidTr="00150953">
        <w:trPr>
          <w:cantSplit/>
          <w:trHeight w:val="276"/>
          <w:jc w:val="center"/>
        </w:trPr>
        <w:tc>
          <w:tcPr>
            <w:tcW w:w="2870" w:type="dxa"/>
            <w:noWrap/>
            <w:hideMark/>
          </w:tcPr>
          <w:p w14:paraId="54DCCCE4" w14:textId="7171EC03" w:rsidR="00B675C7" w:rsidRPr="00D245B8" w:rsidRDefault="00B675C7" w:rsidP="00B675C7">
            <w:pPr>
              <w:rPr>
                <w:rFonts w:eastAsia="Times New Roman"/>
                <w:color w:val="000000"/>
                <w:szCs w:val="18"/>
              </w:rPr>
            </w:pPr>
            <w:r w:rsidRPr="00D245B8">
              <w:rPr>
                <w:sz w:val="22"/>
                <w:szCs w:val="18"/>
              </w:rPr>
              <w:t>Cutaneous Oncology Center</w:t>
            </w:r>
          </w:p>
        </w:tc>
        <w:tc>
          <w:tcPr>
            <w:tcW w:w="1205" w:type="dxa"/>
            <w:noWrap/>
            <w:vAlign w:val="bottom"/>
            <w:hideMark/>
          </w:tcPr>
          <w:p w14:paraId="35AD2E15" w14:textId="0DDA0A46" w:rsidR="00B675C7" w:rsidRPr="000F3DEE" w:rsidRDefault="00B675C7" w:rsidP="000F3DEE">
            <w:pPr>
              <w:jc w:val="center"/>
              <w:rPr>
                <w:rFonts w:eastAsia="Times New Roman"/>
                <w:color w:val="000000"/>
                <w:szCs w:val="18"/>
              </w:rPr>
            </w:pPr>
            <w:r w:rsidRPr="000F3DEE">
              <w:rPr>
                <w:color w:val="000000"/>
                <w:sz w:val="22"/>
                <w:szCs w:val="22"/>
              </w:rPr>
              <w:t>22</w:t>
            </w:r>
          </w:p>
        </w:tc>
        <w:tc>
          <w:tcPr>
            <w:tcW w:w="1205" w:type="dxa"/>
            <w:noWrap/>
            <w:vAlign w:val="bottom"/>
            <w:hideMark/>
          </w:tcPr>
          <w:p w14:paraId="4FCD9AA5" w14:textId="18BDF82B" w:rsidR="00B675C7" w:rsidRPr="000F3DEE" w:rsidRDefault="00B675C7" w:rsidP="000F3DEE">
            <w:pPr>
              <w:jc w:val="center"/>
              <w:rPr>
                <w:rFonts w:eastAsia="Times New Roman"/>
                <w:color w:val="000000"/>
                <w:szCs w:val="18"/>
              </w:rPr>
            </w:pPr>
            <w:r w:rsidRPr="000F3DEE">
              <w:rPr>
                <w:color w:val="000000"/>
                <w:sz w:val="22"/>
                <w:szCs w:val="22"/>
              </w:rPr>
              <w:t>0.5</w:t>
            </w:r>
          </w:p>
        </w:tc>
        <w:tc>
          <w:tcPr>
            <w:tcW w:w="1205" w:type="dxa"/>
            <w:noWrap/>
            <w:vAlign w:val="bottom"/>
            <w:hideMark/>
          </w:tcPr>
          <w:p w14:paraId="1DB27C91" w14:textId="025D1D90" w:rsidR="00B675C7" w:rsidRPr="000F3DEE" w:rsidRDefault="00B675C7" w:rsidP="000F3DEE">
            <w:pPr>
              <w:jc w:val="center"/>
              <w:rPr>
                <w:rFonts w:eastAsia="Times New Roman"/>
                <w:color w:val="000000"/>
                <w:szCs w:val="18"/>
              </w:rPr>
            </w:pPr>
            <w:r w:rsidRPr="000F3DEE">
              <w:rPr>
                <w:color w:val="000000"/>
                <w:sz w:val="22"/>
                <w:szCs w:val="22"/>
              </w:rPr>
              <w:t>24</w:t>
            </w:r>
          </w:p>
        </w:tc>
        <w:tc>
          <w:tcPr>
            <w:tcW w:w="1205" w:type="dxa"/>
            <w:noWrap/>
            <w:vAlign w:val="bottom"/>
            <w:hideMark/>
          </w:tcPr>
          <w:p w14:paraId="63618B3C" w14:textId="2626C487" w:rsidR="00B675C7" w:rsidRPr="000F3DEE" w:rsidRDefault="00B675C7" w:rsidP="000F3DEE">
            <w:pPr>
              <w:jc w:val="center"/>
              <w:rPr>
                <w:rFonts w:eastAsia="Times New Roman"/>
                <w:color w:val="000000"/>
                <w:szCs w:val="18"/>
              </w:rPr>
            </w:pPr>
            <w:r w:rsidRPr="000F3DEE">
              <w:rPr>
                <w:color w:val="000000"/>
                <w:sz w:val="22"/>
                <w:szCs w:val="22"/>
              </w:rPr>
              <w:t>0.5</w:t>
            </w:r>
          </w:p>
        </w:tc>
        <w:tc>
          <w:tcPr>
            <w:tcW w:w="1205" w:type="dxa"/>
            <w:noWrap/>
            <w:vAlign w:val="bottom"/>
            <w:hideMark/>
          </w:tcPr>
          <w:p w14:paraId="30275E5B" w14:textId="6945012B" w:rsidR="00B675C7" w:rsidRPr="000F3DEE" w:rsidRDefault="00B675C7" w:rsidP="000F3DEE">
            <w:pPr>
              <w:jc w:val="center"/>
              <w:rPr>
                <w:rFonts w:eastAsia="Times New Roman"/>
                <w:color w:val="000000"/>
                <w:szCs w:val="18"/>
              </w:rPr>
            </w:pPr>
            <w:r w:rsidRPr="000F3DEE">
              <w:rPr>
                <w:color w:val="000000"/>
                <w:sz w:val="22"/>
                <w:szCs w:val="22"/>
              </w:rPr>
              <w:t>24</w:t>
            </w:r>
          </w:p>
        </w:tc>
        <w:tc>
          <w:tcPr>
            <w:tcW w:w="1205" w:type="dxa"/>
            <w:noWrap/>
            <w:vAlign w:val="bottom"/>
            <w:hideMark/>
          </w:tcPr>
          <w:p w14:paraId="715B8F90" w14:textId="7EEB5373" w:rsidR="00B675C7" w:rsidRPr="000F3DEE" w:rsidRDefault="00B675C7" w:rsidP="000F3DEE">
            <w:pPr>
              <w:jc w:val="center"/>
              <w:rPr>
                <w:rFonts w:eastAsia="Times New Roman"/>
                <w:color w:val="000000"/>
                <w:szCs w:val="18"/>
              </w:rPr>
            </w:pPr>
            <w:r w:rsidRPr="000F3DEE">
              <w:rPr>
                <w:color w:val="000000"/>
                <w:sz w:val="22"/>
                <w:szCs w:val="22"/>
              </w:rPr>
              <w:t>0.5</w:t>
            </w:r>
          </w:p>
        </w:tc>
      </w:tr>
      <w:tr w:rsidR="00B675C7" w:rsidRPr="0006648E" w14:paraId="2F735C53" w14:textId="77777777" w:rsidTr="00150953">
        <w:trPr>
          <w:cantSplit/>
          <w:trHeight w:val="276"/>
          <w:jc w:val="center"/>
        </w:trPr>
        <w:tc>
          <w:tcPr>
            <w:tcW w:w="2870" w:type="dxa"/>
            <w:noWrap/>
            <w:hideMark/>
          </w:tcPr>
          <w:p w14:paraId="62AE89AB" w14:textId="1272F620" w:rsidR="00B675C7" w:rsidRPr="00D245B8" w:rsidRDefault="00B675C7" w:rsidP="00B675C7">
            <w:pPr>
              <w:rPr>
                <w:rFonts w:eastAsia="Times New Roman"/>
                <w:color w:val="000000"/>
                <w:szCs w:val="18"/>
              </w:rPr>
            </w:pPr>
            <w:r w:rsidRPr="00D245B8">
              <w:rPr>
                <w:sz w:val="22"/>
                <w:szCs w:val="18"/>
              </w:rPr>
              <w:t>Gastrointestinal Oncology</w:t>
            </w:r>
          </w:p>
        </w:tc>
        <w:tc>
          <w:tcPr>
            <w:tcW w:w="1205" w:type="dxa"/>
            <w:noWrap/>
            <w:vAlign w:val="bottom"/>
            <w:hideMark/>
          </w:tcPr>
          <w:p w14:paraId="5CE445C7" w14:textId="5BAE42EB" w:rsidR="00B675C7" w:rsidRPr="000F3DEE" w:rsidRDefault="00B675C7" w:rsidP="000F3DEE">
            <w:pPr>
              <w:jc w:val="center"/>
              <w:rPr>
                <w:rFonts w:eastAsia="Times New Roman"/>
                <w:color w:val="000000"/>
                <w:szCs w:val="18"/>
              </w:rPr>
            </w:pPr>
            <w:r w:rsidRPr="000F3DEE">
              <w:rPr>
                <w:color w:val="000000"/>
                <w:sz w:val="22"/>
                <w:szCs w:val="22"/>
              </w:rPr>
              <w:t>605</w:t>
            </w:r>
          </w:p>
        </w:tc>
        <w:tc>
          <w:tcPr>
            <w:tcW w:w="1205" w:type="dxa"/>
            <w:noWrap/>
            <w:vAlign w:val="bottom"/>
            <w:hideMark/>
          </w:tcPr>
          <w:p w14:paraId="3C55C945" w14:textId="4AE6426B" w:rsidR="00B675C7" w:rsidRPr="000F3DEE" w:rsidRDefault="00B675C7" w:rsidP="000F3DEE">
            <w:pPr>
              <w:jc w:val="center"/>
              <w:rPr>
                <w:rFonts w:eastAsia="Times New Roman"/>
                <w:color w:val="000000"/>
                <w:szCs w:val="18"/>
              </w:rPr>
            </w:pPr>
            <w:r w:rsidRPr="000F3DEE">
              <w:rPr>
                <w:color w:val="000000"/>
                <w:sz w:val="22"/>
                <w:szCs w:val="22"/>
              </w:rPr>
              <w:t>13.4</w:t>
            </w:r>
          </w:p>
        </w:tc>
        <w:tc>
          <w:tcPr>
            <w:tcW w:w="1205" w:type="dxa"/>
            <w:noWrap/>
            <w:vAlign w:val="bottom"/>
            <w:hideMark/>
          </w:tcPr>
          <w:p w14:paraId="42173E13" w14:textId="05A45E05" w:rsidR="00B675C7" w:rsidRPr="000F3DEE" w:rsidRDefault="00B675C7" w:rsidP="000F3DEE">
            <w:pPr>
              <w:jc w:val="center"/>
              <w:rPr>
                <w:rFonts w:eastAsia="Times New Roman"/>
                <w:color w:val="000000"/>
                <w:szCs w:val="18"/>
              </w:rPr>
            </w:pPr>
            <w:r w:rsidRPr="000F3DEE">
              <w:rPr>
                <w:color w:val="000000"/>
                <w:sz w:val="22"/>
                <w:szCs w:val="22"/>
              </w:rPr>
              <w:t>637</w:t>
            </w:r>
          </w:p>
        </w:tc>
        <w:tc>
          <w:tcPr>
            <w:tcW w:w="1205" w:type="dxa"/>
            <w:noWrap/>
            <w:vAlign w:val="bottom"/>
            <w:hideMark/>
          </w:tcPr>
          <w:p w14:paraId="10B528DC" w14:textId="384E407E" w:rsidR="00B675C7" w:rsidRPr="000F3DEE" w:rsidRDefault="00B675C7" w:rsidP="000F3DEE">
            <w:pPr>
              <w:jc w:val="center"/>
              <w:rPr>
                <w:rFonts w:eastAsia="Times New Roman"/>
                <w:color w:val="000000"/>
                <w:szCs w:val="18"/>
              </w:rPr>
            </w:pPr>
            <w:r w:rsidRPr="000F3DEE">
              <w:rPr>
                <w:color w:val="000000"/>
                <w:sz w:val="22"/>
                <w:szCs w:val="22"/>
              </w:rPr>
              <w:t>13.3</w:t>
            </w:r>
          </w:p>
        </w:tc>
        <w:tc>
          <w:tcPr>
            <w:tcW w:w="1205" w:type="dxa"/>
            <w:noWrap/>
            <w:vAlign w:val="bottom"/>
            <w:hideMark/>
          </w:tcPr>
          <w:p w14:paraId="10ED3E1E" w14:textId="43AF97BE" w:rsidR="00B675C7" w:rsidRPr="000F3DEE" w:rsidRDefault="00B675C7" w:rsidP="000F3DEE">
            <w:pPr>
              <w:jc w:val="center"/>
              <w:rPr>
                <w:rFonts w:eastAsia="Times New Roman"/>
                <w:color w:val="000000"/>
                <w:szCs w:val="18"/>
              </w:rPr>
            </w:pPr>
            <w:r w:rsidRPr="000F3DEE">
              <w:rPr>
                <w:color w:val="000000"/>
                <w:sz w:val="22"/>
                <w:szCs w:val="22"/>
              </w:rPr>
              <w:t>664</w:t>
            </w:r>
          </w:p>
        </w:tc>
        <w:tc>
          <w:tcPr>
            <w:tcW w:w="1205" w:type="dxa"/>
            <w:noWrap/>
            <w:vAlign w:val="bottom"/>
            <w:hideMark/>
          </w:tcPr>
          <w:p w14:paraId="7874AF3B" w14:textId="24ED5E30" w:rsidR="00B675C7" w:rsidRPr="000F3DEE" w:rsidRDefault="00B675C7" w:rsidP="000F3DEE">
            <w:pPr>
              <w:jc w:val="center"/>
              <w:rPr>
                <w:rFonts w:eastAsia="Times New Roman"/>
                <w:color w:val="000000"/>
                <w:szCs w:val="18"/>
              </w:rPr>
            </w:pPr>
            <w:r w:rsidRPr="000F3DEE">
              <w:rPr>
                <w:color w:val="000000"/>
                <w:sz w:val="22"/>
                <w:szCs w:val="22"/>
              </w:rPr>
              <w:t>13.6</w:t>
            </w:r>
          </w:p>
        </w:tc>
      </w:tr>
      <w:tr w:rsidR="00B675C7" w:rsidRPr="0006648E" w14:paraId="42D7B8A3" w14:textId="77777777" w:rsidTr="00150953">
        <w:trPr>
          <w:cantSplit/>
          <w:trHeight w:val="276"/>
          <w:jc w:val="center"/>
        </w:trPr>
        <w:tc>
          <w:tcPr>
            <w:tcW w:w="2870" w:type="dxa"/>
            <w:noWrap/>
            <w:hideMark/>
          </w:tcPr>
          <w:p w14:paraId="77A9B996" w14:textId="77A57B3F" w:rsidR="00B675C7" w:rsidRPr="00D245B8" w:rsidRDefault="00B675C7" w:rsidP="00B675C7">
            <w:pPr>
              <w:rPr>
                <w:rFonts w:eastAsia="Times New Roman"/>
                <w:color w:val="000000"/>
                <w:szCs w:val="18"/>
              </w:rPr>
            </w:pPr>
            <w:r w:rsidRPr="00D245B8">
              <w:rPr>
                <w:sz w:val="22"/>
                <w:szCs w:val="18"/>
              </w:rPr>
              <w:t>Genitourinary Oncology</w:t>
            </w:r>
          </w:p>
        </w:tc>
        <w:tc>
          <w:tcPr>
            <w:tcW w:w="1205" w:type="dxa"/>
            <w:noWrap/>
            <w:vAlign w:val="bottom"/>
            <w:hideMark/>
          </w:tcPr>
          <w:p w14:paraId="45419CBD" w14:textId="0084CF69" w:rsidR="00B675C7" w:rsidRPr="000F3DEE" w:rsidRDefault="00B675C7" w:rsidP="000F3DEE">
            <w:pPr>
              <w:jc w:val="center"/>
              <w:rPr>
                <w:rFonts w:eastAsia="Times New Roman"/>
                <w:color w:val="000000"/>
                <w:szCs w:val="18"/>
              </w:rPr>
            </w:pPr>
            <w:r w:rsidRPr="000F3DEE">
              <w:rPr>
                <w:color w:val="000000"/>
                <w:sz w:val="22"/>
                <w:szCs w:val="22"/>
              </w:rPr>
              <w:t>249</w:t>
            </w:r>
          </w:p>
        </w:tc>
        <w:tc>
          <w:tcPr>
            <w:tcW w:w="1205" w:type="dxa"/>
            <w:noWrap/>
            <w:vAlign w:val="bottom"/>
            <w:hideMark/>
          </w:tcPr>
          <w:p w14:paraId="0126D236" w14:textId="7E8ED091" w:rsidR="00B675C7" w:rsidRPr="000F3DEE" w:rsidRDefault="00B675C7" w:rsidP="000F3DEE">
            <w:pPr>
              <w:jc w:val="center"/>
              <w:rPr>
                <w:rFonts w:eastAsia="Times New Roman"/>
                <w:color w:val="000000"/>
                <w:szCs w:val="18"/>
              </w:rPr>
            </w:pPr>
            <w:r w:rsidRPr="000F3DEE">
              <w:rPr>
                <w:color w:val="000000"/>
                <w:sz w:val="22"/>
                <w:szCs w:val="22"/>
              </w:rPr>
              <w:t>5.5</w:t>
            </w:r>
          </w:p>
        </w:tc>
        <w:tc>
          <w:tcPr>
            <w:tcW w:w="1205" w:type="dxa"/>
            <w:noWrap/>
            <w:vAlign w:val="bottom"/>
            <w:hideMark/>
          </w:tcPr>
          <w:p w14:paraId="495B0309" w14:textId="43EAE638" w:rsidR="00B675C7" w:rsidRPr="000F3DEE" w:rsidRDefault="00B675C7" w:rsidP="000F3DEE">
            <w:pPr>
              <w:jc w:val="center"/>
              <w:rPr>
                <w:rFonts w:eastAsia="Times New Roman"/>
                <w:color w:val="000000"/>
                <w:szCs w:val="18"/>
              </w:rPr>
            </w:pPr>
            <w:r w:rsidRPr="000F3DEE">
              <w:rPr>
                <w:color w:val="000000"/>
                <w:sz w:val="22"/>
                <w:szCs w:val="22"/>
              </w:rPr>
              <w:t>303</w:t>
            </w:r>
          </w:p>
        </w:tc>
        <w:tc>
          <w:tcPr>
            <w:tcW w:w="1205" w:type="dxa"/>
            <w:noWrap/>
            <w:vAlign w:val="bottom"/>
            <w:hideMark/>
          </w:tcPr>
          <w:p w14:paraId="43904A8F" w14:textId="2D0CE642" w:rsidR="00B675C7" w:rsidRPr="000F3DEE" w:rsidRDefault="00B675C7" w:rsidP="000F3DEE">
            <w:pPr>
              <w:jc w:val="center"/>
              <w:rPr>
                <w:rFonts w:eastAsia="Times New Roman"/>
                <w:color w:val="000000"/>
                <w:szCs w:val="18"/>
              </w:rPr>
            </w:pPr>
            <w:r w:rsidRPr="000F3DEE">
              <w:rPr>
                <w:color w:val="000000"/>
                <w:sz w:val="22"/>
                <w:szCs w:val="22"/>
              </w:rPr>
              <w:t>6.3</w:t>
            </w:r>
          </w:p>
        </w:tc>
        <w:tc>
          <w:tcPr>
            <w:tcW w:w="1205" w:type="dxa"/>
            <w:noWrap/>
            <w:vAlign w:val="bottom"/>
            <w:hideMark/>
          </w:tcPr>
          <w:p w14:paraId="11893089" w14:textId="7B23D86E" w:rsidR="00B675C7" w:rsidRPr="000F3DEE" w:rsidRDefault="00B675C7" w:rsidP="000F3DEE">
            <w:pPr>
              <w:jc w:val="center"/>
              <w:rPr>
                <w:rFonts w:eastAsia="Times New Roman"/>
                <w:color w:val="000000"/>
                <w:szCs w:val="18"/>
              </w:rPr>
            </w:pPr>
            <w:r w:rsidRPr="000F3DEE">
              <w:rPr>
                <w:color w:val="000000"/>
                <w:sz w:val="22"/>
                <w:szCs w:val="22"/>
              </w:rPr>
              <w:t>311</w:t>
            </w:r>
          </w:p>
        </w:tc>
        <w:tc>
          <w:tcPr>
            <w:tcW w:w="1205" w:type="dxa"/>
            <w:noWrap/>
            <w:vAlign w:val="bottom"/>
            <w:hideMark/>
          </w:tcPr>
          <w:p w14:paraId="5717B06A" w14:textId="41431135" w:rsidR="00B675C7" w:rsidRPr="000F3DEE" w:rsidRDefault="00B675C7" w:rsidP="000F3DEE">
            <w:pPr>
              <w:jc w:val="center"/>
              <w:rPr>
                <w:rFonts w:eastAsia="Times New Roman"/>
                <w:color w:val="000000"/>
                <w:szCs w:val="18"/>
              </w:rPr>
            </w:pPr>
            <w:r w:rsidRPr="000F3DEE">
              <w:rPr>
                <w:color w:val="000000"/>
                <w:sz w:val="22"/>
                <w:szCs w:val="22"/>
              </w:rPr>
              <w:t>6.4</w:t>
            </w:r>
          </w:p>
        </w:tc>
      </w:tr>
      <w:tr w:rsidR="00B675C7" w:rsidRPr="0006648E" w14:paraId="41D9C772" w14:textId="77777777" w:rsidTr="00150953">
        <w:trPr>
          <w:cantSplit/>
          <w:trHeight w:val="276"/>
          <w:jc w:val="center"/>
        </w:trPr>
        <w:tc>
          <w:tcPr>
            <w:tcW w:w="2870" w:type="dxa"/>
            <w:noWrap/>
            <w:hideMark/>
          </w:tcPr>
          <w:p w14:paraId="68D30ECB" w14:textId="09835B11" w:rsidR="00B675C7" w:rsidRPr="00D245B8" w:rsidRDefault="00B675C7" w:rsidP="00B675C7">
            <w:pPr>
              <w:rPr>
                <w:rFonts w:eastAsia="Times New Roman"/>
                <w:color w:val="000000"/>
                <w:szCs w:val="18"/>
              </w:rPr>
            </w:pPr>
            <w:r w:rsidRPr="00D245B8">
              <w:rPr>
                <w:sz w:val="22"/>
                <w:szCs w:val="18"/>
              </w:rPr>
              <w:t>Gynecology Oncology</w:t>
            </w:r>
          </w:p>
        </w:tc>
        <w:tc>
          <w:tcPr>
            <w:tcW w:w="1205" w:type="dxa"/>
            <w:noWrap/>
            <w:vAlign w:val="bottom"/>
            <w:hideMark/>
          </w:tcPr>
          <w:p w14:paraId="03EB69D3" w14:textId="3506A22C" w:rsidR="00B675C7" w:rsidRPr="000F3DEE" w:rsidRDefault="00B675C7" w:rsidP="000F3DEE">
            <w:pPr>
              <w:jc w:val="center"/>
              <w:rPr>
                <w:rFonts w:eastAsia="Times New Roman"/>
                <w:color w:val="000000"/>
                <w:szCs w:val="18"/>
              </w:rPr>
            </w:pPr>
            <w:r w:rsidRPr="000F3DEE">
              <w:rPr>
                <w:color w:val="000000"/>
                <w:sz w:val="22"/>
                <w:szCs w:val="22"/>
              </w:rPr>
              <w:t>217</w:t>
            </w:r>
          </w:p>
        </w:tc>
        <w:tc>
          <w:tcPr>
            <w:tcW w:w="1205" w:type="dxa"/>
            <w:noWrap/>
            <w:vAlign w:val="bottom"/>
            <w:hideMark/>
          </w:tcPr>
          <w:p w14:paraId="79478297" w14:textId="47E458BD" w:rsidR="00B675C7" w:rsidRPr="000F3DEE" w:rsidRDefault="00B675C7" w:rsidP="000F3DEE">
            <w:pPr>
              <w:jc w:val="center"/>
              <w:rPr>
                <w:rFonts w:eastAsia="Times New Roman"/>
                <w:color w:val="000000"/>
                <w:szCs w:val="18"/>
              </w:rPr>
            </w:pPr>
            <w:r w:rsidRPr="000F3DEE">
              <w:rPr>
                <w:color w:val="000000"/>
                <w:sz w:val="22"/>
                <w:szCs w:val="22"/>
              </w:rPr>
              <w:t>4.8</w:t>
            </w:r>
          </w:p>
        </w:tc>
        <w:tc>
          <w:tcPr>
            <w:tcW w:w="1205" w:type="dxa"/>
            <w:noWrap/>
            <w:vAlign w:val="bottom"/>
            <w:hideMark/>
          </w:tcPr>
          <w:p w14:paraId="4769CAE0" w14:textId="3FAACB75" w:rsidR="00B675C7" w:rsidRPr="000F3DEE" w:rsidRDefault="00B675C7" w:rsidP="000F3DEE">
            <w:pPr>
              <w:jc w:val="center"/>
              <w:rPr>
                <w:rFonts w:eastAsia="Times New Roman"/>
                <w:color w:val="000000"/>
                <w:szCs w:val="18"/>
              </w:rPr>
            </w:pPr>
            <w:r w:rsidRPr="000F3DEE">
              <w:rPr>
                <w:color w:val="000000"/>
                <w:sz w:val="22"/>
                <w:szCs w:val="22"/>
              </w:rPr>
              <w:t>239</w:t>
            </w:r>
          </w:p>
        </w:tc>
        <w:tc>
          <w:tcPr>
            <w:tcW w:w="1205" w:type="dxa"/>
            <w:noWrap/>
            <w:vAlign w:val="bottom"/>
            <w:hideMark/>
          </w:tcPr>
          <w:p w14:paraId="4098BC21" w14:textId="62EA4C90" w:rsidR="00B675C7" w:rsidRPr="000F3DEE" w:rsidRDefault="00B675C7" w:rsidP="000F3DEE">
            <w:pPr>
              <w:jc w:val="center"/>
              <w:rPr>
                <w:rFonts w:eastAsia="Times New Roman"/>
                <w:color w:val="000000"/>
                <w:szCs w:val="18"/>
              </w:rPr>
            </w:pPr>
            <w:r w:rsidRPr="000F3DEE">
              <w:rPr>
                <w:color w:val="000000"/>
                <w:sz w:val="22"/>
                <w:szCs w:val="22"/>
              </w:rPr>
              <w:t>5.0</w:t>
            </w:r>
          </w:p>
        </w:tc>
        <w:tc>
          <w:tcPr>
            <w:tcW w:w="1205" w:type="dxa"/>
            <w:noWrap/>
            <w:vAlign w:val="bottom"/>
            <w:hideMark/>
          </w:tcPr>
          <w:p w14:paraId="3E762624" w14:textId="30335705" w:rsidR="00B675C7" w:rsidRPr="000F3DEE" w:rsidRDefault="00B675C7" w:rsidP="000F3DEE">
            <w:pPr>
              <w:jc w:val="center"/>
              <w:rPr>
                <w:rFonts w:eastAsia="Times New Roman"/>
                <w:color w:val="000000"/>
                <w:szCs w:val="18"/>
              </w:rPr>
            </w:pPr>
            <w:r w:rsidRPr="000F3DEE">
              <w:rPr>
                <w:color w:val="000000"/>
                <w:sz w:val="22"/>
                <w:szCs w:val="22"/>
              </w:rPr>
              <w:t>279</w:t>
            </w:r>
          </w:p>
        </w:tc>
        <w:tc>
          <w:tcPr>
            <w:tcW w:w="1205" w:type="dxa"/>
            <w:noWrap/>
            <w:vAlign w:val="bottom"/>
            <w:hideMark/>
          </w:tcPr>
          <w:p w14:paraId="55A1F8FC" w14:textId="44F7F9D1" w:rsidR="00B675C7" w:rsidRPr="000F3DEE" w:rsidRDefault="00B675C7" w:rsidP="000F3DEE">
            <w:pPr>
              <w:jc w:val="center"/>
              <w:rPr>
                <w:rFonts w:eastAsia="Times New Roman"/>
                <w:color w:val="000000"/>
                <w:szCs w:val="18"/>
              </w:rPr>
            </w:pPr>
            <w:r w:rsidRPr="000F3DEE">
              <w:rPr>
                <w:color w:val="000000"/>
                <w:sz w:val="22"/>
                <w:szCs w:val="22"/>
              </w:rPr>
              <w:t>5.7</w:t>
            </w:r>
          </w:p>
        </w:tc>
      </w:tr>
      <w:tr w:rsidR="00B675C7" w:rsidRPr="0006648E" w14:paraId="04E0B50B" w14:textId="77777777" w:rsidTr="00150953">
        <w:trPr>
          <w:cantSplit/>
          <w:trHeight w:val="276"/>
          <w:jc w:val="center"/>
        </w:trPr>
        <w:tc>
          <w:tcPr>
            <w:tcW w:w="2870" w:type="dxa"/>
            <w:noWrap/>
            <w:hideMark/>
          </w:tcPr>
          <w:p w14:paraId="5AC52978" w14:textId="689479AC" w:rsidR="00B675C7" w:rsidRPr="00D245B8" w:rsidRDefault="00B675C7" w:rsidP="00B675C7">
            <w:pPr>
              <w:rPr>
                <w:rFonts w:eastAsia="Times New Roman"/>
                <w:color w:val="000000"/>
                <w:szCs w:val="18"/>
              </w:rPr>
            </w:pPr>
            <w:r w:rsidRPr="00D245B8">
              <w:rPr>
                <w:sz w:val="22"/>
                <w:szCs w:val="18"/>
              </w:rPr>
              <w:t>Head and Neck Oncology</w:t>
            </w:r>
          </w:p>
        </w:tc>
        <w:tc>
          <w:tcPr>
            <w:tcW w:w="1205" w:type="dxa"/>
            <w:noWrap/>
            <w:vAlign w:val="bottom"/>
            <w:hideMark/>
          </w:tcPr>
          <w:p w14:paraId="58D4BE41" w14:textId="028E54B6" w:rsidR="00B675C7" w:rsidRPr="000F3DEE" w:rsidRDefault="00B675C7" w:rsidP="000F3DEE">
            <w:pPr>
              <w:jc w:val="center"/>
              <w:rPr>
                <w:rFonts w:eastAsia="Times New Roman"/>
                <w:color w:val="000000"/>
                <w:szCs w:val="18"/>
              </w:rPr>
            </w:pPr>
            <w:r w:rsidRPr="000F3DEE">
              <w:rPr>
                <w:color w:val="000000"/>
                <w:sz w:val="22"/>
                <w:szCs w:val="22"/>
              </w:rPr>
              <w:t>106</w:t>
            </w:r>
          </w:p>
        </w:tc>
        <w:tc>
          <w:tcPr>
            <w:tcW w:w="1205" w:type="dxa"/>
            <w:noWrap/>
            <w:vAlign w:val="bottom"/>
            <w:hideMark/>
          </w:tcPr>
          <w:p w14:paraId="74939F66" w14:textId="1E2D337D" w:rsidR="00B675C7" w:rsidRPr="000F3DEE" w:rsidRDefault="00B675C7" w:rsidP="000F3DEE">
            <w:pPr>
              <w:jc w:val="center"/>
              <w:rPr>
                <w:rFonts w:eastAsia="Times New Roman"/>
                <w:color w:val="000000"/>
                <w:szCs w:val="18"/>
              </w:rPr>
            </w:pPr>
            <w:r w:rsidRPr="000F3DEE">
              <w:rPr>
                <w:color w:val="000000"/>
                <w:sz w:val="22"/>
                <w:szCs w:val="22"/>
              </w:rPr>
              <w:t>2.4</w:t>
            </w:r>
          </w:p>
        </w:tc>
        <w:tc>
          <w:tcPr>
            <w:tcW w:w="1205" w:type="dxa"/>
            <w:noWrap/>
            <w:vAlign w:val="bottom"/>
            <w:hideMark/>
          </w:tcPr>
          <w:p w14:paraId="5E56F973" w14:textId="0829E3CC" w:rsidR="00B675C7" w:rsidRPr="000F3DEE" w:rsidRDefault="00B675C7" w:rsidP="000F3DEE">
            <w:pPr>
              <w:jc w:val="center"/>
              <w:rPr>
                <w:rFonts w:eastAsia="Times New Roman"/>
                <w:color w:val="000000"/>
                <w:szCs w:val="18"/>
              </w:rPr>
            </w:pPr>
            <w:r w:rsidRPr="000F3DEE">
              <w:rPr>
                <w:color w:val="000000"/>
                <w:sz w:val="22"/>
                <w:szCs w:val="22"/>
              </w:rPr>
              <w:t>133</w:t>
            </w:r>
          </w:p>
        </w:tc>
        <w:tc>
          <w:tcPr>
            <w:tcW w:w="1205" w:type="dxa"/>
            <w:noWrap/>
            <w:vAlign w:val="bottom"/>
            <w:hideMark/>
          </w:tcPr>
          <w:p w14:paraId="49AC921C" w14:textId="5188214E" w:rsidR="00B675C7" w:rsidRPr="000F3DEE" w:rsidRDefault="00B675C7" w:rsidP="000F3DEE">
            <w:pPr>
              <w:jc w:val="center"/>
              <w:rPr>
                <w:rFonts w:eastAsia="Times New Roman"/>
                <w:color w:val="000000"/>
                <w:szCs w:val="18"/>
              </w:rPr>
            </w:pPr>
            <w:r w:rsidRPr="000F3DEE">
              <w:rPr>
                <w:color w:val="000000"/>
                <w:sz w:val="22"/>
                <w:szCs w:val="22"/>
              </w:rPr>
              <w:t>2.8</w:t>
            </w:r>
          </w:p>
        </w:tc>
        <w:tc>
          <w:tcPr>
            <w:tcW w:w="1205" w:type="dxa"/>
            <w:noWrap/>
            <w:vAlign w:val="bottom"/>
            <w:hideMark/>
          </w:tcPr>
          <w:p w14:paraId="7C6E1422" w14:textId="4032BFC4" w:rsidR="00B675C7" w:rsidRPr="000F3DEE" w:rsidRDefault="00B675C7" w:rsidP="000F3DEE">
            <w:pPr>
              <w:jc w:val="center"/>
              <w:rPr>
                <w:rFonts w:eastAsia="Times New Roman"/>
                <w:color w:val="000000"/>
                <w:szCs w:val="18"/>
              </w:rPr>
            </w:pPr>
            <w:r w:rsidRPr="000F3DEE">
              <w:rPr>
                <w:color w:val="000000"/>
                <w:sz w:val="22"/>
                <w:szCs w:val="22"/>
              </w:rPr>
              <w:t>152</w:t>
            </w:r>
          </w:p>
        </w:tc>
        <w:tc>
          <w:tcPr>
            <w:tcW w:w="1205" w:type="dxa"/>
            <w:noWrap/>
            <w:vAlign w:val="bottom"/>
            <w:hideMark/>
          </w:tcPr>
          <w:p w14:paraId="260765FF" w14:textId="78379F6A" w:rsidR="00B675C7" w:rsidRPr="000F3DEE" w:rsidRDefault="00B675C7" w:rsidP="000F3DEE">
            <w:pPr>
              <w:jc w:val="center"/>
              <w:rPr>
                <w:rFonts w:eastAsia="Times New Roman"/>
                <w:color w:val="000000"/>
                <w:szCs w:val="18"/>
              </w:rPr>
            </w:pPr>
            <w:r w:rsidRPr="000F3DEE">
              <w:rPr>
                <w:color w:val="000000"/>
                <w:sz w:val="22"/>
                <w:szCs w:val="22"/>
              </w:rPr>
              <w:t>3.1</w:t>
            </w:r>
          </w:p>
        </w:tc>
      </w:tr>
      <w:tr w:rsidR="00B675C7" w:rsidRPr="0006648E" w14:paraId="5FD33F95" w14:textId="77777777" w:rsidTr="00150953">
        <w:trPr>
          <w:cantSplit/>
          <w:trHeight w:val="276"/>
          <w:jc w:val="center"/>
        </w:trPr>
        <w:tc>
          <w:tcPr>
            <w:tcW w:w="2870" w:type="dxa"/>
            <w:noWrap/>
            <w:hideMark/>
          </w:tcPr>
          <w:p w14:paraId="3B8E0C76" w14:textId="1FE591BB" w:rsidR="00B675C7" w:rsidRPr="00D245B8" w:rsidRDefault="00B675C7" w:rsidP="00B675C7">
            <w:pPr>
              <w:rPr>
                <w:rFonts w:eastAsia="Times New Roman"/>
                <w:color w:val="000000"/>
                <w:szCs w:val="18"/>
              </w:rPr>
            </w:pPr>
            <w:r w:rsidRPr="00D245B8">
              <w:rPr>
                <w:sz w:val="22"/>
                <w:szCs w:val="18"/>
              </w:rPr>
              <w:t>Hematologic Malignancies</w:t>
            </w:r>
            <w:r>
              <w:rPr>
                <w:rStyle w:val="FootnoteReference"/>
                <w:sz w:val="22"/>
                <w:szCs w:val="18"/>
              </w:rPr>
              <w:footnoteReference w:id="40"/>
            </w:r>
          </w:p>
        </w:tc>
        <w:tc>
          <w:tcPr>
            <w:tcW w:w="1205" w:type="dxa"/>
            <w:noWrap/>
            <w:vAlign w:val="bottom"/>
            <w:hideMark/>
          </w:tcPr>
          <w:p w14:paraId="5380DDD0" w14:textId="70C68599" w:rsidR="00B675C7" w:rsidRPr="000F3DEE" w:rsidRDefault="00B675C7" w:rsidP="000F3DEE">
            <w:pPr>
              <w:jc w:val="center"/>
              <w:rPr>
                <w:rFonts w:eastAsia="Times New Roman"/>
                <w:color w:val="000000"/>
                <w:szCs w:val="18"/>
              </w:rPr>
            </w:pPr>
            <w:r w:rsidRPr="000F3DEE">
              <w:rPr>
                <w:color w:val="000000"/>
                <w:sz w:val="22"/>
                <w:szCs w:val="22"/>
              </w:rPr>
              <w:t>1,244</w:t>
            </w:r>
          </w:p>
        </w:tc>
        <w:tc>
          <w:tcPr>
            <w:tcW w:w="1205" w:type="dxa"/>
            <w:noWrap/>
            <w:vAlign w:val="bottom"/>
            <w:hideMark/>
          </w:tcPr>
          <w:p w14:paraId="11CA5154" w14:textId="471CFA4E" w:rsidR="00B675C7" w:rsidRPr="000F3DEE" w:rsidRDefault="00B675C7" w:rsidP="000F3DEE">
            <w:pPr>
              <w:jc w:val="center"/>
              <w:rPr>
                <w:rFonts w:eastAsia="Times New Roman"/>
                <w:color w:val="000000"/>
                <w:szCs w:val="18"/>
              </w:rPr>
            </w:pPr>
            <w:r w:rsidRPr="000F3DEE">
              <w:rPr>
                <w:color w:val="000000"/>
                <w:sz w:val="22"/>
                <w:szCs w:val="22"/>
              </w:rPr>
              <w:t>27.6</w:t>
            </w:r>
          </w:p>
        </w:tc>
        <w:tc>
          <w:tcPr>
            <w:tcW w:w="1205" w:type="dxa"/>
            <w:noWrap/>
            <w:vAlign w:val="bottom"/>
            <w:hideMark/>
          </w:tcPr>
          <w:p w14:paraId="199EB20C" w14:textId="73CFD8DA" w:rsidR="00B675C7" w:rsidRPr="000F3DEE" w:rsidRDefault="00B675C7" w:rsidP="000F3DEE">
            <w:pPr>
              <w:jc w:val="center"/>
              <w:rPr>
                <w:rFonts w:eastAsia="Times New Roman"/>
                <w:color w:val="000000"/>
                <w:szCs w:val="18"/>
              </w:rPr>
            </w:pPr>
            <w:r w:rsidRPr="000F3DEE">
              <w:rPr>
                <w:color w:val="000000"/>
                <w:sz w:val="22"/>
                <w:szCs w:val="22"/>
              </w:rPr>
              <w:t>1,257</w:t>
            </w:r>
          </w:p>
        </w:tc>
        <w:tc>
          <w:tcPr>
            <w:tcW w:w="1205" w:type="dxa"/>
            <w:noWrap/>
            <w:vAlign w:val="bottom"/>
            <w:hideMark/>
          </w:tcPr>
          <w:p w14:paraId="7821487A" w14:textId="6E7283E0" w:rsidR="00B675C7" w:rsidRPr="000F3DEE" w:rsidRDefault="00B675C7" w:rsidP="000F3DEE">
            <w:pPr>
              <w:jc w:val="center"/>
              <w:rPr>
                <w:rFonts w:eastAsia="Times New Roman"/>
                <w:color w:val="000000"/>
                <w:szCs w:val="18"/>
              </w:rPr>
            </w:pPr>
            <w:r w:rsidRPr="000F3DEE">
              <w:rPr>
                <w:color w:val="000000"/>
                <w:sz w:val="22"/>
                <w:szCs w:val="22"/>
              </w:rPr>
              <w:t>26.3</w:t>
            </w:r>
          </w:p>
        </w:tc>
        <w:tc>
          <w:tcPr>
            <w:tcW w:w="1205" w:type="dxa"/>
            <w:noWrap/>
            <w:vAlign w:val="bottom"/>
            <w:hideMark/>
          </w:tcPr>
          <w:p w14:paraId="2FE67385" w14:textId="0DC0EC88" w:rsidR="00B675C7" w:rsidRPr="000F3DEE" w:rsidRDefault="00B675C7" w:rsidP="000F3DEE">
            <w:pPr>
              <w:jc w:val="center"/>
              <w:rPr>
                <w:rFonts w:eastAsia="Times New Roman"/>
                <w:color w:val="000000"/>
                <w:szCs w:val="18"/>
              </w:rPr>
            </w:pPr>
            <w:r w:rsidRPr="000F3DEE">
              <w:rPr>
                <w:color w:val="000000"/>
                <w:sz w:val="22"/>
                <w:szCs w:val="22"/>
              </w:rPr>
              <w:t>1,345</w:t>
            </w:r>
          </w:p>
        </w:tc>
        <w:tc>
          <w:tcPr>
            <w:tcW w:w="1205" w:type="dxa"/>
            <w:noWrap/>
            <w:vAlign w:val="bottom"/>
            <w:hideMark/>
          </w:tcPr>
          <w:p w14:paraId="36EA9141" w14:textId="08EB9335" w:rsidR="00B675C7" w:rsidRPr="000F3DEE" w:rsidRDefault="00B675C7" w:rsidP="000F3DEE">
            <w:pPr>
              <w:jc w:val="center"/>
              <w:rPr>
                <w:rFonts w:eastAsia="Times New Roman"/>
                <w:color w:val="000000"/>
                <w:szCs w:val="18"/>
              </w:rPr>
            </w:pPr>
            <w:r w:rsidRPr="000F3DEE">
              <w:rPr>
                <w:color w:val="000000"/>
                <w:sz w:val="22"/>
                <w:szCs w:val="22"/>
              </w:rPr>
              <w:t>27.5</w:t>
            </w:r>
          </w:p>
        </w:tc>
      </w:tr>
      <w:tr w:rsidR="00B675C7" w:rsidRPr="0006648E" w14:paraId="10422D72" w14:textId="77777777" w:rsidTr="00150953">
        <w:trPr>
          <w:cantSplit/>
          <w:trHeight w:val="276"/>
          <w:jc w:val="center"/>
        </w:trPr>
        <w:tc>
          <w:tcPr>
            <w:tcW w:w="2870" w:type="dxa"/>
            <w:noWrap/>
            <w:hideMark/>
          </w:tcPr>
          <w:p w14:paraId="6BC5EBDB" w14:textId="4C9A885A" w:rsidR="00B675C7" w:rsidRPr="00D245B8" w:rsidRDefault="00B675C7" w:rsidP="00B675C7">
            <w:pPr>
              <w:rPr>
                <w:rFonts w:eastAsia="Times New Roman"/>
                <w:color w:val="000000"/>
                <w:szCs w:val="18"/>
              </w:rPr>
            </w:pPr>
            <w:r w:rsidRPr="00D245B8">
              <w:rPr>
                <w:sz w:val="22"/>
                <w:szCs w:val="18"/>
              </w:rPr>
              <w:lastRenderedPageBreak/>
              <w:t>Melanoma Center</w:t>
            </w:r>
          </w:p>
        </w:tc>
        <w:tc>
          <w:tcPr>
            <w:tcW w:w="1205" w:type="dxa"/>
            <w:noWrap/>
            <w:vAlign w:val="bottom"/>
            <w:hideMark/>
          </w:tcPr>
          <w:p w14:paraId="22F62A3F" w14:textId="15915C21" w:rsidR="00B675C7" w:rsidRPr="000F3DEE" w:rsidRDefault="00B675C7" w:rsidP="000F3DEE">
            <w:pPr>
              <w:jc w:val="center"/>
              <w:rPr>
                <w:rFonts w:eastAsia="Times New Roman"/>
                <w:color w:val="000000"/>
                <w:szCs w:val="18"/>
              </w:rPr>
            </w:pPr>
            <w:r w:rsidRPr="000F3DEE">
              <w:rPr>
                <w:color w:val="000000"/>
                <w:sz w:val="22"/>
                <w:szCs w:val="22"/>
              </w:rPr>
              <w:t>75</w:t>
            </w:r>
          </w:p>
        </w:tc>
        <w:tc>
          <w:tcPr>
            <w:tcW w:w="1205" w:type="dxa"/>
            <w:noWrap/>
            <w:vAlign w:val="bottom"/>
            <w:hideMark/>
          </w:tcPr>
          <w:p w14:paraId="58BF714D" w14:textId="5AB19AA7" w:rsidR="00B675C7" w:rsidRPr="000F3DEE" w:rsidRDefault="00B675C7" w:rsidP="000F3DEE">
            <w:pPr>
              <w:jc w:val="center"/>
              <w:rPr>
                <w:rFonts w:eastAsia="Times New Roman"/>
                <w:color w:val="000000"/>
                <w:szCs w:val="18"/>
              </w:rPr>
            </w:pPr>
            <w:r w:rsidRPr="000F3DEE">
              <w:rPr>
                <w:color w:val="000000"/>
                <w:sz w:val="22"/>
                <w:szCs w:val="22"/>
              </w:rPr>
              <w:t>1.7</w:t>
            </w:r>
          </w:p>
        </w:tc>
        <w:tc>
          <w:tcPr>
            <w:tcW w:w="1205" w:type="dxa"/>
            <w:noWrap/>
            <w:vAlign w:val="bottom"/>
            <w:hideMark/>
          </w:tcPr>
          <w:p w14:paraId="436A7C93" w14:textId="3183AAB0" w:rsidR="00B675C7" w:rsidRPr="000F3DEE" w:rsidRDefault="00B675C7" w:rsidP="000F3DEE">
            <w:pPr>
              <w:jc w:val="center"/>
              <w:rPr>
                <w:rFonts w:eastAsia="Times New Roman"/>
                <w:color w:val="000000"/>
                <w:szCs w:val="18"/>
              </w:rPr>
            </w:pPr>
            <w:r w:rsidRPr="000F3DEE">
              <w:rPr>
                <w:color w:val="000000"/>
                <w:sz w:val="22"/>
                <w:szCs w:val="22"/>
              </w:rPr>
              <w:t>85</w:t>
            </w:r>
          </w:p>
        </w:tc>
        <w:tc>
          <w:tcPr>
            <w:tcW w:w="1205" w:type="dxa"/>
            <w:noWrap/>
            <w:vAlign w:val="bottom"/>
            <w:hideMark/>
          </w:tcPr>
          <w:p w14:paraId="6739F8EE" w14:textId="6305B52A" w:rsidR="00B675C7" w:rsidRPr="000F3DEE" w:rsidRDefault="00B675C7" w:rsidP="000F3DEE">
            <w:pPr>
              <w:jc w:val="center"/>
              <w:rPr>
                <w:rFonts w:eastAsia="Times New Roman"/>
                <w:color w:val="000000"/>
                <w:szCs w:val="18"/>
              </w:rPr>
            </w:pPr>
            <w:r w:rsidRPr="000F3DEE">
              <w:rPr>
                <w:color w:val="000000"/>
                <w:sz w:val="22"/>
                <w:szCs w:val="22"/>
              </w:rPr>
              <w:t>1.8</w:t>
            </w:r>
          </w:p>
        </w:tc>
        <w:tc>
          <w:tcPr>
            <w:tcW w:w="1205" w:type="dxa"/>
            <w:noWrap/>
            <w:vAlign w:val="bottom"/>
            <w:hideMark/>
          </w:tcPr>
          <w:p w14:paraId="360FA105" w14:textId="21F606FD" w:rsidR="00B675C7" w:rsidRPr="000F3DEE" w:rsidRDefault="00B675C7" w:rsidP="000F3DEE">
            <w:pPr>
              <w:jc w:val="center"/>
              <w:rPr>
                <w:rFonts w:eastAsia="Times New Roman"/>
                <w:color w:val="000000"/>
                <w:szCs w:val="18"/>
              </w:rPr>
            </w:pPr>
            <w:r w:rsidRPr="000F3DEE">
              <w:rPr>
                <w:color w:val="000000"/>
                <w:sz w:val="22"/>
                <w:szCs w:val="22"/>
              </w:rPr>
              <w:t>94</w:t>
            </w:r>
          </w:p>
        </w:tc>
        <w:tc>
          <w:tcPr>
            <w:tcW w:w="1205" w:type="dxa"/>
            <w:noWrap/>
            <w:vAlign w:val="bottom"/>
            <w:hideMark/>
          </w:tcPr>
          <w:p w14:paraId="10A11F80" w14:textId="1B0ADBC8" w:rsidR="00B675C7" w:rsidRPr="000F3DEE" w:rsidRDefault="00B675C7" w:rsidP="000F3DEE">
            <w:pPr>
              <w:jc w:val="center"/>
              <w:rPr>
                <w:rFonts w:eastAsia="Times New Roman"/>
                <w:color w:val="000000"/>
                <w:szCs w:val="18"/>
              </w:rPr>
            </w:pPr>
            <w:r w:rsidRPr="000F3DEE">
              <w:rPr>
                <w:color w:val="000000"/>
                <w:sz w:val="22"/>
                <w:szCs w:val="22"/>
              </w:rPr>
              <w:t>1.9</w:t>
            </w:r>
          </w:p>
        </w:tc>
      </w:tr>
      <w:tr w:rsidR="00B675C7" w:rsidRPr="0006648E" w14:paraId="4708CEB2" w14:textId="77777777" w:rsidTr="00150953">
        <w:trPr>
          <w:cantSplit/>
          <w:trHeight w:val="276"/>
          <w:jc w:val="center"/>
        </w:trPr>
        <w:tc>
          <w:tcPr>
            <w:tcW w:w="2870" w:type="dxa"/>
            <w:noWrap/>
            <w:hideMark/>
          </w:tcPr>
          <w:p w14:paraId="55D62DE1" w14:textId="7C224D4E" w:rsidR="00B675C7" w:rsidRPr="00D245B8" w:rsidRDefault="00B675C7" w:rsidP="00B675C7">
            <w:pPr>
              <w:rPr>
                <w:rFonts w:eastAsia="Times New Roman"/>
                <w:color w:val="000000"/>
                <w:szCs w:val="18"/>
              </w:rPr>
            </w:pPr>
            <w:r w:rsidRPr="00D245B8">
              <w:rPr>
                <w:sz w:val="22"/>
                <w:szCs w:val="18"/>
              </w:rPr>
              <w:t>Neuro-Oncology Center</w:t>
            </w:r>
          </w:p>
        </w:tc>
        <w:tc>
          <w:tcPr>
            <w:tcW w:w="1205" w:type="dxa"/>
            <w:noWrap/>
            <w:vAlign w:val="bottom"/>
            <w:hideMark/>
          </w:tcPr>
          <w:p w14:paraId="14AAE4D0" w14:textId="6D791F72" w:rsidR="00B675C7" w:rsidRPr="000F3DEE" w:rsidRDefault="00B675C7" w:rsidP="000F3DEE">
            <w:pPr>
              <w:jc w:val="center"/>
              <w:rPr>
                <w:rFonts w:eastAsia="Times New Roman"/>
                <w:color w:val="000000"/>
                <w:szCs w:val="18"/>
              </w:rPr>
            </w:pPr>
            <w:r w:rsidRPr="000F3DEE">
              <w:rPr>
                <w:color w:val="000000"/>
                <w:sz w:val="22"/>
                <w:szCs w:val="22"/>
              </w:rPr>
              <w:t>140</w:t>
            </w:r>
          </w:p>
        </w:tc>
        <w:tc>
          <w:tcPr>
            <w:tcW w:w="1205" w:type="dxa"/>
            <w:noWrap/>
            <w:vAlign w:val="bottom"/>
            <w:hideMark/>
          </w:tcPr>
          <w:p w14:paraId="7B18AB64" w14:textId="6A86DCFF" w:rsidR="00B675C7" w:rsidRPr="000F3DEE" w:rsidRDefault="00B675C7" w:rsidP="000F3DEE">
            <w:pPr>
              <w:jc w:val="center"/>
              <w:rPr>
                <w:rFonts w:eastAsia="Times New Roman"/>
                <w:color w:val="000000"/>
                <w:szCs w:val="18"/>
              </w:rPr>
            </w:pPr>
            <w:r w:rsidRPr="000F3DEE">
              <w:rPr>
                <w:color w:val="000000"/>
                <w:sz w:val="22"/>
                <w:szCs w:val="22"/>
              </w:rPr>
              <w:t>3.1</w:t>
            </w:r>
          </w:p>
        </w:tc>
        <w:tc>
          <w:tcPr>
            <w:tcW w:w="1205" w:type="dxa"/>
            <w:noWrap/>
            <w:vAlign w:val="bottom"/>
            <w:hideMark/>
          </w:tcPr>
          <w:p w14:paraId="7C74257E" w14:textId="638A382B" w:rsidR="00B675C7" w:rsidRPr="000F3DEE" w:rsidRDefault="00B675C7" w:rsidP="000F3DEE">
            <w:pPr>
              <w:jc w:val="center"/>
              <w:rPr>
                <w:rFonts w:eastAsia="Times New Roman"/>
                <w:color w:val="000000"/>
                <w:szCs w:val="18"/>
              </w:rPr>
            </w:pPr>
            <w:r w:rsidRPr="000F3DEE">
              <w:rPr>
                <w:color w:val="000000"/>
                <w:sz w:val="22"/>
                <w:szCs w:val="22"/>
              </w:rPr>
              <w:t>148</w:t>
            </w:r>
          </w:p>
        </w:tc>
        <w:tc>
          <w:tcPr>
            <w:tcW w:w="1205" w:type="dxa"/>
            <w:noWrap/>
            <w:vAlign w:val="bottom"/>
            <w:hideMark/>
          </w:tcPr>
          <w:p w14:paraId="0ECF50E2" w14:textId="6D03FE4C" w:rsidR="00B675C7" w:rsidRPr="000F3DEE" w:rsidRDefault="00B675C7" w:rsidP="000F3DEE">
            <w:pPr>
              <w:jc w:val="center"/>
              <w:rPr>
                <w:rFonts w:eastAsia="Times New Roman"/>
                <w:color w:val="000000"/>
                <w:szCs w:val="18"/>
              </w:rPr>
            </w:pPr>
            <w:r w:rsidRPr="000F3DEE">
              <w:rPr>
                <w:color w:val="000000"/>
                <w:sz w:val="22"/>
                <w:szCs w:val="22"/>
              </w:rPr>
              <w:t>3.1</w:t>
            </w:r>
          </w:p>
        </w:tc>
        <w:tc>
          <w:tcPr>
            <w:tcW w:w="1205" w:type="dxa"/>
            <w:noWrap/>
            <w:vAlign w:val="bottom"/>
            <w:hideMark/>
          </w:tcPr>
          <w:p w14:paraId="425E9630" w14:textId="6FCA720C" w:rsidR="00B675C7" w:rsidRPr="000F3DEE" w:rsidRDefault="00B675C7" w:rsidP="000F3DEE">
            <w:pPr>
              <w:jc w:val="center"/>
              <w:rPr>
                <w:rFonts w:eastAsia="Times New Roman"/>
                <w:color w:val="000000"/>
                <w:szCs w:val="18"/>
              </w:rPr>
            </w:pPr>
            <w:r w:rsidRPr="000F3DEE">
              <w:rPr>
                <w:color w:val="000000"/>
                <w:sz w:val="22"/>
                <w:szCs w:val="22"/>
              </w:rPr>
              <w:t>139</w:t>
            </w:r>
          </w:p>
        </w:tc>
        <w:tc>
          <w:tcPr>
            <w:tcW w:w="1205" w:type="dxa"/>
            <w:noWrap/>
            <w:vAlign w:val="bottom"/>
            <w:hideMark/>
          </w:tcPr>
          <w:p w14:paraId="41B49018" w14:textId="0A9E4613" w:rsidR="00B675C7" w:rsidRPr="000F3DEE" w:rsidRDefault="00B675C7" w:rsidP="000F3DEE">
            <w:pPr>
              <w:jc w:val="center"/>
              <w:rPr>
                <w:rFonts w:eastAsia="Times New Roman"/>
                <w:color w:val="000000"/>
                <w:szCs w:val="18"/>
              </w:rPr>
            </w:pPr>
            <w:r w:rsidRPr="000F3DEE">
              <w:rPr>
                <w:color w:val="000000"/>
                <w:sz w:val="22"/>
                <w:szCs w:val="22"/>
              </w:rPr>
              <w:t>2.8</w:t>
            </w:r>
          </w:p>
        </w:tc>
      </w:tr>
      <w:tr w:rsidR="00B675C7" w:rsidRPr="0006648E" w14:paraId="5E39137A" w14:textId="77777777" w:rsidTr="00150953">
        <w:trPr>
          <w:cantSplit/>
          <w:trHeight w:val="288"/>
          <w:jc w:val="center"/>
        </w:trPr>
        <w:tc>
          <w:tcPr>
            <w:tcW w:w="2870" w:type="dxa"/>
            <w:noWrap/>
            <w:hideMark/>
          </w:tcPr>
          <w:p w14:paraId="37EE64AC" w14:textId="50A83D13" w:rsidR="00B675C7" w:rsidRPr="00D245B8" w:rsidRDefault="00B675C7" w:rsidP="00B675C7">
            <w:pPr>
              <w:rPr>
                <w:rFonts w:eastAsia="Times New Roman"/>
                <w:color w:val="000000"/>
                <w:szCs w:val="18"/>
              </w:rPr>
            </w:pPr>
            <w:r w:rsidRPr="00D245B8">
              <w:rPr>
                <w:sz w:val="22"/>
                <w:szCs w:val="18"/>
              </w:rPr>
              <w:t>Sarcoma and Bone Oncology</w:t>
            </w:r>
          </w:p>
        </w:tc>
        <w:tc>
          <w:tcPr>
            <w:tcW w:w="1205" w:type="dxa"/>
            <w:noWrap/>
            <w:vAlign w:val="bottom"/>
            <w:hideMark/>
          </w:tcPr>
          <w:p w14:paraId="4F98E470" w14:textId="467010F5" w:rsidR="00B675C7" w:rsidRPr="000F3DEE" w:rsidRDefault="00B675C7" w:rsidP="000F3DEE">
            <w:pPr>
              <w:jc w:val="center"/>
              <w:rPr>
                <w:rFonts w:eastAsia="Times New Roman"/>
                <w:color w:val="000000"/>
                <w:szCs w:val="18"/>
              </w:rPr>
            </w:pPr>
            <w:r w:rsidRPr="000F3DEE">
              <w:rPr>
                <w:color w:val="000000"/>
                <w:sz w:val="22"/>
                <w:szCs w:val="22"/>
              </w:rPr>
              <w:t>79</w:t>
            </w:r>
          </w:p>
        </w:tc>
        <w:tc>
          <w:tcPr>
            <w:tcW w:w="1205" w:type="dxa"/>
            <w:noWrap/>
            <w:vAlign w:val="bottom"/>
            <w:hideMark/>
          </w:tcPr>
          <w:p w14:paraId="3780813E" w14:textId="52D904CB" w:rsidR="00B675C7" w:rsidRPr="000F3DEE" w:rsidRDefault="00B675C7" w:rsidP="000F3DEE">
            <w:pPr>
              <w:jc w:val="center"/>
              <w:rPr>
                <w:rFonts w:eastAsia="Times New Roman"/>
                <w:color w:val="000000"/>
                <w:szCs w:val="18"/>
              </w:rPr>
            </w:pPr>
            <w:r w:rsidRPr="000F3DEE">
              <w:rPr>
                <w:color w:val="000000"/>
                <w:sz w:val="22"/>
                <w:szCs w:val="22"/>
              </w:rPr>
              <w:t>1.8</w:t>
            </w:r>
          </w:p>
        </w:tc>
        <w:tc>
          <w:tcPr>
            <w:tcW w:w="1205" w:type="dxa"/>
            <w:noWrap/>
            <w:vAlign w:val="bottom"/>
            <w:hideMark/>
          </w:tcPr>
          <w:p w14:paraId="57EAF838" w14:textId="733923DF" w:rsidR="00B675C7" w:rsidRPr="000F3DEE" w:rsidRDefault="00B675C7" w:rsidP="000F3DEE">
            <w:pPr>
              <w:jc w:val="center"/>
              <w:rPr>
                <w:rFonts w:eastAsia="Times New Roman"/>
                <w:color w:val="000000"/>
                <w:szCs w:val="18"/>
              </w:rPr>
            </w:pPr>
            <w:r w:rsidRPr="000F3DEE">
              <w:rPr>
                <w:color w:val="000000"/>
                <w:sz w:val="22"/>
                <w:szCs w:val="22"/>
              </w:rPr>
              <w:t>115</w:t>
            </w:r>
          </w:p>
        </w:tc>
        <w:tc>
          <w:tcPr>
            <w:tcW w:w="1205" w:type="dxa"/>
            <w:noWrap/>
            <w:vAlign w:val="bottom"/>
            <w:hideMark/>
          </w:tcPr>
          <w:p w14:paraId="6C416E3B" w14:textId="4D3F94FB" w:rsidR="00B675C7" w:rsidRPr="000F3DEE" w:rsidRDefault="00B675C7" w:rsidP="000F3DEE">
            <w:pPr>
              <w:jc w:val="center"/>
              <w:rPr>
                <w:rFonts w:eastAsia="Times New Roman"/>
                <w:color w:val="000000"/>
                <w:szCs w:val="18"/>
              </w:rPr>
            </w:pPr>
            <w:r w:rsidRPr="000F3DEE">
              <w:rPr>
                <w:color w:val="000000"/>
                <w:sz w:val="22"/>
                <w:szCs w:val="22"/>
              </w:rPr>
              <w:t>2.4</w:t>
            </w:r>
          </w:p>
        </w:tc>
        <w:tc>
          <w:tcPr>
            <w:tcW w:w="1205" w:type="dxa"/>
            <w:noWrap/>
            <w:vAlign w:val="bottom"/>
            <w:hideMark/>
          </w:tcPr>
          <w:p w14:paraId="252ED13C" w14:textId="1A30935A" w:rsidR="00B675C7" w:rsidRPr="000F3DEE" w:rsidRDefault="00B675C7" w:rsidP="000F3DEE">
            <w:pPr>
              <w:jc w:val="center"/>
              <w:rPr>
                <w:rFonts w:eastAsia="Times New Roman"/>
                <w:color w:val="000000"/>
                <w:szCs w:val="18"/>
              </w:rPr>
            </w:pPr>
            <w:r w:rsidRPr="000F3DEE">
              <w:rPr>
                <w:color w:val="000000"/>
                <w:sz w:val="22"/>
                <w:szCs w:val="22"/>
              </w:rPr>
              <w:t>130</w:t>
            </w:r>
          </w:p>
        </w:tc>
        <w:tc>
          <w:tcPr>
            <w:tcW w:w="1205" w:type="dxa"/>
            <w:noWrap/>
            <w:vAlign w:val="bottom"/>
            <w:hideMark/>
          </w:tcPr>
          <w:p w14:paraId="101DB1C2" w14:textId="74F30624" w:rsidR="00B675C7" w:rsidRPr="000F3DEE" w:rsidRDefault="00B675C7" w:rsidP="000F3DEE">
            <w:pPr>
              <w:jc w:val="center"/>
              <w:rPr>
                <w:rFonts w:eastAsia="Times New Roman"/>
                <w:color w:val="000000"/>
                <w:szCs w:val="18"/>
              </w:rPr>
            </w:pPr>
            <w:r w:rsidRPr="000F3DEE">
              <w:rPr>
                <w:color w:val="000000"/>
                <w:sz w:val="22"/>
                <w:szCs w:val="22"/>
              </w:rPr>
              <w:t>2.7</w:t>
            </w:r>
          </w:p>
        </w:tc>
      </w:tr>
      <w:tr w:rsidR="00B675C7" w:rsidRPr="002D2D4F" w14:paraId="67A0DECE" w14:textId="77777777" w:rsidTr="00150953">
        <w:trPr>
          <w:cantSplit/>
          <w:trHeight w:val="288"/>
          <w:jc w:val="center"/>
        </w:trPr>
        <w:tc>
          <w:tcPr>
            <w:tcW w:w="2870" w:type="dxa"/>
            <w:noWrap/>
          </w:tcPr>
          <w:p w14:paraId="72115ED5" w14:textId="1131F2D0" w:rsidR="00B675C7" w:rsidRPr="002D2D4F" w:rsidRDefault="00B675C7" w:rsidP="00B675C7">
            <w:pPr>
              <w:rPr>
                <w:szCs w:val="18"/>
              </w:rPr>
            </w:pPr>
            <w:r w:rsidRPr="002D2D4F">
              <w:rPr>
                <w:sz w:val="22"/>
                <w:szCs w:val="18"/>
              </w:rPr>
              <w:t>Thoracic Oncology Program</w:t>
            </w:r>
          </w:p>
        </w:tc>
        <w:tc>
          <w:tcPr>
            <w:tcW w:w="1205" w:type="dxa"/>
            <w:noWrap/>
            <w:vAlign w:val="bottom"/>
          </w:tcPr>
          <w:p w14:paraId="1F6FF868" w14:textId="75815874" w:rsidR="00B675C7" w:rsidRPr="000F3DEE" w:rsidRDefault="00B675C7" w:rsidP="000F3DEE">
            <w:pPr>
              <w:jc w:val="center"/>
              <w:rPr>
                <w:szCs w:val="18"/>
              </w:rPr>
            </w:pPr>
            <w:r w:rsidRPr="000F3DEE">
              <w:rPr>
                <w:color w:val="000000"/>
                <w:sz w:val="22"/>
                <w:szCs w:val="22"/>
              </w:rPr>
              <w:t>351</w:t>
            </w:r>
          </w:p>
        </w:tc>
        <w:tc>
          <w:tcPr>
            <w:tcW w:w="1205" w:type="dxa"/>
            <w:noWrap/>
            <w:vAlign w:val="bottom"/>
          </w:tcPr>
          <w:p w14:paraId="25997E55" w14:textId="6A99B7A2" w:rsidR="00B675C7" w:rsidRPr="000F3DEE" w:rsidRDefault="00B675C7" w:rsidP="000F3DEE">
            <w:pPr>
              <w:jc w:val="center"/>
              <w:rPr>
                <w:szCs w:val="18"/>
              </w:rPr>
            </w:pPr>
            <w:r w:rsidRPr="000F3DEE">
              <w:rPr>
                <w:color w:val="000000"/>
                <w:sz w:val="22"/>
                <w:szCs w:val="22"/>
              </w:rPr>
              <w:t>7.8</w:t>
            </w:r>
          </w:p>
        </w:tc>
        <w:tc>
          <w:tcPr>
            <w:tcW w:w="1205" w:type="dxa"/>
            <w:noWrap/>
            <w:vAlign w:val="bottom"/>
          </w:tcPr>
          <w:p w14:paraId="0C904079" w14:textId="46DD97DF" w:rsidR="00B675C7" w:rsidRPr="000F3DEE" w:rsidRDefault="00B675C7" w:rsidP="000F3DEE">
            <w:pPr>
              <w:jc w:val="center"/>
              <w:rPr>
                <w:color w:val="000000"/>
                <w:szCs w:val="18"/>
              </w:rPr>
            </w:pPr>
            <w:r w:rsidRPr="000F3DEE">
              <w:rPr>
                <w:color w:val="000000"/>
                <w:sz w:val="22"/>
                <w:szCs w:val="22"/>
              </w:rPr>
              <w:t>383</w:t>
            </w:r>
          </w:p>
        </w:tc>
        <w:tc>
          <w:tcPr>
            <w:tcW w:w="1205" w:type="dxa"/>
            <w:noWrap/>
            <w:vAlign w:val="bottom"/>
          </w:tcPr>
          <w:p w14:paraId="15062146" w14:textId="1B434644" w:rsidR="00B675C7" w:rsidRPr="000F3DEE" w:rsidRDefault="00B675C7" w:rsidP="000F3DEE">
            <w:pPr>
              <w:jc w:val="center"/>
              <w:rPr>
                <w:color w:val="000000"/>
                <w:szCs w:val="18"/>
              </w:rPr>
            </w:pPr>
            <w:r w:rsidRPr="000F3DEE">
              <w:rPr>
                <w:color w:val="000000"/>
                <w:sz w:val="22"/>
                <w:szCs w:val="22"/>
              </w:rPr>
              <w:t>8.0</w:t>
            </w:r>
          </w:p>
        </w:tc>
        <w:tc>
          <w:tcPr>
            <w:tcW w:w="1205" w:type="dxa"/>
            <w:noWrap/>
            <w:vAlign w:val="bottom"/>
          </w:tcPr>
          <w:p w14:paraId="27374090" w14:textId="6F53F3C7" w:rsidR="00B675C7" w:rsidRPr="000F3DEE" w:rsidRDefault="00B675C7" w:rsidP="000F3DEE">
            <w:pPr>
              <w:jc w:val="center"/>
              <w:rPr>
                <w:color w:val="000000"/>
                <w:szCs w:val="18"/>
              </w:rPr>
            </w:pPr>
            <w:r w:rsidRPr="000F3DEE">
              <w:rPr>
                <w:color w:val="000000"/>
                <w:sz w:val="22"/>
                <w:szCs w:val="22"/>
              </w:rPr>
              <w:t>409</w:t>
            </w:r>
          </w:p>
        </w:tc>
        <w:tc>
          <w:tcPr>
            <w:tcW w:w="1205" w:type="dxa"/>
            <w:noWrap/>
            <w:vAlign w:val="bottom"/>
          </w:tcPr>
          <w:p w14:paraId="0DB4AEC1" w14:textId="2A3F789C" w:rsidR="00B675C7" w:rsidRPr="000F3DEE" w:rsidRDefault="00B675C7" w:rsidP="000F3DEE">
            <w:pPr>
              <w:jc w:val="center"/>
              <w:rPr>
                <w:color w:val="000000"/>
                <w:szCs w:val="18"/>
              </w:rPr>
            </w:pPr>
            <w:r w:rsidRPr="000F3DEE">
              <w:rPr>
                <w:color w:val="000000"/>
                <w:sz w:val="22"/>
                <w:szCs w:val="22"/>
              </w:rPr>
              <w:t>8.4</w:t>
            </w:r>
          </w:p>
        </w:tc>
      </w:tr>
    </w:tbl>
    <w:p w14:paraId="53916274" w14:textId="77777777" w:rsidR="001342B9" w:rsidRDefault="001342B9" w:rsidP="001342B9">
      <w:pPr>
        <w:spacing w:line="259" w:lineRule="auto"/>
        <w:jc w:val="center"/>
        <w:rPr>
          <w:b/>
          <w:bCs/>
          <w:szCs w:val="24"/>
        </w:rPr>
      </w:pPr>
    </w:p>
    <w:p w14:paraId="16BA11C8" w14:textId="77777777" w:rsidR="001342B9" w:rsidRDefault="001342B9">
      <w:pPr>
        <w:spacing w:after="160" w:line="259" w:lineRule="auto"/>
        <w:rPr>
          <w:b/>
          <w:bCs/>
          <w:szCs w:val="24"/>
        </w:rPr>
      </w:pPr>
      <w:r>
        <w:rPr>
          <w:b/>
          <w:bCs/>
          <w:szCs w:val="24"/>
        </w:rPr>
        <w:br w:type="page"/>
      </w:r>
    </w:p>
    <w:p w14:paraId="464E1C17" w14:textId="4C25377A" w:rsidR="00B22C3D" w:rsidRPr="00FA1DD3" w:rsidRDefault="00B22C3D" w:rsidP="001342B9">
      <w:pPr>
        <w:spacing w:line="259" w:lineRule="auto"/>
        <w:jc w:val="center"/>
        <w:rPr>
          <w:b/>
          <w:bCs/>
          <w:szCs w:val="24"/>
        </w:rPr>
      </w:pPr>
      <w:r w:rsidRPr="00FA1DD3">
        <w:rPr>
          <w:b/>
          <w:bCs/>
          <w:szCs w:val="24"/>
        </w:rPr>
        <w:lastRenderedPageBreak/>
        <w:t xml:space="preserve">Table </w:t>
      </w:r>
      <w:r w:rsidR="00DC6D58">
        <w:rPr>
          <w:b/>
          <w:bCs/>
          <w:szCs w:val="24"/>
        </w:rPr>
        <w:t>5</w:t>
      </w:r>
      <w:r w:rsidR="002D2D4F">
        <w:rPr>
          <w:rStyle w:val="FootnoteReference"/>
          <w:b/>
          <w:bCs/>
          <w:szCs w:val="24"/>
        </w:rPr>
        <w:footnoteReference w:id="41"/>
      </w:r>
    </w:p>
    <w:p w14:paraId="3D986ED5" w14:textId="0FCD3465" w:rsidR="00B22C3D" w:rsidRDefault="00C52281" w:rsidP="00B22C3D">
      <w:pPr>
        <w:pStyle w:val="RBNBasicNoSpace"/>
        <w:jc w:val="center"/>
        <w:rPr>
          <w:b/>
          <w:bCs/>
          <w:szCs w:val="24"/>
        </w:rPr>
      </w:pPr>
      <w:r w:rsidRPr="000A19DA">
        <w:rPr>
          <w:b/>
          <w:bCs/>
          <w:szCs w:val="24"/>
        </w:rPr>
        <w:t>Outpatient</w:t>
      </w:r>
      <w:r>
        <w:rPr>
          <w:b/>
          <w:bCs/>
          <w:szCs w:val="24"/>
        </w:rPr>
        <w:t xml:space="preserve"> </w:t>
      </w:r>
      <w:r w:rsidR="00005582">
        <w:rPr>
          <w:b/>
          <w:bCs/>
          <w:szCs w:val="24"/>
        </w:rPr>
        <w:t>Utilization by Disease Cente</w:t>
      </w:r>
      <w:r>
        <w:rPr>
          <w:b/>
          <w:bCs/>
          <w:szCs w:val="24"/>
        </w:rPr>
        <w:t>r</w:t>
      </w:r>
    </w:p>
    <w:p w14:paraId="1BE0AF02" w14:textId="2A2D1E45" w:rsidR="00B22C3D" w:rsidRDefault="002D2D4F" w:rsidP="00615B6F">
      <w:pPr>
        <w:pStyle w:val="RBNBasicNoSpace"/>
        <w:contextualSpacing/>
        <w:jc w:val="center"/>
        <w:rPr>
          <w:b/>
          <w:bCs/>
          <w:szCs w:val="24"/>
        </w:rPr>
      </w:pPr>
      <w:r>
        <w:rPr>
          <w:b/>
          <w:bCs/>
          <w:szCs w:val="24"/>
        </w:rPr>
        <w:t>Longwood Medical Campus</w:t>
      </w:r>
    </w:p>
    <w:p w14:paraId="1FEF03E0" w14:textId="77777777" w:rsidR="00615B6F" w:rsidRPr="00FA1DD3" w:rsidRDefault="00615B6F" w:rsidP="00615B6F">
      <w:pPr>
        <w:pStyle w:val="RBNBasicNoSpace"/>
        <w:contextualSpacing/>
        <w:jc w:val="center"/>
        <w:rPr>
          <w:b/>
          <w:bCs/>
          <w:szCs w:val="24"/>
        </w:rPr>
      </w:pPr>
    </w:p>
    <w:tbl>
      <w:tblPr>
        <w:tblStyle w:val="TableGrid"/>
        <w:tblW w:w="9607" w:type="dxa"/>
        <w:jc w:val="center"/>
        <w:tblLook w:val="04A0" w:firstRow="1" w:lastRow="0" w:firstColumn="1" w:lastColumn="0" w:noHBand="0" w:noVBand="1"/>
      </w:tblPr>
      <w:tblGrid>
        <w:gridCol w:w="2790"/>
        <w:gridCol w:w="1170"/>
        <w:gridCol w:w="1080"/>
        <w:gridCol w:w="1046"/>
        <w:gridCol w:w="1173"/>
        <w:gridCol w:w="1174"/>
        <w:gridCol w:w="1174"/>
      </w:tblGrid>
      <w:tr w:rsidR="002F3E33" w:rsidRPr="0056235A" w14:paraId="216F35FC" w14:textId="77777777" w:rsidTr="000075C5">
        <w:trPr>
          <w:tblHeader/>
          <w:jc w:val="center"/>
        </w:trPr>
        <w:tc>
          <w:tcPr>
            <w:tcW w:w="2790" w:type="dxa"/>
          </w:tcPr>
          <w:p w14:paraId="7253C17B" w14:textId="77777777" w:rsidR="002F3E33" w:rsidRPr="0056235A" w:rsidRDefault="002F3E33" w:rsidP="002F3E33">
            <w:pPr>
              <w:pStyle w:val="RBNBasicNoSpace"/>
              <w:jc w:val="both"/>
              <w:rPr>
                <w:sz w:val="22"/>
                <w:szCs w:val="18"/>
              </w:rPr>
            </w:pPr>
          </w:p>
        </w:tc>
        <w:tc>
          <w:tcPr>
            <w:tcW w:w="1170" w:type="dxa"/>
          </w:tcPr>
          <w:p w14:paraId="12327569" w14:textId="21097729" w:rsidR="002F3E33" w:rsidRPr="0056235A" w:rsidRDefault="002F3E33" w:rsidP="002F3E33">
            <w:pPr>
              <w:jc w:val="center"/>
              <w:rPr>
                <w:sz w:val="22"/>
                <w:szCs w:val="18"/>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Count</w:t>
            </w:r>
          </w:p>
        </w:tc>
        <w:tc>
          <w:tcPr>
            <w:tcW w:w="1080" w:type="dxa"/>
          </w:tcPr>
          <w:p w14:paraId="34CEFC03" w14:textId="7826BD50" w:rsidR="002F3E33" w:rsidRPr="0056235A" w:rsidRDefault="002F3E33" w:rsidP="002F3E33">
            <w:pPr>
              <w:jc w:val="center"/>
              <w:rPr>
                <w:sz w:val="22"/>
                <w:szCs w:val="18"/>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w:t>
            </w:r>
          </w:p>
        </w:tc>
        <w:tc>
          <w:tcPr>
            <w:tcW w:w="1046" w:type="dxa"/>
          </w:tcPr>
          <w:p w14:paraId="03A6C1C8" w14:textId="1945430E" w:rsidR="002F3E33" w:rsidRPr="0056235A" w:rsidRDefault="002F3E33" w:rsidP="002F3E33">
            <w:pPr>
              <w:jc w:val="center"/>
              <w:rPr>
                <w:sz w:val="22"/>
                <w:szCs w:val="18"/>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Count</w:t>
            </w:r>
          </w:p>
        </w:tc>
        <w:tc>
          <w:tcPr>
            <w:tcW w:w="1173" w:type="dxa"/>
          </w:tcPr>
          <w:p w14:paraId="2F64BC19" w14:textId="1CE49779" w:rsidR="002F3E33" w:rsidRPr="0056235A" w:rsidRDefault="002F3E33" w:rsidP="002F3E33">
            <w:pPr>
              <w:jc w:val="center"/>
              <w:rPr>
                <w:sz w:val="22"/>
                <w:szCs w:val="18"/>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w:t>
            </w:r>
          </w:p>
        </w:tc>
        <w:tc>
          <w:tcPr>
            <w:tcW w:w="1174" w:type="dxa"/>
          </w:tcPr>
          <w:p w14:paraId="4690C587" w14:textId="28ABA87B" w:rsidR="002F3E33" w:rsidRPr="0056235A" w:rsidRDefault="002F3E33" w:rsidP="002F3E33">
            <w:pPr>
              <w:jc w:val="center"/>
              <w:rPr>
                <w:sz w:val="22"/>
                <w:szCs w:val="18"/>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Count</w:t>
            </w:r>
          </w:p>
        </w:tc>
        <w:tc>
          <w:tcPr>
            <w:tcW w:w="1174" w:type="dxa"/>
          </w:tcPr>
          <w:p w14:paraId="3AF69998" w14:textId="1832D200" w:rsidR="002F3E33" w:rsidRPr="0056235A" w:rsidRDefault="002F3E33" w:rsidP="002F3E33">
            <w:pPr>
              <w:jc w:val="center"/>
              <w:rPr>
                <w:sz w:val="22"/>
                <w:szCs w:val="18"/>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w:t>
            </w:r>
          </w:p>
        </w:tc>
      </w:tr>
      <w:tr w:rsidR="006122CE" w:rsidRPr="0056235A" w14:paraId="4E72860F" w14:textId="77777777" w:rsidTr="002B7566">
        <w:trPr>
          <w:jc w:val="center"/>
        </w:trPr>
        <w:tc>
          <w:tcPr>
            <w:tcW w:w="2790" w:type="dxa"/>
          </w:tcPr>
          <w:p w14:paraId="4276CF40" w14:textId="4D6255A8" w:rsidR="006122CE" w:rsidRPr="0056235A" w:rsidRDefault="006122CE" w:rsidP="006122CE">
            <w:pPr>
              <w:pStyle w:val="RBNBasicNoSpace"/>
              <w:rPr>
                <w:sz w:val="22"/>
                <w:szCs w:val="18"/>
              </w:rPr>
            </w:pPr>
            <w:r w:rsidRPr="0056235A">
              <w:rPr>
                <w:sz w:val="22"/>
                <w:szCs w:val="18"/>
              </w:rPr>
              <w:t>Total (unique patients)</w:t>
            </w:r>
            <w:r w:rsidR="002A4042">
              <w:rPr>
                <w:rStyle w:val="FootnoteReference"/>
                <w:sz w:val="22"/>
                <w:szCs w:val="18"/>
              </w:rPr>
              <w:t xml:space="preserve"> </w:t>
            </w:r>
            <w:r w:rsidR="002A4042">
              <w:rPr>
                <w:rStyle w:val="FootnoteReference"/>
                <w:sz w:val="22"/>
                <w:szCs w:val="18"/>
              </w:rPr>
              <w:footnoteReference w:id="42"/>
            </w:r>
          </w:p>
        </w:tc>
        <w:tc>
          <w:tcPr>
            <w:tcW w:w="1170" w:type="dxa"/>
            <w:vAlign w:val="center"/>
          </w:tcPr>
          <w:p w14:paraId="62F9A7C2" w14:textId="5DF6C01F" w:rsidR="006122CE" w:rsidRPr="0056235A" w:rsidRDefault="006122CE" w:rsidP="006122CE">
            <w:pPr>
              <w:pStyle w:val="RBNBasicNoSpace"/>
              <w:jc w:val="center"/>
              <w:rPr>
                <w:sz w:val="22"/>
                <w:szCs w:val="18"/>
              </w:rPr>
            </w:pPr>
            <w:r w:rsidRPr="0056235A">
              <w:rPr>
                <w:sz w:val="22"/>
                <w:szCs w:val="18"/>
              </w:rPr>
              <w:t>59,745</w:t>
            </w:r>
          </w:p>
        </w:tc>
        <w:tc>
          <w:tcPr>
            <w:tcW w:w="1080" w:type="dxa"/>
            <w:vAlign w:val="center"/>
          </w:tcPr>
          <w:p w14:paraId="1EA5B1B1" w14:textId="5E355DF8" w:rsidR="006122CE" w:rsidRPr="0056235A" w:rsidRDefault="006122CE" w:rsidP="006122CE">
            <w:pPr>
              <w:pStyle w:val="RBNBasicNoSpace"/>
              <w:ind w:right="-192"/>
              <w:jc w:val="center"/>
              <w:rPr>
                <w:sz w:val="22"/>
                <w:szCs w:val="18"/>
              </w:rPr>
            </w:pPr>
          </w:p>
        </w:tc>
        <w:tc>
          <w:tcPr>
            <w:tcW w:w="1046" w:type="dxa"/>
            <w:vAlign w:val="center"/>
          </w:tcPr>
          <w:p w14:paraId="559EA293" w14:textId="2CF1B53E" w:rsidR="006122CE" w:rsidRPr="0056235A" w:rsidRDefault="006122CE" w:rsidP="006122CE">
            <w:pPr>
              <w:pStyle w:val="RBNBasicNoSpace"/>
              <w:jc w:val="center"/>
              <w:rPr>
                <w:sz w:val="22"/>
                <w:szCs w:val="18"/>
              </w:rPr>
            </w:pPr>
            <w:r w:rsidRPr="0056235A">
              <w:rPr>
                <w:sz w:val="22"/>
                <w:szCs w:val="18"/>
              </w:rPr>
              <w:t>65,613</w:t>
            </w:r>
          </w:p>
        </w:tc>
        <w:tc>
          <w:tcPr>
            <w:tcW w:w="1173" w:type="dxa"/>
            <w:vAlign w:val="center"/>
          </w:tcPr>
          <w:p w14:paraId="41CFC1FC" w14:textId="77777777" w:rsidR="006122CE" w:rsidRPr="0056235A" w:rsidRDefault="006122CE" w:rsidP="006122CE">
            <w:pPr>
              <w:pStyle w:val="RBNBasicNoSpace"/>
              <w:ind w:right="-228"/>
              <w:jc w:val="center"/>
              <w:rPr>
                <w:sz w:val="22"/>
                <w:szCs w:val="18"/>
              </w:rPr>
            </w:pPr>
          </w:p>
        </w:tc>
        <w:tc>
          <w:tcPr>
            <w:tcW w:w="1174" w:type="dxa"/>
          </w:tcPr>
          <w:p w14:paraId="5A51BF8E" w14:textId="08FF1894" w:rsidR="006122CE" w:rsidRPr="0056235A" w:rsidRDefault="006122CE" w:rsidP="006122CE">
            <w:pPr>
              <w:pStyle w:val="RBNBasicNoSpace"/>
              <w:jc w:val="center"/>
              <w:rPr>
                <w:sz w:val="22"/>
                <w:szCs w:val="18"/>
              </w:rPr>
            </w:pPr>
            <w:r w:rsidRPr="0056235A">
              <w:rPr>
                <w:sz w:val="22"/>
                <w:szCs w:val="18"/>
              </w:rPr>
              <w:t xml:space="preserve"> 69,296 </w:t>
            </w:r>
          </w:p>
        </w:tc>
        <w:tc>
          <w:tcPr>
            <w:tcW w:w="1174" w:type="dxa"/>
            <w:vAlign w:val="center"/>
          </w:tcPr>
          <w:p w14:paraId="0D2E90B7" w14:textId="77777777" w:rsidR="006122CE" w:rsidRPr="0056235A" w:rsidRDefault="006122CE" w:rsidP="006122CE">
            <w:pPr>
              <w:pStyle w:val="RBNBasicNoSpace"/>
              <w:jc w:val="center"/>
              <w:rPr>
                <w:sz w:val="22"/>
                <w:szCs w:val="18"/>
              </w:rPr>
            </w:pPr>
          </w:p>
        </w:tc>
      </w:tr>
      <w:tr w:rsidR="006122CE" w:rsidRPr="0056235A" w14:paraId="7CB3B3DD" w14:textId="77777777" w:rsidTr="002B7566">
        <w:trPr>
          <w:jc w:val="center"/>
        </w:trPr>
        <w:tc>
          <w:tcPr>
            <w:tcW w:w="2790" w:type="dxa"/>
          </w:tcPr>
          <w:p w14:paraId="1A8DD587" w14:textId="77777777" w:rsidR="006122CE" w:rsidRPr="0056235A" w:rsidRDefault="006122CE" w:rsidP="006122CE">
            <w:pPr>
              <w:pStyle w:val="RBNBasicNoSpace"/>
              <w:rPr>
                <w:sz w:val="22"/>
                <w:szCs w:val="18"/>
              </w:rPr>
            </w:pPr>
            <w:r w:rsidRPr="0056235A">
              <w:rPr>
                <w:sz w:val="22"/>
                <w:szCs w:val="18"/>
              </w:rPr>
              <w:t>Breast Oncology Center</w:t>
            </w:r>
          </w:p>
        </w:tc>
        <w:tc>
          <w:tcPr>
            <w:tcW w:w="1170" w:type="dxa"/>
            <w:vAlign w:val="center"/>
          </w:tcPr>
          <w:p w14:paraId="4E455AFB" w14:textId="014AE4F4" w:rsidR="006122CE" w:rsidRPr="0056235A" w:rsidRDefault="006122CE" w:rsidP="006122CE">
            <w:pPr>
              <w:pStyle w:val="RBNBasicNoSpace"/>
              <w:jc w:val="center"/>
              <w:rPr>
                <w:sz w:val="22"/>
                <w:szCs w:val="18"/>
              </w:rPr>
            </w:pPr>
            <w:r w:rsidRPr="0056235A">
              <w:rPr>
                <w:sz w:val="22"/>
                <w:szCs w:val="18"/>
              </w:rPr>
              <w:t>12,178</w:t>
            </w:r>
          </w:p>
        </w:tc>
        <w:tc>
          <w:tcPr>
            <w:tcW w:w="1080" w:type="dxa"/>
            <w:vAlign w:val="center"/>
          </w:tcPr>
          <w:p w14:paraId="55C03F33" w14:textId="313E2588" w:rsidR="006122CE" w:rsidRPr="0056235A" w:rsidRDefault="006122CE" w:rsidP="006122CE">
            <w:pPr>
              <w:pStyle w:val="RBNBasicNoSpace"/>
              <w:tabs>
                <w:tab w:val="center" w:pos="518"/>
              </w:tabs>
              <w:ind w:right="-146"/>
              <w:jc w:val="center"/>
              <w:rPr>
                <w:sz w:val="22"/>
                <w:szCs w:val="18"/>
              </w:rPr>
            </w:pPr>
            <w:r w:rsidRPr="0056235A">
              <w:rPr>
                <w:sz w:val="22"/>
                <w:szCs w:val="18"/>
              </w:rPr>
              <w:t xml:space="preserve">20.4 </w:t>
            </w:r>
            <w:r w:rsidRPr="0056235A">
              <w:rPr>
                <w:sz w:val="22"/>
                <w:szCs w:val="18"/>
              </w:rPr>
              <w:tab/>
              <w:t>%</w:t>
            </w:r>
          </w:p>
        </w:tc>
        <w:tc>
          <w:tcPr>
            <w:tcW w:w="1046" w:type="dxa"/>
            <w:vAlign w:val="center"/>
          </w:tcPr>
          <w:p w14:paraId="4B457692" w14:textId="0701B85D" w:rsidR="006122CE" w:rsidRPr="0056235A" w:rsidRDefault="006122CE" w:rsidP="006122CE">
            <w:pPr>
              <w:pStyle w:val="RBNBasicNoSpace"/>
              <w:jc w:val="center"/>
              <w:rPr>
                <w:sz w:val="22"/>
                <w:szCs w:val="18"/>
              </w:rPr>
            </w:pPr>
            <w:r w:rsidRPr="0056235A">
              <w:rPr>
                <w:sz w:val="22"/>
                <w:szCs w:val="18"/>
              </w:rPr>
              <w:t>13,569</w:t>
            </w:r>
          </w:p>
        </w:tc>
        <w:tc>
          <w:tcPr>
            <w:tcW w:w="1173" w:type="dxa"/>
            <w:vAlign w:val="center"/>
          </w:tcPr>
          <w:p w14:paraId="42E2A039" w14:textId="151F6A23" w:rsidR="006122CE" w:rsidRPr="0056235A" w:rsidRDefault="006122CE" w:rsidP="006122CE">
            <w:pPr>
              <w:pStyle w:val="RBNBasicNoSpace"/>
              <w:tabs>
                <w:tab w:val="center" w:pos="465"/>
              </w:tabs>
              <w:ind w:right="-173"/>
              <w:jc w:val="center"/>
              <w:rPr>
                <w:sz w:val="22"/>
                <w:szCs w:val="18"/>
              </w:rPr>
            </w:pPr>
            <w:r w:rsidRPr="0056235A">
              <w:rPr>
                <w:sz w:val="22"/>
                <w:szCs w:val="18"/>
              </w:rPr>
              <w:t xml:space="preserve">20.7 </w:t>
            </w:r>
            <w:r w:rsidRPr="0056235A">
              <w:rPr>
                <w:sz w:val="22"/>
                <w:szCs w:val="18"/>
              </w:rPr>
              <w:tab/>
              <w:t xml:space="preserve"> %</w:t>
            </w:r>
          </w:p>
        </w:tc>
        <w:tc>
          <w:tcPr>
            <w:tcW w:w="1174" w:type="dxa"/>
          </w:tcPr>
          <w:p w14:paraId="0B2974BD" w14:textId="7182CD2F" w:rsidR="006122CE" w:rsidRPr="0056235A" w:rsidRDefault="006122CE" w:rsidP="006122CE">
            <w:pPr>
              <w:pStyle w:val="RBNBasicNoSpace"/>
              <w:jc w:val="center"/>
              <w:rPr>
                <w:sz w:val="22"/>
                <w:szCs w:val="18"/>
              </w:rPr>
            </w:pPr>
            <w:r w:rsidRPr="0056235A">
              <w:rPr>
                <w:sz w:val="22"/>
                <w:szCs w:val="18"/>
              </w:rPr>
              <w:t xml:space="preserve"> 13,950 </w:t>
            </w:r>
          </w:p>
        </w:tc>
        <w:tc>
          <w:tcPr>
            <w:tcW w:w="1174" w:type="dxa"/>
            <w:vAlign w:val="center"/>
          </w:tcPr>
          <w:p w14:paraId="50703BD1" w14:textId="43A7977C" w:rsidR="006122CE" w:rsidRPr="0056235A" w:rsidRDefault="006122CE" w:rsidP="006122CE">
            <w:pPr>
              <w:pStyle w:val="RBNBasicNoSpace"/>
              <w:tabs>
                <w:tab w:val="center" w:pos="465"/>
              </w:tabs>
              <w:ind w:right="-163"/>
              <w:jc w:val="center"/>
              <w:rPr>
                <w:sz w:val="22"/>
                <w:szCs w:val="18"/>
              </w:rPr>
            </w:pPr>
            <w:r w:rsidRPr="0056235A">
              <w:rPr>
                <w:sz w:val="22"/>
                <w:szCs w:val="18"/>
              </w:rPr>
              <w:t xml:space="preserve">20.1 </w:t>
            </w:r>
            <w:r w:rsidRPr="0056235A">
              <w:rPr>
                <w:sz w:val="22"/>
                <w:szCs w:val="18"/>
              </w:rPr>
              <w:tab/>
              <w:t>%</w:t>
            </w:r>
          </w:p>
        </w:tc>
      </w:tr>
      <w:tr w:rsidR="006122CE" w:rsidRPr="0056235A" w14:paraId="4C60D010" w14:textId="77777777" w:rsidTr="002B7566">
        <w:trPr>
          <w:jc w:val="center"/>
        </w:trPr>
        <w:tc>
          <w:tcPr>
            <w:tcW w:w="2790" w:type="dxa"/>
          </w:tcPr>
          <w:p w14:paraId="1508178E" w14:textId="77777777" w:rsidR="006122CE" w:rsidRPr="0056235A" w:rsidRDefault="006122CE" w:rsidP="006122CE">
            <w:pPr>
              <w:pStyle w:val="RBNBasicNoSpace"/>
              <w:rPr>
                <w:sz w:val="22"/>
                <w:szCs w:val="18"/>
              </w:rPr>
            </w:pPr>
            <w:r w:rsidRPr="0056235A">
              <w:rPr>
                <w:sz w:val="22"/>
                <w:szCs w:val="18"/>
              </w:rPr>
              <w:t>Cutaneous Oncology Center</w:t>
            </w:r>
          </w:p>
        </w:tc>
        <w:tc>
          <w:tcPr>
            <w:tcW w:w="1170" w:type="dxa"/>
            <w:vAlign w:val="center"/>
          </w:tcPr>
          <w:p w14:paraId="727C5635" w14:textId="7427B685" w:rsidR="006122CE" w:rsidRPr="0056235A" w:rsidRDefault="006122CE" w:rsidP="006122CE">
            <w:pPr>
              <w:pStyle w:val="RBNBasicNoSpace"/>
              <w:jc w:val="center"/>
              <w:rPr>
                <w:sz w:val="22"/>
                <w:szCs w:val="18"/>
              </w:rPr>
            </w:pPr>
            <w:r w:rsidRPr="0056235A">
              <w:rPr>
                <w:sz w:val="22"/>
                <w:szCs w:val="18"/>
              </w:rPr>
              <w:t>1,398</w:t>
            </w:r>
          </w:p>
        </w:tc>
        <w:tc>
          <w:tcPr>
            <w:tcW w:w="1080" w:type="dxa"/>
            <w:vAlign w:val="center"/>
          </w:tcPr>
          <w:p w14:paraId="2704353A" w14:textId="3E3DFD5E" w:rsidR="006122CE" w:rsidRPr="0056235A" w:rsidRDefault="006122CE" w:rsidP="006122CE">
            <w:pPr>
              <w:pStyle w:val="RBNBasicNoSpace"/>
              <w:jc w:val="center"/>
              <w:rPr>
                <w:sz w:val="22"/>
                <w:szCs w:val="18"/>
              </w:rPr>
            </w:pPr>
            <w:r w:rsidRPr="0056235A">
              <w:rPr>
                <w:color w:val="000000"/>
                <w:sz w:val="22"/>
                <w:szCs w:val="18"/>
              </w:rPr>
              <w:t>2.3</w:t>
            </w:r>
          </w:p>
        </w:tc>
        <w:tc>
          <w:tcPr>
            <w:tcW w:w="1046" w:type="dxa"/>
            <w:vAlign w:val="center"/>
          </w:tcPr>
          <w:p w14:paraId="677AC337" w14:textId="255F19DD" w:rsidR="006122CE" w:rsidRPr="0056235A" w:rsidRDefault="006122CE" w:rsidP="006122CE">
            <w:pPr>
              <w:pStyle w:val="RBNBasicNoSpace"/>
              <w:jc w:val="center"/>
              <w:rPr>
                <w:sz w:val="22"/>
                <w:szCs w:val="18"/>
              </w:rPr>
            </w:pPr>
            <w:r w:rsidRPr="0056235A">
              <w:rPr>
                <w:sz w:val="22"/>
                <w:szCs w:val="18"/>
              </w:rPr>
              <w:t>1,691</w:t>
            </w:r>
          </w:p>
        </w:tc>
        <w:tc>
          <w:tcPr>
            <w:tcW w:w="1173" w:type="dxa"/>
            <w:vAlign w:val="center"/>
          </w:tcPr>
          <w:p w14:paraId="6BA00A51" w14:textId="31271E60" w:rsidR="006122CE" w:rsidRPr="0056235A" w:rsidRDefault="006122CE" w:rsidP="006122CE">
            <w:pPr>
              <w:pStyle w:val="RBNBasicNoSpace"/>
              <w:jc w:val="center"/>
              <w:rPr>
                <w:sz w:val="22"/>
                <w:szCs w:val="18"/>
              </w:rPr>
            </w:pPr>
            <w:r w:rsidRPr="0056235A">
              <w:rPr>
                <w:color w:val="000000"/>
                <w:sz w:val="22"/>
                <w:szCs w:val="18"/>
              </w:rPr>
              <w:t>2.6</w:t>
            </w:r>
          </w:p>
        </w:tc>
        <w:tc>
          <w:tcPr>
            <w:tcW w:w="1174" w:type="dxa"/>
          </w:tcPr>
          <w:p w14:paraId="75B8B07F" w14:textId="0D16601A" w:rsidR="006122CE" w:rsidRPr="0056235A" w:rsidRDefault="006122CE" w:rsidP="006122CE">
            <w:pPr>
              <w:pStyle w:val="RBNBasicNoSpace"/>
              <w:jc w:val="center"/>
              <w:rPr>
                <w:sz w:val="22"/>
                <w:szCs w:val="18"/>
              </w:rPr>
            </w:pPr>
            <w:r w:rsidRPr="0056235A">
              <w:rPr>
                <w:sz w:val="22"/>
                <w:szCs w:val="18"/>
              </w:rPr>
              <w:t xml:space="preserve"> 1,827 </w:t>
            </w:r>
          </w:p>
        </w:tc>
        <w:tc>
          <w:tcPr>
            <w:tcW w:w="1174" w:type="dxa"/>
            <w:vAlign w:val="center"/>
          </w:tcPr>
          <w:p w14:paraId="4957E7B4" w14:textId="724C0FEF" w:rsidR="006122CE" w:rsidRPr="0056235A" w:rsidRDefault="006122CE" w:rsidP="006122CE">
            <w:pPr>
              <w:pStyle w:val="RBNBasicNoSpace"/>
              <w:jc w:val="center"/>
              <w:rPr>
                <w:sz w:val="22"/>
                <w:szCs w:val="18"/>
              </w:rPr>
            </w:pPr>
            <w:r w:rsidRPr="0056235A">
              <w:rPr>
                <w:color w:val="000000"/>
                <w:sz w:val="22"/>
                <w:szCs w:val="18"/>
              </w:rPr>
              <w:t>2.6</w:t>
            </w:r>
          </w:p>
        </w:tc>
      </w:tr>
      <w:tr w:rsidR="006122CE" w:rsidRPr="0056235A" w14:paraId="0544D36B" w14:textId="77777777" w:rsidTr="002B7566">
        <w:trPr>
          <w:jc w:val="center"/>
        </w:trPr>
        <w:tc>
          <w:tcPr>
            <w:tcW w:w="2790" w:type="dxa"/>
          </w:tcPr>
          <w:p w14:paraId="391AD054" w14:textId="77777777" w:rsidR="006122CE" w:rsidRPr="0056235A" w:rsidRDefault="006122CE" w:rsidP="006122CE">
            <w:pPr>
              <w:pStyle w:val="RBNBasicNoSpace"/>
              <w:rPr>
                <w:sz w:val="22"/>
                <w:szCs w:val="18"/>
              </w:rPr>
            </w:pPr>
            <w:r w:rsidRPr="0056235A">
              <w:rPr>
                <w:sz w:val="22"/>
                <w:szCs w:val="18"/>
              </w:rPr>
              <w:t>Gastrointestinal Oncology</w:t>
            </w:r>
          </w:p>
        </w:tc>
        <w:tc>
          <w:tcPr>
            <w:tcW w:w="1170" w:type="dxa"/>
            <w:vAlign w:val="center"/>
          </w:tcPr>
          <w:p w14:paraId="54B6EA2D" w14:textId="0092035D" w:rsidR="006122CE" w:rsidRPr="0056235A" w:rsidRDefault="006122CE" w:rsidP="006122CE">
            <w:pPr>
              <w:pStyle w:val="RBNBasicNoSpace"/>
              <w:jc w:val="center"/>
              <w:rPr>
                <w:sz w:val="22"/>
                <w:szCs w:val="18"/>
              </w:rPr>
            </w:pPr>
            <w:r w:rsidRPr="0056235A">
              <w:rPr>
                <w:sz w:val="22"/>
                <w:szCs w:val="18"/>
              </w:rPr>
              <w:t>5,734</w:t>
            </w:r>
          </w:p>
        </w:tc>
        <w:tc>
          <w:tcPr>
            <w:tcW w:w="1080" w:type="dxa"/>
            <w:vAlign w:val="center"/>
          </w:tcPr>
          <w:p w14:paraId="08429B04" w14:textId="6B2DCBA6" w:rsidR="006122CE" w:rsidRPr="0056235A" w:rsidRDefault="006122CE" w:rsidP="006122CE">
            <w:pPr>
              <w:pStyle w:val="RBNBasicNoSpace"/>
              <w:jc w:val="center"/>
              <w:rPr>
                <w:sz w:val="22"/>
                <w:szCs w:val="18"/>
              </w:rPr>
            </w:pPr>
            <w:r w:rsidRPr="0056235A">
              <w:rPr>
                <w:color w:val="000000"/>
                <w:sz w:val="22"/>
                <w:szCs w:val="18"/>
              </w:rPr>
              <w:t>9.6</w:t>
            </w:r>
          </w:p>
        </w:tc>
        <w:tc>
          <w:tcPr>
            <w:tcW w:w="1046" w:type="dxa"/>
            <w:vAlign w:val="center"/>
          </w:tcPr>
          <w:p w14:paraId="7E4193AF" w14:textId="62E2D8BF" w:rsidR="006122CE" w:rsidRPr="0056235A" w:rsidRDefault="006122CE" w:rsidP="006122CE">
            <w:pPr>
              <w:pStyle w:val="RBNBasicNoSpace"/>
              <w:jc w:val="center"/>
              <w:rPr>
                <w:sz w:val="22"/>
                <w:szCs w:val="18"/>
              </w:rPr>
            </w:pPr>
            <w:r w:rsidRPr="0056235A">
              <w:rPr>
                <w:sz w:val="22"/>
                <w:szCs w:val="18"/>
              </w:rPr>
              <w:t>6,321</w:t>
            </w:r>
          </w:p>
        </w:tc>
        <w:tc>
          <w:tcPr>
            <w:tcW w:w="1173" w:type="dxa"/>
            <w:vAlign w:val="center"/>
          </w:tcPr>
          <w:p w14:paraId="34CB995C" w14:textId="44C525DC" w:rsidR="006122CE" w:rsidRPr="0056235A" w:rsidRDefault="006122CE" w:rsidP="006122CE">
            <w:pPr>
              <w:pStyle w:val="RBNBasicNoSpace"/>
              <w:jc w:val="center"/>
              <w:rPr>
                <w:sz w:val="22"/>
                <w:szCs w:val="18"/>
              </w:rPr>
            </w:pPr>
            <w:r w:rsidRPr="0056235A">
              <w:rPr>
                <w:color w:val="000000"/>
                <w:sz w:val="22"/>
                <w:szCs w:val="18"/>
              </w:rPr>
              <w:t>9.6</w:t>
            </w:r>
          </w:p>
        </w:tc>
        <w:tc>
          <w:tcPr>
            <w:tcW w:w="1174" w:type="dxa"/>
          </w:tcPr>
          <w:p w14:paraId="01C730C6" w14:textId="50FF7581" w:rsidR="006122CE" w:rsidRPr="0056235A" w:rsidRDefault="006122CE" w:rsidP="006122CE">
            <w:pPr>
              <w:pStyle w:val="RBNBasicNoSpace"/>
              <w:jc w:val="center"/>
              <w:rPr>
                <w:sz w:val="22"/>
                <w:szCs w:val="18"/>
              </w:rPr>
            </w:pPr>
            <w:r w:rsidRPr="0056235A">
              <w:rPr>
                <w:sz w:val="22"/>
                <w:szCs w:val="18"/>
              </w:rPr>
              <w:t xml:space="preserve"> 6,714 </w:t>
            </w:r>
          </w:p>
        </w:tc>
        <w:tc>
          <w:tcPr>
            <w:tcW w:w="1174" w:type="dxa"/>
            <w:vAlign w:val="center"/>
          </w:tcPr>
          <w:p w14:paraId="51A6C0F2" w14:textId="6B0C42D3" w:rsidR="006122CE" w:rsidRPr="0056235A" w:rsidRDefault="006122CE" w:rsidP="006122CE">
            <w:pPr>
              <w:pStyle w:val="RBNBasicNoSpace"/>
              <w:jc w:val="center"/>
              <w:rPr>
                <w:sz w:val="22"/>
                <w:szCs w:val="18"/>
              </w:rPr>
            </w:pPr>
            <w:r w:rsidRPr="0056235A">
              <w:rPr>
                <w:color w:val="000000"/>
                <w:sz w:val="22"/>
                <w:szCs w:val="18"/>
              </w:rPr>
              <w:t>9.7</w:t>
            </w:r>
          </w:p>
        </w:tc>
      </w:tr>
      <w:tr w:rsidR="006122CE" w:rsidRPr="0056235A" w14:paraId="324C51D7" w14:textId="77777777" w:rsidTr="002B7566">
        <w:trPr>
          <w:jc w:val="center"/>
        </w:trPr>
        <w:tc>
          <w:tcPr>
            <w:tcW w:w="2790" w:type="dxa"/>
          </w:tcPr>
          <w:p w14:paraId="3C6F6FA3" w14:textId="77777777" w:rsidR="006122CE" w:rsidRPr="0056235A" w:rsidRDefault="006122CE" w:rsidP="006122CE">
            <w:pPr>
              <w:pStyle w:val="RBNBasicNoSpace"/>
              <w:rPr>
                <w:sz w:val="22"/>
                <w:szCs w:val="18"/>
              </w:rPr>
            </w:pPr>
            <w:r w:rsidRPr="0056235A">
              <w:rPr>
                <w:sz w:val="22"/>
                <w:szCs w:val="18"/>
              </w:rPr>
              <w:t xml:space="preserve">Genitourinary Oncology </w:t>
            </w:r>
          </w:p>
        </w:tc>
        <w:tc>
          <w:tcPr>
            <w:tcW w:w="1170" w:type="dxa"/>
            <w:vAlign w:val="center"/>
          </w:tcPr>
          <w:p w14:paraId="1A1A89CC" w14:textId="67E0C208" w:rsidR="006122CE" w:rsidRPr="0056235A" w:rsidRDefault="006122CE" w:rsidP="006122CE">
            <w:pPr>
              <w:pStyle w:val="RBNBasicNoSpace"/>
              <w:jc w:val="center"/>
              <w:rPr>
                <w:sz w:val="22"/>
                <w:szCs w:val="18"/>
              </w:rPr>
            </w:pPr>
            <w:r w:rsidRPr="0056235A">
              <w:rPr>
                <w:sz w:val="22"/>
                <w:szCs w:val="18"/>
              </w:rPr>
              <w:t>5,536</w:t>
            </w:r>
          </w:p>
        </w:tc>
        <w:tc>
          <w:tcPr>
            <w:tcW w:w="1080" w:type="dxa"/>
            <w:vAlign w:val="center"/>
          </w:tcPr>
          <w:p w14:paraId="072518D3" w14:textId="56EA8A9A" w:rsidR="006122CE" w:rsidRPr="0056235A" w:rsidRDefault="006122CE" w:rsidP="006122CE">
            <w:pPr>
              <w:pStyle w:val="RBNBasicNoSpace"/>
              <w:jc w:val="center"/>
              <w:rPr>
                <w:sz w:val="22"/>
                <w:szCs w:val="18"/>
              </w:rPr>
            </w:pPr>
            <w:r w:rsidRPr="0056235A">
              <w:rPr>
                <w:color w:val="000000"/>
                <w:sz w:val="22"/>
                <w:szCs w:val="18"/>
              </w:rPr>
              <w:t>9.3</w:t>
            </w:r>
          </w:p>
        </w:tc>
        <w:tc>
          <w:tcPr>
            <w:tcW w:w="1046" w:type="dxa"/>
            <w:vAlign w:val="center"/>
          </w:tcPr>
          <w:p w14:paraId="35361598" w14:textId="4533773A" w:rsidR="006122CE" w:rsidRPr="0056235A" w:rsidRDefault="006122CE" w:rsidP="006122CE">
            <w:pPr>
              <w:pStyle w:val="RBNBasicNoSpace"/>
              <w:jc w:val="center"/>
              <w:rPr>
                <w:sz w:val="22"/>
                <w:szCs w:val="18"/>
              </w:rPr>
            </w:pPr>
            <w:r w:rsidRPr="0056235A">
              <w:rPr>
                <w:sz w:val="22"/>
                <w:szCs w:val="18"/>
              </w:rPr>
              <w:t>6,246</w:t>
            </w:r>
          </w:p>
        </w:tc>
        <w:tc>
          <w:tcPr>
            <w:tcW w:w="1173" w:type="dxa"/>
            <w:vAlign w:val="center"/>
          </w:tcPr>
          <w:p w14:paraId="76E731DF" w14:textId="5A4A52B8" w:rsidR="006122CE" w:rsidRPr="0056235A" w:rsidRDefault="006122CE" w:rsidP="006122CE">
            <w:pPr>
              <w:pStyle w:val="RBNBasicNoSpace"/>
              <w:jc w:val="center"/>
              <w:rPr>
                <w:sz w:val="22"/>
                <w:szCs w:val="18"/>
              </w:rPr>
            </w:pPr>
            <w:r w:rsidRPr="0056235A">
              <w:rPr>
                <w:color w:val="000000"/>
                <w:sz w:val="22"/>
                <w:szCs w:val="18"/>
              </w:rPr>
              <w:t>9.5</w:t>
            </w:r>
          </w:p>
        </w:tc>
        <w:tc>
          <w:tcPr>
            <w:tcW w:w="1174" w:type="dxa"/>
          </w:tcPr>
          <w:p w14:paraId="1E71270F" w14:textId="37E2D21C" w:rsidR="006122CE" w:rsidRPr="0056235A" w:rsidRDefault="006122CE" w:rsidP="006122CE">
            <w:pPr>
              <w:pStyle w:val="RBNBasicNoSpace"/>
              <w:jc w:val="center"/>
              <w:rPr>
                <w:sz w:val="22"/>
                <w:szCs w:val="18"/>
              </w:rPr>
            </w:pPr>
            <w:r w:rsidRPr="0056235A">
              <w:rPr>
                <w:sz w:val="22"/>
                <w:szCs w:val="18"/>
              </w:rPr>
              <w:t xml:space="preserve"> 6,500 </w:t>
            </w:r>
          </w:p>
        </w:tc>
        <w:tc>
          <w:tcPr>
            <w:tcW w:w="1174" w:type="dxa"/>
            <w:vAlign w:val="center"/>
          </w:tcPr>
          <w:p w14:paraId="75F4256A" w14:textId="506C945C" w:rsidR="006122CE" w:rsidRPr="0056235A" w:rsidRDefault="006122CE" w:rsidP="006122CE">
            <w:pPr>
              <w:pStyle w:val="RBNBasicNoSpace"/>
              <w:jc w:val="center"/>
              <w:rPr>
                <w:sz w:val="22"/>
                <w:szCs w:val="18"/>
              </w:rPr>
            </w:pPr>
            <w:r w:rsidRPr="0056235A">
              <w:rPr>
                <w:color w:val="000000"/>
                <w:sz w:val="22"/>
                <w:szCs w:val="18"/>
              </w:rPr>
              <w:t>9.4</w:t>
            </w:r>
          </w:p>
        </w:tc>
      </w:tr>
      <w:tr w:rsidR="006122CE" w:rsidRPr="0056235A" w14:paraId="56A0BA27" w14:textId="77777777" w:rsidTr="002B7566">
        <w:trPr>
          <w:jc w:val="center"/>
        </w:trPr>
        <w:tc>
          <w:tcPr>
            <w:tcW w:w="2790" w:type="dxa"/>
          </w:tcPr>
          <w:p w14:paraId="34EC622C" w14:textId="77777777" w:rsidR="006122CE" w:rsidRPr="0056235A" w:rsidRDefault="006122CE" w:rsidP="006122CE">
            <w:pPr>
              <w:pStyle w:val="RBNBasicNoSpace"/>
              <w:rPr>
                <w:sz w:val="22"/>
                <w:szCs w:val="18"/>
              </w:rPr>
            </w:pPr>
            <w:r w:rsidRPr="0056235A">
              <w:rPr>
                <w:sz w:val="22"/>
                <w:szCs w:val="18"/>
              </w:rPr>
              <w:t xml:space="preserve">Gynecology Oncology </w:t>
            </w:r>
          </w:p>
        </w:tc>
        <w:tc>
          <w:tcPr>
            <w:tcW w:w="1170" w:type="dxa"/>
            <w:vAlign w:val="center"/>
          </w:tcPr>
          <w:p w14:paraId="6B7F0D3F" w14:textId="413293C8" w:rsidR="006122CE" w:rsidRPr="0056235A" w:rsidRDefault="006122CE" w:rsidP="006122CE">
            <w:pPr>
              <w:pStyle w:val="RBNBasicNoSpace"/>
              <w:jc w:val="center"/>
              <w:rPr>
                <w:sz w:val="22"/>
                <w:szCs w:val="18"/>
              </w:rPr>
            </w:pPr>
            <w:r w:rsidRPr="0056235A">
              <w:rPr>
                <w:sz w:val="22"/>
                <w:szCs w:val="18"/>
              </w:rPr>
              <w:t>3,597</w:t>
            </w:r>
          </w:p>
        </w:tc>
        <w:tc>
          <w:tcPr>
            <w:tcW w:w="1080" w:type="dxa"/>
            <w:vAlign w:val="center"/>
          </w:tcPr>
          <w:p w14:paraId="042C0CDF" w14:textId="7ED413FA" w:rsidR="006122CE" w:rsidRPr="0056235A" w:rsidRDefault="006122CE" w:rsidP="006122CE">
            <w:pPr>
              <w:pStyle w:val="RBNBasicNoSpace"/>
              <w:jc w:val="center"/>
              <w:rPr>
                <w:sz w:val="22"/>
                <w:szCs w:val="18"/>
              </w:rPr>
            </w:pPr>
            <w:r w:rsidRPr="0056235A">
              <w:rPr>
                <w:color w:val="000000"/>
                <w:sz w:val="22"/>
                <w:szCs w:val="18"/>
              </w:rPr>
              <w:t>6.0</w:t>
            </w:r>
          </w:p>
        </w:tc>
        <w:tc>
          <w:tcPr>
            <w:tcW w:w="1046" w:type="dxa"/>
            <w:vAlign w:val="center"/>
          </w:tcPr>
          <w:p w14:paraId="28F6788B" w14:textId="0B277704" w:rsidR="006122CE" w:rsidRPr="0056235A" w:rsidRDefault="006122CE" w:rsidP="006122CE">
            <w:pPr>
              <w:pStyle w:val="RBNBasicNoSpace"/>
              <w:jc w:val="center"/>
              <w:rPr>
                <w:sz w:val="22"/>
                <w:szCs w:val="18"/>
              </w:rPr>
            </w:pPr>
            <w:r w:rsidRPr="0056235A">
              <w:rPr>
                <w:sz w:val="22"/>
                <w:szCs w:val="18"/>
              </w:rPr>
              <w:t>3,714</w:t>
            </w:r>
          </w:p>
        </w:tc>
        <w:tc>
          <w:tcPr>
            <w:tcW w:w="1173" w:type="dxa"/>
            <w:vAlign w:val="center"/>
          </w:tcPr>
          <w:p w14:paraId="127B2273" w14:textId="705448F6" w:rsidR="006122CE" w:rsidRPr="0056235A" w:rsidRDefault="006122CE" w:rsidP="006122CE">
            <w:pPr>
              <w:pStyle w:val="RBNBasicNoSpace"/>
              <w:jc w:val="center"/>
              <w:rPr>
                <w:sz w:val="22"/>
                <w:szCs w:val="18"/>
              </w:rPr>
            </w:pPr>
            <w:r w:rsidRPr="0056235A">
              <w:rPr>
                <w:color w:val="000000"/>
                <w:sz w:val="22"/>
                <w:szCs w:val="18"/>
              </w:rPr>
              <w:t>5.7</w:t>
            </w:r>
          </w:p>
        </w:tc>
        <w:tc>
          <w:tcPr>
            <w:tcW w:w="1174" w:type="dxa"/>
          </w:tcPr>
          <w:p w14:paraId="18E540DD" w14:textId="7A169A8E" w:rsidR="006122CE" w:rsidRPr="0056235A" w:rsidRDefault="006122CE" w:rsidP="006122CE">
            <w:pPr>
              <w:pStyle w:val="RBNBasicNoSpace"/>
              <w:jc w:val="center"/>
              <w:rPr>
                <w:sz w:val="22"/>
                <w:szCs w:val="18"/>
              </w:rPr>
            </w:pPr>
            <w:r w:rsidRPr="0056235A">
              <w:rPr>
                <w:sz w:val="22"/>
                <w:szCs w:val="18"/>
              </w:rPr>
              <w:t xml:space="preserve"> 3,806 </w:t>
            </w:r>
          </w:p>
        </w:tc>
        <w:tc>
          <w:tcPr>
            <w:tcW w:w="1174" w:type="dxa"/>
            <w:vAlign w:val="center"/>
          </w:tcPr>
          <w:p w14:paraId="2DF622C5" w14:textId="70846310" w:rsidR="006122CE" w:rsidRPr="0056235A" w:rsidRDefault="006122CE" w:rsidP="006122CE">
            <w:pPr>
              <w:pStyle w:val="RBNBasicNoSpace"/>
              <w:jc w:val="center"/>
              <w:rPr>
                <w:sz w:val="22"/>
                <w:szCs w:val="18"/>
              </w:rPr>
            </w:pPr>
            <w:r w:rsidRPr="0056235A">
              <w:rPr>
                <w:color w:val="000000"/>
                <w:sz w:val="22"/>
                <w:szCs w:val="18"/>
              </w:rPr>
              <w:t>5.5</w:t>
            </w:r>
          </w:p>
        </w:tc>
      </w:tr>
      <w:tr w:rsidR="006122CE" w:rsidRPr="0056235A" w14:paraId="4EBE5BB7" w14:textId="77777777" w:rsidTr="002B7566">
        <w:trPr>
          <w:jc w:val="center"/>
        </w:trPr>
        <w:tc>
          <w:tcPr>
            <w:tcW w:w="2790" w:type="dxa"/>
          </w:tcPr>
          <w:p w14:paraId="6F125B28" w14:textId="77777777" w:rsidR="006122CE" w:rsidRPr="0056235A" w:rsidRDefault="006122CE" w:rsidP="006122CE">
            <w:pPr>
              <w:pStyle w:val="RBNBasicNoSpace"/>
              <w:rPr>
                <w:sz w:val="22"/>
                <w:szCs w:val="18"/>
              </w:rPr>
            </w:pPr>
            <w:r w:rsidRPr="0056235A">
              <w:rPr>
                <w:sz w:val="22"/>
                <w:szCs w:val="18"/>
              </w:rPr>
              <w:t xml:space="preserve">Head and Neck Oncology </w:t>
            </w:r>
          </w:p>
        </w:tc>
        <w:tc>
          <w:tcPr>
            <w:tcW w:w="1170" w:type="dxa"/>
            <w:vAlign w:val="center"/>
          </w:tcPr>
          <w:p w14:paraId="2E400A70" w14:textId="176C3864" w:rsidR="006122CE" w:rsidRPr="0056235A" w:rsidRDefault="006122CE" w:rsidP="006122CE">
            <w:pPr>
              <w:pStyle w:val="RBNBasicNoSpace"/>
              <w:jc w:val="center"/>
              <w:rPr>
                <w:sz w:val="22"/>
                <w:szCs w:val="18"/>
              </w:rPr>
            </w:pPr>
            <w:r w:rsidRPr="0056235A">
              <w:rPr>
                <w:sz w:val="22"/>
                <w:szCs w:val="18"/>
              </w:rPr>
              <w:t>2,369</w:t>
            </w:r>
          </w:p>
        </w:tc>
        <w:tc>
          <w:tcPr>
            <w:tcW w:w="1080" w:type="dxa"/>
            <w:vAlign w:val="center"/>
          </w:tcPr>
          <w:p w14:paraId="69DD3CBB" w14:textId="6B241F8C" w:rsidR="006122CE" w:rsidRPr="0056235A" w:rsidRDefault="006122CE" w:rsidP="006122CE">
            <w:pPr>
              <w:pStyle w:val="RBNBasicNoSpace"/>
              <w:jc w:val="center"/>
              <w:rPr>
                <w:sz w:val="22"/>
                <w:szCs w:val="18"/>
              </w:rPr>
            </w:pPr>
            <w:r w:rsidRPr="0056235A">
              <w:rPr>
                <w:color w:val="000000"/>
                <w:sz w:val="22"/>
                <w:szCs w:val="18"/>
              </w:rPr>
              <w:t>4.0</w:t>
            </w:r>
          </w:p>
        </w:tc>
        <w:tc>
          <w:tcPr>
            <w:tcW w:w="1046" w:type="dxa"/>
            <w:vAlign w:val="center"/>
          </w:tcPr>
          <w:p w14:paraId="676FCE2A" w14:textId="25C88A5E" w:rsidR="006122CE" w:rsidRPr="0056235A" w:rsidRDefault="006122CE" w:rsidP="006122CE">
            <w:pPr>
              <w:pStyle w:val="RBNBasicNoSpace"/>
              <w:jc w:val="center"/>
              <w:rPr>
                <w:sz w:val="22"/>
                <w:szCs w:val="18"/>
              </w:rPr>
            </w:pPr>
            <w:r w:rsidRPr="0056235A">
              <w:rPr>
                <w:sz w:val="22"/>
                <w:szCs w:val="18"/>
              </w:rPr>
              <w:t>2,675</w:t>
            </w:r>
          </w:p>
        </w:tc>
        <w:tc>
          <w:tcPr>
            <w:tcW w:w="1173" w:type="dxa"/>
            <w:vAlign w:val="center"/>
          </w:tcPr>
          <w:p w14:paraId="4745013E" w14:textId="6C8009B0" w:rsidR="006122CE" w:rsidRPr="0056235A" w:rsidRDefault="006122CE" w:rsidP="006122CE">
            <w:pPr>
              <w:pStyle w:val="RBNBasicNoSpace"/>
              <w:jc w:val="center"/>
              <w:rPr>
                <w:sz w:val="22"/>
                <w:szCs w:val="18"/>
              </w:rPr>
            </w:pPr>
            <w:r w:rsidRPr="0056235A">
              <w:rPr>
                <w:color w:val="000000"/>
                <w:sz w:val="22"/>
                <w:szCs w:val="18"/>
              </w:rPr>
              <w:t>4.1</w:t>
            </w:r>
          </w:p>
        </w:tc>
        <w:tc>
          <w:tcPr>
            <w:tcW w:w="1174" w:type="dxa"/>
          </w:tcPr>
          <w:p w14:paraId="3D4D7526" w14:textId="7D2F9C6C" w:rsidR="006122CE" w:rsidRPr="0056235A" w:rsidRDefault="006122CE" w:rsidP="006122CE">
            <w:pPr>
              <w:pStyle w:val="RBNBasicNoSpace"/>
              <w:jc w:val="center"/>
              <w:rPr>
                <w:sz w:val="22"/>
                <w:szCs w:val="18"/>
              </w:rPr>
            </w:pPr>
            <w:r w:rsidRPr="0056235A">
              <w:rPr>
                <w:sz w:val="22"/>
                <w:szCs w:val="18"/>
              </w:rPr>
              <w:t xml:space="preserve"> 2,759 </w:t>
            </w:r>
          </w:p>
        </w:tc>
        <w:tc>
          <w:tcPr>
            <w:tcW w:w="1174" w:type="dxa"/>
            <w:vAlign w:val="center"/>
          </w:tcPr>
          <w:p w14:paraId="5F941389" w14:textId="21D94E42" w:rsidR="006122CE" w:rsidRPr="0056235A" w:rsidRDefault="006122CE" w:rsidP="006122CE">
            <w:pPr>
              <w:pStyle w:val="RBNBasicNoSpace"/>
              <w:jc w:val="center"/>
              <w:rPr>
                <w:sz w:val="22"/>
                <w:szCs w:val="18"/>
              </w:rPr>
            </w:pPr>
            <w:r w:rsidRPr="0056235A">
              <w:rPr>
                <w:color w:val="000000"/>
                <w:sz w:val="22"/>
                <w:szCs w:val="18"/>
              </w:rPr>
              <w:t>4.0</w:t>
            </w:r>
          </w:p>
        </w:tc>
      </w:tr>
      <w:tr w:rsidR="00430E88" w:rsidRPr="0056235A" w14:paraId="6E579562" w14:textId="77777777" w:rsidTr="002B7566">
        <w:trPr>
          <w:jc w:val="center"/>
        </w:trPr>
        <w:tc>
          <w:tcPr>
            <w:tcW w:w="2790" w:type="dxa"/>
          </w:tcPr>
          <w:p w14:paraId="77D1595D" w14:textId="5C27B9CF" w:rsidR="00430E88" w:rsidRPr="0056235A" w:rsidRDefault="00430E88" w:rsidP="00430E88">
            <w:pPr>
              <w:pStyle w:val="RBNBasicNoSpace"/>
              <w:rPr>
                <w:sz w:val="22"/>
                <w:szCs w:val="18"/>
              </w:rPr>
            </w:pPr>
            <w:r w:rsidRPr="0056235A">
              <w:rPr>
                <w:sz w:val="22"/>
                <w:szCs w:val="18"/>
              </w:rPr>
              <w:t>Hematologic Malignancies</w:t>
            </w:r>
            <w:r>
              <w:rPr>
                <w:rStyle w:val="FootnoteReference"/>
                <w:sz w:val="22"/>
                <w:szCs w:val="18"/>
              </w:rPr>
              <w:footnoteReference w:id="43"/>
            </w:r>
          </w:p>
        </w:tc>
        <w:tc>
          <w:tcPr>
            <w:tcW w:w="1170" w:type="dxa"/>
            <w:vAlign w:val="center"/>
          </w:tcPr>
          <w:p w14:paraId="355E357A" w14:textId="39620181" w:rsidR="00430E88" w:rsidRPr="0056235A" w:rsidRDefault="00430E88" w:rsidP="00430E88">
            <w:pPr>
              <w:pStyle w:val="RBNBasicNoSpace"/>
              <w:jc w:val="center"/>
              <w:rPr>
                <w:sz w:val="22"/>
                <w:szCs w:val="18"/>
              </w:rPr>
            </w:pPr>
            <w:r w:rsidRPr="0056235A">
              <w:rPr>
                <w:sz w:val="22"/>
                <w:szCs w:val="18"/>
              </w:rPr>
              <w:t>13,</w:t>
            </w:r>
            <w:r>
              <w:rPr>
                <w:sz w:val="22"/>
                <w:szCs w:val="18"/>
              </w:rPr>
              <w:t>231</w:t>
            </w:r>
          </w:p>
        </w:tc>
        <w:tc>
          <w:tcPr>
            <w:tcW w:w="1080" w:type="dxa"/>
            <w:vAlign w:val="center"/>
          </w:tcPr>
          <w:p w14:paraId="7A366A59" w14:textId="640904D0" w:rsidR="00430E88" w:rsidRPr="0056235A" w:rsidRDefault="00430E88" w:rsidP="00430E88">
            <w:pPr>
              <w:pStyle w:val="RBNBasicNoSpace"/>
              <w:jc w:val="center"/>
              <w:rPr>
                <w:sz w:val="22"/>
                <w:szCs w:val="18"/>
              </w:rPr>
            </w:pPr>
            <w:r w:rsidRPr="0056235A">
              <w:rPr>
                <w:color w:val="000000"/>
                <w:sz w:val="22"/>
                <w:szCs w:val="18"/>
              </w:rPr>
              <w:t>22.</w:t>
            </w:r>
            <w:r>
              <w:rPr>
                <w:color w:val="000000"/>
                <w:sz w:val="22"/>
                <w:szCs w:val="18"/>
              </w:rPr>
              <w:t>1</w:t>
            </w:r>
          </w:p>
        </w:tc>
        <w:tc>
          <w:tcPr>
            <w:tcW w:w="1046" w:type="dxa"/>
            <w:vAlign w:val="center"/>
          </w:tcPr>
          <w:p w14:paraId="149AE127" w14:textId="36DC7CAC" w:rsidR="00430E88" w:rsidRPr="0056235A" w:rsidRDefault="00430E88" w:rsidP="00430E88">
            <w:pPr>
              <w:pStyle w:val="RBNBasicNoSpace"/>
              <w:jc w:val="center"/>
              <w:rPr>
                <w:sz w:val="22"/>
                <w:szCs w:val="18"/>
              </w:rPr>
            </w:pPr>
            <w:r w:rsidRPr="0056235A">
              <w:rPr>
                <w:sz w:val="22"/>
                <w:szCs w:val="18"/>
              </w:rPr>
              <w:t>14,</w:t>
            </w:r>
            <w:r>
              <w:rPr>
                <w:sz w:val="22"/>
                <w:szCs w:val="18"/>
              </w:rPr>
              <w:t>355</w:t>
            </w:r>
          </w:p>
        </w:tc>
        <w:tc>
          <w:tcPr>
            <w:tcW w:w="1173" w:type="dxa"/>
            <w:vAlign w:val="center"/>
          </w:tcPr>
          <w:p w14:paraId="14BC62B9" w14:textId="0E7A2CA5" w:rsidR="00430E88" w:rsidRPr="0056235A" w:rsidRDefault="00430E88" w:rsidP="00430E88">
            <w:pPr>
              <w:pStyle w:val="RBNBasicNoSpace"/>
              <w:jc w:val="center"/>
              <w:rPr>
                <w:sz w:val="22"/>
                <w:szCs w:val="18"/>
              </w:rPr>
            </w:pPr>
            <w:r>
              <w:rPr>
                <w:color w:val="000000"/>
                <w:sz w:val="22"/>
                <w:szCs w:val="18"/>
              </w:rPr>
              <w:t>21.9</w:t>
            </w:r>
          </w:p>
        </w:tc>
        <w:tc>
          <w:tcPr>
            <w:tcW w:w="1174" w:type="dxa"/>
          </w:tcPr>
          <w:p w14:paraId="1A24069C" w14:textId="699407D1" w:rsidR="00430E88" w:rsidRPr="0056235A" w:rsidRDefault="00430E88" w:rsidP="00430E88">
            <w:pPr>
              <w:pStyle w:val="RBNBasicNoSpace"/>
              <w:jc w:val="center"/>
              <w:rPr>
                <w:sz w:val="22"/>
                <w:szCs w:val="18"/>
              </w:rPr>
            </w:pPr>
            <w:r w:rsidRPr="0056235A">
              <w:rPr>
                <w:sz w:val="22"/>
                <w:szCs w:val="18"/>
              </w:rPr>
              <w:t xml:space="preserve"> 15,</w:t>
            </w:r>
            <w:r>
              <w:rPr>
                <w:sz w:val="22"/>
                <w:szCs w:val="18"/>
              </w:rPr>
              <w:t>186</w:t>
            </w:r>
          </w:p>
        </w:tc>
        <w:tc>
          <w:tcPr>
            <w:tcW w:w="1174" w:type="dxa"/>
            <w:vAlign w:val="center"/>
          </w:tcPr>
          <w:p w14:paraId="731E595F" w14:textId="74F2E359" w:rsidR="00430E88" w:rsidRPr="0056235A" w:rsidRDefault="00430E88" w:rsidP="00430E88">
            <w:pPr>
              <w:pStyle w:val="RBNBasicNoSpace"/>
              <w:jc w:val="center"/>
              <w:rPr>
                <w:sz w:val="22"/>
                <w:szCs w:val="18"/>
              </w:rPr>
            </w:pPr>
            <w:r>
              <w:rPr>
                <w:color w:val="000000"/>
                <w:sz w:val="22"/>
                <w:szCs w:val="18"/>
              </w:rPr>
              <w:t>21.9</w:t>
            </w:r>
          </w:p>
        </w:tc>
      </w:tr>
      <w:tr w:rsidR="006122CE" w:rsidRPr="0056235A" w14:paraId="1EE8CA1B" w14:textId="77777777" w:rsidTr="002B7566">
        <w:trPr>
          <w:jc w:val="center"/>
        </w:trPr>
        <w:tc>
          <w:tcPr>
            <w:tcW w:w="2790" w:type="dxa"/>
          </w:tcPr>
          <w:p w14:paraId="65CFC38B" w14:textId="77777777" w:rsidR="006122CE" w:rsidRPr="0056235A" w:rsidRDefault="006122CE" w:rsidP="006122CE">
            <w:pPr>
              <w:pStyle w:val="RBNBasicNoSpace"/>
              <w:rPr>
                <w:sz w:val="22"/>
                <w:szCs w:val="18"/>
              </w:rPr>
            </w:pPr>
            <w:r w:rsidRPr="0056235A">
              <w:rPr>
                <w:sz w:val="22"/>
                <w:szCs w:val="18"/>
              </w:rPr>
              <w:t>Hematology Service</w:t>
            </w:r>
          </w:p>
        </w:tc>
        <w:tc>
          <w:tcPr>
            <w:tcW w:w="1170" w:type="dxa"/>
            <w:vAlign w:val="center"/>
          </w:tcPr>
          <w:p w14:paraId="6E8D9B83" w14:textId="531B30EC" w:rsidR="006122CE" w:rsidRPr="0056235A" w:rsidRDefault="006122CE" w:rsidP="006122CE">
            <w:pPr>
              <w:pStyle w:val="RBNBasicNoSpace"/>
              <w:jc w:val="center"/>
              <w:rPr>
                <w:sz w:val="22"/>
                <w:szCs w:val="18"/>
              </w:rPr>
            </w:pPr>
            <w:r w:rsidRPr="0056235A">
              <w:rPr>
                <w:sz w:val="22"/>
                <w:szCs w:val="18"/>
              </w:rPr>
              <w:t>1,954</w:t>
            </w:r>
          </w:p>
        </w:tc>
        <w:tc>
          <w:tcPr>
            <w:tcW w:w="1080" w:type="dxa"/>
            <w:vAlign w:val="center"/>
          </w:tcPr>
          <w:p w14:paraId="4993DFA2" w14:textId="349E135C" w:rsidR="006122CE" w:rsidRPr="0056235A" w:rsidRDefault="006122CE" w:rsidP="006122CE">
            <w:pPr>
              <w:pStyle w:val="RBNBasicNoSpace"/>
              <w:jc w:val="center"/>
              <w:rPr>
                <w:sz w:val="22"/>
                <w:szCs w:val="18"/>
              </w:rPr>
            </w:pPr>
            <w:r w:rsidRPr="0056235A">
              <w:rPr>
                <w:color w:val="000000"/>
                <w:sz w:val="22"/>
                <w:szCs w:val="18"/>
              </w:rPr>
              <w:t>3.3</w:t>
            </w:r>
          </w:p>
        </w:tc>
        <w:tc>
          <w:tcPr>
            <w:tcW w:w="1046" w:type="dxa"/>
            <w:vAlign w:val="center"/>
          </w:tcPr>
          <w:p w14:paraId="48F72B2F" w14:textId="4706BF29" w:rsidR="006122CE" w:rsidRPr="0056235A" w:rsidRDefault="006122CE" w:rsidP="006122CE">
            <w:pPr>
              <w:pStyle w:val="RBNBasicNoSpace"/>
              <w:jc w:val="center"/>
              <w:rPr>
                <w:sz w:val="22"/>
                <w:szCs w:val="18"/>
              </w:rPr>
            </w:pPr>
            <w:r w:rsidRPr="0056235A">
              <w:rPr>
                <w:sz w:val="22"/>
                <w:szCs w:val="18"/>
              </w:rPr>
              <w:t>2,176</w:t>
            </w:r>
          </w:p>
        </w:tc>
        <w:tc>
          <w:tcPr>
            <w:tcW w:w="1173" w:type="dxa"/>
            <w:vAlign w:val="center"/>
          </w:tcPr>
          <w:p w14:paraId="4D40820A" w14:textId="1A81CE8C" w:rsidR="006122CE" w:rsidRPr="0056235A" w:rsidRDefault="006122CE" w:rsidP="006122CE">
            <w:pPr>
              <w:pStyle w:val="RBNBasicNoSpace"/>
              <w:jc w:val="center"/>
              <w:rPr>
                <w:sz w:val="22"/>
                <w:szCs w:val="18"/>
              </w:rPr>
            </w:pPr>
            <w:r w:rsidRPr="0056235A">
              <w:rPr>
                <w:color w:val="000000"/>
                <w:sz w:val="22"/>
                <w:szCs w:val="18"/>
              </w:rPr>
              <w:t>3.3</w:t>
            </w:r>
          </w:p>
        </w:tc>
        <w:tc>
          <w:tcPr>
            <w:tcW w:w="1174" w:type="dxa"/>
          </w:tcPr>
          <w:p w14:paraId="3EC99CEA" w14:textId="4E39FA1F" w:rsidR="006122CE" w:rsidRPr="0056235A" w:rsidRDefault="006122CE" w:rsidP="006122CE">
            <w:pPr>
              <w:pStyle w:val="RBNBasicNoSpace"/>
              <w:jc w:val="center"/>
              <w:rPr>
                <w:sz w:val="22"/>
                <w:szCs w:val="18"/>
              </w:rPr>
            </w:pPr>
            <w:r w:rsidRPr="0056235A">
              <w:rPr>
                <w:sz w:val="22"/>
                <w:szCs w:val="18"/>
              </w:rPr>
              <w:t xml:space="preserve"> 2,524 </w:t>
            </w:r>
          </w:p>
        </w:tc>
        <w:tc>
          <w:tcPr>
            <w:tcW w:w="1174" w:type="dxa"/>
            <w:vAlign w:val="center"/>
          </w:tcPr>
          <w:p w14:paraId="57958A55" w14:textId="25F9B1C7" w:rsidR="006122CE" w:rsidRPr="0056235A" w:rsidRDefault="006122CE" w:rsidP="006122CE">
            <w:pPr>
              <w:pStyle w:val="RBNBasicNoSpace"/>
              <w:jc w:val="center"/>
              <w:rPr>
                <w:sz w:val="22"/>
                <w:szCs w:val="18"/>
              </w:rPr>
            </w:pPr>
            <w:r w:rsidRPr="0056235A">
              <w:rPr>
                <w:color w:val="000000"/>
                <w:sz w:val="22"/>
                <w:szCs w:val="18"/>
              </w:rPr>
              <w:t>3.6</w:t>
            </w:r>
          </w:p>
        </w:tc>
      </w:tr>
      <w:tr w:rsidR="006122CE" w:rsidRPr="0056235A" w14:paraId="03D18AE7" w14:textId="77777777" w:rsidTr="002B7566">
        <w:trPr>
          <w:jc w:val="center"/>
        </w:trPr>
        <w:tc>
          <w:tcPr>
            <w:tcW w:w="2790" w:type="dxa"/>
          </w:tcPr>
          <w:p w14:paraId="21A1714D" w14:textId="11476145" w:rsidR="006122CE" w:rsidRPr="0056235A" w:rsidRDefault="006122CE" w:rsidP="006122CE">
            <w:pPr>
              <w:pStyle w:val="RBNBasicNoSpace"/>
              <w:rPr>
                <w:sz w:val="22"/>
                <w:szCs w:val="18"/>
              </w:rPr>
            </w:pPr>
            <w:r w:rsidRPr="0056235A">
              <w:rPr>
                <w:sz w:val="22"/>
                <w:szCs w:val="18"/>
              </w:rPr>
              <w:t>Melanoma Center</w:t>
            </w:r>
          </w:p>
        </w:tc>
        <w:tc>
          <w:tcPr>
            <w:tcW w:w="1170" w:type="dxa"/>
            <w:vAlign w:val="center"/>
          </w:tcPr>
          <w:p w14:paraId="49844919" w14:textId="0288412E" w:rsidR="006122CE" w:rsidRPr="0056235A" w:rsidRDefault="006122CE" w:rsidP="006122CE">
            <w:pPr>
              <w:pStyle w:val="RBNBasicNoSpace"/>
              <w:jc w:val="center"/>
              <w:rPr>
                <w:sz w:val="22"/>
                <w:szCs w:val="18"/>
              </w:rPr>
            </w:pPr>
            <w:r w:rsidRPr="0056235A">
              <w:rPr>
                <w:sz w:val="22"/>
                <w:szCs w:val="18"/>
              </w:rPr>
              <w:t>1,848</w:t>
            </w:r>
          </w:p>
        </w:tc>
        <w:tc>
          <w:tcPr>
            <w:tcW w:w="1080" w:type="dxa"/>
            <w:vAlign w:val="center"/>
          </w:tcPr>
          <w:p w14:paraId="72F531C6" w14:textId="62631AE6" w:rsidR="006122CE" w:rsidRPr="0056235A" w:rsidRDefault="006122CE" w:rsidP="006122CE">
            <w:pPr>
              <w:pStyle w:val="RBNBasicNoSpace"/>
              <w:jc w:val="center"/>
              <w:rPr>
                <w:color w:val="000000"/>
                <w:sz w:val="22"/>
                <w:szCs w:val="18"/>
              </w:rPr>
            </w:pPr>
            <w:r w:rsidRPr="0056235A">
              <w:rPr>
                <w:sz w:val="22"/>
                <w:szCs w:val="18"/>
              </w:rPr>
              <w:t>3.1</w:t>
            </w:r>
          </w:p>
        </w:tc>
        <w:tc>
          <w:tcPr>
            <w:tcW w:w="1046" w:type="dxa"/>
            <w:vAlign w:val="center"/>
          </w:tcPr>
          <w:p w14:paraId="43837623" w14:textId="6E8EFA8A" w:rsidR="006122CE" w:rsidRPr="0056235A" w:rsidRDefault="006122CE" w:rsidP="006122CE">
            <w:pPr>
              <w:pStyle w:val="RBNBasicNoSpace"/>
              <w:jc w:val="center"/>
              <w:rPr>
                <w:sz w:val="22"/>
                <w:szCs w:val="18"/>
              </w:rPr>
            </w:pPr>
            <w:r w:rsidRPr="0056235A">
              <w:rPr>
                <w:sz w:val="22"/>
                <w:szCs w:val="18"/>
              </w:rPr>
              <w:t>2,060</w:t>
            </w:r>
          </w:p>
        </w:tc>
        <w:tc>
          <w:tcPr>
            <w:tcW w:w="1173" w:type="dxa"/>
            <w:vAlign w:val="center"/>
          </w:tcPr>
          <w:p w14:paraId="2557E446" w14:textId="1276608F" w:rsidR="006122CE" w:rsidRPr="0056235A" w:rsidRDefault="006122CE" w:rsidP="006122CE">
            <w:pPr>
              <w:pStyle w:val="RBNBasicNoSpace"/>
              <w:jc w:val="center"/>
              <w:rPr>
                <w:color w:val="000000"/>
                <w:sz w:val="22"/>
                <w:szCs w:val="18"/>
              </w:rPr>
            </w:pPr>
            <w:r w:rsidRPr="0056235A">
              <w:rPr>
                <w:sz w:val="22"/>
                <w:szCs w:val="18"/>
              </w:rPr>
              <w:t>3.1</w:t>
            </w:r>
          </w:p>
        </w:tc>
        <w:tc>
          <w:tcPr>
            <w:tcW w:w="1174" w:type="dxa"/>
          </w:tcPr>
          <w:p w14:paraId="37DD16D0" w14:textId="4AD2A7CB" w:rsidR="006122CE" w:rsidRPr="0056235A" w:rsidRDefault="006122CE" w:rsidP="006122CE">
            <w:pPr>
              <w:pStyle w:val="RBNBasicNoSpace"/>
              <w:jc w:val="center"/>
              <w:rPr>
                <w:sz w:val="22"/>
                <w:szCs w:val="18"/>
              </w:rPr>
            </w:pPr>
            <w:r w:rsidRPr="0056235A">
              <w:rPr>
                <w:sz w:val="22"/>
                <w:szCs w:val="18"/>
              </w:rPr>
              <w:t xml:space="preserve"> 2,232 </w:t>
            </w:r>
          </w:p>
        </w:tc>
        <w:tc>
          <w:tcPr>
            <w:tcW w:w="1174" w:type="dxa"/>
            <w:vAlign w:val="center"/>
          </w:tcPr>
          <w:p w14:paraId="37C10B0C" w14:textId="7725D876" w:rsidR="006122CE" w:rsidRPr="0056235A" w:rsidRDefault="006122CE" w:rsidP="006122CE">
            <w:pPr>
              <w:pStyle w:val="RBNBasicNoSpace"/>
              <w:jc w:val="center"/>
              <w:rPr>
                <w:color w:val="000000"/>
                <w:sz w:val="22"/>
                <w:szCs w:val="18"/>
              </w:rPr>
            </w:pPr>
            <w:r w:rsidRPr="0056235A">
              <w:rPr>
                <w:color w:val="000000"/>
                <w:sz w:val="22"/>
                <w:szCs w:val="18"/>
              </w:rPr>
              <w:t>3.2</w:t>
            </w:r>
          </w:p>
        </w:tc>
      </w:tr>
      <w:tr w:rsidR="006122CE" w:rsidRPr="0056235A" w14:paraId="2E6E9155" w14:textId="77777777" w:rsidTr="002B7566">
        <w:trPr>
          <w:jc w:val="center"/>
        </w:trPr>
        <w:tc>
          <w:tcPr>
            <w:tcW w:w="2790" w:type="dxa"/>
          </w:tcPr>
          <w:p w14:paraId="648714D0" w14:textId="77777777" w:rsidR="006122CE" w:rsidRPr="0056235A" w:rsidRDefault="006122CE" w:rsidP="006122CE">
            <w:pPr>
              <w:pStyle w:val="RBNBasicNoSpace"/>
              <w:rPr>
                <w:sz w:val="22"/>
                <w:szCs w:val="18"/>
              </w:rPr>
            </w:pPr>
            <w:r w:rsidRPr="0056235A">
              <w:rPr>
                <w:sz w:val="22"/>
                <w:szCs w:val="18"/>
              </w:rPr>
              <w:t>Neuro-Oncology Center</w:t>
            </w:r>
          </w:p>
        </w:tc>
        <w:tc>
          <w:tcPr>
            <w:tcW w:w="1170" w:type="dxa"/>
            <w:vAlign w:val="center"/>
          </w:tcPr>
          <w:p w14:paraId="2D365FBB" w14:textId="6AA4AB6B" w:rsidR="006122CE" w:rsidRPr="0056235A" w:rsidRDefault="006122CE" w:rsidP="006122CE">
            <w:pPr>
              <w:pStyle w:val="RBNBasicNoSpace"/>
              <w:jc w:val="center"/>
              <w:rPr>
                <w:sz w:val="22"/>
                <w:szCs w:val="18"/>
              </w:rPr>
            </w:pPr>
            <w:r w:rsidRPr="0056235A">
              <w:rPr>
                <w:sz w:val="22"/>
                <w:szCs w:val="18"/>
              </w:rPr>
              <w:t>1,675</w:t>
            </w:r>
          </w:p>
        </w:tc>
        <w:tc>
          <w:tcPr>
            <w:tcW w:w="1080" w:type="dxa"/>
            <w:vAlign w:val="center"/>
          </w:tcPr>
          <w:p w14:paraId="1A035F8E" w14:textId="0F0BD84D" w:rsidR="006122CE" w:rsidRPr="0056235A" w:rsidRDefault="006122CE" w:rsidP="006122CE">
            <w:pPr>
              <w:pStyle w:val="RBNBasicNoSpace"/>
              <w:jc w:val="center"/>
              <w:rPr>
                <w:sz w:val="22"/>
                <w:szCs w:val="18"/>
              </w:rPr>
            </w:pPr>
            <w:r w:rsidRPr="0056235A">
              <w:rPr>
                <w:sz w:val="22"/>
                <w:szCs w:val="18"/>
              </w:rPr>
              <w:t>2.8</w:t>
            </w:r>
          </w:p>
        </w:tc>
        <w:tc>
          <w:tcPr>
            <w:tcW w:w="1046" w:type="dxa"/>
            <w:vAlign w:val="center"/>
          </w:tcPr>
          <w:p w14:paraId="0E757D2A" w14:textId="23C9519D" w:rsidR="006122CE" w:rsidRPr="0056235A" w:rsidRDefault="006122CE" w:rsidP="006122CE">
            <w:pPr>
              <w:pStyle w:val="RBNBasicNoSpace"/>
              <w:jc w:val="center"/>
              <w:rPr>
                <w:sz w:val="22"/>
                <w:szCs w:val="18"/>
              </w:rPr>
            </w:pPr>
            <w:r w:rsidRPr="0056235A">
              <w:rPr>
                <w:sz w:val="22"/>
                <w:szCs w:val="18"/>
              </w:rPr>
              <w:t>1,805</w:t>
            </w:r>
          </w:p>
        </w:tc>
        <w:tc>
          <w:tcPr>
            <w:tcW w:w="1173" w:type="dxa"/>
            <w:vAlign w:val="center"/>
          </w:tcPr>
          <w:p w14:paraId="4C4F7F09" w14:textId="49D6F068" w:rsidR="006122CE" w:rsidRPr="0056235A" w:rsidRDefault="006122CE" w:rsidP="006122CE">
            <w:pPr>
              <w:pStyle w:val="RBNBasicNoSpace"/>
              <w:jc w:val="center"/>
              <w:rPr>
                <w:sz w:val="22"/>
                <w:szCs w:val="18"/>
              </w:rPr>
            </w:pPr>
            <w:r w:rsidRPr="0056235A">
              <w:rPr>
                <w:sz w:val="22"/>
                <w:szCs w:val="18"/>
              </w:rPr>
              <w:t>2.8</w:t>
            </w:r>
          </w:p>
        </w:tc>
        <w:tc>
          <w:tcPr>
            <w:tcW w:w="1174" w:type="dxa"/>
          </w:tcPr>
          <w:p w14:paraId="20C960C0" w14:textId="4672BD84" w:rsidR="006122CE" w:rsidRPr="0056235A" w:rsidRDefault="006122CE" w:rsidP="006122CE">
            <w:pPr>
              <w:pStyle w:val="RBNBasicNoSpace"/>
              <w:jc w:val="center"/>
              <w:rPr>
                <w:sz w:val="22"/>
                <w:szCs w:val="18"/>
              </w:rPr>
            </w:pPr>
            <w:r w:rsidRPr="0056235A">
              <w:rPr>
                <w:sz w:val="22"/>
                <w:szCs w:val="18"/>
              </w:rPr>
              <w:t xml:space="preserve"> 1,819 </w:t>
            </w:r>
          </w:p>
        </w:tc>
        <w:tc>
          <w:tcPr>
            <w:tcW w:w="1174" w:type="dxa"/>
            <w:vAlign w:val="center"/>
          </w:tcPr>
          <w:p w14:paraId="68916F7A" w14:textId="01EE176A" w:rsidR="006122CE" w:rsidRPr="0056235A" w:rsidRDefault="006122CE" w:rsidP="006122CE">
            <w:pPr>
              <w:pStyle w:val="RBNBasicNoSpace"/>
              <w:jc w:val="center"/>
              <w:rPr>
                <w:sz w:val="22"/>
                <w:szCs w:val="18"/>
              </w:rPr>
            </w:pPr>
            <w:r w:rsidRPr="0056235A">
              <w:rPr>
                <w:color w:val="000000"/>
                <w:sz w:val="22"/>
                <w:szCs w:val="18"/>
              </w:rPr>
              <w:t>2.6</w:t>
            </w:r>
          </w:p>
        </w:tc>
      </w:tr>
      <w:tr w:rsidR="006122CE" w:rsidRPr="0056235A" w14:paraId="4F0F8F31" w14:textId="77777777" w:rsidTr="002B7566">
        <w:trPr>
          <w:jc w:val="center"/>
        </w:trPr>
        <w:tc>
          <w:tcPr>
            <w:tcW w:w="2790" w:type="dxa"/>
          </w:tcPr>
          <w:p w14:paraId="62CA46F0" w14:textId="77777777" w:rsidR="006122CE" w:rsidRPr="0056235A" w:rsidRDefault="006122CE" w:rsidP="006122CE">
            <w:pPr>
              <w:pStyle w:val="RBNBasicNoSpace"/>
              <w:rPr>
                <w:sz w:val="22"/>
                <w:szCs w:val="18"/>
              </w:rPr>
            </w:pPr>
            <w:r w:rsidRPr="0056235A">
              <w:rPr>
                <w:sz w:val="22"/>
                <w:szCs w:val="18"/>
              </w:rPr>
              <w:t xml:space="preserve">Sarcoma and Bone Oncology </w:t>
            </w:r>
          </w:p>
        </w:tc>
        <w:tc>
          <w:tcPr>
            <w:tcW w:w="1170" w:type="dxa"/>
            <w:vAlign w:val="center"/>
          </w:tcPr>
          <w:p w14:paraId="051055F5" w14:textId="7B976A26" w:rsidR="006122CE" w:rsidRPr="0056235A" w:rsidRDefault="006122CE" w:rsidP="006122CE">
            <w:pPr>
              <w:pStyle w:val="RBNBasicNoSpace"/>
              <w:jc w:val="center"/>
              <w:rPr>
                <w:sz w:val="22"/>
                <w:szCs w:val="18"/>
              </w:rPr>
            </w:pPr>
            <w:r w:rsidRPr="0056235A">
              <w:rPr>
                <w:sz w:val="22"/>
                <w:szCs w:val="18"/>
              </w:rPr>
              <w:t>2,022</w:t>
            </w:r>
          </w:p>
        </w:tc>
        <w:tc>
          <w:tcPr>
            <w:tcW w:w="1080" w:type="dxa"/>
            <w:vAlign w:val="center"/>
          </w:tcPr>
          <w:p w14:paraId="5EBE59A4" w14:textId="5475C748" w:rsidR="006122CE" w:rsidRPr="0056235A" w:rsidRDefault="006122CE" w:rsidP="006122CE">
            <w:pPr>
              <w:pStyle w:val="RBNBasicNoSpace"/>
              <w:jc w:val="center"/>
              <w:rPr>
                <w:sz w:val="22"/>
                <w:szCs w:val="18"/>
              </w:rPr>
            </w:pPr>
            <w:r w:rsidRPr="0056235A">
              <w:rPr>
                <w:sz w:val="22"/>
                <w:szCs w:val="18"/>
              </w:rPr>
              <w:t>3.4</w:t>
            </w:r>
          </w:p>
        </w:tc>
        <w:tc>
          <w:tcPr>
            <w:tcW w:w="1046" w:type="dxa"/>
            <w:vAlign w:val="center"/>
          </w:tcPr>
          <w:p w14:paraId="4781C6EA" w14:textId="20EC3C87" w:rsidR="006122CE" w:rsidRPr="0056235A" w:rsidRDefault="006122CE" w:rsidP="006122CE">
            <w:pPr>
              <w:pStyle w:val="RBNBasicNoSpace"/>
              <w:jc w:val="center"/>
              <w:rPr>
                <w:sz w:val="22"/>
                <w:szCs w:val="18"/>
              </w:rPr>
            </w:pPr>
            <w:r w:rsidRPr="0056235A">
              <w:rPr>
                <w:sz w:val="22"/>
                <w:szCs w:val="18"/>
              </w:rPr>
              <w:t>2,064</w:t>
            </w:r>
          </w:p>
        </w:tc>
        <w:tc>
          <w:tcPr>
            <w:tcW w:w="1173" w:type="dxa"/>
            <w:vAlign w:val="center"/>
          </w:tcPr>
          <w:p w14:paraId="58B8CCC8" w14:textId="74F72F1A" w:rsidR="006122CE" w:rsidRPr="0056235A" w:rsidRDefault="006122CE" w:rsidP="006122CE">
            <w:pPr>
              <w:pStyle w:val="RBNBasicNoSpace"/>
              <w:jc w:val="center"/>
              <w:rPr>
                <w:sz w:val="22"/>
                <w:szCs w:val="18"/>
              </w:rPr>
            </w:pPr>
            <w:r w:rsidRPr="0056235A">
              <w:rPr>
                <w:sz w:val="22"/>
                <w:szCs w:val="18"/>
              </w:rPr>
              <w:t>3.1</w:t>
            </w:r>
          </w:p>
        </w:tc>
        <w:tc>
          <w:tcPr>
            <w:tcW w:w="1174" w:type="dxa"/>
          </w:tcPr>
          <w:p w14:paraId="44950353" w14:textId="53D65E96" w:rsidR="006122CE" w:rsidRPr="0056235A" w:rsidRDefault="006122CE" w:rsidP="006122CE">
            <w:pPr>
              <w:pStyle w:val="RBNBasicNoSpace"/>
              <w:jc w:val="center"/>
              <w:rPr>
                <w:sz w:val="22"/>
                <w:szCs w:val="18"/>
              </w:rPr>
            </w:pPr>
            <w:r w:rsidRPr="0056235A">
              <w:rPr>
                <w:sz w:val="22"/>
                <w:szCs w:val="18"/>
              </w:rPr>
              <w:t xml:space="preserve"> 2,013 </w:t>
            </w:r>
          </w:p>
        </w:tc>
        <w:tc>
          <w:tcPr>
            <w:tcW w:w="1174" w:type="dxa"/>
            <w:vAlign w:val="center"/>
          </w:tcPr>
          <w:p w14:paraId="23AD6BDC" w14:textId="2604EA64" w:rsidR="006122CE" w:rsidRPr="0056235A" w:rsidRDefault="006122CE" w:rsidP="006122CE">
            <w:pPr>
              <w:pStyle w:val="RBNBasicNoSpace"/>
              <w:jc w:val="center"/>
              <w:rPr>
                <w:sz w:val="22"/>
                <w:szCs w:val="18"/>
              </w:rPr>
            </w:pPr>
            <w:r w:rsidRPr="0056235A">
              <w:rPr>
                <w:color w:val="000000"/>
                <w:sz w:val="22"/>
                <w:szCs w:val="18"/>
              </w:rPr>
              <w:t>2.9</w:t>
            </w:r>
          </w:p>
        </w:tc>
      </w:tr>
      <w:tr w:rsidR="006122CE" w:rsidRPr="0056235A" w14:paraId="524651A2" w14:textId="77777777" w:rsidTr="002B7566">
        <w:trPr>
          <w:jc w:val="center"/>
        </w:trPr>
        <w:tc>
          <w:tcPr>
            <w:tcW w:w="2790" w:type="dxa"/>
          </w:tcPr>
          <w:p w14:paraId="22F53474" w14:textId="77777777" w:rsidR="006122CE" w:rsidRPr="0056235A" w:rsidRDefault="006122CE" w:rsidP="006122CE">
            <w:pPr>
              <w:pStyle w:val="RBNBasicNoSpace"/>
              <w:rPr>
                <w:sz w:val="22"/>
                <w:szCs w:val="18"/>
              </w:rPr>
            </w:pPr>
            <w:r w:rsidRPr="0056235A">
              <w:rPr>
                <w:sz w:val="22"/>
                <w:szCs w:val="18"/>
              </w:rPr>
              <w:t xml:space="preserve">Thoracic Oncology Program </w:t>
            </w:r>
          </w:p>
        </w:tc>
        <w:tc>
          <w:tcPr>
            <w:tcW w:w="1170" w:type="dxa"/>
            <w:vAlign w:val="center"/>
          </w:tcPr>
          <w:p w14:paraId="33E9FDF7" w14:textId="73F7490C" w:rsidR="006122CE" w:rsidRPr="0056235A" w:rsidRDefault="006122CE" w:rsidP="006122CE">
            <w:pPr>
              <w:pStyle w:val="RBNBasicNoSpace"/>
              <w:jc w:val="center"/>
              <w:rPr>
                <w:sz w:val="22"/>
                <w:szCs w:val="18"/>
              </w:rPr>
            </w:pPr>
            <w:r w:rsidRPr="0056235A">
              <w:rPr>
                <w:sz w:val="22"/>
                <w:szCs w:val="18"/>
              </w:rPr>
              <w:t>3,105</w:t>
            </w:r>
          </w:p>
        </w:tc>
        <w:tc>
          <w:tcPr>
            <w:tcW w:w="1080" w:type="dxa"/>
            <w:vAlign w:val="center"/>
          </w:tcPr>
          <w:p w14:paraId="32C0AC92" w14:textId="456AEFAB" w:rsidR="006122CE" w:rsidRPr="0056235A" w:rsidRDefault="006122CE" w:rsidP="006122CE">
            <w:pPr>
              <w:pStyle w:val="RBNBasicNoSpace"/>
              <w:jc w:val="center"/>
              <w:rPr>
                <w:sz w:val="22"/>
                <w:szCs w:val="18"/>
              </w:rPr>
            </w:pPr>
            <w:r w:rsidRPr="0056235A">
              <w:rPr>
                <w:sz w:val="22"/>
                <w:szCs w:val="18"/>
              </w:rPr>
              <w:t>5.2</w:t>
            </w:r>
          </w:p>
        </w:tc>
        <w:tc>
          <w:tcPr>
            <w:tcW w:w="1046" w:type="dxa"/>
            <w:vAlign w:val="center"/>
          </w:tcPr>
          <w:p w14:paraId="24A92D97" w14:textId="33C4367F" w:rsidR="006122CE" w:rsidRPr="0056235A" w:rsidRDefault="006122CE" w:rsidP="006122CE">
            <w:pPr>
              <w:pStyle w:val="RBNBasicNoSpace"/>
              <w:jc w:val="center"/>
              <w:rPr>
                <w:sz w:val="22"/>
                <w:szCs w:val="18"/>
              </w:rPr>
            </w:pPr>
            <w:r w:rsidRPr="0056235A">
              <w:rPr>
                <w:sz w:val="22"/>
                <w:szCs w:val="18"/>
              </w:rPr>
              <w:t>3,245</w:t>
            </w:r>
          </w:p>
        </w:tc>
        <w:tc>
          <w:tcPr>
            <w:tcW w:w="1173" w:type="dxa"/>
            <w:vAlign w:val="center"/>
          </w:tcPr>
          <w:p w14:paraId="0946B773" w14:textId="32795D25" w:rsidR="006122CE" w:rsidRPr="0056235A" w:rsidRDefault="006122CE" w:rsidP="006122CE">
            <w:pPr>
              <w:pStyle w:val="RBNBasicNoSpace"/>
              <w:jc w:val="center"/>
              <w:rPr>
                <w:sz w:val="22"/>
                <w:szCs w:val="18"/>
              </w:rPr>
            </w:pPr>
            <w:r w:rsidRPr="0056235A">
              <w:rPr>
                <w:sz w:val="22"/>
                <w:szCs w:val="18"/>
              </w:rPr>
              <w:t>4.9</w:t>
            </w:r>
          </w:p>
        </w:tc>
        <w:tc>
          <w:tcPr>
            <w:tcW w:w="1174" w:type="dxa"/>
          </w:tcPr>
          <w:p w14:paraId="78F87617" w14:textId="6D67C8B2" w:rsidR="006122CE" w:rsidRPr="0056235A" w:rsidRDefault="006122CE" w:rsidP="006122CE">
            <w:pPr>
              <w:pStyle w:val="RBNBasicNoSpace"/>
              <w:jc w:val="center"/>
              <w:rPr>
                <w:sz w:val="22"/>
                <w:szCs w:val="18"/>
              </w:rPr>
            </w:pPr>
            <w:r w:rsidRPr="0056235A">
              <w:rPr>
                <w:sz w:val="22"/>
                <w:szCs w:val="18"/>
              </w:rPr>
              <w:t xml:space="preserve"> 3,298 </w:t>
            </w:r>
          </w:p>
        </w:tc>
        <w:tc>
          <w:tcPr>
            <w:tcW w:w="1174" w:type="dxa"/>
            <w:vAlign w:val="center"/>
          </w:tcPr>
          <w:p w14:paraId="6ED73CD9" w14:textId="25A0D09B" w:rsidR="006122CE" w:rsidRPr="0056235A" w:rsidRDefault="006122CE" w:rsidP="006122CE">
            <w:pPr>
              <w:pStyle w:val="RBNBasicNoSpace"/>
              <w:jc w:val="center"/>
              <w:rPr>
                <w:sz w:val="22"/>
                <w:szCs w:val="18"/>
              </w:rPr>
            </w:pPr>
            <w:r w:rsidRPr="0056235A">
              <w:rPr>
                <w:color w:val="000000"/>
                <w:sz w:val="22"/>
                <w:szCs w:val="18"/>
              </w:rPr>
              <w:t>4.8</w:t>
            </w:r>
          </w:p>
        </w:tc>
      </w:tr>
    </w:tbl>
    <w:p w14:paraId="345D036C" w14:textId="77777777" w:rsidR="001342B9" w:rsidRDefault="001342B9" w:rsidP="001342B9">
      <w:pPr>
        <w:jc w:val="center"/>
        <w:rPr>
          <w:b/>
          <w:bCs/>
          <w:szCs w:val="24"/>
        </w:rPr>
      </w:pPr>
    </w:p>
    <w:p w14:paraId="471F625F" w14:textId="77777777" w:rsidR="001342B9" w:rsidRDefault="001342B9">
      <w:pPr>
        <w:spacing w:after="160" w:line="259" w:lineRule="auto"/>
        <w:rPr>
          <w:b/>
          <w:bCs/>
          <w:szCs w:val="24"/>
        </w:rPr>
      </w:pPr>
      <w:r>
        <w:rPr>
          <w:b/>
          <w:bCs/>
          <w:szCs w:val="24"/>
        </w:rPr>
        <w:br w:type="page"/>
      </w:r>
    </w:p>
    <w:p w14:paraId="72CB4AB8" w14:textId="62A2E426" w:rsidR="00097F4E" w:rsidRDefault="00097F4E" w:rsidP="001342B9">
      <w:pPr>
        <w:jc w:val="center"/>
        <w:rPr>
          <w:b/>
          <w:bCs/>
          <w:szCs w:val="24"/>
        </w:rPr>
      </w:pPr>
      <w:r w:rsidRPr="008C7374">
        <w:rPr>
          <w:b/>
          <w:bCs/>
          <w:szCs w:val="24"/>
        </w:rPr>
        <w:lastRenderedPageBreak/>
        <w:t xml:space="preserve">Table </w:t>
      </w:r>
      <w:r w:rsidR="00DC6D58">
        <w:rPr>
          <w:b/>
          <w:bCs/>
          <w:szCs w:val="24"/>
        </w:rPr>
        <w:t>6</w:t>
      </w:r>
      <w:r w:rsidR="00B5424A">
        <w:rPr>
          <w:rStyle w:val="FootnoteReference"/>
          <w:b/>
          <w:bCs/>
          <w:szCs w:val="24"/>
        </w:rPr>
        <w:footnoteReference w:id="44"/>
      </w:r>
      <w:r>
        <w:rPr>
          <w:b/>
          <w:bCs/>
          <w:szCs w:val="24"/>
        </w:rPr>
        <w:br/>
      </w:r>
      <w:r w:rsidR="00B5424A">
        <w:rPr>
          <w:b/>
          <w:bCs/>
          <w:szCs w:val="24"/>
        </w:rPr>
        <w:t>I</w:t>
      </w:r>
      <w:r>
        <w:rPr>
          <w:b/>
          <w:bCs/>
          <w:szCs w:val="24"/>
        </w:rPr>
        <w:t>npatient Imaging Equipment</w:t>
      </w:r>
      <w:r w:rsidR="00B5424A">
        <w:rPr>
          <w:b/>
          <w:bCs/>
          <w:szCs w:val="24"/>
        </w:rPr>
        <w:t xml:space="preserve"> Utilization</w:t>
      </w:r>
    </w:p>
    <w:p w14:paraId="7BFE6BAD" w14:textId="77777777" w:rsidR="00097F4E" w:rsidRDefault="00097F4E" w:rsidP="00097F4E">
      <w:pPr>
        <w:jc w:val="center"/>
        <w:rPr>
          <w:b/>
          <w:bCs/>
          <w:szCs w:val="24"/>
        </w:rPr>
      </w:pPr>
    </w:p>
    <w:tbl>
      <w:tblPr>
        <w:tblStyle w:val="TableGrid"/>
        <w:tblW w:w="5100" w:type="pct"/>
        <w:jc w:val="center"/>
        <w:tblLook w:val="04A0" w:firstRow="1" w:lastRow="0" w:firstColumn="1" w:lastColumn="0" w:noHBand="0" w:noVBand="1"/>
      </w:tblPr>
      <w:tblGrid>
        <w:gridCol w:w="4418"/>
        <w:gridCol w:w="1705"/>
        <w:gridCol w:w="1707"/>
        <w:gridCol w:w="1707"/>
      </w:tblGrid>
      <w:tr w:rsidR="00097F4E" w:rsidRPr="0056235A" w14:paraId="56AA74C0" w14:textId="77777777" w:rsidTr="009B231A">
        <w:trPr>
          <w:cantSplit/>
          <w:tblHeader/>
          <w:jc w:val="center"/>
        </w:trPr>
        <w:tc>
          <w:tcPr>
            <w:tcW w:w="2316" w:type="pct"/>
          </w:tcPr>
          <w:p w14:paraId="6A75CF58" w14:textId="77777777" w:rsidR="00097F4E" w:rsidRPr="0056235A" w:rsidRDefault="00097F4E" w:rsidP="00242283">
            <w:pPr>
              <w:jc w:val="center"/>
              <w:rPr>
                <w:b/>
                <w:bCs/>
                <w:sz w:val="22"/>
                <w:szCs w:val="22"/>
              </w:rPr>
            </w:pPr>
            <w:r w:rsidRPr="0056235A">
              <w:rPr>
                <w:b/>
                <w:bCs/>
                <w:sz w:val="22"/>
                <w:szCs w:val="22"/>
              </w:rPr>
              <w:t>Metric</w:t>
            </w:r>
          </w:p>
        </w:tc>
        <w:tc>
          <w:tcPr>
            <w:tcW w:w="894" w:type="pct"/>
          </w:tcPr>
          <w:p w14:paraId="44A05AC7" w14:textId="2349DF58" w:rsidR="00097F4E" w:rsidRPr="0056235A" w:rsidRDefault="00B5424A" w:rsidP="00242283">
            <w:pPr>
              <w:jc w:val="center"/>
              <w:rPr>
                <w:b/>
                <w:bCs/>
                <w:sz w:val="22"/>
                <w:szCs w:val="22"/>
              </w:rPr>
            </w:pPr>
            <w:r w:rsidRPr="0056235A">
              <w:rPr>
                <w:b/>
                <w:bCs/>
                <w:sz w:val="22"/>
                <w:szCs w:val="22"/>
              </w:rPr>
              <w:t>20</w:t>
            </w:r>
            <w:r w:rsidR="00097F4E" w:rsidRPr="0056235A">
              <w:rPr>
                <w:b/>
                <w:bCs/>
                <w:sz w:val="22"/>
                <w:szCs w:val="22"/>
              </w:rPr>
              <w:t>20</w:t>
            </w:r>
          </w:p>
        </w:tc>
        <w:tc>
          <w:tcPr>
            <w:tcW w:w="895" w:type="pct"/>
          </w:tcPr>
          <w:p w14:paraId="56C76F24" w14:textId="421D64BB" w:rsidR="00097F4E" w:rsidRPr="0056235A" w:rsidRDefault="00B5424A" w:rsidP="00242283">
            <w:pPr>
              <w:jc w:val="center"/>
              <w:rPr>
                <w:b/>
                <w:bCs/>
                <w:sz w:val="22"/>
                <w:szCs w:val="22"/>
              </w:rPr>
            </w:pPr>
            <w:r w:rsidRPr="0056235A">
              <w:rPr>
                <w:b/>
                <w:bCs/>
                <w:sz w:val="22"/>
                <w:szCs w:val="22"/>
              </w:rPr>
              <w:t>2021</w:t>
            </w:r>
          </w:p>
        </w:tc>
        <w:tc>
          <w:tcPr>
            <w:tcW w:w="895" w:type="pct"/>
          </w:tcPr>
          <w:p w14:paraId="3BFF92AB" w14:textId="64316E9A" w:rsidR="00097F4E" w:rsidRPr="0056235A" w:rsidRDefault="00B5424A" w:rsidP="00242283">
            <w:pPr>
              <w:jc w:val="center"/>
              <w:rPr>
                <w:b/>
                <w:bCs/>
                <w:sz w:val="22"/>
                <w:szCs w:val="22"/>
              </w:rPr>
            </w:pPr>
            <w:r w:rsidRPr="0056235A">
              <w:rPr>
                <w:b/>
                <w:bCs/>
                <w:sz w:val="22"/>
                <w:szCs w:val="22"/>
              </w:rPr>
              <w:t>2022</w:t>
            </w:r>
          </w:p>
        </w:tc>
      </w:tr>
      <w:tr w:rsidR="00DD4EAF" w:rsidRPr="0056235A" w14:paraId="103DB9BE" w14:textId="77777777" w:rsidTr="009B231A">
        <w:trPr>
          <w:cantSplit/>
          <w:jc w:val="center"/>
        </w:trPr>
        <w:tc>
          <w:tcPr>
            <w:tcW w:w="2316" w:type="pct"/>
          </w:tcPr>
          <w:p w14:paraId="644DC04A" w14:textId="4A35D98A" w:rsidR="00DD4EAF" w:rsidRPr="0056235A" w:rsidRDefault="00DD4EAF" w:rsidP="00DD4EAF">
            <w:pPr>
              <w:rPr>
                <w:sz w:val="22"/>
                <w:szCs w:val="22"/>
              </w:rPr>
            </w:pPr>
            <w:r w:rsidRPr="0056235A">
              <w:rPr>
                <w:sz w:val="22"/>
                <w:szCs w:val="22"/>
              </w:rPr>
              <w:t xml:space="preserve">MRI </w:t>
            </w:r>
          </w:p>
        </w:tc>
        <w:tc>
          <w:tcPr>
            <w:tcW w:w="894" w:type="pct"/>
            <w:vAlign w:val="center"/>
          </w:tcPr>
          <w:p w14:paraId="15D6CF38" w14:textId="07537BF3" w:rsidR="00DD4EAF" w:rsidRPr="0056235A" w:rsidRDefault="00DD4EAF" w:rsidP="00DD4EAF">
            <w:pPr>
              <w:jc w:val="center"/>
              <w:rPr>
                <w:sz w:val="22"/>
                <w:szCs w:val="22"/>
              </w:rPr>
            </w:pPr>
          </w:p>
        </w:tc>
        <w:tc>
          <w:tcPr>
            <w:tcW w:w="895" w:type="pct"/>
            <w:vAlign w:val="center"/>
          </w:tcPr>
          <w:p w14:paraId="6CD8663E" w14:textId="05437105" w:rsidR="00DD4EAF" w:rsidRPr="0056235A" w:rsidRDefault="00DD4EAF" w:rsidP="00DD4EAF">
            <w:pPr>
              <w:jc w:val="center"/>
              <w:rPr>
                <w:sz w:val="22"/>
                <w:szCs w:val="22"/>
              </w:rPr>
            </w:pPr>
          </w:p>
        </w:tc>
        <w:tc>
          <w:tcPr>
            <w:tcW w:w="895" w:type="pct"/>
            <w:vAlign w:val="center"/>
          </w:tcPr>
          <w:p w14:paraId="44D73CA1" w14:textId="3DA886AD" w:rsidR="00DD4EAF" w:rsidRPr="0056235A" w:rsidRDefault="00DD4EAF" w:rsidP="00DD4EAF">
            <w:pPr>
              <w:jc w:val="center"/>
              <w:rPr>
                <w:sz w:val="22"/>
                <w:szCs w:val="22"/>
              </w:rPr>
            </w:pPr>
          </w:p>
        </w:tc>
      </w:tr>
      <w:tr w:rsidR="00D87F01" w:rsidRPr="0056235A" w14:paraId="6D986CD5" w14:textId="77777777" w:rsidTr="009B231A">
        <w:trPr>
          <w:cantSplit/>
          <w:jc w:val="center"/>
        </w:trPr>
        <w:tc>
          <w:tcPr>
            <w:tcW w:w="2316" w:type="pct"/>
          </w:tcPr>
          <w:p w14:paraId="75661E37" w14:textId="0EE7564E" w:rsidR="00D87F01" w:rsidRPr="0056235A" w:rsidRDefault="00D87F01" w:rsidP="00D87F01">
            <w:pPr>
              <w:ind w:left="720"/>
              <w:rPr>
                <w:sz w:val="22"/>
                <w:szCs w:val="22"/>
              </w:rPr>
            </w:pPr>
            <w:r w:rsidRPr="0056235A">
              <w:rPr>
                <w:sz w:val="22"/>
                <w:szCs w:val="22"/>
              </w:rPr>
              <w:t>Inpatient Scans</w:t>
            </w:r>
          </w:p>
        </w:tc>
        <w:tc>
          <w:tcPr>
            <w:tcW w:w="894" w:type="pct"/>
            <w:vAlign w:val="center"/>
          </w:tcPr>
          <w:p w14:paraId="69A20CBA" w14:textId="4EB5659B" w:rsidR="00D87F01" w:rsidRPr="0056235A" w:rsidRDefault="00D87F01" w:rsidP="00D87F01">
            <w:pPr>
              <w:jc w:val="center"/>
              <w:rPr>
                <w:color w:val="000000"/>
                <w:sz w:val="22"/>
                <w:szCs w:val="22"/>
              </w:rPr>
            </w:pPr>
            <w:r w:rsidRPr="0056235A">
              <w:rPr>
                <w:color w:val="000000"/>
                <w:sz w:val="22"/>
                <w:szCs w:val="22"/>
              </w:rPr>
              <w:t>370</w:t>
            </w:r>
          </w:p>
        </w:tc>
        <w:tc>
          <w:tcPr>
            <w:tcW w:w="895" w:type="pct"/>
            <w:vAlign w:val="center"/>
          </w:tcPr>
          <w:p w14:paraId="08CF3961" w14:textId="2007CA65" w:rsidR="00D87F01" w:rsidRPr="0056235A" w:rsidRDefault="00D87F01" w:rsidP="00D87F01">
            <w:pPr>
              <w:jc w:val="center"/>
              <w:rPr>
                <w:sz w:val="22"/>
                <w:szCs w:val="22"/>
              </w:rPr>
            </w:pPr>
            <w:r w:rsidRPr="0056235A">
              <w:rPr>
                <w:sz w:val="22"/>
                <w:szCs w:val="22"/>
              </w:rPr>
              <w:t>529</w:t>
            </w:r>
          </w:p>
        </w:tc>
        <w:tc>
          <w:tcPr>
            <w:tcW w:w="895" w:type="pct"/>
            <w:vAlign w:val="center"/>
          </w:tcPr>
          <w:p w14:paraId="10D8F0BE" w14:textId="65EC4B6C" w:rsidR="00D87F01" w:rsidRPr="0056235A" w:rsidRDefault="00D87F01" w:rsidP="00D87F01">
            <w:pPr>
              <w:jc w:val="center"/>
              <w:rPr>
                <w:color w:val="000000"/>
                <w:sz w:val="22"/>
                <w:szCs w:val="22"/>
              </w:rPr>
            </w:pPr>
            <w:r w:rsidRPr="0056235A">
              <w:rPr>
                <w:color w:val="000000"/>
                <w:sz w:val="22"/>
                <w:szCs w:val="22"/>
              </w:rPr>
              <w:t>519</w:t>
            </w:r>
          </w:p>
        </w:tc>
      </w:tr>
      <w:tr w:rsidR="00B5424A" w:rsidRPr="0056235A" w14:paraId="604CBE86" w14:textId="77777777" w:rsidTr="009B231A">
        <w:trPr>
          <w:cantSplit/>
          <w:jc w:val="center"/>
        </w:trPr>
        <w:tc>
          <w:tcPr>
            <w:tcW w:w="2316" w:type="pct"/>
          </w:tcPr>
          <w:p w14:paraId="297CD829" w14:textId="3816FC6E" w:rsidR="00B5424A" w:rsidRPr="0056235A" w:rsidRDefault="00B5424A" w:rsidP="00B5424A">
            <w:pPr>
              <w:ind w:left="720"/>
              <w:rPr>
                <w:sz w:val="22"/>
                <w:szCs w:val="22"/>
              </w:rPr>
            </w:pPr>
            <w:r w:rsidRPr="0056235A">
              <w:rPr>
                <w:sz w:val="22"/>
                <w:szCs w:val="22"/>
              </w:rPr>
              <w:t>Percentage of Inpatients Requiring Scan</w:t>
            </w:r>
          </w:p>
        </w:tc>
        <w:tc>
          <w:tcPr>
            <w:tcW w:w="894" w:type="pct"/>
            <w:vAlign w:val="center"/>
          </w:tcPr>
          <w:p w14:paraId="357D6E4E" w14:textId="64EC5B66" w:rsidR="00B5424A" w:rsidRPr="0056235A" w:rsidRDefault="00B5424A" w:rsidP="00B5424A">
            <w:pPr>
              <w:jc w:val="center"/>
              <w:rPr>
                <w:color w:val="000000"/>
                <w:sz w:val="22"/>
                <w:szCs w:val="22"/>
              </w:rPr>
            </w:pPr>
            <w:r w:rsidRPr="0056235A">
              <w:rPr>
                <w:color w:val="000000"/>
                <w:sz w:val="22"/>
                <w:szCs w:val="22"/>
              </w:rPr>
              <w:t>26%</w:t>
            </w:r>
          </w:p>
        </w:tc>
        <w:tc>
          <w:tcPr>
            <w:tcW w:w="895" w:type="pct"/>
            <w:vAlign w:val="center"/>
          </w:tcPr>
          <w:p w14:paraId="27FD7A85" w14:textId="5A7B5449" w:rsidR="00B5424A" w:rsidRPr="0056235A" w:rsidRDefault="00B5424A" w:rsidP="00B5424A">
            <w:pPr>
              <w:jc w:val="center"/>
              <w:rPr>
                <w:sz w:val="22"/>
                <w:szCs w:val="22"/>
              </w:rPr>
            </w:pPr>
            <w:r w:rsidRPr="0056235A">
              <w:rPr>
                <w:sz w:val="22"/>
                <w:szCs w:val="22"/>
              </w:rPr>
              <w:t>38%</w:t>
            </w:r>
          </w:p>
        </w:tc>
        <w:tc>
          <w:tcPr>
            <w:tcW w:w="895" w:type="pct"/>
            <w:vAlign w:val="center"/>
          </w:tcPr>
          <w:p w14:paraId="425209BF" w14:textId="485D5481" w:rsidR="00B5424A" w:rsidRPr="0056235A" w:rsidRDefault="00B5424A" w:rsidP="00B5424A">
            <w:pPr>
              <w:jc w:val="center"/>
              <w:rPr>
                <w:color w:val="000000"/>
                <w:sz w:val="22"/>
                <w:szCs w:val="22"/>
              </w:rPr>
            </w:pPr>
            <w:r w:rsidRPr="0056235A">
              <w:rPr>
                <w:color w:val="000000"/>
                <w:sz w:val="22"/>
                <w:szCs w:val="22"/>
              </w:rPr>
              <w:t>40%</w:t>
            </w:r>
          </w:p>
        </w:tc>
      </w:tr>
      <w:tr w:rsidR="00DD4EAF" w:rsidRPr="0056235A" w14:paraId="622E587D" w14:textId="77777777" w:rsidTr="009B231A">
        <w:trPr>
          <w:cantSplit/>
          <w:jc w:val="center"/>
        </w:trPr>
        <w:tc>
          <w:tcPr>
            <w:tcW w:w="2316" w:type="pct"/>
          </w:tcPr>
          <w:p w14:paraId="2B0B6BEA" w14:textId="780D4810" w:rsidR="00DD4EAF" w:rsidRPr="0056235A" w:rsidRDefault="00B5424A" w:rsidP="00DD4EAF">
            <w:pPr>
              <w:rPr>
                <w:sz w:val="22"/>
                <w:szCs w:val="22"/>
              </w:rPr>
            </w:pPr>
            <w:r w:rsidRPr="0056235A">
              <w:rPr>
                <w:sz w:val="22"/>
                <w:szCs w:val="22"/>
              </w:rPr>
              <w:t>CT</w:t>
            </w:r>
          </w:p>
        </w:tc>
        <w:tc>
          <w:tcPr>
            <w:tcW w:w="894" w:type="pct"/>
            <w:vAlign w:val="center"/>
          </w:tcPr>
          <w:p w14:paraId="7037CB31" w14:textId="4BB22E2B" w:rsidR="00DD4EAF" w:rsidRPr="0056235A" w:rsidRDefault="00DD4EAF" w:rsidP="00DD4EAF">
            <w:pPr>
              <w:jc w:val="center"/>
              <w:rPr>
                <w:sz w:val="22"/>
                <w:szCs w:val="22"/>
              </w:rPr>
            </w:pPr>
          </w:p>
        </w:tc>
        <w:tc>
          <w:tcPr>
            <w:tcW w:w="895" w:type="pct"/>
            <w:vAlign w:val="center"/>
          </w:tcPr>
          <w:p w14:paraId="277B192E" w14:textId="63EE6554" w:rsidR="00DD4EAF" w:rsidRPr="0056235A" w:rsidRDefault="00DD4EAF" w:rsidP="00DD4EAF">
            <w:pPr>
              <w:jc w:val="center"/>
              <w:rPr>
                <w:sz w:val="22"/>
                <w:szCs w:val="22"/>
              </w:rPr>
            </w:pPr>
          </w:p>
        </w:tc>
        <w:tc>
          <w:tcPr>
            <w:tcW w:w="895" w:type="pct"/>
            <w:vAlign w:val="center"/>
          </w:tcPr>
          <w:p w14:paraId="3881AF49" w14:textId="0B01ED04" w:rsidR="00DD4EAF" w:rsidRPr="0056235A" w:rsidRDefault="00DD4EAF" w:rsidP="00DD4EAF">
            <w:pPr>
              <w:jc w:val="center"/>
              <w:rPr>
                <w:sz w:val="22"/>
                <w:szCs w:val="22"/>
              </w:rPr>
            </w:pPr>
          </w:p>
        </w:tc>
      </w:tr>
      <w:tr w:rsidR="00B5424A" w:rsidRPr="0056235A" w14:paraId="3D68F642" w14:textId="77777777" w:rsidTr="009B231A">
        <w:trPr>
          <w:cantSplit/>
          <w:jc w:val="center"/>
        </w:trPr>
        <w:tc>
          <w:tcPr>
            <w:tcW w:w="2316" w:type="pct"/>
          </w:tcPr>
          <w:p w14:paraId="27058C80" w14:textId="7F0BFBE4" w:rsidR="00B5424A" w:rsidRPr="0056235A" w:rsidRDefault="00B5424A" w:rsidP="00B5424A">
            <w:pPr>
              <w:ind w:left="720"/>
              <w:rPr>
                <w:sz w:val="22"/>
                <w:szCs w:val="22"/>
              </w:rPr>
            </w:pPr>
            <w:r w:rsidRPr="0056235A">
              <w:rPr>
                <w:sz w:val="22"/>
                <w:szCs w:val="22"/>
              </w:rPr>
              <w:t xml:space="preserve">Inpatient Scans </w:t>
            </w:r>
          </w:p>
        </w:tc>
        <w:tc>
          <w:tcPr>
            <w:tcW w:w="894" w:type="pct"/>
            <w:vAlign w:val="center"/>
          </w:tcPr>
          <w:p w14:paraId="1AEBE338" w14:textId="739BFD70" w:rsidR="00B5424A" w:rsidRPr="0056235A" w:rsidRDefault="00B5424A" w:rsidP="00B5424A">
            <w:pPr>
              <w:jc w:val="center"/>
              <w:rPr>
                <w:sz w:val="22"/>
                <w:szCs w:val="22"/>
              </w:rPr>
            </w:pPr>
            <w:r w:rsidRPr="0056235A">
              <w:rPr>
                <w:color w:val="000000"/>
                <w:sz w:val="22"/>
                <w:szCs w:val="22"/>
              </w:rPr>
              <w:t>705</w:t>
            </w:r>
          </w:p>
        </w:tc>
        <w:tc>
          <w:tcPr>
            <w:tcW w:w="895" w:type="pct"/>
            <w:vAlign w:val="center"/>
          </w:tcPr>
          <w:p w14:paraId="66789137" w14:textId="4256A48E" w:rsidR="00B5424A" w:rsidRPr="0056235A" w:rsidRDefault="00B5424A" w:rsidP="00B5424A">
            <w:pPr>
              <w:jc w:val="center"/>
              <w:rPr>
                <w:sz w:val="22"/>
                <w:szCs w:val="22"/>
              </w:rPr>
            </w:pPr>
            <w:r w:rsidRPr="0056235A">
              <w:rPr>
                <w:sz w:val="22"/>
                <w:szCs w:val="22"/>
              </w:rPr>
              <w:t>907</w:t>
            </w:r>
          </w:p>
        </w:tc>
        <w:tc>
          <w:tcPr>
            <w:tcW w:w="895" w:type="pct"/>
            <w:vAlign w:val="center"/>
          </w:tcPr>
          <w:p w14:paraId="3A67DBD3" w14:textId="10F3A099" w:rsidR="00B5424A" w:rsidRPr="0056235A" w:rsidRDefault="00B5424A" w:rsidP="00B5424A">
            <w:pPr>
              <w:jc w:val="center"/>
              <w:rPr>
                <w:sz w:val="22"/>
                <w:szCs w:val="22"/>
              </w:rPr>
            </w:pPr>
            <w:r w:rsidRPr="0056235A">
              <w:rPr>
                <w:color w:val="000000"/>
                <w:sz w:val="22"/>
                <w:szCs w:val="22"/>
              </w:rPr>
              <w:t>884</w:t>
            </w:r>
          </w:p>
        </w:tc>
      </w:tr>
      <w:tr w:rsidR="00DD4EAF" w:rsidRPr="0056235A" w14:paraId="5122BA10" w14:textId="77777777" w:rsidTr="009B231A">
        <w:trPr>
          <w:cantSplit/>
          <w:jc w:val="center"/>
        </w:trPr>
        <w:tc>
          <w:tcPr>
            <w:tcW w:w="2316" w:type="pct"/>
          </w:tcPr>
          <w:p w14:paraId="7EBC1C30" w14:textId="69C5AD9B" w:rsidR="00DD4EAF" w:rsidRPr="0056235A" w:rsidRDefault="00B5424A" w:rsidP="00B5424A">
            <w:pPr>
              <w:ind w:left="720"/>
              <w:rPr>
                <w:sz w:val="22"/>
                <w:szCs w:val="22"/>
              </w:rPr>
            </w:pPr>
            <w:r w:rsidRPr="0056235A">
              <w:rPr>
                <w:sz w:val="22"/>
                <w:szCs w:val="22"/>
              </w:rPr>
              <w:t>Percentage of Inpatients Requiring Scan</w:t>
            </w:r>
          </w:p>
        </w:tc>
        <w:tc>
          <w:tcPr>
            <w:tcW w:w="894" w:type="pct"/>
            <w:vAlign w:val="center"/>
          </w:tcPr>
          <w:p w14:paraId="119251F4" w14:textId="7D2466B9" w:rsidR="00DD4EAF" w:rsidRPr="0056235A" w:rsidRDefault="00DD4EAF" w:rsidP="00DD4EAF">
            <w:pPr>
              <w:jc w:val="center"/>
              <w:rPr>
                <w:sz w:val="22"/>
                <w:szCs w:val="22"/>
              </w:rPr>
            </w:pPr>
            <w:r w:rsidRPr="0056235A">
              <w:rPr>
                <w:color w:val="000000"/>
                <w:sz w:val="22"/>
                <w:szCs w:val="22"/>
              </w:rPr>
              <w:t>50%</w:t>
            </w:r>
          </w:p>
        </w:tc>
        <w:tc>
          <w:tcPr>
            <w:tcW w:w="895" w:type="pct"/>
            <w:vAlign w:val="center"/>
          </w:tcPr>
          <w:p w14:paraId="355EC280" w14:textId="6DC1807B" w:rsidR="00DD4EAF" w:rsidRPr="0056235A" w:rsidRDefault="00DD4EAF" w:rsidP="00DD4EAF">
            <w:pPr>
              <w:jc w:val="center"/>
              <w:rPr>
                <w:sz w:val="22"/>
                <w:szCs w:val="22"/>
              </w:rPr>
            </w:pPr>
            <w:r w:rsidRPr="0056235A">
              <w:rPr>
                <w:sz w:val="22"/>
                <w:szCs w:val="22"/>
              </w:rPr>
              <w:t>65%</w:t>
            </w:r>
          </w:p>
        </w:tc>
        <w:tc>
          <w:tcPr>
            <w:tcW w:w="895" w:type="pct"/>
            <w:vAlign w:val="center"/>
          </w:tcPr>
          <w:p w14:paraId="0F587F92" w14:textId="1F707957" w:rsidR="00DD4EAF" w:rsidRPr="0056235A" w:rsidRDefault="00DD4EAF" w:rsidP="00DD4EAF">
            <w:pPr>
              <w:jc w:val="center"/>
              <w:rPr>
                <w:sz w:val="22"/>
                <w:szCs w:val="22"/>
              </w:rPr>
            </w:pPr>
            <w:r w:rsidRPr="0056235A">
              <w:rPr>
                <w:color w:val="000000"/>
                <w:sz w:val="22"/>
                <w:szCs w:val="22"/>
              </w:rPr>
              <w:t>69%</w:t>
            </w:r>
          </w:p>
        </w:tc>
      </w:tr>
      <w:tr w:rsidR="00B5424A" w:rsidRPr="0056235A" w14:paraId="6345B7BB" w14:textId="77777777" w:rsidTr="009B231A">
        <w:trPr>
          <w:cantSplit/>
          <w:jc w:val="center"/>
        </w:trPr>
        <w:tc>
          <w:tcPr>
            <w:tcW w:w="2316" w:type="pct"/>
          </w:tcPr>
          <w:p w14:paraId="0E636F0A" w14:textId="7BB62BBB" w:rsidR="00B5424A" w:rsidRPr="0056235A" w:rsidRDefault="00B5424A" w:rsidP="00B5424A">
            <w:pPr>
              <w:rPr>
                <w:sz w:val="22"/>
                <w:szCs w:val="22"/>
              </w:rPr>
            </w:pPr>
            <w:r w:rsidRPr="0056235A">
              <w:rPr>
                <w:sz w:val="22"/>
                <w:szCs w:val="22"/>
              </w:rPr>
              <w:t>PET-CT</w:t>
            </w:r>
          </w:p>
        </w:tc>
        <w:tc>
          <w:tcPr>
            <w:tcW w:w="894" w:type="pct"/>
            <w:vAlign w:val="center"/>
          </w:tcPr>
          <w:p w14:paraId="17A78B22" w14:textId="77777777" w:rsidR="00B5424A" w:rsidRPr="0056235A" w:rsidRDefault="00B5424A" w:rsidP="00DD4EAF">
            <w:pPr>
              <w:jc w:val="center"/>
              <w:rPr>
                <w:color w:val="000000"/>
                <w:sz w:val="22"/>
                <w:szCs w:val="22"/>
              </w:rPr>
            </w:pPr>
          </w:p>
        </w:tc>
        <w:tc>
          <w:tcPr>
            <w:tcW w:w="895" w:type="pct"/>
            <w:vAlign w:val="center"/>
          </w:tcPr>
          <w:p w14:paraId="1191492F" w14:textId="77777777" w:rsidR="00B5424A" w:rsidRPr="0056235A" w:rsidRDefault="00B5424A" w:rsidP="00DD4EAF">
            <w:pPr>
              <w:jc w:val="center"/>
              <w:rPr>
                <w:sz w:val="22"/>
                <w:szCs w:val="22"/>
              </w:rPr>
            </w:pPr>
          </w:p>
        </w:tc>
        <w:tc>
          <w:tcPr>
            <w:tcW w:w="895" w:type="pct"/>
            <w:vAlign w:val="center"/>
          </w:tcPr>
          <w:p w14:paraId="0DB13B89" w14:textId="77777777" w:rsidR="00B5424A" w:rsidRPr="0056235A" w:rsidRDefault="00B5424A" w:rsidP="00DD4EAF">
            <w:pPr>
              <w:jc w:val="center"/>
              <w:rPr>
                <w:color w:val="000000"/>
                <w:sz w:val="22"/>
                <w:szCs w:val="22"/>
              </w:rPr>
            </w:pPr>
          </w:p>
        </w:tc>
      </w:tr>
      <w:tr w:rsidR="00DD4EAF" w:rsidRPr="0056235A" w14:paraId="5691AD1A" w14:textId="77777777" w:rsidTr="009B231A">
        <w:trPr>
          <w:cantSplit/>
          <w:jc w:val="center"/>
        </w:trPr>
        <w:tc>
          <w:tcPr>
            <w:tcW w:w="2316" w:type="pct"/>
          </w:tcPr>
          <w:p w14:paraId="3C48D03A" w14:textId="2945F434" w:rsidR="00DD4EAF" w:rsidRPr="0056235A" w:rsidRDefault="00DD4EAF" w:rsidP="00B5424A">
            <w:pPr>
              <w:ind w:left="720"/>
              <w:rPr>
                <w:sz w:val="22"/>
                <w:szCs w:val="22"/>
              </w:rPr>
            </w:pPr>
            <w:r w:rsidRPr="0056235A">
              <w:rPr>
                <w:sz w:val="22"/>
                <w:szCs w:val="22"/>
              </w:rPr>
              <w:t>Inpatient Scans</w:t>
            </w:r>
          </w:p>
        </w:tc>
        <w:tc>
          <w:tcPr>
            <w:tcW w:w="894" w:type="pct"/>
            <w:vAlign w:val="center"/>
          </w:tcPr>
          <w:p w14:paraId="506927CC" w14:textId="3E48A404" w:rsidR="00DD4EAF" w:rsidRPr="0056235A" w:rsidRDefault="00DD4EAF" w:rsidP="00DD4EAF">
            <w:pPr>
              <w:jc w:val="center"/>
              <w:rPr>
                <w:sz w:val="22"/>
                <w:szCs w:val="22"/>
              </w:rPr>
            </w:pPr>
            <w:r w:rsidRPr="0056235A">
              <w:rPr>
                <w:color w:val="000000"/>
                <w:sz w:val="22"/>
                <w:szCs w:val="22"/>
              </w:rPr>
              <w:t>37</w:t>
            </w:r>
          </w:p>
        </w:tc>
        <w:tc>
          <w:tcPr>
            <w:tcW w:w="895" w:type="pct"/>
            <w:vAlign w:val="center"/>
          </w:tcPr>
          <w:p w14:paraId="6D289812" w14:textId="23E8FF6D" w:rsidR="00DD4EAF" w:rsidRPr="0056235A" w:rsidRDefault="00DD4EAF" w:rsidP="00DD4EAF">
            <w:pPr>
              <w:jc w:val="center"/>
              <w:rPr>
                <w:sz w:val="22"/>
                <w:szCs w:val="22"/>
              </w:rPr>
            </w:pPr>
            <w:r w:rsidRPr="0056235A">
              <w:rPr>
                <w:sz w:val="22"/>
                <w:szCs w:val="22"/>
              </w:rPr>
              <w:t>67</w:t>
            </w:r>
          </w:p>
        </w:tc>
        <w:tc>
          <w:tcPr>
            <w:tcW w:w="895" w:type="pct"/>
            <w:vAlign w:val="center"/>
          </w:tcPr>
          <w:p w14:paraId="495ED802" w14:textId="4729A9A2" w:rsidR="00DD4EAF" w:rsidRPr="0056235A" w:rsidRDefault="00DD4EAF" w:rsidP="00DD4EAF">
            <w:pPr>
              <w:jc w:val="center"/>
              <w:rPr>
                <w:sz w:val="22"/>
                <w:szCs w:val="22"/>
              </w:rPr>
            </w:pPr>
            <w:r w:rsidRPr="0056235A">
              <w:rPr>
                <w:color w:val="000000"/>
                <w:sz w:val="22"/>
                <w:szCs w:val="22"/>
              </w:rPr>
              <w:t>53</w:t>
            </w:r>
          </w:p>
        </w:tc>
      </w:tr>
      <w:tr w:rsidR="00DD4EAF" w:rsidRPr="0056235A" w14:paraId="67AAF117" w14:textId="77777777" w:rsidTr="009B231A">
        <w:trPr>
          <w:cantSplit/>
          <w:jc w:val="center"/>
        </w:trPr>
        <w:tc>
          <w:tcPr>
            <w:tcW w:w="2316" w:type="pct"/>
          </w:tcPr>
          <w:p w14:paraId="2DAA9943" w14:textId="0C9BDCEE" w:rsidR="00DD4EAF" w:rsidRPr="0056235A" w:rsidRDefault="00B5424A" w:rsidP="00B5424A">
            <w:pPr>
              <w:ind w:left="720"/>
              <w:rPr>
                <w:sz w:val="22"/>
                <w:szCs w:val="22"/>
              </w:rPr>
            </w:pPr>
            <w:r w:rsidRPr="0056235A">
              <w:rPr>
                <w:sz w:val="22"/>
                <w:szCs w:val="22"/>
              </w:rPr>
              <w:t>Percentage of Inpatients Requiring Scan</w:t>
            </w:r>
          </w:p>
        </w:tc>
        <w:tc>
          <w:tcPr>
            <w:tcW w:w="894" w:type="pct"/>
            <w:vAlign w:val="center"/>
          </w:tcPr>
          <w:p w14:paraId="04C65884" w14:textId="4EC580F9" w:rsidR="00DD4EAF" w:rsidRPr="0056235A" w:rsidRDefault="00DD4EAF" w:rsidP="00DD4EAF">
            <w:pPr>
              <w:jc w:val="center"/>
              <w:rPr>
                <w:sz w:val="22"/>
                <w:szCs w:val="22"/>
              </w:rPr>
            </w:pPr>
            <w:r w:rsidRPr="0056235A">
              <w:rPr>
                <w:color w:val="000000"/>
                <w:sz w:val="22"/>
                <w:szCs w:val="22"/>
              </w:rPr>
              <w:t>3%</w:t>
            </w:r>
          </w:p>
        </w:tc>
        <w:tc>
          <w:tcPr>
            <w:tcW w:w="895" w:type="pct"/>
            <w:vAlign w:val="center"/>
          </w:tcPr>
          <w:p w14:paraId="483E63C5" w14:textId="3F3897A1" w:rsidR="00DD4EAF" w:rsidRPr="0056235A" w:rsidRDefault="00DD4EAF" w:rsidP="00DD4EAF">
            <w:pPr>
              <w:jc w:val="center"/>
              <w:rPr>
                <w:sz w:val="22"/>
                <w:szCs w:val="22"/>
              </w:rPr>
            </w:pPr>
            <w:r w:rsidRPr="0056235A">
              <w:rPr>
                <w:sz w:val="22"/>
                <w:szCs w:val="22"/>
              </w:rPr>
              <w:t>5%</w:t>
            </w:r>
          </w:p>
        </w:tc>
        <w:tc>
          <w:tcPr>
            <w:tcW w:w="895" w:type="pct"/>
            <w:vAlign w:val="center"/>
          </w:tcPr>
          <w:p w14:paraId="1C864FAA" w14:textId="34C4731E" w:rsidR="00DD4EAF" w:rsidRPr="0056235A" w:rsidRDefault="00DD4EAF" w:rsidP="00DD4EAF">
            <w:pPr>
              <w:jc w:val="center"/>
              <w:rPr>
                <w:sz w:val="22"/>
                <w:szCs w:val="22"/>
              </w:rPr>
            </w:pPr>
            <w:r w:rsidRPr="0056235A">
              <w:rPr>
                <w:color w:val="000000"/>
                <w:sz w:val="22"/>
                <w:szCs w:val="22"/>
              </w:rPr>
              <w:t>4%</w:t>
            </w:r>
          </w:p>
        </w:tc>
      </w:tr>
    </w:tbl>
    <w:p w14:paraId="787A8061" w14:textId="77777777" w:rsidR="009E2FD7" w:rsidRDefault="009E2FD7" w:rsidP="00A378A5">
      <w:pPr>
        <w:rPr>
          <w:b/>
          <w:bCs/>
          <w:szCs w:val="24"/>
        </w:rPr>
      </w:pPr>
    </w:p>
    <w:p w14:paraId="6338FA65" w14:textId="02F94064" w:rsidR="00097F4E" w:rsidRDefault="00097F4E" w:rsidP="00097F4E">
      <w:pPr>
        <w:jc w:val="center"/>
      </w:pPr>
      <w:bookmarkStart w:id="7" w:name="_Hlk151987073"/>
      <w:r w:rsidRPr="008C7374">
        <w:rPr>
          <w:b/>
          <w:bCs/>
          <w:szCs w:val="24"/>
        </w:rPr>
        <w:t xml:space="preserve">Table </w:t>
      </w:r>
      <w:r w:rsidR="00DC6D58">
        <w:rPr>
          <w:b/>
          <w:bCs/>
          <w:szCs w:val="24"/>
        </w:rPr>
        <w:t>7</w:t>
      </w:r>
      <w:r>
        <w:rPr>
          <w:b/>
          <w:bCs/>
          <w:szCs w:val="24"/>
        </w:rPr>
        <w:br/>
        <w:t>Outpatient Imaging Equipment</w:t>
      </w:r>
      <w:r w:rsidR="001D7C1D">
        <w:rPr>
          <w:b/>
          <w:bCs/>
          <w:szCs w:val="24"/>
        </w:rPr>
        <w:t xml:space="preserve"> Utilization</w:t>
      </w:r>
    </w:p>
    <w:p w14:paraId="17200884" w14:textId="7611A9CD" w:rsidR="00B5424A" w:rsidRPr="00B5424A" w:rsidRDefault="00B5424A" w:rsidP="00097F4E">
      <w:pPr>
        <w:jc w:val="center"/>
        <w:rPr>
          <w:b/>
          <w:bCs/>
          <w:szCs w:val="24"/>
        </w:rPr>
      </w:pPr>
      <w:r w:rsidRPr="00B5424A">
        <w:rPr>
          <w:b/>
          <w:bCs/>
        </w:rPr>
        <w:t>Longwood Medical Campus</w:t>
      </w:r>
    </w:p>
    <w:p w14:paraId="1BEACDB5" w14:textId="77777777" w:rsidR="00097F4E" w:rsidRDefault="00097F4E" w:rsidP="00097F4E">
      <w:pPr>
        <w:jc w:val="center"/>
        <w:rPr>
          <w:b/>
          <w:bCs/>
          <w:szCs w:val="24"/>
        </w:rPr>
      </w:pPr>
    </w:p>
    <w:tbl>
      <w:tblPr>
        <w:tblStyle w:val="TableGrid"/>
        <w:tblW w:w="5100" w:type="pct"/>
        <w:jc w:val="center"/>
        <w:tblLook w:val="04A0" w:firstRow="1" w:lastRow="0" w:firstColumn="1" w:lastColumn="0" w:noHBand="0" w:noVBand="1"/>
      </w:tblPr>
      <w:tblGrid>
        <w:gridCol w:w="2658"/>
        <w:gridCol w:w="2293"/>
        <w:gridCol w:w="2293"/>
        <w:gridCol w:w="2293"/>
      </w:tblGrid>
      <w:tr w:rsidR="00B5424A" w:rsidRPr="0056235A" w14:paraId="105371E8" w14:textId="77777777" w:rsidTr="003F5D64">
        <w:trPr>
          <w:cantSplit/>
          <w:tblHeader/>
          <w:jc w:val="center"/>
        </w:trPr>
        <w:tc>
          <w:tcPr>
            <w:tcW w:w="1394" w:type="pct"/>
          </w:tcPr>
          <w:p w14:paraId="19E26A81" w14:textId="0F970EE8" w:rsidR="00B5424A" w:rsidRPr="0056235A" w:rsidRDefault="001D7C1D" w:rsidP="00242283">
            <w:pPr>
              <w:jc w:val="center"/>
              <w:rPr>
                <w:b/>
                <w:bCs/>
                <w:sz w:val="22"/>
                <w:szCs w:val="22"/>
              </w:rPr>
            </w:pPr>
            <w:r w:rsidRPr="0056235A">
              <w:rPr>
                <w:b/>
                <w:bCs/>
                <w:sz w:val="22"/>
                <w:szCs w:val="22"/>
              </w:rPr>
              <w:t>Scans</w:t>
            </w:r>
          </w:p>
        </w:tc>
        <w:tc>
          <w:tcPr>
            <w:tcW w:w="1202" w:type="pct"/>
          </w:tcPr>
          <w:p w14:paraId="1E1C90DC" w14:textId="7E511B46" w:rsidR="00B5424A" w:rsidRPr="0056235A" w:rsidRDefault="007B0708" w:rsidP="00242283">
            <w:pPr>
              <w:jc w:val="center"/>
              <w:rPr>
                <w:b/>
                <w:bCs/>
                <w:sz w:val="22"/>
                <w:szCs w:val="22"/>
              </w:rPr>
            </w:pPr>
            <w:r w:rsidRPr="0056235A">
              <w:rPr>
                <w:b/>
                <w:bCs/>
                <w:sz w:val="22"/>
                <w:szCs w:val="22"/>
              </w:rPr>
              <w:t>20</w:t>
            </w:r>
            <w:r w:rsidR="00B5424A" w:rsidRPr="0056235A">
              <w:rPr>
                <w:b/>
                <w:bCs/>
                <w:sz w:val="22"/>
                <w:szCs w:val="22"/>
              </w:rPr>
              <w:t>2</w:t>
            </w:r>
            <w:r w:rsidR="00C3394B" w:rsidRPr="0056235A">
              <w:rPr>
                <w:b/>
                <w:bCs/>
                <w:sz w:val="22"/>
                <w:szCs w:val="22"/>
              </w:rPr>
              <w:t>0</w:t>
            </w:r>
          </w:p>
        </w:tc>
        <w:tc>
          <w:tcPr>
            <w:tcW w:w="1202" w:type="pct"/>
          </w:tcPr>
          <w:p w14:paraId="48EE1207" w14:textId="71F0E8DE" w:rsidR="00B5424A" w:rsidRPr="0056235A" w:rsidRDefault="007B0708" w:rsidP="007B0708">
            <w:pPr>
              <w:jc w:val="center"/>
              <w:rPr>
                <w:b/>
                <w:bCs/>
                <w:sz w:val="22"/>
                <w:szCs w:val="22"/>
              </w:rPr>
            </w:pPr>
            <w:r w:rsidRPr="0056235A">
              <w:rPr>
                <w:b/>
                <w:bCs/>
                <w:sz w:val="22"/>
                <w:szCs w:val="22"/>
              </w:rPr>
              <w:t>2021</w:t>
            </w:r>
          </w:p>
        </w:tc>
        <w:tc>
          <w:tcPr>
            <w:tcW w:w="1202" w:type="pct"/>
          </w:tcPr>
          <w:p w14:paraId="703662AB" w14:textId="655C5EAC" w:rsidR="00B5424A" w:rsidRPr="0056235A" w:rsidRDefault="007B0708" w:rsidP="00242283">
            <w:pPr>
              <w:jc w:val="center"/>
              <w:rPr>
                <w:b/>
                <w:bCs/>
                <w:sz w:val="22"/>
                <w:szCs w:val="22"/>
              </w:rPr>
            </w:pPr>
            <w:r w:rsidRPr="0056235A">
              <w:rPr>
                <w:b/>
                <w:bCs/>
                <w:sz w:val="22"/>
                <w:szCs w:val="22"/>
              </w:rPr>
              <w:t>2022</w:t>
            </w:r>
          </w:p>
        </w:tc>
      </w:tr>
      <w:tr w:rsidR="00B5424A" w:rsidRPr="0056235A" w14:paraId="3ED78085" w14:textId="77777777" w:rsidTr="003F5D64">
        <w:trPr>
          <w:cantSplit/>
          <w:jc w:val="center"/>
        </w:trPr>
        <w:tc>
          <w:tcPr>
            <w:tcW w:w="1394" w:type="pct"/>
          </w:tcPr>
          <w:p w14:paraId="6C45885A" w14:textId="31239819" w:rsidR="00B5424A" w:rsidRPr="0056235A" w:rsidRDefault="00B5424A" w:rsidP="004F3BEC">
            <w:pPr>
              <w:rPr>
                <w:sz w:val="22"/>
                <w:szCs w:val="22"/>
              </w:rPr>
            </w:pPr>
            <w:r w:rsidRPr="0056235A">
              <w:rPr>
                <w:sz w:val="22"/>
                <w:szCs w:val="22"/>
              </w:rPr>
              <w:t xml:space="preserve">MRI </w:t>
            </w:r>
          </w:p>
        </w:tc>
        <w:tc>
          <w:tcPr>
            <w:tcW w:w="1202" w:type="pct"/>
            <w:vAlign w:val="center"/>
          </w:tcPr>
          <w:p w14:paraId="428CD1F1" w14:textId="23AA8B31" w:rsidR="00B5424A" w:rsidRPr="0056235A" w:rsidRDefault="00B5424A" w:rsidP="004F3BEC">
            <w:pPr>
              <w:jc w:val="center"/>
              <w:rPr>
                <w:sz w:val="22"/>
                <w:szCs w:val="22"/>
              </w:rPr>
            </w:pPr>
            <w:r w:rsidRPr="0056235A">
              <w:rPr>
                <w:color w:val="000000"/>
                <w:sz w:val="22"/>
                <w:szCs w:val="22"/>
              </w:rPr>
              <w:t>7,845</w:t>
            </w:r>
          </w:p>
        </w:tc>
        <w:tc>
          <w:tcPr>
            <w:tcW w:w="1202" w:type="pct"/>
            <w:vAlign w:val="center"/>
          </w:tcPr>
          <w:p w14:paraId="2F5EDE19" w14:textId="5EA9674E" w:rsidR="00B5424A" w:rsidRPr="0056235A" w:rsidRDefault="00B5424A" w:rsidP="004F3BEC">
            <w:pPr>
              <w:jc w:val="center"/>
              <w:rPr>
                <w:sz w:val="22"/>
                <w:szCs w:val="22"/>
              </w:rPr>
            </w:pPr>
            <w:r w:rsidRPr="0056235A">
              <w:rPr>
                <w:color w:val="000000"/>
                <w:sz w:val="22"/>
                <w:szCs w:val="22"/>
              </w:rPr>
              <w:t>11,894</w:t>
            </w:r>
          </w:p>
        </w:tc>
        <w:tc>
          <w:tcPr>
            <w:tcW w:w="1202" w:type="pct"/>
            <w:vAlign w:val="center"/>
          </w:tcPr>
          <w:p w14:paraId="657B2CDD" w14:textId="36D57574" w:rsidR="00B5424A" w:rsidRPr="0056235A" w:rsidRDefault="00B5424A" w:rsidP="004F3BEC">
            <w:pPr>
              <w:jc w:val="center"/>
              <w:rPr>
                <w:sz w:val="22"/>
                <w:szCs w:val="22"/>
              </w:rPr>
            </w:pPr>
            <w:r w:rsidRPr="0056235A">
              <w:rPr>
                <w:color w:val="000000"/>
                <w:sz w:val="22"/>
                <w:szCs w:val="22"/>
              </w:rPr>
              <w:t>14,207</w:t>
            </w:r>
          </w:p>
        </w:tc>
      </w:tr>
      <w:tr w:rsidR="00B5424A" w:rsidRPr="0056235A" w14:paraId="258B39ED" w14:textId="77777777" w:rsidTr="003F5D64">
        <w:trPr>
          <w:cantSplit/>
          <w:jc w:val="center"/>
        </w:trPr>
        <w:tc>
          <w:tcPr>
            <w:tcW w:w="1394" w:type="pct"/>
          </w:tcPr>
          <w:p w14:paraId="25225E14" w14:textId="3D8ECB4D" w:rsidR="00B5424A" w:rsidRPr="0056235A" w:rsidRDefault="00B5424A" w:rsidP="004F3BEC">
            <w:pPr>
              <w:rPr>
                <w:sz w:val="22"/>
                <w:szCs w:val="22"/>
              </w:rPr>
            </w:pPr>
            <w:r w:rsidRPr="0056235A">
              <w:rPr>
                <w:sz w:val="22"/>
                <w:szCs w:val="22"/>
              </w:rPr>
              <w:t xml:space="preserve">CT </w:t>
            </w:r>
          </w:p>
        </w:tc>
        <w:tc>
          <w:tcPr>
            <w:tcW w:w="1202" w:type="pct"/>
            <w:vAlign w:val="center"/>
          </w:tcPr>
          <w:p w14:paraId="327FD8F8" w14:textId="0ED45A6D" w:rsidR="00B5424A" w:rsidRPr="0056235A" w:rsidRDefault="00B5424A" w:rsidP="004F3BEC">
            <w:pPr>
              <w:jc w:val="center"/>
              <w:rPr>
                <w:sz w:val="22"/>
                <w:szCs w:val="22"/>
              </w:rPr>
            </w:pPr>
            <w:r w:rsidRPr="0056235A">
              <w:rPr>
                <w:color w:val="000000"/>
                <w:sz w:val="22"/>
                <w:szCs w:val="22"/>
              </w:rPr>
              <w:t>31,505</w:t>
            </w:r>
          </w:p>
        </w:tc>
        <w:tc>
          <w:tcPr>
            <w:tcW w:w="1202" w:type="pct"/>
            <w:vAlign w:val="center"/>
          </w:tcPr>
          <w:p w14:paraId="6DB3624E" w14:textId="57D3AAFF" w:rsidR="00B5424A" w:rsidRPr="0056235A" w:rsidRDefault="00B5424A" w:rsidP="004F3BEC">
            <w:pPr>
              <w:jc w:val="center"/>
              <w:rPr>
                <w:sz w:val="22"/>
                <w:szCs w:val="22"/>
              </w:rPr>
            </w:pPr>
            <w:r w:rsidRPr="0056235A">
              <w:rPr>
                <w:color w:val="000000"/>
                <w:sz w:val="22"/>
                <w:szCs w:val="22"/>
              </w:rPr>
              <w:t>38,487</w:t>
            </w:r>
          </w:p>
        </w:tc>
        <w:tc>
          <w:tcPr>
            <w:tcW w:w="1202" w:type="pct"/>
            <w:vAlign w:val="center"/>
          </w:tcPr>
          <w:p w14:paraId="15CF3DBA" w14:textId="5F2C5A69" w:rsidR="00B5424A" w:rsidRPr="0056235A" w:rsidRDefault="00B5424A" w:rsidP="004F3BEC">
            <w:pPr>
              <w:jc w:val="center"/>
              <w:rPr>
                <w:sz w:val="22"/>
                <w:szCs w:val="22"/>
              </w:rPr>
            </w:pPr>
            <w:r w:rsidRPr="0056235A">
              <w:rPr>
                <w:color w:val="000000"/>
                <w:sz w:val="22"/>
                <w:szCs w:val="22"/>
              </w:rPr>
              <w:t>43,523</w:t>
            </w:r>
          </w:p>
        </w:tc>
      </w:tr>
      <w:tr w:rsidR="00B5424A" w:rsidRPr="0056235A" w14:paraId="1F5095D7" w14:textId="77777777" w:rsidTr="003F5D64">
        <w:trPr>
          <w:cantSplit/>
          <w:jc w:val="center"/>
        </w:trPr>
        <w:tc>
          <w:tcPr>
            <w:tcW w:w="1394" w:type="pct"/>
          </w:tcPr>
          <w:p w14:paraId="4D8064F7" w14:textId="2A1A291B" w:rsidR="00B5424A" w:rsidRPr="0056235A" w:rsidRDefault="00B5424A" w:rsidP="004F3BEC">
            <w:pPr>
              <w:rPr>
                <w:sz w:val="22"/>
                <w:szCs w:val="22"/>
              </w:rPr>
            </w:pPr>
            <w:r w:rsidRPr="0056235A">
              <w:rPr>
                <w:sz w:val="22"/>
                <w:szCs w:val="22"/>
              </w:rPr>
              <w:t>PET-CT</w:t>
            </w:r>
          </w:p>
        </w:tc>
        <w:tc>
          <w:tcPr>
            <w:tcW w:w="1202" w:type="pct"/>
            <w:vAlign w:val="center"/>
          </w:tcPr>
          <w:p w14:paraId="51AE3EC2" w14:textId="56C246B1" w:rsidR="00B5424A" w:rsidRPr="0056235A" w:rsidRDefault="00B5424A" w:rsidP="004F3BEC">
            <w:pPr>
              <w:jc w:val="center"/>
              <w:rPr>
                <w:sz w:val="22"/>
                <w:szCs w:val="22"/>
              </w:rPr>
            </w:pPr>
            <w:r w:rsidRPr="0056235A">
              <w:rPr>
                <w:color w:val="000000"/>
                <w:sz w:val="22"/>
                <w:szCs w:val="22"/>
              </w:rPr>
              <w:t>5,610</w:t>
            </w:r>
          </w:p>
        </w:tc>
        <w:tc>
          <w:tcPr>
            <w:tcW w:w="1202" w:type="pct"/>
            <w:vAlign w:val="center"/>
          </w:tcPr>
          <w:p w14:paraId="24AA68F4" w14:textId="23144918" w:rsidR="00B5424A" w:rsidRPr="0056235A" w:rsidRDefault="00B5424A" w:rsidP="004F3BEC">
            <w:pPr>
              <w:jc w:val="center"/>
              <w:rPr>
                <w:sz w:val="22"/>
                <w:szCs w:val="22"/>
              </w:rPr>
            </w:pPr>
            <w:r w:rsidRPr="0056235A">
              <w:rPr>
                <w:color w:val="000000"/>
                <w:sz w:val="22"/>
                <w:szCs w:val="22"/>
              </w:rPr>
              <w:t>6,214</w:t>
            </w:r>
          </w:p>
        </w:tc>
        <w:tc>
          <w:tcPr>
            <w:tcW w:w="1202" w:type="pct"/>
            <w:vAlign w:val="center"/>
          </w:tcPr>
          <w:p w14:paraId="38890F44" w14:textId="521C9307" w:rsidR="00B5424A" w:rsidRPr="0056235A" w:rsidRDefault="00B5424A" w:rsidP="004F3BEC">
            <w:pPr>
              <w:jc w:val="center"/>
              <w:rPr>
                <w:sz w:val="22"/>
                <w:szCs w:val="22"/>
              </w:rPr>
            </w:pPr>
            <w:r w:rsidRPr="0056235A">
              <w:rPr>
                <w:color w:val="000000"/>
                <w:sz w:val="22"/>
                <w:szCs w:val="22"/>
              </w:rPr>
              <w:t>6,826</w:t>
            </w:r>
          </w:p>
        </w:tc>
      </w:tr>
    </w:tbl>
    <w:p w14:paraId="17504608" w14:textId="77777777" w:rsidR="005340B9" w:rsidRDefault="005340B9">
      <w:pPr>
        <w:spacing w:after="160" w:line="259" w:lineRule="auto"/>
        <w:rPr>
          <w:b/>
          <w:bCs/>
          <w:szCs w:val="24"/>
        </w:rPr>
      </w:pPr>
    </w:p>
    <w:p w14:paraId="0FB4CF75" w14:textId="77777777" w:rsidR="0056235A" w:rsidRDefault="0056235A">
      <w:pPr>
        <w:spacing w:after="160" w:line="259" w:lineRule="auto"/>
        <w:rPr>
          <w:b/>
          <w:bCs/>
          <w:szCs w:val="24"/>
        </w:rPr>
      </w:pPr>
      <w:r>
        <w:rPr>
          <w:b/>
          <w:bCs/>
          <w:szCs w:val="24"/>
        </w:rPr>
        <w:br w:type="page"/>
      </w:r>
    </w:p>
    <w:bookmarkEnd w:id="7"/>
    <w:p w14:paraId="52B1F767" w14:textId="2B247822" w:rsidR="00A86331" w:rsidRPr="00FA1DD3" w:rsidRDefault="00A86331" w:rsidP="00A86331">
      <w:pPr>
        <w:pStyle w:val="RBNBasicNoSpace"/>
        <w:jc w:val="center"/>
        <w:rPr>
          <w:b/>
          <w:bCs/>
          <w:szCs w:val="24"/>
        </w:rPr>
      </w:pPr>
      <w:r w:rsidRPr="00FA1DD3">
        <w:rPr>
          <w:b/>
          <w:bCs/>
          <w:szCs w:val="24"/>
        </w:rPr>
        <w:lastRenderedPageBreak/>
        <w:t>Table</w:t>
      </w:r>
      <w:r w:rsidR="008A4382">
        <w:rPr>
          <w:b/>
          <w:bCs/>
          <w:szCs w:val="24"/>
        </w:rPr>
        <w:t xml:space="preserve"> </w:t>
      </w:r>
      <w:r w:rsidR="00DC6D58">
        <w:rPr>
          <w:b/>
          <w:bCs/>
          <w:szCs w:val="24"/>
        </w:rPr>
        <w:t>8</w:t>
      </w:r>
      <w:r w:rsidR="00A70D12">
        <w:rPr>
          <w:rStyle w:val="FootnoteReference"/>
          <w:b/>
          <w:bCs/>
          <w:szCs w:val="24"/>
        </w:rPr>
        <w:footnoteReference w:id="45"/>
      </w:r>
    </w:p>
    <w:p w14:paraId="106CF93F" w14:textId="18CD2EAB" w:rsidR="00A86331" w:rsidRDefault="00A86331" w:rsidP="00A86331">
      <w:pPr>
        <w:pStyle w:val="RBNBasicNoSpace"/>
        <w:jc w:val="center"/>
        <w:rPr>
          <w:b/>
          <w:bCs/>
          <w:szCs w:val="24"/>
        </w:rPr>
      </w:pPr>
      <w:r>
        <w:rPr>
          <w:b/>
          <w:bCs/>
          <w:szCs w:val="24"/>
        </w:rPr>
        <w:t xml:space="preserve">Radiation </w:t>
      </w:r>
      <w:r w:rsidR="00F67432">
        <w:rPr>
          <w:b/>
          <w:bCs/>
          <w:szCs w:val="24"/>
        </w:rPr>
        <w:t>Patient</w:t>
      </w:r>
      <w:r>
        <w:rPr>
          <w:b/>
          <w:bCs/>
          <w:szCs w:val="24"/>
        </w:rPr>
        <w:t xml:space="preserve"> </w:t>
      </w:r>
      <w:r w:rsidR="007734DC">
        <w:rPr>
          <w:b/>
          <w:bCs/>
          <w:szCs w:val="24"/>
        </w:rPr>
        <w:t xml:space="preserve">Volumes </w:t>
      </w:r>
      <w:r w:rsidR="001D7C1D">
        <w:rPr>
          <w:b/>
          <w:bCs/>
          <w:szCs w:val="24"/>
        </w:rPr>
        <w:t>by Disease Center</w:t>
      </w:r>
    </w:p>
    <w:p w14:paraId="43BB8034" w14:textId="783A4A8D" w:rsidR="005A39AC" w:rsidRPr="00FA1DD3" w:rsidRDefault="005A39AC" w:rsidP="00A86331">
      <w:pPr>
        <w:pStyle w:val="RBNBasicNoSpace"/>
        <w:jc w:val="center"/>
        <w:rPr>
          <w:b/>
          <w:bCs/>
          <w:szCs w:val="24"/>
        </w:rPr>
      </w:pPr>
      <w:r>
        <w:rPr>
          <w:b/>
          <w:bCs/>
          <w:szCs w:val="24"/>
        </w:rPr>
        <w:t>Longwood Medical Campus</w:t>
      </w:r>
    </w:p>
    <w:p w14:paraId="3FA29CA9" w14:textId="77777777" w:rsidR="00A86331" w:rsidRPr="00FA1DD3" w:rsidRDefault="00A86331" w:rsidP="00A86331">
      <w:pPr>
        <w:pStyle w:val="RBNBasicNoSpace"/>
        <w:jc w:val="center"/>
        <w:rPr>
          <w:b/>
          <w:bCs/>
          <w:szCs w:val="24"/>
        </w:rPr>
      </w:pPr>
    </w:p>
    <w:tbl>
      <w:tblPr>
        <w:tblStyle w:val="TableGrid"/>
        <w:tblW w:w="9365" w:type="dxa"/>
        <w:tblLayout w:type="fixed"/>
        <w:tblLook w:val="04A0" w:firstRow="1" w:lastRow="0" w:firstColumn="1" w:lastColumn="0" w:noHBand="0" w:noVBand="1"/>
      </w:tblPr>
      <w:tblGrid>
        <w:gridCol w:w="2740"/>
        <w:gridCol w:w="1090"/>
        <w:gridCol w:w="1172"/>
        <w:gridCol w:w="1091"/>
        <w:gridCol w:w="1090"/>
        <w:gridCol w:w="1091"/>
        <w:gridCol w:w="1091"/>
      </w:tblGrid>
      <w:tr w:rsidR="00B7147B" w:rsidRPr="00AF424B" w14:paraId="3686C689" w14:textId="77777777" w:rsidTr="009F7EB1">
        <w:trPr>
          <w:cantSplit/>
          <w:trHeight w:val="276"/>
          <w:tblHeader/>
        </w:trPr>
        <w:tc>
          <w:tcPr>
            <w:tcW w:w="2740" w:type="dxa"/>
            <w:noWrap/>
            <w:hideMark/>
          </w:tcPr>
          <w:p w14:paraId="0A6FB4F8" w14:textId="77777777" w:rsidR="00B7147B" w:rsidRPr="00AF424B" w:rsidRDefault="00B7147B" w:rsidP="00B7147B">
            <w:pPr>
              <w:rPr>
                <w:rFonts w:eastAsia="Times New Roman"/>
                <w:color w:val="000000"/>
                <w:szCs w:val="22"/>
              </w:rPr>
            </w:pPr>
            <w:bookmarkStart w:id="8" w:name="_Hlk143098776"/>
            <w:r w:rsidRPr="00AF424B">
              <w:rPr>
                <w:rFonts w:eastAsia="Times New Roman"/>
                <w:color w:val="000000"/>
                <w:sz w:val="22"/>
                <w:szCs w:val="22"/>
              </w:rPr>
              <w:t> </w:t>
            </w:r>
          </w:p>
        </w:tc>
        <w:tc>
          <w:tcPr>
            <w:tcW w:w="1090" w:type="dxa"/>
            <w:noWrap/>
            <w:hideMark/>
          </w:tcPr>
          <w:p w14:paraId="7A7E50ED" w14:textId="339B04B1" w:rsidR="00B7147B" w:rsidRPr="00AF424B" w:rsidRDefault="00B7147B" w:rsidP="00B7147B">
            <w:pPr>
              <w:jc w:val="center"/>
              <w:rPr>
                <w:rFonts w:eastAsia="Times New Roman"/>
                <w:color w:val="000000"/>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Count</w:t>
            </w:r>
          </w:p>
        </w:tc>
        <w:tc>
          <w:tcPr>
            <w:tcW w:w="1172" w:type="dxa"/>
            <w:noWrap/>
            <w:hideMark/>
          </w:tcPr>
          <w:p w14:paraId="5AF39533" w14:textId="4213C8B8" w:rsidR="00B7147B" w:rsidRPr="00AF424B" w:rsidRDefault="00B7147B" w:rsidP="00B7147B">
            <w:pPr>
              <w:jc w:val="center"/>
              <w:rPr>
                <w:rFonts w:eastAsia="Times New Roman"/>
                <w:color w:val="000000"/>
                <w:szCs w:val="22"/>
              </w:rPr>
            </w:pPr>
            <w:r w:rsidRPr="006A437E">
              <w:rPr>
                <w:rFonts w:eastAsia="Times New Roman"/>
                <w:b/>
                <w:bCs/>
                <w:color w:val="000000"/>
                <w:sz w:val="22"/>
                <w:szCs w:val="22"/>
              </w:rPr>
              <w:t>2020</w:t>
            </w:r>
            <w:r>
              <w:rPr>
                <w:rFonts w:eastAsia="Times New Roman"/>
                <w:b/>
                <w:bCs/>
                <w:color w:val="000000"/>
                <w:sz w:val="22"/>
                <w:szCs w:val="22"/>
              </w:rPr>
              <w:t xml:space="preserve"> </w:t>
            </w:r>
            <w:r w:rsidRPr="006A437E">
              <w:rPr>
                <w:rFonts w:eastAsia="Times New Roman"/>
                <w:color w:val="000000"/>
                <w:sz w:val="22"/>
                <w:szCs w:val="22"/>
              </w:rPr>
              <w:t>%</w:t>
            </w:r>
          </w:p>
        </w:tc>
        <w:tc>
          <w:tcPr>
            <w:tcW w:w="1091" w:type="dxa"/>
            <w:noWrap/>
            <w:hideMark/>
          </w:tcPr>
          <w:p w14:paraId="4DAF9E2B" w14:textId="2AB2AA68" w:rsidR="00B7147B" w:rsidRPr="00AF424B" w:rsidRDefault="00B7147B" w:rsidP="00B7147B">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Count</w:t>
            </w:r>
          </w:p>
        </w:tc>
        <w:tc>
          <w:tcPr>
            <w:tcW w:w="1090" w:type="dxa"/>
            <w:noWrap/>
            <w:hideMark/>
          </w:tcPr>
          <w:p w14:paraId="6553ACE3" w14:textId="6E21906F" w:rsidR="00B7147B" w:rsidRPr="00AF424B" w:rsidRDefault="00B7147B" w:rsidP="00B7147B">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1 </w:t>
            </w:r>
            <w:r w:rsidRPr="006A437E">
              <w:rPr>
                <w:rFonts w:eastAsia="Times New Roman"/>
                <w:color w:val="000000"/>
                <w:sz w:val="22"/>
                <w:szCs w:val="22"/>
              </w:rPr>
              <w:t>%</w:t>
            </w:r>
          </w:p>
        </w:tc>
        <w:tc>
          <w:tcPr>
            <w:tcW w:w="1091" w:type="dxa"/>
            <w:noWrap/>
            <w:hideMark/>
          </w:tcPr>
          <w:p w14:paraId="561C756D" w14:textId="0A16BCBE" w:rsidR="00B7147B" w:rsidRPr="00AF424B" w:rsidRDefault="00B7147B" w:rsidP="00B7147B">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Count</w:t>
            </w:r>
          </w:p>
        </w:tc>
        <w:tc>
          <w:tcPr>
            <w:tcW w:w="1091" w:type="dxa"/>
            <w:noWrap/>
            <w:hideMark/>
          </w:tcPr>
          <w:p w14:paraId="1CD1C532" w14:textId="0EE670CE" w:rsidR="00B7147B" w:rsidRPr="00AF424B" w:rsidRDefault="00B7147B" w:rsidP="00B7147B">
            <w:pPr>
              <w:jc w:val="center"/>
              <w:rPr>
                <w:rFonts w:eastAsia="Times New Roman"/>
                <w:color w:val="000000"/>
                <w:szCs w:val="22"/>
              </w:rPr>
            </w:pPr>
            <w:r w:rsidRPr="006A437E">
              <w:rPr>
                <w:rFonts w:eastAsia="Times New Roman"/>
                <w:b/>
                <w:bCs/>
                <w:color w:val="000000"/>
                <w:sz w:val="22"/>
                <w:szCs w:val="22"/>
              </w:rPr>
              <w:t>202</w:t>
            </w:r>
            <w:r>
              <w:rPr>
                <w:rFonts w:eastAsia="Times New Roman"/>
                <w:b/>
                <w:bCs/>
                <w:color w:val="000000"/>
                <w:sz w:val="22"/>
                <w:szCs w:val="22"/>
              </w:rPr>
              <w:t xml:space="preserve">2 </w:t>
            </w:r>
            <w:r w:rsidRPr="006A437E">
              <w:rPr>
                <w:rFonts w:eastAsia="Times New Roman"/>
                <w:color w:val="000000"/>
                <w:sz w:val="22"/>
                <w:szCs w:val="22"/>
              </w:rPr>
              <w:t>%</w:t>
            </w:r>
          </w:p>
        </w:tc>
      </w:tr>
      <w:tr w:rsidR="00DC6D58" w:rsidRPr="00AF424B" w14:paraId="393BA588" w14:textId="77777777" w:rsidTr="009F7EB1">
        <w:trPr>
          <w:cantSplit/>
          <w:trHeight w:val="276"/>
        </w:trPr>
        <w:tc>
          <w:tcPr>
            <w:tcW w:w="2740" w:type="dxa"/>
            <w:noWrap/>
            <w:hideMark/>
          </w:tcPr>
          <w:p w14:paraId="6B7B5886" w14:textId="549332E5" w:rsidR="00DC6D58" w:rsidRPr="00AF424B" w:rsidRDefault="00DC6D58" w:rsidP="00DC6D58">
            <w:pPr>
              <w:rPr>
                <w:rFonts w:eastAsia="Times New Roman"/>
                <w:color w:val="000000"/>
                <w:szCs w:val="22"/>
              </w:rPr>
            </w:pPr>
            <w:r>
              <w:rPr>
                <w:color w:val="000000"/>
                <w:sz w:val="22"/>
                <w:szCs w:val="22"/>
              </w:rPr>
              <w:t>Total (unique patients)</w:t>
            </w:r>
            <w:r w:rsidR="002A4042">
              <w:rPr>
                <w:rStyle w:val="FootnoteReference"/>
                <w:rFonts w:eastAsia="Times New Roman"/>
                <w:color w:val="000000"/>
                <w:sz w:val="22"/>
                <w:szCs w:val="22"/>
              </w:rPr>
              <w:t xml:space="preserve"> </w:t>
            </w:r>
            <w:r w:rsidR="002A4042">
              <w:rPr>
                <w:rStyle w:val="FootnoteReference"/>
                <w:rFonts w:eastAsia="Times New Roman"/>
                <w:color w:val="000000"/>
                <w:sz w:val="22"/>
                <w:szCs w:val="22"/>
              </w:rPr>
              <w:footnoteReference w:id="46"/>
            </w:r>
          </w:p>
        </w:tc>
        <w:tc>
          <w:tcPr>
            <w:tcW w:w="1090" w:type="dxa"/>
            <w:noWrap/>
            <w:vAlign w:val="bottom"/>
            <w:hideMark/>
          </w:tcPr>
          <w:p w14:paraId="75FFF5F3" w14:textId="41485C0E" w:rsidR="00DC6D58" w:rsidRPr="00DC6D58" w:rsidRDefault="00DC6D58" w:rsidP="00DC6D58">
            <w:pPr>
              <w:jc w:val="center"/>
              <w:rPr>
                <w:rFonts w:eastAsia="Times New Roman"/>
                <w:color w:val="000000"/>
                <w:szCs w:val="22"/>
              </w:rPr>
            </w:pPr>
            <w:r w:rsidRPr="00DC6D58">
              <w:rPr>
                <w:color w:val="000000"/>
                <w:sz w:val="22"/>
                <w:szCs w:val="22"/>
              </w:rPr>
              <w:t>1,084</w:t>
            </w:r>
          </w:p>
        </w:tc>
        <w:tc>
          <w:tcPr>
            <w:tcW w:w="1172" w:type="dxa"/>
            <w:noWrap/>
            <w:vAlign w:val="bottom"/>
            <w:hideMark/>
          </w:tcPr>
          <w:p w14:paraId="778B736B" w14:textId="78392291" w:rsidR="00DC6D58" w:rsidRPr="00DC6D58" w:rsidRDefault="00DC6D58" w:rsidP="00DC6D58">
            <w:pPr>
              <w:tabs>
                <w:tab w:val="center" w:pos="519"/>
                <w:tab w:val="left" w:pos="869"/>
              </w:tabs>
              <w:ind w:right="430"/>
              <w:jc w:val="center"/>
              <w:rPr>
                <w:rFonts w:eastAsia="Times New Roman"/>
                <w:color w:val="000000"/>
                <w:szCs w:val="22"/>
              </w:rPr>
            </w:pPr>
          </w:p>
        </w:tc>
        <w:tc>
          <w:tcPr>
            <w:tcW w:w="1091" w:type="dxa"/>
            <w:noWrap/>
            <w:vAlign w:val="bottom"/>
            <w:hideMark/>
          </w:tcPr>
          <w:p w14:paraId="3BD7D1B9" w14:textId="2D6C14E2" w:rsidR="00DC6D58" w:rsidRPr="00DC6D58" w:rsidRDefault="00DC6D58" w:rsidP="00DC6D58">
            <w:pPr>
              <w:jc w:val="center"/>
              <w:rPr>
                <w:rFonts w:eastAsia="Times New Roman"/>
                <w:color w:val="000000"/>
                <w:szCs w:val="22"/>
              </w:rPr>
            </w:pPr>
            <w:r w:rsidRPr="00DC6D58">
              <w:rPr>
                <w:color w:val="000000"/>
                <w:sz w:val="22"/>
                <w:szCs w:val="22"/>
              </w:rPr>
              <w:t>1,236</w:t>
            </w:r>
          </w:p>
        </w:tc>
        <w:tc>
          <w:tcPr>
            <w:tcW w:w="1090" w:type="dxa"/>
            <w:noWrap/>
            <w:vAlign w:val="bottom"/>
            <w:hideMark/>
          </w:tcPr>
          <w:p w14:paraId="619577CD" w14:textId="42F00E22" w:rsidR="00DC6D58" w:rsidRPr="00DC6D58" w:rsidRDefault="00DC6D58" w:rsidP="00DC6D58">
            <w:pPr>
              <w:tabs>
                <w:tab w:val="left" w:pos="502"/>
              </w:tabs>
              <w:jc w:val="center"/>
              <w:rPr>
                <w:rFonts w:eastAsia="Times New Roman"/>
                <w:color w:val="000000"/>
                <w:szCs w:val="22"/>
              </w:rPr>
            </w:pPr>
          </w:p>
        </w:tc>
        <w:tc>
          <w:tcPr>
            <w:tcW w:w="1091" w:type="dxa"/>
            <w:noWrap/>
            <w:vAlign w:val="bottom"/>
            <w:hideMark/>
          </w:tcPr>
          <w:p w14:paraId="3E21EC42" w14:textId="0C1BAA76" w:rsidR="00DC6D58" w:rsidRPr="00DC6D58" w:rsidRDefault="00DC6D58" w:rsidP="00DC6D58">
            <w:pPr>
              <w:jc w:val="center"/>
              <w:rPr>
                <w:rFonts w:eastAsia="Times New Roman"/>
                <w:color w:val="000000"/>
                <w:szCs w:val="22"/>
              </w:rPr>
            </w:pPr>
            <w:r w:rsidRPr="00DC6D58">
              <w:rPr>
                <w:color w:val="000000"/>
                <w:sz w:val="22"/>
                <w:szCs w:val="22"/>
              </w:rPr>
              <w:t>1,205</w:t>
            </w:r>
          </w:p>
        </w:tc>
        <w:tc>
          <w:tcPr>
            <w:tcW w:w="1091" w:type="dxa"/>
            <w:noWrap/>
            <w:vAlign w:val="bottom"/>
            <w:hideMark/>
          </w:tcPr>
          <w:p w14:paraId="36717253" w14:textId="0E5B1921" w:rsidR="00DC6D58" w:rsidRPr="00DC6D58" w:rsidRDefault="00DC6D58" w:rsidP="00DC6D58">
            <w:pPr>
              <w:ind w:right="440"/>
              <w:jc w:val="center"/>
              <w:rPr>
                <w:rFonts w:eastAsia="Times New Roman"/>
                <w:color w:val="000000"/>
                <w:szCs w:val="22"/>
              </w:rPr>
            </w:pPr>
          </w:p>
        </w:tc>
      </w:tr>
      <w:tr w:rsidR="00DC6D58" w:rsidRPr="00AF424B" w14:paraId="4A5DBF6D" w14:textId="77777777" w:rsidTr="009F7EB1">
        <w:trPr>
          <w:cantSplit/>
          <w:trHeight w:val="276"/>
        </w:trPr>
        <w:tc>
          <w:tcPr>
            <w:tcW w:w="2740" w:type="dxa"/>
            <w:noWrap/>
            <w:hideMark/>
          </w:tcPr>
          <w:p w14:paraId="404A21E8" w14:textId="361DD836" w:rsidR="00DC6D58" w:rsidRPr="00AF424B" w:rsidRDefault="00DC6D58" w:rsidP="00DC6D58">
            <w:pPr>
              <w:rPr>
                <w:rFonts w:eastAsia="Times New Roman"/>
                <w:color w:val="000000"/>
                <w:szCs w:val="22"/>
              </w:rPr>
            </w:pPr>
            <w:r>
              <w:rPr>
                <w:color w:val="000000"/>
                <w:sz w:val="22"/>
                <w:szCs w:val="22"/>
              </w:rPr>
              <w:t>Breast Oncology Center</w:t>
            </w:r>
          </w:p>
        </w:tc>
        <w:tc>
          <w:tcPr>
            <w:tcW w:w="1090" w:type="dxa"/>
            <w:noWrap/>
            <w:vAlign w:val="bottom"/>
            <w:hideMark/>
          </w:tcPr>
          <w:p w14:paraId="77039067" w14:textId="673F5DF2" w:rsidR="00DC6D58" w:rsidRPr="00DC6D58" w:rsidRDefault="00DC6D58" w:rsidP="00DC6D58">
            <w:pPr>
              <w:jc w:val="center"/>
              <w:rPr>
                <w:rFonts w:eastAsia="Times New Roman"/>
                <w:color w:val="000000"/>
                <w:szCs w:val="22"/>
              </w:rPr>
            </w:pPr>
            <w:r w:rsidRPr="00DC6D58">
              <w:rPr>
                <w:color w:val="000000"/>
                <w:sz w:val="22"/>
                <w:szCs w:val="22"/>
              </w:rPr>
              <w:t>350</w:t>
            </w:r>
          </w:p>
        </w:tc>
        <w:tc>
          <w:tcPr>
            <w:tcW w:w="1172" w:type="dxa"/>
            <w:noWrap/>
            <w:vAlign w:val="bottom"/>
          </w:tcPr>
          <w:p w14:paraId="5EC7B86D" w14:textId="01DB7EAC" w:rsidR="00DC6D58" w:rsidRPr="00DC6D58" w:rsidRDefault="00DC6D58" w:rsidP="00DC6D58">
            <w:pPr>
              <w:tabs>
                <w:tab w:val="left" w:pos="560"/>
              </w:tabs>
              <w:ind w:right="46"/>
              <w:jc w:val="right"/>
              <w:rPr>
                <w:rFonts w:eastAsia="Times New Roman"/>
                <w:color w:val="000000"/>
                <w:szCs w:val="22"/>
              </w:rPr>
            </w:pPr>
            <w:r w:rsidRPr="00DC6D58">
              <w:rPr>
                <w:color w:val="000000"/>
                <w:sz w:val="22"/>
                <w:szCs w:val="22"/>
              </w:rPr>
              <w:t>32.3</w:t>
            </w:r>
            <w:r>
              <w:rPr>
                <w:color w:val="000000"/>
                <w:sz w:val="22"/>
                <w:szCs w:val="22"/>
              </w:rPr>
              <w:t xml:space="preserve"> %</w:t>
            </w:r>
          </w:p>
        </w:tc>
        <w:tc>
          <w:tcPr>
            <w:tcW w:w="1091" w:type="dxa"/>
            <w:noWrap/>
            <w:vAlign w:val="bottom"/>
            <w:hideMark/>
          </w:tcPr>
          <w:p w14:paraId="2EFB14ED" w14:textId="71EC48A2" w:rsidR="00DC6D58" w:rsidRPr="00DC6D58" w:rsidRDefault="00DC6D58" w:rsidP="00DC6D58">
            <w:pPr>
              <w:jc w:val="center"/>
              <w:rPr>
                <w:rFonts w:eastAsia="Times New Roman"/>
                <w:color w:val="000000"/>
                <w:szCs w:val="22"/>
              </w:rPr>
            </w:pPr>
            <w:r w:rsidRPr="00DC6D58">
              <w:rPr>
                <w:color w:val="000000"/>
                <w:sz w:val="22"/>
                <w:szCs w:val="22"/>
              </w:rPr>
              <w:t>455</w:t>
            </w:r>
          </w:p>
        </w:tc>
        <w:tc>
          <w:tcPr>
            <w:tcW w:w="1090" w:type="dxa"/>
            <w:noWrap/>
            <w:vAlign w:val="bottom"/>
          </w:tcPr>
          <w:p w14:paraId="715E8E14" w14:textId="5C974A99" w:rsidR="00DC6D58" w:rsidRPr="00DC6D58" w:rsidRDefault="00DC6D58" w:rsidP="00DC6D58">
            <w:pPr>
              <w:ind w:left="11" w:right="46" w:hanging="11"/>
              <w:jc w:val="right"/>
              <w:rPr>
                <w:rFonts w:eastAsia="Times New Roman"/>
                <w:color w:val="000000"/>
                <w:szCs w:val="22"/>
              </w:rPr>
            </w:pPr>
            <w:r w:rsidRPr="00DC6D58">
              <w:rPr>
                <w:color w:val="000000"/>
                <w:sz w:val="22"/>
                <w:szCs w:val="22"/>
              </w:rPr>
              <w:t>36.8</w:t>
            </w:r>
            <w:r w:rsidR="002B5D4B">
              <w:rPr>
                <w:color w:val="000000"/>
                <w:sz w:val="22"/>
                <w:szCs w:val="22"/>
              </w:rPr>
              <w:t xml:space="preserve"> </w:t>
            </w:r>
            <w:r>
              <w:rPr>
                <w:color w:val="000000"/>
                <w:sz w:val="22"/>
                <w:szCs w:val="22"/>
              </w:rPr>
              <w:t>%</w:t>
            </w:r>
          </w:p>
        </w:tc>
        <w:tc>
          <w:tcPr>
            <w:tcW w:w="1091" w:type="dxa"/>
            <w:noWrap/>
            <w:vAlign w:val="bottom"/>
            <w:hideMark/>
          </w:tcPr>
          <w:p w14:paraId="537D8821" w14:textId="01B17536" w:rsidR="00DC6D58" w:rsidRPr="00DC6D58" w:rsidRDefault="00DC6D58" w:rsidP="00DC6D58">
            <w:pPr>
              <w:jc w:val="center"/>
              <w:rPr>
                <w:rFonts w:eastAsia="Times New Roman"/>
                <w:color w:val="000000"/>
                <w:szCs w:val="22"/>
              </w:rPr>
            </w:pPr>
            <w:r w:rsidRPr="00DC6D58">
              <w:rPr>
                <w:color w:val="000000"/>
                <w:sz w:val="22"/>
                <w:szCs w:val="22"/>
              </w:rPr>
              <w:t>455</w:t>
            </w:r>
          </w:p>
        </w:tc>
        <w:tc>
          <w:tcPr>
            <w:tcW w:w="1091" w:type="dxa"/>
            <w:noWrap/>
            <w:vAlign w:val="bottom"/>
          </w:tcPr>
          <w:p w14:paraId="11DC455D" w14:textId="3315BFAE" w:rsidR="00DC6D58" w:rsidRPr="00DC6D58" w:rsidRDefault="00DC6D58" w:rsidP="00DC6D58">
            <w:pPr>
              <w:ind w:right="58"/>
              <w:jc w:val="right"/>
              <w:rPr>
                <w:rFonts w:eastAsia="Times New Roman"/>
                <w:color w:val="000000"/>
                <w:szCs w:val="22"/>
              </w:rPr>
            </w:pPr>
            <w:r w:rsidRPr="00DC6D58">
              <w:rPr>
                <w:color w:val="000000"/>
                <w:sz w:val="22"/>
                <w:szCs w:val="22"/>
              </w:rPr>
              <w:t>37.8</w:t>
            </w:r>
            <w:r w:rsidR="002B5D4B">
              <w:rPr>
                <w:color w:val="000000"/>
                <w:sz w:val="22"/>
                <w:szCs w:val="22"/>
              </w:rPr>
              <w:t xml:space="preserve"> </w:t>
            </w:r>
            <w:r w:rsidRPr="00DC6D58">
              <w:rPr>
                <w:color w:val="000000"/>
                <w:sz w:val="22"/>
                <w:szCs w:val="22"/>
              </w:rPr>
              <w:t>%</w:t>
            </w:r>
          </w:p>
        </w:tc>
      </w:tr>
      <w:tr w:rsidR="00DC6D58" w:rsidRPr="00AF424B" w14:paraId="396E6A70" w14:textId="77777777" w:rsidTr="009F7EB1">
        <w:trPr>
          <w:cantSplit/>
          <w:trHeight w:val="276"/>
        </w:trPr>
        <w:tc>
          <w:tcPr>
            <w:tcW w:w="2740" w:type="dxa"/>
            <w:noWrap/>
            <w:hideMark/>
          </w:tcPr>
          <w:p w14:paraId="09858CBF" w14:textId="38C5DD70" w:rsidR="00DC6D58" w:rsidRPr="00AF424B" w:rsidRDefault="00DC6D58" w:rsidP="00DC6D58">
            <w:pPr>
              <w:rPr>
                <w:rFonts w:eastAsia="Times New Roman"/>
                <w:color w:val="000000"/>
                <w:szCs w:val="22"/>
              </w:rPr>
            </w:pPr>
            <w:r>
              <w:rPr>
                <w:color w:val="000000"/>
                <w:sz w:val="22"/>
                <w:szCs w:val="22"/>
              </w:rPr>
              <w:t>Cutaneous Oncology Center</w:t>
            </w:r>
          </w:p>
        </w:tc>
        <w:tc>
          <w:tcPr>
            <w:tcW w:w="1090" w:type="dxa"/>
            <w:noWrap/>
            <w:vAlign w:val="bottom"/>
            <w:hideMark/>
          </w:tcPr>
          <w:p w14:paraId="63752E30" w14:textId="61B91664" w:rsidR="00DC6D58" w:rsidRPr="00DC6D58" w:rsidRDefault="00DC6D58" w:rsidP="00DC6D58">
            <w:pPr>
              <w:jc w:val="center"/>
              <w:rPr>
                <w:rFonts w:eastAsia="Times New Roman"/>
                <w:color w:val="000000"/>
                <w:szCs w:val="22"/>
              </w:rPr>
            </w:pPr>
            <w:r w:rsidRPr="00DC6D58">
              <w:rPr>
                <w:color w:val="000000"/>
                <w:sz w:val="22"/>
                <w:szCs w:val="22"/>
              </w:rPr>
              <w:t>28</w:t>
            </w:r>
          </w:p>
        </w:tc>
        <w:tc>
          <w:tcPr>
            <w:tcW w:w="1172" w:type="dxa"/>
            <w:noWrap/>
            <w:vAlign w:val="bottom"/>
          </w:tcPr>
          <w:p w14:paraId="2179C720" w14:textId="3C12A3A3" w:rsidR="00DC6D58" w:rsidRPr="00DC6D58" w:rsidRDefault="00DC6D58" w:rsidP="00DC6D58">
            <w:pPr>
              <w:jc w:val="center"/>
              <w:rPr>
                <w:rFonts w:eastAsia="Times New Roman"/>
                <w:color w:val="000000"/>
                <w:szCs w:val="22"/>
              </w:rPr>
            </w:pPr>
            <w:r w:rsidRPr="00DC6D58">
              <w:rPr>
                <w:color w:val="000000"/>
                <w:sz w:val="22"/>
                <w:szCs w:val="22"/>
              </w:rPr>
              <w:t>2.6</w:t>
            </w:r>
          </w:p>
        </w:tc>
        <w:tc>
          <w:tcPr>
            <w:tcW w:w="1091" w:type="dxa"/>
            <w:noWrap/>
            <w:vAlign w:val="bottom"/>
            <w:hideMark/>
          </w:tcPr>
          <w:p w14:paraId="57D8C860" w14:textId="7A993C91" w:rsidR="00DC6D58" w:rsidRPr="00DC6D58" w:rsidRDefault="00DC6D58" w:rsidP="00DC6D58">
            <w:pPr>
              <w:jc w:val="center"/>
              <w:rPr>
                <w:rFonts w:eastAsia="Times New Roman"/>
                <w:color w:val="000000"/>
                <w:szCs w:val="22"/>
              </w:rPr>
            </w:pPr>
            <w:r w:rsidRPr="00DC6D58">
              <w:rPr>
                <w:color w:val="000000"/>
                <w:sz w:val="22"/>
                <w:szCs w:val="22"/>
              </w:rPr>
              <w:t>27</w:t>
            </w:r>
          </w:p>
        </w:tc>
        <w:tc>
          <w:tcPr>
            <w:tcW w:w="1090" w:type="dxa"/>
            <w:noWrap/>
            <w:vAlign w:val="bottom"/>
          </w:tcPr>
          <w:p w14:paraId="328BFC18" w14:textId="15EF287F" w:rsidR="00DC6D58" w:rsidRPr="00DC6D58" w:rsidRDefault="00DC6D58" w:rsidP="00DC6D58">
            <w:pPr>
              <w:jc w:val="center"/>
              <w:rPr>
                <w:rFonts w:eastAsia="Times New Roman"/>
                <w:color w:val="000000"/>
                <w:szCs w:val="22"/>
              </w:rPr>
            </w:pPr>
            <w:r w:rsidRPr="00DC6D58">
              <w:rPr>
                <w:color w:val="000000"/>
                <w:sz w:val="22"/>
                <w:szCs w:val="22"/>
              </w:rPr>
              <w:t>2.2</w:t>
            </w:r>
          </w:p>
        </w:tc>
        <w:tc>
          <w:tcPr>
            <w:tcW w:w="1091" w:type="dxa"/>
            <w:noWrap/>
            <w:vAlign w:val="bottom"/>
            <w:hideMark/>
          </w:tcPr>
          <w:p w14:paraId="3F52E9CE" w14:textId="5BA039FC" w:rsidR="00DC6D58" w:rsidRPr="00DC6D58" w:rsidRDefault="00DC6D58" w:rsidP="00DC6D58">
            <w:pPr>
              <w:jc w:val="center"/>
              <w:rPr>
                <w:rFonts w:eastAsia="Times New Roman"/>
                <w:color w:val="000000"/>
                <w:szCs w:val="22"/>
              </w:rPr>
            </w:pPr>
            <w:r w:rsidRPr="00DC6D58">
              <w:rPr>
                <w:color w:val="000000"/>
                <w:sz w:val="22"/>
                <w:szCs w:val="22"/>
              </w:rPr>
              <w:t>36</w:t>
            </w:r>
          </w:p>
        </w:tc>
        <w:tc>
          <w:tcPr>
            <w:tcW w:w="1091" w:type="dxa"/>
            <w:noWrap/>
            <w:vAlign w:val="bottom"/>
          </w:tcPr>
          <w:p w14:paraId="6AE04971" w14:textId="4F3C7F99" w:rsidR="00DC6D58" w:rsidRPr="00DC6D58" w:rsidRDefault="00DC6D58" w:rsidP="00DC6D58">
            <w:pPr>
              <w:jc w:val="center"/>
              <w:rPr>
                <w:rFonts w:eastAsia="Times New Roman"/>
                <w:color w:val="000000"/>
                <w:szCs w:val="22"/>
              </w:rPr>
            </w:pPr>
            <w:r w:rsidRPr="00DC6D58">
              <w:rPr>
                <w:color w:val="000000"/>
                <w:sz w:val="22"/>
                <w:szCs w:val="22"/>
              </w:rPr>
              <w:t>3.0</w:t>
            </w:r>
          </w:p>
        </w:tc>
      </w:tr>
      <w:tr w:rsidR="00DC6D58" w:rsidRPr="00AF424B" w14:paraId="10A821CA" w14:textId="77777777" w:rsidTr="009F7EB1">
        <w:trPr>
          <w:cantSplit/>
          <w:trHeight w:val="276"/>
        </w:trPr>
        <w:tc>
          <w:tcPr>
            <w:tcW w:w="2740" w:type="dxa"/>
            <w:noWrap/>
            <w:hideMark/>
          </w:tcPr>
          <w:p w14:paraId="5BF6243A" w14:textId="662C6370" w:rsidR="00DC6D58" w:rsidRPr="00AF424B" w:rsidRDefault="00DC6D58" w:rsidP="00DC6D58">
            <w:pPr>
              <w:rPr>
                <w:rFonts w:eastAsia="Times New Roman"/>
                <w:color w:val="000000"/>
                <w:szCs w:val="22"/>
              </w:rPr>
            </w:pPr>
            <w:r>
              <w:rPr>
                <w:color w:val="000000"/>
                <w:sz w:val="22"/>
                <w:szCs w:val="22"/>
              </w:rPr>
              <w:t>Gastrointestinal Oncology</w:t>
            </w:r>
          </w:p>
        </w:tc>
        <w:tc>
          <w:tcPr>
            <w:tcW w:w="1090" w:type="dxa"/>
            <w:noWrap/>
            <w:vAlign w:val="bottom"/>
            <w:hideMark/>
          </w:tcPr>
          <w:p w14:paraId="0CD8A13C" w14:textId="566B7952" w:rsidR="00DC6D58" w:rsidRPr="00DC6D58" w:rsidRDefault="00DC6D58" w:rsidP="00DC6D58">
            <w:pPr>
              <w:jc w:val="center"/>
              <w:rPr>
                <w:rFonts w:eastAsia="Times New Roman"/>
                <w:color w:val="000000"/>
                <w:szCs w:val="22"/>
              </w:rPr>
            </w:pPr>
            <w:r w:rsidRPr="00DC6D58">
              <w:rPr>
                <w:color w:val="000000"/>
                <w:sz w:val="22"/>
                <w:szCs w:val="22"/>
              </w:rPr>
              <w:t>29</w:t>
            </w:r>
          </w:p>
        </w:tc>
        <w:tc>
          <w:tcPr>
            <w:tcW w:w="1172" w:type="dxa"/>
            <w:noWrap/>
            <w:vAlign w:val="bottom"/>
          </w:tcPr>
          <w:p w14:paraId="6DAE3E4E" w14:textId="321C7A62" w:rsidR="00DC6D58" w:rsidRPr="00DC6D58" w:rsidRDefault="00DC6D58" w:rsidP="00DC6D58">
            <w:pPr>
              <w:jc w:val="center"/>
              <w:rPr>
                <w:rFonts w:eastAsia="Times New Roman"/>
                <w:color w:val="000000"/>
                <w:szCs w:val="22"/>
              </w:rPr>
            </w:pPr>
            <w:r w:rsidRPr="00DC6D58">
              <w:rPr>
                <w:color w:val="000000"/>
                <w:sz w:val="22"/>
                <w:szCs w:val="22"/>
              </w:rPr>
              <w:t>2.7</w:t>
            </w:r>
          </w:p>
        </w:tc>
        <w:tc>
          <w:tcPr>
            <w:tcW w:w="1091" w:type="dxa"/>
            <w:noWrap/>
            <w:vAlign w:val="bottom"/>
            <w:hideMark/>
          </w:tcPr>
          <w:p w14:paraId="5099296D" w14:textId="717ADF7B" w:rsidR="00DC6D58" w:rsidRPr="00DC6D58" w:rsidRDefault="00DC6D58" w:rsidP="00DC6D58">
            <w:pPr>
              <w:jc w:val="center"/>
              <w:rPr>
                <w:rFonts w:eastAsia="Times New Roman"/>
                <w:color w:val="000000"/>
                <w:szCs w:val="22"/>
              </w:rPr>
            </w:pPr>
            <w:r w:rsidRPr="00DC6D58">
              <w:rPr>
                <w:color w:val="000000"/>
                <w:sz w:val="22"/>
                <w:szCs w:val="22"/>
              </w:rPr>
              <w:t>38</w:t>
            </w:r>
          </w:p>
        </w:tc>
        <w:tc>
          <w:tcPr>
            <w:tcW w:w="1090" w:type="dxa"/>
            <w:noWrap/>
            <w:vAlign w:val="bottom"/>
          </w:tcPr>
          <w:p w14:paraId="1ED71470" w14:textId="12F14257" w:rsidR="00DC6D58" w:rsidRPr="00DC6D58" w:rsidRDefault="00DC6D58" w:rsidP="00DC6D58">
            <w:pPr>
              <w:jc w:val="center"/>
              <w:rPr>
                <w:rFonts w:eastAsia="Times New Roman"/>
                <w:color w:val="000000"/>
                <w:szCs w:val="22"/>
              </w:rPr>
            </w:pPr>
            <w:r w:rsidRPr="00DC6D58">
              <w:rPr>
                <w:color w:val="000000"/>
                <w:sz w:val="22"/>
                <w:szCs w:val="22"/>
              </w:rPr>
              <w:t>3.1</w:t>
            </w:r>
          </w:p>
        </w:tc>
        <w:tc>
          <w:tcPr>
            <w:tcW w:w="1091" w:type="dxa"/>
            <w:noWrap/>
            <w:vAlign w:val="bottom"/>
            <w:hideMark/>
          </w:tcPr>
          <w:p w14:paraId="3C37DE5C" w14:textId="679C58E0" w:rsidR="00DC6D58" w:rsidRPr="00DC6D58" w:rsidRDefault="00DC6D58" w:rsidP="00DC6D58">
            <w:pPr>
              <w:jc w:val="center"/>
              <w:rPr>
                <w:rFonts w:eastAsia="Times New Roman"/>
                <w:color w:val="000000"/>
                <w:szCs w:val="22"/>
              </w:rPr>
            </w:pPr>
            <w:r w:rsidRPr="00DC6D58">
              <w:rPr>
                <w:color w:val="000000"/>
                <w:sz w:val="22"/>
                <w:szCs w:val="22"/>
              </w:rPr>
              <w:t>37</w:t>
            </w:r>
          </w:p>
        </w:tc>
        <w:tc>
          <w:tcPr>
            <w:tcW w:w="1091" w:type="dxa"/>
            <w:noWrap/>
            <w:vAlign w:val="bottom"/>
          </w:tcPr>
          <w:p w14:paraId="465A48D0" w14:textId="5EF7FC41" w:rsidR="00DC6D58" w:rsidRPr="00DC6D58" w:rsidRDefault="00DC6D58" w:rsidP="00DC6D58">
            <w:pPr>
              <w:jc w:val="center"/>
              <w:rPr>
                <w:rFonts w:eastAsia="Times New Roman"/>
                <w:color w:val="000000"/>
                <w:szCs w:val="22"/>
              </w:rPr>
            </w:pPr>
            <w:r w:rsidRPr="00DC6D58">
              <w:rPr>
                <w:color w:val="000000"/>
                <w:sz w:val="22"/>
                <w:szCs w:val="22"/>
              </w:rPr>
              <w:t>3.1</w:t>
            </w:r>
          </w:p>
        </w:tc>
      </w:tr>
      <w:tr w:rsidR="00DC6D58" w:rsidRPr="00AF424B" w14:paraId="4FB3D747" w14:textId="77777777" w:rsidTr="009F7EB1">
        <w:trPr>
          <w:cantSplit/>
          <w:trHeight w:val="276"/>
        </w:trPr>
        <w:tc>
          <w:tcPr>
            <w:tcW w:w="2740" w:type="dxa"/>
            <w:noWrap/>
            <w:hideMark/>
          </w:tcPr>
          <w:p w14:paraId="1D250E23" w14:textId="36885A37" w:rsidR="00DC6D58" w:rsidRPr="00AF424B" w:rsidRDefault="00DC6D58" w:rsidP="00DC6D58">
            <w:pPr>
              <w:rPr>
                <w:rFonts w:eastAsia="Times New Roman"/>
                <w:color w:val="000000"/>
                <w:szCs w:val="22"/>
              </w:rPr>
            </w:pPr>
            <w:r>
              <w:rPr>
                <w:color w:val="000000"/>
                <w:sz w:val="22"/>
                <w:szCs w:val="22"/>
              </w:rPr>
              <w:t>Genitourinary Oncology</w:t>
            </w:r>
          </w:p>
        </w:tc>
        <w:tc>
          <w:tcPr>
            <w:tcW w:w="1090" w:type="dxa"/>
            <w:noWrap/>
            <w:vAlign w:val="bottom"/>
            <w:hideMark/>
          </w:tcPr>
          <w:p w14:paraId="319C20B1" w14:textId="67057F95" w:rsidR="00DC6D58" w:rsidRPr="00DC6D58" w:rsidRDefault="00DC6D58" w:rsidP="00DC6D58">
            <w:pPr>
              <w:jc w:val="center"/>
              <w:rPr>
                <w:rFonts w:eastAsia="Times New Roman"/>
                <w:color w:val="000000"/>
                <w:szCs w:val="22"/>
              </w:rPr>
            </w:pPr>
            <w:r w:rsidRPr="00DC6D58">
              <w:rPr>
                <w:color w:val="000000"/>
                <w:sz w:val="22"/>
                <w:szCs w:val="22"/>
              </w:rPr>
              <w:t>132</w:t>
            </w:r>
          </w:p>
        </w:tc>
        <w:tc>
          <w:tcPr>
            <w:tcW w:w="1172" w:type="dxa"/>
            <w:noWrap/>
            <w:vAlign w:val="bottom"/>
          </w:tcPr>
          <w:p w14:paraId="4D9F072F" w14:textId="098FD719" w:rsidR="00DC6D58" w:rsidRPr="00DC6D58" w:rsidRDefault="00DC6D58" w:rsidP="00DC6D58">
            <w:pPr>
              <w:jc w:val="center"/>
              <w:rPr>
                <w:rFonts w:eastAsia="Times New Roman"/>
                <w:color w:val="000000"/>
                <w:szCs w:val="22"/>
              </w:rPr>
            </w:pPr>
            <w:r w:rsidRPr="00DC6D58">
              <w:rPr>
                <w:color w:val="000000"/>
                <w:sz w:val="22"/>
                <w:szCs w:val="22"/>
              </w:rPr>
              <w:t>12.2</w:t>
            </w:r>
          </w:p>
        </w:tc>
        <w:tc>
          <w:tcPr>
            <w:tcW w:w="1091" w:type="dxa"/>
            <w:noWrap/>
            <w:vAlign w:val="bottom"/>
            <w:hideMark/>
          </w:tcPr>
          <w:p w14:paraId="68E36A97" w14:textId="3A44DAFD" w:rsidR="00DC6D58" w:rsidRPr="00DC6D58" w:rsidRDefault="00DC6D58" w:rsidP="00DC6D58">
            <w:pPr>
              <w:jc w:val="center"/>
              <w:rPr>
                <w:rFonts w:eastAsia="Times New Roman"/>
                <w:color w:val="000000"/>
                <w:szCs w:val="22"/>
              </w:rPr>
            </w:pPr>
            <w:r w:rsidRPr="00DC6D58">
              <w:rPr>
                <w:color w:val="000000"/>
                <w:sz w:val="22"/>
                <w:szCs w:val="22"/>
              </w:rPr>
              <w:t>153</w:t>
            </w:r>
          </w:p>
        </w:tc>
        <w:tc>
          <w:tcPr>
            <w:tcW w:w="1090" w:type="dxa"/>
            <w:noWrap/>
            <w:vAlign w:val="bottom"/>
          </w:tcPr>
          <w:p w14:paraId="777D1EDC" w14:textId="4C8AD1E8" w:rsidR="00DC6D58" w:rsidRPr="00DC6D58" w:rsidRDefault="00DC6D58" w:rsidP="00DC6D58">
            <w:pPr>
              <w:jc w:val="center"/>
              <w:rPr>
                <w:rFonts w:eastAsia="Times New Roman"/>
                <w:color w:val="000000"/>
                <w:szCs w:val="22"/>
              </w:rPr>
            </w:pPr>
            <w:r w:rsidRPr="00DC6D58">
              <w:rPr>
                <w:color w:val="000000"/>
                <w:sz w:val="22"/>
                <w:szCs w:val="22"/>
              </w:rPr>
              <w:t>12.4</w:t>
            </w:r>
          </w:p>
        </w:tc>
        <w:tc>
          <w:tcPr>
            <w:tcW w:w="1091" w:type="dxa"/>
            <w:noWrap/>
            <w:vAlign w:val="bottom"/>
            <w:hideMark/>
          </w:tcPr>
          <w:p w14:paraId="1615CF5E" w14:textId="76D4397D" w:rsidR="00DC6D58" w:rsidRPr="00DC6D58" w:rsidRDefault="00DC6D58" w:rsidP="00DC6D58">
            <w:pPr>
              <w:jc w:val="center"/>
              <w:rPr>
                <w:rFonts w:eastAsia="Times New Roman"/>
                <w:color w:val="000000"/>
                <w:szCs w:val="22"/>
              </w:rPr>
            </w:pPr>
            <w:r w:rsidRPr="00DC6D58">
              <w:rPr>
                <w:color w:val="000000"/>
                <w:sz w:val="22"/>
                <w:szCs w:val="22"/>
              </w:rPr>
              <w:t>165</w:t>
            </w:r>
          </w:p>
        </w:tc>
        <w:tc>
          <w:tcPr>
            <w:tcW w:w="1091" w:type="dxa"/>
            <w:noWrap/>
            <w:vAlign w:val="bottom"/>
          </w:tcPr>
          <w:p w14:paraId="5DC0FCEC" w14:textId="6A952420" w:rsidR="00DC6D58" w:rsidRPr="00DC6D58" w:rsidRDefault="00DC6D58" w:rsidP="00DC6D58">
            <w:pPr>
              <w:jc w:val="center"/>
              <w:rPr>
                <w:rFonts w:eastAsia="Times New Roman"/>
                <w:color w:val="000000"/>
                <w:szCs w:val="22"/>
              </w:rPr>
            </w:pPr>
            <w:r w:rsidRPr="00DC6D58">
              <w:rPr>
                <w:color w:val="000000"/>
                <w:sz w:val="22"/>
                <w:szCs w:val="22"/>
              </w:rPr>
              <w:t>13.7</w:t>
            </w:r>
          </w:p>
        </w:tc>
      </w:tr>
      <w:tr w:rsidR="00DC6D58" w:rsidRPr="00AF424B" w14:paraId="0DA7E0B5" w14:textId="77777777" w:rsidTr="009F7EB1">
        <w:trPr>
          <w:cantSplit/>
          <w:trHeight w:val="276"/>
        </w:trPr>
        <w:tc>
          <w:tcPr>
            <w:tcW w:w="2740" w:type="dxa"/>
            <w:noWrap/>
            <w:hideMark/>
          </w:tcPr>
          <w:p w14:paraId="4156AE10" w14:textId="335BDF00" w:rsidR="00DC6D58" w:rsidRPr="00AF424B" w:rsidRDefault="00DC6D58" w:rsidP="00DC6D58">
            <w:pPr>
              <w:rPr>
                <w:rFonts w:eastAsia="Times New Roman"/>
                <w:color w:val="000000"/>
                <w:szCs w:val="22"/>
              </w:rPr>
            </w:pPr>
            <w:r>
              <w:rPr>
                <w:color w:val="000000"/>
                <w:sz w:val="22"/>
                <w:szCs w:val="22"/>
              </w:rPr>
              <w:t>Gynecology Oncology</w:t>
            </w:r>
          </w:p>
        </w:tc>
        <w:tc>
          <w:tcPr>
            <w:tcW w:w="1090" w:type="dxa"/>
            <w:noWrap/>
            <w:vAlign w:val="bottom"/>
            <w:hideMark/>
          </w:tcPr>
          <w:p w14:paraId="35606B8A" w14:textId="4969E365" w:rsidR="00DC6D58" w:rsidRPr="00DC6D58" w:rsidRDefault="00DC6D58" w:rsidP="00DC6D58">
            <w:pPr>
              <w:jc w:val="center"/>
              <w:rPr>
                <w:rFonts w:eastAsia="Times New Roman"/>
                <w:color w:val="000000"/>
                <w:szCs w:val="22"/>
              </w:rPr>
            </w:pPr>
            <w:r w:rsidRPr="00DC6D58">
              <w:rPr>
                <w:color w:val="000000"/>
                <w:sz w:val="22"/>
                <w:szCs w:val="22"/>
              </w:rPr>
              <w:t>21</w:t>
            </w:r>
          </w:p>
        </w:tc>
        <w:tc>
          <w:tcPr>
            <w:tcW w:w="1172" w:type="dxa"/>
            <w:noWrap/>
            <w:vAlign w:val="bottom"/>
          </w:tcPr>
          <w:p w14:paraId="4F0A4ACC" w14:textId="6E3B9739" w:rsidR="00DC6D58" w:rsidRPr="00DC6D58" w:rsidRDefault="00DC6D58" w:rsidP="00DC6D58">
            <w:pPr>
              <w:jc w:val="center"/>
              <w:rPr>
                <w:rFonts w:eastAsia="Times New Roman"/>
                <w:color w:val="000000"/>
                <w:szCs w:val="22"/>
              </w:rPr>
            </w:pPr>
            <w:r w:rsidRPr="00DC6D58">
              <w:rPr>
                <w:color w:val="000000"/>
                <w:sz w:val="22"/>
                <w:szCs w:val="22"/>
              </w:rPr>
              <w:t>1.9</w:t>
            </w:r>
          </w:p>
        </w:tc>
        <w:tc>
          <w:tcPr>
            <w:tcW w:w="1091" w:type="dxa"/>
            <w:noWrap/>
            <w:vAlign w:val="bottom"/>
            <w:hideMark/>
          </w:tcPr>
          <w:p w14:paraId="58E460C1" w14:textId="0472F23D" w:rsidR="00DC6D58" w:rsidRPr="00DC6D58" w:rsidRDefault="00DC6D58" w:rsidP="00DC6D58">
            <w:pPr>
              <w:jc w:val="center"/>
              <w:rPr>
                <w:rFonts w:eastAsia="Times New Roman"/>
                <w:color w:val="000000"/>
                <w:szCs w:val="22"/>
              </w:rPr>
            </w:pPr>
            <w:r w:rsidRPr="00DC6D58">
              <w:rPr>
                <w:color w:val="000000"/>
                <w:sz w:val="22"/>
                <w:szCs w:val="22"/>
              </w:rPr>
              <w:t>16</w:t>
            </w:r>
          </w:p>
        </w:tc>
        <w:tc>
          <w:tcPr>
            <w:tcW w:w="1090" w:type="dxa"/>
            <w:noWrap/>
            <w:vAlign w:val="bottom"/>
          </w:tcPr>
          <w:p w14:paraId="4C60B47D" w14:textId="04A38402" w:rsidR="00DC6D58" w:rsidRPr="00DC6D58" w:rsidRDefault="00DC6D58" w:rsidP="00DC6D58">
            <w:pPr>
              <w:jc w:val="center"/>
              <w:rPr>
                <w:rFonts w:eastAsia="Times New Roman"/>
                <w:color w:val="000000"/>
                <w:szCs w:val="22"/>
              </w:rPr>
            </w:pPr>
            <w:r w:rsidRPr="00DC6D58">
              <w:rPr>
                <w:color w:val="000000"/>
                <w:sz w:val="22"/>
                <w:szCs w:val="22"/>
              </w:rPr>
              <w:t>1.3</w:t>
            </w:r>
          </w:p>
        </w:tc>
        <w:tc>
          <w:tcPr>
            <w:tcW w:w="1091" w:type="dxa"/>
            <w:noWrap/>
            <w:vAlign w:val="bottom"/>
            <w:hideMark/>
          </w:tcPr>
          <w:p w14:paraId="34F8FA39" w14:textId="20E47F66" w:rsidR="00DC6D58" w:rsidRPr="00DC6D58" w:rsidRDefault="00DC6D58" w:rsidP="00DC6D58">
            <w:pPr>
              <w:jc w:val="center"/>
              <w:rPr>
                <w:rFonts w:eastAsia="Times New Roman"/>
                <w:color w:val="000000"/>
                <w:szCs w:val="22"/>
              </w:rPr>
            </w:pPr>
            <w:r w:rsidRPr="00DC6D58">
              <w:rPr>
                <w:color w:val="000000"/>
                <w:sz w:val="22"/>
                <w:szCs w:val="22"/>
              </w:rPr>
              <w:t>13</w:t>
            </w:r>
          </w:p>
        </w:tc>
        <w:tc>
          <w:tcPr>
            <w:tcW w:w="1091" w:type="dxa"/>
            <w:noWrap/>
            <w:vAlign w:val="bottom"/>
          </w:tcPr>
          <w:p w14:paraId="4EA43C3D" w14:textId="7697C9A5" w:rsidR="00DC6D58" w:rsidRPr="00DC6D58" w:rsidRDefault="00DC6D58" w:rsidP="00DC6D58">
            <w:pPr>
              <w:jc w:val="center"/>
              <w:rPr>
                <w:rFonts w:eastAsia="Times New Roman"/>
                <w:color w:val="000000"/>
                <w:szCs w:val="22"/>
              </w:rPr>
            </w:pPr>
            <w:r w:rsidRPr="00DC6D58">
              <w:rPr>
                <w:color w:val="000000"/>
                <w:sz w:val="22"/>
                <w:szCs w:val="22"/>
              </w:rPr>
              <w:t>1.1</w:t>
            </w:r>
          </w:p>
        </w:tc>
      </w:tr>
      <w:tr w:rsidR="00DC6D58" w:rsidRPr="00AF424B" w14:paraId="26F4CB3E" w14:textId="77777777" w:rsidTr="009F7EB1">
        <w:trPr>
          <w:cantSplit/>
          <w:trHeight w:val="276"/>
        </w:trPr>
        <w:tc>
          <w:tcPr>
            <w:tcW w:w="2740" w:type="dxa"/>
            <w:noWrap/>
            <w:hideMark/>
          </w:tcPr>
          <w:p w14:paraId="7C642C7C" w14:textId="5AD9638F" w:rsidR="00DC6D58" w:rsidRPr="00AF424B" w:rsidRDefault="00DC6D58" w:rsidP="00DC6D58">
            <w:pPr>
              <w:rPr>
                <w:rFonts w:eastAsia="Times New Roman"/>
                <w:color w:val="000000"/>
                <w:szCs w:val="22"/>
              </w:rPr>
            </w:pPr>
            <w:r>
              <w:rPr>
                <w:color w:val="000000"/>
                <w:sz w:val="22"/>
                <w:szCs w:val="22"/>
              </w:rPr>
              <w:t>Head and Neck Oncology</w:t>
            </w:r>
          </w:p>
        </w:tc>
        <w:tc>
          <w:tcPr>
            <w:tcW w:w="1090" w:type="dxa"/>
            <w:noWrap/>
            <w:vAlign w:val="bottom"/>
            <w:hideMark/>
          </w:tcPr>
          <w:p w14:paraId="2A0B7BBF" w14:textId="1AB38B49" w:rsidR="00DC6D58" w:rsidRPr="00DC6D58" w:rsidRDefault="00DC6D58" w:rsidP="00DC6D58">
            <w:pPr>
              <w:jc w:val="center"/>
              <w:rPr>
                <w:rFonts w:eastAsia="Times New Roman"/>
                <w:color w:val="000000"/>
                <w:szCs w:val="22"/>
              </w:rPr>
            </w:pPr>
            <w:r w:rsidRPr="00DC6D58">
              <w:rPr>
                <w:color w:val="000000"/>
                <w:sz w:val="22"/>
                <w:szCs w:val="22"/>
              </w:rPr>
              <w:t>200</w:t>
            </w:r>
          </w:p>
        </w:tc>
        <w:tc>
          <w:tcPr>
            <w:tcW w:w="1172" w:type="dxa"/>
            <w:noWrap/>
            <w:vAlign w:val="bottom"/>
          </w:tcPr>
          <w:p w14:paraId="15971B0B" w14:textId="7F2547EF" w:rsidR="00DC6D58" w:rsidRPr="00DC6D58" w:rsidRDefault="00DC6D58" w:rsidP="00DC6D58">
            <w:pPr>
              <w:jc w:val="center"/>
              <w:rPr>
                <w:rFonts w:eastAsia="Times New Roman"/>
                <w:color w:val="000000"/>
                <w:szCs w:val="22"/>
              </w:rPr>
            </w:pPr>
            <w:r w:rsidRPr="00DC6D58">
              <w:rPr>
                <w:color w:val="000000"/>
                <w:sz w:val="22"/>
                <w:szCs w:val="22"/>
              </w:rPr>
              <w:t>18.5</w:t>
            </w:r>
          </w:p>
        </w:tc>
        <w:tc>
          <w:tcPr>
            <w:tcW w:w="1091" w:type="dxa"/>
            <w:noWrap/>
            <w:vAlign w:val="bottom"/>
            <w:hideMark/>
          </w:tcPr>
          <w:p w14:paraId="60F52180" w14:textId="6A75A29B" w:rsidR="00DC6D58" w:rsidRPr="00DC6D58" w:rsidRDefault="00DC6D58" w:rsidP="00DC6D58">
            <w:pPr>
              <w:jc w:val="center"/>
              <w:rPr>
                <w:rFonts w:eastAsia="Times New Roman"/>
                <w:color w:val="000000"/>
                <w:szCs w:val="22"/>
              </w:rPr>
            </w:pPr>
            <w:r w:rsidRPr="00DC6D58">
              <w:rPr>
                <w:color w:val="000000"/>
                <w:sz w:val="22"/>
                <w:szCs w:val="22"/>
              </w:rPr>
              <w:t>237</w:t>
            </w:r>
          </w:p>
        </w:tc>
        <w:tc>
          <w:tcPr>
            <w:tcW w:w="1090" w:type="dxa"/>
            <w:noWrap/>
            <w:vAlign w:val="bottom"/>
          </w:tcPr>
          <w:p w14:paraId="371327A8" w14:textId="100BE239" w:rsidR="00DC6D58" w:rsidRPr="00DC6D58" w:rsidRDefault="00DC6D58" w:rsidP="00DC6D58">
            <w:pPr>
              <w:jc w:val="center"/>
              <w:rPr>
                <w:rFonts w:eastAsia="Times New Roman"/>
                <w:color w:val="000000"/>
                <w:szCs w:val="22"/>
              </w:rPr>
            </w:pPr>
            <w:r w:rsidRPr="00DC6D58">
              <w:rPr>
                <w:color w:val="000000"/>
                <w:sz w:val="22"/>
                <w:szCs w:val="22"/>
              </w:rPr>
              <w:t>19.2</w:t>
            </w:r>
          </w:p>
        </w:tc>
        <w:tc>
          <w:tcPr>
            <w:tcW w:w="1091" w:type="dxa"/>
            <w:noWrap/>
            <w:vAlign w:val="bottom"/>
            <w:hideMark/>
          </w:tcPr>
          <w:p w14:paraId="74E5310B" w14:textId="20EB0BF8" w:rsidR="00DC6D58" w:rsidRPr="00DC6D58" w:rsidRDefault="00DC6D58" w:rsidP="00DC6D58">
            <w:pPr>
              <w:jc w:val="center"/>
              <w:rPr>
                <w:rFonts w:eastAsia="Times New Roman"/>
                <w:color w:val="000000"/>
                <w:szCs w:val="22"/>
              </w:rPr>
            </w:pPr>
            <w:r w:rsidRPr="00DC6D58">
              <w:rPr>
                <w:color w:val="000000"/>
                <w:sz w:val="22"/>
                <w:szCs w:val="22"/>
              </w:rPr>
              <w:t>234</w:t>
            </w:r>
          </w:p>
        </w:tc>
        <w:tc>
          <w:tcPr>
            <w:tcW w:w="1091" w:type="dxa"/>
            <w:noWrap/>
            <w:vAlign w:val="bottom"/>
          </w:tcPr>
          <w:p w14:paraId="17976B1C" w14:textId="381FBFF8" w:rsidR="00DC6D58" w:rsidRPr="00DC6D58" w:rsidRDefault="00DC6D58" w:rsidP="00DC6D58">
            <w:pPr>
              <w:jc w:val="center"/>
              <w:rPr>
                <w:rFonts w:eastAsia="Times New Roman"/>
                <w:color w:val="000000"/>
                <w:szCs w:val="22"/>
              </w:rPr>
            </w:pPr>
            <w:r w:rsidRPr="00DC6D58">
              <w:rPr>
                <w:color w:val="000000"/>
                <w:sz w:val="22"/>
                <w:szCs w:val="22"/>
              </w:rPr>
              <w:t>19.4</w:t>
            </w:r>
          </w:p>
        </w:tc>
      </w:tr>
      <w:tr w:rsidR="00DC6D58" w:rsidRPr="00AF424B" w14:paraId="4B8B7F08" w14:textId="77777777" w:rsidTr="009F7EB1">
        <w:trPr>
          <w:cantSplit/>
          <w:trHeight w:val="276"/>
        </w:trPr>
        <w:tc>
          <w:tcPr>
            <w:tcW w:w="2740" w:type="dxa"/>
            <w:noWrap/>
            <w:hideMark/>
          </w:tcPr>
          <w:p w14:paraId="1825DA99" w14:textId="0F274DE3" w:rsidR="00DC6D58" w:rsidRPr="00AF424B" w:rsidRDefault="00DC6D58" w:rsidP="00DC6D58">
            <w:pPr>
              <w:rPr>
                <w:rFonts w:eastAsia="Times New Roman"/>
                <w:color w:val="000000"/>
                <w:szCs w:val="22"/>
              </w:rPr>
            </w:pPr>
            <w:r>
              <w:rPr>
                <w:color w:val="000000"/>
                <w:sz w:val="22"/>
                <w:szCs w:val="22"/>
              </w:rPr>
              <w:t>Hematologic Malignancies</w:t>
            </w:r>
            <w:r>
              <w:rPr>
                <w:rStyle w:val="FootnoteReference"/>
                <w:color w:val="000000"/>
                <w:sz w:val="22"/>
                <w:szCs w:val="22"/>
              </w:rPr>
              <w:footnoteReference w:id="47"/>
            </w:r>
          </w:p>
        </w:tc>
        <w:tc>
          <w:tcPr>
            <w:tcW w:w="1090" w:type="dxa"/>
            <w:noWrap/>
            <w:vAlign w:val="bottom"/>
            <w:hideMark/>
          </w:tcPr>
          <w:p w14:paraId="7F3FE796" w14:textId="057760C3" w:rsidR="00DC6D58" w:rsidRPr="00DC6D58" w:rsidRDefault="00DC6D58" w:rsidP="00DC6D58">
            <w:pPr>
              <w:jc w:val="center"/>
              <w:rPr>
                <w:rFonts w:eastAsia="Times New Roman"/>
                <w:color w:val="000000"/>
                <w:szCs w:val="22"/>
              </w:rPr>
            </w:pPr>
            <w:r w:rsidRPr="00DC6D58">
              <w:rPr>
                <w:color w:val="000000"/>
                <w:sz w:val="22"/>
                <w:szCs w:val="22"/>
              </w:rPr>
              <w:t>13</w:t>
            </w:r>
          </w:p>
        </w:tc>
        <w:tc>
          <w:tcPr>
            <w:tcW w:w="1172" w:type="dxa"/>
            <w:noWrap/>
            <w:vAlign w:val="bottom"/>
          </w:tcPr>
          <w:p w14:paraId="51A454AF" w14:textId="5445A11F" w:rsidR="00DC6D58" w:rsidRPr="00DC6D58" w:rsidRDefault="00DC6D58" w:rsidP="00DC6D58">
            <w:pPr>
              <w:jc w:val="center"/>
              <w:rPr>
                <w:rFonts w:eastAsia="Times New Roman"/>
                <w:color w:val="000000"/>
                <w:szCs w:val="22"/>
              </w:rPr>
            </w:pPr>
            <w:r w:rsidRPr="00DC6D58">
              <w:rPr>
                <w:color w:val="000000"/>
                <w:sz w:val="22"/>
                <w:szCs w:val="22"/>
              </w:rPr>
              <w:t>1.2</w:t>
            </w:r>
          </w:p>
        </w:tc>
        <w:tc>
          <w:tcPr>
            <w:tcW w:w="1091" w:type="dxa"/>
            <w:noWrap/>
            <w:vAlign w:val="bottom"/>
            <w:hideMark/>
          </w:tcPr>
          <w:p w14:paraId="2851ACB2" w14:textId="74E44E1A" w:rsidR="00DC6D58" w:rsidRPr="00DC6D58" w:rsidRDefault="00DC6D58" w:rsidP="00DC6D58">
            <w:pPr>
              <w:jc w:val="center"/>
              <w:rPr>
                <w:rFonts w:eastAsia="Times New Roman"/>
                <w:color w:val="000000"/>
                <w:szCs w:val="22"/>
              </w:rPr>
            </w:pPr>
            <w:r w:rsidRPr="00DC6D58">
              <w:rPr>
                <w:color w:val="000000"/>
                <w:sz w:val="22"/>
                <w:szCs w:val="22"/>
              </w:rPr>
              <w:t>20</w:t>
            </w:r>
          </w:p>
        </w:tc>
        <w:tc>
          <w:tcPr>
            <w:tcW w:w="1090" w:type="dxa"/>
            <w:noWrap/>
            <w:vAlign w:val="bottom"/>
          </w:tcPr>
          <w:p w14:paraId="605AEA73" w14:textId="32F25F9A" w:rsidR="00DC6D58" w:rsidRPr="00DC6D58" w:rsidRDefault="00DC6D58" w:rsidP="00DC6D58">
            <w:pPr>
              <w:jc w:val="center"/>
              <w:rPr>
                <w:rFonts w:eastAsia="Times New Roman"/>
                <w:color w:val="000000"/>
                <w:szCs w:val="22"/>
              </w:rPr>
            </w:pPr>
            <w:r w:rsidRPr="00DC6D58">
              <w:rPr>
                <w:color w:val="000000"/>
                <w:sz w:val="22"/>
                <w:szCs w:val="22"/>
              </w:rPr>
              <w:t>1.6</w:t>
            </w:r>
          </w:p>
        </w:tc>
        <w:tc>
          <w:tcPr>
            <w:tcW w:w="1091" w:type="dxa"/>
            <w:noWrap/>
            <w:vAlign w:val="bottom"/>
            <w:hideMark/>
          </w:tcPr>
          <w:p w14:paraId="1AE12A0D" w14:textId="66DEAD64" w:rsidR="00DC6D58" w:rsidRPr="00DC6D58" w:rsidRDefault="00DC6D58" w:rsidP="00DC6D58">
            <w:pPr>
              <w:jc w:val="center"/>
              <w:rPr>
                <w:rFonts w:eastAsia="Times New Roman"/>
                <w:color w:val="000000"/>
                <w:szCs w:val="22"/>
              </w:rPr>
            </w:pPr>
            <w:r w:rsidRPr="00DC6D58">
              <w:rPr>
                <w:color w:val="000000"/>
                <w:sz w:val="22"/>
                <w:szCs w:val="22"/>
              </w:rPr>
              <w:t>25</w:t>
            </w:r>
          </w:p>
        </w:tc>
        <w:tc>
          <w:tcPr>
            <w:tcW w:w="1091" w:type="dxa"/>
            <w:noWrap/>
            <w:vAlign w:val="bottom"/>
          </w:tcPr>
          <w:p w14:paraId="4B16FA41" w14:textId="35145ED7" w:rsidR="00DC6D58" w:rsidRPr="00DC6D58" w:rsidRDefault="00DC6D58" w:rsidP="00DC6D58">
            <w:pPr>
              <w:jc w:val="center"/>
              <w:rPr>
                <w:rFonts w:eastAsia="Times New Roman"/>
                <w:color w:val="000000"/>
                <w:szCs w:val="22"/>
              </w:rPr>
            </w:pPr>
            <w:r w:rsidRPr="00DC6D58">
              <w:rPr>
                <w:color w:val="000000"/>
                <w:sz w:val="22"/>
                <w:szCs w:val="22"/>
              </w:rPr>
              <w:t>2.1</w:t>
            </w:r>
          </w:p>
        </w:tc>
      </w:tr>
      <w:tr w:rsidR="00DC6D58" w:rsidRPr="00AF424B" w14:paraId="1EA8F35C" w14:textId="77777777" w:rsidTr="009F7EB1">
        <w:trPr>
          <w:cantSplit/>
          <w:trHeight w:val="288"/>
        </w:trPr>
        <w:tc>
          <w:tcPr>
            <w:tcW w:w="2740" w:type="dxa"/>
            <w:noWrap/>
          </w:tcPr>
          <w:p w14:paraId="0840F939" w14:textId="530612A9" w:rsidR="00DC6D58" w:rsidRDefault="00DC6D58" w:rsidP="00DC6D58">
            <w:pPr>
              <w:rPr>
                <w:color w:val="000000"/>
                <w:szCs w:val="22"/>
              </w:rPr>
            </w:pPr>
            <w:r>
              <w:rPr>
                <w:color w:val="000000"/>
                <w:sz w:val="22"/>
                <w:szCs w:val="22"/>
              </w:rPr>
              <w:t>Sarcoma and Bone Oncology</w:t>
            </w:r>
          </w:p>
        </w:tc>
        <w:tc>
          <w:tcPr>
            <w:tcW w:w="1090" w:type="dxa"/>
            <w:noWrap/>
            <w:vAlign w:val="bottom"/>
          </w:tcPr>
          <w:p w14:paraId="3FA5B103" w14:textId="0882A187" w:rsidR="00DC6D58" w:rsidRPr="00DC6D58" w:rsidRDefault="00DC6D58" w:rsidP="00DC6D58">
            <w:pPr>
              <w:jc w:val="center"/>
              <w:rPr>
                <w:rFonts w:eastAsia="Times New Roman"/>
                <w:color w:val="000000"/>
                <w:szCs w:val="22"/>
              </w:rPr>
            </w:pPr>
            <w:r w:rsidRPr="00DC6D58">
              <w:rPr>
                <w:color w:val="000000"/>
                <w:sz w:val="22"/>
                <w:szCs w:val="22"/>
              </w:rPr>
              <w:t>25</w:t>
            </w:r>
          </w:p>
        </w:tc>
        <w:tc>
          <w:tcPr>
            <w:tcW w:w="1172" w:type="dxa"/>
            <w:noWrap/>
            <w:vAlign w:val="bottom"/>
          </w:tcPr>
          <w:p w14:paraId="5284877F" w14:textId="0E430180" w:rsidR="00DC6D58" w:rsidRPr="00DC6D58" w:rsidRDefault="00DC6D58" w:rsidP="00DC6D58">
            <w:pPr>
              <w:jc w:val="center"/>
              <w:rPr>
                <w:color w:val="000000"/>
                <w:szCs w:val="22"/>
              </w:rPr>
            </w:pPr>
            <w:r w:rsidRPr="00DC6D58">
              <w:rPr>
                <w:color w:val="000000"/>
                <w:sz w:val="22"/>
                <w:szCs w:val="22"/>
              </w:rPr>
              <w:t>2.3</w:t>
            </w:r>
          </w:p>
        </w:tc>
        <w:tc>
          <w:tcPr>
            <w:tcW w:w="1091" w:type="dxa"/>
            <w:noWrap/>
            <w:vAlign w:val="bottom"/>
          </w:tcPr>
          <w:p w14:paraId="414EF0F2" w14:textId="47F2A8F1" w:rsidR="00DC6D58" w:rsidRPr="00DC6D58" w:rsidRDefault="00DC6D58" w:rsidP="00DC6D58">
            <w:pPr>
              <w:jc w:val="center"/>
              <w:rPr>
                <w:rFonts w:eastAsia="Times New Roman"/>
                <w:color w:val="000000"/>
                <w:szCs w:val="22"/>
              </w:rPr>
            </w:pPr>
            <w:r w:rsidRPr="00DC6D58">
              <w:rPr>
                <w:color w:val="000000"/>
                <w:sz w:val="22"/>
                <w:szCs w:val="22"/>
              </w:rPr>
              <w:t>11</w:t>
            </w:r>
          </w:p>
        </w:tc>
        <w:tc>
          <w:tcPr>
            <w:tcW w:w="1090" w:type="dxa"/>
            <w:noWrap/>
            <w:vAlign w:val="bottom"/>
          </w:tcPr>
          <w:p w14:paraId="0C7E5DA4" w14:textId="174A67F2" w:rsidR="00DC6D58" w:rsidRPr="00DC6D58" w:rsidRDefault="00DC6D58" w:rsidP="00DC6D58">
            <w:pPr>
              <w:jc w:val="center"/>
              <w:rPr>
                <w:color w:val="000000"/>
                <w:szCs w:val="22"/>
              </w:rPr>
            </w:pPr>
            <w:r w:rsidRPr="00DC6D58">
              <w:rPr>
                <w:color w:val="000000"/>
                <w:sz w:val="22"/>
                <w:szCs w:val="22"/>
              </w:rPr>
              <w:t>0.9</w:t>
            </w:r>
          </w:p>
        </w:tc>
        <w:tc>
          <w:tcPr>
            <w:tcW w:w="1091" w:type="dxa"/>
            <w:noWrap/>
            <w:vAlign w:val="bottom"/>
          </w:tcPr>
          <w:p w14:paraId="66DB1B5E" w14:textId="2F74DAEF" w:rsidR="00DC6D58" w:rsidRPr="00DC6D58" w:rsidRDefault="00DC6D58" w:rsidP="00DC6D58">
            <w:pPr>
              <w:jc w:val="center"/>
              <w:rPr>
                <w:rFonts w:eastAsia="Times New Roman"/>
                <w:color w:val="000000"/>
                <w:szCs w:val="22"/>
              </w:rPr>
            </w:pPr>
            <w:r w:rsidRPr="00DC6D58">
              <w:rPr>
                <w:color w:val="000000"/>
                <w:sz w:val="22"/>
                <w:szCs w:val="22"/>
              </w:rPr>
              <w:t>22</w:t>
            </w:r>
          </w:p>
        </w:tc>
        <w:tc>
          <w:tcPr>
            <w:tcW w:w="1091" w:type="dxa"/>
            <w:noWrap/>
            <w:vAlign w:val="bottom"/>
          </w:tcPr>
          <w:p w14:paraId="7EB5C73A" w14:textId="69873E76" w:rsidR="00DC6D58" w:rsidRPr="00DC6D58" w:rsidRDefault="00DC6D58" w:rsidP="00DC6D58">
            <w:pPr>
              <w:jc w:val="center"/>
              <w:rPr>
                <w:color w:val="000000"/>
                <w:szCs w:val="22"/>
              </w:rPr>
            </w:pPr>
            <w:r w:rsidRPr="00DC6D58">
              <w:rPr>
                <w:color w:val="000000"/>
                <w:sz w:val="22"/>
                <w:szCs w:val="22"/>
              </w:rPr>
              <w:t>1.8</w:t>
            </w:r>
          </w:p>
        </w:tc>
      </w:tr>
      <w:tr w:rsidR="00DC6D58" w:rsidRPr="00AF424B" w14:paraId="07C93DF0" w14:textId="77777777" w:rsidTr="009F7EB1">
        <w:trPr>
          <w:cantSplit/>
          <w:trHeight w:val="288"/>
        </w:trPr>
        <w:tc>
          <w:tcPr>
            <w:tcW w:w="2740" w:type="dxa"/>
            <w:noWrap/>
          </w:tcPr>
          <w:p w14:paraId="2CF761BF" w14:textId="2B06AEFE" w:rsidR="00DC6D58" w:rsidRDefault="00DC6D58" w:rsidP="00DC6D58">
            <w:pPr>
              <w:rPr>
                <w:color w:val="000000"/>
                <w:szCs w:val="22"/>
              </w:rPr>
            </w:pPr>
            <w:r>
              <w:rPr>
                <w:color w:val="000000"/>
                <w:sz w:val="22"/>
                <w:szCs w:val="22"/>
              </w:rPr>
              <w:t>Thoracic Oncology Program</w:t>
            </w:r>
          </w:p>
        </w:tc>
        <w:tc>
          <w:tcPr>
            <w:tcW w:w="1090" w:type="dxa"/>
            <w:noWrap/>
            <w:vAlign w:val="bottom"/>
          </w:tcPr>
          <w:p w14:paraId="296DB33B" w14:textId="53E100E9" w:rsidR="00DC6D58" w:rsidRPr="00DC6D58" w:rsidRDefault="00DC6D58" w:rsidP="00DC6D58">
            <w:pPr>
              <w:jc w:val="center"/>
              <w:rPr>
                <w:rFonts w:eastAsia="Times New Roman"/>
                <w:color w:val="000000"/>
                <w:szCs w:val="22"/>
              </w:rPr>
            </w:pPr>
            <w:r w:rsidRPr="00DC6D58">
              <w:rPr>
                <w:color w:val="000000"/>
                <w:sz w:val="22"/>
                <w:szCs w:val="22"/>
              </w:rPr>
              <w:t>252</w:t>
            </w:r>
          </w:p>
        </w:tc>
        <w:tc>
          <w:tcPr>
            <w:tcW w:w="1172" w:type="dxa"/>
            <w:noWrap/>
            <w:vAlign w:val="bottom"/>
          </w:tcPr>
          <w:p w14:paraId="7081A5EA" w14:textId="3B9D39CE" w:rsidR="00DC6D58" w:rsidRPr="00DC6D58" w:rsidRDefault="00DC6D58" w:rsidP="00DC6D58">
            <w:pPr>
              <w:jc w:val="center"/>
              <w:rPr>
                <w:color w:val="000000"/>
                <w:szCs w:val="22"/>
              </w:rPr>
            </w:pPr>
            <w:r w:rsidRPr="00DC6D58">
              <w:rPr>
                <w:color w:val="000000"/>
                <w:sz w:val="22"/>
                <w:szCs w:val="22"/>
              </w:rPr>
              <w:t>23.2</w:t>
            </w:r>
          </w:p>
        </w:tc>
        <w:tc>
          <w:tcPr>
            <w:tcW w:w="1091" w:type="dxa"/>
            <w:noWrap/>
            <w:vAlign w:val="bottom"/>
          </w:tcPr>
          <w:p w14:paraId="38C6E6CA" w14:textId="60FE405C" w:rsidR="00DC6D58" w:rsidRPr="00DC6D58" w:rsidRDefault="00DC6D58" w:rsidP="00DC6D58">
            <w:pPr>
              <w:jc w:val="center"/>
              <w:rPr>
                <w:rFonts w:eastAsia="Times New Roman"/>
                <w:color w:val="000000"/>
                <w:szCs w:val="22"/>
              </w:rPr>
            </w:pPr>
            <w:r w:rsidRPr="00DC6D58">
              <w:rPr>
                <w:color w:val="000000"/>
                <w:sz w:val="22"/>
                <w:szCs w:val="22"/>
              </w:rPr>
              <w:t>249</w:t>
            </w:r>
          </w:p>
        </w:tc>
        <w:tc>
          <w:tcPr>
            <w:tcW w:w="1090" w:type="dxa"/>
            <w:noWrap/>
            <w:vAlign w:val="bottom"/>
          </w:tcPr>
          <w:p w14:paraId="419092B3" w14:textId="1C826FF4" w:rsidR="00DC6D58" w:rsidRPr="00DC6D58" w:rsidRDefault="00DC6D58" w:rsidP="00DC6D58">
            <w:pPr>
              <w:jc w:val="center"/>
              <w:rPr>
                <w:color w:val="000000"/>
                <w:szCs w:val="22"/>
              </w:rPr>
            </w:pPr>
            <w:r w:rsidRPr="00DC6D58">
              <w:rPr>
                <w:color w:val="000000"/>
                <w:sz w:val="22"/>
                <w:szCs w:val="22"/>
              </w:rPr>
              <w:t>20.1</w:t>
            </w:r>
          </w:p>
        </w:tc>
        <w:tc>
          <w:tcPr>
            <w:tcW w:w="1091" w:type="dxa"/>
            <w:noWrap/>
            <w:vAlign w:val="bottom"/>
          </w:tcPr>
          <w:p w14:paraId="6258A329" w14:textId="3233B7DB" w:rsidR="00DC6D58" w:rsidRPr="00DC6D58" w:rsidRDefault="00DC6D58" w:rsidP="00DC6D58">
            <w:pPr>
              <w:jc w:val="center"/>
              <w:rPr>
                <w:rFonts w:eastAsia="Times New Roman"/>
                <w:color w:val="000000"/>
                <w:szCs w:val="22"/>
              </w:rPr>
            </w:pPr>
            <w:r w:rsidRPr="00DC6D58">
              <w:rPr>
                <w:color w:val="000000"/>
                <w:sz w:val="22"/>
                <w:szCs w:val="22"/>
              </w:rPr>
              <w:t>207</w:t>
            </w:r>
          </w:p>
        </w:tc>
        <w:tc>
          <w:tcPr>
            <w:tcW w:w="1091" w:type="dxa"/>
            <w:noWrap/>
            <w:vAlign w:val="bottom"/>
          </w:tcPr>
          <w:p w14:paraId="7D783654" w14:textId="04742557" w:rsidR="00DC6D58" w:rsidRPr="00DC6D58" w:rsidRDefault="00DC6D58" w:rsidP="00DC6D58">
            <w:pPr>
              <w:jc w:val="center"/>
              <w:rPr>
                <w:color w:val="000000"/>
                <w:szCs w:val="22"/>
              </w:rPr>
            </w:pPr>
            <w:r w:rsidRPr="00DC6D58">
              <w:rPr>
                <w:color w:val="000000"/>
                <w:sz w:val="22"/>
                <w:szCs w:val="22"/>
              </w:rPr>
              <w:t>17.2</w:t>
            </w:r>
          </w:p>
        </w:tc>
      </w:tr>
      <w:tr w:rsidR="00DC6D58" w:rsidRPr="00AF424B" w14:paraId="7763AFF5" w14:textId="77777777" w:rsidTr="009F7EB1">
        <w:trPr>
          <w:cantSplit/>
          <w:trHeight w:val="288"/>
        </w:trPr>
        <w:tc>
          <w:tcPr>
            <w:tcW w:w="2740" w:type="dxa"/>
            <w:noWrap/>
          </w:tcPr>
          <w:p w14:paraId="5FD27B59" w14:textId="0A356A2B" w:rsidR="00DC6D58" w:rsidRDefault="00DC6D58" w:rsidP="00DC6D58">
            <w:pPr>
              <w:rPr>
                <w:color w:val="000000"/>
                <w:sz w:val="22"/>
                <w:szCs w:val="22"/>
              </w:rPr>
            </w:pPr>
            <w:r>
              <w:rPr>
                <w:color w:val="000000"/>
                <w:sz w:val="22"/>
                <w:szCs w:val="22"/>
              </w:rPr>
              <w:t>Other Oncology Patients</w:t>
            </w:r>
            <w:r>
              <w:rPr>
                <w:rStyle w:val="FootnoteReference"/>
                <w:color w:val="000000"/>
                <w:sz w:val="22"/>
                <w:szCs w:val="22"/>
              </w:rPr>
              <w:footnoteReference w:id="48"/>
            </w:r>
          </w:p>
        </w:tc>
        <w:tc>
          <w:tcPr>
            <w:tcW w:w="1090" w:type="dxa"/>
            <w:noWrap/>
            <w:vAlign w:val="bottom"/>
          </w:tcPr>
          <w:p w14:paraId="28D2FC8B" w14:textId="0FB22181" w:rsidR="00DC6D58" w:rsidRPr="00DC6D58" w:rsidRDefault="00DC6D58" w:rsidP="00DC6D58">
            <w:pPr>
              <w:jc w:val="center"/>
              <w:rPr>
                <w:color w:val="000000"/>
                <w:sz w:val="22"/>
                <w:szCs w:val="22"/>
              </w:rPr>
            </w:pPr>
            <w:r w:rsidRPr="00DC6D58">
              <w:rPr>
                <w:color w:val="000000"/>
                <w:sz w:val="22"/>
                <w:szCs w:val="22"/>
              </w:rPr>
              <w:t>41</w:t>
            </w:r>
          </w:p>
        </w:tc>
        <w:tc>
          <w:tcPr>
            <w:tcW w:w="1172" w:type="dxa"/>
            <w:noWrap/>
            <w:vAlign w:val="bottom"/>
          </w:tcPr>
          <w:p w14:paraId="412F39F6" w14:textId="19BF776B" w:rsidR="00DC6D58" w:rsidRPr="00DC6D58" w:rsidRDefault="00DC6D58" w:rsidP="00DC6D58">
            <w:pPr>
              <w:jc w:val="center"/>
              <w:rPr>
                <w:color w:val="000000"/>
                <w:sz w:val="22"/>
                <w:szCs w:val="22"/>
              </w:rPr>
            </w:pPr>
            <w:r w:rsidRPr="00DC6D58">
              <w:rPr>
                <w:color w:val="000000"/>
                <w:sz w:val="22"/>
                <w:szCs w:val="22"/>
              </w:rPr>
              <w:t>3.8</w:t>
            </w:r>
          </w:p>
        </w:tc>
        <w:tc>
          <w:tcPr>
            <w:tcW w:w="1091" w:type="dxa"/>
            <w:noWrap/>
            <w:vAlign w:val="bottom"/>
          </w:tcPr>
          <w:p w14:paraId="4BCF678F" w14:textId="6DC1E5CD" w:rsidR="00DC6D58" w:rsidRPr="00DC6D58" w:rsidRDefault="00DC6D58" w:rsidP="00DC6D58">
            <w:pPr>
              <w:jc w:val="center"/>
              <w:rPr>
                <w:color w:val="000000"/>
                <w:sz w:val="22"/>
                <w:szCs w:val="22"/>
              </w:rPr>
            </w:pPr>
            <w:r w:rsidRPr="00DC6D58">
              <w:rPr>
                <w:color w:val="000000"/>
                <w:sz w:val="22"/>
                <w:szCs w:val="22"/>
              </w:rPr>
              <w:t>50</w:t>
            </w:r>
          </w:p>
        </w:tc>
        <w:tc>
          <w:tcPr>
            <w:tcW w:w="1090" w:type="dxa"/>
            <w:noWrap/>
            <w:vAlign w:val="bottom"/>
          </w:tcPr>
          <w:p w14:paraId="6EC4C6F1" w14:textId="530DB097" w:rsidR="00DC6D58" w:rsidRPr="00DC6D58" w:rsidRDefault="00DC6D58" w:rsidP="00DC6D58">
            <w:pPr>
              <w:jc w:val="center"/>
              <w:rPr>
                <w:color w:val="000000"/>
                <w:sz w:val="22"/>
                <w:szCs w:val="22"/>
              </w:rPr>
            </w:pPr>
            <w:r w:rsidRPr="00DC6D58">
              <w:rPr>
                <w:color w:val="000000"/>
                <w:sz w:val="22"/>
                <w:szCs w:val="22"/>
              </w:rPr>
              <w:t>4.0</w:t>
            </w:r>
          </w:p>
        </w:tc>
        <w:tc>
          <w:tcPr>
            <w:tcW w:w="1091" w:type="dxa"/>
            <w:noWrap/>
            <w:vAlign w:val="bottom"/>
          </w:tcPr>
          <w:p w14:paraId="0E10FE45" w14:textId="0DC674B3" w:rsidR="00DC6D58" w:rsidRPr="00DC6D58" w:rsidRDefault="00DC6D58" w:rsidP="00DC6D58">
            <w:pPr>
              <w:jc w:val="center"/>
              <w:rPr>
                <w:color w:val="000000"/>
                <w:sz w:val="22"/>
                <w:szCs w:val="22"/>
              </w:rPr>
            </w:pPr>
            <w:r w:rsidRPr="00DC6D58">
              <w:rPr>
                <w:color w:val="000000"/>
                <w:sz w:val="22"/>
                <w:szCs w:val="22"/>
              </w:rPr>
              <w:t>24</w:t>
            </w:r>
          </w:p>
        </w:tc>
        <w:tc>
          <w:tcPr>
            <w:tcW w:w="1091" w:type="dxa"/>
            <w:noWrap/>
            <w:vAlign w:val="bottom"/>
          </w:tcPr>
          <w:p w14:paraId="3CF75424" w14:textId="76C9205E" w:rsidR="00DC6D58" w:rsidRPr="00DC6D58" w:rsidRDefault="00DC6D58" w:rsidP="00DC6D58">
            <w:pPr>
              <w:jc w:val="center"/>
              <w:rPr>
                <w:color w:val="000000"/>
                <w:sz w:val="22"/>
                <w:szCs w:val="22"/>
              </w:rPr>
            </w:pPr>
            <w:r w:rsidRPr="00DC6D58">
              <w:rPr>
                <w:color w:val="000000"/>
                <w:sz w:val="22"/>
                <w:szCs w:val="22"/>
              </w:rPr>
              <w:t>2.0</w:t>
            </w:r>
          </w:p>
        </w:tc>
      </w:tr>
    </w:tbl>
    <w:p w14:paraId="4C6DE8D6" w14:textId="77777777" w:rsidR="007F70D7" w:rsidRDefault="007F70D7" w:rsidP="00A378A5">
      <w:pPr>
        <w:rPr>
          <w:b/>
          <w:bCs/>
          <w:szCs w:val="24"/>
        </w:rPr>
      </w:pPr>
    </w:p>
    <w:p w14:paraId="6EBC4A6B" w14:textId="103D18D1" w:rsidR="00FE2224" w:rsidRDefault="001A1F0C" w:rsidP="00384B88">
      <w:pPr>
        <w:jc w:val="center"/>
        <w:rPr>
          <w:b/>
          <w:bCs/>
          <w:szCs w:val="24"/>
        </w:rPr>
      </w:pPr>
      <w:r w:rsidRPr="00FA1DD3">
        <w:rPr>
          <w:b/>
          <w:bCs/>
          <w:szCs w:val="24"/>
        </w:rPr>
        <w:t>Table</w:t>
      </w:r>
      <w:r w:rsidR="00FE2224">
        <w:rPr>
          <w:b/>
          <w:bCs/>
          <w:szCs w:val="24"/>
        </w:rPr>
        <w:t xml:space="preserve"> </w:t>
      </w:r>
      <w:r w:rsidR="00DC6D58">
        <w:rPr>
          <w:b/>
          <w:bCs/>
          <w:szCs w:val="24"/>
        </w:rPr>
        <w:t>9</w:t>
      </w:r>
    </w:p>
    <w:p w14:paraId="764B50EC" w14:textId="64CB1FDE" w:rsidR="001A1F0C" w:rsidRDefault="001A1F0C" w:rsidP="001A1F0C">
      <w:pPr>
        <w:jc w:val="center"/>
        <w:rPr>
          <w:b/>
          <w:bCs/>
          <w:szCs w:val="24"/>
        </w:rPr>
      </w:pPr>
      <w:r>
        <w:rPr>
          <w:b/>
          <w:bCs/>
          <w:szCs w:val="24"/>
        </w:rPr>
        <w:t xml:space="preserve"> </w:t>
      </w:r>
      <w:r w:rsidR="00006CA5">
        <w:rPr>
          <w:b/>
          <w:bCs/>
          <w:szCs w:val="24"/>
        </w:rPr>
        <w:t>LINAC Therapy</w:t>
      </w:r>
      <w:r>
        <w:rPr>
          <w:b/>
          <w:bCs/>
          <w:szCs w:val="24"/>
        </w:rPr>
        <w:t xml:space="preserve"> </w:t>
      </w:r>
      <w:r w:rsidR="007C22BA">
        <w:rPr>
          <w:b/>
          <w:bCs/>
          <w:szCs w:val="24"/>
        </w:rPr>
        <w:t>Utilization</w:t>
      </w:r>
    </w:p>
    <w:p w14:paraId="426C762E" w14:textId="77777777" w:rsidR="001A1F0C" w:rsidRDefault="001A1F0C" w:rsidP="001A1F0C">
      <w:pPr>
        <w:jc w:val="center"/>
        <w:rPr>
          <w:b/>
          <w:bCs/>
          <w:szCs w:val="24"/>
        </w:rPr>
      </w:pPr>
    </w:p>
    <w:tbl>
      <w:tblPr>
        <w:tblStyle w:val="TableGrid"/>
        <w:tblW w:w="5100" w:type="pct"/>
        <w:jc w:val="center"/>
        <w:tblLook w:val="04A0" w:firstRow="1" w:lastRow="0" w:firstColumn="1" w:lastColumn="0" w:noHBand="0" w:noVBand="1"/>
      </w:tblPr>
      <w:tblGrid>
        <w:gridCol w:w="3540"/>
        <w:gridCol w:w="1999"/>
        <w:gridCol w:w="1999"/>
        <w:gridCol w:w="1999"/>
      </w:tblGrid>
      <w:tr w:rsidR="00BA58B5" w:rsidRPr="0056235A" w14:paraId="430D8B4F" w14:textId="77777777" w:rsidTr="009F7EB1">
        <w:trPr>
          <w:cantSplit/>
          <w:jc w:val="center"/>
        </w:trPr>
        <w:tc>
          <w:tcPr>
            <w:tcW w:w="1856" w:type="pct"/>
          </w:tcPr>
          <w:p w14:paraId="0756B2A7" w14:textId="77777777" w:rsidR="00BA58B5" w:rsidRPr="0056235A" w:rsidRDefault="00BA58B5" w:rsidP="00040AB5">
            <w:pPr>
              <w:jc w:val="center"/>
              <w:rPr>
                <w:b/>
                <w:bCs/>
                <w:sz w:val="22"/>
                <w:szCs w:val="22"/>
              </w:rPr>
            </w:pPr>
            <w:r w:rsidRPr="0056235A">
              <w:rPr>
                <w:b/>
                <w:bCs/>
                <w:sz w:val="22"/>
                <w:szCs w:val="22"/>
              </w:rPr>
              <w:t>Metric</w:t>
            </w:r>
          </w:p>
        </w:tc>
        <w:tc>
          <w:tcPr>
            <w:tcW w:w="1048" w:type="pct"/>
          </w:tcPr>
          <w:p w14:paraId="24105383" w14:textId="696B333F" w:rsidR="00BA58B5" w:rsidRPr="0056235A" w:rsidRDefault="005A39AC" w:rsidP="00040AB5">
            <w:pPr>
              <w:jc w:val="center"/>
              <w:rPr>
                <w:b/>
                <w:bCs/>
                <w:sz w:val="22"/>
                <w:szCs w:val="22"/>
              </w:rPr>
            </w:pPr>
            <w:r w:rsidRPr="0056235A">
              <w:rPr>
                <w:b/>
                <w:bCs/>
                <w:sz w:val="22"/>
                <w:szCs w:val="22"/>
              </w:rPr>
              <w:t>20</w:t>
            </w:r>
            <w:r w:rsidR="00BA58B5" w:rsidRPr="0056235A">
              <w:rPr>
                <w:b/>
                <w:bCs/>
                <w:sz w:val="22"/>
                <w:szCs w:val="22"/>
              </w:rPr>
              <w:t>20</w:t>
            </w:r>
          </w:p>
        </w:tc>
        <w:tc>
          <w:tcPr>
            <w:tcW w:w="1048" w:type="pct"/>
          </w:tcPr>
          <w:p w14:paraId="21608DD3" w14:textId="7F3D9851" w:rsidR="00BA58B5" w:rsidRPr="0056235A" w:rsidRDefault="005A39AC" w:rsidP="00040AB5">
            <w:pPr>
              <w:jc w:val="center"/>
              <w:rPr>
                <w:b/>
                <w:bCs/>
                <w:sz w:val="22"/>
                <w:szCs w:val="22"/>
              </w:rPr>
            </w:pPr>
            <w:r w:rsidRPr="0056235A">
              <w:rPr>
                <w:b/>
                <w:bCs/>
                <w:sz w:val="22"/>
                <w:szCs w:val="22"/>
              </w:rPr>
              <w:t>20</w:t>
            </w:r>
            <w:r w:rsidR="00BA58B5" w:rsidRPr="0056235A">
              <w:rPr>
                <w:b/>
                <w:bCs/>
                <w:sz w:val="22"/>
                <w:szCs w:val="22"/>
              </w:rPr>
              <w:t>21</w:t>
            </w:r>
          </w:p>
        </w:tc>
        <w:tc>
          <w:tcPr>
            <w:tcW w:w="1048" w:type="pct"/>
          </w:tcPr>
          <w:p w14:paraId="102DAB33" w14:textId="75C72026" w:rsidR="00BA58B5" w:rsidRPr="0056235A" w:rsidRDefault="005A39AC" w:rsidP="00040AB5">
            <w:pPr>
              <w:jc w:val="center"/>
              <w:rPr>
                <w:b/>
                <w:bCs/>
                <w:sz w:val="22"/>
                <w:szCs w:val="22"/>
              </w:rPr>
            </w:pPr>
            <w:r w:rsidRPr="0056235A">
              <w:rPr>
                <w:b/>
                <w:bCs/>
                <w:sz w:val="22"/>
                <w:szCs w:val="22"/>
              </w:rPr>
              <w:t>20</w:t>
            </w:r>
            <w:r w:rsidR="00BA58B5" w:rsidRPr="0056235A">
              <w:rPr>
                <w:b/>
                <w:bCs/>
                <w:sz w:val="22"/>
                <w:szCs w:val="22"/>
              </w:rPr>
              <w:t>22</w:t>
            </w:r>
          </w:p>
        </w:tc>
      </w:tr>
      <w:tr w:rsidR="008D06DC" w:rsidRPr="0056235A" w14:paraId="1C299073" w14:textId="77777777" w:rsidTr="009F7EB1">
        <w:trPr>
          <w:cantSplit/>
          <w:jc w:val="center"/>
        </w:trPr>
        <w:tc>
          <w:tcPr>
            <w:tcW w:w="1856" w:type="pct"/>
          </w:tcPr>
          <w:p w14:paraId="79A62FFC" w14:textId="77777777" w:rsidR="008D06DC" w:rsidRPr="0056235A" w:rsidRDefault="008D06DC" w:rsidP="008D06DC">
            <w:pPr>
              <w:rPr>
                <w:sz w:val="22"/>
                <w:szCs w:val="22"/>
              </w:rPr>
            </w:pPr>
            <w:r w:rsidRPr="0056235A">
              <w:rPr>
                <w:sz w:val="22"/>
                <w:szCs w:val="22"/>
              </w:rPr>
              <w:t xml:space="preserve">Total Radiation Oncology Treatments </w:t>
            </w:r>
          </w:p>
        </w:tc>
        <w:tc>
          <w:tcPr>
            <w:tcW w:w="1048" w:type="pct"/>
            <w:vAlign w:val="center"/>
          </w:tcPr>
          <w:p w14:paraId="778BD207" w14:textId="66E713F1" w:rsidR="008D06DC" w:rsidRPr="0056235A" w:rsidRDefault="008D06DC" w:rsidP="008D06DC">
            <w:pPr>
              <w:jc w:val="center"/>
              <w:rPr>
                <w:sz w:val="22"/>
                <w:szCs w:val="22"/>
              </w:rPr>
            </w:pPr>
            <w:r w:rsidRPr="0056235A">
              <w:rPr>
                <w:color w:val="000000"/>
                <w:sz w:val="22"/>
                <w:szCs w:val="22"/>
              </w:rPr>
              <w:t>21,567</w:t>
            </w:r>
          </w:p>
        </w:tc>
        <w:tc>
          <w:tcPr>
            <w:tcW w:w="1048" w:type="pct"/>
            <w:vAlign w:val="center"/>
          </w:tcPr>
          <w:p w14:paraId="4A053D92" w14:textId="55AAA9F8" w:rsidR="008D06DC" w:rsidRPr="0056235A" w:rsidRDefault="008D06DC" w:rsidP="008D06DC">
            <w:pPr>
              <w:jc w:val="center"/>
              <w:rPr>
                <w:sz w:val="22"/>
                <w:szCs w:val="22"/>
              </w:rPr>
            </w:pPr>
            <w:r w:rsidRPr="0056235A">
              <w:rPr>
                <w:color w:val="000000"/>
                <w:sz w:val="22"/>
                <w:szCs w:val="22"/>
              </w:rPr>
              <w:t>25,450</w:t>
            </w:r>
          </w:p>
        </w:tc>
        <w:tc>
          <w:tcPr>
            <w:tcW w:w="1048" w:type="pct"/>
            <w:vAlign w:val="center"/>
          </w:tcPr>
          <w:p w14:paraId="4617DA96" w14:textId="42018574" w:rsidR="008D06DC" w:rsidRPr="0056235A" w:rsidRDefault="008D06DC" w:rsidP="008D06DC">
            <w:pPr>
              <w:jc w:val="center"/>
              <w:rPr>
                <w:sz w:val="22"/>
                <w:szCs w:val="22"/>
              </w:rPr>
            </w:pPr>
            <w:r w:rsidRPr="0056235A">
              <w:rPr>
                <w:color w:val="000000"/>
                <w:sz w:val="22"/>
                <w:szCs w:val="22"/>
              </w:rPr>
              <w:t>25,356</w:t>
            </w:r>
          </w:p>
        </w:tc>
      </w:tr>
      <w:bookmarkEnd w:id="8"/>
    </w:tbl>
    <w:p w14:paraId="30A81EFB" w14:textId="77777777" w:rsidR="003C4FA7" w:rsidRDefault="003C4FA7" w:rsidP="001342B9">
      <w:pPr>
        <w:spacing w:line="259" w:lineRule="auto"/>
        <w:rPr>
          <w:b/>
          <w:bCs/>
          <w:szCs w:val="24"/>
        </w:rPr>
      </w:pPr>
    </w:p>
    <w:p w14:paraId="08D4CF0C" w14:textId="72035CCD" w:rsidR="00B22C3D" w:rsidRPr="009E2FD7" w:rsidRDefault="00B22C3D" w:rsidP="001D7C1D">
      <w:pPr>
        <w:spacing w:line="259" w:lineRule="auto"/>
        <w:jc w:val="center"/>
      </w:pPr>
      <w:r w:rsidRPr="00FA1DD3">
        <w:rPr>
          <w:b/>
          <w:bCs/>
          <w:szCs w:val="24"/>
        </w:rPr>
        <w:t xml:space="preserve">Table </w:t>
      </w:r>
      <w:r w:rsidR="00DC6D58">
        <w:rPr>
          <w:b/>
          <w:bCs/>
          <w:szCs w:val="24"/>
        </w:rPr>
        <w:t>10</w:t>
      </w:r>
      <w:r w:rsidR="00D451F4">
        <w:rPr>
          <w:rStyle w:val="FootnoteReference"/>
          <w:b/>
          <w:bCs/>
          <w:szCs w:val="24"/>
        </w:rPr>
        <w:footnoteReference w:id="49"/>
      </w:r>
    </w:p>
    <w:p w14:paraId="6717A918" w14:textId="61381E6E" w:rsidR="00B22C3D" w:rsidRPr="00FA1DD3" w:rsidRDefault="00B22C3D" w:rsidP="001D7C1D">
      <w:pPr>
        <w:pStyle w:val="RBNBasicNoSpace"/>
        <w:jc w:val="center"/>
        <w:rPr>
          <w:b/>
          <w:bCs/>
          <w:szCs w:val="24"/>
        </w:rPr>
      </w:pPr>
      <w:r w:rsidRPr="00FA1DD3">
        <w:rPr>
          <w:b/>
          <w:bCs/>
          <w:szCs w:val="24"/>
        </w:rPr>
        <w:t>Payor Mix</w:t>
      </w:r>
    </w:p>
    <w:p w14:paraId="11BEDE3B" w14:textId="05858C74" w:rsidR="00B22C3D" w:rsidRDefault="00B22C3D" w:rsidP="00B22C3D">
      <w:pPr>
        <w:pStyle w:val="RBNBasicNoSpace"/>
        <w:jc w:val="center"/>
        <w:rPr>
          <w:b/>
          <w:bCs/>
          <w:szCs w:val="24"/>
        </w:rPr>
      </w:pPr>
      <w:r w:rsidRPr="00FA1DD3">
        <w:rPr>
          <w:b/>
          <w:bCs/>
          <w:szCs w:val="24"/>
        </w:rPr>
        <w:t xml:space="preserve"> </w:t>
      </w:r>
      <w:r w:rsidR="007C22BA">
        <w:rPr>
          <w:b/>
          <w:bCs/>
          <w:szCs w:val="24"/>
        </w:rPr>
        <w:t>(</w:t>
      </w:r>
      <w:r w:rsidRPr="00FA1DD3">
        <w:rPr>
          <w:b/>
          <w:bCs/>
          <w:szCs w:val="24"/>
        </w:rPr>
        <w:t xml:space="preserve">Gross </w:t>
      </w:r>
      <w:r w:rsidR="000A19DA" w:rsidRPr="000A19DA">
        <w:rPr>
          <w:b/>
          <w:bCs/>
          <w:szCs w:val="24"/>
        </w:rPr>
        <w:t>Revenues</w:t>
      </w:r>
      <w:r w:rsidR="007C22BA">
        <w:rPr>
          <w:b/>
          <w:bCs/>
          <w:szCs w:val="24"/>
        </w:rPr>
        <w:t>)</w:t>
      </w:r>
    </w:p>
    <w:p w14:paraId="6F69FF07" w14:textId="3D656C89" w:rsidR="00E75654" w:rsidRPr="00FA1DD3" w:rsidRDefault="00E75654" w:rsidP="00B22C3D">
      <w:pPr>
        <w:pStyle w:val="RBNBasicNoSpace"/>
        <w:jc w:val="center"/>
        <w:rPr>
          <w:b/>
          <w:bCs/>
          <w:szCs w:val="24"/>
        </w:rPr>
      </w:pPr>
      <w:r>
        <w:rPr>
          <w:b/>
          <w:bCs/>
          <w:szCs w:val="24"/>
        </w:rPr>
        <w:t>Longwood Medical Campus</w:t>
      </w:r>
    </w:p>
    <w:p w14:paraId="62602F1C" w14:textId="77777777" w:rsidR="00B22C3D" w:rsidRPr="00FA1DD3" w:rsidRDefault="00B22C3D" w:rsidP="00B22C3D">
      <w:pPr>
        <w:pStyle w:val="RBNBasicNoSpace"/>
        <w:rPr>
          <w:b/>
          <w:bCs/>
          <w:i/>
          <w:iCs/>
          <w:szCs w:val="24"/>
        </w:rPr>
      </w:pPr>
    </w:p>
    <w:tbl>
      <w:tblPr>
        <w:tblStyle w:val="TableGrid"/>
        <w:tblW w:w="5100" w:type="pct"/>
        <w:jc w:val="center"/>
        <w:tblLook w:val="04A0" w:firstRow="1" w:lastRow="0" w:firstColumn="1" w:lastColumn="0" w:noHBand="0" w:noVBand="1"/>
      </w:tblPr>
      <w:tblGrid>
        <w:gridCol w:w="3715"/>
        <w:gridCol w:w="2003"/>
        <w:gridCol w:w="1890"/>
        <w:gridCol w:w="1929"/>
      </w:tblGrid>
      <w:tr w:rsidR="00B22C3D" w:rsidRPr="0056235A" w14:paraId="321C12F5" w14:textId="77777777" w:rsidTr="009F7EB1">
        <w:trPr>
          <w:cantSplit/>
          <w:tblHeader/>
          <w:jc w:val="center"/>
        </w:trPr>
        <w:tc>
          <w:tcPr>
            <w:tcW w:w="0" w:type="auto"/>
            <w:tcBorders>
              <w:bottom w:val="single" w:sz="4" w:space="0" w:color="auto"/>
            </w:tcBorders>
          </w:tcPr>
          <w:p w14:paraId="1EFC2F6C" w14:textId="77777777" w:rsidR="00B22C3D" w:rsidRPr="0056235A" w:rsidRDefault="00B22C3D" w:rsidP="006B22F5">
            <w:pPr>
              <w:pStyle w:val="RBNBasicNoSpace"/>
              <w:jc w:val="both"/>
              <w:rPr>
                <w:sz w:val="22"/>
                <w:szCs w:val="21"/>
              </w:rPr>
            </w:pPr>
          </w:p>
        </w:tc>
        <w:tc>
          <w:tcPr>
            <w:tcW w:w="0" w:type="auto"/>
            <w:tcBorders>
              <w:bottom w:val="single" w:sz="4" w:space="0" w:color="auto"/>
            </w:tcBorders>
          </w:tcPr>
          <w:p w14:paraId="4BB40B70" w14:textId="05FAD766" w:rsidR="00B22C3D" w:rsidRPr="0056235A" w:rsidRDefault="001A152D" w:rsidP="00861BB7">
            <w:pPr>
              <w:jc w:val="center"/>
              <w:rPr>
                <w:b/>
                <w:bCs/>
                <w:sz w:val="22"/>
                <w:szCs w:val="21"/>
              </w:rPr>
            </w:pPr>
            <w:r w:rsidRPr="0056235A">
              <w:rPr>
                <w:b/>
                <w:bCs/>
                <w:sz w:val="22"/>
                <w:szCs w:val="21"/>
              </w:rPr>
              <w:t>20</w:t>
            </w:r>
            <w:r w:rsidR="004D3FBE" w:rsidRPr="0056235A">
              <w:rPr>
                <w:b/>
                <w:bCs/>
                <w:sz w:val="22"/>
                <w:szCs w:val="21"/>
              </w:rPr>
              <w:t>20</w:t>
            </w:r>
          </w:p>
        </w:tc>
        <w:tc>
          <w:tcPr>
            <w:tcW w:w="0" w:type="auto"/>
            <w:tcBorders>
              <w:bottom w:val="single" w:sz="4" w:space="0" w:color="auto"/>
            </w:tcBorders>
          </w:tcPr>
          <w:p w14:paraId="5527B349" w14:textId="24F384A0" w:rsidR="00B22C3D" w:rsidRPr="0056235A" w:rsidRDefault="001A152D" w:rsidP="00861BB7">
            <w:pPr>
              <w:jc w:val="center"/>
              <w:rPr>
                <w:b/>
                <w:bCs/>
                <w:sz w:val="22"/>
                <w:szCs w:val="21"/>
              </w:rPr>
            </w:pPr>
            <w:r w:rsidRPr="0056235A">
              <w:rPr>
                <w:b/>
                <w:bCs/>
                <w:sz w:val="22"/>
                <w:szCs w:val="21"/>
              </w:rPr>
              <w:t>2021</w:t>
            </w:r>
          </w:p>
        </w:tc>
        <w:tc>
          <w:tcPr>
            <w:tcW w:w="0" w:type="auto"/>
            <w:tcBorders>
              <w:bottom w:val="single" w:sz="4" w:space="0" w:color="auto"/>
            </w:tcBorders>
          </w:tcPr>
          <w:p w14:paraId="6F15CB10" w14:textId="3AA5B758" w:rsidR="00B22C3D" w:rsidRPr="0056235A" w:rsidRDefault="001A152D" w:rsidP="00861BB7">
            <w:pPr>
              <w:jc w:val="center"/>
              <w:rPr>
                <w:b/>
                <w:bCs/>
                <w:sz w:val="22"/>
                <w:szCs w:val="21"/>
              </w:rPr>
            </w:pPr>
            <w:r w:rsidRPr="0056235A">
              <w:rPr>
                <w:b/>
                <w:bCs/>
                <w:sz w:val="22"/>
                <w:szCs w:val="21"/>
              </w:rPr>
              <w:t>2022</w:t>
            </w:r>
          </w:p>
        </w:tc>
      </w:tr>
      <w:tr w:rsidR="007574A6" w:rsidRPr="0056235A" w14:paraId="5ADAAFC6" w14:textId="77777777" w:rsidTr="009F7EB1">
        <w:trPr>
          <w:cantSplit/>
          <w:jc w:val="center"/>
        </w:trPr>
        <w:tc>
          <w:tcPr>
            <w:tcW w:w="0" w:type="auto"/>
            <w:tcBorders>
              <w:top w:val="single" w:sz="4" w:space="0" w:color="auto"/>
            </w:tcBorders>
          </w:tcPr>
          <w:p w14:paraId="7A101B70" w14:textId="77777777" w:rsidR="007574A6" w:rsidRPr="0056235A" w:rsidRDefault="007574A6" w:rsidP="007574A6">
            <w:pPr>
              <w:pStyle w:val="RBNBasicNoSpace"/>
              <w:jc w:val="both"/>
              <w:rPr>
                <w:sz w:val="22"/>
                <w:szCs w:val="21"/>
              </w:rPr>
            </w:pPr>
            <w:r w:rsidRPr="0056235A">
              <w:rPr>
                <w:sz w:val="22"/>
                <w:szCs w:val="21"/>
              </w:rPr>
              <w:t>Medicare</w:t>
            </w:r>
          </w:p>
        </w:tc>
        <w:tc>
          <w:tcPr>
            <w:tcW w:w="0" w:type="auto"/>
            <w:tcBorders>
              <w:top w:val="single" w:sz="4" w:space="0" w:color="auto"/>
            </w:tcBorders>
          </w:tcPr>
          <w:p w14:paraId="56F9A11B" w14:textId="28756134" w:rsidR="007574A6" w:rsidRPr="0056235A" w:rsidRDefault="007574A6" w:rsidP="007574A6">
            <w:pPr>
              <w:pStyle w:val="RBNBasicNoSpace"/>
              <w:tabs>
                <w:tab w:val="left" w:pos="808"/>
                <w:tab w:val="left" w:pos="1180"/>
              </w:tabs>
              <w:ind w:right="418"/>
              <w:jc w:val="right"/>
              <w:rPr>
                <w:sz w:val="22"/>
                <w:szCs w:val="21"/>
              </w:rPr>
            </w:pPr>
            <w:r w:rsidRPr="0056235A">
              <w:rPr>
                <w:sz w:val="22"/>
                <w:szCs w:val="21"/>
              </w:rPr>
              <w:t>4</w:t>
            </w:r>
            <w:r>
              <w:rPr>
                <w:sz w:val="22"/>
                <w:szCs w:val="21"/>
              </w:rPr>
              <w:t>2.0</w:t>
            </w:r>
            <w:r w:rsidRPr="0056235A">
              <w:rPr>
                <w:sz w:val="22"/>
                <w:szCs w:val="21"/>
              </w:rPr>
              <w:t xml:space="preserve">   %</w:t>
            </w:r>
          </w:p>
        </w:tc>
        <w:tc>
          <w:tcPr>
            <w:tcW w:w="0" w:type="auto"/>
            <w:tcBorders>
              <w:top w:val="single" w:sz="4" w:space="0" w:color="auto"/>
            </w:tcBorders>
          </w:tcPr>
          <w:p w14:paraId="41A667BE" w14:textId="28A51C36" w:rsidR="007574A6" w:rsidRPr="0056235A" w:rsidRDefault="007574A6" w:rsidP="007574A6">
            <w:pPr>
              <w:pStyle w:val="RBNBasicNoSpace"/>
              <w:tabs>
                <w:tab w:val="left" w:pos="1392"/>
              </w:tabs>
              <w:ind w:right="341"/>
              <w:jc w:val="right"/>
              <w:rPr>
                <w:sz w:val="22"/>
                <w:szCs w:val="21"/>
              </w:rPr>
            </w:pPr>
            <w:r>
              <w:rPr>
                <w:sz w:val="22"/>
                <w:szCs w:val="21"/>
              </w:rPr>
              <w:t>43.5   %</w:t>
            </w:r>
          </w:p>
        </w:tc>
        <w:tc>
          <w:tcPr>
            <w:tcW w:w="0" w:type="auto"/>
            <w:tcBorders>
              <w:top w:val="single" w:sz="4" w:space="0" w:color="auto"/>
            </w:tcBorders>
          </w:tcPr>
          <w:p w14:paraId="27E6C32F" w14:textId="7B8BBDD6" w:rsidR="007574A6" w:rsidRPr="0056235A" w:rsidRDefault="007574A6" w:rsidP="007574A6">
            <w:pPr>
              <w:pStyle w:val="RBNBasicNoSpace"/>
              <w:ind w:right="368"/>
              <w:jc w:val="right"/>
              <w:rPr>
                <w:sz w:val="22"/>
                <w:szCs w:val="21"/>
              </w:rPr>
            </w:pPr>
            <w:r>
              <w:rPr>
                <w:sz w:val="22"/>
                <w:szCs w:val="21"/>
              </w:rPr>
              <w:t>43.4</w:t>
            </w:r>
            <w:r w:rsidRPr="0056235A">
              <w:rPr>
                <w:sz w:val="22"/>
                <w:szCs w:val="21"/>
              </w:rPr>
              <w:t xml:space="preserve">   %</w:t>
            </w:r>
          </w:p>
        </w:tc>
      </w:tr>
      <w:tr w:rsidR="007574A6" w:rsidRPr="0056235A" w14:paraId="6E316DCB" w14:textId="77777777" w:rsidTr="009F7EB1">
        <w:trPr>
          <w:cantSplit/>
          <w:jc w:val="center"/>
        </w:trPr>
        <w:tc>
          <w:tcPr>
            <w:tcW w:w="0" w:type="auto"/>
          </w:tcPr>
          <w:p w14:paraId="129626A2" w14:textId="77777777" w:rsidR="007574A6" w:rsidRPr="0056235A" w:rsidRDefault="007574A6" w:rsidP="007574A6">
            <w:pPr>
              <w:pStyle w:val="RBNBasicNoSpace"/>
              <w:jc w:val="both"/>
              <w:rPr>
                <w:sz w:val="22"/>
                <w:szCs w:val="21"/>
              </w:rPr>
            </w:pPr>
            <w:r w:rsidRPr="0056235A">
              <w:rPr>
                <w:sz w:val="22"/>
                <w:szCs w:val="21"/>
              </w:rPr>
              <w:t>Medicaid</w:t>
            </w:r>
          </w:p>
        </w:tc>
        <w:tc>
          <w:tcPr>
            <w:tcW w:w="0" w:type="auto"/>
          </w:tcPr>
          <w:p w14:paraId="2554D751" w14:textId="55E70F3C" w:rsidR="007574A6" w:rsidRPr="0056235A" w:rsidRDefault="007574A6" w:rsidP="007574A6">
            <w:pPr>
              <w:pStyle w:val="RBNBasicNoSpace"/>
              <w:jc w:val="center"/>
              <w:rPr>
                <w:sz w:val="22"/>
                <w:szCs w:val="21"/>
              </w:rPr>
            </w:pPr>
            <w:r>
              <w:rPr>
                <w:sz w:val="22"/>
                <w:szCs w:val="21"/>
              </w:rPr>
              <w:t>5.8</w:t>
            </w:r>
          </w:p>
        </w:tc>
        <w:tc>
          <w:tcPr>
            <w:tcW w:w="0" w:type="auto"/>
          </w:tcPr>
          <w:p w14:paraId="42D4F653" w14:textId="69B87E2B" w:rsidR="007574A6" w:rsidRPr="0056235A" w:rsidRDefault="007574A6" w:rsidP="007574A6">
            <w:pPr>
              <w:pStyle w:val="RBNBasicNoSpace"/>
              <w:jc w:val="center"/>
              <w:rPr>
                <w:sz w:val="22"/>
                <w:szCs w:val="21"/>
              </w:rPr>
            </w:pPr>
            <w:r w:rsidRPr="0056235A">
              <w:rPr>
                <w:sz w:val="22"/>
                <w:szCs w:val="21"/>
              </w:rPr>
              <w:t>6.</w:t>
            </w:r>
            <w:r>
              <w:rPr>
                <w:sz w:val="22"/>
                <w:szCs w:val="21"/>
              </w:rPr>
              <w:t>2</w:t>
            </w:r>
          </w:p>
        </w:tc>
        <w:tc>
          <w:tcPr>
            <w:tcW w:w="0" w:type="auto"/>
          </w:tcPr>
          <w:p w14:paraId="7EFA94F5" w14:textId="0B599D0C" w:rsidR="007574A6" w:rsidRPr="0056235A" w:rsidRDefault="007574A6" w:rsidP="007574A6">
            <w:pPr>
              <w:pStyle w:val="RBNBasicNoSpace"/>
              <w:jc w:val="center"/>
              <w:rPr>
                <w:sz w:val="22"/>
                <w:szCs w:val="21"/>
              </w:rPr>
            </w:pPr>
            <w:r w:rsidRPr="0056235A">
              <w:rPr>
                <w:sz w:val="22"/>
                <w:szCs w:val="21"/>
              </w:rPr>
              <w:t>6.</w:t>
            </w:r>
            <w:r>
              <w:rPr>
                <w:sz w:val="22"/>
                <w:szCs w:val="21"/>
              </w:rPr>
              <w:t>2</w:t>
            </w:r>
          </w:p>
        </w:tc>
      </w:tr>
      <w:tr w:rsidR="007574A6" w:rsidRPr="0056235A" w14:paraId="3CBDE2E9" w14:textId="77777777" w:rsidTr="009F7EB1">
        <w:trPr>
          <w:cantSplit/>
          <w:jc w:val="center"/>
        </w:trPr>
        <w:tc>
          <w:tcPr>
            <w:tcW w:w="0" w:type="auto"/>
          </w:tcPr>
          <w:p w14:paraId="794DE912" w14:textId="77777777" w:rsidR="007574A6" w:rsidRPr="0056235A" w:rsidRDefault="007574A6" w:rsidP="007574A6">
            <w:pPr>
              <w:pStyle w:val="RBNBasicNoSpace"/>
              <w:jc w:val="both"/>
              <w:rPr>
                <w:sz w:val="22"/>
                <w:szCs w:val="21"/>
              </w:rPr>
            </w:pPr>
            <w:r w:rsidRPr="0056235A">
              <w:rPr>
                <w:sz w:val="22"/>
                <w:szCs w:val="21"/>
              </w:rPr>
              <w:t>Blue Cross</w:t>
            </w:r>
          </w:p>
        </w:tc>
        <w:tc>
          <w:tcPr>
            <w:tcW w:w="0" w:type="auto"/>
          </w:tcPr>
          <w:p w14:paraId="3CF36022" w14:textId="49DE3EF1" w:rsidR="007574A6" w:rsidRPr="0056235A" w:rsidRDefault="007574A6" w:rsidP="007574A6">
            <w:pPr>
              <w:pStyle w:val="RBNBasicNoSpace"/>
              <w:jc w:val="center"/>
              <w:rPr>
                <w:sz w:val="22"/>
                <w:szCs w:val="21"/>
              </w:rPr>
            </w:pPr>
            <w:r w:rsidRPr="0056235A">
              <w:rPr>
                <w:sz w:val="22"/>
                <w:szCs w:val="21"/>
              </w:rPr>
              <w:t>23.8</w:t>
            </w:r>
          </w:p>
        </w:tc>
        <w:tc>
          <w:tcPr>
            <w:tcW w:w="0" w:type="auto"/>
          </w:tcPr>
          <w:p w14:paraId="5FBBD749" w14:textId="1707C92A" w:rsidR="007574A6" w:rsidRPr="0056235A" w:rsidRDefault="007574A6" w:rsidP="007574A6">
            <w:pPr>
              <w:pStyle w:val="RBNBasicNoSpace"/>
              <w:jc w:val="center"/>
              <w:rPr>
                <w:sz w:val="22"/>
                <w:szCs w:val="21"/>
              </w:rPr>
            </w:pPr>
            <w:r w:rsidRPr="0056235A">
              <w:rPr>
                <w:sz w:val="22"/>
                <w:szCs w:val="21"/>
              </w:rPr>
              <w:t>23.</w:t>
            </w:r>
            <w:r>
              <w:rPr>
                <w:sz w:val="22"/>
                <w:szCs w:val="21"/>
              </w:rPr>
              <w:t>3</w:t>
            </w:r>
          </w:p>
        </w:tc>
        <w:tc>
          <w:tcPr>
            <w:tcW w:w="0" w:type="auto"/>
          </w:tcPr>
          <w:p w14:paraId="443EEAAE" w14:textId="111F3420" w:rsidR="007574A6" w:rsidRPr="0056235A" w:rsidRDefault="007574A6" w:rsidP="007574A6">
            <w:pPr>
              <w:pStyle w:val="RBNBasicNoSpace"/>
              <w:jc w:val="center"/>
              <w:rPr>
                <w:sz w:val="22"/>
                <w:szCs w:val="21"/>
              </w:rPr>
            </w:pPr>
            <w:r w:rsidRPr="0056235A">
              <w:rPr>
                <w:sz w:val="22"/>
                <w:szCs w:val="21"/>
              </w:rPr>
              <w:t>2</w:t>
            </w:r>
            <w:r>
              <w:rPr>
                <w:sz w:val="22"/>
                <w:szCs w:val="21"/>
              </w:rPr>
              <w:t>3.3</w:t>
            </w:r>
          </w:p>
        </w:tc>
      </w:tr>
      <w:tr w:rsidR="007574A6" w:rsidRPr="0056235A" w14:paraId="0BDF7946" w14:textId="77777777" w:rsidTr="009F7EB1">
        <w:trPr>
          <w:cantSplit/>
          <w:trHeight w:val="77"/>
          <w:jc w:val="center"/>
        </w:trPr>
        <w:tc>
          <w:tcPr>
            <w:tcW w:w="0" w:type="auto"/>
          </w:tcPr>
          <w:p w14:paraId="5BB6EC58" w14:textId="77777777" w:rsidR="007574A6" w:rsidRPr="0056235A" w:rsidRDefault="007574A6" w:rsidP="007574A6">
            <w:pPr>
              <w:pStyle w:val="RBNBasicNoSpace"/>
              <w:jc w:val="both"/>
              <w:rPr>
                <w:sz w:val="22"/>
                <w:szCs w:val="21"/>
              </w:rPr>
            </w:pPr>
            <w:r w:rsidRPr="0056235A">
              <w:rPr>
                <w:sz w:val="22"/>
                <w:szCs w:val="21"/>
              </w:rPr>
              <w:t>HMO, Commercial, Other</w:t>
            </w:r>
          </w:p>
        </w:tc>
        <w:tc>
          <w:tcPr>
            <w:tcW w:w="0" w:type="auto"/>
          </w:tcPr>
          <w:p w14:paraId="1395D4CC" w14:textId="4E74C1C6" w:rsidR="007574A6" w:rsidRPr="0056235A" w:rsidRDefault="007574A6" w:rsidP="007574A6">
            <w:pPr>
              <w:pStyle w:val="RBNBasicNoSpace"/>
              <w:jc w:val="center"/>
              <w:rPr>
                <w:sz w:val="22"/>
                <w:szCs w:val="21"/>
              </w:rPr>
            </w:pPr>
            <w:r w:rsidRPr="0056235A">
              <w:rPr>
                <w:sz w:val="22"/>
                <w:szCs w:val="21"/>
              </w:rPr>
              <w:t>28.</w:t>
            </w:r>
            <w:r>
              <w:rPr>
                <w:sz w:val="22"/>
                <w:szCs w:val="21"/>
              </w:rPr>
              <w:t>1</w:t>
            </w:r>
          </w:p>
        </w:tc>
        <w:tc>
          <w:tcPr>
            <w:tcW w:w="0" w:type="auto"/>
          </w:tcPr>
          <w:p w14:paraId="76114E01" w14:textId="165A9C08" w:rsidR="007574A6" w:rsidRPr="0056235A" w:rsidRDefault="007574A6" w:rsidP="007574A6">
            <w:pPr>
              <w:pStyle w:val="RBNBasicNoSpace"/>
              <w:jc w:val="center"/>
              <w:rPr>
                <w:sz w:val="22"/>
                <w:szCs w:val="21"/>
              </w:rPr>
            </w:pPr>
            <w:r>
              <w:rPr>
                <w:sz w:val="22"/>
                <w:szCs w:val="21"/>
              </w:rPr>
              <w:t>26.8</w:t>
            </w:r>
          </w:p>
        </w:tc>
        <w:tc>
          <w:tcPr>
            <w:tcW w:w="0" w:type="auto"/>
          </w:tcPr>
          <w:p w14:paraId="10EA6989" w14:textId="57C47271" w:rsidR="007574A6" w:rsidRPr="0056235A" w:rsidRDefault="007574A6" w:rsidP="007574A6">
            <w:pPr>
              <w:pStyle w:val="RBNBasicNoSpace"/>
              <w:jc w:val="center"/>
              <w:rPr>
                <w:sz w:val="22"/>
                <w:szCs w:val="21"/>
              </w:rPr>
            </w:pPr>
            <w:r>
              <w:rPr>
                <w:sz w:val="22"/>
                <w:szCs w:val="21"/>
              </w:rPr>
              <w:t>26.9</w:t>
            </w:r>
          </w:p>
        </w:tc>
      </w:tr>
      <w:tr w:rsidR="007574A6" w:rsidRPr="0056235A" w14:paraId="45195DD2" w14:textId="77777777" w:rsidTr="009F7EB1">
        <w:trPr>
          <w:cantSplit/>
          <w:jc w:val="center"/>
        </w:trPr>
        <w:tc>
          <w:tcPr>
            <w:tcW w:w="0" w:type="auto"/>
          </w:tcPr>
          <w:p w14:paraId="173C375E" w14:textId="77777777" w:rsidR="007574A6" w:rsidRPr="0056235A" w:rsidRDefault="007574A6" w:rsidP="007574A6">
            <w:pPr>
              <w:pStyle w:val="RBNBasicNoSpace"/>
              <w:jc w:val="both"/>
              <w:rPr>
                <w:sz w:val="22"/>
                <w:szCs w:val="21"/>
              </w:rPr>
            </w:pPr>
            <w:r w:rsidRPr="0056235A">
              <w:rPr>
                <w:sz w:val="22"/>
                <w:szCs w:val="21"/>
              </w:rPr>
              <w:t>Self-Pay</w:t>
            </w:r>
          </w:p>
        </w:tc>
        <w:tc>
          <w:tcPr>
            <w:tcW w:w="0" w:type="auto"/>
          </w:tcPr>
          <w:p w14:paraId="7C24C8D1" w14:textId="622ECE72" w:rsidR="007574A6" w:rsidRPr="0056235A" w:rsidRDefault="007574A6" w:rsidP="007574A6">
            <w:pPr>
              <w:pStyle w:val="RBNBasicNoSpace"/>
              <w:jc w:val="center"/>
              <w:rPr>
                <w:sz w:val="22"/>
                <w:szCs w:val="21"/>
              </w:rPr>
            </w:pPr>
            <w:r>
              <w:rPr>
                <w:sz w:val="22"/>
                <w:szCs w:val="21"/>
              </w:rPr>
              <w:t>0.3</w:t>
            </w:r>
          </w:p>
        </w:tc>
        <w:tc>
          <w:tcPr>
            <w:tcW w:w="0" w:type="auto"/>
          </w:tcPr>
          <w:p w14:paraId="2A38F88E" w14:textId="3D519FC5" w:rsidR="007574A6" w:rsidRPr="0056235A" w:rsidRDefault="007574A6" w:rsidP="007574A6">
            <w:pPr>
              <w:pStyle w:val="RBNBasicNoSpace"/>
              <w:jc w:val="center"/>
              <w:rPr>
                <w:sz w:val="22"/>
                <w:szCs w:val="21"/>
              </w:rPr>
            </w:pPr>
            <w:r>
              <w:rPr>
                <w:sz w:val="22"/>
                <w:szCs w:val="21"/>
              </w:rPr>
              <w:t>0.2</w:t>
            </w:r>
          </w:p>
        </w:tc>
        <w:tc>
          <w:tcPr>
            <w:tcW w:w="0" w:type="auto"/>
          </w:tcPr>
          <w:p w14:paraId="66A43886" w14:textId="498A1EAE" w:rsidR="007574A6" w:rsidRPr="0056235A" w:rsidRDefault="007574A6" w:rsidP="007574A6">
            <w:pPr>
              <w:pStyle w:val="RBNBasicNoSpace"/>
              <w:jc w:val="center"/>
              <w:rPr>
                <w:sz w:val="22"/>
                <w:szCs w:val="21"/>
              </w:rPr>
            </w:pPr>
            <w:r>
              <w:rPr>
                <w:sz w:val="22"/>
                <w:szCs w:val="21"/>
              </w:rPr>
              <w:t>0.2</w:t>
            </w:r>
          </w:p>
        </w:tc>
      </w:tr>
    </w:tbl>
    <w:p w14:paraId="2B4ECB2A" w14:textId="77777777" w:rsidR="00B22C3D" w:rsidRDefault="00B22C3D" w:rsidP="00C22FD4"/>
    <w:p w14:paraId="405775F9" w14:textId="77777777" w:rsidR="001E313C" w:rsidRDefault="001E313C" w:rsidP="008C2F9A">
      <w:pPr>
        <w:jc w:val="both"/>
        <w:rPr>
          <w:b/>
          <w:szCs w:val="24"/>
          <w:u w:val="single"/>
        </w:rPr>
        <w:sectPr w:rsidR="001E313C">
          <w:pgSz w:w="12240" w:h="15840"/>
          <w:pgMar w:top="1440" w:right="1440" w:bottom="1440" w:left="1440" w:header="720" w:footer="720" w:gutter="0"/>
          <w:cols w:space="720"/>
          <w:docGrid w:linePitch="360"/>
        </w:sectPr>
      </w:pPr>
    </w:p>
    <w:p w14:paraId="148B34B9" w14:textId="09699E91" w:rsidR="008C2F9A" w:rsidRPr="00FA1DD3" w:rsidRDefault="008C2F9A" w:rsidP="008C2F9A">
      <w:pPr>
        <w:jc w:val="both"/>
        <w:rPr>
          <w:b/>
          <w:szCs w:val="24"/>
          <w:u w:val="single"/>
        </w:rPr>
      </w:pPr>
      <w:r w:rsidRPr="00FA1DD3">
        <w:rPr>
          <w:b/>
          <w:szCs w:val="24"/>
          <w:u w:val="single"/>
        </w:rPr>
        <w:lastRenderedPageBreak/>
        <w:t>F1.a.ii. Need by</w:t>
      </w:r>
      <w:r w:rsidR="002611F1">
        <w:rPr>
          <w:b/>
          <w:szCs w:val="24"/>
          <w:u w:val="single"/>
        </w:rPr>
        <w:t xml:space="preserve"> </w:t>
      </w:r>
      <w:r w:rsidR="005C1729">
        <w:rPr>
          <w:b/>
          <w:szCs w:val="24"/>
          <w:u w:val="single"/>
        </w:rPr>
        <w:t>P</w:t>
      </w:r>
      <w:r w:rsidR="00744BA5">
        <w:rPr>
          <w:b/>
          <w:szCs w:val="24"/>
          <w:u w:val="single"/>
        </w:rPr>
        <w:t xml:space="preserve">atient </w:t>
      </w:r>
      <w:r w:rsidR="005C1729">
        <w:rPr>
          <w:b/>
          <w:szCs w:val="24"/>
          <w:u w:val="single"/>
        </w:rPr>
        <w:t>P</w:t>
      </w:r>
      <w:r w:rsidR="00744BA5">
        <w:rPr>
          <w:b/>
          <w:szCs w:val="24"/>
          <w:u w:val="single"/>
        </w:rPr>
        <w:t>anel</w:t>
      </w:r>
    </w:p>
    <w:p w14:paraId="3B725B8C" w14:textId="500F86A9" w:rsidR="008C2F9A" w:rsidRDefault="008C2F9A" w:rsidP="00F6671F">
      <w:pPr>
        <w:jc w:val="both"/>
        <w:rPr>
          <w:b/>
          <w:szCs w:val="24"/>
        </w:rPr>
      </w:pPr>
      <w:r w:rsidRPr="00FA1DD3">
        <w:rPr>
          <w:b/>
          <w:szCs w:val="24"/>
        </w:rPr>
        <w:t>Provide supporting data to demonstrate the need for the Proposed Project.</w:t>
      </w:r>
      <w:r w:rsidR="00A47CC6">
        <w:rPr>
          <w:b/>
          <w:szCs w:val="24"/>
        </w:rPr>
        <w:t xml:space="preserve"> </w:t>
      </w:r>
      <w:r w:rsidRPr="00FA1DD3">
        <w:rPr>
          <w:b/>
          <w:szCs w:val="24"/>
        </w:rPr>
        <w:t>Such Data should demonstrate the disease burden, behavioral risk factors, acuity mix, health disparities, or other objective</w:t>
      </w:r>
      <w:r w:rsidR="002611F1">
        <w:rPr>
          <w:b/>
          <w:szCs w:val="24"/>
        </w:rPr>
        <w:t xml:space="preserve"> </w:t>
      </w:r>
      <w:r w:rsidR="00EB4674">
        <w:rPr>
          <w:b/>
          <w:szCs w:val="24"/>
        </w:rPr>
        <w:t>P</w:t>
      </w:r>
      <w:r w:rsidR="00744BA5">
        <w:rPr>
          <w:b/>
          <w:szCs w:val="24"/>
        </w:rPr>
        <w:t xml:space="preserve">atient </w:t>
      </w:r>
      <w:r w:rsidR="00EB4674">
        <w:rPr>
          <w:b/>
          <w:szCs w:val="24"/>
        </w:rPr>
        <w:t>P</w:t>
      </w:r>
      <w:r w:rsidR="00744BA5">
        <w:rPr>
          <w:b/>
          <w:szCs w:val="24"/>
        </w:rPr>
        <w:t>anel</w:t>
      </w:r>
      <w:r w:rsidRPr="00FA1DD3">
        <w:rPr>
          <w:b/>
          <w:szCs w:val="24"/>
        </w:rPr>
        <w:t xml:space="preserve"> measures as noted in your response to Question F1.a.i that demonstrates the need that the Proposed Project is attempting to address.</w:t>
      </w:r>
      <w:r w:rsidR="00A47CC6">
        <w:rPr>
          <w:b/>
          <w:szCs w:val="24"/>
        </w:rPr>
        <w:t xml:space="preserve"> </w:t>
      </w:r>
      <w:r w:rsidRPr="00FA1DD3">
        <w:rPr>
          <w:b/>
          <w:szCs w:val="24"/>
        </w:rPr>
        <w:t>If an inequity or disparity is not identified as relating to the Proposed Project, provide information justifying the need.</w:t>
      </w:r>
      <w:r w:rsidR="00A47CC6">
        <w:rPr>
          <w:b/>
          <w:szCs w:val="24"/>
        </w:rPr>
        <w:t xml:space="preserve"> </w:t>
      </w:r>
      <w:r w:rsidRPr="00FA1DD3">
        <w:rPr>
          <w:b/>
          <w:szCs w:val="24"/>
        </w:rPr>
        <w:t>In your description of Need, consider the principles underlying Public Health Value (see instructions) and ensure that Need is addressed in that context as well.</w:t>
      </w:r>
    </w:p>
    <w:p w14:paraId="2D2EE87F" w14:textId="4CBFC25C" w:rsidR="0093346E" w:rsidRDefault="0093346E" w:rsidP="008C2F9A">
      <w:pPr>
        <w:ind w:left="720"/>
        <w:jc w:val="both"/>
        <w:rPr>
          <w:b/>
          <w:szCs w:val="24"/>
        </w:rPr>
      </w:pPr>
    </w:p>
    <w:p w14:paraId="7A01D754" w14:textId="3167F688" w:rsidR="003070EF" w:rsidRPr="0064725F" w:rsidRDefault="00306963" w:rsidP="0064725F">
      <w:pPr>
        <w:jc w:val="both"/>
        <w:rPr>
          <w:b/>
          <w:i/>
          <w:iCs/>
          <w:szCs w:val="24"/>
        </w:rPr>
      </w:pPr>
      <w:r w:rsidRPr="0064725F">
        <w:rPr>
          <w:b/>
          <w:i/>
          <w:iCs/>
          <w:szCs w:val="24"/>
        </w:rPr>
        <w:t xml:space="preserve">Conditions Driving Significant Increase in Need for Specialized Inpatient Cancer Care </w:t>
      </w:r>
    </w:p>
    <w:p w14:paraId="459CC68C" w14:textId="77777777" w:rsidR="00306963" w:rsidRPr="00306963" w:rsidRDefault="00306963" w:rsidP="00306963">
      <w:pPr>
        <w:pStyle w:val="ListParagraph"/>
        <w:jc w:val="both"/>
        <w:rPr>
          <w:bCs/>
          <w:szCs w:val="24"/>
          <w:u w:val="single"/>
        </w:rPr>
      </w:pPr>
    </w:p>
    <w:p w14:paraId="268EBBD1" w14:textId="07776BE1" w:rsidR="0036481A" w:rsidRDefault="00D865A5" w:rsidP="00772478">
      <w:pPr>
        <w:jc w:val="both"/>
        <w:rPr>
          <w:bCs/>
          <w:szCs w:val="24"/>
        </w:rPr>
      </w:pPr>
      <w:r>
        <w:rPr>
          <w:bCs/>
          <w:szCs w:val="24"/>
        </w:rPr>
        <w:t>The United States</w:t>
      </w:r>
      <w:r w:rsidR="002340EA">
        <w:rPr>
          <w:bCs/>
          <w:szCs w:val="24"/>
        </w:rPr>
        <w:t>’</w:t>
      </w:r>
      <w:r>
        <w:rPr>
          <w:bCs/>
          <w:szCs w:val="24"/>
        </w:rPr>
        <w:t xml:space="preserve"> population is getting older. According to the United States Census Bureau, the</w:t>
      </w:r>
      <w:r w:rsidR="00ED7197">
        <w:rPr>
          <w:bCs/>
          <w:szCs w:val="24"/>
        </w:rPr>
        <w:t xml:space="preserve"> number of Americans aged 65 and older is projected to nearly double from 52 million in 2018 to 95 million by 2060.</w:t>
      </w:r>
      <w:r w:rsidR="00306963">
        <w:rPr>
          <w:rStyle w:val="FootnoteReference"/>
          <w:bCs/>
          <w:szCs w:val="24"/>
        </w:rPr>
        <w:footnoteReference w:id="50"/>
      </w:r>
      <w:r w:rsidR="00ED7197">
        <w:rPr>
          <w:bCs/>
          <w:szCs w:val="24"/>
        </w:rPr>
        <w:t xml:space="preserve"> Over the same timeframe, the share of the population aged 65 and older will increase by more</w:t>
      </w:r>
      <w:r w:rsidR="007232E7">
        <w:rPr>
          <w:bCs/>
          <w:szCs w:val="24"/>
        </w:rPr>
        <w:t xml:space="preserve"> </w:t>
      </w:r>
      <w:r w:rsidR="00ED7197">
        <w:rPr>
          <w:bCs/>
          <w:szCs w:val="24"/>
        </w:rPr>
        <w:t>than 40%.</w:t>
      </w:r>
      <w:r w:rsidR="00ED7197">
        <w:rPr>
          <w:rStyle w:val="FootnoteReference"/>
          <w:bCs/>
          <w:szCs w:val="24"/>
        </w:rPr>
        <w:footnoteReference w:id="51"/>
      </w:r>
      <w:r w:rsidR="00ED7197">
        <w:rPr>
          <w:bCs/>
          <w:szCs w:val="24"/>
        </w:rPr>
        <w:t xml:space="preserve"> </w:t>
      </w:r>
      <w:r w:rsidR="001C5287">
        <w:t xml:space="preserve">Massachusetts is projected to have an even larger demographic shift, as </w:t>
      </w:r>
      <w:r w:rsidR="00DC256B">
        <w:rPr>
          <w:bCs/>
          <w:szCs w:val="24"/>
        </w:rPr>
        <w:t xml:space="preserve">projections indicate that the impact of an aging population is likely to be even more pronounced in the Commonwealth than in the United States </w:t>
      </w:r>
      <w:r w:rsidR="00306963">
        <w:rPr>
          <w:bCs/>
          <w:szCs w:val="24"/>
        </w:rPr>
        <w:t>overall</w:t>
      </w:r>
      <w:r w:rsidR="00DC256B">
        <w:rPr>
          <w:bCs/>
          <w:szCs w:val="24"/>
        </w:rPr>
        <w:t>. For example, between 2010 and 2030 (only a 20-year projection, as compared to the national projection, which spans more than 40</w:t>
      </w:r>
      <w:r w:rsidR="008B6AA8">
        <w:rPr>
          <w:bCs/>
          <w:szCs w:val="24"/>
        </w:rPr>
        <w:t>-years</w:t>
      </w:r>
      <w:r w:rsidR="00DC256B">
        <w:rPr>
          <w:bCs/>
          <w:szCs w:val="24"/>
        </w:rPr>
        <w:t>) the share of the population aged</w:t>
      </w:r>
      <w:r w:rsidR="00900C7D">
        <w:rPr>
          <w:bCs/>
          <w:szCs w:val="24"/>
        </w:rPr>
        <w:t xml:space="preserve"> 65 and older in Massachusetts is projected to increase by more than 50%</w:t>
      </w:r>
      <w:r w:rsidR="00A50248">
        <w:rPr>
          <w:bCs/>
          <w:szCs w:val="24"/>
        </w:rPr>
        <w:t xml:space="preserve">. </w:t>
      </w:r>
      <w:r w:rsidR="00355F0D">
        <w:rPr>
          <w:bCs/>
          <w:szCs w:val="24"/>
        </w:rPr>
        <w:t>The national and state demographic changes are having an impact on the Applicant</w:t>
      </w:r>
      <w:r w:rsidR="002340EA">
        <w:rPr>
          <w:bCs/>
          <w:szCs w:val="24"/>
        </w:rPr>
        <w:t>’</w:t>
      </w:r>
      <w:r w:rsidR="00355F0D">
        <w:rPr>
          <w:bCs/>
          <w:szCs w:val="24"/>
        </w:rPr>
        <w:t>s</w:t>
      </w:r>
      <w:r w:rsidR="002611F1">
        <w:rPr>
          <w:bCs/>
          <w:szCs w:val="24"/>
        </w:rPr>
        <w:t xml:space="preserve"> </w:t>
      </w:r>
      <w:r w:rsidR="00744BA5">
        <w:rPr>
          <w:bCs/>
          <w:szCs w:val="24"/>
        </w:rPr>
        <w:t>patient panel</w:t>
      </w:r>
      <w:r w:rsidR="00355F0D">
        <w:rPr>
          <w:bCs/>
          <w:szCs w:val="24"/>
        </w:rPr>
        <w:t>, as well.</w:t>
      </w:r>
      <w:r w:rsidR="0036481A">
        <w:rPr>
          <w:bCs/>
          <w:szCs w:val="24"/>
        </w:rPr>
        <w:t xml:space="preserve"> </w:t>
      </w:r>
      <w:r w:rsidR="008D7B7D">
        <w:rPr>
          <w:bCs/>
          <w:szCs w:val="24"/>
        </w:rPr>
        <w:t>A</w:t>
      </w:r>
      <w:r w:rsidR="003A3ED2">
        <w:rPr>
          <w:bCs/>
          <w:szCs w:val="24"/>
        </w:rPr>
        <w:t xml:space="preserve">s shown </w:t>
      </w:r>
      <w:r w:rsidR="008B6AA8">
        <w:rPr>
          <w:bCs/>
          <w:szCs w:val="24"/>
        </w:rPr>
        <w:t>in</w:t>
      </w:r>
      <w:r w:rsidR="003A3ED2">
        <w:rPr>
          <w:bCs/>
          <w:szCs w:val="24"/>
        </w:rPr>
        <w:t xml:space="preserve"> </w:t>
      </w:r>
      <w:r w:rsidR="00B675C7">
        <w:rPr>
          <w:bCs/>
          <w:szCs w:val="24"/>
          <w:u w:val="single"/>
        </w:rPr>
        <w:t>Table 1</w:t>
      </w:r>
      <w:r w:rsidR="003A3ED2">
        <w:rPr>
          <w:bCs/>
          <w:szCs w:val="24"/>
        </w:rPr>
        <w:t xml:space="preserve">, over the last three years, a higher percentage of </w:t>
      </w:r>
      <w:r w:rsidR="00FB2CDC">
        <w:rPr>
          <w:bCs/>
          <w:szCs w:val="24"/>
        </w:rPr>
        <w:t>the Applicant</w:t>
      </w:r>
      <w:r w:rsidR="002340EA">
        <w:rPr>
          <w:bCs/>
          <w:szCs w:val="24"/>
        </w:rPr>
        <w:t>’</w:t>
      </w:r>
      <w:r w:rsidR="00FB2CDC">
        <w:rPr>
          <w:bCs/>
          <w:szCs w:val="24"/>
        </w:rPr>
        <w:t>s</w:t>
      </w:r>
      <w:r w:rsidR="002611F1">
        <w:rPr>
          <w:bCs/>
          <w:szCs w:val="24"/>
        </w:rPr>
        <w:t xml:space="preserve"> </w:t>
      </w:r>
      <w:r w:rsidR="00744BA5">
        <w:rPr>
          <w:bCs/>
          <w:szCs w:val="24"/>
        </w:rPr>
        <w:t>patient panel</w:t>
      </w:r>
      <w:r w:rsidR="00FB2CDC">
        <w:rPr>
          <w:bCs/>
          <w:szCs w:val="24"/>
        </w:rPr>
        <w:t xml:space="preserve"> is</w:t>
      </w:r>
      <w:r w:rsidR="003A3ED2">
        <w:rPr>
          <w:bCs/>
          <w:szCs w:val="24"/>
        </w:rPr>
        <w:t xml:space="preserve"> 56 years of age or older.</w:t>
      </w:r>
      <w:r w:rsidR="008D7B7D">
        <w:rPr>
          <w:bCs/>
          <w:szCs w:val="24"/>
        </w:rPr>
        <w:t xml:space="preserve"> </w:t>
      </w:r>
      <w:r w:rsidR="00A86331">
        <w:rPr>
          <w:bCs/>
          <w:szCs w:val="24"/>
        </w:rPr>
        <w:t>As the national and state populations age rapidly in the coming decades, the prevalence of cancer will</w:t>
      </w:r>
      <w:r w:rsidR="00591B25">
        <w:rPr>
          <w:bCs/>
          <w:szCs w:val="24"/>
        </w:rPr>
        <w:t xml:space="preserve"> necessarily</w:t>
      </w:r>
      <w:r w:rsidR="00A86331">
        <w:rPr>
          <w:bCs/>
          <w:szCs w:val="24"/>
        </w:rPr>
        <w:t xml:space="preserve"> increase </w:t>
      </w:r>
      <w:r w:rsidR="00591B25">
        <w:rPr>
          <w:bCs/>
          <w:szCs w:val="24"/>
        </w:rPr>
        <w:t>significantly</w:t>
      </w:r>
      <w:r w:rsidR="00624799">
        <w:rPr>
          <w:bCs/>
          <w:szCs w:val="24"/>
        </w:rPr>
        <w:t xml:space="preserve"> because the primary risk factor for cancer is age</w:t>
      </w:r>
      <w:r w:rsidR="00A86331">
        <w:rPr>
          <w:bCs/>
          <w:szCs w:val="24"/>
        </w:rPr>
        <w:t>.</w:t>
      </w:r>
      <w:r w:rsidR="00624799">
        <w:rPr>
          <w:rStyle w:val="FootnoteReference"/>
          <w:bCs/>
          <w:szCs w:val="24"/>
        </w:rPr>
        <w:footnoteReference w:id="52"/>
      </w:r>
      <w:r w:rsidR="00A86331">
        <w:rPr>
          <w:bCs/>
          <w:szCs w:val="24"/>
        </w:rPr>
        <w:t xml:space="preserve"> </w:t>
      </w:r>
      <w:r w:rsidR="008C6338">
        <w:rPr>
          <w:bCs/>
          <w:szCs w:val="24"/>
        </w:rPr>
        <w:t>According to a study from the United States Centers for Disease Control and Prevention, the annual number of cancer cases is anticipated to increase 49% between the years 2015 and 2025.</w:t>
      </w:r>
      <w:r w:rsidR="008C6338">
        <w:rPr>
          <w:rStyle w:val="FootnoteReference"/>
          <w:bCs/>
          <w:szCs w:val="24"/>
        </w:rPr>
        <w:footnoteReference w:id="53"/>
      </w:r>
      <w:r w:rsidR="008C6338">
        <w:rPr>
          <w:bCs/>
          <w:szCs w:val="24"/>
        </w:rPr>
        <w:t xml:space="preserve"> That same study finds that the largest percentage increase will occur among patients 75 years of age or older.</w:t>
      </w:r>
      <w:r w:rsidR="008B6AA8" w:rsidRPr="008B6AA8">
        <w:rPr>
          <w:bCs/>
          <w:szCs w:val="24"/>
        </w:rPr>
        <w:t xml:space="preserve"> </w:t>
      </w:r>
      <w:r w:rsidR="008B6AA8" w:rsidRPr="008455CF">
        <w:rPr>
          <w:bCs/>
          <w:szCs w:val="24"/>
        </w:rPr>
        <w:t xml:space="preserve">Additionally, </w:t>
      </w:r>
      <w:r w:rsidR="008B6AA8">
        <w:rPr>
          <w:bCs/>
          <w:szCs w:val="24"/>
        </w:rPr>
        <w:t>although</w:t>
      </w:r>
      <w:r w:rsidR="008B6AA8" w:rsidRPr="008455CF">
        <w:rPr>
          <w:bCs/>
          <w:szCs w:val="24"/>
        </w:rPr>
        <w:t xml:space="preserve"> </w:t>
      </w:r>
      <w:r w:rsidR="008B6AA8">
        <w:rPr>
          <w:bCs/>
          <w:szCs w:val="24"/>
        </w:rPr>
        <w:t xml:space="preserve">much of the demand comes from </w:t>
      </w:r>
      <w:r w:rsidR="008B6AA8" w:rsidRPr="008455CF">
        <w:rPr>
          <w:bCs/>
          <w:szCs w:val="24"/>
        </w:rPr>
        <w:t xml:space="preserve">the </w:t>
      </w:r>
      <w:r w:rsidR="008B6AA8">
        <w:rPr>
          <w:bCs/>
          <w:szCs w:val="24"/>
        </w:rPr>
        <w:t xml:space="preserve">aging </w:t>
      </w:r>
      <w:r w:rsidR="008B6AA8" w:rsidRPr="008455CF">
        <w:rPr>
          <w:bCs/>
          <w:szCs w:val="24"/>
        </w:rPr>
        <w:t xml:space="preserve">population, </w:t>
      </w:r>
      <w:r w:rsidR="008B6AA8">
        <w:rPr>
          <w:bCs/>
          <w:szCs w:val="24"/>
        </w:rPr>
        <w:t xml:space="preserve">it is also important to recognize that </w:t>
      </w:r>
      <w:r w:rsidR="008B6AA8" w:rsidRPr="008455CF">
        <w:rPr>
          <w:bCs/>
          <w:szCs w:val="24"/>
        </w:rPr>
        <w:t>there is also a large and concerning increase in young adult cancers.</w:t>
      </w:r>
      <w:r w:rsidR="00481EF4">
        <w:rPr>
          <w:rStyle w:val="FootnoteReference"/>
          <w:bCs/>
          <w:szCs w:val="24"/>
        </w:rPr>
        <w:footnoteReference w:id="54"/>
      </w:r>
      <w:r w:rsidR="00021F30">
        <w:rPr>
          <w:bCs/>
          <w:szCs w:val="24"/>
        </w:rPr>
        <w:t xml:space="preserve">  </w:t>
      </w:r>
    </w:p>
    <w:p w14:paraId="4CC808A2" w14:textId="77777777" w:rsidR="00FD5016" w:rsidRDefault="00FD5016" w:rsidP="00772478">
      <w:pPr>
        <w:jc w:val="both"/>
        <w:rPr>
          <w:bCs/>
          <w:szCs w:val="24"/>
        </w:rPr>
      </w:pPr>
    </w:p>
    <w:p w14:paraId="602BC954" w14:textId="5B1D83E0" w:rsidR="00830615" w:rsidRDefault="002E400F" w:rsidP="00FB3BCC">
      <w:pPr>
        <w:jc w:val="both"/>
        <w:rPr>
          <w:bCs/>
          <w:szCs w:val="24"/>
        </w:rPr>
      </w:pPr>
      <w:r>
        <w:rPr>
          <w:bCs/>
          <w:szCs w:val="24"/>
        </w:rPr>
        <w:t xml:space="preserve">The increase in cancer prevalence and </w:t>
      </w:r>
      <w:r w:rsidR="008B6AA8">
        <w:rPr>
          <w:bCs/>
          <w:szCs w:val="24"/>
        </w:rPr>
        <w:t>an</w:t>
      </w:r>
      <w:r>
        <w:rPr>
          <w:bCs/>
          <w:szCs w:val="24"/>
        </w:rPr>
        <w:t xml:space="preserve"> aging population means the number of cancer patients who will require hospitalization throughout the course of their cancer treatment will continue to grow</w:t>
      </w:r>
      <w:r w:rsidR="00A50248">
        <w:rPr>
          <w:bCs/>
          <w:szCs w:val="24"/>
        </w:rPr>
        <w:t xml:space="preserve">. </w:t>
      </w:r>
      <w:r w:rsidR="0036481A">
        <w:rPr>
          <w:bCs/>
          <w:szCs w:val="24"/>
        </w:rPr>
        <w:t xml:space="preserve">Hospitalization may be necessary as a result of </w:t>
      </w:r>
      <w:r w:rsidR="00F85F7F">
        <w:rPr>
          <w:bCs/>
          <w:szCs w:val="24"/>
        </w:rPr>
        <w:t>symptoms</w:t>
      </w:r>
      <w:r w:rsidR="00DD18B5">
        <w:rPr>
          <w:bCs/>
          <w:szCs w:val="24"/>
        </w:rPr>
        <w:t xml:space="preserve"> or complications</w:t>
      </w:r>
      <w:r w:rsidR="00F85F7F">
        <w:rPr>
          <w:bCs/>
          <w:szCs w:val="24"/>
        </w:rPr>
        <w:t xml:space="preserve"> from the disease, such as intractable pain, or side effects or consequences of treatments, such as treatment of infection or need for nutrition support.</w:t>
      </w:r>
      <w:r w:rsidR="00FB6BD7">
        <w:rPr>
          <w:rStyle w:val="FootnoteReference"/>
          <w:bCs/>
          <w:szCs w:val="24"/>
        </w:rPr>
        <w:footnoteReference w:id="55"/>
      </w:r>
      <w:r w:rsidR="00FB6BD7">
        <w:rPr>
          <w:bCs/>
          <w:szCs w:val="24"/>
        </w:rPr>
        <w:t xml:space="preserve"> Hospitalization may also be required for patients who need palliative or hospice care.</w:t>
      </w:r>
      <w:r w:rsidR="00FB6BD7">
        <w:rPr>
          <w:rStyle w:val="FootnoteReference"/>
          <w:bCs/>
          <w:szCs w:val="24"/>
        </w:rPr>
        <w:footnoteReference w:id="56"/>
      </w:r>
      <w:r w:rsidR="000E1DC8">
        <w:rPr>
          <w:bCs/>
          <w:szCs w:val="24"/>
        </w:rPr>
        <w:t xml:space="preserve"> </w:t>
      </w:r>
      <w:r w:rsidR="00355DC7">
        <w:rPr>
          <w:bCs/>
          <w:szCs w:val="24"/>
        </w:rPr>
        <w:t>Additionally</w:t>
      </w:r>
      <w:r w:rsidR="000E1DC8">
        <w:rPr>
          <w:bCs/>
          <w:szCs w:val="24"/>
        </w:rPr>
        <w:t>, inpatient admission—</w:t>
      </w:r>
      <w:r w:rsidR="00D02563">
        <w:rPr>
          <w:bCs/>
          <w:szCs w:val="24"/>
        </w:rPr>
        <w:t>and frequently admission with a long length of stay</w:t>
      </w:r>
      <w:r w:rsidR="000E1DC8">
        <w:rPr>
          <w:bCs/>
          <w:szCs w:val="24"/>
        </w:rPr>
        <w:t xml:space="preserve">—is necessary to deliver innovative treatments for patients with complex diagnoses, for which the Applicant, as a comprehensive cancer center, is uniquely situated to </w:t>
      </w:r>
      <w:r w:rsidR="000E1DC8">
        <w:rPr>
          <w:bCs/>
          <w:szCs w:val="24"/>
        </w:rPr>
        <w:lastRenderedPageBreak/>
        <w:t>provide.</w:t>
      </w:r>
      <w:r w:rsidR="009A506C">
        <w:rPr>
          <w:bCs/>
          <w:szCs w:val="24"/>
        </w:rPr>
        <w:t xml:space="preserve"> </w:t>
      </w:r>
      <w:r w:rsidR="005C67D5">
        <w:rPr>
          <w:bCs/>
          <w:szCs w:val="24"/>
        </w:rPr>
        <w:t xml:space="preserve">For example, patients with </w:t>
      </w:r>
      <w:r w:rsidR="00D630AF">
        <w:rPr>
          <w:bCs/>
          <w:szCs w:val="24"/>
        </w:rPr>
        <w:t>acute leukemia</w:t>
      </w:r>
      <w:r w:rsidR="000C4B02">
        <w:rPr>
          <w:bCs/>
          <w:szCs w:val="24"/>
        </w:rPr>
        <w:t xml:space="preserve"> </w:t>
      </w:r>
      <w:r w:rsidR="00D630AF">
        <w:rPr>
          <w:bCs/>
          <w:szCs w:val="24"/>
        </w:rPr>
        <w:t>(</w:t>
      </w:r>
      <w:r w:rsidR="000C4B02">
        <w:rPr>
          <w:bCs/>
          <w:szCs w:val="24"/>
        </w:rPr>
        <w:t>a type of cancer that forms in white blood cells) often undergo induction therapy (a type of chemotherapy) as a first phase of treatment.</w:t>
      </w:r>
      <w:r w:rsidR="00D5723A">
        <w:rPr>
          <w:rStyle w:val="FootnoteReference"/>
          <w:bCs/>
          <w:szCs w:val="24"/>
        </w:rPr>
        <w:footnoteReference w:id="57"/>
      </w:r>
      <w:r w:rsidR="000C4B02">
        <w:rPr>
          <w:bCs/>
          <w:szCs w:val="24"/>
        </w:rPr>
        <w:t xml:space="preserve"> </w:t>
      </w:r>
      <w:r w:rsidR="000E1DC8">
        <w:rPr>
          <w:bCs/>
          <w:szCs w:val="24"/>
        </w:rPr>
        <w:t>Typically, patients undergoing induction therapy can remain in the hospital as an inpatient for four to six weeks with frequent needs for subsequent admissions during the course of treatment.</w:t>
      </w:r>
      <w:r w:rsidR="00D5723A">
        <w:rPr>
          <w:rStyle w:val="FootnoteReference"/>
          <w:bCs/>
          <w:szCs w:val="24"/>
        </w:rPr>
        <w:footnoteReference w:id="58"/>
      </w:r>
      <w:r w:rsidR="000C4B02">
        <w:rPr>
          <w:bCs/>
          <w:szCs w:val="24"/>
        </w:rPr>
        <w:t xml:space="preserve"> </w:t>
      </w:r>
      <w:r w:rsidR="000E1DC8">
        <w:rPr>
          <w:bCs/>
          <w:szCs w:val="24"/>
        </w:rPr>
        <w:t xml:space="preserve">Similarly, </w:t>
      </w:r>
      <w:r w:rsidR="009C45E7">
        <w:rPr>
          <w:bCs/>
          <w:szCs w:val="24"/>
        </w:rPr>
        <w:t>CAR</w:t>
      </w:r>
      <w:r w:rsidR="001E7284">
        <w:rPr>
          <w:bCs/>
          <w:szCs w:val="24"/>
        </w:rPr>
        <w:t xml:space="preserve"> </w:t>
      </w:r>
      <w:r w:rsidR="000E1DC8">
        <w:rPr>
          <w:bCs/>
          <w:szCs w:val="24"/>
        </w:rPr>
        <w:t>T</w:t>
      </w:r>
      <w:r w:rsidR="001E7284">
        <w:rPr>
          <w:bCs/>
          <w:szCs w:val="24"/>
        </w:rPr>
        <w:t>-</w:t>
      </w:r>
      <w:r w:rsidR="000E1DC8">
        <w:rPr>
          <w:bCs/>
          <w:szCs w:val="24"/>
        </w:rPr>
        <w:t>cell therapy is a new, extraordinarily effective cancer treatment used to treat an increasing number of different and previously fatal blood cancers  by altering genes inside T-cells (a type of white blood cell) to make them more effective at fighting the cancer.</w:t>
      </w:r>
      <w:r w:rsidR="008D1AAA">
        <w:rPr>
          <w:rStyle w:val="FootnoteReference"/>
          <w:bCs/>
          <w:szCs w:val="24"/>
        </w:rPr>
        <w:footnoteReference w:id="59"/>
      </w:r>
      <w:r w:rsidR="008D1AAA">
        <w:rPr>
          <w:bCs/>
          <w:szCs w:val="24"/>
        </w:rPr>
        <w:t xml:space="preserve"> </w:t>
      </w:r>
      <w:r w:rsidR="00830615">
        <w:rPr>
          <w:bCs/>
          <w:szCs w:val="24"/>
        </w:rPr>
        <w:t xml:space="preserve">This treatment modality is expanding within hematologic malignancies and actively being investigated in solid tumors. There are now several commercial products approved for acute lymphoblastic leukemia, non-Hodgkin lymphoma and multiple myeloma. In addition, </w:t>
      </w:r>
      <w:r w:rsidR="00FB7480">
        <w:rPr>
          <w:bCs/>
          <w:szCs w:val="24"/>
        </w:rPr>
        <w:t>use of</w:t>
      </w:r>
      <w:r w:rsidR="00830615">
        <w:rPr>
          <w:bCs/>
          <w:szCs w:val="24"/>
        </w:rPr>
        <w:t xml:space="preserve"> bi-specific T-cell engager therap</w:t>
      </w:r>
      <w:r w:rsidR="00FB7480">
        <w:rPr>
          <w:bCs/>
          <w:szCs w:val="24"/>
        </w:rPr>
        <w:t>y, a novel pharmaceutical version of immune cell therapy, is also expanding, including in solid cancers</w:t>
      </w:r>
      <w:r w:rsidR="00830615">
        <w:rPr>
          <w:bCs/>
          <w:szCs w:val="24"/>
        </w:rPr>
        <w:t>.</w:t>
      </w:r>
      <w:r w:rsidR="00FB7480">
        <w:rPr>
          <w:rStyle w:val="FootnoteReference"/>
          <w:bCs/>
          <w:szCs w:val="24"/>
        </w:rPr>
        <w:footnoteReference w:id="60"/>
      </w:r>
    </w:p>
    <w:p w14:paraId="4A48BD29" w14:textId="77777777" w:rsidR="00830615" w:rsidRDefault="00830615" w:rsidP="00FB3BCC">
      <w:pPr>
        <w:jc w:val="both"/>
        <w:rPr>
          <w:bCs/>
          <w:szCs w:val="24"/>
        </w:rPr>
      </w:pPr>
    </w:p>
    <w:p w14:paraId="1EAD8B21" w14:textId="7AC46FBC" w:rsidR="00E01FF2" w:rsidRDefault="000E1DC8" w:rsidP="00FB3BCC">
      <w:pPr>
        <w:jc w:val="both"/>
        <w:rPr>
          <w:bCs/>
          <w:szCs w:val="24"/>
          <w:vertAlign w:val="superscript"/>
        </w:rPr>
      </w:pPr>
      <w:r>
        <w:rPr>
          <w:bCs/>
          <w:szCs w:val="24"/>
        </w:rPr>
        <w:t>CAR</w:t>
      </w:r>
      <w:r w:rsidR="001E7284">
        <w:rPr>
          <w:bCs/>
          <w:szCs w:val="24"/>
        </w:rPr>
        <w:t xml:space="preserve"> </w:t>
      </w:r>
      <w:r>
        <w:rPr>
          <w:bCs/>
          <w:szCs w:val="24"/>
        </w:rPr>
        <w:t xml:space="preserve">T-cell therapy </w:t>
      </w:r>
      <w:r w:rsidR="00DC2B7B">
        <w:rPr>
          <w:bCs/>
          <w:szCs w:val="24"/>
        </w:rPr>
        <w:t>usually</w:t>
      </w:r>
      <w:r>
        <w:rPr>
          <w:bCs/>
          <w:szCs w:val="24"/>
        </w:rPr>
        <w:t xml:space="preserve"> involves an inpatient stay with frequent subsequent urgent admissions to treat potentially serious side effects of the therapy.</w:t>
      </w:r>
      <w:r w:rsidR="008D1AAA">
        <w:rPr>
          <w:rStyle w:val="FootnoteReference"/>
          <w:bCs/>
          <w:szCs w:val="24"/>
        </w:rPr>
        <w:footnoteReference w:id="61"/>
      </w:r>
      <w:r w:rsidR="007770F5">
        <w:rPr>
          <w:bCs/>
          <w:szCs w:val="24"/>
          <w:vertAlign w:val="superscript"/>
        </w:rPr>
        <w:t xml:space="preserve"> </w:t>
      </w:r>
      <w:r w:rsidR="007562E7">
        <w:rPr>
          <w:bCs/>
          <w:szCs w:val="24"/>
        </w:rPr>
        <w:t xml:space="preserve">As stated below, </w:t>
      </w:r>
      <w:r w:rsidR="007562E7" w:rsidRPr="00843106">
        <w:rPr>
          <w:bCs/>
          <w:szCs w:val="24"/>
        </w:rPr>
        <w:t>these treatments can lead to the development of cytokine release syndrome</w:t>
      </w:r>
      <w:r w:rsidR="007562E7">
        <w:rPr>
          <w:bCs/>
          <w:szCs w:val="24"/>
        </w:rPr>
        <w:t xml:space="preserve"> or immune effector cell-associated neurotoxicity syndrome</w:t>
      </w:r>
      <w:r w:rsidR="007562E7" w:rsidRPr="00843106">
        <w:rPr>
          <w:bCs/>
          <w:szCs w:val="24"/>
        </w:rPr>
        <w:t>,</w:t>
      </w:r>
      <w:r w:rsidR="007562E7">
        <w:rPr>
          <w:bCs/>
          <w:szCs w:val="24"/>
        </w:rPr>
        <w:t xml:space="preserve"> known potential complications of these treatment modalities which can be fatal if not promptly recognized and treated. Some, but not all of these treatments are administered </w:t>
      </w:r>
      <w:r w:rsidR="00830615">
        <w:rPr>
          <w:bCs/>
          <w:szCs w:val="24"/>
        </w:rPr>
        <w:t xml:space="preserve">on an </w:t>
      </w:r>
      <w:r w:rsidR="007562E7">
        <w:rPr>
          <w:bCs/>
          <w:szCs w:val="24"/>
        </w:rPr>
        <w:t>outpatient</w:t>
      </w:r>
      <w:r w:rsidR="00830615">
        <w:rPr>
          <w:bCs/>
          <w:szCs w:val="24"/>
        </w:rPr>
        <w:t xml:space="preserve"> basis</w:t>
      </w:r>
      <w:r w:rsidR="007562E7">
        <w:rPr>
          <w:bCs/>
          <w:szCs w:val="24"/>
        </w:rPr>
        <w:t>; however, even when administered outpatient the inpatient hospitalization rate can be 30-70%.</w:t>
      </w:r>
      <w:r w:rsidR="00F91EFD">
        <w:rPr>
          <w:rStyle w:val="FootnoteReference"/>
          <w:bCs/>
          <w:szCs w:val="24"/>
        </w:rPr>
        <w:footnoteReference w:id="62"/>
      </w:r>
      <w:r w:rsidR="007562E7">
        <w:rPr>
          <w:bCs/>
          <w:szCs w:val="24"/>
        </w:rPr>
        <w:t xml:space="preserve"> In FY 2023, based on the Applicant’s internal data, the ALOS for CAR T-cell patients admitted to the Applicant’s 30-bed inpatient hospital was 12 days, but this represents only a small percentage of the overall CAR</w:t>
      </w:r>
      <w:r w:rsidR="00830615">
        <w:rPr>
          <w:bCs/>
          <w:szCs w:val="24"/>
        </w:rPr>
        <w:t xml:space="preserve"> </w:t>
      </w:r>
      <w:r w:rsidR="007562E7">
        <w:rPr>
          <w:bCs/>
          <w:szCs w:val="24"/>
        </w:rPr>
        <w:t>T</w:t>
      </w:r>
      <w:r w:rsidR="00830615">
        <w:rPr>
          <w:bCs/>
          <w:szCs w:val="24"/>
        </w:rPr>
        <w:t>-</w:t>
      </w:r>
      <w:r w:rsidR="007562E7">
        <w:rPr>
          <w:bCs/>
          <w:szCs w:val="24"/>
        </w:rPr>
        <w:t xml:space="preserve">cell </w:t>
      </w:r>
      <w:r w:rsidR="00830615">
        <w:rPr>
          <w:bCs/>
          <w:szCs w:val="24"/>
        </w:rPr>
        <w:t xml:space="preserve">patient </w:t>
      </w:r>
      <w:r w:rsidR="007562E7">
        <w:rPr>
          <w:bCs/>
          <w:szCs w:val="24"/>
        </w:rPr>
        <w:t>population of the Applicant (with the remainder completing their inpatient stays at BWH)</w:t>
      </w:r>
      <w:r w:rsidR="00830615">
        <w:rPr>
          <w:bCs/>
          <w:szCs w:val="24"/>
        </w:rPr>
        <w:t>, which has varying levels of acuity.</w:t>
      </w:r>
      <w:r w:rsidR="007562E7">
        <w:rPr>
          <w:bCs/>
          <w:szCs w:val="24"/>
        </w:rPr>
        <w:t xml:space="preserve"> The A</w:t>
      </w:r>
      <w:r w:rsidR="00830615">
        <w:rPr>
          <w:bCs/>
          <w:szCs w:val="24"/>
        </w:rPr>
        <w:t>pplicant’s data on CAR T-cell</w:t>
      </w:r>
      <w:r w:rsidR="007562E7">
        <w:rPr>
          <w:bCs/>
          <w:szCs w:val="24"/>
        </w:rPr>
        <w:t xml:space="preserve"> </w:t>
      </w:r>
      <w:r w:rsidR="00830615">
        <w:rPr>
          <w:bCs/>
          <w:szCs w:val="24"/>
        </w:rPr>
        <w:t xml:space="preserve">ALOS, therefore, may underrepresent the true ALOS for such patients. </w:t>
      </w:r>
    </w:p>
    <w:p w14:paraId="7B4B2ADD" w14:textId="77777777" w:rsidR="00E01FF2" w:rsidRDefault="00E01FF2" w:rsidP="00FB3BCC">
      <w:pPr>
        <w:jc w:val="both"/>
        <w:rPr>
          <w:bCs/>
          <w:szCs w:val="24"/>
          <w:vertAlign w:val="superscript"/>
        </w:rPr>
      </w:pPr>
    </w:p>
    <w:p w14:paraId="5E1D08CB" w14:textId="1DE5872C" w:rsidR="00DB3DB6" w:rsidRDefault="00E01FF2" w:rsidP="00FB3BCC">
      <w:pPr>
        <w:jc w:val="both"/>
      </w:pPr>
      <w:r>
        <w:rPr>
          <w:bCs/>
          <w:szCs w:val="24"/>
        </w:rPr>
        <w:t xml:space="preserve">Stem cell transplantation is another treatment that can involve lengthy inpatient stays. </w:t>
      </w:r>
      <w:r w:rsidR="007770F5">
        <w:rPr>
          <w:bCs/>
          <w:szCs w:val="24"/>
        </w:rPr>
        <w:t>The Applicant</w:t>
      </w:r>
      <w:r w:rsidR="002340EA">
        <w:rPr>
          <w:bCs/>
          <w:szCs w:val="24"/>
        </w:rPr>
        <w:t>’</w:t>
      </w:r>
      <w:r w:rsidR="007770F5">
        <w:rPr>
          <w:bCs/>
          <w:szCs w:val="24"/>
        </w:rPr>
        <w:t>s Adult Stem Cell Transplant Program</w:t>
      </w:r>
      <w:r w:rsidR="00DC2B7B">
        <w:rPr>
          <w:bCs/>
          <w:szCs w:val="24"/>
        </w:rPr>
        <w:t xml:space="preserve">, </w:t>
      </w:r>
      <w:r w:rsidR="007770F5">
        <w:rPr>
          <w:bCs/>
          <w:szCs w:val="24"/>
        </w:rPr>
        <w:t>founded in 1972</w:t>
      </w:r>
      <w:r w:rsidR="00DC2B7B">
        <w:rPr>
          <w:bCs/>
          <w:szCs w:val="24"/>
        </w:rPr>
        <w:t xml:space="preserve">, </w:t>
      </w:r>
      <w:r w:rsidR="007770F5">
        <w:rPr>
          <w:bCs/>
          <w:szCs w:val="24"/>
        </w:rPr>
        <w:t xml:space="preserve">is </w:t>
      </w:r>
      <w:r w:rsidR="002142D7">
        <w:rPr>
          <w:bCs/>
          <w:szCs w:val="24"/>
        </w:rPr>
        <w:t xml:space="preserve">the </w:t>
      </w:r>
      <w:r w:rsidR="001F0ADE">
        <w:rPr>
          <w:bCs/>
          <w:szCs w:val="24"/>
        </w:rPr>
        <w:t>second</w:t>
      </w:r>
      <w:r w:rsidR="002142D7">
        <w:rPr>
          <w:bCs/>
          <w:szCs w:val="24"/>
        </w:rPr>
        <w:t xml:space="preserve"> largest transplant program</w:t>
      </w:r>
      <w:r w:rsidR="000E1DC8">
        <w:rPr>
          <w:bCs/>
          <w:szCs w:val="24"/>
        </w:rPr>
        <w:t xml:space="preserve"> in the country</w:t>
      </w:r>
      <w:r w:rsidR="00DC2B7B">
        <w:rPr>
          <w:bCs/>
          <w:szCs w:val="24"/>
        </w:rPr>
        <w:t>,</w:t>
      </w:r>
      <w:r w:rsidR="007770F5">
        <w:rPr>
          <w:bCs/>
          <w:szCs w:val="24"/>
        </w:rPr>
        <w:t xml:space="preserve"> performing approximately</w:t>
      </w:r>
      <w:r w:rsidR="001F0ADE">
        <w:rPr>
          <w:bCs/>
          <w:szCs w:val="24"/>
        </w:rPr>
        <w:t xml:space="preserve"> 6</w:t>
      </w:r>
      <w:r w:rsidR="007770F5">
        <w:rPr>
          <w:bCs/>
          <w:szCs w:val="24"/>
        </w:rPr>
        <w:t>00 transplants per year</w:t>
      </w:r>
      <w:r w:rsidR="00DC2B7B">
        <w:rPr>
          <w:bCs/>
          <w:szCs w:val="24"/>
        </w:rPr>
        <w:t xml:space="preserve"> and</w:t>
      </w:r>
      <w:r w:rsidR="00483FA6">
        <w:rPr>
          <w:bCs/>
          <w:szCs w:val="24"/>
        </w:rPr>
        <w:t xml:space="preserve"> is</w:t>
      </w:r>
      <w:r w:rsidR="005D009C">
        <w:rPr>
          <w:bCs/>
          <w:szCs w:val="24"/>
        </w:rPr>
        <w:t xml:space="preserve"> </w:t>
      </w:r>
      <w:r w:rsidR="00DC2B7B" w:rsidRPr="00DC2B7B">
        <w:rPr>
          <w:bCs/>
          <w:szCs w:val="24"/>
        </w:rPr>
        <w:t>in the top 6% of centers for outcomes (</w:t>
      </w:r>
      <w:r w:rsidR="00DC2B7B" w:rsidRPr="00DC2B7B">
        <w:rPr>
          <w:bCs/>
          <w:i/>
          <w:iCs/>
          <w:szCs w:val="24"/>
        </w:rPr>
        <w:t>i.e.</w:t>
      </w:r>
      <w:r w:rsidR="00DC2B7B">
        <w:rPr>
          <w:bCs/>
          <w:szCs w:val="24"/>
        </w:rPr>
        <w:t>,</w:t>
      </w:r>
      <w:r w:rsidR="00DC2B7B" w:rsidRPr="00DC2B7B">
        <w:rPr>
          <w:bCs/>
          <w:szCs w:val="24"/>
        </w:rPr>
        <w:t xml:space="preserve"> survival) for allogeneic transplant</w:t>
      </w:r>
      <w:r w:rsidR="00DC2B7B">
        <w:rPr>
          <w:bCs/>
          <w:szCs w:val="24"/>
        </w:rPr>
        <w:t>s.</w:t>
      </w:r>
      <w:r w:rsidR="00DC2B7B" w:rsidRPr="00DC2B7B">
        <w:rPr>
          <w:rStyle w:val="FootnoteReference"/>
          <w:bCs/>
          <w:szCs w:val="24"/>
        </w:rPr>
        <w:t xml:space="preserve"> </w:t>
      </w:r>
      <w:r w:rsidR="00DC2B7B">
        <w:rPr>
          <w:rStyle w:val="FootnoteReference"/>
          <w:bCs/>
          <w:szCs w:val="24"/>
        </w:rPr>
        <w:footnoteReference w:id="63"/>
      </w:r>
      <w:r w:rsidR="00DC2B7B">
        <w:rPr>
          <w:bCs/>
          <w:szCs w:val="24"/>
        </w:rPr>
        <w:t xml:space="preserve"> </w:t>
      </w:r>
      <w:r w:rsidR="00A8679C" w:rsidRPr="00A8679C">
        <w:rPr>
          <w:bCs/>
          <w:szCs w:val="24"/>
        </w:rPr>
        <w:t>The Applicant</w:t>
      </w:r>
      <w:r w:rsidR="002340EA">
        <w:rPr>
          <w:bCs/>
          <w:szCs w:val="24"/>
        </w:rPr>
        <w:t>’</w:t>
      </w:r>
      <w:r w:rsidR="00A8679C" w:rsidRPr="00A8679C">
        <w:rPr>
          <w:bCs/>
          <w:szCs w:val="24"/>
        </w:rPr>
        <w:t xml:space="preserve">s limited inpatient bed capacity is a constraint on </w:t>
      </w:r>
      <w:r w:rsidR="00D7272A">
        <w:rPr>
          <w:bCs/>
          <w:szCs w:val="24"/>
        </w:rPr>
        <w:t>use of</w:t>
      </w:r>
      <w:r w:rsidR="00A8679C" w:rsidRPr="00A8679C">
        <w:rPr>
          <w:bCs/>
          <w:szCs w:val="24"/>
        </w:rPr>
        <w:t xml:space="preserve"> these innovative and effective procedures, </w:t>
      </w:r>
      <w:r w:rsidR="00621BF3">
        <w:rPr>
          <w:bCs/>
          <w:szCs w:val="24"/>
        </w:rPr>
        <w:t>and this</w:t>
      </w:r>
      <w:r w:rsidR="00A8679C" w:rsidRPr="00A8679C">
        <w:rPr>
          <w:bCs/>
          <w:szCs w:val="24"/>
        </w:rPr>
        <w:t xml:space="preserve"> contributes to access issue</w:t>
      </w:r>
      <w:r w:rsidR="005D009C">
        <w:t>s for the Applicant</w:t>
      </w:r>
      <w:r w:rsidR="002340EA">
        <w:t>’</w:t>
      </w:r>
      <w:r w:rsidR="005D009C">
        <w:t xml:space="preserve">s most vulnerable patients (including, but not limited to, patients of color and </w:t>
      </w:r>
      <w:r>
        <w:t>low-income</w:t>
      </w:r>
      <w:r w:rsidR="005D009C">
        <w:t xml:space="preserve"> patients)</w:t>
      </w:r>
      <w:r w:rsidR="00D02563">
        <w:t>.</w:t>
      </w:r>
      <w:r w:rsidR="00830615">
        <w:t xml:space="preserve"> During FY 2023</w:t>
      </w:r>
      <w:r w:rsidR="005F3E68">
        <w:t>,</w:t>
      </w:r>
      <w:r w:rsidR="00830615">
        <w:t xml:space="preserve"> the </w:t>
      </w:r>
      <w:r w:rsidR="005F3E68">
        <w:t>ALOS</w:t>
      </w:r>
      <w:r w:rsidR="00830615">
        <w:t xml:space="preserve"> in the </w:t>
      </w:r>
      <w:r w:rsidR="005F3E68">
        <w:t>Applicant’s 30-bed inpatient hospital</w:t>
      </w:r>
      <w:r w:rsidR="00830615">
        <w:t xml:space="preserve"> for autologous and allogeneic stem cell transplantations</w:t>
      </w:r>
      <w:r w:rsidR="005F3E68">
        <w:t xml:space="preserve"> was 19 and 21 days, </w:t>
      </w:r>
      <w:r w:rsidR="00830615">
        <w:t xml:space="preserve"> respectively.</w:t>
      </w:r>
      <w:r w:rsidR="005F3E68">
        <w:t xml:space="preserve"> Like with CAR T-cell therapy, </w:t>
      </w:r>
      <w:r w:rsidR="005F3E68">
        <w:rPr>
          <w:bCs/>
          <w:szCs w:val="24"/>
        </w:rPr>
        <w:t xml:space="preserve">this represents only a small percentage of the overall stem cell patient population of the Applicant (with the remainder completing their inpatient stays at BWH), </w:t>
      </w:r>
      <w:r w:rsidR="005F3E68">
        <w:rPr>
          <w:bCs/>
          <w:szCs w:val="24"/>
        </w:rPr>
        <w:lastRenderedPageBreak/>
        <w:t>which has varying levels of acuity. The Applicant’s data on stem cell ALOS, therefore, may underrepresent the true ALOS for such patients.</w:t>
      </w:r>
    </w:p>
    <w:p w14:paraId="401F50F1" w14:textId="77777777" w:rsidR="00D02563" w:rsidRDefault="00D02563" w:rsidP="00FB3BCC">
      <w:pPr>
        <w:jc w:val="both"/>
      </w:pPr>
    </w:p>
    <w:p w14:paraId="7EDD2C45" w14:textId="234F518A" w:rsidR="00621BF3" w:rsidRDefault="007C22BA" w:rsidP="00A06309">
      <w:pPr>
        <w:jc w:val="both"/>
      </w:pPr>
      <w:r>
        <w:rPr>
          <w:bCs/>
          <w:szCs w:val="24"/>
        </w:rPr>
        <w:t>Limited inpatient capacity m</w:t>
      </w:r>
      <w:r w:rsidR="009255B6">
        <w:t xml:space="preserve">eans that cancer patients often receive acute symptom management in the </w:t>
      </w:r>
      <w:r w:rsidR="00917CFF">
        <w:t>emergency department</w:t>
      </w:r>
      <w:r w:rsidR="009255B6">
        <w:t xml:space="preserve"> due to long wait times for inpatient beds</w:t>
      </w:r>
      <w:r>
        <w:rPr>
          <w:bCs/>
          <w:szCs w:val="24"/>
        </w:rPr>
        <w:t xml:space="preserve">. </w:t>
      </w:r>
      <w:r w:rsidR="00B6470E">
        <w:rPr>
          <w:bCs/>
          <w:szCs w:val="24"/>
        </w:rPr>
        <w:t>Further,</w:t>
      </w:r>
      <w:r w:rsidR="00F40E41">
        <w:rPr>
          <w:bCs/>
          <w:szCs w:val="24"/>
        </w:rPr>
        <w:t xml:space="preserve"> wait times in the emergency department have risen in Massachusetts. The average length of stay for emergency department patients has increased by approximately </w:t>
      </w:r>
      <w:r w:rsidR="00CF1502">
        <w:rPr>
          <w:bCs/>
          <w:szCs w:val="24"/>
        </w:rPr>
        <w:t>two</w:t>
      </w:r>
      <w:r w:rsidR="00F40E41">
        <w:rPr>
          <w:bCs/>
          <w:szCs w:val="24"/>
        </w:rPr>
        <w:t xml:space="preserve"> hours across the Commonwealth from</w:t>
      </w:r>
      <w:r w:rsidR="0095630B">
        <w:rPr>
          <w:bCs/>
          <w:szCs w:val="24"/>
        </w:rPr>
        <w:t xml:space="preserve"> 2</w:t>
      </w:r>
      <w:r w:rsidR="00F40E41">
        <w:rPr>
          <w:bCs/>
          <w:szCs w:val="24"/>
        </w:rPr>
        <w:t>018 through 2022</w:t>
      </w:r>
      <w:r w:rsidR="00993FE9">
        <w:rPr>
          <w:bCs/>
          <w:szCs w:val="24"/>
        </w:rPr>
        <w:t xml:space="preserve">, a </w:t>
      </w:r>
      <w:r w:rsidR="00993FE9">
        <w:rPr>
          <w:rFonts w:eastAsia="Times New Roman"/>
        </w:rPr>
        <w:t>38% increase</w:t>
      </w:r>
      <w:r w:rsidR="00F40E41">
        <w:rPr>
          <w:bCs/>
          <w:szCs w:val="24"/>
        </w:rPr>
        <w:t>.</w:t>
      </w:r>
      <w:r w:rsidR="00F40E41">
        <w:rPr>
          <w:rStyle w:val="FootnoteReference"/>
          <w:bCs/>
          <w:szCs w:val="24"/>
        </w:rPr>
        <w:footnoteReference w:id="64"/>
      </w:r>
      <w:r w:rsidR="00F40E41">
        <w:rPr>
          <w:bCs/>
          <w:szCs w:val="24"/>
        </w:rPr>
        <w:t xml:space="preserve"> Massachusetts is tied for the second longest emergency department wait time in the United States.</w:t>
      </w:r>
      <w:r w:rsidR="007F09F7">
        <w:rPr>
          <w:rStyle w:val="FootnoteReference"/>
          <w:bCs/>
          <w:szCs w:val="24"/>
        </w:rPr>
        <w:footnoteReference w:id="65"/>
      </w:r>
      <w:r w:rsidR="00B043B4">
        <w:rPr>
          <w:bCs/>
          <w:szCs w:val="24"/>
        </w:rPr>
        <w:t xml:space="preserve"> </w:t>
      </w:r>
      <w:r w:rsidR="00621BF3">
        <w:rPr>
          <w:bCs/>
          <w:szCs w:val="24"/>
        </w:rPr>
        <w:t>For this reason, t</w:t>
      </w:r>
      <w:r w:rsidR="00621BF3" w:rsidRPr="00542598">
        <w:rPr>
          <w:bCs/>
          <w:szCs w:val="24"/>
        </w:rPr>
        <w:t xml:space="preserve">he Applicant </w:t>
      </w:r>
      <w:r w:rsidR="00621BF3">
        <w:rPr>
          <w:bCs/>
          <w:szCs w:val="24"/>
        </w:rPr>
        <w:t xml:space="preserve">has been piloting </w:t>
      </w:r>
      <w:r w:rsidR="00621BF3" w:rsidRPr="00542598">
        <w:rPr>
          <w:bCs/>
          <w:szCs w:val="24"/>
        </w:rPr>
        <w:t>an innovative oncology</w:t>
      </w:r>
      <w:r w:rsidR="00621BF3">
        <w:rPr>
          <w:bCs/>
          <w:szCs w:val="24"/>
        </w:rPr>
        <w:t>-</w:t>
      </w:r>
      <w:r w:rsidR="00621BF3" w:rsidRPr="00542598">
        <w:rPr>
          <w:bCs/>
          <w:szCs w:val="24"/>
        </w:rPr>
        <w:t xml:space="preserve">focused acute care clinic that has successfully reduced emergency department visits </w:t>
      </w:r>
      <w:r w:rsidR="00621BF3">
        <w:rPr>
          <w:bCs/>
          <w:szCs w:val="24"/>
        </w:rPr>
        <w:t>and helped ensure cancer patients are treated in the most appropriate setting for their care</w:t>
      </w:r>
      <w:r w:rsidR="00621BF3" w:rsidRPr="00542598">
        <w:rPr>
          <w:bCs/>
          <w:szCs w:val="24"/>
        </w:rPr>
        <w:t>.</w:t>
      </w:r>
      <w:r w:rsidR="00621BF3">
        <w:rPr>
          <w:rStyle w:val="FootnoteReference"/>
          <w:bCs/>
          <w:szCs w:val="24"/>
        </w:rPr>
        <w:footnoteReference w:id="66"/>
      </w:r>
      <w:r w:rsidR="00621BF3" w:rsidRPr="00542598">
        <w:rPr>
          <w:bCs/>
          <w:szCs w:val="24"/>
        </w:rPr>
        <w:t xml:space="preserve"> </w:t>
      </w:r>
      <w:r w:rsidR="00621BF3">
        <w:rPr>
          <w:bCs/>
          <w:szCs w:val="24"/>
        </w:rPr>
        <w:t xml:space="preserve">However, even with alternative strategies in place, the need for inpatient admission for many patients will remain. </w:t>
      </w:r>
      <w:r w:rsidR="00621BF3">
        <w:t>Providing more inpatient access should minimize barriers for patients waiting for inpatient beds in the emergency department, move patients more efficiently between care settings, and reduce emergency department wait times.</w:t>
      </w:r>
    </w:p>
    <w:p w14:paraId="24DB5627" w14:textId="77777777" w:rsidR="00621BF3" w:rsidRDefault="00621BF3" w:rsidP="00A06309">
      <w:pPr>
        <w:jc w:val="both"/>
      </w:pPr>
    </w:p>
    <w:p w14:paraId="5485ACAE" w14:textId="14A499F2" w:rsidR="00C11EF8" w:rsidRDefault="00621BF3" w:rsidP="00A06309">
      <w:pPr>
        <w:jc w:val="both"/>
        <w:rPr>
          <w:bCs/>
          <w:szCs w:val="24"/>
        </w:rPr>
      </w:pPr>
      <w:r w:rsidRPr="00B74CA1">
        <w:rPr>
          <w:bCs/>
          <w:szCs w:val="24"/>
        </w:rPr>
        <w:t>The Applicant in particular is experiencing an increasing demand for inpatient beds</w:t>
      </w:r>
      <w:r w:rsidR="00074856">
        <w:rPr>
          <w:bCs/>
          <w:szCs w:val="24"/>
        </w:rPr>
        <w:t>. I</w:t>
      </w:r>
      <w:r w:rsidRPr="00B74CA1">
        <w:rPr>
          <w:bCs/>
          <w:szCs w:val="24"/>
        </w:rPr>
        <w:t xml:space="preserve">n FY22, the number of oncology discharges grew by </w:t>
      </w:r>
      <w:r>
        <w:rPr>
          <w:bCs/>
          <w:szCs w:val="24"/>
        </w:rPr>
        <w:t>2.6</w:t>
      </w:r>
      <w:r w:rsidRPr="00B74CA1">
        <w:rPr>
          <w:bCs/>
          <w:szCs w:val="24"/>
        </w:rPr>
        <w:t>%</w:t>
      </w:r>
      <w:r w:rsidR="00074856">
        <w:rPr>
          <w:bCs/>
          <w:szCs w:val="24"/>
        </w:rPr>
        <w:t>.</w:t>
      </w:r>
      <w:r>
        <w:rPr>
          <w:bCs/>
          <w:szCs w:val="24"/>
        </w:rPr>
        <w:t xml:space="preserve"> </w:t>
      </w:r>
      <w:r w:rsidR="00C11EF8" w:rsidRPr="00B74CA1">
        <w:rPr>
          <w:bCs/>
          <w:szCs w:val="24"/>
        </w:rPr>
        <w:t>In that same time period, the Applicant</w:t>
      </w:r>
      <w:r w:rsidR="002340EA">
        <w:rPr>
          <w:bCs/>
          <w:szCs w:val="24"/>
        </w:rPr>
        <w:t>’</w:t>
      </w:r>
      <w:r w:rsidR="00C11EF8" w:rsidRPr="00B74CA1">
        <w:rPr>
          <w:bCs/>
          <w:szCs w:val="24"/>
        </w:rPr>
        <w:t xml:space="preserve">s </w:t>
      </w:r>
      <w:r w:rsidR="006B67E5" w:rsidRPr="00B74CA1">
        <w:rPr>
          <w:bCs/>
          <w:szCs w:val="24"/>
        </w:rPr>
        <w:t xml:space="preserve">CMI </w:t>
      </w:r>
      <w:r w:rsidR="00C11EF8" w:rsidRPr="00B74CA1">
        <w:rPr>
          <w:bCs/>
          <w:szCs w:val="24"/>
        </w:rPr>
        <w:t xml:space="preserve">grew by </w:t>
      </w:r>
      <w:r w:rsidR="00F93B2B">
        <w:rPr>
          <w:bCs/>
          <w:szCs w:val="24"/>
        </w:rPr>
        <w:t>18.1</w:t>
      </w:r>
      <w:r w:rsidR="00C11EF8" w:rsidRPr="00B74CA1">
        <w:rPr>
          <w:bCs/>
          <w:szCs w:val="24"/>
        </w:rPr>
        <w:t>%,</w:t>
      </w:r>
      <w:r>
        <w:rPr>
          <w:bCs/>
          <w:szCs w:val="24"/>
        </w:rPr>
        <w:t xml:space="preserve"> indicating</w:t>
      </w:r>
      <w:r w:rsidR="00C11EF8" w:rsidRPr="00B74CA1">
        <w:rPr>
          <w:bCs/>
          <w:szCs w:val="24"/>
        </w:rPr>
        <w:t xml:space="preserve"> that the Applicant cares for a</w:t>
      </w:r>
      <w:r w:rsidR="00157097">
        <w:rPr>
          <w:bCs/>
          <w:szCs w:val="24"/>
        </w:rPr>
        <w:t xml:space="preserve">n increasingly </w:t>
      </w:r>
      <w:r w:rsidR="00C11EF8" w:rsidRPr="00B74CA1">
        <w:rPr>
          <w:bCs/>
          <w:szCs w:val="24"/>
        </w:rPr>
        <w:t xml:space="preserve">sicker population that requires higher acuity care. </w:t>
      </w:r>
      <w:r w:rsidR="003244AF">
        <w:rPr>
          <w:bCs/>
          <w:szCs w:val="24"/>
        </w:rPr>
        <w:t>Over 60%</w:t>
      </w:r>
      <w:r w:rsidR="0034393D" w:rsidRPr="00B74CA1">
        <w:rPr>
          <w:bCs/>
          <w:szCs w:val="24"/>
        </w:rPr>
        <w:t xml:space="preserve"> of the Applicant</w:t>
      </w:r>
      <w:r w:rsidR="002340EA">
        <w:rPr>
          <w:bCs/>
          <w:szCs w:val="24"/>
        </w:rPr>
        <w:t>’</w:t>
      </w:r>
      <w:r w:rsidR="0034393D" w:rsidRPr="00B74CA1">
        <w:rPr>
          <w:bCs/>
          <w:szCs w:val="24"/>
        </w:rPr>
        <w:t xml:space="preserve">s </w:t>
      </w:r>
      <w:r w:rsidR="006D52DB">
        <w:rPr>
          <w:bCs/>
          <w:szCs w:val="24"/>
        </w:rPr>
        <w:t>admissions</w:t>
      </w:r>
      <w:r w:rsidR="0034393D" w:rsidRPr="00B74CA1">
        <w:rPr>
          <w:bCs/>
          <w:szCs w:val="24"/>
        </w:rPr>
        <w:t xml:space="preserve"> </w:t>
      </w:r>
      <w:r w:rsidR="006D52DB">
        <w:rPr>
          <w:bCs/>
          <w:szCs w:val="24"/>
        </w:rPr>
        <w:t>came</w:t>
      </w:r>
      <w:r w:rsidR="00C11EF8" w:rsidRPr="00B74CA1">
        <w:rPr>
          <w:bCs/>
          <w:szCs w:val="24"/>
        </w:rPr>
        <w:t xml:space="preserve"> through </w:t>
      </w:r>
      <w:r w:rsidR="00CA3CF4">
        <w:rPr>
          <w:bCs/>
          <w:szCs w:val="24"/>
        </w:rPr>
        <w:t>BWH</w:t>
      </w:r>
      <w:r w:rsidR="002340EA">
        <w:rPr>
          <w:bCs/>
          <w:szCs w:val="24"/>
        </w:rPr>
        <w:t>’</w:t>
      </w:r>
      <w:r w:rsidR="00CA3CF4">
        <w:rPr>
          <w:bCs/>
          <w:szCs w:val="24"/>
        </w:rPr>
        <w:t>s</w:t>
      </w:r>
      <w:r w:rsidR="00C11EF8" w:rsidRPr="00B74CA1">
        <w:rPr>
          <w:bCs/>
          <w:szCs w:val="24"/>
        </w:rPr>
        <w:t xml:space="preserve"> emergency department in</w:t>
      </w:r>
      <w:r w:rsidR="00BE1F02">
        <w:rPr>
          <w:bCs/>
          <w:szCs w:val="24"/>
        </w:rPr>
        <w:t xml:space="preserve"> 202</w:t>
      </w:r>
      <w:r w:rsidR="00110764">
        <w:rPr>
          <w:bCs/>
          <w:szCs w:val="24"/>
        </w:rPr>
        <w:t>2</w:t>
      </w:r>
      <w:r w:rsidR="00C11EF8" w:rsidRPr="00B74CA1">
        <w:rPr>
          <w:bCs/>
          <w:szCs w:val="24"/>
        </w:rPr>
        <w:t>. Further</w:t>
      </w:r>
      <w:r w:rsidR="00C11EF8" w:rsidRPr="00B74CA1">
        <w:t xml:space="preserve">, there are patients </w:t>
      </w:r>
      <w:r w:rsidR="00157097">
        <w:t xml:space="preserve">currently </w:t>
      </w:r>
      <w:r w:rsidR="00C11EF8" w:rsidRPr="00B74CA1">
        <w:t>waiting for beds for days and patients who have spent their entire inpatient cancer admission in the emergency room due to the long wait times.</w:t>
      </w:r>
      <w:r w:rsidR="00C11EF8" w:rsidRPr="00B74CA1">
        <w:rPr>
          <w:bCs/>
          <w:szCs w:val="24"/>
        </w:rPr>
        <w:t xml:space="preserve"> The Applicant estimates the average daily census</w:t>
      </w:r>
      <w:r w:rsidR="00A40EFE">
        <w:rPr>
          <w:bCs/>
          <w:szCs w:val="24"/>
        </w:rPr>
        <w:t xml:space="preserve"> (or “ADC”)</w:t>
      </w:r>
      <w:r w:rsidR="00C11EF8" w:rsidRPr="00B74CA1">
        <w:rPr>
          <w:bCs/>
          <w:szCs w:val="24"/>
        </w:rPr>
        <w:t xml:space="preserve"> in FY2</w:t>
      </w:r>
      <w:r w:rsidR="00A8679C">
        <w:rPr>
          <w:bCs/>
          <w:szCs w:val="24"/>
        </w:rPr>
        <w:t>3</w:t>
      </w:r>
      <w:r w:rsidR="00A8679C">
        <w:rPr>
          <w:rStyle w:val="FootnoteReference"/>
          <w:bCs/>
          <w:szCs w:val="24"/>
        </w:rPr>
        <w:footnoteReference w:id="67"/>
      </w:r>
      <w:r w:rsidR="00C11EF8" w:rsidRPr="00B74CA1">
        <w:rPr>
          <w:bCs/>
          <w:szCs w:val="24"/>
        </w:rPr>
        <w:t xml:space="preserve"> was </w:t>
      </w:r>
      <w:r w:rsidR="006B67E5" w:rsidRPr="00B74CA1">
        <w:rPr>
          <w:bCs/>
          <w:szCs w:val="24"/>
        </w:rPr>
        <w:t xml:space="preserve">approximately </w:t>
      </w:r>
      <w:r w:rsidR="00917CFF">
        <w:rPr>
          <w:bCs/>
          <w:szCs w:val="24"/>
        </w:rPr>
        <w:t>1</w:t>
      </w:r>
      <w:r w:rsidR="0049156B">
        <w:rPr>
          <w:bCs/>
          <w:szCs w:val="24"/>
        </w:rPr>
        <w:t>16</w:t>
      </w:r>
      <w:r w:rsidR="00917CFF">
        <w:rPr>
          <w:bCs/>
          <w:szCs w:val="24"/>
        </w:rPr>
        <w:t>%</w:t>
      </w:r>
      <w:r w:rsidR="00C11EF8" w:rsidRPr="00B74CA1">
        <w:rPr>
          <w:bCs/>
          <w:szCs w:val="24"/>
        </w:rPr>
        <w:t xml:space="preserve"> of oncology beds it manages in partnership with BWH.</w:t>
      </w:r>
    </w:p>
    <w:p w14:paraId="206DA81A" w14:textId="77777777" w:rsidR="00C11EF8" w:rsidRDefault="00C11EF8" w:rsidP="00A06309">
      <w:pPr>
        <w:jc w:val="both"/>
        <w:rPr>
          <w:bCs/>
          <w:szCs w:val="24"/>
        </w:rPr>
      </w:pPr>
    </w:p>
    <w:p w14:paraId="16E26A64" w14:textId="04A0BA70" w:rsidR="00157097" w:rsidRDefault="00157097">
      <w:pPr>
        <w:jc w:val="both"/>
        <w:rPr>
          <w:bCs/>
          <w:szCs w:val="24"/>
        </w:rPr>
      </w:pPr>
      <w:r w:rsidRPr="00CE0396">
        <w:rPr>
          <w:bCs/>
          <w:szCs w:val="24"/>
        </w:rPr>
        <w:t>In addition, the Applicant estimates</w:t>
      </w:r>
      <w:r>
        <w:rPr>
          <w:bCs/>
          <w:szCs w:val="24"/>
        </w:rPr>
        <w:t xml:space="preserve"> that seven patients per day are unable to be transferred into the Applicant</w:t>
      </w:r>
      <w:r w:rsidR="002340EA">
        <w:rPr>
          <w:bCs/>
          <w:szCs w:val="24"/>
        </w:rPr>
        <w:t>’</w:t>
      </w:r>
      <w:r>
        <w:rPr>
          <w:bCs/>
          <w:szCs w:val="24"/>
        </w:rPr>
        <w:t xml:space="preserve">s </w:t>
      </w:r>
      <w:r w:rsidRPr="000A19DA">
        <w:rPr>
          <w:bCs/>
          <w:szCs w:val="24"/>
        </w:rPr>
        <w:t>facilit</w:t>
      </w:r>
      <w:r>
        <w:rPr>
          <w:bCs/>
          <w:szCs w:val="24"/>
        </w:rPr>
        <w:t>y because the Applicant is able to offer transfer for only one patient per day. The seven patients include</w:t>
      </w:r>
      <w:r w:rsidRPr="00CE0396">
        <w:rPr>
          <w:bCs/>
          <w:szCs w:val="24"/>
        </w:rPr>
        <w:t xml:space="preserve"> established patients who have been receiving their ambulatory care with the Applicant and newly diagnosed patients, </w:t>
      </w:r>
      <w:r>
        <w:rPr>
          <w:bCs/>
          <w:szCs w:val="24"/>
        </w:rPr>
        <w:t>seeking transfers from outside emergency rooms or inpatient settings, and clinically accepted for transfer.</w:t>
      </w:r>
      <w:r w:rsidRPr="00CE0396">
        <w:rPr>
          <w:bCs/>
          <w:szCs w:val="24"/>
        </w:rPr>
        <w:t xml:space="preserve"> This population represents additional demand for the Applicant</w:t>
      </w:r>
      <w:r w:rsidR="002340EA">
        <w:rPr>
          <w:bCs/>
          <w:szCs w:val="24"/>
        </w:rPr>
        <w:t>’</w:t>
      </w:r>
      <w:r w:rsidRPr="00CE0396">
        <w:rPr>
          <w:bCs/>
          <w:szCs w:val="24"/>
        </w:rPr>
        <w:t xml:space="preserve">s inpatient services who </w:t>
      </w:r>
      <w:r>
        <w:rPr>
          <w:bCs/>
          <w:szCs w:val="24"/>
        </w:rPr>
        <w:t>currently</w:t>
      </w:r>
      <w:r w:rsidRPr="00CE0396">
        <w:rPr>
          <w:bCs/>
          <w:szCs w:val="24"/>
        </w:rPr>
        <w:t xml:space="preserve"> have their care disrupted due to lack of access and capacity. The inability to transfer these patients into the Applicant</w:t>
      </w:r>
      <w:r w:rsidR="002340EA">
        <w:rPr>
          <w:bCs/>
          <w:szCs w:val="24"/>
        </w:rPr>
        <w:t>’</w:t>
      </w:r>
      <w:r w:rsidRPr="00CE0396">
        <w:rPr>
          <w:bCs/>
          <w:szCs w:val="24"/>
        </w:rPr>
        <w:t>s facility due to bed capacity constraints fragments care</w:t>
      </w:r>
      <w:r>
        <w:rPr>
          <w:bCs/>
          <w:szCs w:val="24"/>
        </w:rPr>
        <w:t xml:space="preserve"> and </w:t>
      </w:r>
      <w:r w:rsidRPr="00CE0396">
        <w:rPr>
          <w:bCs/>
          <w:szCs w:val="24"/>
        </w:rPr>
        <w:t>result</w:t>
      </w:r>
      <w:r>
        <w:rPr>
          <w:bCs/>
          <w:szCs w:val="24"/>
        </w:rPr>
        <w:t>s</w:t>
      </w:r>
      <w:r w:rsidRPr="00CE0396">
        <w:rPr>
          <w:bCs/>
          <w:szCs w:val="24"/>
        </w:rPr>
        <w:t xml:space="preserve"> in increased medical costs</w:t>
      </w:r>
      <w:r>
        <w:rPr>
          <w:bCs/>
          <w:szCs w:val="24"/>
        </w:rPr>
        <w:t xml:space="preserve"> and poorer outcomes.</w:t>
      </w:r>
    </w:p>
    <w:p w14:paraId="486C044A" w14:textId="77777777" w:rsidR="00157097" w:rsidRDefault="00157097">
      <w:pPr>
        <w:jc w:val="both"/>
        <w:rPr>
          <w:bCs/>
          <w:szCs w:val="24"/>
        </w:rPr>
      </w:pPr>
    </w:p>
    <w:p w14:paraId="2C56132E" w14:textId="59689BA0" w:rsidR="00F6635C" w:rsidRPr="007E0B28" w:rsidRDefault="00157097">
      <w:pPr>
        <w:jc w:val="both"/>
        <w:rPr>
          <w:bCs/>
          <w:szCs w:val="24"/>
        </w:rPr>
      </w:pPr>
      <w:r>
        <w:rPr>
          <w:bCs/>
          <w:szCs w:val="24"/>
        </w:rPr>
        <w:t>The Applicant</w:t>
      </w:r>
      <w:r w:rsidR="002340EA">
        <w:rPr>
          <w:bCs/>
          <w:szCs w:val="24"/>
        </w:rPr>
        <w:t>’</w:t>
      </w:r>
      <w:r>
        <w:rPr>
          <w:bCs/>
          <w:szCs w:val="24"/>
        </w:rPr>
        <w:t>s need for additional beds is anchored in both increasing patient volume and increasing acuity.</w:t>
      </w:r>
      <w:r w:rsidR="00A06309">
        <w:rPr>
          <w:bCs/>
          <w:szCs w:val="24"/>
        </w:rPr>
        <w:t xml:space="preserve"> </w:t>
      </w:r>
      <w:r w:rsidR="002611F1">
        <w:rPr>
          <w:bCs/>
          <w:szCs w:val="24"/>
        </w:rPr>
        <w:t xml:space="preserve">As with many </w:t>
      </w:r>
      <w:r w:rsidR="00DD18B5">
        <w:rPr>
          <w:bCs/>
          <w:szCs w:val="24"/>
        </w:rPr>
        <w:t xml:space="preserve">other </w:t>
      </w:r>
      <w:r w:rsidR="002611F1">
        <w:rPr>
          <w:bCs/>
          <w:szCs w:val="24"/>
        </w:rPr>
        <w:t>hospitals across the Commonwealth,</w:t>
      </w:r>
      <w:r w:rsidR="002611F1">
        <w:rPr>
          <w:rStyle w:val="FootnoteReference"/>
          <w:bCs/>
          <w:szCs w:val="24"/>
        </w:rPr>
        <w:footnoteReference w:id="68"/>
      </w:r>
      <w:r w:rsidR="00164476">
        <w:rPr>
          <w:bCs/>
          <w:szCs w:val="24"/>
        </w:rPr>
        <w:t xml:space="preserve"> </w:t>
      </w:r>
      <w:r w:rsidR="00A06309">
        <w:rPr>
          <w:bCs/>
          <w:szCs w:val="24"/>
        </w:rPr>
        <w:t xml:space="preserve">the Applicant is facing </w:t>
      </w:r>
      <w:r w:rsidR="00546891">
        <w:rPr>
          <w:bCs/>
          <w:szCs w:val="24"/>
        </w:rPr>
        <w:t>post-acute care challenges</w:t>
      </w:r>
      <w:r w:rsidR="002611F1">
        <w:rPr>
          <w:bCs/>
          <w:szCs w:val="24"/>
        </w:rPr>
        <w:t>.</w:t>
      </w:r>
      <w:r w:rsidR="006D52DB">
        <w:rPr>
          <w:bCs/>
          <w:szCs w:val="24"/>
        </w:rPr>
        <w:t xml:space="preserve"> </w:t>
      </w:r>
      <w:r w:rsidR="006D52DB" w:rsidRPr="006D52DB">
        <w:rPr>
          <w:bCs/>
          <w:szCs w:val="24"/>
        </w:rPr>
        <w:t>Notably, approximately 7% of the Applicant</w:t>
      </w:r>
      <w:r w:rsidR="002340EA">
        <w:rPr>
          <w:bCs/>
          <w:szCs w:val="24"/>
        </w:rPr>
        <w:t>’</w:t>
      </w:r>
      <w:r w:rsidR="00E41D38">
        <w:rPr>
          <w:bCs/>
          <w:szCs w:val="24"/>
        </w:rPr>
        <w:t>s</w:t>
      </w:r>
      <w:r w:rsidR="006D52DB" w:rsidRPr="006D52DB">
        <w:rPr>
          <w:bCs/>
          <w:szCs w:val="24"/>
        </w:rPr>
        <w:t xml:space="preserve"> discharges are to skilled nursing facilities versus 13% statewide. This is</w:t>
      </w:r>
      <w:r w:rsidR="007147E0">
        <w:rPr>
          <w:bCs/>
          <w:szCs w:val="24"/>
        </w:rPr>
        <w:t xml:space="preserve"> </w:t>
      </w:r>
      <w:r w:rsidR="006D52DB" w:rsidRPr="006D52DB">
        <w:rPr>
          <w:bCs/>
          <w:szCs w:val="24"/>
        </w:rPr>
        <w:t>due</w:t>
      </w:r>
      <w:r w:rsidR="007147E0">
        <w:rPr>
          <w:bCs/>
          <w:szCs w:val="24"/>
        </w:rPr>
        <w:t xml:space="preserve"> in large part</w:t>
      </w:r>
      <w:r w:rsidR="006D52DB" w:rsidRPr="006D52DB">
        <w:rPr>
          <w:bCs/>
          <w:szCs w:val="24"/>
        </w:rPr>
        <w:t xml:space="preserve"> to a difference in post-</w:t>
      </w:r>
      <w:r w:rsidR="006D52DB" w:rsidRPr="006D52DB">
        <w:rPr>
          <w:bCs/>
          <w:szCs w:val="24"/>
        </w:rPr>
        <w:lastRenderedPageBreak/>
        <w:t>discharge care plans for cancer patients as opposed to other medical and surgical patients with other conditions seen in standard general acute care hospitals.</w:t>
      </w:r>
      <w:r w:rsidR="002248D7">
        <w:rPr>
          <w:bCs/>
          <w:szCs w:val="24"/>
        </w:rPr>
        <w:t xml:space="preserve"> </w:t>
      </w:r>
      <w:r w:rsidR="00687B04" w:rsidRPr="00F173DF">
        <w:rPr>
          <w:rStyle w:val="FootnoteReference"/>
          <w:bCs/>
          <w:szCs w:val="24"/>
        </w:rPr>
        <w:footnoteReference w:id="69"/>
      </w:r>
      <w:r w:rsidR="00687B04" w:rsidRPr="00F173DF">
        <w:rPr>
          <w:bCs/>
          <w:szCs w:val="24"/>
        </w:rPr>
        <w:t xml:space="preserve"> </w:t>
      </w:r>
      <w:r w:rsidR="006C14D8" w:rsidRPr="00F173DF">
        <w:rPr>
          <w:bCs/>
          <w:szCs w:val="24"/>
        </w:rPr>
        <w:t xml:space="preserve"> </w:t>
      </w:r>
      <w:r w:rsidR="00A06309">
        <w:rPr>
          <w:bCs/>
          <w:szCs w:val="24"/>
        </w:rPr>
        <w:t xml:space="preserve">Strategies related to bed capacity must be tailored </w:t>
      </w:r>
      <w:r>
        <w:rPr>
          <w:bCs/>
          <w:szCs w:val="24"/>
        </w:rPr>
        <w:t>to</w:t>
      </w:r>
      <w:r w:rsidR="00A06309">
        <w:rPr>
          <w:bCs/>
          <w:szCs w:val="24"/>
        </w:rPr>
        <w:t xml:space="preserve"> the oncology population due to the difference in distribution in discharge disposition for the Applicant</w:t>
      </w:r>
      <w:r w:rsidR="002340EA">
        <w:rPr>
          <w:bCs/>
          <w:szCs w:val="24"/>
        </w:rPr>
        <w:t>’</w:t>
      </w:r>
      <w:r w:rsidR="00A06309">
        <w:rPr>
          <w:bCs/>
          <w:szCs w:val="24"/>
        </w:rPr>
        <w:t>s inpatient panel versus the statewide distribution. Solutions such as the Commonwealth</w:t>
      </w:r>
      <w:r w:rsidR="002340EA">
        <w:rPr>
          <w:bCs/>
          <w:szCs w:val="24"/>
        </w:rPr>
        <w:t>’</w:t>
      </w:r>
      <w:r w:rsidR="00A06309">
        <w:rPr>
          <w:bCs/>
          <w:szCs w:val="24"/>
        </w:rPr>
        <w:t>s Skilled Nursing Facility Short Term Rehab Capacity Program</w:t>
      </w:r>
      <w:r w:rsidR="00546891">
        <w:rPr>
          <w:bCs/>
          <w:szCs w:val="24"/>
        </w:rPr>
        <w:t xml:space="preserve"> </w:t>
      </w:r>
      <w:r w:rsidR="00A06309">
        <w:rPr>
          <w:bCs/>
          <w:szCs w:val="24"/>
        </w:rPr>
        <w:t xml:space="preserve">will </w:t>
      </w:r>
      <w:r w:rsidR="00546891">
        <w:rPr>
          <w:bCs/>
          <w:szCs w:val="24"/>
        </w:rPr>
        <w:t xml:space="preserve">inherently </w:t>
      </w:r>
      <w:r w:rsidR="00A06309">
        <w:rPr>
          <w:bCs/>
          <w:szCs w:val="24"/>
        </w:rPr>
        <w:t xml:space="preserve">have a lower impact for the Applicant because the Applicant discharges fewer patients to a post-acute </w:t>
      </w:r>
      <w:r>
        <w:rPr>
          <w:bCs/>
          <w:szCs w:val="24"/>
        </w:rPr>
        <w:t>sites. The inefficiencies and delays patients are currently facing are best resolved by increased coordination and facilitation of hospital-based services which the Applicant seeks through the Proposed Project.</w:t>
      </w:r>
    </w:p>
    <w:p w14:paraId="67DBC6DE" w14:textId="77777777" w:rsidR="00F6635C" w:rsidRPr="0064725F" w:rsidRDefault="00F6635C">
      <w:pPr>
        <w:jc w:val="both"/>
        <w:rPr>
          <w:b/>
          <w:i/>
          <w:iCs/>
          <w:szCs w:val="24"/>
        </w:rPr>
      </w:pPr>
    </w:p>
    <w:p w14:paraId="0E2E0110" w14:textId="75C2D2A5" w:rsidR="00591B25" w:rsidRPr="0064725F" w:rsidRDefault="00591B25" w:rsidP="0064725F">
      <w:pPr>
        <w:jc w:val="both"/>
        <w:rPr>
          <w:b/>
          <w:i/>
          <w:iCs/>
          <w:szCs w:val="24"/>
        </w:rPr>
      </w:pPr>
      <w:r w:rsidRPr="0064725F">
        <w:rPr>
          <w:b/>
          <w:i/>
          <w:iCs/>
          <w:szCs w:val="24"/>
        </w:rPr>
        <w:t xml:space="preserve">Estimation of </w:t>
      </w:r>
      <w:r w:rsidR="0064725F">
        <w:rPr>
          <w:b/>
          <w:i/>
          <w:iCs/>
          <w:szCs w:val="24"/>
        </w:rPr>
        <w:t xml:space="preserve">Projected </w:t>
      </w:r>
      <w:r w:rsidRPr="0064725F">
        <w:rPr>
          <w:b/>
          <w:i/>
          <w:iCs/>
          <w:szCs w:val="24"/>
        </w:rPr>
        <w:t xml:space="preserve">Inpatient Bed </w:t>
      </w:r>
      <w:r w:rsidR="000A19DA" w:rsidRPr="000A19DA">
        <w:rPr>
          <w:b/>
          <w:i/>
          <w:iCs/>
          <w:szCs w:val="24"/>
        </w:rPr>
        <w:t>Demand</w:t>
      </w:r>
    </w:p>
    <w:p w14:paraId="798442CD" w14:textId="77777777" w:rsidR="00591B25" w:rsidRPr="00591B25" w:rsidRDefault="00591B25" w:rsidP="00591B25">
      <w:pPr>
        <w:pStyle w:val="ListParagraph"/>
        <w:jc w:val="both"/>
        <w:rPr>
          <w:bCs/>
          <w:szCs w:val="24"/>
          <w:u w:val="single"/>
        </w:rPr>
      </w:pPr>
    </w:p>
    <w:p w14:paraId="0F84005B" w14:textId="2239CD8E" w:rsidR="00682895" w:rsidRPr="00261A0E" w:rsidRDefault="00261A0E" w:rsidP="00682895">
      <w:pPr>
        <w:jc w:val="both"/>
        <w:rPr>
          <w:bCs/>
          <w:szCs w:val="24"/>
        </w:rPr>
      </w:pPr>
      <w:r>
        <w:rPr>
          <w:bCs/>
          <w:szCs w:val="24"/>
        </w:rPr>
        <w:t>T</w:t>
      </w:r>
      <w:r w:rsidR="006D52DB" w:rsidRPr="002C497C">
        <w:rPr>
          <w:bCs/>
          <w:szCs w:val="24"/>
        </w:rPr>
        <w:t>he</w:t>
      </w:r>
      <w:r w:rsidR="006D52DB" w:rsidRPr="006D52DB">
        <w:rPr>
          <w:bCs/>
          <w:szCs w:val="24"/>
        </w:rPr>
        <w:t xml:space="preserve"> Applicant projects that by 2032, </w:t>
      </w:r>
      <w:r w:rsidR="00B1567F">
        <w:rPr>
          <w:bCs/>
          <w:szCs w:val="24"/>
        </w:rPr>
        <w:t xml:space="preserve">there will be a need by its patient panel </w:t>
      </w:r>
      <w:r w:rsidR="006D52DB" w:rsidRPr="006D52DB">
        <w:rPr>
          <w:bCs/>
          <w:szCs w:val="24"/>
        </w:rPr>
        <w:t>for approximately 384 inpatient beds dedicated to the advanced cancer care provided by the Applicant</w:t>
      </w:r>
      <w:r>
        <w:rPr>
          <w:bCs/>
          <w:szCs w:val="24"/>
        </w:rPr>
        <w:t xml:space="preserve">, as shown in </w:t>
      </w:r>
      <w:r w:rsidRPr="002C497C">
        <w:rPr>
          <w:bCs/>
          <w:szCs w:val="24"/>
          <w:u w:val="single"/>
        </w:rPr>
        <w:t>Table 1</w:t>
      </w:r>
      <w:r w:rsidR="009E6E7E">
        <w:rPr>
          <w:bCs/>
          <w:szCs w:val="24"/>
          <w:u w:val="single"/>
        </w:rPr>
        <w:t>1</w:t>
      </w:r>
      <w:r>
        <w:rPr>
          <w:bCs/>
          <w:szCs w:val="24"/>
        </w:rPr>
        <w:t xml:space="preserve">. </w:t>
      </w:r>
    </w:p>
    <w:p w14:paraId="1C82C055" w14:textId="77777777" w:rsidR="003D7FC8" w:rsidRDefault="003D7FC8" w:rsidP="00682895">
      <w:pPr>
        <w:jc w:val="both"/>
        <w:rPr>
          <w:bCs/>
          <w:szCs w:val="24"/>
        </w:rPr>
      </w:pPr>
    </w:p>
    <w:p w14:paraId="71E0614B" w14:textId="7A6575F9" w:rsidR="00116209" w:rsidRDefault="00261A0E" w:rsidP="00682895">
      <w:pPr>
        <w:jc w:val="both"/>
        <w:rPr>
          <w:szCs w:val="24"/>
        </w:rPr>
      </w:pPr>
      <w:r>
        <w:t xml:space="preserve">The Applicant </w:t>
      </w:r>
      <w:r w:rsidR="004C31B0">
        <w:t>intends to provide</w:t>
      </w:r>
      <w:r>
        <w:t xml:space="preserve"> that advanced cancer care within a dedicated cancer center setting. </w:t>
      </w:r>
      <w:r w:rsidR="003D7FC8">
        <w:t>D</w:t>
      </w:r>
      <w:r w:rsidR="003D7FC8" w:rsidRPr="00AE2B54">
        <w:t>edicated cancer centers have statistically significant</w:t>
      </w:r>
      <w:r w:rsidR="003D7FC8">
        <w:t>ly</w:t>
      </w:r>
      <w:r w:rsidR="003D7FC8" w:rsidRPr="00AE2B54">
        <w:t xml:space="preserve"> higher survival rates compared to</w:t>
      </w:r>
      <w:r w:rsidR="003D7FC8">
        <w:rPr>
          <w:bCs/>
          <w:szCs w:val="24"/>
        </w:rPr>
        <w:t xml:space="preserve"> other NCI-designated centers, academic medical centers, and other treatment centers that are not dedicated solely to cancer</w:t>
      </w:r>
      <w:r w:rsidR="00116209">
        <w:rPr>
          <w:bCs/>
          <w:szCs w:val="24"/>
        </w:rPr>
        <w:t>.</w:t>
      </w:r>
      <w:r w:rsidR="00F34FBD">
        <w:rPr>
          <w:rStyle w:val="FootnoteReference"/>
          <w:bCs/>
          <w:szCs w:val="24"/>
        </w:rPr>
        <w:footnoteReference w:id="70"/>
      </w:r>
      <w:r w:rsidR="00116209">
        <w:rPr>
          <w:bCs/>
          <w:szCs w:val="24"/>
        </w:rPr>
        <w:t xml:space="preserve"> </w:t>
      </w:r>
      <w:r w:rsidR="00116209">
        <w:rPr>
          <w:szCs w:val="24"/>
        </w:rPr>
        <w:t>T</w:t>
      </w:r>
      <w:r w:rsidR="00116209" w:rsidRPr="008E1AFF">
        <w:rPr>
          <w:szCs w:val="24"/>
        </w:rPr>
        <w:t>he Applicant</w:t>
      </w:r>
      <w:r w:rsidR="00682895">
        <w:rPr>
          <w:szCs w:val="24"/>
        </w:rPr>
        <w:t xml:space="preserve"> prov</w:t>
      </w:r>
      <w:r w:rsidR="00116209">
        <w:rPr>
          <w:szCs w:val="24"/>
        </w:rPr>
        <w:t xml:space="preserve">ides </w:t>
      </w:r>
      <w:r w:rsidR="00116209" w:rsidRPr="008E1AFF">
        <w:rPr>
          <w:szCs w:val="24"/>
        </w:rPr>
        <w:t>high-quality, subspecialized</w:t>
      </w:r>
      <w:r w:rsidR="00116209">
        <w:rPr>
          <w:szCs w:val="24"/>
        </w:rPr>
        <w:t xml:space="preserve"> services to a highly acute and medically complex patient panel that increasingly requires multi-day inpatient treatment with access to specialized equipment, tools</w:t>
      </w:r>
      <w:r w:rsidR="005427FD">
        <w:rPr>
          <w:szCs w:val="24"/>
        </w:rPr>
        <w:t>,</w:t>
      </w:r>
      <w:r w:rsidR="00116209">
        <w:rPr>
          <w:szCs w:val="24"/>
        </w:rPr>
        <w:t xml:space="preserve"> and support services. </w:t>
      </w:r>
      <w:r w:rsidR="00157097" w:rsidRPr="008E1AFF">
        <w:rPr>
          <w:szCs w:val="24"/>
        </w:rPr>
        <w:t>For example, patients undergoing myeloablative conditioning as part of stem cell transplantation have historically required lengthy inpatient hospitalization</w:t>
      </w:r>
      <w:r w:rsidR="00157097">
        <w:rPr>
          <w:szCs w:val="24"/>
        </w:rPr>
        <w:t xml:space="preserve">, </w:t>
      </w:r>
      <w:r w:rsidR="00157097" w:rsidRPr="008E1AFF">
        <w:rPr>
          <w:szCs w:val="24"/>
        </w:rPr>
        <w:t>not only for the administration of intensive chemotherapy, but also for intensive supportive care</w:t>
      </w:r>
      <w:r w:rsidR="00157097">
        <w:rPr>
          <w:szCs w:val="24"/>
        </w:rPr>
        <w:t>,</w:t>
      </w:r>
      <w:r w:rsidR="00157097" w:rsidRPr="008E1AFF">
        <w:rPr>
          <w:szCs w:val="24"/>
        </w:rPr>
        <w:t xml:space="preserve"> </w:t>
      </w:r>
      <w:r w:rsidR="00157097">
        <w:rPr>
          <w:szCs w:val="24"/>
        </w:rPr>
        <w:t>including the frequent administration of blood products and</w:t>
      </w:r>
      <w:r w:rsidR="00157097" w:rsidRPr="008E1AFF">
        <w:rPr>
          <w:szCs w:val="24"/>
        </w:rPr>
        <w:t xml:space="preserve"> intravenous antibiotics</w:t>
      </w:r>
      <w:r w:rsidR="00157097">
        <w:rPr>
          <w:szCs w:val="24"/>
        </w:rPr>
        <w:t>,</w:t>
      </w:r>
      <w:r w:rsidR="00157097" w:rsidRPr="008E1AFF">
        <w:rPr>
          <w:szCs w:val="24"/>
        </w:rPr>
        <w:t xml:space="preserve"> </w:t>
      </w:r>
      <w:r w:rsidR="00157097">
        <w:rPr>
          <w:szCs w:val="24"/>
        </w:rPr>
        <w:t>in a setting of</w:t>
      </w:r>
      <w:r w:rsidR="00157097" w:rsidRPr="008E1AFF">
        <w:rPr>
          <w:szCs w:val="24"/>
        </w:rPr>
        <w:t xml:space="preserve"> </w:t>
      </w:r>
      <w:r w:rsidR="00157097">
        <w:rPr>
          <w:szCs w:val="24"/>
        </w:rPr>
        <w:t xml:space="preserve">strict </w:t>
      </w:r>
      <w:r w:rsidR="00157097" w:rsidRPr="008E1AFF">
        <w:rPr>
          <w:szCs w:val="24"/>
        </w:rPr>
        <w:t>infection control practices following intensive therapy</w:t>
      </w:r>
      <w:r w:rsidR="00157097">
        <w:rPr>
          <w:szCs w:val="24"/>
        </w:rPr>
        <w:t>, and to manage the debilitating side effects from such treatments</w:t>
      </w:r>
      <w:r w:rsidR="00157097" w:rsidRPr="008E1AFF">
        <w:rPr>
          <w:szCs w:val="24"/>
        </w:rPr>
        <w:t xml:space="preserve">. </w:t>
      </w:r>
      <w:r w:rsidR="00157097" w:rsidRPr="008E1AFF">
        <w:rPr>
          <w:rStyle w:val="FootnoteReference"/>
          <w:szCs w:val="24"/>
        </w:rPr>
        <w:footnoteReference w:id="71"/>
      </w:r>
      <w:r w:rsidR="00157097" w:rsidRPr="008E1AFF">
        <w:rPr>
          <w:szCs w:val="24"/>
        </w:rPr>
        <w:t xml:space="preserve"> </w:t>
      </w:r>
      <w:r w:rsidR="00157097">
        <w:rPr>
          <w:szCs w:val="24"/>
        </w:rPr>
        <w:t xml:space="preserve"> </w:t>
      </w:r>
    </w:p>
    <w:p w14:paraId="3E2CDD65" w14:textId="77777777" w:rsidR="00741E02" w:rsidRDefault="00741E02" w:rsidP="00B74CA1">
      <w:pPr>
        <w:jc w:val="both"/>
        <w:rPr>
          <w:bCs/>
          <w:szCs w:val="24"/>
        </w:rPr>
      </w:pPr>
    </w:p>
    <w:p w14:paraId="1E678556" w14:textId="74827A8C" w:rsidR="00682DB4" w:rsidRDefault="00682DB4" w:rsidP="00682DB4">
      <w:pPr>
        <w:jc w:val="both"/>
        <w:rPr>
          <w:rFonts w:eastAsia="Times New Roman"/>
          <w:color w:val="000000"/>
        </w:rPr>
      </w:pPr>
      <w:r>
        <w:rPr>
          <w:rFonts w:eastAsia="Times New Roman"/>
          <w:color w:val="000000"/>
        </w:rPr>
        <w:t xml:space="preserve">When the Facility is operational, the Applicant expects its patient panel will include the cancer patients it has historically cared for, as well as cancer patients previously admitted to BIDMC but who require the sort of advanced cancer care the Applicant will provide at the Facility. To project the need by that patient panel in 2032, </w:t>
      </w:r>
      <w:r w:rsidR="00E41D38">
        <w:rPr>
          <w:rFonts w:eastAsia="Times New Roman"/>
          <w:color w:val="000000"/>
        </w:rPr>
        <w:t xml:space="preserve">the Applicant </w:t>
      </w:r>
      <w:r>
        <w:rPr>
          <w:rFonts w:eastAsia="Times New Roman"/>
          <w:color w:val="000000"/>
        </w:rPr>
        <w:t xml:space="preserve">applied national industry average 10-year growth rates to the 2022 average daily census. </w:t>
      </w:r>
      <w:r w:rsidRPr="00DE6B51">
        <w:rPr>
          <w:rFonts w:eastAsia="Times New Roman"/>
          <w:color w:val="000000"/>
        </w:rPr>
        <w:t>It then calculated the minimum number of beds needed to accommodate that projected 2032 average daily</w:t>
      </w:r>
      <w:r w:rsidR="00DE6B51" w:rsidRPr="00DE6B51">
        <w:rPr>
          <w:rFonts w:eastAsia="Times New Roman"/>
          <w:color w:val="000000"/>
        </w:rPr>
        <w:t xml:space="preserve"> </w:t>
      </w:r>
      <w:r w:rsidR="00775F6B">
        <w:rPr>
          <w:rFonts w:eastAsia="Times New Roman"/>
          <w:color w:val="000000"/>
        </w:rPr>
        <w:t xml:space="preserve">census </w:t>
      </w:r>
      <w:r w:rsidRPr="00DE6B51">
        <w:rPr>
          <w:rFonts w:eastAsia="Times New Roman"/>
          <w:color w:val="000000"/>
        </w:rPr>
        <w:t>using a</w:t>
      </w:r>
      <w:r w:rsidR="00592ACF">
        <w:rPr>
          <w:rFonts w:eastAsia="Times New Roman"/>
          <w:color w:val="000000"/>
        </w:rPr>
        <w:t>n industry standard statistical analysis.</w:t>
      </w:r>
    </w:p>
    <w:p w14:paraId="0473015A" w14:textId="77777777" w:rsidR="00682DB4" w:rsidRDefault="00682DB4" w:rsidP="00682DB4">
      <w:pPr>
        <w:jc w:val="both"/>
        <w:rPr>
          <w:rFonts w:eastAsia="Times New Roman"/>
          <w:color w:val="000000"/>
        </w:rPr>
      </w:pPr>
    </w:p>
    <w:p w14:paraId="55AEB640" w14:textId="39621501" w:rsidR="0008091B" w:rsidRPr="00677FAA" w:rsidRDefault="0008091B" w:rsidP="00FD2FED">
      <w:pPr>
        <w:pStyle w:val="ListParagraph"/>
        <w:numPr>
          <w:ilvl w:val="0"/>
          <w:numId w:val="31"/>
        </w:numPr>
        <w:jc w:val="both"/>
        <w:rPr>
          <w:u w:val="single"/>
        </w:rPr>
      </w:pPr>
      <w:r w:rsidRPr="00677FAA">
        <w:rPr>
          <w:u w:val="single"/>
        </w:rPr>
        <w:t>Calculating 2022 Average Daily Census</w:t>
      </w:r>
    </w:p>
    <w:p w14:paraId="1812A90D" w14:textId="77777777" w:rsidR="0008091B" w:rsidRDefault="0008091B" w:rsidP="006B48FB">
      <w:pPr>
        <w:jc w:val="both"/>
      </w:pPr>
    </w:p>
    <w:p w14:paraId="17EF4D8B" w14:textId="63F77F18" w:rsidR="0012155E" w:rsidRDefault="00A62B16" w:rsidP="006B48FB">
      <w:pPr>
        <w:jc w:val="both"/>
      </w:pPr>
      <w:r>
        <w:lastRenderedPageBreak/>
        <w:t xml:space="preserve">To measure the historical average daily census for inpatient cancer beds under its management, in light of confidentiality restrictions on disclosing proprietary BWH information, the Applicant analyzed </w:t>
      </w:r>
      <w:r w:rsidRPr="00A62B16">
        <w:t>Center for Health Information Analysis</w:t>
      </w:r>
      <w:r>
        <w:t xml:space="preserve"> (</w:t>
      </w:r>
      <w:r w:rsidR="002340EA">
        <w:t>“</w:t>
      </w:r>
      <w:r>
        <w:t>CHIA</w:t>
      </w:r>
      <w:r w:rsidR="002340EA">
        <w:t>”</w:t>
      </w:r>
      <w:r>
        <w:t>) inpatient case mix data</w:t>
      </w:r>
      <w:r w:rsidR="00D30526">
        <w:t>, which includes information on</w:t>
      </w:r>
      <w:r w:rsidR="00F42DCB">
        <w:t xml:space="preserve"> patient discharges,</w:t>
      </w:r>
      <w:r>
        <w:t xml:space="preserve"> obtained from the Massachusetts Health Data Consortium</w:t>
      </w:r>
      <w:r w:rsidR="009672BD">
        <w:t xml:space="preserve"> (“MHDC”)</w:t>
      </w:r>
      <w:r>
        <w:t>. It identified applicable</w:t>
      </w:r>
      <w:r w:rsidR="00592ACF">
        <w:t xml:space="preserve"> cancer</w:t>
      </w:r>
      <w:r>
        <w:t xml:space="preserve"> discharges</w:t>
      </w:r>
      <w:r w:rsidR="00592ACF">
        <w:t xml:space="preserve"> attributable to the Applicant</w:t>
      </w:r>
      <w:r w:rsidR="002340EA">
        <w:t>’</w:t>
      </w:r>
      <w:r w:rsidR="00592ACF">
        <w:t xml:space="preserve">s oncologists and </w:t>
      </w:r>
      <w:r w:rsidR="00DF34FE">
        <w:t xml:space="preserve">to </w:t>
      </w:r>
      <w:r w:rsidR="00592ACF">
        <w:t xml:space="preserve">BIDMC </w:t>
      </w:r>
      <w:r>
        <w:t>based on</w:t>
      </w:r>
      <w:r w:rsidR="0012155E">
        <w:t xml:space="preserve"> the following</w:t>
      </w:r>
      <w:r>
        <w:t xml:space="preserve"> discharge</w:t>
      </w:r>
      <w:r w:rsidR="0012155E">
        <w:t>-</w:t>
      </w:r>
      <w:r>
        <w:t>level ICD</w:t>
      </w:r>
      <w:r w:rsidR="00592ACF">
        <w:t>-</w:t>
      </w:r>
      <w:r>
        <w:t>10 diagnoses</w:t>
      </w:r>
      <w:r w:rsidR="0012155E">
        <w:t xml:space="preserve"> </w:t>
      </w:r>
      <w:r>
        <w:t>codes</w:t>
      </w:r>
      <w:r w:rsidR="0012155E">
        <w:t>:</w:t>
      </w:r>
    </w:p>
    <w:p w14:paraId="28D39FC0" w14:textId="77777777" w:rsidR="005F3E68" w:rsidRDefault="005F3E68" w:rsidP="006B48FB">
      <w:pPr>
        <w:jc w:val="both"/>
      </w:pPr>
    </w:p>
    <w:p w14:paraId="544C72B8" w14:textId="77777777" w:rsidR="0012155E" w:rsidRDefault="0012155E" w:rsidP="006B48FB">
      <w:pPr>
        <w:jc w:val="both"/>
      </w:pPr>
    </w:p>
    <w:tbl>
      <w:tblPr>
        <w:tblStyle w:val="TableGrid"/>
        <w:tblW w:w="5005" w:type="pct"/>
        <w:jc w:val="center"/>
        <w:tblLayout w:type="fixed"/>
        <w:tblLook w:val="04A0" w:firstRow="1" w:lastRow="0" w:firstColumn="1" w:lastColumn="0" w:noHBand="0" w:noVBand="1"/>
      </w:tblPr>
      <w:tblGrid>
        <w:gridCol w:w="2610"/>
        <w:gridCol w:w="6749"/>
      </w:tblGrid>
      <w:tr w:rsidR="0012155E" w:rsidRPr="00E13CA7" w14:paraId="26B6B577" w14:textId="77777777" w:rsidTr="00F34AEA">
        <w:trPr>
          <w:cantSplit/>
          <w:trHeight w:val="395"/>
          <w:tblHeader/>
          <w:jc w:val="center"/>
        </w:trPr>
        <w:tc>
          <w:tcPr>
            <w:tcW w:w="2610" w:type="dxa"/>
            <w:noWrap/>
            <w:vAlign w:val="center"/>
            <w:hideMark/>
          </w:tcPr>
          <w:p w14:paraId="683FD6E3" w14:textId="7DE2A090" w:rsidR="0012155E" w:rsidRPr="00E13CA7" w:rsidRDefault="0012155E" w:rsidP="003154F5">
            <w:pPr>
              <w:jc w:val="center"/>
              <w:rPr>
                <w:b/>
                <w:bCs/>
                <w:szCs w:val="24"/>
                <w:u w:val="single"/>
              </w:rPr>
            </w:pPr>
            <w:r w:rsidRPr="00E13CA7">
              <w:rPr>
                <w:b/>
                <w:bCs/>
                <w:szCs w:val="24"/>
                <w:u w:val="single"/>
              </w:rPr>
              <w:t>ICD-10 Code</w:t>
            </w:r>
          </w:p>
        </w:tc>
        <w:tc>
          <w:tcPr>
            <w:tcW w:w="6750" w:type="dxa"/>
            <w:vAlign w:val="center"/>
          </w:tcPr>
          <w:p w14:paraId="185509CD" w14:textId="767BDE99" w:rsidR="0012155E" w:rsidRPr="00E13CA7" w:rsidRDefault="0012155E" w:rsidP="003154F5">
            <w:pPr>
              <w:jc w:val="center"/>
              <w:rPr>
                <w:b/>
                <w:bCs/>
                <w:szCs w:val="24"/>
                <w:u w:val="single"/>
              </w:rPr>
            </w:pPr>
            <w:r w:rsidRPr="00E13CA7">
              <w:rPr>
                <w:b/>
                <w:bCs/>
                <w:szCs w:val="24"/>
                <w:u w:val="single"/>
              </w:rPr>
              <w:t>Description</w:t>
            </w:r>
          </w:p>
        </w:tc>
      </w:tr>
      <w:tr w:rsidR="0012155E" w:rsidRPr="00E13CA7" w14:paraId="073CD454" w14:textId="77777777" w:rsidTr="00F34AEA">
        <w:trPr>
          <w:cantSplit/>
          <w:trHeight w:val="315"/>
          <w:jc w:val="center"/>
        </w:trPr>
        <w:tc>
          <w:tcPr>
            <w:tcW w:w="2610" w:type="dxa"/>
            <w:noWrap/>
            <w:vAlign w:val="center"/>
            <w:hideMark/>
          </w:tcPr>
          <w:p w14:paraId="4A5C69ED" w14:textId="4A6C86BB" w:rsidR="0012155E" w:rsidRPr="00E13CA7" w:rsidRDefault="0012155E" w:rsidP="00337C31">
            <w:pPr>
              <w:jc w:val="center"/>
              <w:rPr>
                <w:szCs w:val="24"/>
              </w:rPr>
            </w:pPr>
            <w:r w:rsidRPr="00E13CA7">
              <w:rPr>
                <w:szCs w:val="24"/>
              </w:rPr>
              <w:t>C00-C96</w:t>
            </w:r>
          </w:p>
        </w:tc>
        <w:tc>
          <w:tcPr>
            <w:tcW w:w="6750" w:type="dxa"/>
            <w:noWrap/>
            <w:vAlign w:val="center"/>
          </w:tcPr>
          <w:p w14:paraId="56587ED1" w14:textId="0A0F525D" w:rsidR="0012155E" w:rsidRPr="00E13CA7" w:rsidRDefault="00337C31" w:rsidP="00337C31">
            <w:pPr>
              <w:rPr>
                <w:szCs w:val="24"/>
              </w:rPr>
            </w:pPr>
            <w:r w:rsidRPr="00E13CA7">
              <w:rPr>
                <w:szCs w:val="24"/>
              </w:rPr>
              <w:t>Includes m</w:t>
            </w:r>
            <w:r w:rsidR="00025E7E" w:rsidRPr="00E13CA7">
              <w:rPr>
                <w:szCs w:val="24"/>
              </w:rPr>
              <w:t>alignant neoplasm, malignant melanoma, lymphoma, leukemia, basal and squamous cell carcinoma, mesothelioma, Kaposi’s sarcoma, gastrointestinal stromal tumor, Merkel cell carcinoma, malignant carcinoid tumor, mycosis fungoides, Sezary Disease</w:t>
            </w:r>
          </w:p>
        </w:tc>
      </w:tr>
      <w:tr w:rsidR="0012155E" w:rsidRPr="00E13CA7" w14:paraId="6AF0D6D4" w14:textId="77777777" w:rsidTr="00F34AEA">
        <w:trPr>
          <w:cantSplit/>
          <w:trHeight w:val="70"/>
          <w:jc w:val="center"/>
        </w:trPr>
        <w:tc>
          <w:tcPr>
            <w:tcW w:w="2610" w:type="dxa"/>
            <w:noWrap/>
            <w:vAlign w:val="center"/>
            <w:hideMark/>
          </w:tcPr>
          <w:p w14:paraId="43AA3E7B" w14:textId="4ADBCAE3" w:rsidR="0012155E" w:rsidRPr="00E13CA7" w:rsidRDefault="0012155E" w:rsidP="00337C31">
            <w:pPr>
              <w:jc w:val="center"/>
              <w:rPr>
                <w:bCs/>
                <w:szCs w:val="24"/>
              </w:rPr>
            </w:pPr>
            <w:r w:rsidRPr="00E13CA7">
              <w:rPr>
                <w:bCs/>
                <w:szCs w:val="24"/>
              </w:rPr>
              <w:t>D00-D09</w:t>
            </w:r>
          </w:p>
        </w:tc>
        <w:tc>
          <w:tcPr>
            <w:tcW w:w="6750" w:type="dxa"/>
            <w:noWrap/>
            <w:vAlign w:val="center"/>
            <w:hideMark/>
          </w:tcPr>
          <w:p w14:paraId="752BD5B6" w14:textId="6C302360" w:rsidR="0012155E" w:rsidRPr="00E13CA7" w:rsidRDefault="00337C31" w:rsidP="00337C31">
            <w:pPr>
              <w:rPr>
                <w:bCs/>
                <w:szCs w:val="24"/>
              </w:rPr>
            </w:pPr>
            <w:r w:rsidRPr="00E13CA7">
              <w:rPr>
                <w:bCs/>
                <w:szCs w:val="24"/>
              </w:rPr>
              <w:t>Includes carcinoma in situ and melanoma in situ</w:t>
            </w:r>
          </w:p>
        </w:tc>
      </w:tr>
      <w:tr w:rsidR="0012155E" w:rsidRPr="00E13CA7" w14:paraId="5F61347A" w14:textId="77777777" w:rsidTr="00F34AEA">
        <w:trPr>
          <w:cantSplit/>
          <w:trHeight w:val="300"/>
          <w:jc w:val="center"/>
        </w:trPr>
        <w:tc>
          <w:tcPr>
            <w:tcW w:w="2610" w:type="dxa"/>
            <w:noWrap/>
            <w:vAlign w:val="center"/>
            <w:hideMark/>
          </w:tcPr>
          <w:p w14:paraId="346E63C0" w14:textId="0A0475DA" w:rsidR="0012155E" w:rsidRPr="00E13CA7" w:rsidRDefault="0012155E" w:rsidP="00337C31">
            <w:pPr>
              <w:jc w:val="center"/>
              <w:rPr>
                <w:bCs/>
                <w:szCs w:val="24"/>
              </w:rPr>
            </w:pPr>
            <w:r w:rsidRPr="00E13CA7">
              <w:rPr>
                <w:bCs/>
                <w:szCs w:val="24"/>
              </w:rPr>
              <w:t>D37-D49</w:t>
            </w:r>
          </w:p>
        </w:tc>
        <w:tc>
          <w:tcPr>
            <w:tcW w:w="6750" w:type="dxa"/>
            <w:noWrap/>
            <w:vAlign w:val="center"/>
            <w:hideMark/>
          </w:tcPr>
          <w:p w14:paraId="09F58369" w14:textId="4A52BBC1" w:rsidR="0012155E" w:rsidRPr="00E13CA7" w:rsidRDefault="00337C31" w:rsidP="00337C31">
            <w:pPr>
              <w:rPr>
                <w:bCs/>
                <w:szCs w:val="24"/>
              </w:rPr>
            </w:pPr>
            <w:r w:rsidRPr="00E13CA7">
              <w:rPr>
                <w:bCs/>
                <w:szCs w:val="24"/>
              </w:rPr>
              <w:t>Includes neoplasm of uncertain behavior, benign carcinoid tumors, refractory anemia, desmoid tumor</w:t>
            </w:r>
          </w:p>
        </w:tc>
      </w:tr>
      <w:tr w:rsidR="0012155E" w:rsidRPr="00E13CA7" w14:paraId="269CC3C8" w14:textId="77777777" w:rsidTr="00F34AEA">
        <w:trPr>
          <w:cantSplit/>
          <w:trHeight w:val="300"/>
          <w:jc w:val="center"/>
        </w:trPr>
        <w:tc>
          <w:tcPr>
            <w:tcW w:w="2610" w:type="dxa"/>
            <w:noWrap/>
            <w:vAlign w:val="center"/>
            <w:hideMark/>
          </w:tcPr>
          <w:p w14:paraId="2F271525" w14:textId="794821A5" w:rsidR="0012155E" w:rsidRPr="00E13CA7" w:rsidRDefault="0012155E" w:rsidP="00337C31">
            <w:pPr>
              <w:jc w:val="center"/>
              <w:rPr>
                <w:bCs/>
                <w:szCs w:val="24"/>
              </w:rPr>
            </w:pPr>
            <w:r w:rsidRPr="00E13CA7">
              <w:rPr>
                <w:bCs/>
                <w:szCs w:val="24"/>
              </w:rPr>
              <w:t>Z19</w:t>
            </w:r>
          </w:p>
        </w:tc>
        <w:tc>
          <w:tcPr>
            <w:tcW w:w="6750" w:type="dxa"/>
            <w:noWrap/>
            <w:vAlign w:val="center"/>
            <w:hideMark/>
          </w:tcPr>
          <w:p w14:paraId="09630AB4" w14:textId="19B9E42A" w:rsidR="0012155E" w:rsidRPr="00E13CA7" w:rsidRDefault="00E13CA7" w:rsidP="00E13CA7">
            <w:pPr>
              <w:jc w:val="both"/>
              <w:rPr>
                <w:bCs/>
                <w:szCs w:val="24"/>
              </w:rPr>
            </w:pPr>
            <w:r w:rsidRPr="00E13CA7">
              <w:rPr>
                <w:bCs/>
                <w:szCs w:val="24"/>
              </w:rPr>
              <w:t>Includes h</w:t>
            </w:r>
            <w:r w:rsidR="00337C31" w:rsidRPr="00E13CA7">
              <w:rPr>
                <w:bCs/>
                <w:szCs w:val="24"/>
              </w:rPr>
              <w:t>ormon</w:t>
            </w:r>
            <w:r w:rsidRPr="00E13CA7">
              <w:rPr>
                <w:bCs/>
                <w:szCs w:val="24"/>
              </w:rPr>
              <w:t xml:space="preserve">e sensitivity malignancy status </w:t>
            </w:r>
          </w:p>
        </w:tc>
      </w:tr>
      <w:tr w:rsidR="0012155E" w:rsidRPr="00E13CA7" w14:paraId="361F6554" w14:textId="77777777" w:rsidTr="00F34AEA">
        <w:trPr>
          <w:cantSplit/>
          <w:trHeight w:val="300"/>
          <w:jc w:val="center"/>
        </w:trPr>
        <w:tc>
          <w:tcPr>
            <w:tcW w:w="2610" w:type="dxa"/>
            <w:noWrap/>
            <w:vAlign w:val="center"/>
            <w:hideMark/>
          </w:tcPr>
          <w:p w14:paraId="670F84C5" w14:textId="5FD37AC7" w:rsidR="0012155E" w:rsidRPr="00E13CA7" w:rsidRDefault="0012155E" w:rsidP="00337C31">
            <w:pPr>
              <w:jc w:val="center"/>
              <w:rPr>
                <w:bCs/>
                <w:szCs w:val="24"/>
              </w:rPr>
            </w:pPr>
            <w:r w:rsidRPr="00E13CA7">
              <w:rPr>
                <w:bCs/>
                <w:szCs w:val="24"/>
              </w:rPr>
              <w:t>Z51.0</w:t>
            </w:r>
          </w:p>
        </w:tc>
        <w:tc>
          <w:tcPr>
            <w:tcW w:w="6750" w:type="dxa"/>
            <w:noWrap/>
            <w:vAlign w:val="center"/>
            <w:hideMark/>
          </w:tcPr>
          <w:p w14:paraId="59656234" w14:textId="63B34D54" w:rsidR="0012155E" w:rsidRPr="00E13CA7" w:rsidRDefault="00E13CA7" w:rsidP="00E13CA7">
            <w:pPr>
              <w:jc w:val="both"/>
              <w:rPr>
                <w:bCs/>
                <w:szCs w:val="24"/>
              </w:rPr>
            </w:pPr>
            <w:r w:rsidRPr="00E13CA7">
              <w:rPr>
                <w:bCs/>
                <w:szCs w:val="24"/>
              </w:rPr>
              <w:t>Includes antineoplastic radiation therapy</w:t>
            </w:r>
          </w:p>
        </w:tc>
      </w:tr>
      <w:tr w:rsidR="0012155E" w:rsidRPr="00E13CA7" w14:paraId="443DBDDF" w14:textId="77777777" w:rsidTr="00F34AEA">
        <w:trPr>
          <w:cantSplit/>
          <w:trHeight w:val="300"/>
          <w:jc w:val="center"/>
        </w:trPr>
        <w:tc>
          <w:tcPr>
            <w:tcW w:w="2610" w:type="dxa"/>
            <w:noWrap/>
            <w:vAlign w:val="center"/>
            <w:hideMark/>
          </w:tcPr>
          <w:p w14:paraId="6D7F26BD" w14:textId="5BE81F8E" w:rsidR="0012155E" w:rsidRPr="00E13CA7" w:rsidRDefault="0012155E" w:rsidP="00337C31">
            <w:pPr>
              <w:jc w:val="center"/>
              <w:rPr>
                <w:bCs/>
                <w:szCs w:val="24"/>
              </w:rPr>
            </w:pPr>
            <w:r w:rsidRPr="00E13CA7">
              <w:rPr>
                <w:bCs/>
                <w:szCs w:val="24"/>
              </w:rPr>
              <w:t>Z51.1</w:t>
            </w:r>
          </w:p>
        </w:tc>
        <w:tc>
          <w:tcPr>
            <w:tcW w:w="6750" w:type="dxa"/>
            <w:noWrap/>
            <w:vAlign w:val="center"/>
            <w:hideMark/>
          </w:tcPr>
          <w:p w14:paraId="41FE0C68" w14:textId="5F766406" w:rsidR="0012155E" w:rsidRPr="00E13CA7" w:rsidRDefault="00E13CA7" w:rsidP="00E13CA7">
            <w:pPr>
              <w:jc w:val="both"/>
              <w:rPr>
                <w:bCs/>
                <w:szCs w:val="24"/>
              </w:rPr>
            </w:pPr>
            <w:r w:rsidRPr="00E13CA7">
              <w:rPr>
                <w:bCs/>
                <w:szCs w:val="24"/>
              </w:rPr>
              <w:t xml:space="preserve">Includes chemotherapy for neoplasm </w:t>
            </w:r>
          </w:p>
        </w:tc>
      </w:tr>
      <w:tr w:rsidR="00E13CA7" w:rsidRPr="00E13CA7" w14:paraId="79BA8A36" w14:textId="77777777" w:rsidTr="00F34AEA">
        <w:trPr>
          <w:cantSplit/>
          <w:trHeight w:val="315"/>
          <w:jc w:val="center"/>
        </w:trPr>
        <w:tc>
          <w:tcPr>
            <w:tcW w:w="2610" w:type="dxa"/>
            <w:noWrap/>
            <w:vAlign w:val="center"/>
            <w:hideMark/>
          </w:tcPr>
          <w:p w14:paraId="0FA9DB92" w14:textId="40819C86" w:rsidR="00E13CA7" w:rsidRPr="00E13CA7" w:rsidRDefault="00E13CA7" w:rsidP="00E13CA7">
            <w:pPr>
              <w:jc w:val="center"/>
              <w:rPr>
                <w:bCs/>
                <w:szCs w:val="24"/>
              </w:rPr>
            </w:pPr>
            <w:r w:rsidRPr="00E13CA7">
              <w:rPr>
                <w:bCs/>
                <w:szCs w:val="24"/>
              </w:rPr>
              <w:t>Z51.11</w:t>
            </w:r>
          </w:p>
        </w:tc>
        <w:tc>
          <w:tcPr>
            <w:tcW w:w="6750" w:type="dxa"/>
            <w:noWrap/>
            <w:vAlign w:val="center"/>
            <w:hideMark/>
          </w:tcPr>
          <w:p w14:paraId="0259356D" w14:textId="79360D5F" w:rsidR="00E13CA7" w:rsidRPr="00E13CA7" w:rsidRDefault="00E13CA7" w:rsidP="00E13CA7">
            <w:pPr>
              <w:jc w:val="both"/>
              <w:rPr>
                <w:bCs/>
                <w:szCs w:val="24"/>
              </w:rPr>
            </w:pPr>
            <w:r w:rsidRPr="00E13CA7">
              <w:rPr>
                <w:bCs/>
                <w:szCs w:val="24"/>
              </w:rPr>
              <w:t xml:space="preserve">Includes antineoplastic chemotherapy </w:t>
            </w:r>
          </w:p>
        </w:tc>
      </w:tr>
      <w:tr w:rsidR="00E13CA7" w:rsidRPr="00E13CA7" w14:paraId="20E77AA0" w14:textId="77777777" w:rsidTr="00F34AEA">
        <w:trPr>
          <w:cantSplit/>
          <w:trHeight w:val="315"/>
          <w:jc w:val="center"/>
        </w:trPr>
        <w:tc>
          <w:tcPr>
            <w:tcW w:w="2610" w:type="dxa"/>
            <w:noWrap/>
            <w:vAlign w:val="center"/>
            <w:hideMark/>
          </w:tcPr>
          <w:p w14:paraId="04552046" w14:textId="7E3C6C4E" w:rsidR="00E13CA7" w:rsidRPr="00E13CA7" w:rsidRDefault="00E13CA7" w:rsidP="00E13CA7">
            <w:pPr>
              <w:jc w:val="center"/>
              <w:rPr>
                <w:szCs w:val="24"/>
              </w:rPr>
            </w:pPr>
            <w:r w:rsidRPr="00E13CA7">
              <w:rPr>
                <w:szCs w:val="24"/>
              </w:rPr>
              <w:t>Z51.12</w:t>
            </w:r>
          </w:p>
        </w:tc>
        <w:tc>
          <w:tcPr>
            <w:tcW w:w="6750" w:type="dxa"/>
            <w:noWrap/>
            <w:vAlign w:val="center"/>
          </w:tcPr>
          <w:p w14:paraId="50C3CB36" w14:textId="7473A516" w:rsidR="00E13CA7" w:rsidRPr="00E13CA7" w:rsidRDefault="00E13CA7" w:rsidP="00E13CA7">
            <w:pPr>
              <w:jc w:val="both"/>
              <w:rPr>
                <w:bCs/>
                <w:szCs w:val="24"/>
              </w:rPr>
            </w:pPr>
            <w:r w:rsidRPr="00E13CA7">
              <w:rPr>
                <w:bCs/>
                <w:szCs w:val="24"/>
              </w:rPr>
              <w:t>Includes antineoplastic immunotherapy</w:t>
            </w:r>
          </w:p>
        </w:tc>
      </w:tr>
    </w:tbl>
    <w:p w14:paraId="776D1D8F" w14:textId="77777777" w:rsidR="00DF34FE" w:rsidRDefault="00DF34FE" w:rsidP="006B48FB">
      <w:pPr>
        <w:jc w:val="both"/>
        <w:rPr>
          <w:rFonts w:eastAsia="Times New Roman"/>
        </w:rPr>
      </w:pPr>
    </w:p>
    <w:p w14:paraId="0725FA21" w14:textId="6BC0FE66" w:rsidR="00DF34FE" w:rsidRPr="000D5766" w:rsidRDefault="00DF34FE" w:rsidP="006B48FB">
      <w:pPr>
        <w:jc w:val="both"/>
        <w:rPr>
          <w:rFonts w:eastAsiaTheme="minorEastAsia"/>
          <w:color w:val="000000"/>
          <w:szCs w:val="24"/>
          <w:lang w:eastAsia="zh-CN"/>
        </w:rPr>
      </w:pPr>
      <w:r w:rsidRPr="00DF34FE">
        <w:rPr>
          <w:rFonts w:eastAsiaTheme="minorEastAsia"/>
          <w:color w:val="000000"/>
          <w:szCs w:val="24"/>
          <w:lang w:eastAsia="zh-CN"/>
        </w:rPr>
        <w:t xml:space="preserve">However, </w:t>
      </w:r>
      <w:r w:rsidR="00C800D4">
        <w:rPr>
          <w:rFonts w:eastAsiaTheme="minorEastAsia"/>
          <w:color w:val="000000"/>
          <w:szCs w:val="24"/>
          <w:lang w:eastAsia="zh-CN"/>
        </w:rPr>
        <w:t xml:space="preserve">not all patients with these diagnosis codes represent the sort of patients attributable to Dana-Farber oncologists and who would require the sort of inpatient cancer care that will be provided in the Applicant’s new Facility. </w:t>
      </w:r>
      <w:r w:rsidR="00BF34F3">
        <w:rPr>
          <w:rFonts w:eastAsiaTheme="minorEastAsia"/>
          <w:color w:val="000000"/>
          <w:szCs w:val="24"/>
          <w:lang w:eastAsia="zh-CN"/>
        </w:rPr>
        <w:t>To further</w:t>
      </w:r>
      <w:r w:rsidR="007B1EE3">
        <w:rPr>
          <w:rFonts w:eastAsiaTheme="minorEastAsia"/>
          <w:color w:val="000000"/>
          <w:szCs w:val="24"/>
          <w:lang w:eastAsia="zh-CN"/>
        </w:rPr>
        <w:t xml:space="preserve"> refine these data to </w:t>
      </w:r>
      <w:r w:rsidR="004C2E99">
        <w:rPr>
          <w:rFonts w:eastAsiaTheme="minorEastAsia"/>
          <w:color w:val="000000"/>
          <w:szCs w:val="24"/>
          <w:lang w:eastAsia="zh-CN"/>
        </w:rPr>
        <w:t xml:space="preserve">include only those discharges with </w:t>
      </w:r>
      <w:r w:rsidR="00270499">
        <w:rPr>
          <w:rFonts w:eastAsiaTheme="minorEastAsia"/>
          <w:color w:val="000000"/>
          <w:szCs w:val="24"/>
          <w:lang w:eastAsia="zh-CN"/>
        </w:rPr>
        <w:t>characteristics</w:t>
      </w:r>
      <w:r w:rsidR="004C2E99">
        <w:rPr>
          <w:rFonts w:eastAsiaTheme="minorEastAsia"/>
          <w:color w:val="000000"/>
          <w:szCs w:val="24"/>
          <w:lang w:eastAsia="zh-CN"/>
        </w:rPr>
        <w:t xml:space="preserve"> congruent with the new Facility’s intended use, </w:t>
      </w:r>
      <w:r w:rsidR="00BF34F3">
        <w:rPr>
          <w:rFonts w:eastAsiaTheme="minorEastAsia"/>
          <w:color w:val="000000"/>
          <w:szCs w:val="24"/>
          <w:lang w:eastAsia="zh-CN"/>
        </w:rPr>
        <w:t xml:space="preserve">the Applicant’s clinical leadership team </w:t>
      </w:r>
      <w:r w:rsidR="00A84B2B">
        <w:rPr>
          <w:rFonts w:eastAsiaTheme="minorEastAsia"/>
          <w:color w:val="000000"/>
          <w:szCs w:val="24"/>
          <w:lang w:eastAsia="zh-CN"/>
        </w:rPr>
        <w:t>assess</w:t>
      </w:r>
      <w:r w:rsidR="004C2E99">
        <w:rPr>
          <w:rFonts w:eastAsiaTheme="minorEastAsia"/>
          <w:color w:val="000000"/>
          <w:szCs w:val="24"/>
          <w:lang w:eastAsia="zh-CN"/>
        </w:rPr>
        <w:t xml:space="preserve">ed </w:t>
      </w:r>
      <w:r w:rsidR="00270499">
        <w:rPr>
          <w:rFonts w:eastAsiaTheme="minorEastAsia"/>
          <w:color w:val="000000"/>
          <w:szCs w:val="24"/>
          <w:lang w:eastAsia="zh-CN"/>
        </w:rPr>
        <w:t>patient age,</w:t>
      </w:r>
      <w:r w:rsidR="00BF34F3">
        <w:rPr>
          <w:rFonts w:eastAsiaTheme="minorEastAsia"/>
          <w:color w:val="000000"/>
          <w:szCs w:val="24"/>
          <w:lang w:eastAsia="zh-CN"/>
        </w:rPr>
        <w:t xml:space="preserve"> ICD-10 procedure codes, </w:t>
      </w:r>
      <w:r w:rsidR="00A84B2B">
        <w:rPr>
          <w:rFonts w:eastAsiaTheme="minorEastAsia"/>
          <w:color w:val="000000"/>
          <w:szCs w:val="24"/>
          <w:lang w:eastAsia="zh-CN"/>
        </w:rPr>
        <w:t xml:space="preserve">diagnosis-related groups (“DRGs”), and all patient-DRGs </w:t>
      </w:r>
      <w:r w:rsidR="004C2E99">
        <w:rPr>
          <w:rFonts w:eastAsiaTheme="minorEastAsia"/>
          <w:color w:val="000000"/>
          <w:szCs w:val="24"/>
          <w:lang w:eastAsia="zh-CN"/>
        </w:rPr>
        <w:t xml:space="preserve">included within the CHIA data </w:t>
      </w:r>
      <w:r w:rsidR="00D2111B">
        <w:rPr>
          <w:rFonts w:eastAsiaTheme="minorEastAsia"/>
          <w:color w:val="000000"/>
          <w:szCs w:val="24"/>
          <w:lang w:eastAsia="zh-CN"/>
        </w:rPr>
        <w:t xml:space="preserve">on a discharge-by-discharge basis. Discharges excluded from the initial </w:t>
      </w:r>
      <w:r w:rsidR="00C60CA6">
        <w:rPr>
          <w:rFonts w:eastAsiaTheme="minorEastAsia"/>
          <w:color w:val="000000"/>
          <w:szCs w:val="24"/>
          <w:lang w:eastAsia="zh-CN"/>
        </w:rPr>
        <w:t xml:space="preserve">data set based on ICD-10 diagnosis codes included those for: (1) patients under the age of 18 (as the new Facility will not treat pediatric patients), (2) </w:t>
      </w:r>
      <w:r w:rsidR="00384412">
        <w:rPr>
          <w:rFonts w:eastAsiaTheme="minorEastAsia"/>
          <w:color w:val="000000"/>
          <w:szCs w:val="24"/>
          <w:lang w:eastAsia="zh-CN"/>
        </w:rPr>
        <w:t>surgical</w:t>
      </w:r>
      <w:r w:rsidR="004929C0">
        <w:rPr>
          <w:rFonts w:eastAsiaTheme="minorEastAsia"/>
          <w:color w:val="000000"/>
          <w:szCs w:val="24"/>
          <w:lang w:eastAsia="zh-CN"/>
        </w:rPr>
        <w:t>-only</w:t>
      </w:r>
      <w:r w:rsidR="00384412">
        <w:rPr>
          <w:rFonts w:eastAsiaTheme="minorEastAsia"/>
          <w:color w:val="000000"/>
          <w:szCs w:val="24"/>
          <w:lang w:eastAsia="zh-CN"/>
        </w:rPr>
        <w:t xml:space="preserve"> patients</w:t>
      </w:r>
      <w:r w:rsidR="00C60CA6">
        <w:rPr>
          <w:rFonts w:eastAsiaTheme="minorEastAsia"/>
          <w:color w:val="000000"/>
          <w:szCs w:val="24"/>
          <w:lang w:eastAsia="zh-CN"/>
        </w:rPr>
        <w:t xml:space="preserve"> (as the new Facility will not have surgical capabilities),</w:t>
      </w:r>
      <w:r w:rsidR="004222AA">
        <w:rPr>
          <w:rStyle w:val="FootnoteReference"/>
          <w:rFonts w:eastAsiaTheme="minorEastAsia"/>
          <w:color w:val="000000"/>
          <w:szCs w:val="24"/>
          <w:lang w:eastAsia="zh-CN"/>
        </w:rPr>
        <w:footnoteReference w:id="72"/>
      </w:r>
      <w:r w:rsidR="00C60CA6">
        <w:rPr>
          <w:rFonts w:eastAsiaTheme="minorEastAsia"/>
          <w:color w:val="000000"/>
          <w:szCs w:val="24"/>
          <w:lang w:eastAsia="zh-CN"/>
        </w:rPr>
        <w:t xml:space="preserve"> and (3) </w:t>
      </w:r>
      <w:r w:rsidR="00384412">
        <w:rPr>
          <w:rFonts w:eastAsiaTheme="minorEastAsia"/>
          <w:color w:val="000000"/>
          <w:szCs w:val="24"/>
          <w:lang w:eastAsia="zh-CN"/>
        </w:rPr>
        <w:t>patients with an admission unrelated to cancer</w:t>
      </w:r>
      <w:r w:rsidR="00C60CA6">
        <w:rPr>
          <w:rFonts w:eastAsiaTheme="minorEastAsia"/>
          <w:color w:val="000000"/>
          <w:szCs w:val="24"/>
          <w:lang w:eastAsia="zh-CN"/>
        </w:rPr>
        <w:t xml:space="preserve"> (</w:t>
      </w:r>
      <w:r w:rsidR="00C60CA6">
        <w:rPr>
          <w:rFonts w:eastAsiaTheme="minorEastAsia"/>
          <w:i/>
          <w:iCs/>
          <w:color w:val="000000"/>
          <w:szCs w:val="24"/>
          <w:lang w:eastAsia="zh-CN"/>
        </w:rPr>
        <w:t>e.g.</w:t>
      </w:r>
      <w:r w:rsidR="00C60CA6">
        <w:rPr>
          <w:rFonts w:eastAsiaTheme="minorEastAsia"/>
          <w:color w:val="000000"/>
          <w:szCs w:val="24"/>
          <w:lang w:eastAsia="zh-CN"/>
        </w:rPr>
        <w:t>, if the patient was receiving treatment for a stroke, myocardial infarction, or other non-cancer-related matter</w:t>
      </w:r>
      <w:r w:rsidR="0006588E">
        <w:rPr>
          <w:rFonts w:eastAsiaTheme="minorEastAsia"/>
          <w:color w:val="000000"/>
          <w:szCs w:val="24"/>
          <w:lang w:eastAsia="zh-CN"/>
        </w:rPr>
        <w:t>).</w:t>
      </w:r>
      <w:r w:rsidR="00C60CA6">
        <w:rPr>
          <w:rFonts w:eastAsiaTheme="minorEastAsia"/>
          <w:color w:val="000000"/>
          <w:szCs w:val="24"/>
          <w:lang w:eastAsia="zh-CN"/>
        </w:rPr>
        <w:t xml:space="preserve"> </w:t>
      </w:r>
      <w:r w:rsidR="00D476B4">
        <w:rPr>
          <w:rFonts w:eastAsiaTheme="minorEastAsia"/>
          <w:color w:val="000000"/>
          <w:szCs w:val="24"/>
          <w:lang w:eastAsia="zh-CN"/>
        </w:rPr>
        <w:t xml:space="preserve">The result of this process was </w:t>
      </w:r>
      <w:r w:rsidR="00630C09">
        <w:rPr>
          <w:rFonts w:eastAsiaTheme="minorEastAsia"/>
          <w:color w:val="000000"/>
          <w:szCs w:val="24"/>
          <w:lang w:eastAsia="zh-CN"/>
        </w:rPr>
        <w:t>a</w:t>
      </w:r>
      <w:r w:rsidR="00D476B4">
        <w:rPr>
          <w:rFonts w:eastAsiaTheme="minorEastAsia"/>
          <w:color w:val="000000"/>
          <w:szCs w:val="24"/>
          <w:lang w:eastAsia="zh-CN"/>
        </w:rPr>
        <w:t xml:space="preserve"> total 2022 discharges</w:t>
      </w:r>
      <w:r w:rsidR="00630C09">
        <w:rPr>
          <w:rFonts w:eastAsiaTheme="minorEastAsia"/>
          <w:color w:val="000000"/>
          <w:szCs w:val="24"/>
          <w:lang w:eastAsia="zh-CN"/>
        </w:rPr>
        <w:t xml:space="preserve"> number, as </w:t>
      </w:r>
      <w:r w:rsidR="00D476B4">
        <w:rPr>
          <w:rFonts w:eastAsiaTheme="minorEastAsia"/>
          <w:color w:val="000000"/>
          <w:szCs w:val="24"/>
          <w:lang w:eastAsia="zh-CN"/>
        </w:rPr>
        <w:t xml:space="preserve">reported in </w:t>
      </w:r>
      <w:r w:rsidR="00D476B4">
        <w:rPr>
          <w:rFonts w:eastAsiaTheme="minorEastAsia"/>
          <w:color w:val="000000"/>
          <w:szCs w:val="24"/>
          <w:u w:val="single"/>
          <w:lang w:eastAsia="zh-CN"/>
        </w:rPr>
        <w:t>Table 1</w:t>
      </w:r>
      <w:r w:rsidR="009E6E7E">
        <w:rPr>
          <w:rFonts w:eastAsiaTheme="minorEastAsia"/>
          <w:color w:val="000000"/>
          <w:szCs w:val="24"/>
          <w:u w:val="single"/>
          <w:lang w:eastAsia="zh-CN"/>
        </w:rPr>
        <w:t>1</w:t>
      </w:r>
      <w:r w:rsidR="00D476B4">
        <w:rPr>
          <w:rFonts w:eastAsiaTheme="minorEastAsia"/>
          <w:color w:val="000000"/>
          <w:szCs w:val="24"/>
          <w:lang w:eastAsia="zh-CN"/>
        </w:rPr>
        <w:t>,</w:t>
      </w:r>
      <w:r w:rsidR="00630C09">
        <w:rPr>
          <w:rFonts w:eastAsiaTheme="minorEastAsia"/>
          <w:color w:val="000000"/>
          <w:szCs w:val="24"/>
          <w:lang w:eastAsia="zh-CN"/>
        </w:rPr>
        <w:t xml:space="preserve"> that included only those cases</w:t>
      </w:r>
      <w:r w:rsidR="0087179C">
        <w:rPr>
          <w:rFonts w:eastAsiaTheme="minorEastAsia"/>
          <w:color w:val="000000"/>
          <w:szCs w:val="24"/>
          <w:lang w:eastAsia="zh-CN"/>
        </w:rPr>
        <w:t xml:space="preserve"> of the type that</w:t>
      </w:r>
      <w:r w:rsidR="00630C09">
        <w:rPr>
          <w:rFonts w:eastAsiaTheme="minorEastAsia"/>
          <w:color w:val="000000"/>
          <w:szCs w:val="24"/>
          <w:lang w:eastAsia="zh-CN"/>
        </w:rPr>
        <w:t xml:space="preserve"> the Applicant anticipates </w:t>
      </w:r>
      <w:r w:rsidR="0087179C">
        <w:rPr>
          <w:rFonts w:eastAsiaTheme="minorEastAsia"/>
          <w:color w:val="000000"/>
          <w:szCs w:val="24"/>
          <w:lang w:eastAsia="zh-CN"/>
        </w:rPr>
        <w:t>will</w:t>
      </w:r>
      <w:r w:rsidR="00630C09">
        <w:rPr>
          <w:rFonts w:eastAsiaTheme="minorEastAsia"/>
          <w:color w:val="000000"/>
          <w:szCs w:val="24"/>
          <w:lang w:eastAsia="zh-CN"/>
        </w:rPr>
        <w:t xml:space="preserve"> be served by the new Facility. The detail in the CHIA data allowed the Applicant to</w:t>
      </w:r>
      <w:r w:rsidR="00384412">
        <w:rPr>
          <w:rFonts w:eastAsiaTheme="minorEastAsia"/>
          <w:color w:val="000000"/>
          <w:szCs w:val="24"/>
          <w:lang w:eastAsia="zh-CN"/>
        </w:rPr>
        <w:t xml:space="preserve"> </w:t>
      </w:r>
      <w:r w:rsidR="00630C09">
        <w:rPr>
          <w:rFonts w:eastAsiaTheme="minorEastAsia"/>
          <w:color w:val="000000"/>
          <w:szCs w:val="24"/>
          <w:lang w:eastAsia="zh-CN"/>
        </w:rPr>
        <w:t xml:space="preserve">sort </w:t>
      </w:r>
      <w:r w:rsidR="000D5766">
        <w:rPr>
          <w:rFonts w:eastAsiaTheme="minorEastAsia"/>
          <w:color w:val="000000"/>
          <w:szCs w:val="24"/>
          <w:lang w:eastAsia="zh-CN"/>
        </w:rPr>
        <w:t xml:space="preserve">the </w:t>
      </w:r>
      <w:r w:rsidR="00446ACA">
        <w:rPr>
          <w:rFonts w:eastAsiaTheme="minorEastAsia"/>
          <w:color w:val="000000"/>
          <w:szCs w:val="24"/>
          <w:lang w:eastAsia="zh-CN"/>
        </w:rPr>
        <w:t>2022 discharges estimate</w:t>
      </w:r>
      <w:r w:rsidR="00630C09">
        <w:rPr>
          <w:rFonts w:eastAsiaTheme="minorEastAsia"/>
          <w:color w:val="000000"/>
          <w:szCs w:val="24"/>
          <w:lang w:eastAsia="zh-CN"/>
        </w:rPr>
        <w:t xml:space="preserve"> </w:t>
      </w:r>
      <w:r w:rsidR="00D476B4">
        <w:rPr>
          <w:rFonts w:eastAsiaTheme="minorEastAsia"/>
          <w:color w:val="000000"/>
          <w:szCs w:val="24"/>
          <w:lang w:eastAsia="zh-CN"/>
        </w:rPr>
        <w:t xml:space="preserve">into the </w:t>
      </w:r>
      <w:r w:rsidR="00630C09">
        <w:rPr>
          <w:rFonts w:eastAsiaTheme="minorEastAsia"/>
          <w:color w:val="000000"/>
          <w:szCs w:val="24"/>
          <w:lang w:eastAsia="zh-CN"/>
        </w:rPr>
        <w:t>six</w:t>
      </w:r>
      <w:r w:rsidR="00D476B4">
        <w:rPr>
          <w:rFonts w:eastAsiaTheme="minorEastAsia"/>
          <w:color w:val="000000"/>
          <w:szCs w:val="24"/>
          <w:lang w:eastAsia="zh-CN"/>
        </w:rPr>
        <w:t xml:space="preserve"> </w:t>
      </w:r>
      <w:r w:rsidR="00630C09">
        <w:rPr>
          <w:rFonts w:eastAsiaTheme="minorEastAsia"/>
          <w:color w:val="000000"/>
          <w:szCs w:val="24"/>
          <w:lang w:eastAsia="zh-CN"/>
        </w:rPr>
        <w:t>medical oncology bed type categories</w:t>
      </w:r>
      <w:r w:rsidR="00D476B4">
        <w:rPr>
          <w:rFonts w:eastAsiaTheme="minorEastAsia"/>
          <w:color w:val="000000"/>
          <w:szCs w:val="24"/>
          <w:lang w:eastAsia="zh-CN"/>
        </w:rPr>
        <w:t xml:space="preserve"> provided </w:t>
      </w:r>
      <w:r w:rsidR="000D5766">
        <w:rPr>
          <w:rFonts w:eastAsiaTheme="minorEastAsia"/>
          <w:color w:val="000000"/>
          <w:szCs w:val="24"/>
          <w:lang w:eastAsia="zh-CN"/>
        </w:rPr>
        <w:t xml:space="preserve">in </w:t>
      </w:r>
      <w:r w:rsidR="000D5766">
        <w:rPr>
          <w:rFonts w:eastAsiaTheme="minorEastAsia"/>
          <w:color w:val="000000"/>
          <w:szCs w:val="24"/>
          <w:u w:val="single"/>
          <w:lang w:eastAsia="zh-CN"/>
        </w:rPr>
        <w:t>Table 1</w:t>
      </w:r>
      <w:r w:rsidR="009E6E7E">
        <w:rPr>
          <w:rFonts w:eastAsiaTheme="minorEastAsia"/>
          <w:color w:val="000000"/>
          <w:szCs w:val="24"/>
          <w:u w:val="single"/>
          <w:lang w:eastAsia="zh-CN"/>
        </w:rPr>
        <w:t>1</w:t>
      </w:r>
      <w:r w:rsidR="000D5766">
        <w:rPr>
          <w:rFonts w:eastAsiaTheme="minorEastAsia"/>
          <w:color w:val="000000"/>
          <w:szCs w:val="24"/>
          <w:lang w:eastAsia="zh-CN"/>
        </w:rPr>
        <w:t>.</w:t>
      </w:r>
    </w:p>
    <w:p w14:paraId="3A412D5A" w14:textId="7175A0C5" w:rsidR="00AC5DEC" w:rsidRDefault="00AC5DEC" w:rsidP="006B48FB">
      <w:pPr>
        <w:jc w:val="both"/>
        <w:rPr>
          <w:rFonts w:eastAsia="Times New Roman"/>
        </w:rPr>
      </w:pPr>
    </w:p>
    <w:p w14:paraId="4BC3C94F" w14:textId="3E86826E" w:rsidR="0008091B" w:rsidRDefault="00AC5DEC" w:rsidP="006B48FB">
      <w:pPr>
        <w:jc w:val="both"/>
        <w:rPr>
          <w:rFonts w:eastAsia="Times New Roman"/>
        </w:rPr>
      </w:pPr>
      <w:r>
        <w:rPr>
          <w:rFonts w:eastAsia="Times New Roman"/>
        </w:rPr>
        <w:t>Once an estimate of total 2022 discharges had been derived, the Applicant</w:t>
      </w:r>
      <w:r w:rsidR="00446ACA">
        <w:rPr>
          <w:rFonts w:eastAsia="Times New Roman"/>
        </w:rPr>
        <w:t xml:space="preserve"> estimated </w:t>
      </w:r>
      <w:r w:rsidR="00E27360">
        <w:rPr>
          <w:rFonts w:eastAsia="Times New Roman"/>
        </w:rPr>
        <w:t xml:space="preserve">the total 2022 average daily census (or “ADC”) by multiplying 2022 discharges by the Applicant’s historical </w:t>
      </w:r>
      <w:r w:rsidR="00E27360">
        <w:rPr>
          <w:rFonts w:eastAsia="Times New Roman"/>
        </w:rPr>
        <w:lastRenderedPageBreak/>
        <w:t>average length of stay (or “ALOS”)</w:t>
      </w:r>
      <w:r w:rsidR="006B0CFF">
        <w:rPr>
          <w:rFonts w:eastAsia="Times New Roman"/>
        </w:rPr>
        <w:t>,</w:t>
      </w:r>
      <w:r w:rsidR="00F156AB">
        <w:rPr>
          <w:rFonts w:eastAsia="Times New Roman"/>
        </w:rPr>
        <w:t xml:space="preserve"> </w:t>
      </w:r>
      <w:r w:rsidR="009672BD">
        <w:rPr>
          <w:rFonts w:eastAsia="Times New Roman"/>
        </w:rPr>
        <w:t>based on CHIA data sourced from the MHDC</w:t>
      </w:r>
      <w:r w:rsidR="00F156AB">
        <w:rPr>
          <w:rFonts w:eastAsia="Times New Roman"/>
        </w:rPr>
        <w:t>,</w:t>
      </w:r>
      <w:r w:rsidR="006B0CFF">
        <w:rPr>
          <w:rFonts w:eastAsia="Times New Roman"/>
        </w:rPr>
        <w:t xml:space="preserve"> as shown in </w:t>
      </w:r>
      <w:r w:rsidR="006B0CFF">
        <w:rPr>
          <w:rFonts w:eastAsia="Times New Roman"/>
          <w:u w:val="single"/>
        </w:rPr>
        <w:t>Table 1</w:t>
      </w:r>
      <w:r w:rsidR="009E6E7E">
        <w:rPr>
          <w:rFonts w:eastAsia="Times New Roman"/>
          <w:u w:val="single"/>
        </w:rPr>
        <w:t>1</w:t>
      </w:r>
      <w:r w:rsidR="004B7918">
        <w:rPr>
          <w:rFonts w:eastAsia="Times New Roman"/>
        </w:rPr>
        <w:t>, and dividing by 365.</w:t>
      </w:r>
      <w:r w:rsidR="00384412">
        <w:rPr>
          <w:rStyle w:val="FootnoteReference"/>
          <w:rFonts w:eastAsia="Times New Roman"/>
        </w:rPr>
        <w:footnoteReference w:id="73"/>
      </w:r>
      <w:r w:rsidR="004B7918">
        <w:rPr>
          <w:rFonts w:eastAsia="Times New Roman"/>
        </w:rPr>
        <w:t xml:space="preserve"> </w:t>
      </w:r>
      <w:r w:rsidR="00F26E45">
        <w:rPr>
          <w:rFonts w:eastAsia="Times New Roman"/>
        </w:rPr>
        <w:t xml:space="preserve"> </w:t>
      </w:r>
      <w:r w:rsidR="00F26E45">
        <w:rPr>
          <w:rFonts w:eastAsia="Times New Roman"/>
          <w:color w:val="000000"/>
        </w:rPr>
        <w:t xml:space="preserve">Approximately </w:t>
      </w:r>
      <w:r w:rsidR="00F26E45" w:rsidRPr="0047002B">
        <w:rPr>
          <w:rFonts w:eastAsia="Times New Roman"/>
          <w:color w:val="000000"/>
        </w:rPr>
        <w:t xml:space="preserve">30-35% of the historic </w:t>
      </w:r>
      <w:r w:rsidR="00F26E45">
        <w:rPr>
          <w:rFonts w:eastAsia="Times New Roman"/>
          <w:color w:val="000000"/>
        </w:rPr>
        <w:t xml:space="preserve">average daily census shown in the fourth column of </w:t>
      </w:r>
      <w:r w:rsidR="009E6E7E">
        <w:rPr>
          <w:rFonts w:eastAsia="Times New Roman"/>
          <w:color w:val="000000"/>
          <w:u w:val="single"/>
        </w:rPr>
        <w:t>Table 11</w:t>
      </w:r>
      <w:r w:rsidR="00F26E45">
        <w:rPr>
          <w:rFonts w:eastAsia="Times New Roman"/>
          <w:color w:val="000000"/>
        </w:rPr>
        <w:t xml:space="preserve"> is attributable to </w:t>
      </w:r>
      <w:r w:rsidR="00F26E45" w:rsidRPr="0047002B">
        <w:rPr>
          <w:rFonts w:eastAsia="Times New Roman"/>
          <w:color w:val="000000"/>
        </w:rPr>
        <w:t>cancer patients discharged from BIDMC</w:t>
      </w:r>
      <w:r w:rsidR="00F26E45">
        <w:rPr>
          <w:rFonts w:eastAsia="Times New Roman"/>
          <w:color w:val="000000"/>
        </w:rPr>
        <w:t xml:space="preserve">, which resulted in an </w:t>
      </w:r>
      <w:r w:rsidR="00F26E45">
        <w:rPr>
          <w:rFonts w:eastAsia="Times New Roman"/>
        </w:rPr>
        <w:t xml:space="preserve">average daily census of </w:t>
      </w:r>
      <w:r w:rsidR="00F26E45" w:rsidRPr="00FE567B">
        <w:rPr>
          <w:rFonts w:eastAsia="Times New Roman"/>
        </w:rPr>
        <w:t>272.9</w:t>
      </w:r>
      <w:r w:rsidR="00F26E45">
        <w:rPr>
          <w:rFonts w:eastAsia="Times New Roman"/>
        </w:rPr>
        <w:t xml:space="preserve"> in FY22, with </w:t>
      </w:r>
      <w:r w:rsidR="00F26E45" w:rsidRPr="00F46314">
        <w:rPr>
          <w:rFonts w:eastAsia="Times New Roman"/>
        </w:rPr>
        <w:t>186.4</w:t>
      </w:r>
      <w:r w:rsidR="00F26E45">
        <w:rPr>
          <w:rFonts w:eastAsia="Times New Roman"/>
        </w:rPr>
        <w:t xml:space="preserve"> patients attributable to the Applicant and </w:t>
      </w:r>
      <w:r w:rsidR="00F26E45" w:rsidRPr="00F46314">
        <w:rPr>
          <w:rFonts w:eastAsia="Times New Roman"/>
        </w:rPr>
        <w:t>86.7</w:t>
      </w:r>
      <w:r w:rsidR="00F26E45">
        <w:rPr>
          <w:rFonts w:eastAsia="Times New Roman"/>
        </w:rPr>
        <w:t xml:space="preserve"> BIDMC-managed patients.  </w:t>
      </w:r>
      <w:r w:rsidR="00F26E45">
        <w:rPr>
          <w:rFonts w:eastAsia="Times New Roman"/>
          <w:color w:val="000000"/>
        </w:rPr>
        <w:t xml:space="preserve">Additionally, </w:t>
      </w:r>
      <w:r w:rsidR="00F26E45">
        <w:rPr>
          <w:rFonts w:eastAsia="Times New Roman"/>
        </w:rPr>
        <w:t xml:space="preserve">the calculated historical average daily census does not include, </w:t>
      </w:r>
      <w:r w:rsidR="00F26E45">
        <w:t>due to lack of information and difficulty in calculation, all of the patients who were clinically accepted to be transferred to the Applicant or BWH’s beds for cancer treatment or management and were unable to transfer due to capacity constraints. Based on internal data, however, the Applicant estimates that it is unable to accept transfer of approximately seven patients per day due to capacity constraints.</w:t>
      </w:r>
    </w:p>
    <w:p w14:paraId="751195CC" w14:textId="77777777" w:rsidR="0008091B" w:rsidRDefault="0008091B" w:rsidP="006B48FB">
      <w:pPr>
        <w:jc w:val="both"/>
        <w:rPr>
          <w:rFonts w:eastAsia="Times New Roman"/>
        </w:rPr>
      </w:pPr>
    </w:p>
    <w:p w14:paraId="1C242325" w14:textId="70497A93" w:rsidR="0008091B" w:rsidRPr="008164A3" w:rsidRDefault="0008091B" w:rsidP="0008091B">
      <w:pPr>
        <w:pStyle w:val="ListParagraph"/>
        <w:numPr>
          <w:ilvl w:val="0"/>
          <w:numId w:val="31"/>
        </w:numPr>
        <w:jc w:val="both"/>
        <w:rPr>
          <w:rFonts w:eastAsia="Times New Roman"/>
        </w:rPr>
      </w:pPr>
      <w:r>
        <w:rPr>
          <w:rFonts w:eastAsia="Times New Roman"/>
          <w:u w:val="single"/>
        </w:rPr>
        <w:t xml:space="preserve">Calculating ICU Bed </w:t>
      </w:r>
      <w:r w:rsidR="008B53A7">
        <w:rPr>
          <w:rFonts w:eastAsia="Times New Roman"/>
          <w:u w:val="single"/>
        </w:rPr>
        <w:t>Allocation</w:t>
      </w:r>
    </w:p>
    <w:p w14:paraId="787569FC" w14:textId="77777777" w:rsidR="0008091B" w:rsidRPr="008164A3" w:rsidRDefault="0008091B" w:rsidP="008164A3">
      <w:pPr>
        <w:pStyle w:val="ListParagraph"/>
        <w:ind w:left="1080"/>
        <w:jc w:val="both"/>
        <w:rPr>
          <w:rFonts w:eastAsia="Times New Roman"/>
        </w:rPr>
      </w:pPr>
    </w:p>
    <w:p w14:paraId="105CBDA9" w14:textId="1F4B05A4" w:rsidR="004B7918" w:rsidRDefault="002C7E70" w:rsidP="006B48FB">
      <w:pPr>
        <w:jc w:val="both"/>
        <w:rPr>
          <w:bCs/>
          <w:szCs w:val="24"/>
        </w:rPr>
      </w:pPr>
      <w:r>
        <w:rPr>
          <w:rFonts w:eastAsia="Times New Roman"/>
        </w:rPr>
        <w:t xml:space="preserve">A portion of patients admitted will require intensive care, necessitating intensive care unit (“ICU”) beds. </w:t>
      </w:r>
      <w:r w:rsidR="004B7918">
        <w:rPr>
          <w:rFonts w:eastAsia="Times New Roman"/>
        </w:rPr>
        <w:t xml:space="preserve">To determine the number of oncology </w:t>
      </w:r>
      <w:r>
        <w:rPr>
          <w:rFonts w:eastAsia="Times New Roman"/>
        </w:rPr>
        <w:t>ICU</w:t>
      </w:r>
      <w:r w:rsidR="004B7918">
        <w:rPr>
          <w:rFonts w:eastAsia="Times New Roman"/>
        </w:rPr>
        <w:t xml:space="preserve"> beds </w:t>
      </w:r>
      <w:r>
        <w:rPr>
          <w:rFonts w:eastAsia="Times New Roman"/>
        </w:rPr>
        <w:t>needed</w:t>
      </w:r>
      <w:r w:rsidR="004B7918">
        <w:rPr>
          <w:rFonts w:eastAsia="Times New Roman"/>
        </w:rPr>
        <w:t xml:space="preserve">, the Applicant reviewed Medicare cost report data for certain of its peer comprehensive cancer centers, </w:t>
      </w:r>
      <w:r>
        <w:rPr>
          <w:rFonts w:eastAsia="Times New Roman"/>
        </w:rPr>
        <w:t>namely</w:t>
      </w:r>
      <w:r w:rsidR="004B7918">
        <w:rPr>
          <w:rFonts w:eastAsia="Times New Roman"/>
        </w:rPr>
        <w:t xml:space="preserve"> </w:t>
      </w:r>
      <w:r w:rsidR="004B7918">
        <w:rPr>
          <w:bCs/>
          <w:szCs w:val="24"/>
        </w:rPr>
        <w:t xml:space="preserve">Memorial Sloan Kettering Cancer Center in New York City; Moffitt Cancer Center in Tampa, Florida; MD Anderson Cancer Center in Houston, Texas; </w:t>
      </w:r>
      <w:r w:rsidR="00ED3F61">
        <w:rPr>
          <w:bCs/>
          <w:szCs w:val="24"/>
        </w:rPr>
        <w:t xml:space="preserve">and </w:t>
      </w:r>
      <w:r w:rsidR="004B7918">
        <w:rPr>
          <w:bCs/>
          <w:szCs w:val="24"/>
        </w:rPr>
        <w:t>City of Hope in Duarte and Irvine, California</w:t>
      </w:r>
      <w:r w:rsidR="00ED3F61">
        <w:rPr>
          <w:bCs/>
          <w:szCs w:val="24"/>
        </w:rPr>
        <w:t xml:space="preserve">. The Applicant found that the ICU census of those hospitals ranged from 7%-14% of total ADC. </w:t>
      </w:r>
      <w:r>
        <w:rPr>
          <w:bCs/>
          <w:szCs w:val="24"/>
        </w:rPr>
        <w:t>U</w:t>
      </w:r>
      <w:r w:rsidR="00ED3F61">
        <w:rPr>
          <w:bCs/>
          <w:szCs w:val="24"/>
        </w:rPr>
        <w:t>nlike the Applicant, a number of those peer hospitals perform surgeries</w:t>
      </w:r>
      <w:r w:rsidR="009A36B5">
        <w:rPr>
          <w:bCs/>
          <w:szCs w:val="24"/>
        </w:rPr>
        <w:t xml:space="preserve"> within their inpatient facilities</w:t>
      </w:r>
      <w:r w:rsidR="00ED3F61">
        <w:rPr>
          <w:bCs/>
          <w:szCs w:val="24"/>
        </w:rPr>
        <w:t xml:space="preserve">, </w:t>
      </w:r>
      <w:r>
        <w:rPr>
          <w:bCs/>
          <w:szCs w:val="24"/>
        </w:rPr>
        <w:t xml:space="preserve">requiring somewhat greater </w:t>
      </w:r>
      <w:r w:rsidR="00ED3F61">
        <w:rPr>
          <w:bCs/>
          <w:szCs w:val="24"/>
        </w:rPr>
        <w:t xml:space="preserve">ICU capacity. </w:t>
      </w:r>
      <w:r w:rsidR="009A36B5">
        <w:rPr>
          <w:bCs/>
          <w:szCs w:val="24"/>
        </w:rPr>
        <w:t>As such</w:t>
      </w:r>
      <w:r w:rsidR="00ED3F61">
        <w:rPr>
          <w:bCs/>
          <w:szCs w:val="24"/>
        </w:rPr>
        <w:t>,</w:t>
      </w:r>
      <w:r w:rsidR="009A36B5">
        <w:rPr>
          <w:bCs/>
          <w:szCs w:val="24"/>
        </w:rPr>
        <w:t xml:space="preserve"> when deriving the portion of ADC attributable to ICU beds, the Applicant assumed </w:t>
      </w:r>
      <w:r w:rsidR="00D90063">
        <w:rPr>
          <w:bCs/>
          <w:szCs w:val="24"/>
        </w:rPr>
        <w:t xml:space="preserve">a </w:t>
      </w:r>
      <w:r w:rsidR="009A36B5">
        <w:rPr>
          <w:bCs/>
          <w:szCs w:val="24"/>
        </w:rPr>
        <w:t xml:space="preserve">percentage—7.5%—on the lower end of </w:t>
      </w:r>
      <w:r w:rsidR="0079298B">
        <w:rPr>
          <w:bCs/>
          <w:szCs w:val="24"/>
        </w:rPr>
        <w:t>its peer hospitals</w:t>
      </w:r>
      <w:r>
        <w:rPr>
          <w:bCs/>
          <w:szCs w:val="24"/>
        </w:rPr>
        <w:t xml:space="preserve"> and consistent with </w:t>
      </w:r>
      <w:r w:rsidR="001D765B">
        <w:rPr>
          <w:bCs/>
          <w:szCs w:val="24"/>
        </w:rPr>
        <w:t>the Applicant’s own experience</w:t>
      </w:r>
      <w:r w:rsidR="0079298B">
        <w:rPr>
          <w:bCs/>
          <w:szCs w:val="24"/>
        </w:rPr>
        <w:t xml:space="preserve">. In addition, </w:t>
      </w:r>
      <w:r w:rsidR="00D90063">
        <w:rPr>
          <w:bCs/>
          <w:szCs w:val="24"/>
        </w:rPr>
        <w:t>when making such calculation, the Applicant</w:t>
      </w:r>
      <w:r w:rsidR="00E76599">
        <w:rPr>
          <w:bCs/>
          <w:szCs w:val="24"/>
        </w:rPr>
        <w:t xml:space="preserve"> excluded</w:t>
      </w:r>
      <w:r w:rsidR="00D90063">
        <w:rPr>
          <w:bCs/>
          <w:szCs w:val="24"/>
        </w:rPr>
        <w:t xml:space="preserve"> the share of its ADC attributable to palliative care and cell therapies, as the Applicant anticipates</w:t>
      </w:r>
      <w:r w:rsidR="004929C0">
        <w:rPr>
          <w:bCs/>
          <w:szCs w:val="24"/>
        </w:rPr>
        <w:t xml:space="preserve"> </w:t>
      </w:r>
      <w:r w:rsidR="00D90063">
        <w:rPr>
          <w:bCs/>
          <w:szCs w:val="24"/>
        </w:rPr>
        <w:t>that</w:t>
      </w:r>
      <w:r w:rsidR="004929C0">
        <w:rPr>
          <w:bCs/>
          <w:szCs w:val="24"/>
        </w:rPr>
        <w:t xml:space="preserve"> those</w:t>
      </w:r>
      <w:r w:rsidR="00D90063">
        <w:rPr>
          <w:bCs/>
          <w:szCs w:val="24"/>
        </w:rPr>
        <w:t xml:space="preserve"> patient</w:t>
      </w:r>
      <w:r w:rsidR="004929C0">
        <w:rPr>
          <w:bCs/>
          <w:szCs w:val="24"/>
        </w:rPr>
        <w:t>s</w:t>
      </w:r>
      <w:r w:rsidR="00D90063">
        <w:rPr>
          <w:bCs/>
          <w:szCs w:val="24"/>
        </w:rPr>
        <w:t xml:space="preserve"> would</w:t>
      </w:r>
      <w:r w:rsidR="004929C0">
        <w:rPr>
          <w:bCs/>
          <w:szCs w:val="24"/>
        </w:rPr>
        <w:t xml:space="preserve"> not</w:t>
      </w:r>
      <w:r w:rsidR="00D90063">
        <w:rPr>
          <w:bCs/>
          <w:szCs w:val="24"/>
        </w:rPr>
        <w:t xml:space="preserve"> require a transfer to a</w:t>
      </w:r>
      <w:r w:rsidR="00186C1E">
        <w:rPr>
          <w:bCs/>
          <w:szCs w:val="24"/>
        </w:rPr>
        <w:t xml:space="preserve"> separate</w:t>
      </w:r>
      <w:r w:rsidR="00D90063">
        <w:rPr>
          <w:bCs/>
          <w:szCs w:val="24"/>
        </w:rPr>
        <w:t xml:space="preserve"> ICU bed</w:t>
      </w:r>
      <w:r w:rsidR="00186C1E">
        <w:rPr>
          <w:bCs/>
          <w:szCs w:val="24"/>
        </w:rPr>
        <w:t>, given the nature of those patients and the capabilities of the beds associated with those service lines.</w:t>
      </w:r>
      <w:r w:rsidR="00186C1E">
        <w:rPr>
          <w:rStyle w:val="FootnoteReference"/>
          <w:bCs/>
          <w:szCs w:val="24"/>
        </w:rPr>
        <w:footnoteReference w:id="74"/>
      </w:r>
      <w:r w:rsidR="00D90063">
        <w:rPr>
          <w:bCs/>
          <w:szCs w:val="24"/>
        </w:rPr>
        <w:t xml:space="preserve"> </w:t>
      </w:r>
    </w:p>
    <w:p w14:paraId="6F41BAEF" w14:textId="7F5DAEC9" w:rsidR="004B7918" w:rsidRDefault="004B7918" w:rsidP="006B48FB">
      <w:pPr>
        <w:jc w:val="both"/>
        <w:rPr>
          <w:bCs/>
          <w:szCs w:val="24"/>
        </w:rPr>
      </w:pPr>
    </w:p>
    <w:p w14:paraId="5116BE13" w14:textId="016C06D1" w:rsidR="0008091B" w:rsidRPr="0008091B" w:rsidRDefault="0008091B" w:rsidP="008164A3">
      <w:pPr>
        <w:pStyle w:val="ListParagraph"/>
        <w:numPr>
          <w:ilvl w:val="0"/>
          <w:numId w:val="31"/>
        </w:numPr>
        <w:jc w:val="both"/>
        <w:rPr>
          <w:bCs/>
          <w:szCs w:val="24"/>
        </w:rPr>
      </w:pPr>
      <w:r>
        <w:rPr>
          <w:bCs/>
          <w:szCs w:val="24"/>
        </w:rPr>
        <w:t xml:space="preserve"> </w:t>
      </w:r>
      <w:r>
        <w:rPr>
          <w:bCs/>
          <w:szCs w:val="24"/>
          <w:u w:val="single"/>
        </w:rPr>
        <w:t>Projecting Average Daily Census for 2023</w:t>
      </w:r>
    </w:p>
    <w:p w14:paraId="4348E28F" w14:textId="77777777" w:rsidR="0008091B" w:rsidRDefault="0008091B" w:rsidP="006B48FB">
      <w:pPr>
        <w:jc w:val="both"/>
        <w:rPr>
          <w:bCs/>
          <w:szCs w:val="24"/>
        </w:rPr>
      </w:pPr>
    </w:p>
    <w:p w14:paraId="62AE329F" w14:textId="3892A1F9" w:rsidR="00E13E5C" w:rsidRDefault="003F42C1" w:rsidP="00C6460B">
      <w:pPr>
        <w:jc w:val="both"/>
      </w:pPr>
      <w:r>
        <w:rPr>
          <w:bCs/>
          <w:szCs w:val="24"/>
        </w:rPr>
        <w:t xml:space="preserve">The Applicant then used the 2022 ADC to </w:t>
      </w:r>
      <w:r w:rsidR="00F156AB">
        <w:rPr>
          <w:bCs/>
          <w:szCs w:val="24"/>
        </w:rPr>
        <w:t xml:space="preserve">project the 2032 ADC using 10-year national organic growth projections sourced from Sg2 and The Advisory Board Company. </w:t>
      </w:r>
      <w:r w:rsidR="00A62B16">
        <w:t xml:space="preserve">To forecast 2032 bed need, a Poisson distribution model analysis was performed, using a 90% confidence interval. A Poisson distribution is a common approach to bed need calculation, especially when many admissions are unplanned, as in the case </w:t>
      </w:r>
      <w:r w:rsidR="004929C0">
        <w:t>for</w:t>
      </w:r>
      <w:r w:rsidR="00A62B16">
        <w:t xml:space="preserve"> the Applicant</w:t>
      </w:r>
      <w:r w:rsidR="004929C0">
        <w:t>,</w:t>
      </w:r>
      <w:r w:rsidR="00A62B16">
        <w:t xml:space="preserve"> where </w:t>
      </w:r>
      <w:r w:rsidR="004929C0">
        <w:t>many</w:t>
      </w:r>
      <w:r w:rsidR="00A62B16">
        <w:t xml:space="preserve"> admissions come from BWH</w:t>
      </w:r>
      <w:r w:rsidR="002340EA">
        <w:t>’</w:t>
      </w:r>
      <w:r w:rsidR="00A62B16">
        <w:t>s emergency department and via transfer from another facility.</w:t>
      </w:r>
      <w:r w:rsidR="00DC3E4C">
        <w:rPr>
          <w:rStyle w:val="FootnoteReference"/>
        </w:rPr>
        <w:footnoteReference w:id="75"/>
      </w:r>
      <w:r w:rsidR="00A62B16">
        <w:t xml:space="preserve"> </w:t>
      </w:r>
    </w:p>
    <w:p w14:paraId="51E74629" w14:textId="77777777" w:rsidR="00E13E5C" w:rsidRDefault="00E13E5C" w:rsidP="00C6460B">
      <w:pPr>
        <w:jc w:val="both"/>
      </w:pPr>
    </w:p>
    <w:p w14:paraId="2EE804CB" w14:textId="2F608CE4" w:rsidR="006D408C" w:rsidRDefault="00E13E5C" w:rsidP="00374134">
      <w:pPr>
        <w:jc w:val="both"/>
      </w:pPr>
      <w:r>
        <w:lastRenderedPageBreak/>
        <w:t xml:space="preserve">The Poisson model </w:t>
      </w:r>
      <w:r w:rsidR="00A45192">
        <w:t xml:space="preserve">takes both </w:t>
      </w:r>
      <w:r w:rsidR="00F91B44">
        <w:t>projected 2032 ADC and ALOS</w:t>
      </w:r>
      <w:r w:rsidR="00A45192">
        <w:t xml:space="preserve"> into account in order to project bed demand</w:t>
      </w:r>
      <w:r w:rsidR="00A62B16">
        <w:t>.</w:t>
      </w:r>
      <w:r w:rsidR="00A45192">
        <w:rPr>
          <w:rStyle w:val="FootnoteReference"/>
        </w:rPr>
        <w:footnoteReference w:id="76"/>
      </w:r>
      <w:r w:rsidR="00A62B16">
        <w:t xml:space="preserve"> This 90% confidence interval means that </w:t>
      </w:r>
      <w:r w:rsidR="00B53B5A">
        <w:t xml:space="preserve">there is a 90% likelihood that a bed will be available for each patient that needs one. </w:t>
      </w:r>
      <w:r w:rsidR="002A112C" w:rsidRPr="002A112C">
        <w:t>As a means of comparison, the Poisson distribution-based need calculation</w:t>
      </w:r>
      <w:r w:rsidR="00F26E45">
        <w:t xml:space="preserve"> in the eighth column of </w:t>
      </w:r>
      <w:r w:rsidR="00F26E45" w:rsidRPr="009E6E7E">
        <w:rPr>
          <w:u w:val="single"/>
        </w:rPr>
        <w:t>Table 1</w:t>
      </w:r>
      <w:r w:rsidR="009E6E7E">
        <w:rPr>
          <w:u w:val="single"/>
        </w:rPr>
        <w:t>1</w:t>
      </w:r>
      <w:r w:rsidR="002A112C" w:rsidRPr="002A112C">
        <w:t xml:space="preserve"> is shown next to another calculation commonly used to evidence need</w:t>
      </w:r>
      <w:r w:rsidR="00F26E45">
        <w:t xml:space="preserve"> (final column in </w:t>
      </w:r>
      <w:r w:rsidR="009E6E7E">
        <w:rPr>
          <w:u w:val="single"/>
        </w:rPr>
        <w:t>Table 11</w:t>
      </w:r>
      <w:r w:rsidR="00F26E45">
        <w:t>)</w:t>
      </w:r>
      <w:r w:rsidR="002A112C" w:rsidRPr="002A112C">
        <w:t>, derived using the projected 2032 average daily census, assuming an 85% occupancy rate</w:t>
      </w:r>
      <w:r w:rsidR="002A112C">
        <w:t>.</w:t>
      </w:r>
    </w:p>
    <w:p w14:paraId="2609C77E" w14:textId="77777777" w:rsidR="00374134" w:rsidRPr="00374134" w:rsidRDefault="00374134" w:rsidP="00374134">
      <w:pPr>
        <w:jc w:val="both"/>
      </w:pPr>
    </w:p>
    <w:p w14:paraId="5349FF3F" w14:textId="70900785" w:rsidR="00563C3E" w:rsidRPr="00FA1DD3" w:rsidRDefault="00563C3E" w:rsidP="000202A0">
      <w:pPr>
        <w:spacing w:line="259" w:lineRule="auto"/>
        <w:jc w:val="center"/>
        <w:rPr>
          <w:b/>
          <w:bCs/>
          <w:szCs w:val="24"/>
        </w:rPr>
      </w:pPr>
      <w:r w:rsidRPr="00FA1DD3">
        <w:rPr>
          <w:b/>
          <w:bCs/>
          <w:szCs w:val="24"/>
        </w:rPr>
        <w:t xml:space="preserve">Table </w:t>
      </w:r>
      <w:r w:rsidR="00004443">
        <w:rPr>
          <w:b/>
          <w:bCs/>
          <w:szCs w:val="24"/>
        </w:rPr>
        <w:t>1</w:t>
      </w:r>
      <w:r w:rsidR="00BA5968">
        <w:rPr>
          <w:b/>
          <w:bCs/>
          <w:szCs w:val="24"/>
        </w:rPr>
        <w:t>1</w:t>
      </w:r>
    </w:p>
    <w:p w14:paraId="58D1F2D2" w14:textId="030559D5" w:rsidR="00563C3E" w:rsidRDefault="00563C3E" w:rsidP="000202A0">
      <w:pPr>
        <w:jc w:val="center"/>
        <w:rPr>
          <w:b/>
          <w:szCs w:val="24"/>
        </w:rPr>
      </w:pPr>
      <w:r w:rsidRPr="005B6CB9">
        <w:rPr>
          <w:b/>
          <w:szCs w:val="24"/>
        </w:rPr>
        <w:t>Projected Inpatient Bed Demand</w:t>
      </w:r>
      <w:r w:rsidR="00E12E77" w:rsidRPr="00B1364A">
        <w:rPr>
          <w:rStyle w:val="FootnoteReference"/>
          <w:b/>
          <w:bCs/>
          <w:szCs w:val="24"/>
        </w:rPr>
        <w:footnoteReference w:id="77"/>
      </w:r>
      <w:r w:rsidR="00A55259" w:rsidRPr="00B1364A">
        <w:rPr>
          <w:rFonts w:ascii="Times New Roman Bold" w:hAnsi="Times New Roman Bold"/>
          <w:b/>
          <w:szCs w:val="24"/>
          <w:vertAlign w:val="superscript"/>
        </w:rPr>
        <w:t>,</w:t>
      </w:r>
      <w:r w:rsidR="006946B1" w:rsidRPr="00B1364A">
        <w:rPr>
          <w:rStyle w:val="FootnoteReference"/>
          <w:b/>
          <w:szCs w:val="24"/>
        </w:rPr>
        <w:footnoteReference w:id="78"/>
      </w:r>
    </w:p>
    <w:p w14:paraId="095D4174" w14:textId="77777777" w:rsidR="00563C3E" w:rsidRPr="005B6CB9" w:rsidRDefault="00563C3E" w:rsidP="00563C3E">
      <w:pPr>
        <w:jc w:val="center"/>
        <w:rPr>
          <w:bCs/>
          <w:szCs w:val="24"/>
        </w:rPr>
      </w:pPr>
    </w:p>
    <w:tbl>
      <w:tblPr>
        <w:tblStyle w:val="TableGrid"/>
        <w:tblW w:w="5629" w:type="pct"/>
        <w:jc w:val="center"/>
        <w:tblLayout w:type="fixed"/>
        <w:tblLook w:val="04A0" w:firstRow="1" w:lastRow="0" w:firstColumn="1" w:lastColumn="0" w:noHBand="0" w:noVBand="1"/>
      </w:tblPr>
      <w:tblGrid>
        <w:gridCol w:w="2255"/>
        <w:gridCol w:w="1340"/>
        <w:gridCol w:w="810"/>
        <w:gridCol w:w="810"/>
        <w:gridCol w:w="1080"/>
        <w:gridCol w:w="1170"/>
        <w:gridCol w:w="1080"/>
        <w:gridCol w:w="1170"/>
        <w:gridCol w:w="811"/>
      </w:tblGrid>
      <w:tr w:rsidR="00630C09" w:rsidRPr="00E12E77" w14:paraId="68DDFFA0" w14:textId="6268C0A4" w:rsidTr="00E044D6">
        <w:trPr>
          <w:cantSplit/>
          <w:trHeight w:val="855"/>
          <w:tblHeader/>
          <w:jc w:val="center"/>
        </w:trPr>
        <w:tc>
          <w:tcPr>
            <w:tcW w:w="2255" w:type="dxa"/>
            <w:noWrap/>
            <w:vAlign w:val="center"/>
            <w:hideMark/>
          </w:tcPr>
          <w:p w14:paraId="4E5DD057" w14:textId="77777777" w:rsidR="00630C09" w:rsidRPr="00E12E77" w:rsidRDefault="00630C09" w:rsidP="00A1659A">
            <w:pPr>
              <w:jc w:val="center"/>
              <w:rPr>
                <w:b/>
                <w:bCs/>
                <w:sz w:val="20"/>
                <w:u w:val="single"/>
              </w:rPr>
            </w:pPr>
            <w:bookmarkStart w:id="9" w:name="_Hlk146966737"/>
            <w:r w:rsidRPr="00E12E77">
              <w:rPr>
                <w:b/>
                <w:bCs/>
                <w:sz w:val="20"/>
                <w:u w:val="single"/>
              </w:rPr>
              <w:t>Bed Types</w:t>
            </w:r>
          </w:p>
        </w:tc>
        <w:tc>
          <w:tcPr>
            <w:tcW w:w="1340" w:type="dxa"/>
            <w:vAlign w:val="center"/>
          </w:tcPr>
          <w:p w14:paraId="60A90254" w14:textId="77777777" w:rsidR="00630C09" w:rsidRDefault="00630C09" w:rsidP="00A1659A">
            <w:pPr>
              <w:jc w:val="center"/>
              <w:rPr>
                <w:b/>
                <w:bCs/>
                <w:sz w:val="20"/>
                <w:u w:val="single"/>
              </w:rPr>
            </w:pPr>
            <w:r>
              <w:rPr>
                <w:b/>
                <w:bCs/>
                <w:sz w:val="20"/>
                <w:u w:val="single"/>
              </w:rPr>
              <w:t>2022</w:t>
            </w:r>
          </w:p>
          <w:p w14:paraId="0330719E" w14:textId="6957EFCD" w:rsidR="00630C09" w:rsidRPr="00E12E77" w:rsidRDefault="00630C09" w:rsidP="00A1659A">
            <w:pPr>
              <w:jc w:val="center"/>
              <w:rPr>
                <w:b/>
                <w:bCs/>
                <w:sz w:val="20"/>
                <w:u w:val="single"/>
              </w:rPr>
            </w:pPr>
            <w:r>
              <w:rPr>
                <w:b/>
                <w:bCs/>
                <w:sz w:val="20"/>
                <w:u w:val="single"/>
              </w:rPr>
              <w:t>Discharges</w:t>
            </w:r>
            <w:r w:rsidR="00146F91" w:rsidRPr="00146F91">
              <w:rPr>
                <w:rStyle w:val="FootnoteReference"/>
                <w:sz w:val="20"/>
              </w:rPr>
              <w:footnoteReference w:id="79"/>
            </w:r>
          </w:p>
        </w:tc>
        <w:tc>
          <w:tcPr>
            <w:tcW w:w="810" w:type="dxa"/>
            <w:vAlign w:val="center"/>
          </w:tcPr>
          <w:p w14:paraId="6337177E" w14:textId="5DDDBF44" w:rsidR="00630C09" w:rsidRDefault="00630C09" w:rsidP="00630C09">
            <w:pPr>
              <w:jc w:val="center"/>
              <w:rPr>
                <w:b/>
                <w:bCs/>
                <w:sz w:val="20"/>
                <w:u w:val="single"/>
              </w:rPr>
            </w:pPr>
            <w:r>
              <w:rPr>
                <w:b/>
                <w:bCs/>
                <w:sz w:val="20"/>
                <w:u w:val="single"/>
              </w:rPr>
              <w:t>ALOS</w:t>
            </w:r>
          </w:p>
        </w:tc>
        <w:tc>
          <w:tcPr>
            <w:tcW w:w="810" w:type="dxa"/>
            <w:vAlign w:val="center"/>
          </w:tcPr>
          <w:p w14:paraId="6FE74BD4" w14:textId="7B61AE37" w:rsidR="00630C09" w:rsidRDefault="0000494C" w:rsidP="00A1659A">
            <w:pPr>
              <w:jc w:val="center"/>
              <w:rPr>
                <w:b/>
                <w:bCs/>
                <w:sz w:val="20"/>
                <w:u w:val="single"/>
              </w:rPr>
            </w:pPr>
            <w:r>
              <w:rPr>
                <w:b/>
                <w:bCs/>
                <w:sz w:val="20"/>
                <w:u w:val="single"/>
              </w:rPr>
              <w:t>2022 ADC</w:t>
            </w:r>
          </w:p>
        </w:tc>
        <w:tc>
          <w:tcPr>
            <w:tcW w:w="1080" w:type="dxa"/>
            <w:vAlign w:val="center"/>
          </w:tcPr>
          <w:p w14:paraId="6A7CAD08" w14:textId="10796D4B" w:rsidR="00630C09" w:rsidRDefault="0000494C" w:rsidP="001D52D1">
            <w:pPr>
              <w:jc w:val="center"/>
              <w:rPr>
                <w:b/>
                <w:bCs/>
                <w:sz w:val="20"/>
                <w:u w:val="single"/>
              </w:rPr>
            </w:pPr>
            <w:r>
              <w:rPr>
                <w:b/>
                <w:bCs/>
                <w:sz w:val="20"/>
                <w:u w:val="single"/>
              </w:rPr>
              <w:t>10-year growth rate</w:t>
            </w:r>
          </w:p>
        </w:tc>
        <w:tc>
          <w:tcPr>
            <w:tcW w:w="1170" w:type="dxa"/>
            <w:vAlign w:val="center"/>
          </w:tcPr>
          <w:p w14:paraId="6970F9F3" w14:textId="0C200B10" w:rsidR="00630C09" w:rsidRPr="00E12E77" w:rsidRDefault="0000494C" w:rsidP="00A1659A">
            <w:pPr>
              <w:jc w:val="center"/>
              <w:rPr>
                <w:b/>
                <w:bCs/>
                <w:sz w:val="20"/>
                <w:u w:val="single"/>
              </w:rPr>
            </w:pPr>
            <w:r>
              <w:rPr>
                <w:b/>
                <w:bCs/>
                <w:sz w:val="20"/>
                <w:u w:val="single"/>
              </w:rPr>
              <w:t>Projected 20</w:t>
            </w:r>
            <w:r w:rsidR="00731AE0">
              <w:rPr>
                <w:b/>
                <w:bCs/>
                <w:sz w:val="20"/>
                <w:u w:val="single"/>
              </w:rPr>
              <w:t>32</w:t>
            </w:r>
            <w:r>
              <w:rPr>
                <w:b/>
                <w:bCs/>
                <w:sz w:val="20"/>
                <w:u w:val="single"/>
              </w:rPr>
              <w:t xml:space="preserve"> Discharges</w:t>
            </w:r>
          </w:p>
        </w:tc>
        <w:tc>
          <w:tcPr>
            <w:tcW w:w="1080" w:type="dxa"/>
            <w:noWrap/>
            <w:vAlign w:val="center"/>
            <w:hideMark/>
          </w:tcPr>
          <w:p w14:paraId="6822531D" w14:textId="6BA9E983" w:rsidR="00630C09" w:rsidRPr="00E12E77" w:rsidRDefault="00630C09" w:rsidP="00A1659A">
            <w:pPr>
              <w:jc w:val="center"/>
              <w:rPr>
                <w:b/>
                <w:bCs/>
                <w:sz w:val="20"/>
                <w:u w:val="single"/>
              </w:rPr>
            </w:pPr>
            <w:r>
              <w:rPr>
                <w:b/>
                <w:bCs/>
                <w:sz w:val="20"/>
                <w:u w:val="single"/>
              </w:rPr>
              <w:t xml:space="preserve">Projected </w:t>
            </w:r>
            <w:r w:rsidRPr="00E12E77">
              <w:rPr>
                <w:b/>
                <w:bCs/>
                <w:sz w:val="20"/>
                <w:u w:val="single"/>
              </w:rPr>
              <w:t>203</w:t>
            </w:r>
            <w:r>
              <w:rPr>
                <w:b/>
                <w:bCs/>
                <w:sz w:val="20"/>
                <w:u w:val="single"/>
              </w:rPr>
              <w:t>2</w:t>
            </w:r>
            <w:r w:rsidRPr="00E12E77">
              <w:rPr>
                <w:b/>
                <w:bCs/>
                <w:sz w:val="20"/>
                <w:u w:val="single"/>
              </w:rPr>
              <w:t xml:space="preserve"> </w:t>
            </w:r>
            <w:r>
              <w:rPr>
                <w:b/>
                <w:bCs/>
                <w:sz w:val="20"/>
                <w:u w:val="single"/>
              </w:rPr>
              <w:t>ADC</w:t>
            </w:r>
          </w:p>
        </w:tc>
        <w:tc>
          <w:tcPr>
            <w:tcW w:w="1170" w:type="dxa"/>
            <w:noWrap/>
            <w:vAlign w:val="center"/>
            <w:hideMark/>
          </w:tcPr>
          <w:p w14:paraId="05FD7E2C" w14:textId="7D98D667" w:rsidR="00630C09" w:rsidRPr="00E12E77" w:rsidRDefault="00630C09" w:rsidP="00A1659A">
            <w:pPr>
              <w:jc w:val="center"/>
              <w:rPr>
                <w:b/>
                <w:bCs/>
                <w:sz w:val="20"/>
                <w:u w:val="single"/>
              </w:rPr>
            </w:pPr>
            <w:r>
              <w:rPr>
                <w:b/>
                <w:bCs/>
                <w:sz w:val="20"/>
                <w:u w:val="single"/>
              </w:rPr>
              <w:t>Projected 2032 bed need</w:t>
            </w:r>
          </w:p>
        </w:tc>
        <w:tc>
          <w:tcPr>
            <w:tcW w:w="811" w:type="dxa"/>
            <w:vAlign w:val="center"/>
          </w:tcPr>
          <w:p w14:paraId="00797223" w14:textId="18D2024C" w:rsidR="00630C09" w:rsidRDefault="00630C09" w:rsidP="00A1659A">
            <w:pPr>
              <w:jc w:val="center"/>
              <w:rPr>
                <w:b/>
                <w:bCs/>
                <w:sz w:val="20"/>
                <w:u w:val="single"/>
              </w:rPr>
            </w:pPr>
            <w:r w:rsidRPr="00E12E77">
              <w:rPr>
                <w:b/>
                <w:bCs/>
                <w:sz w:val="20"/>
                <w:u w:val="single"/>
              </w:rPr>
              <w:t>85% O</w:t>
            </w:r>
            <w:r>
              <w:rPr>
                <w:b/>
                <w:bCs/>
                <w:sz w:val="20"/>
                <w:u w:val="single"/>
              </w:rPr>
              <w:t>cc</w:t>
            </w:r>
          </w:p>
        </w:tc>
      </w:tr>
      <w:tr w:rsidR="00630C09" w:rsidRPr="00E12E77" w14:paraId="159A6004" w14:textId="610D2617" w:rsidTr="00E044D6">
        <w:trPr>
          <w:cantSplit/>
          <w:trHeight w:val="315"/>
          <w:jc w:val="center"/>
        </w:trPr>
        <w:tc>
          <w:tcPr>
            <w:tcW w:w="2255" w:type="dxa"/>
            <w:noWrap/>
            <w:vAlign w:val="center"/>
            <w:hideMark/>
          </w:tcPr>
          <w:p w14:paraId="27A48C52" w14:textId="77777777" w:rsidR="00630C09" w:rsidRPr="00E12E77" w:rsidRDefault="00630C09" w:rsidP="00A1659A">
            <w:pPr>
              <w:jc w:val="center"/>
              <w:rPr>
                <w:b/>
                <w:bCs/>
                <w:sz w:val="20"/>
              </w:rPr>
            </w:pPr>
            <w:r w:rsidRPr="00E12E77">
              <w:rPr>
                <w:b/>
                <w:bCs/>
                <w:sz w:val="20"/>
              </w:rPr>
              <w:t>Medical Oncology Beds</w:t>
            </w:r>
          </w:p>
        </w:tc>
        <w:tc>
          <w:tcPr>
            <w:tcW w:w="1340" w:type="dxa"/>
          </w:tcPr>
          <w:p w14:paraId="72710CA8" w14:textId="4B108855" w:rsidR="00630C09" w:rsidRPr="0000494C" w:rsidRDefault="00630C09" w:rsidP="00A1659A">
            <w:pPr>
              <w:jc w:val="center"/>
              <w:rPr>
                <w:b/>
                <w:bCs/>
                <w:sz w:val="20"/>
              </w:rPr>
            </w:pPr>
          </w:p>
        </w:tc>
        <w:tc>
          <w:tcPr>
            <w:tcW w:w="810" w:type="dxa"/>
          </w:tcPr>
          <w:p w14:paraId="682A8560" w14:textId="77777777" w:rsidR="00630C09" w:rsidRPr="00E12E77" w:rsidRDefault="00630C09" w:rsidP="00A1659A">
            <w:pPr>
              <w:jc w:val="center"/>
              <w:rPr>
                <w:b/>
                <w:bCs/>
                <w:sz w:val="20"/>
                <w:u w:val="single"/>
              </w:rPr>
            </w:pPr>
          </w:p>
        </w:tc>
        <w:tc>
          <w:tcPr>
            <w:tcW w:w="810" w:type="dxa"/>
            <w:vAlign w:val="center"/>
          </w:tcPr>
          <w:p w14:paraId="2EF23F2B" w14:textId="538D20A7" w:rsidR="00630C09" w:rsidRPr="00E12E77" w:rsidRDefault="00630C09" w:rsidP="00A1659A">
            <w:pPr>
              <w:jc w:val="center"/>
              <w:rPr>
                <w:b/>
                <w:bCs/>
                <w:sz w:val="20"/>
                <w:u w:val="single"/>
              </w:rPr>
            </w:pPr>
          </w:p>
        </w:tc>
        <w:tc>
          <w:tcPr>
            <w:tcW w:w="1080" w:type="dxa"/>
          </w:tcPr>
          <w:p w14:paraId="428B60D2" w14:textId="1754E56D" w:rsidR="00630C09" w:rsidRPr="00E12E77" w:rsidRDefault="00630C09" w:rsidP="00A1659A">
            <w:pPr>
              <w:jc w:val="center"/>
              <w:rPr>
                <w:b/>
                <w:bCs/>
                <w:sz w:val="20"/>
                <w:u w:val="single"/>
              </w:rPr>
            </w:pPr>
          </w:p>
        </w:tc>
        <w:tc>
          <w:tcPr>
            <w:tcW w:w="1170" w:type="dxa"/>
          </w:tcPr>
          <w:p w14:paraId="4A460422" w14:textId="4C06F900" w:rsidR="00630C09" w:rsidRPr="00E12E77" w:rsidRDefault="00630C09" w:rsidP="00A1659A">
            <w:pPr>
              <w:jc w:val="center"/>
              <w:rPr>
                <w:b/>
                <w:bCs/>
                <w:sz w:val="20"/>
                <w:u w:val="single"/>
              </w:rPr>
            </w:pPr>
          </w:p>
        </w:tc>
        <w:tc>
          <w:tcPr>
            <w:tcW w:w="1080" w:type="dxa"/>
            <w:noWrap/>
            <w:vAlign w:val="center"/>
          </w:tcPr>
          <w:p w14:paraId="5CC77D11" w14:textId="7C828205" w:rsidR="00630C09" w:rsidRPr="00E12E77" w:rsidRDefault="00630C09" w:rsidP="00A1659A">
            <w:pPr>
              <w:jc w:val="center"/>
              <w:rPr>
                <w:b/>
                <w:bCs/>
                <w:sz w:val="20"/>
                <w:u w:val="single"/>
              </w:rPr>
            </w:pPr>
          </w:p>
        </w:tc>
        <w:tc>
          <w:tcPr>
            <w:tcW w:w="1170" w:type="dxa"/>
            <w:noWrap/>
            <w:vAlign w:val="center"/>
          </w:tcPr>
          <w:p w14:paraId="1CA23365" w14:textId="4AF9729C" w:rsidR="00630C09" w:rsidRPr="00E12E77" w:rsidRDefault="00630C09" w:rsidP="00A1659A">
            <w:pPr>
              <w:jc w:val="center"/>
              <w:rPr>
                <w:b/>
                <w:bCs/>
                <w:sz w:val="20"/>
                <w:u w:val="single"/>
              </w:rPr>
            </w:pPr>
          </w:p>
        </w:tc>
        <w:tc>
          <w:tcPr>
            <w:tcW w:w="811" w:type="dxa"/>
            <w:vAlign w:val="center"/>
          </w:tcPr>
          <w:p w14:paraId="2FADC520" w14:textId="77777777" w:rsidR="00630C09" w:rsidRPr="00E12E77" w:rsidRDefault="00630C09" w:rsidP="00A1659A">
            <w:pPr>
              <w:jc w:val="center"/>
              <w:rPr>
                <w:b/>
                <w:bCs/>
                <w:sz w:val="20"/>
                <w:u w:val="single"/>
              </w:rPr>
            </w:pPr>
          </w:p>
        </w:tc>
      </w:tr>
      <w:tr w:rsidR="00630C09" w:rsidRPr="00E12E77" w14:paraId="69588780" w14:textId="225A4BC8" w:rsidTr="00E044D6">
        <w:trPr>
          <w:cantSplit/>
          <w:trHeight w:val="300"/>
          <w:jc w:val="center"/>
        </w:trPr>
        <w:tc>
          <w:tcPr>
            <w:tcW w:w="2255" w:type="dxa"/>
            <w:noWrap/>
            <w:vAlign w:val="center"/>
            <w:hideMark/>
          </w:tcPr>
          <w:p w14:paraId="5E624761" w14:textId="624684F0" w:rsidR="00630C09" w:rsidRPr="00E12E77" w:rsidRDefault="00630C09" w:rsidP="00A1659A">
            <w:pPr>
              <w:rPr>
                <w:bCs/>
                <w:sz w:val="20"/>
              </w:rPr>
            </w:pPr>
            <w:r w:rsidRPr="00E12E77">
              <w:rPr>
                <w:bCs/>
                <w:sz w:val="20"/>
              </w:rPr>
              <w:t>Cell Therapies (BMT &amp; CAR)</w:t>
            </w:r>
          </w:p>
        </w:tc>
        <w:tc>
          <w:tcPr>
            <w:tcW w:w="1340" w:type="dxa"/>
            <w:vAlign w:val="center"/>
          </w:tcPr>
          <w:p w14:paraId="66212179" w14:textId="50FDF21A" w:rsidR="00630C09" w:rsidRPr="00E12E77" w:rsidRDefault="0000494C" w:rsidP="0000494C">
            <w:pPr>
              <w:jc w:val="center"/>
              <w:rPr>
                <w:bCs/>
                <w:sz w:val="20"/>
              </w:rPr>
            </w:pPr>
            <w:r>
              <w:rPr>
                <w:bCs/>
                <w:sz w:val="20"/>
              </w:rPr>
              <w:t>464</w:t>
            </w:r>
          </w:p>
        </w:tc>
        <w:tc>
          <w:tcPr>
            <w:tcW w:w="810" w:type="dxa"/>
            <w:vAlign w:val="center"/>
          </w:tcPr>
          <w:p w14:paraId="6AF24FD6" w14:textId="00CFF38A" w:rsidR="00630C09" w:rsidRPr="00E12E77" w:rsidRDefault="0000494C" w:rsidP="0000494C">
            <w:pPr>
              <w:jc w:val="center"/>
              <w:rPr>
                <w:bCs/>
                <w:sz w:val="20"/>
              </w:rPr>
            </w:pPr>
            <w:r>
              <w:rPr>
                <w:bCs/>
                <w:sz w:val="20"/>
              </w:rPr>
              <w:t>23.9</w:t>
            </w:r>
          </w:p>
        </w:tc>
        <w:tc>
          <w:tcPr>
            <w:tcW w:w="810" w:type="dxa"/>
            <w:vAlign w:val="center"/>
          </w:tcPr>
          <w:p w14:paraId="04C54D5C" w14:textId="49CAF2C4" w:rsidR="00630C09" w:rsidRPr="00E12E77" w:rsidRDefault="0000494C" w:rsidP="0000494C">
            <w:pPr>
              <w:jc w:val="center"/>
              <w:rPr>
                <w:bCs/>
                <w:sz w:val="20"/>
              </w:rPr>
            </w:pPr>
            <w:r>
              <w:rPr>
                <w:bCs/>
                <w:sz w:val="20"/>
              </w:rPr>
              <w:t>30.4</w:t>
            </w:r>
          </w:p>
        </w:tc>
        <w:tc>
          <w:tcPr>
            <w:tcW w:w="1080" w:type="dxa"/>
            <w:vAlign w:val="center"/>
          </w:tcPr>
          <w:p w14:paraId="55D67471" w14:textId="1444701A" w:rsidR="00630C09" w:rsidRPr="00E12E77" w:rsidRDefault="004C339E" w:rsidP="003F42C1">
            <w:pPr>
              <w:ind w:right="51"/>
              <w:jc w:val="center"/>
              <w:rPr>
                <w:bCs/>
                <w:sz w:val="20"/>
              </w:rPr>
            </w:pPr>
            <w:r>
              <w:rPr>
                <w:bCs/>
                <w:sz w:val="20"/>
              </w:rPr>
              <w:t>46.</w:t>
            </w:r>
            <w:r w:rsidR="00731AE0">
              <w:rPr>
                <w:bCs/>
                <w:sz w:val="20"/>
              </w:rPr>
              <w:t>0</w:t>
            </w:r>
            <w:r>
              <w:rPr>
                <w:bCs/>
                <w:sz w:val="20"/>
              </w:rPr>
              <w:t>%</w:t>
            </w:r>
            <w:r w:rsidR="003F42C1">
              <w:rPr>
                <w:bCs/>
                <w:sz w:val="20"/>
              </w:rPr>
              <w:t>*</w:t>
            </w:r>
          </w:p>
        </w:tc>
        <w:tc>
          <w:tcPr>
            <w:tcW w:w="1170" w:type="dxa"/>
            <w:vAlign w:val="center"/>
          </w:tcPr>
          <w:p w14:paraId="1655CFCA" w14:textId="2180EAAA" w:rsidR="00630C09" w:rsidRPr="00E12E77" w:rsidRDefault="004C339E" w:rsidP="004C339E">
            <w:pPr>
              <w:jc w:val="center"/>
              <w:rPr>
                <w:bCs/>
                <w:sz w:val="20"/>
              </w:rPr>
            </w:pPr>
            <w:r>
              <w:rPr>
                <w:bCs/>
                <w:sz w:val="20"/>
              </w:rPr>
              <w:t>678</w:t>
            </w:r>
          </w:p>
        </w:tc>
        <w:tc>
          <w:tcPr>
            <w:tcW w:w="1080" w:type="dxa"/>
            <w:noWrap/>
            <w:vAlign w:val="center"/>
            <w:hideMark/>
          </w:tcPr>
          <w:p w14:paraId="1289375E" w14:textId="77777777" w:rsidR="00630C09" w:rsidRPr="00E12E77" w:rsidRDefault="00630C09" w:rsidP="00A1659A">
            <w:pPr>
              <w:jc w:val="center"/>
              <w:rPr>
                <w:bCs/>
                <w:sz w:val="20"/>
              </w:rPr>
            </w:pPr>
            <w:r w:rsidRPr="00E12E77">
              <w:rPr>
                <w:bCs/>
                <w:sz w:val="20"/>
              </w:rPr>
              <w:t>44.4</w:t>
            </w:r>
          </w:p>
        </w:tc>
        <w:tc>
          <w:tcPr>
            <w:tcW w:w="1170" w:type="dxa"/>
            <w:noWrap/>
            <w:vAlign w:val="center"/>
            <w:hideMark/>
          </w:tcPr>
          <w:p w14:paraId="52C4F785" w14:textId="6E93741E" w:rsidR="00630C09" w:rsidRPr="00E12E77" w:rsidRDefault="00630C09" w:rsidP="00A1659A">
            <w:pPr>
              <w:jc w:val="center"/>
              <w:rPr>
                <w:bCs/>
                <w:sz w:val="20"/>
              </w:rPr>
            </w:pPr>
            <w:r w:rsidRPr="00E12E77">
              <w:rPr>
                <w:bCs/>
                <w:sz w:val="20"/>
              </w:rPr>
              <w:t>53</w:t>
            </w:r>
          </w:p>
        </w:tc>
        <w:tc>
          <w:tcPr>
            <w:tcW w:w="811" w:type="dxa"/>
            <w:vAlign w:val="center"/>
          </w:tcPr>
          <w:p w14:paraId="3FCA343C" w14:textId="4814531F" w:rsidR="00630C09" w:rsidRPr="00E12E77" w:rsidRDefault="00630C09" w:rsidP="00A1659A">
            <w:pPr>
              <w:jc w:val="center"/>
              <w:rPr>
                <w:bCs/>
                <w:sz w:val="20"/>
              </w:rPr>
            </w:pPr>
            <w:r w:rsidRPr="00E12E77">
              <w:rPr>
                <w:bCs/>
                <w:sz w:val="20"/>
              </w:rPr>
              <w:t>52.2</w:t>
            </w:r>
          </w:p>
        </w:tc>
      </w:tr>
      <w:tr w:rsidR="00630C09" w:rsidRPr="00E12E77" w14:paraId="64D6ADBD" w14:textId="66DCC355" w:rsidTr="00E044D6">
        <w:trPr>
          <w:cantSplit/>
          <w:trHeight w:val="300"/>
          <w:jc w:val="center"/>
        </w:trPr>
        <w:tc>
          <w:tcPr>
            <w:tcW w:w="2255" w:type="dxa"/>
            <w:noWrap/>
            <w:vAlign w:val="center"/>
            <w:hideMark/>
          </w:tcPr>
          <w:p w14:paraId="04531FB5" w14:textId="77777777" w:rsidR="00630C09" w:rsidRPr="00E12E77" w:rsidRDefault="00630C09" w:rsidP="00A1659A">
            <w:pPr>
              <w:rPr>
                <w:bCs/>
                <w:sz w:val="20"/>
              </w:rPr>
            </w:pPr>
            <w:r w:rsidRPr="00E12E77">
              <w:rPr>
                <w:bCs/>
                <w:sz w:val="20"/>
              </w:rPr>
              <w:t>Neuro Oncology</w:t>
            </w:r>
          </w:p>
        </w:tc>
        <w:tc>
          <w:tcPr>
            <w:tcW w:w="1340" w:type="dxa"/>
            <w:vAlign w:val="center"/>
          </w:tcPr>
          <w:p w14:paraId="584FBF41" w14:textId="0EEE9521" w:rsidR="00630C09" w:rsidRPr="00E12E77" w:rsidRDefault="0000494C" w:rsidP="0000494C">
            <w:pPr>
              <w:jc w:val="center"/>
              <w:rPr>
                <w:bCs/>
                <w:sz w:val="20"/>
              </w:rPr>
            </w:pPr>
            <w:r>
              <w:rPr>
                <w:bCs/>
                <w:sz w:val="20"/>
              </w:rPr>
              <w:t>828</w:t>
            </w:r>
          </w:p>
        </w:tc>
        <w:tc>
          <w:tcPr>
            <w:tcW w:w="810" w:type="dxa"/>
            <w:vAlign w:val="center"/>
          </w:tcPr>
          <w:p w14:paraId="74D235E3" w14:textId="7C3EDA09" w:rsidR="00630C09" w:rsidRPr="00E12E77" w:rsidRDefault="0000494C" w:rsidP="0000494C">
            <w:pPr>
              <w:jc w:val="center"/>
              <w:rPr>
                <w:bCs/>
                <w:sz w:val="20"/>
              </w:rPr>
            </w:pPr>
            <w:r>
              <w:rPr>
                <w:bCs/>
                <w:sz w:val="20"/>
              </w:rPr>
              <w:t>7.1</w:t>
            </w:r>
          </w:p>
        </w:tc>
        <w:tc>
          <w:tcPr>
            <w:tcW w:w="810" w:type="dxa"/>
            <w:vAlign w:val="center"/>
          </w:tcPr>
          <w:p w14:paraId="400C924D" w14:textId="0B5B9B1D" w:rsidR="00630C09" w:rsidRPr="00E12E77" w:rsidRDefault="0000494C" w:rsidP="0000494C">
            <w:pPr>
              <w:jc w:val="center"/>
              <w:rPr>
                <w:bCs/>
                <w:sz w:val="20"/>
              </w:rPr>
            </w:pPr>
            <w:r>
              <w:rPr>
                <w:bCs/>
                <w:sz w:val="20"/>
              </w:rPr>
              <w:t>16.0</w:t>
            </w:r>
          </w:p>
        </w:tc>
        <w:tc>
          <w:tcPr>
            <w:tcW w:w="1080" w:type="dxa"/>
            <w:vAlign w:val="center"/>
          </w:tcPr>
          <w:p w14:paraId="25F4F5A8" w14:textId="2244C90B" w:rsidR="00630C09" w:rsidRPr="00E12E77" w:rsidRDefault="004C339E" w:rsidP="00731AE0">
            <w:pPr>
              <w:jc w:val="center"/>
              <w:rPr>
                <w:bCs/>
                <w:sz w:val="20"/>
              </w:rPr>
            </w:pPr>
            <w:r>
              <w:rPr>
                <w:bCs/>
                <w:sz w:val="20"/>
              </w:rPr>
              <w:t>10.</w:t>
            </w:r>
            <w:r w:rsidR="00731AE0">
              <w:rPr>
                <w:bCs/>
                <w:sz w:val="20"/>
              </w:rPr>
              <w:t>8</w:t>
            </w:r>
            <w:r>
              <w:rPr>
                <w:bCs/>
                <w:sz w:val="20"/>
              </w:rPr>
              <w:t>%</w:t>
            </w:r>
            <w:r w:rsidR="003F42C1">
              <w:rPr>
                <w:bCs/>
                <w:sz w:val="20"/>
              </w:rPr>
              <w:t>**</w:t>
            </w:r>
          </w:p>
        </w:tc>
        <w:tc>
          <w:tcPr>
            <w:tcW w:w="1170" w:type="dxa"/>
            <w:vAlign w:val="center"/>
          </w:tcPr>
          <w:p w14:paraId="2FE05C2E" w14:textId="79853DFF" w:rsidR="00630C09" w:rsidRPr="00E12E77" w:rsidRDefault="004C339E" w:rsidP="004C339E">
            <w:pPr>
              <w:jc w:val="center"/>
              <w:rPr>
                <w:bCs/>
                <w:sz w:val="20"/>
              </w:rPr>
            </w:pPr>
            <w:r>
              <w:rPr>
                <w:bCs/>
                <w:sz w:val="20"/>
              </w:rPr>
              <w:t>917</w:t>
            </w:r>
          </w:p>
        </w:tc>
        <w:tc>
          <w:tcPr>
            <w:tcW w:w="1080" w:type="dxa"/>
            <w:noWrap/>
            <w:vAlign w:val="center"/>
            <w:hideMark/>
          </w:tcPr>
          <w:p w14:paraId="10034D6D" w14:textId="77777777" w:rsidR="00630C09" w:rsidRPr="00E12E77" w:rsidRDefault="00630C09" w:rsidP="00A1659A">
            <w:pPr>
              <w:jc w:val="center"/>
              <w:rPr>
                <w:bCs/>
                <w:sz w:val="20"/>
              </w:rPr>
            </w:pPr>
            <w:r w:rsidRPr="00E12E77">
              <w:rPr>
                <w:bCs/>
                <w:sz w:val="20"/>
              </w:rPr>
              <w:t>17.7</w:t>
            </w:r>
          </w:p>
        </w:tc>
        <w:tc>
          <w:tcPr>
            <w:tcW w:w="1170" w:type="dxa"/>
            <w:noWrap/>
            <w:vAlign w:val="center"/>
            <w:hideMark/>
          </w:tcPr>
          <w:p w14:paraId="3C92BFD9" w14:textId="4434283E" w:rsidR="00630C09" w:rsidRPr="00E12E77" w:rsidRDefault="00630C09" w:rsidP="00A1659A">
            <w:pPr>
              <w:jc w:val="center"/>
              <w:rPr>
                <w:bCs/>
                <w:sz w:val="20"/>
              </w:rPr>
            </w:pPr>
            <w:r w:rsidRPr="00E12E77">
              <w:rPr>
                <w:bCs/>
                <w:sz w:val="20"/>
              </w:rPr>
              <w:t>23</w:t>
            </w:r>
          </w:p>
        </w:tc>
        <w:tc>
          <w:tcPr>
            <w:tcW w:w="811" w:type="dxa"/>
            <w:vAlign w:val="center"/>
          </w:tcPr>
          <w:p w14:paraId="5BE599B6" w14:textId="4EC5AB58" w:rsidR="00630C09" w:rsidRPr="00E12E77" w:rsidRDefault="00630C09" w:rsidP="00A1659A">
            <w:pPr>
              <w:jc w:val="center"/>
              <w:rPr>
                <w:bCs/>
                <w:sz w:val="20"/>
              </w:rPr>
            </w:pPr>
            <w:r w:rsidRPr="00E12E77">
              <w:rPr>
                <w:bCs/>
                <w:sz w:val="20"/>
              </w:rPr>
              <w:t>20.8</w:t>
            </w:r>
          </w:p>
        </w:tc>
      </w:tr>
      <w:tr w:rsidR="00630C09" w:rsidRPr="00E12E77" w14:paraId="5026F2B7" w14:textId="7D8AEBED" w:rsidTr="00E044D6">
        <w:trPr>
          <w:cantSplit/>
          <w:trHeight w:val="300"/>
          <w:jc w:val="center"/>
        </w:trPr>
        <w:tc>
          <w:tcPr>
            <w:tcW w:w="2255" w:type="dxa"/>
            <w:noWrap/>
            <w:vAlign w:val="center"/>
            <w:hideMark/>
          </w:tcPr>
          <w:p w14:paraId="1AD4178F" w14:textId="309C60F7" w:rsidR="00630C09" w:rsidRPr="00E12E77" w:rsidRDefault="00630C09" w:rsidP="00A1659A">
            <w:pPr>
              <w:rPr>
                <w:bCs/>
                <w:sz w:val="20"/>
              </w:rPr>
            </w:pPr>
            <w:r w:rsidRPr="00E12E77">
              <w:rPr>
                <w:bCs/>
                <w:sz w:val="20"/>
              </w:rPr>
              <w:t>Palliative Care</w:t>
            </w:r>
          </w:p>
        </w:tc>
        <w:tc>
          <w:tcPr>
            <w:tcW w:w="1340" w:type="dxa"/>
            <w:vAlign w:val="center"/>
          </w:tcPr>
          <w:p w14:paraId="0879167C" w14:textId="1BCBE306" w:rsidR="00630C09" w:rsidRPr="00E12E77" w:rsidRDefault="0000494C" w:rsidP="0000494C">
            <w:pPr>
              <w:jc w:val="center"/>
              <w:rPr>
                <w:bCs/>
                <w:sz w:val="20"/>
              </w:rPr>
            </w:pPr>
            <w:r>
              <w:rPr>
                <w:bCs/>
                <w:sz w:val="20"/>
              </w:rPr>
              <w:t>953</w:t>
            </w:r>
          </w:p>
        </w:tc>
        <w:tc>
          <w:tcPr>
            <w:tcW w:w="810" w:type="dxa"/>
            <w:vAlign w:val="center"/>
          </w:tcPr>
          <w:p w14:paraId="6A7B48D1" w14:textId="2B55E128" w:rsidR="0000494C" w:rsidRPr="00E12E77" w:rsidRDefault="0000494C" w:rsidP="0000494C">
            <w:pPr>
              <w:jc w:val="center"/>
              <w:rPr>
                <w:bCs/>
                <w:sz w:val="20"/>
              </w:rPr>
            </w:pPr>
            <w:r>
              <w:rPr>
                <w:bCs/>
                <w:sz w:val="20"/>
              </w:rPr>
              <w:t>10.0</w:t>
            </w:r>
          </w:p>
        </w:tc>
        <w:tc>
          <w:tcPr>
            <w:tcW w:w="810" w:type="dxa"/>
            <w:vAlign w:val="center"/>
          </w:tcPr>
          <w:p w14:paraId="120C2E9B" w14:textId="06FFC73C" w:rsidR="00630C09" w:rsidRPr="00E12E77" w:rsidRDefault="0000494C" w:rsidP="0000494C">
            <w:pPr>
              <w:jc w:val="center"/>
              <w:rPr>
                <w:bCs/>
                <w:sz w:val="20"/>
              </w:rPr>
            </w:pPr>
            <w:r>
              <w:rPr>
                <w:bCs/>
                <w:sz w:val="20"/>
              </w:rPr>
              <w:t>26.1</w:t>
            </w:r>
          </w:p>
        </w:tc>
        <w:tc>
          <w:tcPr>
            <w:tcW w:w="1080" w:type="dxa"/>
            <w:vAlign w:val="center"/>
          </w:tcPr>
          <w:p w14:paraId="0BEFE085" w14:textId="3A116130" w:rsidR="00630C09" w:rsidRPr="00E12E77" w:rsidRDefault="00731AE0" w:rsidP="00731AE0">
            <w:pPr>
              <w:jc w:val="center"/>
              <w:rPr>
                <w:bCs/>
                <w:sz w:val="20"/>
              </w:rPr>
            </w:pPr>
            <w:r>
              <w:rPr>
                <w:bCs/>
                <w:sz w:val="20"/>
              </w:rPr>
              <w:t>10.8%</w:t>
            </w:r>
            <w:r w:rsidR="003F42C1">
              <w:rPr>
                <w:bCs/>
                <w:sz w:val="20"/>
              </w:rPr>
              <w:t>**</w:t>
            </w:r>
          </w:p>
        </w:tc>
        <w:tc>
          <w:tcPr>
            <w:tcW w:w="1170" w:type="dxa"/>
            <w:vAlign w:val="center"/>
          </w:tcPr>
          <w:p w14:paraId="3CBECA1B" w14:textId="22F92EE1" w:rsidR="00630C09" w:rsidRPr="00E12E77" w:rsidRDefault="004C339E" w:rsidP="004C339E">
            <w:pPr>
              <w:jc w:val="center"/>
              <w:rPr>
                <w:bCs/>
                <w:sz w:val="20"/>
              </w:rPr>
            </w:pPr>
            <w:r>
              <w:rPr>
                <w:bCs/>
                <w:sz w:val="20"/>
              </w:rPr>
              <w:t>1,055</w:t>
            </w:r>
          </w:p>
        </w:tc>
        <w:tc>
          <w:tcPr>
            <w:tcW w:w="1080" w:type="dxa"/>
            <w:noWrap/>
            <w:vAlign w:val="center"/>
            <w:hideMark/>
          </w:tcPr>
          <w:p w14:paraId="0EA83299" w14:textId="77777777" w:rsidR="00630C09" w:rsidRPr="00E12E77" w:rsidRDefault="00630C09" w:rsidP="00A1659A">
            <w:pPr>
              <w:jc w:val="center"/>
              <w:rPr>
                <w:bCs/>
                <w:sz w:val="20"/>
              </w:rPr>
            </w:pPr>
            <w:r w:rsidRPr="00E12E77">
              <w:rPr>
                <w:bCs/>
                <w:sz w:val="20"/>
              </w:rPr>
              <w:t>28.9</w:t>
            </w:r>
          </w:p>
        </w:tc>
        <w:tc>
          <w:tcPr>
            <w:tcW w:w="1170" w:type="dxa"/>
            <w:noWrap/>
            <w:vAlign w:val="center"/>
            <w:hideMark/>
          </w:tcPr>
          <w:p w14:paraId="3E474B77" w14:textId="23498E54" w:rsidR="00630C09" w:rsidRPr="00E12E77" w:rsidRDefault="00630C09" w:rsidP="00A1659A">
            <w:pPr>
              <w:jc w:val="center"/>
              <w:rPr>
                <w:bCs/>
                <w:sz w:val="20"/>
              </w:rPr>
            </w:pPr>
            <w:r w:rsidRPr="00E12E77">
              <w:rPr>
                <w:bCs/>
                <w:sz w:val="20"/>
              </w:rPr>
              <w:t>36</w:t>
            </w:r>
          </w:p>
        </w:tc>
        <w:tc>
          <w:tcPr>
            <w:tcW w:w="811" w:type="dxa"/>
            <w:vAlign w:val="center"/>
          </w:tcPr>
          <w:p w14:paraId="3EEC1D6A" w14:textId="104B3C11" w:rsidR="00630C09" w:rsidRPr="00E12E77" w:rsidRDefault="00630C09" w:rsidP="00A1659A">
            <w:pPr>
              <w:jc w:val="center"/>
              <w:rPr>
                <w:bCs/>
                <w:sz w:val="20"/>
              </w:rPr>
            </w:pPr>
            <w:r w:rsidRPr="00E12E77">
              <w:rPr>
                <w:bCs/>
                <w:sz w:val="20"/>
              </w:rPr>
              <w:t>34.0</w:t>
            </w:r>
          </w:p>
        </w:tc>
      </w:tr>
      <w:tr w:rsidR="00630C09" w:rsidRPr="00E12E77" w14:paraId="5EED0E04" w14:textId="224FBBD9" w:rsidTr="00E044D6">
        <w:trPr>
          <w:cantSplit/>
          <w:trHeight w:val="300"/>
          <w:jc w:val="center"/>
        </w:trPr>
        <w:tc>
          <w:tcPr>
            <w:tcW w:w="2255" w:type="dxa"/>
            <w:noWrap/>
            <w:vAlign w:val="center"/>
            <w:hideMark/>
          </w:tcPr>
          <w:p w14:paraId="013A3232" w14:textId="77777777" w:rsidR="00630C09" w:rsidRPr="00E12E77" w:rsidRDefault="00630C09" w:rsidP="00A1659A">
            <w:pPr>
              <w:rPr>
                <w:bCs/>
                <w:sz w:val="20"/>
              </w:rPr>
            </w:pPr>
            <w:r w:rsidRPr="00E12E77">
              <w:rPr>
                <w:bCs/>
                <w:sz w:val="20"/>
              </w:rPr>
              <w:t>Young Adult Oncology</w:t>
            </w:r>
          </w:p>
        </w:tc>
        <w:tc>
          <w:tcPr>
            <w:tcW w:w="1340" w:type="dxa"/>
            <w:vAlign w:val="center"/>
          </w:tcPr>
          <w:p w14:paraId="0E9B6A15" w14:textId="6FA5C147" w:rsidR="00630C09" w:rsidRPr="00E12E77" w:rsidRDefault="0000494C" w:rsidP="0000494C">
            <w:pPr>
              <w:jc w:val="center"/>
              <w:rPr>
                <w:bCs/>
                <w:sz w:val="20"/>
              </w:rPr>
            </w:pPr>
            <w:r>
              <w:rPr>
                <w:bCs/>
                <w:sz w:val="20"/>
              </w:rPr>
              <w:t>875</w:t>
            </w:r>
          </w:p>
        </w:tc>
        <w:tc>
          <w:tcPr>
            <w:tcW w:w="810" w:type="dxa"/>
            <w:vAlign w:val="center"/>
          </w:tcPr>
          <w:p w14:paraId="602F3080" w14:textId="01811CB7" w:rsidR="00630C09" w:rsidRPr="00E12E77" w:rsidRDefault="0000494C" w:rsidP="0000494C">
            <w:pPr>
              <w:jc w:val="center"/>
              <w:rPr>
                <w:bCs/>
                <w:sz w:val="20"/>
              </w:rPr>
            </w:pPr>
            <w:r>
              <w:rPr>
                <w:bCs/>
                <w:sz w:val="20"/>
              </w:rPr>
              <w:t>8.4</w:t>
            </w:r>
          </w:p>
        </w:tc>
        <w:tc>
          <w:tcPr>
            <w:tcW w:w="810" w:type="dxa"/>
            <w:vAlign w:val="center"/>
          </w:tcPr>
          <w:p w14:paraId="4BA95CA0" w14:textId="5854135D" w:rsidR="00630C09" w:rsidRPr="00E12E77" w:rsidRDefault="0000494C" w:rsidP="0000494C">
            <w:pPr>
              <w:jc w:val="center"/>
              <w:rPr>
                <w:bCs/>
                <w:sz w:val="20"/>
              </w:rPr>
            </w:pPr>
            <w:r>
              <w:rPr>
                <w:bCs/>
                <w:sz w:val="20"/>
              </w:rPr>
              <w:t>20.2</w:t>
            </w:r>
          </w:p>
        </w:tc>
        <w:tc>
          <w:tcPr>
            <w:tcW w:w="1080" w:type="dxa"/>
            <w:vAlign w:val="center"/>
          </w:tcPr>
          <w:p w14:paraId="63697406" w14:textId="3474D24A" w:rsidR="00630C09" w:rsidRPr="00E12E77" w:rsidRDefault="00731AE0" w:rsidP="00731AE0">
            <w:pPr>
              <w:jc w:val="center"/>
              <w:rPr>
                <w:bCs/>
                <w:sz w:val="20"/>
              </w:rPr>
            </w:pPr>
            <w:r>
              <w:rPr>
                <w:bCs/>
                <w:sz w:val="20"/>
              </w:rPr>
              <w:t>18.5%</w:t>
            </w:r>
            <w:r w:rsidR="003F42C1">
              <w:rPr>
                <w:bCs/>
                <w:sz w:val="20"/>
              </w:rPr>
              <w:t>**</w:t>
            </w:r>
          </w:p>
        </w:tc>
        <w:tc>
          <w:tcPr>
            <w:tcW w:w="1170" w:type="dxa"/>
            <w:vAlign w:val="center"/>
          </w:tcPr>
          <w:p w14:paraId="32F0D71A" w14:textId="717E563E" w:rsidR="00630C09" w:rsidRPr="00E12E77" w:rsidRDefault="004C339E" w:rsidP="004C339E">
            <w:pPr>
              <w:jc w:val="center"/>
              <w:rPr>
                <w:bCs/>
                <w:sz w:val="20"/>
              </w:rPr>
            </w:pPr>
            <w:r>
              <w:rPr>
                <w:bCs/>
                <w:sz w:val="20"/>
              </w:rPr>
              <w:t>1,041</w:t>
            </w:r>
          </w:p>
        </w:tc>
        <w:tc>
          <w:tcPr>
            <w:tcW w:w="1080" w:type="dxa"/>
            <w:noWrap/>
            <w:vAlign w:val="center"/>
            <w:hideMark/>
          </w:tcPr>
          <w:p w14:paraId="10456007" w14:textId="77777777" w:rsidR="00630C09" w:rsidRPr="00E12E77" w:rsidRDefault="00630C09" w:rsidP="00A1659A">
            <w:pPr>
              <w:jc w:val="center"/>
              <w:rPr>
                <w:bCs/>
                <w:sz w:val="20"/>
              </w:rPr>
            </w:pPr>
            <w:r w:rsidRPr="00E12E77">
              <w:rPr>
                <w:bCs/>
                <w:sz w:val="20"/>
              </w:rPr>
              <w:t>23.9</w:t>
            </w:r>
          </w:p>
        </w:tc>
        <w:tc>
          <w:tcPr>
            <w:tcW w:w="1170" w:type="dxa"/>
            <w:noWrap/>
            <w:vAlign w:val="center"/>
            <w:hideMark/>
          </w:tcPr>
          <w:p w14:paraId="17DEF1C0" w14:textId="2B38E924" w:rsidR="00630C09" w:rsidRPr="00E12E77" w:rsidRDefault="00630C09" w:rsidP="00A1659A">
            <w:pPr>
              <w:jc w:val="center"/>
              <w:rPr>
                <w:bCs/>
                <w:sz w:val="20"/>
              </w:rPr>
            </w:pPr>
            <w:r w:rsidRPr="00E12E77">
              <w:rPr>
                <w:bCs/>
                <w:sz w:val="20"/>
              </w:rPr>
              <w:t>30</w:t>
            </w:r>
          </w:p>
        </w:tc>
        <w:tc>
          <w:tcPr>
            <w:tcW w:w="811" w:type="dxa"/>
            <w:vAlign w:val="center"/>
          </w:tcPr>
          <w:p w14:paraId="160A2451" w14:textId="314C1DA3" w:rsidR="00630C09" w:rsidRPr="00E12E77" w:rsidRDefault="00630C09" w:rsidP="00A1659A">
            <w:pPr>
              <w:jc w:val="center"/>
              <w:rPr>
                <w:bCs/>
                <w:sz w:val="20"/>
              </w:rPr>
            </w:pPr>
            <w:r w:rsidRPr="00E12E77">
              <w:rPr>
                <w:bCs/>
                <w:sz w:val="20"/>
              </w:rPr>
              <w:t>28.2</w:t>
            </w:r>
          </w:p>
        </w:tc>
      </w:tr>
      <w:tr w:rsidR="00630C09" w:rsidRPr="00E12E77" w14:paraId="4FCBF64E" w14:textId="05649D85" w:rsidTr="00E044D6">
        <w:trPr>
          <w:cantSplit/>
          <w:trHeight w:val="300"/>
          <w:jc w:val="center"/>
        </w:trPr>
        <w:tc>
          <w:tcPr>
            <w:tcW w:w="2255" w:type="dxa"/>
            <w:noWrap/>
            <w:vAlign w:val="center"/>
            <w:hideMark/>
          </w:tcPr>
          <w:p w14:paraId="473FA34B" w14:textId="77777777" w:rsidR="00630C09" w:rsidRPr="00E12E77" w:rsidRDefault="00630C09" w:rsidP="00A1659A">
            <w:pPr>
              <w:rPr>
                <w:bCs/>
                <w:sz w:val="20"/>
              </w:rPr>
            </w:pPr>
            <w:r w:rsidRPr="00E12E77">
              <w:rPr>
                <w:bCs/>
                <w:sz w:val="20"/>
              </w:rPr>
              <w:t>Geriatric Oncology</w:t>
            </w:r>
          </w:p>
        </w:tc>
        <w:tc>
          <w:tcPr>
            <w:tcW w:w="1340" w:type="dxa"/>
            <w:vAlign w:val="center"/>
          </w:tcPr>
          <w:p w14:paraId="1584AA28" w14:textId="2AC5D8EA" w:rsidR="00630C09" w:rsidRPr="00E12E77" w:rsidRDefault="0000494C" w:rsidP="0000494C">
            <w:pPr>
              <w:jc w:val="center"/>
              <w:rPr>
                <w:bCs/>
                <w:sz w:val="20"/>
              </w:rPr>
            </w:pPr>
            <w:r>
              <w:rPr>
                <w:bCs/>
                <w:sz w:val="20"/>
              </w:rPr>
              <w:t>1,371</w:t>
            </w:r>
          </w:p>
        </w:tc>
        <w:tc>
          <w:tcPr>
            <w:tcW w:w="810" w:type="dxa"/>
            <w:vAlign w:val="center"/>
          </w:tcPr>
          <w:p w14:paraId="6762D9FC" w14:textId="484C81E9" w:rsidR="00630C09" w:rsidRPr="00E12E77" w:rsidRDefault="0000494C" w:rsidP="0000494C">
            <w:pPr>
              <w:jc w:val="center"/>
              <w:rPr>
                <w:bCs/>
                <w:sz w:val="20"/>
              </w:rPr>
            </w:pPr>
            <w:r>
              <w:rPr>
                <w:bCs/>
                <w:sz w:val="20"/>
              </w:rPr>
              <w:t>7.9</w:t>
            </w:r>
          </w:p>
        </w:tc>
        <w:tc>
          <w:tcPr>
            <w:tcW w:w="810" w:type="dxa"/>
            <w:vAlign w:val="center"/>
          </w:tcPr>
          <w:p w14:paraId="050BA9EC" w14:textId="541A66AB" w:rsidR="00630C09" w:rsidRPr="00E12E77" w:rsidRDefault="0000494C" w:rsidP="0000494C">
            <w:pPr>
              <w:jc w:val="center"/>
              <w:rPr>
                <w:bCs/>
                <w:sz w:val="20"/>
              </w:rPr>
            </w:pPr>
            <w:r>
              <w:rPr>
                <w:bCs/>
                <w:sz w:val="20"/>
              </w:rPr>
              <w:t>29.7</w:t>
            </w:r>
          </w:p>
        </w:tc>
        <w:tc>
          <w:tcPr>
            <w:tcW w:w="1080" w:type="dxa"/>
            <w:vAlign w:val="center"/>
          </w:tcPr>
          <w:p w14:paraId="6F77D46A" w14:textId="191EAC58" w:rsidR="00630C09" w:rsidRPr="00E12E77" w:rsidRDefault="00731AE0" w:rsidP="00731AE0">
            <w:pPr>
              <w:jc w:val="center"/>
              <w:rPr>
                <w:bCs/>
                <w:sz w:val="20"/>
              </w:rPr>
            </w:pPr>
            <w:r>
              <w:rPr>
                <w:bCs/>
                <w:sz w:val="20"/>
              </w:rPr>
              <w:t>34.8%</w:t>
            </w:r>
            <w:r w:rsidR="003F42C1">
              <w:rPr>
                <w:bCs/>
                <w:sz w:val="20"/>
              </w:rPr>
              <w:t>**</w:t>
            </w:r>
          </w:p>
        </w:tc>
        <w:tc>
          <w:tcPr>
            <w:tcW w:w="1170" w:type="dxa"/>
            <w:vAlign w:val="center"/>
          </w:tcPr>
          <w:p w14:paraId="218F08E3" w14:textId="6515EF5F" w:rsidR="00630C09" w:rsidRPr="00E12E77" w:rsidRDefault="004C339E" w:rsidP="004C339E">
            <w:pPr>
              <w:jc w:val="center"/>
              <w:rPr>
                <w:bCs/>
                <w:sz w:val="20"/>
              </w:rPr>
            </w:pPr>
            <w:r>
              <w:rPr>
                <w:bCs/>
                <w:sz w:val="20"/>
              </w:rPr>
              <w:t>1,848</w:t>
            </w:r>
          </w:p>
        </w:tc>
        <w:tc>
          <w:tcPr>
            <w:tcW w:w="1080" w:type="dxa"/>
            <w:noWrap/>
            <w:vAlign w:val="center"/>
            <w:hideMark/>
          </w:tcPr>
          <w:p w14:paraId="1C0578CD" w14:textId="77777777" w:rsidR="00630C09" w:rsidRPr="00E12E77" w:rsidRDefault="00630C09" w:rsidP="00A1659A">
            <w:pPr>
              <w:jc w:val="center"/>
              <w:rPr>
                <w:bCs/>
                <w:sz w:val="20"/>
              </w:rPr>
            </w:pPr>
            <w:r w:rsidRPr="00E12E77">
              <w:rPr>
                <w:bCs/>
                <w:sz w:val="20"/>
              </w:rPr>
              <w:t>40.0</w:t>
            </w:r>
          </w:p>
        </w:tc>
        <w:tc>
          <w:tcPr>
            <w:tcW w:w="1170" w:type="dxa"/>
            <w:noWrap/>
            <w:vAlign w:val="center"/>
            <w:hideMark/>
          </w:tcPr>
          <w:p w14:paraId="01C72465" w14:textId="701A6727" w:rsidR="00630C09" w:rsidRPr="00E12E77" w:rsidRDefault="00630C09" w:rsidP="00A1659A">
            <w:pPr>
              <w:jc w:val="center"/>
              <w:rPr>
                <w:bCs/>
                <w:sz w:val="20"/>
              </w:rPr>
            </w:pPr>
            <w:r w:rsidRPr="00E12E77">
              <w:rPr>
                <w:bCs/>
                <w:sz w:val="20"/>
              </w:rPr>
              <w:t>48</w:t>
            </w:r>
          </w:p>
        </w:tc>
        <w:tc>
          <w:tcPr>
            <w:tcW w:w="811" w:type="dxa"/>
            <w:vAlign w:val="center"/>
          </w:tcPr>
          <w:p w14:paraId="485E55C9" w14:textId="5019B84D" w:rsidR="00630C09" w:rsidRPr="00E12E77" w:rsidRDefault="00630C09" w:rsidP="00A1659A">
            <w:pPr>
              <w:jc w:val="center"/>
              <w:rPr>
                <w:bCs/>
                <w:sz w:val="20"/>
              </w:rPr>
            </w:pPr>
            <w:r w:rsidRPr="00E12E77">
              <w:rPr>
                <w:bCs/>
                <w:sz w:val="20"/>
              </w:rPr>
              <w:t>47.1</w:t>
            </w:r>
          </w:p>
        </w:tc>
      </w:tr>
      <w:tr w:rsidR="00630C09" w:rsidRPr="00E12E77" w14:paraId="6B937F9F" w14:textId="73DFAA68" w:rsidTr="00E044D6">
        <w:trPr>
          <w:cantSplit/>
          <w:trHeight w:val="315"/>
          <w:jc w:val="center"/>
        </w:trPr>
        <w:tc>
          <w:tcPr>
            <w:tcW w:w="2255" w:type="dxa"/>
            <w:noWrap/>
            <w:vAlign w:val="center"/>
            <w:hideMark/>
          </w:tcPr>
          <w:p w14:paraId="5EB4F058" w14:textId="77777777" w:rsidR="00630C09" w:rsidRPr="00E12E77" w:rsidRDefault="00630C09" w:rsidP="00A1659A">
            <w:pPr>
              <w:rPr>
                <w:bCs/>
                <w:sz w:val="20"/>
              </w:rPr>
            </w:pPr>
            <w:r w:rsidRPr="00E12E77">
              <w:rPr>
                <w:bCs/>
                <w:sz w:val="20"/>
              </w:rPr>
              <w:t>Medical Oncology</w:t>
            </w:r>
          </w:p>
        </w:tc>
        <w:tc>
          <w:tcPr>
            <w:tcW w:w="1340" w:type="dxa"/>
            <w:vAlign w:val="center"/>
          </w:tcPr>
          <w:p w14:paraId="643FBEC7" w14:textId="48252623" w:rsidR="00630C09" w:rsidRPr="00E12E77" w:rsidRDefault="0000494C" w:rsidP="0000494C">
            <w:pPr>
              <w:jc w:val="center"/>
              <w:rPr>
                <w:bCs/>
                <w:sz w:val="20"/>
              </w:rPr>
            </w:pPr>
            <w:r>
              <w:rPr>
                <w:bCs/>
                <w:sz w:val="20"/>
              </w:rPr>
              <w:t>7,085</w:t>
            </w:r>
          </w:p>
        </w:tc>
        <w:tc>
          <w:tcPr>
            <w:tcW w:w="810" w:type="dxa"/>
            <w:vAlign w:val="center"/>
          </w:tcPr>
          <w:p w14:paraId="0FEB5721" w14:textId="0E33B5E7" w:rsidR="00630C09" w:rsidRPr="00E12E77" w:rsidRDefault="0000494C" w:rsidP="0000494C">
            <w:pPr>
              <w:jc w:val="center"/>
              <w:rPr>
                <w:bCs/>
                <w:sz w:val="20"/>
              </w:rPr>
            </w:pPr>
            <w:r>
              <w:rPr>
                <w:bCs/>
                <w:sz w:val="20"/>
              </w:rPr>
              <w:t>6.9</w:t>
            </w:r>
          </w:p>
        </w:tc>
        <w:tc>
          <w:tcPr>
            <w:tcW w:w="810" w:type="dxa"/>
            <w:vAlign w:val="center"/>
          </w:tcPr>
          <w:p w14:paraId="46BE8A22" w14:textId="6974AF38" w:rsidR="00630C09" w:rsidRPr="00E12E77" w:rsidRDefault="0000494C" w:rsidP="0000494C">
            <w:pPr>
              <w:jc w:val="center"/>
              <w:rPr>
                <w:bCs/>
                <w:sz w:val="20"/>
              </w:rPr>
            </w:pPr>
            <w:r>
              <w:rPr>
                <w:bCs/>
                <w:sz w:val="20"/>
              </w:rPr>
              <w:t>134.2</w:t>
            </w:r>
          </w:p>
        </w:tc>
        <w:tc>
          <w:tcPr>
            <w:tcW w:w="1080" w:type="dxa"/>
            <w:vAlign w:val="center"/>
          </w:tcPr>
          <w:p w14:paraId="65B1F289" w14:textId="7FA6FA4C" w:rsidR="00630C09" w:rsidRPr="00E12E77" w:rsidRDefault="00731AE0" w:rsidP="00731AE0">
            <w:pPr>
              <w:jc w:val="center"/>
              <w:rPr>
                <w:bCs/>
                <w:sz w:val="20"/>
              </w:rPr>
            </w:pPr>
            <w:r>
              <w:rPr>
                <w:bCs/>
                <w:sz w:val="20"/>
              </w:rPr>
              <w:t>10.8%</w:t>
            </w:r>
            <w:r w:rsidR="003F42C1">
              <w:rPr>
                <w:bCs/>
                <w:sz w:val="20"/>
              </w:rPr>
              <w:t>**</w:t>
            </w:r>
          </w:p>
        </w:tc>
        <w:tc>
          <w:tcPr>
            <w:tcW w:w="1170" w:type="dxa"/>
            <w:vAlign w:val="center"/>
          </w:tcPr>
          <w:p w14:paraId="558B6695" w14:textId="5D5F68E1" w:rsidR="004C339E" w:rsidRPr="00E12E77" w:rsidRDefault="004C339E" w:rsidP="004C339E">
            <w:pPr>
              <w:jc w:val="center"/>
              <w:rPr>
                <w:bCs/>
                <w:sz w:val="20"/>
              </w:rPr>
            </w:pPr>
            <w:r>
              <w:rPr>
                <w:bCs/>
                <w:sz w:val="20"/>
              </w:rPr>
              <w:t>7,861</w:t>
            </w:r>
          </w:p>
        </w:tc>
        <w:tc>
          <w:tcPr>
            <w:tcW w:w="1080" w:type="dxa"/>
            <w:noWrap/>
            <w:vAlign w:val="center"/>
            <w:hideMark/>
          </w:tcPr>
          <w:p w14:paraId="388D8566" w14:textId="77777777" w:rsidR="00630C09" w:rsidRPr="00E12E77" w:rsidRDefault="00630C09" w:rsidP="00A1659A">
            <w:pPr>
              <w:jc w:val="center"/>
              <w:rPr>
                <w:bCs/>
                <w:sz w:val="20"/>
              </w:rPr>
            </w:pPr>
            <w:r w:rsidRPr="00E12E77">
              <w:rPr>
                <w:bCs/>
                <w:sz w:val="20"/>
              </w:rPr>
              <w:t>148.7</w:t>
            </w:r>
          </w:p>
        </w:tc>
        <w:tc>
          <w:tcPr>
            <w:tcW w:w="1170" w:type="dxa"/>
            <w:noWrap/>
            <w:vAlign w:val="center"/>
            <w:hideMark/>
          </w:tcPr>
          <w:p w14:paraId="3D045DE9" w14:textId="18310C31" w:rsidR="00630C09" w:rsidRPr="00E12E77" w:rsidRDefault="00630C09" w:rsidP="00A1659A">
            <w:pPr>
              <w:jc w:val="center"/>
              <w:rPr>
                <w:bCs/>
                <w:sz w:val="20"/>
              </w:rPr>
            </w:pPr>
            <w:r w:rsidRPr="00E12E77">
              <w:rPr>
                <w:bCs/>
                <w:sz w:val="20"/>
              </w:rPr>
              <w:t>169</w:t>
            </w:r>
          </w:p>
        </w:tc>
        <w:tc>
          <w:tcPr>
            <w:tcW w:w="811" w:type="dxa"/>
            <w:vAlign w:val="center"/>
          </w:tcPr>
          <w:p w14:paraId="3ABF51DD" w14:textId="05C043C2" w:rsidR="00630C09" w:rsidRPr="00E12E77" w:rsidRDefault="00630C09" w:rsidP="00A1659A">
            <w:pPr>
              <w:jc w:val="center"/>
              <w:rPr>
                <w:bCs/>
                <w:sz w:val="20"/>
              </w:rPr>
            </w:pPr>
            <w:r w:rsidRPr="00E12E77">
              <w:rPr>
                <w:bCs/>
                <w:sz w:val="20"/>
              </w:rPr>
              <w:t>174.9</w:t>
            </w:r>
          </w:p>
        </w:tc>
      </w:tr>
      <w:tr w:rsidR="00630C09" w:rsidRPr="00E12E77" w14:paraId="68B2F1A9" w14:textId="24836847" w:rsidTr="00E044D6">
        <w:trPr>
          <w:cantSplit/>
          <w:trHeight w:val="315"/>
          <w:jc w:val="center"/>
        </w:trPr>
        <w:tc>
          <w:tcPr>
            <w:tcW w:w="2255" w:type="dxa"/>
            <w:noWrap/>
            <w:vAlign w:val="center"/>
            <w:hideMark/>
          </w:tcPr>
          <w:p w14:paraId="1493D7A6" w14:textId="77777777" w:rsidR="00630C09" w:rsidRPr="00E12E77" w:rsidRDefault="00630C09" w:rsidP="00A1659A">
            <w:pPr>
              <w:rPr>
                <w:b/>
                <w:bCs/>
                <w:sz w:val="20"/>
              </w:rPr>
            </w:pPr>
            <w:r w:rsidRPr="00E12E77">
              <w:rPr>
                <w:b/>
                <w:bCs/>
                <w:sz w:val="20"/>
              </w:rPr>
              <w:t>Intensive Care Beds</w:t>
            </w:r>
          </w:p>
        </w:tc>
        <w:tc>
          <w:tcPr>
            <w:tcW w:w="1340" w:type="dxa"/>
            <w:tcBorders>
              <w:bottom w:val="single" w:sz="4" w:space="0" w:color="auto"/>
            </w:tcBorders>
          </w:tcPr>
          <w:p w14:paraId="564FD551" w14:textId="77777777" w:rsidR="00630C09" w:rsidRPr="00E12E77" w:rsidRDefault="00630C09" w:rsidP="00A1659A">
            <w:pPr>
              <w:jc w:val="center"/>
              <w:rPr>
                <w:bCs/>
                <w:sz w:val="20"/>
              </w:rPr>
            </w:pPr>
          </w:p>
        </w:tc>
        <w:tc>
          <w:tcPr>
            <w:tcW w:w="810" w:type="dxa"/>
            <w:tcBorders>
              <w:bottom w:val="single" w:sz="4" w:space="0" w:color="auto"/>
            </w:tcBorders>
          </w:tcPr>
          <w:p w14:paraId="36D7091A" w14:textId="77777777" w:rsidR="00630C09" w:rsidRPr="00E12E77" w:rsidRDefault="00630C09" w:rsidP="00A1659A">
            <w:pPr>
              <w:jc w:val="center"/>
              <w:rPr>
                <w:bCs/>
                <w:sz w:val="20"/>
              </w:rPr>
            </w:pPr>
          </w:p>
        </w:tc>
        <w:tc>
          <w:tcPr>
            <w:tcW w:w="810" w:type="dxa"/>
            <w:tcBorders>
              <w:bottom w:val="single" w:sz="4" w:space="0" w:color="auto"/>
            </w:tcBorders>
            <w:vAlign w:val="center"/>
          </w:tcPr>
          <w:p w14:paraId="4A06D632" w14:textId="527A3F30" w:rsidR="00630C09" w:rsidRPr="00E12E77" w:rsidRDefault="00630C09" w:rsidP="00A1659A">
            <w:pPr>
              <w:jc w:val="center"/>
              <w:rPr>
                <w:bCs/>
                <w:sz w:val="20"/>
              </w:rPr>
            </w:pPr>
          </w:p>
        </w:tc>
        <w:tc>
          <w:tcPr>
            <w:tcW w:w="1080" w:type="dxa"/>
            <w:tcBorders>
              <w:bottom w:val="single" w:sz="4" w:space="0" w:color="auto"/>
            </w:tcBorders>
          </w:tcPr>
          <w:p w14:paraId="350DA32D" w14:textId="16C621AE" w:rsidR="00630C09" w:rsidRPr="00E12E77" w:rsidRDefault="00630C09" w:rsidP="00A1659A">
            <w:pPr>
              <w:jc w:val="center"/>
              <w:rPr>
                <w:bCs/>
                <w:sz w:val="20"/>
              </w:rPr>
            </w:pPr>
          </w:p>
        </w:tc>
        <w:tc>
          <w:tcPr>
            <w:tcW w:w="1170" w:type="dxa"/>
            <w:tcBorders>
              <w:bottom w:val="single" w:sz="4" w:space="0" w:color="auto"/>
            </w:tcBorders>
          </w:tcPr>
          <w:p w14:paraId="603FD58E" w14:textId="76B2665B" w:rsidR="00630C09" w:rsidRPr="00E12E77" w:rsidRDefault="00630C09" w:rsidP="00A1659A">
            <w:pPr>
              <w:jc w:val="center"/>
              <w:rPr>
                <w:bCs/>
                <w:sz w:val="20"/>
              </w:rPr>
            </w:pPr>
          </w:p>
        </w:tc>
        <w:tc>
          <w:tcPr>
            <w:tcW w:w="1080" w:type="dxa"/>
            <w:noWrap/>
            <w:vAlign w:val="center"/>
          </w:tcPr>
          <w:p w14:paraId="352F9016" w14:textId="1A2DCA50" w:rsidR="00630C09" w:rsidRPr="00E12E77" w:rsidRDefault="00630C09" w:rsidP="00A1659A">
            <w:pPr>
              <w:jc w:val="center"/>
              <w:rPr>
                <w:bCs/>
                <w:sz w:val="20"/>
              </w:rPr>
            </w:pPr>
          </w:p>
        </w:tc>
        <w:tc>
          <w:tcPr>
            <w:tcW w:w="1170" w:type="dxa"/>
            <w:noWrap/>
            <w:vAlign w:val="center"/>
          </w:tcPr>
          <w:p w14:paraId="22927C30" w14:textId="13A1FD7E" w:rsidR="00630C09" w:rsidRPr="00E12E77" w:rsidRDefault="00630C09" w:rsidP="00A1659A">
            <w:pPr>
              <w:jc w:val="center"/>
              <w:rPr>
                <w:bCs/>
                <w:sz w:val="20"/>
              </w:rPr>
            </w:pPr>
          </w:p>
        </w:tc>
        <w:tc>
          <w:tcPr>
            <w:tcW w:w="811" w:type="dxa"/>
            <w:vAlign w:val="center"/>
          </w:tcPr>
          <w:p w14:paraId="1B8FAEB0" w14:textId="77777777" w:rsidR="00630C09" w:rsidRPr="00E12E77" w:rsidRDefault="00630C09" w:rsidP="00A1659A">
            <w:pPr>
              <w:jc w:val="center"/>
              <w:rPr>
                <w:bCs/>
                <w:sz w:val="20"/>
              </w:rPr>
            </w:pPr>
          </w:p>
        </w:tc>
      </w:tr>
      <w:tr w:rsidR="00064C07" w:rsidRPr="00E12E77" w14:paraId="441520E6" w14:textId="335EA9FC" w:rsidTr="00E044D6">
        <w:trPr>
          <w:cantSplit/>
          <w:trHeight w:val="315"/>
          <w:jc w:val="center"/>
        </w:trPr>
        <w:tc>
          <w:tcPr>
            <w:tcW w:w="2255" w:type="dxa"/>
            <w:tcBorders>
              <w:bottom w:val="single" w:sz="4" w:space="0" w:color="auto"/>
              <w:right w:val="single" w:sz="4" w:space="0" w:color="auto"/>
            </w:tcBorders>
            <w:noWrap/>
            <w:vAlign w:val="center"/>
            <w:hideMark/>
          </w:tcPr>
          <w:p w14:paraId="33EDD163" w14:textId="03474677" w:rsidR="00630C09" w:rsidRPr="00E12E77" w:rsidRDefault="00630C09" w:rsidP="00A1659A">
            <w:pPr>
              <w:rPr>
                <w:bCs/>
                <w:sz w:val="20"/>
              </w:rPr>
            </w:pPr>
            <w:r w:rsidRPr="00E12E77">
              <w:rPr>
                <w:bCs/>
                <w:sz w:val="20"/>
              </w:rPr>
              <w:t>Oncology ICU</w:t>
            </w:r>
            <w:r w:rsidR="002C7E70">
              <w:rPr>
                <w:rStyle w:val="FootnoteReference"/>
                <w:bCs/>
                <w:sz w:val="20"/>
              </w:rPr>
              <w:footnoteReference w:id="80"/>
            </w:r>
          </w:p>
        </w:tc>
        <w:tc>
          <w:tcPr>
            <w:tcW w:w="134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04243C" w14:textId="77777777" w:rsidR="00630C09" w:rsidRPr="00E12E77" w:rsidRDefault="00630C09" w:rsidP="00064C07">
            <w:pPr>
              <w:jc w:val="center"/>
              <w:rPr>
                <w:bCs/>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2F12279" w14:textId="4FC4CF21" w:rsidR="00630C09" w:rsidRPr="00E12E77" w:rsidRDefault="00455551" w:rsidP="00064C07">
            <w:pPr>
              <w:jc w:val="center"/>
              <w:rPr>
                <w:bCs/>
                <w:sz w:val="20"/>
              </w:rPr>
            </w:pPr>
            <w:r>
              <w:rPr>
                <w:bCs/>
                <w:sz w:val="20"/>
              </w:rPr>
              <w:t>4.1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9DD4D0E" w14:textId="595F06D2" w:rsidR="00630C09" w:rsidRPr="00E12E77" w:rsidRDefault="00064C07" w:rsidP="00064C07">
            <w:pPr>
              <w:jc w:val="center"/>
              <w:rPr>
                <w:bCs/>
                <w:sz w:val="20"/>
              </w:rPr>
            </w:pPr>
            <w:r>
              <w:rPr>
                <w:bCs/>
                <w:sz w:val="20"/>
              </w:rPr>
              <w:t>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BD4DE8" w14:textId="16B431C4" w:rsidR="00630C09" w:rsidRPr="00E12E77" w:rsidRDefault="00455551" w:rsidP="00064C07">
            <w:pPr>
              <w:jc w:val="center"/>
              <w:rPr>
                <w:bCs/>
                <w:sz w:val="20"/>
              </w:rPr>
            </w:pPr>
            <w:r>
              <w:rPr>
                <w:bCs/>
                <w:sz w:val="20"/>
              </w:rPr>
              <w:t>10.8%</w:t>
            </w:r>
            <w:r w:rsidR="003F42C1">
              <w:rPr>
                <w:bCs/>
                <w:sz w:val="20"/>
              </w:rPr>
              <w:t>**</w:t>
            </w:r>
          </w:p>
        </w:tc>
        <w:tc>
          <w:tcPr>
            <w:tcW w:w="11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EA88B3" w14:textId="6739C166" w:rsidR="00630C09" w:rsidRPr="00E12E77" w:rsidRDefault="00630C09" w:rsidP="00064C07">
            <w:pPr>
              <w:jc w:val="center"/>
              <w:rPr>
                <w:bCs/>
                <w:sz w:val="20"/>
              </w:rPr>
            </w:pPr>
          </w:p>
        </w:tc>
        <w:tc>
          <w:tcPr>
            <w:tcW w:w="1080" w:type="dxa"/>
            <w:tcBorders>
              <w:left w:val="single" w:sz="4" w:space="0" w:color="auto"/>
              <w:bottom w:val="single" w:sz="4" w:space="0" w:color="auto"/>
            </w:tcBorders>
            <w:noWrap/>
            <w:vAlign w:val="center"/>
            <w:hideMark/>
          </w:tcPr>
          <w:p w14:paraId="472DD90F" w14:textId="77777777" w:rsidR="00630C09" w:rsidRPr="00E12E77" w:rsidRDefault="00630C09" w:rsidP="00064C07">
            <w:pPr>
              <w:jc w:val="center"/>
              <w:rPr>
                <w:bCs/>
                <w:sz w:val="20"/>
              </w:rPr>
            </w:pPr>
            <w:r w:rsidRPr="00E12E77">
              <w:rPr>
                <w:bCs/>
                <w:sz w:val="20"/>
              </w:rPr>
              <w:t>18.0</w:t>
            </w:r>
          </w:p>
        </w:tc>
        <w:tc>
          <w:tcPr>
            <w:tcW w:w="1170" w:type="dxa"/>
            <w:tcBorders>
              <w:bottom w:val="single" w:sz="4" w:space="0" w:color="auto"/>
            </w:tcBorders>
            <w:noWrap/>
            <w:vAlign w:val="center"/>
            <w:hideMark/>
          </w:tcPr>
          <w:p w14:paraId="520C7C9B" w14:textId="6D9FECA6" w:rsidR="00630C09" w:rsidRPr="00E12E77" w:rsidRDefault="00630C09" w:rsidP="00064C07">
            <w:pPr>
              <w:jc w:val="center"/>
              <w:rPr>
                <w:bCs/>
                <w:sz w:val="20"/>
              </w:rPr>
            </w:pPr>
            <w:r w:rsidRPr="00E12E77">
              <w:rPr>
                <w:bCs/>
                <w:sz w:val="20"/>
              </w:rPr>
              <w:t>25</w:t>
            </w:r>
          </w:p>
        </w:tc>
        <w:tc>
          <w:tcPr>
            <w:tcW w:w="811" w:type="dxa"/>
            <w:tcBorders>
              <w:bottom w:val="single" w:sz="4" w:space="0" w:color="auto"/>
            </w:tcBorders>
            <w:vAlign w:val="center"/>
          </w:tcPr>
          <w:p w14:paraId="502F449E" w14:textId="3BF41E87" w:rsidR="00630C09" w:rsidRPr="00E12E77" w:rsidRDefault="00630C09" w:rsidP="00064C07">
            <w:pPr>
              <w:jc w:val="center"/>
              <w:rPr>
                <w:bCs/>
                <w:sz w:val="20"/>
              </w:rPr>
            </w:pPr>
            <w:r w:rsidRPr="00E12E77">
              <w:rPr>
                <w:bCs/>
                <w:sz w:val="20"/>
              </w:rPr>
              <w:t>21.1</w:t>
            </w:r>
          </w:p>
        </w:tc>
      </w:tr>
      <w:tr w:rsidR="00630C09" w:rsidRPr="00E12E77" w14:paraId="29A67440" w14:textId="4E9C84DF" w:rsidTr="00E044D6">
        <w:trPr>
          <w:cantSplit/>
          <w:trHeight w:val="315"/>
          <w:jc w:val="center"/>
        </w:trPr>
        <w:tc>
          <w:tcPr>
            <w:tcW w:w="2255" w:type="dxa"/>
            <w:tcBorders>
              <w:bottom w:val="single" w:sz="4" w:space="0" w:color="auto"/>
            </w:tcBorders>
            <w:noWrap/>
            <w:vAlign w:val="center"/>
            <w:hideMark/>
          </w:tcPr>
          <w:p w14:paraId="799BE22E" w14:textId="2E6E0792" w:rsidR="00630C09" w:rsidRPr="00E12E77" w:rsidRDefault="00630C09" w:rsidP="00A1659A">
            <w:pPr>
              <w:jc w:val="center"/>
              <w:rPr>
                <w:b/>
                <w:bCs/>
                <w:sz w:val="20"/>
                <w:u w:val="single"/>
              </w:rPr>
            </w:pPr>
            <w:r w:rsidRPr="00E12E77">
              <w:rPr>
                <w:b/>
                <w:bCs/>
                <w:sz w:val="20"/>
                <w:u w:val="single"/>
              </w:rPr>
              <w:t>TOTAL</w:t>
            </w:r>
            <w:r w:rsidR="001B4292">
              <w:rPr>
                <w:b/>
                <w:bCs/>
                <w:sz w:val="20"/>
                <w:u w:val="single"/>
              </w:rPr>
              <w:t>/AVERAGE</w:t>
            </w:r>
          </w:p>
        </w:tc>
        <w:tc>
          <w:tcPr>
            <w:tcW w:w="1340" w:type="dxa"/>
            <w:tcBorders>
              <w:top w:val="single" w:sz="4" w:space="0" w:color="auto"/>
              <w:bottom w:val="single" w:sz="4" w:space="0" w:color="auto"/>
            </w:tcBorders>
            <w:vAlign w:val="center"/>
          </w:tcPr>
          <w:p w14:paraId="71FD396A" w14:textId="41D10271" w:rsidR="00630C09" w:rsidRPr="001B4292" w:rsidRDefault="001B4292" w:rsidP="001B4292">
            <w:pPr>
              <w:jc w:val="center"/>
              <w:rPr>
                <w:b/>
                <w:bCs/>
                <w:sz w:val="20"/>
              </w:rPr>
            </w:pPr>
            <w:r>
              <w:rPr>
                <w:b/>
                <w:bCs/>
                <w:sz w:val="20"/>
              </w:rPr>
              <w:t>11,576</w:t>
            </w:r>
          </w:p>
        </w:tc>
        <w:tc>
          <w:tcPr>
            <w:tcW w:w="810" w:type="dxa"/>
            <w:tcBorders>
              <w:top w:val="single" w:sz="4" w:space="0" w:color="auto"/>
              <w:bottom w:val="single" w:sz="4" w:space="0" w:color="auto"/>
            </w:tcBorders>
            <w:vAlign w:val="center"/>
          </w:tcPr>
          <w:p w14:paraId="38FB75B6" w14:textId="5D7225D6" w:rsidR="00630C09" w:rsidRPr="00E12E77" w:rsidRDefault="001B4292" w:rsidP="001B4292">
            <w:pPr>
              <w:jc w:val="center"/>
              <w:rPr>
                <w:b/>
                <w:bCs/>
                <w:sz w:val="20"/>
              </w:rPr>
            </w:pPr>
            <w:r>
              <w:rPr>
                <w:b/>
                <w:bCs/>
                <w:sz w:val="20"/>
              </w:rPr>
              <w:t>8.6</w:t>
            </w:r>
          </w:p>
        </w:tc>
        <w:tc>
          <w:tcPr>
            <w:tcW w:w="810" w:type="dxa"/>
            <w:tcBorders>
              <w:top w:val="single" w:sz="4" w:space="0" w:color="auto"/>
              <w:bottom w:val="single" w:sz="4" w:space="0" w:color="auto"/>
            </w:tcBorders>
            <w:vAlign w:val="center"/>
          </w:tcPr>
          <w:p w14:paraId="7BC5C487" w14:textId="5AD7F570" w:rsidR="00630C09" w:rsidRPr="00E12E77" w:rsidRDefault="001B4292" w:rsidP="001B4292">
            <w:pPr>
              <w:jc w:val="center"/>
              <w:rPr>
                <w:b/>
                <w:bCs/>
                <w:sz w:val="20"/>
              </w:rPr>
            </w:pPr>
            <w:r>
              <w:rPr>
                <w:b/>
                <w:bCs/>
                <w:sz w:val="20"/>
              </w:rPr>
              <w:t>272.9</w:t>
            </w:r>
          </w:p>
        </w:tc>
        <w:tc>
          <w:tcPr>
            <w:tcW w:w="1080" w:type="dxa"/>
            <w:tcBorders>
              <w:top w:val="single" w:sz="4" w:space="0" w:color="auto"/>
              <w:bottom w:val="single" w:sz="4" w:space="0" w:color="auto"/>
            </w:tcBorders>
            <w:vAlign w:val="center"/>
          </w:tcPr>
          <w:p w14:paraId="29E2223B" w14:textId="28499266" w:rsidR="00630C09" w:rsidRPr="000D5766" w:rsidRDefault="000D5766" w:rsidP="00CD18B4">
            <w:pPr>
              <w:ind w:right="51"/>
              <w:jc w:val="center"/>
              <w:rPr>
                <w:b/>
                <w:bCs/>
                <w:sz w:val="20"/>
              </w:rPr>
            </w:pPr>
            <w:r>
              <w:rPr>
                <w:b/>
                <w:bCs/>
                <w:sz w:val="20"/>
              </w:rPr>
              <w:t>1</w:t>
            </w:r>
            <w:r w:rsidR="00CD18B4">
              <w:rPr>
                <w:b/>
                <w:bCs/>
                <w:sz w:val="20"/>
              </w:rPr>
              <w:t>7</w:t>
            </w:r>
            <w:r>
              <w:rPr>
                <w:b/>
                <w:bCs/>
                <w:sz w:val="20"/>
              </w:rPr>
              <w:t>.</w:t>
            </w:r>
            <w:r w:rsidR="00CD18B4">
              <w:rPr>
                <w:b/>
                <w:bCs/>
                <w:sz w:val="20"/>
              </w:rPr>
              <w:t>9</w:t>
            </w:r>
            <w:r>
              <w:rPr>
                <w:b/>
                <w:bCs/>
                <w:sz w:val="20"/>
              </w:rPr>
              <w:t>%</w:t>
            </w:r>
          </w:p>
        </w:tc>
        <w:tc>
          <w:tcPr>
            <w:tcW w:w="1170" w:type="dxa"/>
            <w:tcBorders>
              <w:top w:val="single" w:sz="4" w:space="0" w:color="auto"/>
              <w:bottom w:val="single" w:sz="4" w:space="0" w:color="auto"/>
            </w:tcBorders>
            <w:vAlign w:val="center"/>
          </w:tcPr>
          <w:p w14:paraId="063F7642" w14:textId="30987A0F" w:rsidR="00630C09" w:rsidRPr="001B4292" w:rsidRDefault="001B4292" w:rsidP="001B4292">
            <w:pPr>
              <w:jc w:val="center"/>
              <w:rPr>
                <w:b/>
                <w:bCs/>
                <w:sz w:val="20"/>
              </w:rPr>
            </w:pPr>
            <w:r>
              <w:rPr>
                <w:b/>
                <w:bCs/>
                <w:sz w:val="20"/>
              </w:rPr>
              <w:t>13,400</w:t>
            </w:r>
          </w:p>
        </w:tc>
        <w:tc>
          <w:tcPr>
            <w:tcW w:w="1080" w:type="dxa"/>
            <w:tcBorders>
              <w:bottom w:val="single" w:sz="4" w:space="0" w:color="auto"/>
            </w:tcBorders>
            <w:noWrap/>
            <w:vAlign w:val="center"/>
            <w:hideMark/>
          </w:tcPr>
          <w:p w14:paraId="15995CD2" w14:textId="487203FB" w:rsidR="00630C09" w:rsidRPr="00E12E77" w:rsidRDefault="00630C09" w:rsidP="001B4292">
            <w:pPr>
              <w:jc w:val="center"/>
              <w:rPr>
                <w:b/>
                <w:bCs/>
                <w:sz w:val="20"/>
              </w:rPr>
            </w:pPr>
            <w:r w:rsidRPr="00E12E77">
              <w:rPr>
                <w:b/>
                <w:bCs/>
                <w:sz w:val="20"/>
              </w:rPr>
              <w:t>321.</w:t>
            </w:r>
            <w:r>
              <w:rPr>
                <w:b/>
                <w:bCs/>
                <w:sz w:val="20"/>
              </w:rPr>
              <w:t>6</w:t>
            </w:r>
          </w:p>
        </w:tc>
        <w:tc>
          <w:tcPr>
            <w:tcW w:w="1170" w:type="dxa"/>
            <w:tcBorders>
              <w:bottom w:val="single" w:sz="4" w:space="0" w:color="auto"/>
            </w:tcBorders>
            <w:noWrap/>
            <w:vAlign w:val="center"/>
            <w:hideMark/>
          </w:tcPr>
          <w:p w14:paraId="5A77312D" w14:textId="4C2EB8BC" w:rsidR="00630C09" w:rsidRPr="00E12E77" w:rsidRDefault="00630C09" w:rsidP="001B4292">
            <w:pPr>
              <w:jc w:val="center"/>
              <w:rPr>
                <w:b/>
                <w:bCs/>
                <w:sz w:val="20"/>
              </w:rPr>
            </w:pPr>
            <w:r w:rsidRPr="00E12E77">
              <w:rPr>
                <w:b/>
                <w:bCs/>
                <w:sz w:val="20"/>
              </w:rPr>
              <w:t>384</w:t>
            </w:r>
          </w:p>
        </w:tc>
        <w:tc>
          <w:tcPr>
            <w:tcW w:w="811" w:type="dxa"/>
            <w:tcBorders>
              <w:bottom w:val="single" w:sz="4" w:space="0" w:color="auto"/>
            </w:tcBorders>
            <w:vAlign w:val="center"/>
          </w:tcPr>
          <w:p w14:paraId="79312AC7" w14:textId="1F43EB99" w:rsidR="00630C09" w:rsidRPr="00E12E77" w:rsidRDefault="00630C09" w:rsidP="001B4292">
            <w:pPr>
              <w:jc w:val="center"/>
              <w:rPr>
                <w:b/>
                <w:bCs/>
                <w:sz w:val="20"/>
              </w:rPr>
            </w:pPr>
            <w:r w:rsidRPr="00E12E77">
              <w:rPr>
                <w:b/>
                <w:bCs/>
                <w:sz w:val="20"/>
              </w:rPr>
              <w:t>378.4</w:t>
            </w:r>
          </w:p>
        </w:tc>
      </w:tr>
    </w:tbl>
    <w:bookmarkEnd w:id="9"/>
    <w:p w14:paraId="1C448577" w14:textId="77777777" w:rsidR="00CC630C" w:rsidRPr="003F42C1" w:rsidRDefault="00CC630C" w:rsidP="00CC630C">
      <w:pPr>
        <w:jc w:val="both"/>
        <w:rPr>
          <w:sz w:val="20"/>
        </w:rPr>
      </w:pPr>
      <w:r w:rsidRPr="003F42C1">
        <w:rPr>
          <w:sz w:val="20"/>
        </w:rPr>
        <w:t>*</w:t>
      </w:r>
      <w:r>
        <w:rPr>
          <w:sz w:val="20"/>
        </w:rPr>
        <w:t xml:space="preserve"> </w:t>
      </w:r>
      <w:r w:rsidRPr="003F42C1">
        <w:rPr>
          <w:sz w:val="20"/>
        </w:rPr>
        <w:t xml:space="preserve">Source: Sg2 </w:t>
      </w:r>
    </w:p>
    <w:p w14:paraId="2323D3BC" w14:textId="0BC0EF5D" w:rsidR="00267656" w:rsidRDefault="00CC630C" w:rsidP="00CC630C">
      <w:pPr>
        <w:jc w:val="both"/>
        <w:rPr>
          <w:bCs/>
          <w:szCs w:val="24"/>
        </w:rPr>
      </w:pPr>
      <w:r w:rsidRPr="003F42C1">
        <w:rPr>
          <w:sz w:val="20"/>
        </w:rPr>
        <w:t>**Source: The Advisory Board Company, adjusted for certain factors included in The Advisory Board Company growth rates applicable only to community hospital providers.</w:t>
      </w:r>
    </w:p>
    <w:p w14:paraId="64FCC100" w14:textId="77777777" w:rsidR="00F26E45" w:rsidRDefault="00F26E45" w:rsidP="000202A0">
      <w:pPr>
        <w:jc w:val="both"/>
        <w:rPr>
          <w:bCs/>
          <w:szCs w:val="24"/>
        </w:rPr>
      </w:pPr>
    </w:p>
    <w:p w14:paraId="49B6E76C" w14:textId="7773BF4B" w:rsidR="00F26E45" w:rsidRPr="008164A3" w:rsidRDefault="00F26E45" w:rsidP="00F26E45">
      <w:pPr>
        <w:pStyle w:val="ListParagraph"/>
        <w:numPr>
          <w:ilvl w:val="0"/>
          <w:numId w:val="31"/>
        </w:numPr>
        <w:jc w:val="both"/>
        <w:rPr>
          <w:bCs/>
          <w:szCs w:val="24"/>
          <w:u w:val="single"/>
        </w:rPr>
      </w:pPr>
      <w:r w:rsidRPr="008164A3">
        <w:rPr>
          <w:bCs/>
          <w:szCs w:val="24"/>
          <w:u w:val="single"/>
        </w:rPr>
        <w:t>National Need as Demonstrated by Other Cancer Centers</w:t>
      </w:r>
    </w:p>
    <w:p w14:paraId="14F6A685" w14:textId="77777777" w:rsidR="00F26E45" w:rsidRPr="00F26E45" w:rsidRDefault="00F26E45" w:rsidP="008164A3">
      <w:pPr>
        <w:pStyle w:val="ListParagraph"/>
        <w:ind w:left="1080"/>
        <w:jc w:val="both"/>
        <w:rPr>
          <w:bCs/>
          <w:szCs w:val="24"/>
        </w:rPr>
      </w:pPr>
    </w:p>
    <w:p w14:paraId="0EFC9A73" w14:textId="41485A11" w:rsidR="00B97D37" w:rsidRDefault="00811F30" w:rsidP="000202A0">
      <w:pPr>
        <w:jc w:val="both"/>
        <w:rPr>
          <w:bCs/>
          <w:szCs w:val="24"/>
        </w:rPr>
      </w:pPr>
      <w:r>
        <w:rPr>
          <w:bCs/>
          <w:szCs w:val="24"/>
        </w:rPr>
        <w:t>Further, as evidenced from the</w:t>
      </w:r>
      <w:r w:rsidR="002611F1">
        <w:rPr>
          <w:bCs/>
          <w:szCs w:val="24"/>
        </w:rPr>
        <w:t xml:space="preserve"> </w:t>
      </w:r>
      <w:r w:rsidR="00744BA5">
        <w:rPr>
          <w:bCs/>
          <w:szCs w:val="24"/>
        </w:rPr>
        <w:t>patient panel</w:t>
      </w:r>
      <w:r>
        <w:rPr>
          <w:bCs/>
          <w:szCs w:val="24"/>
        </w:rPr>
        <w:t>, the Applicant has a significant patient base outside of the Commonwealth</w:t>
      </w:r>
      <w:r w:rsidR="003A2133">
        <w:rPr>
          <w:bCs/>
          <w:szCs w:val="24"/>
        </w:rPr>
        <w:t xml:space="preserve">, with patients traveling from around the country and </w:t>
      </w:r>
      <w:r w:rsidR="006A2D6D">
        <w:rPr>
          <w:bCs/>
          <w:szCs w:val="24"/>
        </w:rPr>
        <w:t>the world</w:t>
      </w:r>
      <w:r w:rsidR="003A2133">
        <w:rPr>
          <w:bCs/>
          <w:szCs w:val="24"/>
        </w:rPr>
        <w:t xml:space="preserve"> to receive care</w:t>
      </w:r>
      <w:r w:rsidR="006A2D6D">
        <w:rPr>
          <w:bCs/>
          <w:szCs w:val="24"/>
        </w:rPr>
        <w:t xml:space="preserve"> from the Applicant</w:t>
      </w:r>
      <w:r>
        <w:rPr>
          <w:bCs/>
          <w:szCs w:val="24"/>
        </w:rPr>
        <w:t xml:space="preserve">. </w:t>
      </w:r>
      <w:r w:rsidR="006A2D6D">
        <w:rPr>
          <w:bCs/>
          <w:szCs w:val="24"/>
        </w:rPr>
        <w:t xml:space="preserve">Because the Applicant draws patients from across and outside of the United States, </w:t>
      </w:r>
      <w:r w:rsidR="005B259E">
        <w:rPr>
          <w:bCs/>
          <w:szCs w:val="24"/>
        </w:rPr>
        <w:t xml:space="preserve">its most </w:t>
      </w:r>
      <w:r w:rsidR="000D154D">
        <w:rPr>
          <w:bCs/>
          <w:szCs w:val="24"/>
        </w:rPr>
        <w:t xml:space="preserve">comparable peers </w:t>
      </w:r>
      <w:r w:rsidR="005B259E">
        <w:rPr>
          <w:bCs/>
          <w:szCs w:val="24"/>
        </w:rPr>
        <w:t>exist beyond the greater Boston area a</w:t>
      </w:r>
      <w:r w:rsidR="006A2D6D">
        <w:rPr>
          <w:bCs/>
          <w:szCs w:val="24"/>
        </w:rPr>
        <w:t>nd include Memorial</w:t>
      </w:r>
      <w:r w:rsidR="002D5AC1">
        <w:rPr>
          <w:bCs/>
          <w:szCs w:val="24"/>
        </w:rPr>
        <w:t xml:space="preserve"> </w:t>
      </w:r>
      <w:r w:rsidR="006A2D6D">
        <w:rPr>
          <w:bCs/>
          <w:szCs w:val="24"/>
        </w:rPr>
        <w:t xml:space="preserve">Sloan Kettering </w:t>
      </w:r>
      <w:r w:rsidR="00E14342">
        <w:rPr>
          <w:bCs/>
          <w:szCs w:val="24"/>
        </w:rPr>
        <w:t>Cancer Center;</w:t>
      </w:r>
      <w:r w:rsidR="006A2D6D">
        <w:rPr>
          <w:bCs/>
          <w:szCs w:val="24"/>
        </w:rPr>
        <w:t xml:space="preserve"> Moffi</w:t>
      </w:r>
      <w:r w:rsidR="004C346B">
        <w:rPr>
          <w:bCs/>
          <w:szCs w:val="24"/>
        </w:rPr>
        <w:t>t</w:t>
      </w:r>
      <w:r w:rsidR="006A2D6D">
        <w:rPr>
          <w:bCs/>
          <w:szCs w:val="24"/>
        </w:rPr>
        <w:t>t Cancer Center</w:t>
      </w:r>
      <w:r w:rsidR="00E14342">
        <w:rPr>
          <w:bCs/>
          <w:szCs w:val="24"/>
        </w:rPr>
        <w:t>;</w:t>
      </w:r>
      <w:r w:rsidR="006A2D6D">
        <w:rPr>
          <w:bCs/>
          <w:szCs w:val="24"/>
        </w:rPr>
        <w:t xml:space="preserve"> MD Anderson Cancer</w:t>
      </w:r>
      <w:r w:rsidR="00A84E78">
        <w:rPr>
          <w:bCs/>
          <w:szCs w:val="24"/>
        </w:rPr>
        <w:t xml:space="preserve"> Center</w:t>
      </w:r>
      <w:r w:rsidR="00E14342">
        <w:rPr>
          <w:bCs/>
          <w:szCs w:val="24"/>
        </w:rPr>
        <w:t>;</w:t>
      </w:r>
      <w:r w:rsidR="00751FA0">
        <w:rPr>
          <w:bCs/>
          <w:szCs w:val="24"/>
        </w:rPr>
        <w:t xml:space="preserve"> City of Hope</w:t>
      </w:r>
      <w:r w:rsidR="00E14342">
        <w:rPr>
          <w:bCs/>
          <w:szCs w:val="24"/>
        </w:rPr>
        <w:t>;</w:t>
      </w:r>
      <w:r w:rsidR="007B6AE8">
        <w:rPr>
          <w:bCs/>
          <w:szCs w:val="24"/>
        </w:rPr>
        <w:t xml:space="preserve"> and</w:t>
      </w:r>
      <w:r w:rsidR="007232E7">
        <w:rPr>
          <w:bCs/>
          <w:szCs w:val="24"/>
        </w:rPr>
        <w:t xml:space="preserve"> </w:t>
      </w:r>
      <w:r w:rsidR="002D5AC1">
        <w:rPr>
          <w:bCs/>
          <w:szCs w:val="24"/>
        </w:rPr>
        <w:t>T</w:t>
      </w:r>
      <w:r w:rsidR="002D5AC1" w:rsidRPr="007232E7">
        <w:rPr>
          <w:bCs/>
          <w:szCs w:val="24"/>
        </w:rPr>
        <w:t>he James Cancer Hospital and Solove Research Institute</w:t>
      </w:r>
      <w:r w:rsidR="002D5AC1">
        <w:rPr>
          <w:bCs/>
          <w:szCs w:val="24"/>
        </w:rPr>
        <w:t xml:space="preserve"> in Columbus, Ohio.</w:t>
      </w:r>
      <w:r w:rsidR="002B01F3">
        <w:rPr>
          <w:bCs/>
          <w:szCs w:val="24"/>
        </w:rPr>
        <w:t xml:space="preserve"> A number of these comprehensive cancer centers have in recent years or are currently undergoing </w:t>
      </w:r>
      <w:r w:rsidR="002B01F3">
        <w:rPr>
          <w:bCs/>
          <w:szCs w:val="24"/>
        </w:rPr>
        <w:lastRenderedPageBreak/>
        <w:t>significant inpatient expansion.</w:t>
      </w:r>
      <w:r w:rsidR="00227813">
        <w:rPr>
          <w:rStyle w:val="FootnoteReference"/>
          <w:bCs/>
          <w:szCs w:val="24"/>
        </w:rPr>
        <w:footnoteReference w:id="81"/>
      </w:r>
      <w:r w:rsidR="00227813">
        <w:rPr>
          <w:bCs/>
          <w:szCs w:val="24"/>
        </w:rPr>
        <w:t xml:space="preserve"> </w:t>
      </w:r>
      <w:r w:rsidR="0023625B">
        <w:rPr>
          <w:bCs/>
          <w:szCs w:val="24"/>
        </w:rPr>
        <w:t>For example, MD Anderson Cancer Center recently announced a</w:t>
      </w:r>
      <w:r w:rsidR="0023625B">
        <w:rPr>
          <w:szCs w:val="24"/>
        </w:rPr>
        <w:t xml:space="preserve"> new cancer center in Austin</w:t>
      </w:r>
      <w:r w:rsidR="009A7D03">
        <w:rPr>
          <w:szCs w:val="24"/>
        </w:rPr>
        <w:t>, Texas</w:t>
      </w:r>
      <w:r w:rsidR="0023625B">
        <w:rPr>
          <w:szCs w:val="24"/>
        </w:rPr>
        <w:t xml:space="preserve"> with 150 inpatient beds</w:t>
      </w:r>
      <w:r w:rsidR="00C07C77">
        <w:rPr>
          <w:szCs w:val="24"/>
        </w:rPr>
        <w:t>, to add to their existing 757 beds,</w:t>
      </w:r>
      <w:r w:rsidR="0023625B">
        <w:rPr>
          <w:szCs w:val="24"/>
        </w:rPr>
        <w:t xml:space="preserve"> and an outpatient facility.</w:t>
      </w:r>
      <w:r w:rsidR="0023625B">
        <w:rPr>
          <w:rStyle w:val="FootnoteReference"/>
          <w:szCs w:val="24"/>
        </w:rPr>
        <w:footnoteReference w:id="82"/>
      </w:r>
      <w:r w:rsidR="0023625B">
        <w:rPr>
          <w:szCs w:val="24"/>
        </w:rPr>
        <w:t xml:space="preserve"> </w:t>
      </w:r>
      <w:r w:rsidR="00E45046" w:rsidRPr="00E45046">
        <w:rPr>
          <w:bCs/>
          <w:szCs w:val="24"/>
        </w:rPr>
        <w:t>The Applicant</w:t>
      </w:r>
      <w:r w:rsidR="000F2CA4">
        <w:rPr>
          <w:bCs/>
          <w:szCs w:val="24"/>
        </w:rPr>
        <w:t xml:space="preserve"> looks at quality and outcomes at these comparators as a driver, </w:t>
      </w:r>
      <w:r w:rsidR="00E45046" w:rsidRPr="00E45046">
        <w:rPr>
          <w:bCs/>
          <w:szCs w:val="24"/>
        </w:rPr>
        <w:t xml:space="preserve">and </w:t>
      </w:r>
      <w:r w:rsidR="000F2CA4">
        <w:rPr>
          <w:bCs/>
          <w:szCs w:val="24"/>
        </w:rPr>
        <w:t xml:space="preserve">seeks to </w:t>
      </w:r>
      <w:r w:rsidR="00E45046" w:rsidRPr="00E45046">
        <w:rPr>
          <w:bCs/>
          <w:szCs w:val="24"/>
        </w:rPr>
        <w:t xml:space="preserve">expand to ensure that it can continue to provide innovative, </w:t>
      </w:r>
      <w:r w:rsidR="002D5AC1">
        <w:rPr>
          <w:bCs/>
          <w:szCs w:val="24"/>
        </w:rPr>
        <w:t xml:space="preserve">high </w:t>
      </w:r>
      <w:r w:rsidR="00E45046" w:rsidRPr="00E45046">
        <w:rPr>
          <w:bCs/>
          <w:szCs w:val="24"/>
        </w:rPr>
        <w:t>quality</w:t>
      </w:r>
      <w:r w:rsidR="002D5AC1">
        <w:rPr>
          <w:bCs/>
          <w:szCs w:val="24"/>
        </w:rPr>
        <w:t>, and life-saving</w:t>
      </w:r>
      <w:r w:rsidR="00E45046" w:rsidRPr="00E45046">
        <w:rPr>
          <w:bCs/>
          <w:szCs w:val="24"/>
        </w:rPr>
        <w:t xml:space="preserve"> care to its patients both within the Commonwealth and those who travel to Boston for the sole purpose of receiving care at the Applicant</w:t>
      </w:r>
      <w:r w:rsidR="002340EA">
        <w:rPr>
          <w:bCs/>
          <w:szCs w:val="24"/>
        </w:rPr>
        <w:t>’</w:t>
      </w:r>
      <w:r w:rsidR="00E45046" w:rsidRPr="00E45046">
        <w:rPr>
          <w:bCs/>
          <w:szCs w:val="24"/>
        </w:rPr>
        <w:t>s facilit</w:t>
      </w:r>
      <w:r w:rsidR="000610B4">
        <w:rPr>
          <w:bCs/>
          <w:szCs w:val="24"/>
        </w:rPr>
        <w:t>y</w:t>
      </w:r>
      <w:r w:rsidR="00C3524E">
        <w:rPr>
          <w:bCs/>
          <w:szCs w:val="24"/>
        </w:rPr>
        <w:t>.</w:t>
      </w:r>
      <w:r w:rsidR="00F26E45">
        <w:rPr>
          <w:bCs/>
          <w:szCs w:val="24"/>
        </w:rPr>
        <w:t xml:space="preserve">  The table below shows the investments that other dedicated cancer centers across the </w:t>
      </w:r>
      <w:r w:rsidR="00CA3B33">
        <w:rPr>
          <w:bCs/>
          <w:szCs w:val="24"/>
        </w:rPr>
        <w:t>country</w:t>
      </w:r>
      <w:r w:rsidR="00F26E45">
        <w:rPr>
          <w:bCs/>
          <w:szCs w:val="24"/>
        </w:rPr>
        <w:t xml:space="preserve"> are making in additional inpatient capacity.</w:t>
      </w:r>
    </w:p>
    <w:p w14:paraId="44ABFDEC" w14:textId="77777777" w:rsidR="000202A0" w:rsidRDefault="000202A0" w:rsidP="000202A0">
      <w:pPr>
        <w:jc w:val="both"/>
        <w:rPr>
          <w:bCs/>
          <w:szCs w:val="24"/>
        </w:rPr>
      </w:pPr>
    </w:p>
    <w:tbl>
      <w:tblPr>
        <w:tblStyle w:val="TableGrid"/>
        <w:tblW w:w="5100" w:type="pct"/>
        <w:jc w:val="center"/>
        <w:tblLook w:val="04A0" w:firstRow="1" w:lastRow="0" w:firstColumn="1" w:lastColumn="0" w:noHBand="0" w:noVBand="1"/>
      </w:tblPr>
      <w:tblGrid>
        <w:gridCol w:w="2382"/>
        <w:gridCol w:w="1316"/>
        <w:gridCol w:w="5839"/>
      </w:tblGrid>
      <w:tr w:rsidR="00E21D7D" w:rsidRPr="00CE200A" w14:paraId="434CAB1B" w14:textId="2858DF0A" w:rsidTr="00417A84">
        <w:trPr>
          <w:cantSplit/>
          <w:tblHeader/>
          <w:jc w:val="center"/>
        </w:trPr>
        <w:tc>
          <w:tcPr>
            <w:tcW w:w="0" w:type="auto"/>
          </w:tcPr>
          <w:p w14:paraId="495BDE3D" w14:textId="5AEB4E71" w:rsidR="00E21D7D" w:rsidRPr="00CE200A" w:rsidRDefault="007232E7" w:rsidP="0023625B">
            <w:pPr>
              <w:jc w:val="center"/>
              <w:rPr>
                <w:b/>
                <w:bCs/>
                <w:sz w:val="21"/>
                <w:szCs w:val="18"/>
              </w:rPr>
            </w:pPr>
            <w:r>
              <w:rPr>
                <w:b/>
                <w:bCs/>
                <w:sz w:val="21"/>
                <w:szCs w:val="18"/>
              </w:rPr>
              <w:t xml:space="preserve">Dedicated </w:t>
            </w:r>
            <w:r w:rsidR="00E21D7D" w:rsidRPr="00CE200A">
              <w:rPr>
                <w:b/>
                <w:bCs/>
                <w:sz w:val="21"/>
                <w:szCs w:val="18"/>
              </w:rPr>
              <w:t>NCI-designated comprehensive cancer centers</w:t>
            </w:r>
          </w:p>
        </w:tc>
        <w:tc>
          <w:tcPr>
            <w:tcW w:w="0" w:type="auto"/>
          </w:tcPr>
          <w:p w14:paraId="6469A0DA" w14:textId="249DA9AC" w:rsidR="00E21D7D" w:rsidRPr="00CE200A" w:rsidRDefault="00E21D7D" w:rsidP="0023625B">
            <w:pPr>
              <w:jc w:val="center"/>
              <w:rPr>
                <w:b/>
                <w:bCs/>
                <w:sz w:val="21"/>
                <w:szCs w:val="18"/>
              </w:rPr>
            </w:pPr>
            <w:r w:rsidRPr="00CE200A">
              <w:rPr>
                <w:b/>
                <w:bCs/>
                <w:sz w:val="21"/>
                <w:szCs w:val="18"/>
              </w:rPr>
              <w:t>Current Inpatient Beds</w:t>
            </w:r>
          </w:p>
        </w:tc>
        <w:tc>
          <w:tcPr>
            <w:tcW w:w="0" w:type="auto"/>
          </w:tcPr>
          <w:p w14:paraId="747154E7" w14:textId="2F977108" w:rsidR="00E21D7D" w:rsidRPr="00CE200A" w:rsidRDefault="00E21D7D" w:rsidP="0023625B">
            <w:pPr>
              <w:jc w:val="center"/>
              <w:rPr>
                <w:b/>
                <w:bCs/>
                <w:sz w:val="21"/>
                <w:szCs w:val="18"/>
              </w:rPr>
            </w:pPr>
            <w:r w:rsidRPr="00CE200A">
              <w:rPr>
                <w:b/>
                <w:bCs/>
                <w:sz w:val="21"/>
                <w:szCs w:val="18"/>
              </w:rPr>
              <w:t>Planned Projects</w:t>
            </w:r>
          </w:p>
        </w:tc>
      </w:tr>
      <w:tr w:rsidR="00E21D7D" w:rsidRPr="00CE200A" w14:paraId="052BDD5B" w14:textId="3AD30CB1" w:rsidTr="00417A84">
        <w:trPr>
          <w:cantSplit/>
          <w:jc w:val="center"/>
        </w:trPr>
        <w:tc>
          <w:tcPr>
            <w:tcW w:w="0" w:type="auto"/>
          </w:tcPr>
          <w:p w14:paraId="6F4CF177" w14:textId="1CDAFD6B" w:rsidR="00E21D7D" w:rsidRPr="00CE200A" w:rsidRDefault="00E21D7D" w:rsidP="00E21D7D">
            <w:pPr>
              <w:pStyle w:val="ListParagraph"/>
              <w:numPr>
                <w:ilvl w:val="0"/>
                <w:numId w:val="20"/>
              </w:numPr>
              <w:rPr>
                <w:bCs/>
                <w:sz w:val="21"/>
                <w:szCs w:val="18"/>
              </w:rPr>
            </w:pPr>
            <w:r w:rsidRPr="00CE200A">
              <w:rPr>
                <w:bCs/>
                <w:sz w:val="21"/>
                <w:szCs w:val="18"/>
              </w:rPr>
              <w:t>Dana</w:t>
            </w:r>
            <w:r w:rsidR="002814F7">
              <w:rPr>
                <w:bCs/>
                <w:sz w:val="21"/>
                <w:szCs w:val="18"/>
              </w:rPr>
              <w:t>-</w:t>
            </w:r>
            <w:r w:rsidRPr="00CE200A">
              <w:rPr>
                <w:bCs/>
                <w:sz w:val="21"/>
                <w:szCs w:val="18"/>
              </w:rPr>
              <w:t>Farber Cancer Institute</w:t>
            </w:r>
          </w:p>
        </w:tc>
        <w:tc>
          <w:tcPr>
            <w:tcW w:w="0" w:type="auto"/>
            <w:vAlign w:val="center"/>
          </w:tcPr>
          <w:p w14:paraId="75D84715" w14:textId="4BEC429E" w:rsidR="00E21D7D" w:rsidRPr="00CE200A" w:rsidRDefault="00E21D7D" w:rsidP="00E21D7D">
            <w:pPr>
              <w:jc w:val="center"/>
              <w:rPr>
                <w:sz w:val="21"/>
                <w:szCs w:val="18"/>
              </w:rPr>
            </w:pPr>
            <w:r w:rsidRPr="00CE200A">
              <w:rPr>
                <w:color w:val="000000" w:themeColor="text1"/>
                <w:kern w:val="24"/>
                <w:sz w:val="21"/>
                <w:szCs w:val="18"/>
              </w:rPr>
              <w:t>30</w:t>
            </w:r>
          </w:p>
        </w:tc>
        <w:tc>
          <w:tcPr>
            <w:tcW w:w="0" w:type="auto"/>
          </w:tcPr>
          <w:p w14:paraId="4D9AB5FF" w14:textId="7A9DC7AE" w:rsidR="00E21D7D" w:rsidRPr="00CE200A" w:rsidRDefault="00E14342" w:rsidP="00BB0CB0">
            <w:pPr>
              <w:jc w:val="both"/>
              <w:rPr>
                <w:bCs/>
                <w:sz w:val="21"/>
                <w:szCs w:val="18"/>
              </w:rPr>
            </w:pPr>
            <w:r w:rsidRPr="00CE200A">
              <w:rPr>
                <w:bCs/>
                <w:sz w:val="21"/>
                <w:szCs w:val="18"/>
              </w:rPr>
              <w:t>Proposed Project</w:t>
            </w:r>
            <w:r>
              <w:rPr>
                <w:bCs/>
                <w:sz w:val="21"/>
                <w:szCs w:val="18"/>
              </w:rPr>
              <w:t xml:space="preserve">, </w:t>
            </w:r>
            <w:r w:rsidRPr="00CE200A">
              <w:rPr>
                <w:bCs/>
                <w:sz w:val="21"/>
                <w:szCs w:val="18"/>
              </w:rPr>
              <w:t>which contemplates adding 270 net new dedicated oncology beds</w:t>
            </w:r>
            <w:r>
              <w:rPr>
                <w:bCs/>
                <w:sz w:val="21"/>
                <w:szCs w:val="18"/>
              </w:rPr>
              <w:t>.</w:t>
            </w:r>
          </w:p>
        </w:tc>
      </w:tr>
      <w:tr w:rsidR="00E21D7D" w:rsidRPr="00CE200A" w14:paraId="54834D15" w14:textId="4344CD5B" w:rsidTr="00417A84">
        <w:trPr>
          <w:cantSplit/>
          <w:jc w:val="center"/>
        </w:trPr>
        <w:tc>
          <w:tcPr>
            <w:tcW w:w="0" w:type="auto"/>
          </w:tcPr>
          <w:p w14:paraId="7ED78EBF" w14:textId="2A1634E6" w:rsidR="00E21D7D" w:rsidRPr="00CE200A" w:rsidRDefault="00E21D7D" w:rsidP="00E21D7D">
            <w:pPr>
              <w:pStyle w:val="ListParagraph"/>
              <w:numPr>
                <w:ilvl w:val="0"/>
                <w:numId w:val="20"/>
              </w:numPr>
              <w:rPr>
                <w:bCs/>
                <w:sz w:val="21"/>
                <w:szCs w:val="18"/>
              </w:rPr>
            </w:pPr>
            <w:r w:rsidRPr="00CE200A">
              <w:rPr>
                <w:bCs/>
                <w:sz w:val="21"/>
                <w:szCs w:val="18"/>
              </w:rPr>
              <w:t>MD Anderson Cancer Center</w:t>
            </w:r>
          </w:p>
        </w:tc>
        <w:tc>
          <w:tcPr>
            <w:tcW w:w="0" w:type="auto"/>
            <w:vAlign w:val="center"/>
          </w:tcPr>
          <w:p w14:paraId="2E8C3969" w14:textId="209502FE" w:rsidR="00E21D7D" w:rsidRPr="00CE200A" w:rsidRDefault="00E21D7D" w:rsidP="00E21D7D">
            <w:pPr>
              <w:jc w:val="center"/>
              <w:rPr>
                <w:sz w:val="21"/>
                <w:szCs w:val="18"/>
              </w:rPr>
            </w:pPr>
            <w:r w:rsidRPr="00CE200A">
              <w:rPr>
                <w:color w:val="000000" w:themeColor="text1"/>
                <w:kern w:val="24"/>
                <w:sz w:val="21"/>
                <w:szCs w:val="18"/>
              </w:rPr>
              <w:t>757</w:t>
            </w:r>
            <w:r w:rsidR="00732447">
              <w:rPr>
                <w:rStyle w:val="FootnoteReference"/>
                <w:color w:val="000000" w:themeColor="text1"/>
                <w:kern w:val="24"/>
                <w:sz w:val="21"/>
                <w:szCs w:val="18"/>
              </w:rPr>
              <w:footnoteReference w:id="83"/>
            </w:r>
          </w:p>
        </w:tc>
        <w:tc>
          <w:tcPr>
            <w:tcW w:w="0" w:type="auto"/>
          </w:tcPr>
          <w:p w14:paraId="4186EE1B" w14:textId="09E3E4B0" w:rsidR="00E21D7D" w:rsidRPr="00CE200A" w:rsidRDefault="003676B4" w:rsidP="00BB0CB0">
            <w:pPr>
              <w:jc w:val="both"/>
              <w:rPr>
                <w:sz w:val="21"/>
                <w:szCs w:val="18"/>
              </w:rPr>
            </w:pPr>
            <w:r>
              <w:rPr>
                <w:sz w:val="21"/>
                <w:szCs w:val="18"/>
              </w:rPr>
              <w:t>Announced August 2023, a n</w:t>
            </w:r>
            <w:r w:rsidR="00CE200A" w:rsidRPr="00CE200A">
              <w:rPr>
                <w:sz w:val="21"/>
                <w:szCs w:val="18"/>
              </w:rPr>
              <w:t>ew cancer center in Austin, Texas with 150 inpatient beds and an outpatient facility.</w:t>
            </w:r>
          </w:p>
        </w:tc>
      </w:tr>
      <w:tr w:rsidR="00E21D7D" w:rsidRPr="00CE200A" w14:paraId="095F5834" w14:textId="706957AC" w:rsidTr="00417A84">
        <w:trPr>
          <w:cantSplit/>
          <w:jc w:val="center"/>
        </w:trPr>
        <w:tc>
          <w:tcPr>
            <w:tcW w:w="0" w:type="auto"/>
          </w:tcPr>
          <w:p w14:paraId="4C30F399" w14:textId="7758FE29" w:rsidR="00CA30A7" w:rsidRPr="00CA30A7" w:rsidRDefault="00E21D7D" w:rsidP="00CA30A7">
            <w:pPr>
              <w:pStyle w:val="RBUBullets"/>
              <w:numPr>
                <w:ilvl w:val="0"/>
                <w:numId w:val="20"/>
              </w:numPr>
              <w:jc w:val="left"/>
              <w:rPr>
                <w:sz w:val="21"/>
                <w:szCs w:val="18"/>
              </w:rPr>
            </w:pPr>
            <w:r w:rsidRPr="00CE200A">
              <w:rPr>
                <w:sz w:val="21"/>
                <w:szCs w:val="18"/>
              </w:rPr>
              <w:t>Memorial</w:t>
            </w:r>
            <w:r w:rsidR="00CA30A7">
              <w:rPr>
                <w:sz w:val="21"/>
                <w:szCs w:val="18"/>
              </w:rPr>
              <w:t xml:space="preserve"> </w:t>
            </w:r>
            <w:r w:rsidRPr="00CE200A">
              <w:rPr>
                <w:sz w:val="21"/>
                <w:szCs w:val="18"/>
              </w:rPr>
              <w:t xml:space="preserve">Sloan Kettering Cancer Center </w:t>
            </w:r>
          </w:p>
        </w:tc>
        <w:tc>
          <w:tcPr>
            <w:tcW w:w="0" w:type="auto"/>
            <w:vAlign w:val="center"/>
          </w:tcPr>
          <w:p w14:paraId="0CFE0DAD" w14:textId="613987E8" w:rsidR="00E21D7D" w:rsidRPr="00CE200A" w:rsidRDefault="00E21D7D" w:rsidP="00E21D7D">
            <w:pPr>
              <w:jc w:val="center"/>
              <w:rPr>
                <w:sz w:val="21"/>
                <w:szCs w:val="18"/>
              </w:rPr>
            </w:pPr>
            <w:r w:rsidRPr="00CE200A">
              <w:rPr>
                <w:color w:val="000000" w:themeColor="text1"/>
                <w:kern w:val="24"/>
                <w:sz w:val="21"/>
                <w:szCs w:val="18"/>
              </w:rPr>
              <w:t>514</w:t>
            </w:r>
            <w:r w:rsidR="00732447">
              <w:rPr>
                <w:rStyle w:val="FootnoteReference"/>
                <w:color w:val="000000" w:themeColor="text1"/>
                <w:kern w:val="24"/>
                <w:sz w:val="21"/>
                <w:szCs w:val="18"/>
              </w:rPr>
              <w:footnoteReference w:id="84"/>
            </w:r>
          </w:p>
        </w:tc>
        <w:tc>
          <w:tcPr>
            <w:tcW w:w="0" w:type="auto"/>
          </w:tcPr>
          <w:p w14:paraId="145567D5" w14:textId="1E5B5F90" w:rsidR="00E21D7D" w:rsidRPr="00BB0CB0" w:rsidRDefault="00CE200A" w:rsidP="00BB0CB0">
            <w:pPr>
              <w:contextualSpacing/>
              <w:jc w:val="both"/>
              <w:rPr>
                <w:sz w:val="21"/>
                <w:szCs w:val="18"/>
              </w:rPr>
            </w:pPr>
            <w:r w:rsidRPr="00CE200A">
              <w:rPr>
                <w:sz w:val="21"/>
                <w:szCs w:val="18"/>
              </w:rPr>
              <w:t>31-story cancer care pavilion on main campu</w:t>
            </w:r>
            <w:r w:rsidRPr="00BB0CB0">
              <w:rPr>
                <w:sz w:val="21"/>
                <w:szCs w:val="18"/>
              </w:rPr>
              <w:t>s,</w:t>
            </w:r>
            <w:r w:rsidR="003676B4">
              <w:rPr>
                <w:sz w:val="21"/>
                <w:szCs w:val="18"/>
              </w:rPr>
              <w:t xml:space="preserve"> estimated to be completed in 2030,</w:t>
            </w:r>
            <w:r w:rsidRPr="00CE200A">
              <w:rPr>
                <w:sz w:val="21"/>
                <w:szCs w:val="18"/>
              </w:rPr>
              <w:t xml:space="preserve"> </w:t>
            </w:r>
            <w:r w:rsidR="00E14342">
              <w:rPr>
                <w:sz w:val="21"/>
                <w:szCs w:val="18"/>
              </w:rPr>
              <w:t xml:space="preserve">will add </w:t>
            </w:r>
            <w:r w:rsidRPr="00CE200A">
              <w:rPr>
                <w:sz w:val="21"/>
                <w:szCs w:val="18"/>
              </w:rPr>
              <w:t>200 inpatient oncology beds</w:t>
            </w:r>
            <w:r w:rsidR="00BB0CB0">
              <w:rPr>
                <w:sz w:val="21"/>
                <w:szCs w:val="18"/>
              </w:rPr>
              <w:t>.</w:t>
            </w:r>
          </w:p>
        </w:tc>
      </w:tr>
      <w:tr w:rsidR="00E21D7D" w:rsidRPr="00CE200A" w14:paraId="54C31F2E" w14:textId="2B7D2415" w:rsidTr="00417A84">
        <w:trPr>
          <w:cantSplit/>
          <w:jc w:val="center"/>
        </w:trPr>
        <w:tc>
          <w:tcPr>
            <w:tcW w:w="0" w:type="auto"/>
          </w:tcPr>
          <w:p w14:paraId="29C778C4" w14:textId="715D6684" w:rsidR="00E21D7D" w:rsidRPr="00CE200A" w:rsidRDefault="00E21D7D" w:rsidP="00E21D7D">
            <w:pPr>
              <w:pStyle w:val="ListParagraph"/>
              <w:numPr>
                <w:ilvl w:val="0"/>
                <w:numId w:val="20"/>
              </w:numPr>
              <w:rPr>
                <w:bCs/>
                <w:sz w:val="21"/>
                <w:szCs w:val="18"/>
              </w:rPr>
            </w:pPr>
            <w:r w:rsidRPr="00CE200A">
              <w:rPr>
                <w:bCs/>
                <w:sz w:val="21"/>
                <w:szCs w:val="18"/>
              </w:rPr>
              <w:t>The James Cancer Hospital and Solove Research Institute</w:t>
            </w:r>
          </w:p>
        </w:tc>
        <w:tc>
          <w:tcPr>
            <w:tcW w:w="0" w:type="auto"/>
            <w:vAlign w:val="center"/>
          </w:tcPr>
          <w:p w14:paraId="6470C1AE" w14:textId="2163E976" w:rsidR="00E21D7D" w:rsidRPr="00CE200A" w:rsidRDefault="00E21D7D" w:rsidP="00E21D7D">
            <w:pPr>
              <w:jc w:val="center"/>
              <w:rPr>
                <w:sz w:val="21"/>
                <w:szCs w:val="18"/>
              </w:rPr>
            </w:pPr>
            <w:r w:rsidRPr="00CE200A">
              <w:rPr>
                <w:color w:val="000000" w:themeColor="text1"/>
                <w:kern w:val="24"/>
                <w:sz w:val="21"/>
                <w:szCs w:val="18"/>
              </w:rPr>
              <w:t>3</w:t>
            </w:r>
            <w:r w:rsidR="00355DC8">
              <w:rPr>
                <w:color w:val="000000" w:themeColor="text1"/>
                <w:kern w:val="24"/>
                <w:sz w:val="21"/>
                <w:szCs w:val="18"/>
              </w:rPr>
              <w:t>5</w:t>
            </w:r>
            <w:r w:rsidRPr="00CE200A">
              <w:rPr>
                <w:color w:val="000000" w:themeColor="text1"/>
                <w:kern w:val="24"/>
                <w:sz w:val="21"/>
                <w:szCs w:val="18"/>
              </w:rPr>
              <w:t>6</w:t>
            </w:r>
            <w:r w:rsidR="00AA64FB">
              <w:rPr>
                <w:rStyle w:val="FootnoteReference"/>
                <w:color w:val="000000" w:themeColor="text1"/>
                <w:kern w:val="24"/>
                <w:sz w:val="21"/>
                <w:szCs w:val="18"/>
              </w:rPr>
              <w:footnoteReference w:id="85"/>
            </w:r>
          </w:p>
        </w:tc>
        <w:tc>
          <w:tcPr>
            <w:tcW w:w="0" w:type="auto"/>
          </w:tcPr>
          <w:p w14:paraId="7ADDFAF7" w14:textId="22CD4FE7" w:rsidR="00E21D7D" w:rsidRPr="00BB0CB0" w:rsidRDefault="00BB0CB0" w:rsidP="00BB0CB0">
            <w:pPr>
              <w:contextualSpacing/>
              <w:jc w:val="both"/>
              <w:rPr>
                <w:sz w:val="21"/>
                <w:szCs w:val="18"/>
              </w:rPr>
            </w:pPr>
            <w:r w:rsidRPr="00BB0CB0">
              <w:rPr>
                <w:sz w:val="21"/>
                <w:szCs w:val="18"/>
              </w:rPr>
              <w:t>In 2014, opened new 1.1-million-square-foot, 21-level, 306-bed dedicated cancer hospital, incl</w:t>
            </w:r>
            <w:r w:rsidR="002D5AC1">
              <w:rPr>
                <w:sz w:val="21"/>
                <w:szCs w:val="18"/>
              </w:rPr>
              <w:t>uding</w:t>
            </w:r>
            <w:r w:rsidRPr="00BB0CB0">
              <w:rPr>
                <w:sz w:val="21"/>
                <w:szCs w:val="18"/>
              </w:rPr>
              <w:t xml:space="preserve"> 36-bed BMT unit</w:t>
            </w:r>
            <w:r>
              <w:rPr>
                <w:sz w:val="21"/>
                <w:szCs w:val="18"/>
              </w:rPr>
              <w:t>.</w:t>
            </w:r>
          </w:p>
        </w:tc>
      </w:tr>
      <w:tr w:rsidR="00E21D7D" w:rsidRPr="00CE200A" w14:paraId="649DEF08" w14:textId="30F1BE8E" w:rsidTr="00417A84">
        <w:trPr>
          <w:cantSplit/>
          <w:jc w:val="center"/>
        </w:trPr>
        <w:tc>
          <w:tcPr>
            <w:tcW w:w="0" w:type="auto"/>
          </w:tcPr>
          <w:p w14:paraId="5C9001EC" w14:textId="7AFE40A3" w:rsidR="00E21D7D" w:rsidRPr="00CE200A" w:rsidRDefault="00E21D7D" w:rsidP="00E21D7D">
            <w:pPr>
              <w:pStyle w:val="ListParagraph"/>
              <w:numPr>
                <w:ilvl w:val="0"/>
                <w:numId w:val="20"/>
              </w:numPr>
              <w:rPr>
                <w:bCs/>
                <w:sz w:val="21"/>
                <w:szCs w:val="18"/>
              </w:rPr>
            </w:pPr>
            <w:r w:rsidRPr="00CE200A">
              <w:rPr>
                <w:bCs/>
                <w:sz w:val="21"/>
                <w:szCs w:val="18"/>
              </w:rPr>
              <w:t>Moffit</w:t>
            </w:r>
            <w:r w:rsidR="004C346B">
              <w:rPr>
                <w:bCs/>
                <w:sz w:val="21"/>
                <w:szCs w:val="18"/>
              </w:rPr>
              <w:t>t</w:t>
            </w:r>
            <w:r w:rsidRPr="00CE200A">
              <w:rPr>
                <w:bCs/>
                <w:sz w:val="21"/>
                <w:szCs w:val="18"/>
              </w:rPr>
              <w:t xml:space="preserve"> Cancer Center</w:t>
            </w:r>
          </w:p>
        </w:tc>
        <w:tc>
          <w:tcPr>
            <w:tcW w:w="0" w:type="auto"/>
            <w:vAlign w:val="center"/>
          </w:tcPr>
          <w:p w14:paraId="1BA6AF40" w14:textId="2AB58A04" w:rsidR="00E21D7D" w:rsidRPr="00CE200A" w:rsidRDefault="00E21D7D" w:rsidP="00E21D7D">
            <w:pPr>
              <w:jc w:val="center"/>
              <w:rPr>
                <w:sz w:val="21"/>
                <w:szCs w:val="18"/>
              </w:rPr>
            </w:pPr>
            <w:r w:rsidRPr="00CE200A">
              <w:rPr>
                <w:color w:val="000000" w:themeColor="text1"/>
                <w:kern w:val="24"/>
                <w:sz w:val="21"/>
                <w:szCs w:val="18"/>
              </w:rPr>
              <w:t>218</w:t>
            </w:r>
            <w:r w:rsidR="00CC7C3F">
              <w:rPr>
                <w:rStyle w:val="FootnoteReference"/>
                <w:color w:val="000000" w:themeColor="text1"/>
                <w:kern w:val="24"/>
                <w:sz w:val="21"/>
                <w:szCs w:val="18"/>
              </w:rPr>
              <w:footnoteReference w:id="86"/>
            </w:r>
          </w:p>
        </w:tc>
        <w:tc>
          <w:tcPr>
            <w:tcW w:w="0" w:type="auto"/>
          </w:tcPr>
          <w:p w14:paraId="45282BEC" w14:textId="6E566011" w:rsidR="00E21D7D" w:rsidRPr="003676B4" w:rsidRDefault="007232E7" w:rsidP="00BB0CB0">
            <w:pPr>
              <w:jc w:val="both"/>
              <w:rPr>
                <w:bCs/>
                <w:sz w:val="21"/>
                <w:szCs w:val="18"/>
              </w:rPr>
            </w:pPr>
            <w:r>
              <w:rPr>
                <w:bCs/>
                <w:sz w:val="21"/>
                <w:szCs w:val="18"/>
              </w:rPr>
              <w:t>O</w:t>
            </w:r>
            <w:r w:rsidR="00BB0CB0" w:rsidRPr="00BB0CB0">
              <w:rPr>
                <w:bCs/>
                <w:sz w:val="21"/>
                <w:szCs w:val="18"/>
              </w:rPr>
              <w:t>pen</w:t>
            </w:r>
            <w:r>
              <w:rPr>
                <w:bCs/>
                <w:sz w:val="21"/>
                <w:szCs w:val="18"/>
              </w:rPr>
              <w:t>ed</w:t>
            </w:r>
            <w:r w:rsidR="00BB0CB0" w:rsidRPr="00BB0CB0">
              <w:rPr>
                <w:bCs/>
                <w:sz w:val="21"/>
                <w:szCs w:val="18"/>
              </w:rPr>
              <w:t xml:space="preserve"> on July 31, 2023, 10-story, </w:t>
            </w:r>
            <w:r w:rsidR="00CA30A7" w:rsidRPr="00CA30A7">
              <w:rPr>
                <w:bCs/>
                <w:sz w:val="21"/>
                <w:szCs w:val="18"/>
              </w:rPr>
              <w:t>498</w:t>
            </w:r>
            <w:r w:rsidR="00CA30A7">
              <w:rPr>
                <w:bCs/>
                <w:sz w:val="21"/>
                <w:szCs w:val="18"/>
              </w:rPr>
              <w:t>,</w:t>
            </w:r>
            <w:r w:rsidR="00CA30A7" w:rsidRPr="00CA30A7">
              <w:rPr>
                <w:bCs/>
                <w:sz w:val="21"/>
                <w:szCs w:val="18"/>
              </w:rPr>
              <w:t>000</w:t>
            </w:r>
            <w:r w:rsidR="00BB0CB0" w:rsidRPr="00BB0CB0">
              <w:rPr>
                <w:bCs/>
                <w:sz w:val="21"/>
                <w:szCs w:val="18"/>
              </w:rPr>
              <w:t xml:space="preserve"> sq. ft facility adds 128 inpatient oncology beds, with capacity for up to 400 in total as well as </w:t>
            </w:r>
            <w:r w:rsidR="0097120E">
              <w:rPr>
                <w:bCs/>
                <w:sz w:val="21"/>
                <w:szCs w:val="18"/>
              </w:rPr>
              <w:t xml:space="preserve">one </w:t>
            </w:r>
            <w:r w:rsidR="00BB0CB0" w:rsidRPr="00BB0CB0">
              <w:rPr>
                <w:bCs/>
                <w:sz w:val="21"/>
                <w:szCs w:val="18"/>
              </w:rPr>
              <w:t>MRI scanne</w:t>
            </w:r>
            <w:r w:rsidR="0097120E">
              <w:rPr>
                <w:bCs/>
                <w:sz w:val="21"/>
                <w:szCs w:val="18"/>
              </w:rPr>
              <w:t>r</w:t>
            </w:r>
            <w:r w:rsidR="00BB0CB0" w:rsidRPr="00BB0CB0">
              <w:rPr>
                <w:bCs/>
                <w:sz w:val="21"/>
                <w:szCs w:val="18"/>
              </w:rPr>
              <w:t xml:space="preserve">, </w:t>
            </w:r>
            <w:r w:rsidR="00CA30A7">
              <w:rPr>
                <w:bCs/>
                <w:sz w:val="21"/>
                <w:szCs w:val="18"/>
              </w:rPr>
              <w:t>a diagnostic</w:t>
            </w:r>
            <w:r w:rsidR="00BB0CB0" w:rsidRPr="00BB0CB0">
              <w:rPr>
                <w:bCs/>
                <w:sz w:val="21"/>
                <w:szCs w:val="18"/>
              </w:rPr>
              <w:t xml:space="preserve"> CT scanner</w:t>
            </w:r>
            <w:r w:rsidR="0097120E">
              <w:rPr>
                <w:bCs/>
                <w:sz w:val="21"/>
                <w:szCs w:val="18"/>
              </w:rPr>
              <w:t>,</w:t>
            </w:r>
            <w:r w:rsidR="00BB0CB0" w:rsidRPr="00BB0CB0">
              <w:rPr>
                <w:bCs/>
                <w:sz w:val="21"/>
                <w:szCs w:val="18"/>
              </w:rPr>
              <w:t xml:space="preserve"> and two nuclear cameras</w:t>
            </w:r>
          </w:p>
        </w:tc>
      </w:tr>
      <w:tr w:rsidR="00E21D7D" w:rsidRPr="00CE200A" w14:paraId="1956C9EA" w14:textId="3129CA83" w:rsidTr="00417A84">
        <w:trPr>
          <w:cantSplit/>
          <w:jc w:val="center"/>
        </w:trPr>
        <w:tc>
          <w:tcPr>
            <w:tcW w:w="0" w:type="auto"/>
          </w:tcPr>
          <w:p w14:paraId="71AEB757" w14:textId="366F5A0C" w:rsidR="00E21D7D" w:rsidRPr="00CE200A" w:rsidRDefault="00E21D7D" w:rsidP="00E21D7D">
            <w:pPr>
              <w:pStyle w:val="ListParagraph"/>
              <w:numPr>
                <w:ilvl w:val="0"/>
                <w:numId w:val="20"/>
              </w:numPr>
              <w:rPr>
                <w:bCs/>
                <w:sz w:val="21"/>
                <w:szCs w:val="18"/>
              </w:rPr>
            </w:pPr>
            <w:r w:rsidRPr="00CE200A">
              <w:rPr>
                <w:bCs/>
                <w:sz w:val="21"/>
                <w:szCs w:val="18"/>
              </w:rPr>
              <w:t>City of Hope</w:t>
            </w:r>
          </w:p>
        </w:tc>
        <w:tc>
          <w:tcPr>
            <w:tcW w:w="0" w:type="auto"/>
            <w:vAlign w:val="center"/>
          </w:tcPr>
          <w:p w14:paraId="56BC8568" w14:textId="0AE56386" w:rsidR="00E21D7D" w:rsidRPr="00BB0CB0" w:rsidRDefault="00E21D7D" w:rsidP="00E21D7D">
            <w:pPr>
              <w:jc w:val="center"/>
              <w:rPr>
                <w:sz w:val="21"/>
                <w:szCs w:val="18"/>
              </w:rPr>
            </w:pPr>
            <w:r w:rsidRPr="00BB0CB0">
              <w:rPr>
                <w:color w:val="000000" w:themeColor="text1"/>
                <w:kern w:val="24"/>
                <w:sz w:val="21"/>
                <w:szCs w:val="18"/>
              </w:rPr>
              <w:t>217</w:t>
            </w:r>
            <w:r w:rsidR="002F47D4">
              <w:rPr>
                <w:rStyle w:val="FootnoteReference"/>
                <w:color w:val="000000" w:themeColor="text1"/>
                <w:kern w:val="24"/>
                <w:sz w:val="21"/>
                <w:szCs w:val="18"/>
              </w:rPr>
              <w:footnoteReference w:id="87"/>
            </w:r>
          </w:p>
        </w:tc>
        <w:tc>
          <w:tcPr>
            <w:tcW w:w="0" w:type="auto"/>
          </w:tcPr>
          <w:p w14:paraId="2B4ACBE6" w14:textId="56B1235A" w:rsidR="00E21D7D" w:rsidRPr="00BB0CB0" w:rsidRDefault="00BB0CB0" w:rsidP="00BB0CB0">
            <w:pPr>
              <w:jc w:val="both"/>
              <w:rPr>
                <w:sz w:val="21"/>
                <w:szCs w:val="18"/>
              </w:rPr>
            </w:pPr>
            <w:r w:rsidRPr="00BB0CB0">
              <w:rPr>
                <w:sz w:val="21"/>
                <w:szCs w:val="18"/>
              </w:rPr>
              <w:t>Building</w:t>
            </w:r>
            <w:r w:rsidR="0097120E">
              <w:rPr>
                <w:sz w:val="21"/>
                <w:szCs w:val="18"/>
              </w:rPr>
              <w:t xml:space="preserve"> </w:t>
            </w:r>
            <w:r w:rsidRPr="00BB0CB0">
              <w:rPr>
                <w:sz w:val="21"/>
                <w:szCs w:val="18"/>
              </w:rPr>
              <w:t>a new $1 billion cancer center in Orange County, with a 190</w:t>
            </w:r>
            <w:r w:rsidR="004B69DD">
              <w:rPr>
                <w:sz w:val="21"/>
                <w:szCs w:val="18"/>
              </w:rPr>
              <w:t>,000</w:t>
            </w:r>
            <w:r w:rsidRPr="00BB0CB0">
              <w:rPr>
                <w:sz w:val="21"/>
                <w:szCs w:val="18"/>
              </w:rPr>
              <w:t xml:space="preserve"> sq. ft. outpatient building already opened on the site</w:t>
            </w:r>
            <w:r>
              <w:rPr>
                <w:sz w:val="21"/>
                <w:szCs w:val="18"/>
              </w:rPr>
              <w:t>. Additionally, a</w:t>
            </w:r>
            <w:r w:rsidRPr="00BB0CB0">
              <w:rPr>
                <w:sz w:val="21"/>
                <w:szCs w:val="18"/>
              </w:rPr>
              <w:t>dding 73 dedicated inpatient oncology beds at Orange County</w:t>
            </w:r>
            <w:r w:rsidR="002340EA">
              <w:rPr>
                <w:sz w:val="21"/>
                <w:szCs w:val="18"/>
              </w:rPr>
              <w:t>’</w:t>
            </w:r>
            <w:r w:rsidRPr="00BB0CB0">
              <w:rPr>
                <w:sz w:val="21"/>
                <w:szCs w:val="18"/>
              </w:rPr>
              <w:t>s only stand-alone cancer hospital, planned to open in 2025</w:t>
            </w:r>
            <w:r>
              <w:rPr>
                <w:sz w:val="21"/>
                <w:szCs w:val="18"/>
              </w:rPr>
              <w:t>.</w:t>
            </w:r>
          </w:p>
        </w:tc>
      </w:tr>
    </w:tbl>
    <w:p w14:paraId="1B5466AD" w14:textId="77777777" w:rsidR="0023625B" w:rsidRPr="0023625B" w:rsidRDefault="0023625B" w:rsidP="00772478">
      <w:pPr>
        <w:jc w:val="both"/>
        <w:rPr>
          <w:b/>
          <w:szCs w:val="24"/>
        </w:rPr>
      </w:pPr>
    </w:p>
    <w:p w14:paraId="50F436CE" w14:textId="7626D5AD" w:rsidR="00412E82" w:rsidRPr="00412E82" w:rsidRDefault="00412E82" w:rsidP="00B76BE3">
      <w:pPr>
        <w:pStyle w:val="ListParagraph"/>
        <w:numPr>
          <w:ilvl w:val="0"/>
          <w:numId w:val="31"/>
        </w:numPr>
        <w:jc w:val="both"/>
        <w:rPr>
          <w:bCs/>
          <w:szCs w:val="24"/>
        </w:rPr>
      </w:pPr>
      <w:r>
        <w:rPr>
          <w:bCs/>
          <w:szCs w:val="24"/>
        </w:rPr>
        <w:t xml:space="preserve"> </w:t>
      </w:r>
      <w:r>
        <w:rPr>
          <w:bCs/>
          <w:szCs w:val="24"/>
          <w:u w:val="single"/>
        </w:rPr>
        <w:t xml:space="preserve">Inpatient Need </w:t>
      </w:r>
      <w:r w:rsidR="00B76BE3">
        <w:rPr>
          <w:bCs/>
          <w:szCs w:val="24"/>
          <w:u w:val="single"/>
        </w:rPr>
        <w:t>on the</w:t>
      </w:r>
      <w:r>
        <w:rPr>
          <w:bCs/>
          <w:szCs w:val="24"/>
          <w:u w:val="single"/>
        </w:rPr>
        <w:t xml:space="preserve"> Longwood</w:t>
      </w:r>
      <w:r w:rsidR="00B76BE3">
        <w:rPr>
          <w:bCs/>
          <w:szCs w:val="24"/>
          <w:u w:val="single"/>
        </w:rPr>
        <w:t xml:space="preserve"> Medical Campus</w:t>
      </w:r>
    </w:p>
    <w:p w14:paraId="37804FF6" w14:textId="77777777" w:rsidR="00412E82" w:rsidRDefault="00412E82" w:rsidP="00772478">
      <w:pPr>
        <w:jc w:val="both"/>
        <w:rPr>
          <w:bCs/>
          <w:szCs w:val="24"/>
        </w:rPr>
      </w:pPr>
    </w:p>
    <w:p w14:paraId="24C64431" w14:textId="4FC0EE3C" w:rsidR="00C3524E" w:rsidRDefault="00E647AE" w:rsidP="00772478">
      <w:pPr>
        <w:jc w:val="both"/>
        <w:rPr>
          <w:bCs/>
          <w:szCs w:val="24"/>
        </w:rPr>
      </w:pPr>
      <w:r>
        <w:rPr>
          <w:bCs/>
          <w:szCs w:val="24"/>
        </w:rPr>
        <w:lastRenderedPageBreak/>
        <w:t xml:space="preserve">For a variety of reasons, it is imperative that </w:t>
      </w:r>
      <w:r w:rsidR="00483D37">
        <w:rPr>
          <w:bCs/>
          <w:szCs w:val="24"/>
        </w:rPr>
        <w:t xml:space="preserve">this inpatient </w:t>
      </w:r>
      <w:r w:rsidR="00A60553">
        <w:rPr>
          <w:bCs/>
          <w:szCs w:val="24"/>
        </w:rPr>
        <w:t>F</w:t>
      </w:r>
      <w:r w:rsidR="00483D37">
        <w:rPr>
          <w:bCs/>
          <w:szCs w:val="24"/>
        </w:rPr>
        <w:t xml:space="preserve">acility </w:t>
      </w:r>
      <w:r>
        <w:rPr>
          <w:bCs/>
          <w:szCs w:val="24"/>
        </w:rPr>
        <w:t xml:space="preserve">be located </w:t>
      </w:r>
      <w:r w:rsidR="009C6C3F">
        <w:rPr>
          <w:bCs/>
          <w:szCs w:val="24"/>
        </w:rPr>
        <w:t>on the Longwood Medical Campus</w:t>
      </w:r>
      <w:r>
        <w:rPr>
          <w:bCs/>
          <w:szCs w:val="24"/>
        </w:rPr>
        <w:t xml:space="preserve">. </w:t>
      </w:r>
      <w:r w:rsidR="00483D37">
        <w:rPr>
          <w:bCs/>
          <w:szCs w:val="24"/>
        </w:rPr>
        <w:t>M</w:t>
      </w:r>
      <w:r>
        <w:rPr>
          <w:bCs/>
          <w:szCs w:val="24"/>
        </w:rPr>
        <w:t xml:space="preserve">ost inpatients </w:t>
      </w:r>
      <w:r w:rsidR="00483D37">
        <w:rPr>
          <w:bCs/>
          <w:szCs w:val="24"/>
        </w:rPr>
        <w:t xml:space="preserve">managed by the Applicant </w:t>
      </w:r>
      <w:r>
        <w:rPr>
          <w:bCs/>
          <w:szCs w:val="24"/>
        </w:rPr>
        <w:t>begin their journey through the Applicant</w:t>
      </w:r>
      <w:r w:rsidR="002340EA">
        <w:rPr>
          <w:bCs/>
          <w:szCs w:val="24"/>
        </w:rPr>
        <w:t>’</w:t>
      </w:r>
      <w:r>
        <w:rPr>
          <w:bCs/>
          <w:szCs w:val="24"/>
        </w:rPr>
        <w:t>s ambulatory practices</w:t>
      </w:r>
      <w:r w:rsidR="009C6C3F">
        <w:rPr>
          <w:bCs/>
          <w:szCs w:val="24"/>
        </w:rPr>
        <w:t xml:space="preserve"> on the Longwood Medical Campus</w:t>
      </w:r>
      <w:r w:rsidR="00483D37">
        <w:rPr>
          <w:bCs/>
          <w:szCs w:val="24"/>
        </w:rPr>
        <w:t>, underscoring</w:t>
      </w:r>
      <w:r>
        <w:rPr>
          <w:bCs/>
          <w:szCs w:val="24"/>
        </w:rPr>
        <w:t xml:space="preserve"> the need for a proximate </w:t>
      </w:r>
      <w:r w:rsidR="00A60553">
        <w:rPr>
          <w:bCs/>
          <w:szCs w:val="24"/>
        </w:rPr>
        <w:t>F</w:t>
      </w:r>
      <w:r>
        <w:rPr>
          <w:bCs/>
          <w:szCs w:val="24"/>
        </w:rPr>
        <w:t xml:space="preserve">acility </w:t>
      </w:r>
      <w:r w:rsidR="00483D37">
        <w:rPr>
          <w:bCs/>
          <w:szCs w:val="24"/>
        </w:rPr>
        <w:t xml:space="preserve">that can </w:t>
      </w:r>
      <w:r>
        <w:rPr>
          <w:bCs/>
          <w:szCs w:val="24"/>
        </w:rPr>
        <w:t xml:space="preserve">facilitate seamless transitions of care and provide an integrated patient experience. Oncology </w:t>
      </w:r>
      <w:r w:rsidR="009A30AF">
        <w:rPr>
          <w:bCs/>
          <w:szCs w:val="24"/>
        </w:rPr>
        <w:t>clinicians</w:t>
      </w:r>
      <w:r>
        <w:rPr>
          <w:bCs/>
          <w:szCs w:val="24"/>
        </w:rPr>
        <w:t xml:space="preserve"> frequently move between clinics and the hospital, thereby requiring close proximity to optimize efficiency and</w:t>
      </w:r>
      <w:r w:rsidR="009A30AF">
        <w:rPr>
          <w:bCs/>
          <w:szCs w:val="24"/>
        </w:rPr>
        <w:t xml:space="preserve"> seamless coordination of</w:t>
      </w:r>
      <w:r>
        <w:rPr>
          <w:bCs/>
          <w:szCs w:val="24"/>
        </w:rPr>
        <w:t xml:space="preserve"> patient care. Moreover, </w:t>
      </w:r>
      <w:r w:rsidR="00FF40DE">
        <w:rPr>
          <w:bCs/>
          <w:szCs w:val="24"/>
        </w:rPr>
        <w:t>the Applicant</w:t>
      </w:r>
      <w:r w:rsidR="002340EA">
        <w:rPr>
          <w:bCs/>
          <w:szCs w:val="24"/>
        </w:rPr>
        <w:t>’</w:t>
      </w:r>
      <w:r w:rsidR="00FF40DE">
        <w:rPr>
          <w:bCs/>
          <w:szCs w:val="24"/>
        </w:rPr>
        <w:t>s</w:t>
      </w:r>
      <w:r>
        <w:rPr>
          <w:bCs/>
          <w:szCs w:val="24"/>
        </w:rPr>
        <w:t xml:space="preserve"> inpatient cancer population is highly acute and medically complex, requiring immediate and sophisticated intervention,</w:t>
      </w:r>
      <w:r w:rsidR="002B2005">
        <w:rPr>
          <w:bCs/>
          <w:szCs w:val="24"/>
        </w:rPr>
        <w:t xml:space="preserve"> </w:t>
      </w:r>
      <w:r w:rsidR="00873F93">
        <w:rPr>
          <w:bCs/>
          <w:szCs w:val="24"/>
        </w:rPr>
        <w:t>sometimes through the provision of intensive care like emergency intubation and continuous</w:t>
      </w:r>
      <w:r w:rsidR="007E37F9">
        <w:rPr>
          <w:bCs/>
          <w:szCs w:val="24"/>
        </w:rPr>
        <w:t xml:space="preserve"> electroencephalogram monitoring</w:t>
      </w:r>
      <w:r w:rsidR="002B2005">
        <w:rPr>
          <w:bCs/>
          <w:szCs w:val="24"/>
        </w:rPr>
        <w:t>,</w:t>
      </w:r>
      <w:r>
        <w:rPr>
          <w:bCs/>
          <w:szCs w:val="24"/>
        </w:rPr>
        <w:t xml:space="preserve"> only feasible through direct access to a quaternary care center. Proximity is also integral to fostering institutional objectives in research and teaching, as proximity catalyzes interdisciplinary collaboration, hastens the translational process from research to bedside care, and enriches the educational milieu for future healthcare professionals.</w:t>
      </w:r>
    </w:p>
    <w:p w14:paraId="5096E5F1" w14:textId="48001FD9" w:rsidR="009C3555" w:rsidRDefault="009C3555" w:rsidP="00772478">
      <w:pPr>
        <w:jc w:val="both"/>
        <w:rPr>
          <w:bCs/>
          <w:szCs w:val="24"/>
        </w:rPr>
      </w:pPr>
    </w:p>
    <w:p w14:paraId="47787103" w14:textId="77777777" w:rsidR="00F26E45" w:rsidRDefault="00F26E45" w:rsidP="00F26E45">
      <w:pPr>
        <w:jc w:val="both"/>
        <w:rPr>
          <w:bCs/>
          <w:szCs w:val="24"/>
        </w:rPr>
      </w:pPr>
      <w:r>
        <w:rPr>
          <w:bCs/>
          <w:szCs w:val="24"/>
        </w:rPr>
        <w:t xml:space="preserve">For all the foregoing reasons, and as the Applicant’s current arrangement with BWH is coming to an end, a freestanding Facility, with a sufficient complement of licensed beds, is necessary to ensure the Applicant is able to continue providing world-class cancer care and engage in innovative research. The identified need cannot be met by other hospitals within the Commonwealth because of the highly specialized nature of inpatient oncology care required by the Applicant’s patient panel and the growing demand for such care. </w:t>
      </w:r>
    </w:p>
    <w:p w14:paraId="4C5890ED" w14:textId="77777777" w:rsidR="000202A0" w:rsidRPr="00C3524E" w:rsidRDefault="000202A0" w:rsidP="00772478">
      <w:pPr>
        <w:jc w:val="both"/>
        <w:rPr>
          <w:bCs/>
          <w:szCs w:val="24"/>
        </w:rPr>
      </w:pPr>
    </w:p>
    <w:p w14:paraId="5E18F74D" w14:textId="37807E1A" w:rsidR="001E5050" w:rsidRDefault="001E5050" w:rsidP="00772478">
      <w:pPr>
        <w:jc w:val="both"/>
        <w:rPr>
          <w:bCs/>
          <w:szCs w:val="24"/>
        </w:rPr>
      </w:pPr>
      <w:r>
        <w:rPr>
          <w:b/>
          <w:i/>
          <w:iCs/>
          <w:szCs w:val="24"/>
        </w:rPr>
        <w:t xml:space="preserve">Need for </w:t>
      </w:r>
      <w:r w:rsidR="00FB70A1">
        <w:rPr>
          <w:b/>
          <w:i/>
          <w:iCs/>
          <w:szCs w:val="24"/>
        </w:rPr>
        <w:t xml:space="preserve">Inpatient </w:t>
      </w:r>
      <w:r>
        <w:rPr>
          <w:b/>
          <w:i/>
          <w:iCs/>
          <w:szCs w:val="24"/>
        </w:rPr>
        <w:t>Imaging Equipment</w:t>
      </w:r>
    </w:p>
    <w:p w14:paraId="50827E83" w14:textId="77777777" w:rsidR="00126E94" w:rsidRDefault="00126E94" w:rsidP="00772478">
      <w:pPr>
        <w:jc w:val="both"/>
        <w:rPr>
          <w:bCs/>
          <w:szCs w:val="24"/>
        </w:rPr>
      </w:pPr>
    </w:p>
    <w:p w14:paraId="0C920CFD" w14:textId="508AD293" w:rsidR="007770F5" w:rsidRDefault="005F17F4" w:rsidP="00772478">
      <w:pPr>
        <w:jc w:val="both"/>
        <w:rPr>
          <w:bCs/>
          <w:szCs w:val="24"/>
        </w:rPr>
      </w:pPr>
      <w:r>
        <w:rPr>
          <w:bCs/>
          <w:szCs w:val="24"/>
        </w:rPr>
        <w:t xml:space="preserve">MRI </w:t>
      </w:r>
      <w:r w:rsidR="004831C0">
        <w:rPr>
          <w:bCs/>
          <w:szCs w:val="24"/>
        </w:rPr>
        <w:t>scans</w:t>
      </w:r>
      <w:r>
        <w:rPr>
          <w:bCs/>
          <w:szCs w:val="24"/>
        </w:rPr>
        <w:t xml:space="preserve"> </w:t>
      </w:r>
      <w:r w:rsidR="004831C0">
        <w:rPr>
          <w:bCs/>
          <w:szCs w:val="24"/>
        </w:rPr>
        <w:t>ar</w:t>
      </w:r>
      <w:r>
        <w:rPr>
          <w:bCs/>
          <w:szCs w:val="24"/>
        </w:rPr>
        <w:t>e used to detect cancer and to determine how significantly a particular cancer may have metastasized within the body.</w:t>
      </w:r>
      <w:r>
        <w:rPr>
          <w:rStyle w:val="FootnoteReference"/>
          <w:bCs/>
          <w:szCs w:val="24"/>
        </w:rPr>
        <w:footnoteReference w:id="88"/>
      </w:r>
      <w:r w:rsidR="0062536D">
        <w:rPr>
          <w:bCs/>
          <w:szCs w:val="24"/>
        </w:rPr>
        <w:t xml:space="preserve"> CT scans are used to indicate the shape, size, and location of tumors. Successive CT scans help doctors determine </w:t>
      </w:r>
      <w:r w:rsidR="00B76C89">
        <w:rPr>
          <w:bCs/>
          <w:szCs w:val="24"/>
        </w:rPr>
        <w:t>how well cancer patients are responding to treatment.</w:t>
      </w:r>
      <w:r w:rsidR="00B76C89">
        <w:rPr>
          <w:rStyle w:val="FootnoteReference"/>
          <w:bCs/>
          <w:szCs w:val="24"/>
        </w:rPr>
        <w:footnoteReference w:id="89"/>
      </w:r>
      <w:r w:rsidR="00004443">
        <w:t xml:space="preserve"> </w:t>
      </w:r>
      <w:r w:rsidR="00331337">
        <w:t>Unlike MRIs or C</w:t>
      </w:r>
      <w:r w:rsidR="004831C0">
        <w:t xml:space="preserve">T </w:t>
      </w:r>
      <w:r w:rsidR="00331337">
        <w:t xml:space="preserve">scans, which show anatomic detail, </w:t>
      </w:r>
      <w:r w:rsidR="00331337" w:rsidRPr="00331337">
        <w:t>PET</w:t>
      </w:r>
      <w:r w:rsidR="004831C0">
        <w:t>-CT</w:t>
      </w:r>
      <w:r w:rsidR="00331337" w:rsidRPr="00331337">
        <w:t xml:space="preserve"> images biochemical or physiologic </w:t>
      </w:r>
      <w:r w:rsidR="00331337">
        <w:t>irregularities</w:t>
      </w:r>
      <w:r w:rsidR="00331337" w:rsidRPr="00331337">
        <w:t xml:space="preserve">. </w:t>
      </w:r>
      <w:r w:rsidR="00331337">
        <w:t xml:space="preserve">Therefore, </w:t>
      </w:r>
      <w:r w:rsidR="00331337" w:rsidRPr="00331337">
        <w:t>PET</w:t>
      </w:r>
      <w:r w:rsidR="004831C0">
        <w:t>-CT</w:t>
      </w:r>
      <w:r w:rsidR="00331337" w:rsidRPr="00331337">
        <w:t xml:space="preserve"> offers substantial advantages over anatomic imaging modalities in oncologic imaging</w:t>
      </w:r>
      <w:r w:rsidR="00331337">
        <w:t xml:space="preserve"> and</w:t>
      </w:r>
      <w:r w:rsidR="00331337" w:rsidRPr="00331337">
        <w:t xml:space="preserve"> can often distinguish between benign and malignant lesions when CT and MRI cannot.</w:t>
      </w:r>
      <w:r w:rsidR="00331337">
        <w:rPr>
          <w:rStyle w:val="FootnoteReference"/>
        </w:rPr>
        <w:footnoteReference w:id="90"/>
      </w:r>
    </w:p>
    <w:p w14:paraId="41F99A23" w14:textId="5B1B4776" w:rsidR="000409A8" w:rsidRDefault="000409A8" w:rsidP="00A1432A">
      <w:pPr>
        <w:rPr>
          <w:bCs/>
          <w:szCs w:val="24"/>
        </w:rPr>
      </w:pPr>
    </w:p>
    <w:p w14:paraId="24DE6FE3" w14:textId="51A7A585" w:rsidR="00986299" w:rsidRPr="000A0E3B" w:rsidRDefault="000409A8" w:rsidP="001C5E40">
      <w:pPr>
        <w:jc w:val="both"/>
        <w:rPr>
          <w:bCs/>
          <w:szCs w:val="24"/>
        </w:rPr>
      </w:pPr>
      <w:r w:rsidRPr="000409A8">
        <w:rPr>
          <w:bCs/>
          <w:szCs w:val="24"/>
        </w:rPr>
        <w:t>The number of machines needed for</w:t>
      </w:r>
      <w:r>
        <w:rPr>
          <w:bCs/>
          <w:szCs w:val="24"/>
        </w:rPr>
        <w:t xml:space="preserve"> </w:t>
      </w:r>
      <w:r w:rsidRPr="000409A8">
        <w:rPr>
          <w:bCs/>
          <w:szCs w:val="24"/>
        </w:rPr>
        <w:t>each modality</w:t>
      </w:r>
      <w:r w:rsidR="00F4335A">
        <w:rPr>
          <w:bCs/>
          <w:szCs w:val="24"/>
        </w:rPr>
        <w:t xml:space="preserve">, as set forth in </w:t>
      </w:r>
      <w:r w:rsidR="00F4335A" w:rsidRPr="00F4335A">
        <w:rPr>
          <w:bCs/>
          <w:szCs w:val="24"/>
          <w:u w:val="single"/>
        </w:rPr>
        <w:t>Table</w:t>
      </w:r>
      <w:r w:rsidR="001739E5">
        <w:rPr>
          <w:bCs/>
          <w:szCs w:val="24"/>
          <w:u w:val="single"/>
        </w:rPr>
        <w:t>s</w:t>
      </w:r>
      <w:r w:rsidRPr="00F4335A">
        <w:rPr>
          <w:bCs/>
          <w:szCs w:val="24"/>
          <w:u w:val="single"/>
        </w:rPr>
        <w:t xml:space="preserve"> </w:t>
      </w:r>
      <w:r w:rsidR="00F4335A" w:rsidRPr="00F4335A">
        <w:rPr>
          <w:bCs/>
          <w:szCs w:val="24"/>
          <w:u w:val="single"/>
        </w:rPr>
        <w:t>1</w:t>
      </w:r>
      <w:r w:rsidR="009E6E7E">
        <w:rPr>
          <w:bCs/>
          <w:szCs w:val="24"/>
          <w:u w:val="single"/>
        </w:rPr>
        <w:t>4</w:t>
      </w:r>
      <w:r w:rsidR="001739E5">
        <w:rPr>
          <w:bCs/>
          <w:szCs w:val="24"/>
          <w:u w:val="single"/>
        </w:rPr>
        <w:t>-1</w:t>
      </w:r>
      <w:r w:rsidR="009E6E7E">
        <w:rPr>
          <w:bCs/>
          <w:szCs w:val="24"/>
          <w:u w:val="single"/>
        </w:rPr>
        <w:t>6</w:t>
      </w:r>
      <w:r w:rsidR="00F4335A">
        <w:rPr>
          <w:bCs/>
          <w:szCs w:val="24"/>
        </w:rPr>
        <w:t xml:space="preserve">, </w:t>
      </w:r>
      <w:r w:rsidRPr="000409A8">
        <w:rPr>
          <w:bCs/>
          <w:szCs w:val="24"/>
        </w:rPr>
        <w:t>was calculated by</w:t>
      </w:r>
      <w:r>
        <w:rPr>
          <w:bCs/>
          <w:szCs w:val="24"/>
        </w:rPr>
        <w:t xml:space="preserve"> </w:t>
      </w:r>
      <w:r w:rsidRPr="000409A8">
        <w:rPr>
          <w:bCs/>
          <w:szCs w:val="24"/>
        </w:rPr>
        <w:t>dividing the projected 2032 annual</w:t>
      </w:r>
      <w:r>
        <w:rPr>
          <w:bCs/>
          <w:szCs w:val="24"/>
        </w:rPr>
        <w:t xml:space="preserve"> </w:t>
      </w:r>
      <w:r w:rsidRPr="000409A8">
        <w:rPr>
          <w:bCs/>
          <w:szCs w:val="24"/>
        </w:rPr>
        <w:t>demand for scans for such modality</w:t>
      </w:r>
      <w:r w:rsidR="005832B1">
        <w:rPr>
          <w:bCs/>
          <w:szCs w:val="24"/>
        </w:rPr>
        <w:t xml:space="preserve"> </w:t>
      </w:r>
      <w:r w:rsidRPr="000409A8">
        <w:rPr>
          <w:bCs/>
          <w:szCs w:val="24"/>
        </w:rPr>
        <w:t>by the estimated number of scans</w:t>
      </w:r>
      <w:r>
        <w:rPr>
          <w:bCs/>
          <w:szCs w:val="24"/>
        </w:rPr>
        <w:t xml:space="preserve"> t</w:t>
      </w:r>
      <w:r w:rsidRPr="000409A8">
        <w:rPr>
          <w:bCs/>
          <w:szCs w:val="24"/>
        </w:rPr>
        <w:t>hat can be</w:t>
      </w:r>
      <w:r>
        <w:rPr>
          <w:bCs/>
          <w:szCs w:val="24"/>
        </w:rPr>
        <w:t xml:space="preserve"> </w:t>
      </w:r>
      <w:r w:rsidRPr="000409A8">
        <w:rPr>
          <w:bCs/>
          <w:szCs w:val="24"/>
        </w:rPr>
        <w:t>performed per machine</w:t>
      </w:r>
      <w:r>
        <w:rPr>
          <w:bCs/>
          <w:szCs w:val="24"/>
        </w:rPr>
        <w:t xml:space="preserve"> </w:t>
      </w:r>
      <w:r w:rsidRPr="000409A8">
        <w:rPr>
          <w:bCs/>
          <w:szCs w:val="24"/>
        </w:rPr>
        <w:t>in one year (</w:t>
      </w:r>
      <w:r w:rsidR="005832B1">
        <w:rPr>
          <w:bCs/>
          <w:szCs w:val="24"/>
        </w:rPr>
        <w:t>collectively k</w:t>
      </w:r>
      <w:r w:rsidRPr="000409A8">
        <w:rPr>
          <w:bCs/>
          <w:szCs w:val="24"/>
        </w:rPr>
        <w:t>nown as</w:t>
      </w:r>
      <w:r>
        <w:rPr>
          <w:bCs/>
          <w:szCs w:val="24"/>
        </w:rPr>
        <w:t xml:space="preserve"> </w:t>
      </w:r>
      <w:r w:rsidR="005832B1">
        <w:rPr>
          <w:bCs/>
          <w:szCs w:val="24"/>
        </w:rPr>
        <w:t>“</w:t>
      </w:r>
      <w:r w:rsidRPr="000409A8">
        <w:rPr>
          <w:bCs/>
          <w:szCs w:val="24"/>
        </w:rPr>
        <w:t>throughput</w:t>
      </w:r>
      <w:r w:rsidR="005832B1">
        <w:rPr>
          <w:bCs/>
          <w:szCs w:val="24"/>
        </w:rPr>
        <w:t>”</w:t>
      </w:r>
      <w:r w:rsidRPr="000409A8">
        <w:rPr>
          <w:bCs/>
          <w:szCs w:val="24"/>
        </w:rPr>
        <w:t>).</w:t>
      </w:r>
      <w:r w:rsidR="004C7FC8">
        <w:rPr>
          <w:bCs/>
          <w:szCs w:val="24"/>
        </w:rPr>
        <w:t xml:space="preserve"> </w:t>
      </w:r>
      <w:r w:rsidRPr="000409A8">
        <w:rPr>
          <w:bCs/>
          <w:szCs w:val="24"/>
        </w:rPr>
        <w:t>The projected 2032</w:t>
      </w:r>
      <w:r>
        <w:rPr>
          <w:bCs/>
          <w:szCs w:val="24"/>
        </w:rPr>
        <w:t xml:space="preserve"> </w:t>
      </w:r>
      <w:r w:rsidRPr="000409A8">
        <w:rPr>
          <w:bCs/>
          <w:szCs w:val="24"/>
        </w:rPr>
        <w:t>demand for scans was estimated by</w:t>
      </w:r>
      <w:r w:rsidR="00986299">
        <w:rPr>
          <w:bCs/>
          <w:szCs w:val="24"/>
        </w:rPr>
        <w:t xml:space="preserve"> first</w:t>
      </w:r>
      <w:r>
        <w:rPr>
          <w:bCs/>
          <w:szCs w:val="24"/>
        </w:rPr>
        <w:t xml:space="preserve"> </w:t>
      </w:r>
      <w:r w:rsidRPr="000409A8">
        <w:rPr>
          <w:bCs/>
          <w:szCs w:val="24"/>
        </w:rPr>
        <w:t xml:space="preserve">multiplying projected 2032 </w:t>
      </w:r>
      <w:r w:rsidR="00EF744F">
        <w:rPr>
          <w:bCs/>
          <w:szCs w:val="24"/>
        </w:rPr>
        <w:t>discharges</w:t>
      </w:r>
      <w:r w:rsidR="00A1659A">
        <w:rPr>
          <w:bCs/>
          <w:szCs w:val="24"/>
        </w:rPr>
        <w:t xml:space="preserve"> </w:t>
      </w:r>
      <w:r w:rsidR="0008725D">
        <w:rPr>
          <w:bCs/>
          <w:szCs w:val="24"/>
        </w:rPr>
        <w:t xml:space="preserve">(as </w:t>
      </w:r>
      <w:r w:rsidR="0008725D" w:rsidRPr="000A0E3B">
        <w:rPr>
          <w:bCs/>
          <w:szCs w:val="24"/>
        </w:rPr>
        <w:t>shown in</w:t>
      </w:r>
      <w:r w:rsidR="00A1659A" w:rsidRPr="000A0E3B">
        <w:rPr>
          <w:bCs/>
          <w:szCs w:val="24"/>
        </w:rPr>
        <w:t xml:space="preserve"> </w:t>
      </w:r>
      <w:r w:rsidR="00A1659A" w:rsidRPr="000A0E3B">
        <w:rPr>
          <w:bCs/>
          <w:szCs w:val="24"/>
          <w:u w:val="single"/>
        </w:rPr>
        <w:t>Table 1</w:t>
      </w:r>
      <w:r w:rsidR="009E6E7E">
        <w:rPr>
          <w:bCs/>
          <w:szCs w:val="24"/>
          <w:u w:val="single"/>
        </w:rPr>
        <w:t>1</w:t>
      </w:r>
      <w:r w:rsidR="00A1659A" w:rsidRPr="000A0E3B">
        <w:rPr>
          <w:bCs/>
          <w:szCs w:val="24"/>
        </w:rPr>
        <w:t>)</w:t>
      </w:r>
      <w:r w:rsidRPr="000A0E3B">
        <w:rPr>
          <w:bCs/>
          <w:szCs w:val="24"/>
        </w:rPr>
        <w:t xml:space="preserve"> by the average number of scans per </w:t>
      </w:r>
      <w:r w:rsidR="00EF744F" w:rsidRPr="000A0E3B">
        <w:rPr>
          <w:bCs/>
          <w:szCs w:val="24"/>
        </w:rPr>
        <w:t>discharge</w:t>
      </w:r>
      <w:r w:rsidRPr="000A0E3B">
        <w:rPr>
          <w:bCs/>
          <w:szCs w:val="24"/>
        </w:rPr>
        <w:t xml:space="preserve"> for each modality based on historical data of the Applicant. </w:t>
      </w:r>
      <w:r w:rsidR="000A0E3B" w:rsidRPr="000A0E3B">
        <w:rPr>
          <w:color w:val="000000"/>
          <w:szCs w:val="24"/>
        </w:rPr>
        <w:t>Second, the Applicant included projected 2032 outpatient scan volume. 2032 outpatient scan volume was estimated by taking the number of CT and PET-CT scans in 2022 that the Applicant referred to other hospital facilities due to lack of capacity at its sites (namely, 7,155 CT scans and 1,722 PET-CT scans) and projecting that volume using</w:t>
      </w:r>
      <w:r w:rsidR="000A0E3B" w:rsidRPr="000A0E3B">
        <w:rPr>
          <w:bCs/>
          <w:szCs w:val="24"/>
        </w:rPr>
        <w:t xml:space="preserve"> </w:t>
      </w:r>
      <w:r w:rsidR="00FB292A" w:rsidRPr="000A0E3B">
        <w:rPr>
          <w:szCs w:val="24"/>
        </w:rPr>
        <w:t xml:space="preserve">the Sg2 growth rate of 4%, which is consistent with the Applicant’s own historical growth rate. Because </w:t>
      </w:r>
      <w:r w:rsidR="00FB292A" w:rsidRPr="000A0E3B">
        <w:rPr>
          <w:szCs w:val="24"/>
        </w:rPr>
        <w:lastRenderedPageBreak/>
        <w:t>the Applicant anticipates using the entirety of the</w:t>
      </w:r>
      <w:r w:rsidR="00225084" w:rsidRPr="000A0E3B">
        <w:rPr>
          <w:szCs w:val="24"/>
        </w:rPr>
        <w:t xml:space="preserve"> new MRI machines to service inpatients, outpatient volume project</w:t>
      </w:r>
      <w:r w:rsidR="00EB29FC" w:rsidRPr="000A0E3B">
        <w:rPr>
          <w:szCs w:val="24"/>
        </w:rPr>
        <w:t>ions</w:t>
      </w:r>
      <w:r w:rsidR="00225084" w:rsidRPr="000A0E3B">
        <w:rPr>
          <w:szCs w:val="24"/>
        </w:rPr>
        <w:t xml:space="preserve"> w</w:t>
      </w:r>
      <w:r w:rsidR="00EB29FC" w:rsidRPr="000A0E3B">
        <w:rPr>
          <w:szCs w:val="24"/>
        </w:rPr>
        <w:t>ere</w:t>
      </w:r>
      <w:r w:rsidR="00225084" w:rsidRPr="000A0E3B">
        <w:rPr>
          <w:szCs w:val="24"/>
        </w:rPr>
        <w:t xml:space="preserve"> not incorporated into the </w:t>
      </w:r>
      <w:r w:rsidR="000A0E3B">
        <w:rPr>
          <w:szCs w:val="24"/>
        </w:rPr>
        <w:t>demand</w:t>
      </w:r>
      <w:r w:rsidR="00225084" w:rsidRPr="000A0E3B">
        <w:rPr>
          <w:szCs w:val="24"/>
        </w:rPr>
        <w:t xml:space="preserve"> calculations in </w:t>
      </w:r>
      <w:r w:rsidR="00225084" w:rsidRPr="000A0E3B">
        <w:rPr>
          <w:szCs w:val="24"/>
          <w:u w:val="single"/>
        </w:rPr>
        <w:t>Table 1</w:t>
      </w:r>
      <w:r w:rsidR="009E6E7E">
        <w:rPr>
          <w:szCs w:val="24"/>
          <w:u w:val="single"/>
        </w:rPr>
        <w:t>5</w:t>
      </w:r>
      <w:r w:rsidR="00225084" w:rsidRPr="000A0E3B">
        <w:rPr>
          <w:szCs w:val="24"/>
        </w:rPr>
        <w:t>.</w:t>
      </w:r>
      <w:r w:rsidR="00225084">
        <w:t xml:space="preserve"> </w:t>
      </w:r>
    </w:p>
    <w:p w14:paraId="66EE4595" w14:textId="77777777" w:rsidR="00986299" w:rsidRDefault="00986299" w:rsidP="001C5E40">
      <w:pPr>
        <w:jc w:val="both"/>
      </w:pPr>
    </w:p>
    <w:p w14:paraId="18257923" w14:textId="5874D7AF" w:rsidR="00534420" w:rsidRDefault="000A45F0" w:rsidP="000A45F0">
      <w:pPr>
        <w:jc w:val="both"/>
      </w:pPr>
      <w:r>
        <w:rPr>
          <w:bCs/>
          <w:szCs w:val="24"/>
        </w:rPr>
        <w:t xml:space="preserve">Throughput, or annual scan capacity of one machine for each modality, was estimated based on the Applicant’s </w:t>
      </w:r>
      <w:r w:rsidRPr="001568AE">
        <w:rPr>
          <w:bCs/>
          <w:szCs w:val="24"/>
        </w:rPr>
        <w:t xml:space="preserve">historical throughput </w:t>
      </w:r>
      <w:r w:rsidR="0008725D">
        <w:rPr>
          <w:bCs/>
          <w:szCs w:val="24"/>
        </w:rPr>
        <w:t>experience</w:t>
      </w:r>
      <w:r w:rsidRPr="001568AE">
        <w:rPr>
          <w:bCs/>
          <w:szCs w:val="24"/>
        </w:rPr>
        <w:t xml:space="preserve"> </w:t>
      </w:r>
      <w:r w:rsidR="0008725D">
        <w:rPr>
          <w:bCs/>
          <w:szCs w:val="24"/>
        </w:rPr>
        <w:t>for each</w:t>
      </w:r>
      <w:r w:rsidRPr="001568AE">
        <w:rPr>
          <w:bCs/>
          <w:szCs w:val="24"/>
        </w:rPr>
        <w:t xml:space="preserve"> imaging </w:t>
      </w:r>
      <w:r>
        <w:rPr>
          <w:bCs/>
          <w:szCs w:val="24"/>
        </w:rPr>
        <w:t>modality</w:t>
      </w:r>
      <w:r w:rsidR="0008725D">
        <w:rPr>
          <w:bCs/>
          <w:szCs w:val="24"/>
        </w:rPr>
        <w:t xml:space="preserve">, on </w:t>
      </w:r>
      <w:r w:rsidRPr="001568AE">
        <w:rPr>
          <w:bCs/>
          <w:szCs w:val="24"/>
        </w:rPr>
        <w:t>both</w:t>
      </w:r>
      <w:r w:rsidR="0008725D">
        <w:rPr>
          <w:bCs/>
          <w:szCs w:val="24"/>
        </w:rPr>
        <w:t xml:space="preserve"> an</w:t>
      </w:r>
      <w:r w:rsidRPr="001568AE">
        <w:rPr>
          <w:bCs/>
          <w:szCs w:val="24"/>
        </w:rPr>
        <w:t xml:space="preserve"> inpatient and outpatient </w:t>
      </w:r>
      <w:r w:rsidR="0008725D">
        <w:rPr>
          <w:bCs/>
          <w:szCs w:val="24"/>
        </w:rPr>
        <w:t>basis</w:t>
      </w:r>
      <w:r w:rsidRPr="001568AE">
        <w:rPr>
          <w:bCs/>
          <w:szCs w:val="24"/>
        </w:rPr>
        <w:t>.</w:t>
      </w:r>
      <w:r>
        <w:rPr>
          <w:bCs/>
          <w:szCs w:val="24"/>
        </w:rPr>
        <w:t xml:space="preserve"> These estimates</w:t>
      </w:r>
      <w:r w:rsidR="000202A0">
        <w:rPr>
          <w:bCs/>
          <w:szCs w:val="24"/>
        </w:rPr>
        <w:t xml:space="preserve">, shown in </w:t>
      </w:r>
      <w:r w:rsidR="000202A0" w:rsidRPr="000202A0">
        <w:rPr>
          <w:bCs/>
          <w:szCs w:val="24"/>
          <w:u w:val="single"/>
        </w:rPr>
        <w:t>Table</w:t>
      </w:r>
      <w:r w:rsidR="0008725D">
        <w:rPr>
          <w:bCs/>
          <w:szCs w:val="24"/>
          <w:u w:val="single"/>
        </w:rPr>
        <w:t>s</w:t>
      </w:r>
      <w:r w:rsidR="000202A0" w:rsidRPr="000202A0">
        <w:rPr>
          <w:bCs/>
          <w:szCs w:val="24"/>
          <w:u w:val="single"/>
        </w:rPr>
        <w:t xml:space="preserve"> 1</w:t>
      </w:r>
      <w:r w:rsidR="009E6E7E">
        <w:rPr>
          <w:bCs/>
          <w:szCs w:val="24"/>
          <w:u w:val="single"/>
        </w:rPr>
        <w:t>2</w:t>
      </w:r>
      <w:r w:rsidR="0008725D">
        <w:rPr>
          <w:bCs/>
          <w:szCs w:val="24"/>
          <w:u w:val="single"/>
        </w:rPr>
        <w:t xml:space="preserve"> and 1</w:t>
      </w:r>
      <w:r w:rsidR="009E6E7E">
        <w:rPr>
          <w:bCs/>
          <w:szCs w:val="24"/>
          <w:u w:val="single"/>
        </w:rPr>
        <w:t>3</w:t>
      </w:r>
      <w:r w:rsidR="000202A0">
        <w:rPr>
          <w:bCs/>
          <w:szCs w:val="24"/>
        </w:rPr>
        <w:t>,</w:t>
      </w:r>
      <w:r>
        <w:rPr>
          <w:bCs/>
          <w:szCs w:val="24"/>
        </w:rPr>
        <w:t xml:space="preserve"> were based on such machine’s number of operational days per year (365 for inpatient CT and MRI, 312 for inpatient PET-CT, and 250 for </w:t>
      </w:r>
      <w:r w:rsidR="002E338B">
        <w:rPr>
          <w:bCs/>
          <w:szCs w:val="24"/>
        </w:rPr>
        <w:t>Yes</w:t>
      </w:r>
      <w:r>
        <w:rPr>
          <w:bCs/>
          <w:szCs w:val="24"/>
        </w:rPr>
        <w:t xml:space="preserve"> CT and PET-CT), an assumed ten operational hours per day, and the average amount time required per scan based on historical data, with an 85% efficiency adjustment.</w:t>
      </w:r>
      <w:r w:rsidR="00163A1B">
        <w:rPr>
          <w:rStyle w:val="FootnoteReference"/>
          <w:bCs/>
          <w:szCs w:val="24"/>
        </w:rPr>
        <w:footnoteReference w:id="91"/>
      </w:r>
      <w:r w:rsidR="00B6039A">
        <w:rPr>
          <w:bCs/>
          <w:szCs w:val="24"/>
        </w:rPr>
        <w:t xml:space="preserve"> </w:t>
      </w:r>
      <w:r w:rsidR="00225084">
        <w:t>Because the CT machines and the PET-CT machine will be used on an inpatient and outpatient basis, the Applicant used a</w:t>
      </w:r>
      <w:r w:rsidR="00225084" w:rsidRPr="005C3E93">
        <w:t xml:space="preserve"> weighted average throughput</w:t>
      </w:r>
      <w:r w:rsidR="00225084">
        <w:t xml:space="preserve"> (based on the throughput estimates used in </w:t>
      </w:r>
      <w:r w:rsidR="00225084">
        <w:rPr>
          <w:u w:val="single"/>
        </w:rPr>
        <w:t xml:space="preserve">Tables </w:t>
      </w:r>
      <w:r w:rsidR="009E6E7E">
        <w:rPr>
          <w:u w:val="single"/>
        </w:rPr>
        <w:t>12</w:t>
      </w:r>
      <w:r w:rsidR="00225084">
        <w:rPr>
          <w:u w:val="single"/>
        </w:rPr>
        <w:t xml:space="preserve"> and 1</w:t>
      </w:r>
      <w:r w:rsidR="009E6E7E">
        <w:rPr>
          <w:u w:val="single"/>
        </w:rPr>
        <w:t>3</w:t>
      </w:r>
      <w:r w:rsidR="00225084">
        <w:t>)</w:t>
      </w:r>
      <w:r w:rsidR="00225084" w:rsidRPr="005C3E93">
        <w:t xml:space="preserve"> </w:t>
      </w:r>
      <w:r w:rsidR="00225084">
        <w:t>for purposes of calculating need</w:t>
      </w:r>
      <w:r w:rsidR="00225084" w:rsidRPr="005C3E93">
        <w:t>.</w:t>
      </w:r>
    </w:p>
    <w:p w14:paraId="77E9F293" w14:textId="77777777" w:rsidR="000A0E3B" w:rsidRPr="000A0E3B" w:rsidRDefault="000A0E3B" w:rsidP="000A45F0">
      <w:pPr>
        <w:jc w:val="both"/>
      </w:pPr>
    </w:p>
    <w:p w14:paraId="7F747421" w14:textId="48F671B3" w:rsidR="000977E7" w:rsidRPr="000977E7" w:rsidRDefault="000977E7" w:rsidP="000977E7">
      <w:pPr>
        <w:jc w:val="center"/>
        <w:rPr>
          <w:b/>
          <w:szCs w:val="24"/>
        </w:rPr>
      </w:pPr>
      <w:r w:rsidRPr="000977E7">
        <w:rPr>
          <w:b/>
          <w:szCs w:val="24"/>
        </w:rPr>
        <w:t>Table 1</w:t>
      </w:r>
      <w:r w:rsidR="00BA5968">
        <w:rPr>
          <w:b/>
          <w:szCs w:val="24"/>
        </w:rPr>
        <w:t>2</w:t>
      </w:r>
    </w:p>
    <w:p w14:paraId="4190C795" w14:textId="126851C7" w:rsidR="000977E7" w:rsidRPr="000977E7" w:rsidRDefault="000977E7" w:rsidP="000977E7">
      <w:pPr>
        <w:jc w:val="center"/>
        <w:rPr>
          <w:b/>
          <w:szCs w:val="24"/>
        </w:rPr>
      </w:pPr>
      <w:r w:rsidRPr="000977E7">
        <w:rPr>
          <w:b/>
          <w:szCs w:val="24"/>
        </w:rPr>
        <w:t>Inpatient Imaging Equipment Throughput Assumptions</w:t>
      </w:r>
    </w:p>
    <w:p w14:paraId="4715F88A" w14:textId="77777777" w:rsidR="000977E7" w:rsidRPr="000977E7" w:rsidRDefault="000977E7" w:rsidP="000977E7">
      <w:pPr>
        <w:jc w:val="center"/>
        <w:rPr>
          <w:b/>
          <w:szCs w:val="24"/>
          <w:u w:val="single"/>
        </w:rPr>
      </w:pPr>
    </w:p>
    <w:tbl>
      <w:tblPr>
        <w:tblStyle w:val="TableGrid"/>
        <w:tblW w:w="5532" w:type="pct"/>
        <w:jc w:val="center"/>
        <w:tblLook w:val="04A0" w:firstRow="1" w:lastRow="0" w:firstColumn="1" w:lastColumn="0" w:noHBand="0" w:noVBand="1"/>
      </w:tblPr>
      <w:tblGrid>
        <w:gridCol w:w="1364"/>
        <w:gridCol w:w="1511"/>
        <w:gridCol w:w="1710"/>
        <w:gridCol w:w="2160"/>
        <w:gridCol w:w="1710"/>
        <w:gridCol w:w="1890"/>
      </w:tblGrid>
      <w:tr w:rsidR="00523734" w14:paraId="6495BE15" w14:textId="77777777" w:rsidTr="00702B38">
        <w:trPr>
          <w:cantSplit/>
          <w:tblHeader/>
          <w:jc w:val="center"/>
        </w:trPr>
        <w:tc>
          <w:tcPr>
            <w:tcW w:w="1364" w:type="dxa"/>
          </w:tcPr>
          <w:p w14:paraId="4F3AE113" w14:textId="553D6FA3" w:rsidR="00523734" w:rsidRPr="000977E7" w:rsidRDefault="00523734" w:rsidP="00534420">
            <w:pPr>
              <w:jc w:val="center"/>
              <w:rPr>
                <w:b/>
                <w:szCs w:val="24"/>
              </w:rPr>
            </w:pPr>
            <w:r w:rsidRPr="000977E7">
              <w:rPr>
                <w:b/>
                <w:szCs w:val="24"/>
              </w:rPr>
              <w:t>Equipment</w:t>
            </w:r>
          </w:p>
        </w:tc>
        <w:tc>
          <w:tcPr>
            <w:tcW w:w="1511" w:type="dxa"/>
          </w:tcPr>
          <w:p w14:paraId="20D97A02" w14:textId="3E42F6A8" w:rsidR="00523734" w:rsidRPr="000977E7" w:rsidRDefault="00523734" w:rsidP="00534420">
            <w:pPr>
              <w:jc w:val="center"/>
              <w:rPr>
                <w:b/>
                <w:szCs w:val="24"/>
              </w:rPr>
            </w:pPr>
            <w:r w:rsidRPr="000977E7">
              <w:rPr>
                <w:b/>
                <w:szCs w:val="24"/>
              </w:rPr>
              <w:t>Days/Year</w:t>
            </w:r>
          </w:p>
        </w:tc>
        <w:tc>
          <w:tcPr>
            <w:tcW w:w="1710" w:type="dxa"/>
          </w:tcPr>
          <w:p w14:paraId="522A6BFA" w14:textId="3017AF5E" w:rsidR="00523734" w:rsidRPr="000977E7" w:rsidRDefault="00523734" w:rsidP="00534420">
            <w:pPr>
              <w:jc w:val="center"/>
              <w:rPr>
                <w:b/>
                <w:szCs w:val="24"/>
              </w:rPr>
            </w:pPr>
            <w:r w:rsidRPr="000977E7">
              <w:rPr>
                <w:b/>
                <w:szCs w:val="24"/>
              </w:rPr>
              <w:t>Hours/Day</w:t>
            </w:r>
          </w:p>
        </w:tc>
        <w:tc>
          <w:tcPr>
            <w:tcW w:w="2160" w:type="dxa"/>
          </w:tcPr>
          <w:p w14:paraId="407D3A13" w14:textId="19381B9B" w:rsidR="00523734" w:rsidRPr="000977E7" w:rsidRDefault="00523734" w:rsidP="00534420">
            <w:pPr>
              <w:jc w:val="center"/>
              <w:rPr>
                <w:b/>
                <w:szCs w:val="24"/>
              </w:rPr>
            </w:pPr>
            <w:r w:rsidRPr="000977E7">
              <w:rPr>
                <w:b/>
                <w:szCs w:val="24"/>
              </w:rPr>
              <w:t>Patient Time (</w:t>
            </w:r>
            <w:proofErr w:type="spellStart"/>
            <w:r w:rsidRPr="000977E7">
              <w:rPr>
                <w:b/>
                <w:szCs w:val="24"/>
              </w:rPr>
              <w:t>hr</w:t>
            </w:r>
            <w:proofErr w:type="spellEnd"/>
            <w:r w:rsidRPr="000977E7">
              <w:rPr>
                <w:b/>
                <w:szCs w:val="24"/>
              </w:rPr>
              <w:t>)</w:t>
            </w:r>
          </w:p>
        </w:tc>
        <w:tc>
          <w:tcPr>
            <w:tcW w:w="1710" w:type="dxa"/>
          </w:tcPr>
          <w:p w14:paraId="056FB24C" w14:textId="3EDAD942" w:rsidR="00523734" w:rsidRPr="000977E7" w:rsidRDefault="00523734" w:rsidP="00534420">
            <w:pPr>
              <w:jc w:val="center"/>
              <w:rPr>
                <w:b/>
                <w:szCs w:val="24"/>
              </w:rPr>
            </w:pPr>
            <w:r>
              <w:rPr>
                <w:b/>
                <w:szCs w:val="24"/>
              </w:rPr>
              <w:t>Efficiency</w:t>
            </w:r>
          </w:p>
        </w:tc>
        <w:tc>
          <w:tcPr>
            <w:tcW w:w="1890" w:type="dxa"/>
          </w:tcPr>
          <w:p w14:paraId="20A13C5F" w14:textId="72AA2C3A" w:rsidR="00523734" w:rsidRPr="000977E7" w:rsidRDefault="00523734" w:rsidP="00534420">
            <w:pPr>
              <w:jc w:val="center"/>
              <w:rPr>
                <w:b/>
                <w:szCs w:val="24"/>
              </w:rPr>
            </w:pPr>
            <w:r w:rsidRPr="000977E7">
              <w:rPr>
                <w:b/>
                <w:szCs w:val="24"/>
              </w:rPr>
              <w:t>Throughput</w:t>
            </w:r>
          </w:p>
        </w:tc>
      </w:tr>
      <w:tr w:rsidR="00523734" w14:paraId="76BBDFC4" w14:textId="77777777" w:rsidTr="00702B38">
        <w:trPr>
          <w:cantSplit/>
          <w:jc w:val="center"/>
        </w:trPr>
        <w:tc>
          <w:tcPr>
            <w:tcW w:w="1364" w:type="dxa"/>
          </w:tcPr>
          <w:p w14:paraId="5FAA26F6" w14:textId="6795444F" w:rsidR="00523734" w:rsidRDefault="00523734" w:rsidP="000A45F0">
            <w:pPr>
              <w:jc w:val="both"/>
              <w:rPr>
                <w:bCs/>
                <w:szCs w:val="24"/>
              </w:rPr>
            </w:pPr>
            <w:r>
              <w:rPr>
                <w:bCs/>
                <w:szCs w:val="24"/>
              </w:rPr>
              <w:t>CT</w:t>
            </w:r>
          </w:p>
        </w:tc>
        <w:tc>
          <w:tcPr>
            <w:tcW w:w="1511" w:type="dxa"/>
          </w:tcPr>
          <w:p w14:paraId="1DA58476" w14:textId="6AA1A82E" w:rsidR="00523734" w:rsidRDefault="00523734" w:rsidP="000977E7">
            <w:pPr>
              <w:jc w:val="center"/>
              <w:rPr>
                <w:bCs/>
                <w:szCs w:val="24"/>
              </w:rPr>
            </w:pPr>
            <w:r>
              <w:rPr>
                <w:bCs/>
                <w:szCs w:val="24"/>
              </w:rPr>
              <w:t>365</w:t>
            </w:r>
          </w:p>
        </w:tc>
        <w:tc>
          <w:tcPr>
            <w:tcW w:w="1710" w:type="dxa"/>
          </w:tcPr>
          <w:p w14:paraId="71D75537" w14:textId="4DD9AFE7" w:rsidR="00523734" w:rsidRDefault="00523734" w:rsidP="000977E7">
            <w:pPr>
              <w:jc w:val="center"/>
              <w:rPr>
                <w:bCs/>
                <w:szCs w:val="24"/>
              </w:rPr>
            </w:pPr>
            <w:r>
              <w:rPr>
                <w:bCs/>
                <w:szCs w:val="24"/>
              </w:rPr>
              <w:t>10</w:t>
            </w:r>
          </w:p>
        </w:tc>
        <w:tc>
          <w:tcPr>
            <w:tcW w:w="2160" w:type="dxa"/>
          </w:tcPr>
          <w:p w14:paraId="6CED2194" w14:textId="006D4504" w:rsidR="00523734" w:rsidRDefault="00523734" w:rsidP="000977E7">
            <w:pPr>
              <w:jc w:val="center"/>
              <w:rPr>
                <w:bCs/>
                <w:szCs w:val="24"/>
              </w:rPr>
            </w:pPr>
            <w:r>
              <w:rPr>
                <w:bCs/>
                <w:szCs w:val="24"/>
              </w:rPr>
              <w:t>0.5</w:t>
            </w:r>
          </w:p>
        </w:tc>
        <w:tc>
          <w:tcPr>
            <w:tcW w:w="1710" w:type="dxa"/>
          </w:tcPr>
          <w:p w14:paraId="0F1DBD41" w14:textId="72827ABF" w:rsidR="00523734" w:rsidRDefault="00523734" w:rsidP="006842C3">
            <w:pPr>
              <w:ind w:firstLine="520"/>
              <w:rPr>
                <w:bCs/>
                <w:szCs w:val="24"/>
              </w:rPr>
            </w:pPr>
            <w:r>
              <w:rPr>
                <w:bCs/>
                <w:szCs w:val="24"/>
              </w:rPr>
              <w:t>85%</w:t>
            </w:r>
          </w:p>
        </w:tc>
        <w:tc>
          <w:tcPr>
            <w:tcW w:w="1890" w:type="dxa"/>
          </w:tcPr>
          <w:p w14:paraId="63E8D839" w14:textId="050281E1" w:rsidR="00523734" w:rsidRDefault="000A3398" w:rsidP="00F156AB">
            <w:pPr>
              <w:ind w:firstLine="196"/>
              <w:jc w:val="center"/>
              <w:rPr>
                <w:bCs/>
                <w:szCs w:val="24"/>
              </w:rPr>
            </w:pPr>
            <w:r>
              <w:rPr>
                <w:bCs/>
                <w:szCs w:val="24"/>
              </w:rPr>
              <w:t>9,928</w:t>
            </w:r>
            <w:r w:rsidR="00523734">
              <w:rPr>
                <w:rStyle w:val="FootnoteReference"/>
                <w:bCs/>
                <w:szCs w:val="24"/>
              </w:rPr>
              <w:footnoteReference w:id="92"/>
            </w:r>
          </w:p>
        </w:tc>
      </w:tr>
      <w:tr w:rsidR="00523734" w14:paraId="2670C77E" w14:textId="77777777" w:rsidTr="00702B38">
        <w:trPr>
          <w:cantSplit/>
          <w:jc w:val="center"/>
        </w:trPr>
        <w:tc>
          <w:tcPr>
            <w:tcW w:w="1364" w:type="dxa"/>
          </w:tcPr>
          <w:p w14:paraId="208452F9" w14:textId="1F31AAC9" w:rsidR="00523734" w:rsidRDefault="00523734" w:rsidP="000A45F0">
            <w:pPr>
              <w:jc w:val="both"/>
              <w:rPr>
                <w:bCs/>
                <w:szCs w:val="24"/>
              </w:rPr>
            </w:pPr>
            <w:r>
              <w:rPr>
                <w:bCs/>
                <w:szCs w:val="24"/>
              </w:rPr>
              <w:t>MRI</w:t>
            </w:r>
          </w:p>
        </w:tc>
        <w:tc>
          <w:tcPr>
            <w:tcW w:w="1511" w:type="dxa"/>
          </w:tcPr>
          <w:p w14:paraId="0F6FDC2C" w14:textId="5A9AB7EA" w:rsidR="00523734" w:rsidRDefault="00523734" w:rsidP="000977E7">
            <w:pPr>
              <w:jc w:val="center"/>
              <w:rPr>
                <w:bCs/>
                <w:szCs w:val="24"/>
              </w:rPr>
            </w:pPr>
            <w:r>
              <w:rPr>
                <w:bCs/>
                <w:szCs w:val="24"/>
              </w:rPr>
              <w:t>365</w:t>
            </w:r>
          </w:p>
        </w:tc>
        <w:tc>
          <w:tcPr>
            <w:tcW w:w="1710" w:type="dxa"/>
          </w:tcPr>
          <w:p w14:paraId="515E42EC" w14:textId="6ED63EA5" w:rsidR="00523734" w:rsidRDefault="00523734" w:rsidP="000977E7">
            <w:pPr>
              <w:jc w:val="center"/>
              <w:rPr>
                <w:bCs/>
                <w:szCs w:val="24"/>
              </w:rPr>
            </w:pPr>
            <w:r>
              <w:rPr>
                <w:bCs/>
                <w:szCs w:val="24"/>
              </w:rPr>
              <w:t>10</w:t>
            </w:r>
          </w:p>
        </w:tc>
        <w:tc>
          <w:tcPr>
            <w:tcW w:w="2160" w:type="dxa"/>
          </w:tcPr>
          <w:p w14:paraId="283A47C1" w14:textId="5E83D921" w:rsidR="00523734" w:rsidRDefault="00523734" w:rsidP="000977E7">
            <w:pPr>
              <w:jc w:val="center"/>
              <w:rPr>
                <w:bCs/>
                <w:szCs w:val="24"/>
              </w:rPr>
            </w:pPr>
            <w:r>
              <w:rPr>
                <w:bCs/>
                <w:szCs w:val="24"/>
              </w:rPr>
              <w:t>1.00</w:t>
            </w:r>
          </w:p>
        </w:tc>
        <w:tc>
          <w:tcPr>
            <w:tcW w:w="1710" w:type="dxa"/>
          </w:tcPr>
          <w:p w14:paraId="1DA8ECFA" w14:textId="61CDE808" w:rsidR="00523734" w:rsidRDefault="00523734" w:rsidP="000977E7">
            <w:pPr>
              <w:jc w:val="center"/>
              <w:rPr>
                <w:bCs/>
                <w:szCs w:val="24"/>
              </w:rPr>
            </w:pPr>
            <w:r>
              <w:rPr>
                <w:bCs/>
                <w:szCs w:val="24"/>
              </w:rPr>
              <w:t>85%</w:t>
            </w:r>
          </w:p>
        </w:tc>
        <w:tc>
          <w:tcPr>
            <w:tcW w:w="1890" w:type="dxa"/>
          </w:tcPr>
          <w:p w14:paraId="3F366FEE" w14:textId="6237F34C" w:rsidR="00523734" w:rsidRDefault="00523734" w:rsidP="000977E7">
            <w:pPr>
              <w:jc w:val="center"/>
              <w:rPr>
                <w:bCs/>
                <w:szCs w:val="24"/>
              </w:rPr>
            </w:pPr>
            <w:r>
              <w:rPr>
                <w:bCs/>
                <w:szCs w:val="24"/>
              </w:rPr>
              <w:t>3,</w:t>
            </w:r>
            <w:r w:rsidR="000A3398">
              <w:rPr>
                <w:bCs/>
                <w:szCs w:val="24"/>
              </w:rPr>
              <w:t>103</w:t>
            </w:r>
          </w:p>
        </w:tc>
      </w:tr>
      <w:tr w:rsidR="00523734" w14:paraId="713712F2" w14:textId="77777777" w:rsidTr="00702B38">
        <w:trPr>
          <w:cantSplit/>
          <w:jc w:val="center"/>
        </w:trPr>
        <w:tc>
          <w:tcPr>
            <w:tcW w:w="1364" w:type="dxa"/>
          </w:tcPr>
          <w:p w14:paraId="4FA1F1EE" w14:textId="7E113187" w:rsidR="00523734" w:rsidRDefault="00523734" w:rsidP="000A45F0">
            <w:pPr>
              <w:jc w:val="both"/>
              <w:rPr>
                <w:bCs/>
                <w:szCs w:val="24"/>
              </w:rPr>
            </w:pPr>
            <w:r>
              <w:rPr>
                <w:bCs/>
                <w:szCs w:val="24"/>
              </w:rPr>
              <w:t>PET-CT</w:t>
            </w:r>
          </w:p>
        </w:tc>
        <w:tc>
          <w:tcPr>
            <w:tcW w:w="1511" w:type="dxa"/>
          </w:tcPr>
          <w:p w14:paraId="12CB2A67" w14:textId="3D31B6DC" w:rsidR="00523734" w:rsidRDefault="00523734" w:rsidP="000977E7">
            <w:pPr>
              <w:jc w:val="center"/>
              <w:rPr>
                <w:bCs/>
                <w:szCs w:val="24"/>
              </w:rPr>
            </w:pPr>
            <w:r>
              <w:rPr>
                <w:bCs/>
                <w:szCs w:val="24"/>
              </w:rPr>
              <w:t>312</w:t>
            </w:r>
          </w:p>
        </w:tc>
        <w:tc>
          <w:tcPr>
            <w:tcW w:w="1710" w:type="dxa"/>
          </w:tcPr>
          <w:p w14:paraId="17267D53" w14:textId="03FB2D3B" w:rsidR="00523734" w:rsidRDefault="00523734" w:rsidP="000977E7">
            <w:pPr>
              <w:jc w:val="center"/>
              <w:rPr>
                <w:bCs/>
                <w:szCs w:val="24"/>
              </w:rPr>
            </w:pPr>
            <w:r>
              <w:rPr>
                <w:bCs/>
                <w:szCs w:val="24"/>
              </w:rPr>
              <w:t>10</w:t>
            </w:r>
          </w:p>
        </w:tc>
        <w:tc>
          <w:tcPr>
            <w:tcW w:w="2160" w:type="dxa"/>
          </w:tcPr>
          <w:p w14:paraId="3AA28CB4" w14:textId="7AFD4EF1" w:rsidR="00523734" w:rsidRDefault="00523734" w:rsidP="000977E7">
            <w:pPr>
              <w:jc w:val="center"/>
              <w:rPr>
                <w:bCs/>
                <w:szCs w:val="24"/>
              </w:rPr>
            </w:pPr>
            <w:r>
              <w:rPr>
                <w:bCs/>
                <w:szCs w:val="24"/>
              </w:rPr>
              <w:t>0.75</w:t>
            </w:r>
          </w:p>
        </w:tc>
        <w:tc>
          <w:tcPr>
            <w:tcW w:w="1710" w:type="dxa"/>
          </w:tcPr>
          <w:p w14:paraId="051CBB40" w14:textId="4F9F7923" w:rsidR="00523734" w:rsidRDefault="00523734" w:rsidP="000977E7">
            <w:pPr>
              <w:jc w:val="center"/>
              <w:rPr>
                <w:bCs/>
                <w:szCs w:val="24"/>
              </w:rPr>
            </w:pPr>
            <w:r>
              <w:rPr>
                <w:bCs/>
                <w:szCs w:val="24"/>
              </w:rPr>
              <w:t>85%</w:t>
            </w:r>
          </w:p>
        </w:tc>
        <w:tc>
          <w:tcPr>
            <w:tcW w:w="1890" w:type="dxa"/>
          </w:tcPr>
          <w:p w14:paraId="60AD3E2C" w14:textId="418153F9" w:rsidR="00523734" w:rsidRDefault="000A3398" w:rsidP="000977E7">
            <w:pPr>
              <w:jc w:val="center"/>
              <w:rPr>
                <w:bCs/>
                <w:szCs w:val="24"/>
              </w:rPr>
            </w:pPr>
            <w:r>
              <w:rPr>
                <w:bCs/>
                <w:szCs w:val="24"/>
              </w:rPr>
              <w:t>3,536</w:t>
            </w:r>
          </w:p>
        </w:tc>
      </w:tr>
    </w:tbl>
    <w:p w14:paraId="09214968" w14:textId="77777777" w:rsidR="000977E7" w:rsidRDefault="000977E7" w:rsidP="00F156AB">
      <w:pPr>
        <w:rPr>
          <w:b/>
          <w:szCs w:val="24"/>
        </w:rPr>
      </w:pPr>
    </w:p>
    <w:p w14:paraId="355A72F0" w14:textId="6836125C" w:rsidR="000977E7" w:rsidRPr="000977E7" w:rsidRDefault="000977E7" w:rsidP="000977E7">
      <w:pPr>
        <w:jc w:val="center"/>
        <w:rPr>
          <w:b/>
          <w:szCs w:val="24"/>
        </w:rPr>
      </w:pPr>
      <w:r w:rsidRPr="000977E7">
        <w:rPr>
          <w:b/>
          <w:szCs w:val="24"/>
        </w:rPr>
        <w:t>Table 1</w:t>
      </w:r>
      <w:r w:rsidR="00BA5968">
        <w:rPr>
          <w:b/>
          <w:szCs w:val="24"/>
        </w:rPr>
        <w:t>3</w:t>
      </w:r>
    </w:p>
    <w:p w14:paraId="19452681" w14:textId="27526595" w:rsidR="000977E7" w:rsidRPr="000977E7" w:rsidRDefault="000977E7" w:rsidP="000977E7">
      <w:pPr>
        <w:jc w:val="center"/>
        <w:rPr>
          <w:bCs/>
          <w:szCs w:val="24"/>
        </w:rPr>
      </w:pPr>
      <w:r w:rsidRPr="000977E7">
        <w:rPr>
          <w:b/>
          <w:szCs w:val="24"/>
        </w:rPr>
        <w:t>Outpatient Imaging Equipment Throughput Assumptions</w:t>
      </w:r>
    </w:p>
    <w:p w14:paraId="0CE2F43D" w14:textId="77777777" w:rsidR="000977E7" w:rsidRPr="000977E7" w:rsidRDefault="000977E7" w:rsidP="000977E7">
      <w:pPr>
        <w:jc w:val="center"/>
        <w:rPr>
          <w:b/>
          <w:szCs w:val="24"/>
          <w:u w:val="single"/>
        </w:rPr>
      </w:pPr>
    </w:p>
    <w:tbl>
      <w:tblPr>
        <w:tblStyle w:val="TableGrid"/>
        <w:tblW w:w="5484" w:type="pct"/>
        <w:jc w:val="center"/>
        <w:tblLook w:val="04A0" w:firstRow="1" w:lastRow="0" w:firstColumn="1" w:lastColumn="0" w:noHBand="0" w:noVBand="1"/>
      </w:tblPr>
      <w:tblGrid>
        <w:gridCol w:w="1364"/>
        <w:gridCol w:w="1511"/>
        <w:gridCol w:w="1710"/>
        <w:gridCol w:w="2160"/>
        <w:gridCol w:w="1710"/>
        <w:gridCol w:w="1800"/>
      </w:tblGrid>
      <w:tr w:rsidR="000A3398" w14:paraId="009F1FDD" w14:textId="77777777" w:rsidTr="00702B38">
        <w:trPr>
          <w:cantSplit/>
          <w:tblHeader/>
          <w:jc w:val="center"/>
        </w:trPr>
        <w:tc>
          <w:tcPr>
            <w:tcW w:w="1364" w:type="dxa"/>
          </w:tcPr>
          <w:p w14:paraId="79C085AC" w14:textId="77777777" w:rsidR="000A3398" w:rsidRPr="000977E7" w:rsidRDefault="000A3398" w:rsidP="007F19A7">
            <w:pPr>
              <w:jc w:val="center"/>
              <w:rPr>
                <w:b/>
                <w:szCs w:val="24"/>
              </w:rPr>
            </w:pPr>
            <w:r w:rsidRPr="000977E7">
              <w:rPr>
                <w:b/>
                <w:szCs w:val="24"/>
              </w:rPr>
              <w:t>Equipment</w:t>
            </w:r>
          </w:p>
        </w:tc>
        <w:tc>
          <w:tcPr>
            <w:tcW w:w="1511" w:type="dxa"/>
          </w:tcPr>
          <w:p w14:paraId="69D51C8E" w14:textId="77777777" w:rsidR="000A3398" w:rsidRPr="000977E7" w:rsidRDefault="000A3398" w:rsidP="007F19A7">
            <w:pPr>
              <w:jc w:val="center"/>
              <w:rPr>
                <w:b/>
                <w:szCs w:val="24"/>
              </w:rPr>
            </w:pPr>
            <w:r w:rsidRPr="000977E7">
              <w:rPr>
                <w:b/>
                <w:szCs w:val="24"/>
              </w:rPr>
              <w:t>Days/Year</w:t>
            </w:r>
          </w:p>
        </w:tc>
        <w:tc>
          <w:tcPr>
            <w:tcW w:w="1710" w:type="dxa"/>
          </w:tcPr>
          <w:p w14:paraId="2FB56434" w14:textId="77777777" w:rsidR="000A3398" w:rsidRPr="000977E7" w:rsidRDefault="000A3398" w:rsidP="007F19A7">
            <w:pPr>
              <w:jc w:val="center"/>
              <w:rPr>
                <w:b/>
                <w:szCs w:val="24"/>
              </w:rPr>
            </w:pPr>
            <w:r w:rsidRPr="000977E7">
              <w:rPr>
                <w:b/>
                <w:szCs w:val="24"/>
              </w:rPr>
              <w:t>Hours/Day</w:t>
            </w:r>
          </w:p>
        </w:tc>
        <w:tc>
          <w:tcPr>
            <w:tcW w:w="2160" w:type="dxa"/>
          </w:tcPr>
          <w:p w14:paraId="5CD1F8F4" w14:textId="77777777" w:rsidR="000A3398" w:rsidRPr="000977E7" w:rsidRDefault="000A3398" w:rsidP="007F19A7">
            <w:pPr>
              <w:jc w:val="center"/>
              <w:rPr>
                <w:b/>
                <w:szCs w:val="24"/>
              </w:rPr>
            </w:pPr>
            <w:r w:rsidRPr="000977E7">
              <w:rPr>
                <w:b/>
                <w:szCs w:val="24"/>
              </w:rPr>
              <w:t>Patient Time (</w:t>
            </w:r>
            <w:proofErr w:type="spellStart"/>
            <w:r w:rsidRPr="000977E7">
              <w:rPr>
                <w:b/>
                <w:szCs w:val="24"/>
              </w:rPr>
              <w:t>hr</w:t>
            </w:r>
            <w:proofErr w:type="spellEnd"/>
            <w:r w:rsidRPr="000977E7">
              <w:rPr>
                <w:b/>
                <w:szCs w:val="24"/>
              </w:rPr>
              <w:t>)</w:t>
            </w:r>
          </w:p>
        </w:tc>
        <w:tc>
          <w:tcPr>
            <w:tcW w:w="1710" w:type="dxa"/>
          </w:tcPr>
          <w:p w14:paraId="1216A333" w14:textId="0E018357" w:rsidR="000A3398" w:rsidRPr="000977E7" w:rsidRDefault="000A3398" w:rsidP="007F19A7">
            <w:pPr>
              <w:jc w:val="center"/>
              <w:rPr>
                <w:b/>
                <w:szCs w:val="24"/>
              </w:rPr>
            </w:pPr>
            <w:r>
              <w:rPr>
                <w:b/>
                <w:szCs w:val="24"/>
              </w:rPr>
              <w:t>Efficiency</w:t>
            </w:r>
          </w:p>
        </w:tc>
        <w:tc>
          <w:tcPr>
            <w:tcW w:w="1800" w:type="dxa"/>
          </w:tcPr>
          <w:p w14:paraId="40AB245F" w14:textId="35BC4101" w:rsidR="000A3398" w:rsidRPr="000977E7" w:rsidRDefault="000A3398" w:rsidP="007F19A7">
            <w:pPr>
              <w:jc w:val="center"/>
              <w:rPr>
                <w:b/>
                <w:szCs w:val="24"/>
              </w:rPr>
            </w:pPr>
            <w:r w:rsidRPr="000977E7">
              <w:rPr>
                <w:b/>
                <w:szCs w:val="24"/>
              </w:rPr>
              <w:t>Throughput</w:t>
            </w:r>
          </w:p>
        </w:tc>
      </w:tr>
      <w:tr w:rsidR="000A3398" w14:paraId="12E3219F" w14:textId="77777777" w:rsidTr="00702B38">
        <w:trPr>
          <w:cantSplit/>
          <w:jc w:val="center"/>
        </w:trPr>
        <w:tc>
          <w:tcPr>
            <w:tcW w:w="1364" w:type="dxa"/>
          </w:tcPr>
          <w:p w14:paraId="73962278" w14:textId="77777777" w:rsidR="000A3398" w:rsidRDefault="000A3398" w:rsidP="000970D7">
            <w:pPr>
              <w:jc w:val="both"/>
              <w:rPr>
                <w:bCs/>
                <w:szCs w:val="24"/>
              </w:rPr>
            </w:pPr>
            <w:r>
              <w:rPr>
                <w:bCs/>
                <w:szCs w:val="24"/>
              </w:rPr>
              <w:t>CT</w:t>
            </w:r>
          </w:p>
        </w:tc>
        <w:tc>
          <w:tcPr>
            <w:tcW w:w="1511" w:type="dxa"/>
          </w:tcPr>
          <w:p w14:paraId="61B556D8" w14:textId="69B34375" w:rsidR="000A3398" w:rsidRDefault="000A3398" w:rsidP="000970D7">
            <w:pPr>
              <w:jc w:val="center"/>
              <w:rPr>
                <w:bCs/>
                <w:szCs w:val="24"/>
              </w:rPr>
            </w:pPr>
            <w:r>
              <w:rPr>
                <w:bCs/>
                <w:szCs w:val="24"/>
              </w:rPr>
              <w:t>250</w:t>
            </w:r>
          </w:p>
        </w:tc>
        <w:tc>
          <w:tcPr>
            <w:tcW w:w="1710" w:type="dxa"/>
          </w:tcPr>
          <w:p w14:paraId="04D18E97" w14:textId="77777777" w:rsidR="000A3398" w:rsidRDefault="000A3398" w:rsidP="000970D7">
            <w:pPr>
              <w:jc w:val="center"/>
              <w:rPr>
                <w:bCs/>
                <w:szCs w:val="24"/>
              </w:rPr>
            </w:pPr>
            <w:r>
              <w:rPr>
                <w:bCs/>
                <w:szCs w:val="24"/>
              </w:rPr>
              <w:t>10</w:t>
            </w:r>
          </w:p>
        </w:tc>
        <w:tc>
          <w:tcPr>
            <w:tcW w:w="2160" w:type="dxa"/>
          </w:tcPr>
          <w:p w14:paraId="7657DC77" w14:textId="378EE829" w:rsidR="000A3398" w:rsidRDefault="000A3398" w:rsidP="000970D7">
            <w:pPr>
              <w:jc w:val="center"/>
              <w:rPr>
                <w:bCs/>
                <w:szCs w:val="24"/>
              </w:rPr>
            </w:pPr>
            <w:r>
              <w:rPr>
                <w:bCs/>
                <w:szCs w:val="24"/>
              </w:rPr>
              <w:t>0.33</w:t>
            </w:r>
          </w:p>
        </w:tc>
        <w:tc>
          <w:tcPr>
            <w:tcW w:w="1710" w:type="dxa"/>
          </w:tcPr>
          <w:p w14:paraId="7F7275F4" w14:textId="356A79EF" w:rsidR="000A3398" w:rsidRDefault="000A3398" w:rsidP="000970D7">
            <w:pPr>
              <w:jc w:val="center"/>
              <w:rPr>
                <w:bCs/>
                <w:szCs w:val="24"/>
              </w:rPr>
            </w:pPr>
            <w:r>
              <w:rPr>
                <w:bCs/>
                <w:szCs w:val="24"/>
              </w:rPr>
              <w:t>85%</w:t>
            </w:r>
          </w:p>
        </w:tc>
        <w:tc>
          <w:tcPr>
            <w:tcW w:w="1800" w:type="dxa"/>
          </w:tcPr>
          <w:p w14:paraId="7664C4E9" w14:textId="453B4F6E" w:rsidR="000A3398" w:rsidRDefault="000A3398" w:rsidP="000970D7">
            <w:pPr>
              <w:jc w:val="center"/>
              <w:rPr>
                <w:bCs/>
                <w:szCs w:val="24"/>
              </w:rPr>
            </w:pPr>
            <w:r>
              <w:rPr>
                <w:bCs/>
                <w:szCs w:val="24"/>
              </w:rPr>
              <w:t>10,200</w:t>
            </w:r>
          </w:p>
        </w:tc>
      </w:tr>
      <w:tr w:rsidR="000A3398" w14:paraId="6070A3AB" w14:textId="77777777" w:rsidTr="00702B38">
        <w:trPr>
          <w:cantSplit/>
          <w:jc w:val="center"/>
        </w:trPr>
        <w:tc>
          <w:tcPr>
            <w:tcW w:w="1364" w:type="dxa"/>
          </w:tcPr>
          <w:p w14:paraId="7A38F1B6" w14:textId="77777777" w:rsidR="000A3398" w:rsidRDefault="000A3398" w:rsidP="000970D7">
            <w:pPr>
              <w:jc w:val="both"/>
              <w:rPr>
                <w:bCs/>
                <w:szCs w:val="24"/>
              </w:rPr>
            </w:pPr>
            <w:r>
              <w:rPr>
                <w:bCs/>
                <w:szCs w:val="24"/>
              </w:rPr>
              <w:t>PET-CT</w:t>
            </w:r>
          </w:p>
        </w:tc>
        <w:tc>
          <w:tcPr>
            <w:tcW w:w="1511" w:type="dxa"/>
          </w:tcPr>
          <w:p w14:paraId="759DC6A7" w14:textId="49E4419E" w:rsidR="000A3398" w:rsidRDefault="000A3398" w:rsidP="000970D7">
            <w:pPr>
              <w:jc w:val="center"/>
              <w:rPr>
                <w:bCs/>
                <w:szCs w:val="24"/>
              </w:rPr>
            </w:pPr>
            <w:r w:rsidRPr="00E629EF">
              <w:rPr>
                <w:bCs/>
                <w:szCs w:val="24"/>
              </w:rPr>
              <w:t>250</w:t>
            </w:r>
          </w:p>
        </w:tc>
        <w:tc>
          <w:tcPr>
            <w:tcW w:w="1710" w:type="dxa"/>
          </w:tcPr>
          <w:p w14:paraId="40DAF878" w14:textId="77777777" w:rsidR="000A3398" w:rsidRDefault="000A3398" w:rsidP="000970D7">
            <w:pPr>
              <w:jc w:val="center"/>
              <w:rPr>
                <w:bCs/>
                <w:szCs w:val="24"/>
              </w:rPr>
            </w:pPr>
            <w:r>
              <w:rPr>
                <w:bCs/>
                <w:szCs w:val="24"/>
              </w:rPr>
              <w:t>10</w:t>
            </w:r>
          </w:p>
        </w:tc>
        <w:tc>
          <w:tcPr>
            <w:tcW w:w="2160" w:type="dxa"/>
          </w:tcPr>
          <w:p w14:paraId="2B7ADA8D" w14:textId="6082AAED" w:rsidR="000A3398" w:rsidRDefault="000A3398" w:rsidP="000970D7">
            <w:pPr>
              <w:jc w:val="center"/>
              <w:rPr>
                <w:bCs/>
                <w:szCs w:val="24"/>
              </w:rPr>
            </w:pPr>
            <w:r>
              <w:rPr>
                <w:bCs/>
                <w:szCs w:val="24"/>
              </w:rPr>
              <w:t>0.50</w:t>
            </w:r>
          </w:p>
        </w:tc>
        <w:tc>
          <w:tcPr>
            <w:tcW w:w="1710" w:type="dxa"/>
          </w:tcPr>
          <w:p w14:paraId="6242AEAE" w14:textId="1DE98F62" w:rsidR="000A3398" w:rsidRDefault="000A3398" w:rsidP="000970D7">
            <w:pPr>
              <w:jc w:val="center"/>
              <w:rPr>
                <w:bCs/>
                <w:szCs w:val="24"/>
              </w:rPr>
            </w:pPr>
            <w:r>
              <w:rPr>
                <w:bCs/>
                <w:szCs w:val="24"/>
              </w:rPr>
              <w:t>85%</w:t>
            </w:r>
          </w:p>
        </w:tc>
        <w:tc>
          <w:tcPr>
            <w:tcW w:w="1800" w:type="dxa"/>
          </w:tcPr>
          <w:p w14:paraId="7E24AF93" w14:textId="26DB4845" w:rsidR="000A3398" w:rsidRDefault="000A3398" w:rsidP="000970D7">
            <w:pPr>
              <w:jc w:val="center"/>
              <w:rPr>
                <w:bCs/>
                <w:szCs w:val="24"/>
              </w:rPr>
            </w:pPr>
            <w:r>
              <w:rPr>
                <w:bCs/>
                <w:szCs w:val="24"/>
              </w:rPr>
              <w:t>4,118</w:t>
            </w:r>
          </w:p>
        </w:tc>
      </w:tr>
    </w:tbl>
    <w:p w14:paraId="1E3EF8B2" w14:textId="0CABF4E6" w:rsidR="000977E7" w:rsidRDefault="000977E7">
      <w:pPr>
        <w:jc w:val="both"/>
        <w:rPr>
          <w:bCs/>
          <w:szCs w:val="24"/>
        </w:rPr>
      </w:pPr>
    </w:p>
    <w:p w14:paraId="1B6865AC" w14:textId="638A3656" w:rsidR="00604B59" w:rsidRDefault="004C7FC8" w:rsidP="000409A8">
      <w:pPr>
        <w:jc w:val="both"/>
        <w:rPr>
          <w:bCs/>
          <w:szCs w:val="24"/>
        </w:rPr>
      </w:pPr>
      <w:r>
        <w:rPr>
          <w:bCs/>
          <w:szCs w:val="24"/>
        </w:rPr>
        <w:t>To conduct this calculation, the Applicant first examined</w:t>
      </w:r>
      <w:r w:rsidRPr="004C7FC8">
        <w:rPr>
          <w:bCs/>
          <w:szCs w:val="24"/>
        </w:rPr>
        <w:t xml:space="preserve"> historical utilization patterns for </w:t>
      </w:r>
      <w:r>
        <w:rPr>
          <w:bCs/>
          <w:szCs w:val="24"/>
        </w:rPr>
        <w:t>its</w:t>
      </w:r>
      <w:r w:rsidRPr="004C7FC8">
        <w:rPr>
          <w:bCs/>
          <w:szCs w:val="24"/>
        </w:rPr>
        <w:t xml:space="preserve"> inpatient encounters across the various inpatient imaging treatment modalities</w:t>
      </w:r>
      <w:r>
        <w:rPr>
          <w:bCs/>
          <w:szCs w:val="24"/>
        </w:rPr>
        <w:t>. The h</w:t>
      </w:r>
      <w:r w:rsidRPr="004C7FC8">
        <w:rPr>
          <w:bCs/>
          <w:szCs w:val="24"/>
        </w:rPr>
        <w:t>istorical utilization</w:t>
      </w:r>
      <w:r w:rsidR="00036508">
        <w:rPr>
          <w:bCs/>
          <w:szCs w:val="24"/>
        </w:rPr>
        <w:t xml:space="preserve"> data reviewed included discharges for FY21 and FY22, which were 1,440 and 1,463</w:t>
      </w:r>
      <w:r w:rsidR="00F0764E">
        <w:rPr>
          <w:bCs/>
          <w:szCs w:val="24"/>
        </w:rPr>
        <w:t xml:space="preserve"> patients</w:t>
      </w:r>
      <w:r w:rsidR="00036508">
        <w:rPr>
          <w:bCs/>
          <w:szCs w:val="24"/>
        </w:rPr>
        <w:t xml:space="preserve"> respectively, and the historical Inpatient Imaging Equipment numbers shown in </w:t>
      </w:r>
      <w:r w:rsidR="00036508" w:rsidRPr="00036508">
        <w:rPr>
          <w:bCs/>
          <w:szCs w:val="24"/>
          <w:u w:val="single"/>
        </w:rPr>
        <w:t xml:space="preserve">Table </w:t>
      </w:r>
      <w:r w:rsidR="009E6E7E">
        <w:rPr>
          <w:bCs/>
          <w:szCs w:val="24"/>
          <w:u w:val="single"/>
        </w:rPr>
        <w:t>6</w:t>
      </w:r>
      <w:r w:rsidR="00036508">
        <w:rPr>
          <w:bCs/>
          <w:szCs w:val="24"/>
        </w:rPr>
        <w:t xml:space="preserve"> above</w:t>
      </w:r>
      <w:r w:rsidR="006900C1">
        <w:rPr>
          <w:bCs/>
          <w:szCs w:val="24"/>
        </w:rPr>
        <w:t xml:space="preserve"> for FY21 and FY22</w:t>
      </w:r>
      <w:r w:rsidR="00F0764E">
        <w:rPr>
          <w:bCs/>
          <w:szCs w:val="24"/>
        </w:rPr>
        <w:t xml:space="preserve">. </w:t>
      </w:r>
      <w:r w:rsidR="001568AE">
        <w:rPr>
          <w:bCs/>
          <w:szCs w:val="24"/>
        </w:rPr>
        <w:t>The Applicant divided the historical imaging volume by the discharges to calculate the imaging</w:t>
      </w:r>
      <w:r w:rsidR="004265C9">
        <w:rPr>
          <w:bCs/>
          <w:szCs w:val="24"/>
        </w:rPr>
        <w:t>-to-</w:t>
      </w:r>
      <w:r w:rsidR="001568AE">
        <w:rPr>
          <w:bCs/>
          <w:szCs w:val="24"/>
        </w:rPr>
        <w:t>discharge</w:t>
      </w:r>
      <w:r w:rsidR="008C3E3D">
        <w:rPr>
          <w:bCs/>
          <w:szCs w:val="24"/>
        </w:rPr>
        <w:t xml:space="preserve"> or “applied scan”</w:t>
      </w:r>
      <w:r w:rsidR="001568AE">
        <w:rPr>
          <w:bCs/>
          <w:szCs w:val="24"/>
        </w:rPr>
        <w:t xml:space="preserve"> ratio</w:t>
      </w:r>
      <w:r w:rsidR="0048485E">
        <w:rPr>
          <w:bCs/>
          <w:szCs w:val="24"/>
        </w:rPr>
        <w:t xml:space="preserve">. </w:t>
      </w:r>
      <w:r w:rsidR="001568AE">
        <w:rPr>
          <w:bCs/>
          <w:szCs w:val="24"/>
        </w:rPr>
        <w:t xml:space="preserve">The </w:t>
      </w:r>
      <w:r w:rsidR="008C3E3D">
        <w:rPr>
          <w:bCs/>
          <w:szCs w:val="24"/>
        </w:rPr>
        <w:t>applied scan</w:t>
      </w:r>
      <w:r w:rsidR="006830DA">
        <w:rPr>
          <w:bCs/>
          <w:szCs w:val="24"/>
        </w:rPr>
        <w:t xml:space="preserve"> </w:t>
      </w:r>
      <w:r w:rsidR="001568AE">
        <w:rPr>
          <w:bCs/>
          <w:szCs w:val="24"/>
        </w:rPr>
        <w:t xml:space="preserve">ratio is </w:t>
      </w:r>
      <w:r w:rsidR="001568AE" w:rsidRPr="001568AE">
        <w:rPr>
          <w:bCs/>
          <w:szCs w:val="24"/>
        </w:rPr>
        <w:t>0.</w:t>
      </w:r>
      <w:r w:rsidR="007922CD">
        <w:rPr>
          <w:bCs/>
          <w:szCs w:val="24"/>
        </w:rPr>
        <w:t>62</w:t>
      </w:r>
      <w:r w:rsidR="001568AE" w:rsidRPr="001568AE">
        <w:rPr>
          <w:bCs/>
          <w:szCs w:val="24"/>
        </w:rPr>
        <w:t xml:space="preserve"> for CT,</w:t>
      </w:r>
      <w:r w:rsidR="008C3E3D">
        <w:rPr>
          <w:bCs/>
          <w:szCs w:val="24"/>
        </w:rPr>
        <w:t xml:space="preserve"> </w:t>
      </w:r>
      <w:r w:rsidR="008C3E3D" w:rsidRPr="001568AE">
        <w:rPr>
          <w:bCs/>
          <w:szCs w:val="24"/>
        </w:rPr>
        <w:t>0.36 for MRI,</w:t>
      </w:r>
      <w:r w:rsidR="008C3E3D">
        <w:rPr>
          <w:bCs/>
          <w:szCs w:val="24"/>
        </w:rPr>
        <w:t xml:space="preserve"> </w:t>
      </w:r>
      <w:r w:rsidR="001568AE" w:rsidRPr="001568AE">
        <w:rPr>
          <w:bCs/>
          <w:szCs w:val="24"/>
        </w:rPr>
        <w:t>and 0.04 for PET-CT.</w:t>
      </w:r>
      <w:r w:rsidR="0048485E">
        <w:rPr>
          <w:bCs/>
          <w:szCs w:val="24"/>
        </w:rPr>
        <w:t xml:space="preserve"> </w:t>
      </w:r>
      <w:r w:rsidR="008C3E3D">
        <w:rPr>
          <w:bCs/>
          <w:szCs w:val="24"/>
        </w:rPr>
        <w:t>Such ratio</w:t>
      </w:r>
      <w:r w:rsidR="0048485E" w:rsidRPr="004C7FC8">
        <w:rPr>
          <w:bCs/>
          <w:szCs w:val="24"/>
        </w:rPr>
        <w:t xml:space="preserve"> was</w:t>
      </w:r>
      <w:r w:rsidR="008C3E3D">
        <w:rPr>
          <w:bCs/>
          <w:szCs w:val="24"/>
        </w:rPr>
        <w:t xml:space="preserve"> multiplied by projected 2032 discharges</w:t>
      </w:r>
      <w:r w:rsidR="0048485E" w:rsidRPr="004C7FC8">
        <w:rPr>
          <w:bCs/>
          <w:szCs w:val="24"/>
        </w:rPr>
        <w:t xml:space="preserve"> </w:t>
      </w:r>
      <w:r w:rsidR="008C3E3D">
        <w:rPr>
          <w:bCs/>
          <w:szCs w:val="24"/>
        </w:rPr>
        <w:t>to</w:t>
      </w:r>
      <w:r w:rsidR="0048485E">
        <w:rPr>
          <w:bCs/>
          <w:szCs w:val="24"/>
        </w:rPr>
        <w:t xml:space="preserve"> derive</w:t>
      </w:r>
      <w:r w:rsidR="0048485E" w:rsidRPr="004C7FC8">
        <w:rPr>
          <w:bCs/>
          <w:szCs w:val="24"/>
        </w:rPr>
        <w:t xml:space="preserve"> future project</w:t>
      </w:r>
      <w:r w:rsidR="0048485E">
        <w:rPr>
          <w:bCs/>
          <w:szCs w:val="24"/>
        </w:rPr>
        <w:t>ed scans</w:t>
      </w:r>
      <w:r w:rsidR="008C3E3D">
        <w:rPr>
          <w:bCs/>
          <w:szCs w:val="24"/>
        </w:rPr>
        <w:t xml:space="preserve">. </w:t>
      </w:r>
      <w:r w:rsidR="003267F9">
        <w:rPr>
          <w:bCs/>
          <w:szCs w:val="24"/>
        </w:rPr>
        <w:t xml:space="preserve"> </w:t>
      </w:r>
    </w:p>
    <w:p w14:paraId="3CB52601" w14:textId="6036FD3F" w:rsidR="00163A1B" w:rsidRDefault="00163A1B" w:rsidP="000409A8">
      <w:pPr>
        <w:jc w:val="both"/>
        <w:rPr>
          <w:bCs/>
          <w:szCs w:val="24"/>
        </w:rPr>
      </w:pPr>
    </w:p>
    <w:p w14:paraId="389E36E0" w14:textId="28ABF2D0" w:rsidR="00374134" w:rsidRDefault="00374134" w:rsidP="000409A8">
      <w:pPr>
        <w:jc w:val="both"/>
        <w:rPr>
          <w:bCs/>
          <w:szCs w:val="24"/>
        </w:rPr>
      </w:pPr>
    </w:p>
    <w:p w14:paraId="678EDB52" w14:textId="6E80B6BF" w:rsidR="00374134" w:rsidRDefault="00374134" w:rsidP="000409A8">
      <w:pPr>
        <w:jc w:val="both"/>
        <w:rPr>
          <w:bCs/>
          <w:szCs w:val="24"/>
        </w:rPr>
      </w:pPr>
    </w:p>
    <w:p w14:paraId="5AEFB50C" w14:textId="39016A59" w:rsidR="00374134" w:rsidRDefault="00374134" w:rsidP="000409A8">
      <w:pPr>
        <w:jc w:val="both"/>
        <w:rPr>
          <w:bCs/>
          <w:szCs w:val="24"/>
        </w:rPr>
      </w:pPr>
    </w:p>
    <w:p w14:paraId="06599BC5" w14:textId="36B99A53" w:rsidR="00374134" w:rsidRDefault="00374134" w:rsidP="000409A8">
      <w:pPr>
        <w:jc w:val="both"/>
        <w:rPr>
          <w:bCs/>
          <w:szCs w:val="24"/>
        </w:rPr>
      </w:pPr>
    </w:p>
    <w:p w14:paraId="0962401E" w14:textId="77777777" w:rsidR="00374134" w:rsidRDefault="00374134" w:rsidP="000409A8">
      <w:pPr>
        <w:jc w:val="both"/>
        <w:rPr>
          <w:bCs/>
          <w:szCs w:val="24"/>
        </w:rPr>
      </w:pPr>
    </w:p>
    <w:p w14:paraId="2302D481" w14:textId="152CC413" w:rsidR="006900C1" w:rsidRDefault="006900C1" w:rsidP="006830DA">
      <w:pPr>
        <w:spacing w:line="259" w:lineRule="auto"/>
        <w:jc w:val="center"/>
        <w:rPr>
          <w:b/>
          <w:szCs w:val="24"/>
        </w:rPr>
      </w:pPr>
      <w:r w:rsidRPr="000977E7">
        <w:rPr>
          <w:b/>
          <w:szCs w:val="24"/>
        </w:rPr>
        <w:lastRenderedPageBreak/>
        <w:t>Table 1</w:t>
      </w:r>
      <w:r w:rsidR="00BA5968">
        <w:rPr>
          <w:b/>
          <w:szCs w:val="24"/>
        </w:rPr>
        <w:t>4</w:t>
      </w:r>
    </w:p>
    <w:p w14:paraId="3E396087" w14:textId="16A847D0" w:rsidR="00F7530A" w:rsidRDefault="006900C1" w:rsidP="006830DA">
      <w:pPr>
        <w:spacing w:line="259" w:lineRule="auto"/>
        <w:jc w:val="center"/>
        <w:rPr>
          <w:b/>
          <w:szCs w:val="24"/>
        </w:rPr>
      </w:pPr>
      <w:r>
        <w:rPr>
          <w:b/>
          <w:szCs w:val="24"/>
        </w:rPr>
        <w:t xml:space="preserve">Projected Demand for </w:t>
      </w:r>
      <w:r w:rsidR="006830DA">
        <w:rPr>
          <w:b/>
          <w:szCs w:val="24"/>
        </w:rPr>
        <w:t xml:space="preserve">CT </w:t>
      </w:r>
      <w:r w:rsidR="00F7530A">
        <w:rPr>
          <w:b/>
          <w:szCs w:val="24"/>
        </w:rPr>
        <w:t>with Proposed Project</w:t>
      </w:r>
    </w:p>
    <w:p w14:paraId="50D7B49A" w14:textId="77777777" w:rsidR="00A85909" w:rsidRPr="006900C1" w:rsidRDefault="00A85909" w:rsidP="006830DA">
      <w:pPr>
        <w:spacing w:line="259" w:lineRule="auto"/>
        <w:jc w:val="center"/>
        <w:rPr>
          <w:b/>
          <w:szCs w:val="24"/>
        </w:rPr>
      </w:pPr>
    </w:p>
    <w:tbl>
      <w:tblPr>
        <w:tblStyle w:val="TableGrid"/>
        <w:tblW w:w="0" w:type="auto"/>
        <w:tblLook w:val="04A0" w:firstRow="1" w:lastRow="0" w:firstColumn="1" w:lastColumn="0" w:noHBand="0" w:noVBand="1"/>
      </w:tblPr>
      <w:tblGrid>
        <w:gridCol w:w="4675"/>
        <w:gridCol w:w="4675"/>
      </w:tblGrid>
      <w:tr w:rsidR="006830DA" w14:paraId="1FDC3489" w14:textId="77777777" w:rsidTr="00BF00C8">
        <w:trPr>
          <w:cantSplit/>
          <w:tblHeader/>
        </w:trPr>
        <w:tc>
          <w:tcPr>
            <w:tcW w:w="4675" w:type="dxa"/>
          </w:tcPr>
          <w:p w14:paraId="0E2029D9" w14:textId="2C5E4383" w:rsidR="006830DA" w:rsidRDefault="006830DA" w:rsidP="006830DA">
            <w:pPr>
              <w:jc w:val="center"/>
              <w:rPr>
                <w:b/>
                <w:bCs/>
                <w:szCs w:val="24"/>
              </w:rPr>
            </w:pPr>
            <w:r w:rsidRPr="00F7530A">
              <w:rPr>
                <w:b/>
                <w:bCs/>
                <w:szCs w:val="24"/>
              </w:rPr>
              <w:t>Metric</w:t>
            </w:r>
          </w:p>
        </w:tc>
        <w:tc>
          <w:tcPr>
            <w:tcW w:w="4675" w:type="dxa"/>
          </w:tcPr>
          <w:p w14:paraId="02F22E05" w14:textId="3750C4DE" w:rsidR="006830DA" w:rsidRDefault="006830DA" w:rsidP="006830DA">
            <w:pPr>
              <w:jc w:val="center"/>
              <w:rPr>
                <w:b/>
                <w:bCs/>
                <w:szCs w:val="24"/>
              </w:rPr>
            </w:pPr>
            <w:r w:rsidRPr="00F7530A">
              <w:rPr>
                <w:b/>
                <w:bCs/>
                <w:szCs w:val="24"/>
              </w:rPr>
              <w:t>2032</w:t>
            </w:r>
          </w:p>
        </w:tc>
      </w:tr>
      <w:tr w:rsidR="006830DA" w14:paraId="74B718C6" w14:textId="77777777" w:rsidTr="00BF00C8">
        <w:trPr>
          <w:cantSplit/>
        </w:trPr>
        <w:tc>
          <w:tcPr>
            <w:tcW w:w="4675" w:type="dxa"/>
          </w:tcPr>
          <w:p w14:paraId="5DD82085" w14:textId="309D4F0B" w:rsidR="006830DA" w:rsidRDefault="006830DA" w:rsidP="006830DA">
            <w:pPr>
              <w:rPr>
                <w:b/>
                <w:bCs/>
                <w:szCs w:val="24"/>
              </w:rPr>
            </w:pPr>
            <w:r w:rsidRPr="00195FDD">
              <w:rPr>
                <w:szCs w:val="24"/>
              </w:rPr>
              <w:t>CT Applied Scan Ratio</w:t>
            </w:r>
          </w:p>
        </w:tc>
        <w:tc>
          <w:tcPr>
            <w:tcW w:w="4675" w:type="dxa"/>
          </w:tcPr>
          <w:p w14:paraId="47647A5D" w14:textId="1DEE1D09" w:rsidR="006830DA" w:rsidRDefault="006830DA" w:rsidP="006830DA">
            <w:pPr>
              <w:jc w:val="center"/>
              <w:rPr>
                <w:b/>
                <w:bCs/>
                <w:szCs w:val="24"/>
              </w:rPr>
            </w:pPr>
            <w:r w:rsidRPr="00195FDD">
              <w:rPr>
                <w:szCs w:val="24"/>
              </w:rPr>
              <w:t>0.62</w:t>
            </w:r>
          </w:p>
        </w:tc>
      </w:tr>
      <w:tr w:rsidR="006830DA" w14:paraId="72E1DE04" w14:textId="77777777" w:rsidTr="00BF00C8">
        <w:trPr>
          <w:cantSplit/>
        </w:trPr>
        <w:tc>
          <w:tcPr>
            <w:tcW w:w="4675" w:type="dxa"/>
          </w:tcPr>
          <w:p w14:paraId="2F3E5FB6" w14:textId="52DC930C" w:rsidR="006830DA" w:rsidRDefault="006830DA" w:rsidP="006830DA">
            <w:pPr>
              <w:rPr>
                <w:b/>
                <w:bCs/>
                <w:szCs w:val="24"/>
              </w:rPr>
            </w:pPr>
            <w:r w:rsidRPr="00195FDD">
              <w:rPr>
                <w:szCs w:val="24"/>
              </w:rPr>
              <w:t>Projected I</w:t>
            </w:r>
            <w:r>
              <w:rPr>
                <w:szCs w:val="24"/>
              </w:rPr>
              <w:t>npatient</w:t>
            </w:r>
            <w:r w:rsidRPr="00195FDD">
              <w:rPr>
                <w:szCs w:val="24"/>
              </w:rPr>
              <w:t xml:space="preserve"> CT Scans</w:t>
            </w:r>
          </w:p>
        </w:tc>
        <w:tc>
          <w:tcPr>
            <w:tcW w:w="4675" w:type="dxa"/>
          </w:tcPr>
          <w:p w14:paraId="06EAA5A8" w14:textId="16541FAA" w:rsidR="006830DA" w:rsidRDefault="006830DA" w:rsidP="006830DA">
            <w:pPr>
              <w:jc w:val="center"/>
              <w:rPr>
                <w:b/>
                <w:bCs/>
                <w:szCs w:val="24"/>
              </w:rPr>
            </w:pPr>
            <w:r w:rsidRPr="00195FDD">
              <w:rPr>
                <w:szCs w:val="24"/>
              </w:rPr>
              <w:t>8,</w:t>
            </w:r>
            <w:r w:rsidR="000C0FC1">
              <w:rPr>
                <w:szCs w:val="24"/>
              </w:rPr>
              <w:t>269</w:t>
            </w:r>
          </w:p>
        </w:tc>
      </w:tr>
      <w:tr w:rsidR="006830DA" w14:paraId="6D3514DF" w14:textId="77777777" w:rsidTr="00BF00C8">
        <w:trPr>
          <w:cantSplit/>
        </w:trPr>
        <w:tc>
          <w:tcPr>
            <w:tcW w:w="4675" w:type="dxa"/>
          </w:tcPr>
          <w:p w14:paraId="5E0F444D" w14:textId="6FFA9DC0" w:rsidR="006830DA" w:rsidRDefault="006830DA" w:rsidP="006830DA">
            <w:pPr>
              <w:rPr>
                <w:b/>
                <w:bCs/>
                <w:szCs w:val="24"/>
              </w:rPr>
            </w:pPr>
            <w:r w:rsidRPr="00195FDD">
              <w:rPr>
                <w:szCs w:val="24"/>
              </w:rPr>
              <w:t>Projected</w:t>
            </w:r>
            <w:r w:rsidR="009F2173">
              <w:rPr>
                <w:szCs w:val="24"/>
              </w:rPr>
              <w:t xml:space="preserve"> Unmet</w:t>
            </w:r>
            <w:r w:rsidRPr="00195FDD">
              <w:rPr>
                <w:szCs w:val="24"/>
              </w:rPr>
              <w:t xml:space="preserve"> O</w:t>
            </w:r>
            <w:r>
              <w:rPr>
                <w:szCs w:val="24"/>
              </w:rPr>
              <w:t>utpatient</w:t>
            </w:r>
            <w:r w:rsidRPr="00195FDD">
              <w:rPr>
                <w:szCs w:val="24"/>
              </w:rPr>
              <w:t xml:space="preserve"> CT Scan</w:t>
            </w:r>
            <w:r w:rsidR="00394F92">
              <w:rPr>
                <w:szCs w:val="24"/>
              </w:rPr>
              <w:t>s</w:t>
            </w:r>
          </w:p>
        </w:tc>
        <w:tc>
          <w:tcPr>
            <w:tcW w:w="4675" w:type="dxa"/>
          </w:tcPr>
          <w:p w14:paraId="0ABC19C3" w14:textId="6546EE57" w:rsidR="006830DA" w:rsidRDefault="009F2173" w:rsidP="006830DA">
            <w:pPr>
              <w:jc w:val="center"/>
              <w:rPr>
                <w:b/>
                <w:bCs/>
                <w:szCs w:val="24"/>
              </w:rPr>
            </w:pPr>
            <w:r>
              <w:rPr>
                <w:szCs w:val="24"/>
              </w:rPr>
              <w:t>10,13</w:t>
            </w:r>
            <w:r w:rsidR="000C0FC1">
              <w:rPr>
                <w:szCs w:val="24"/>
              </w:rPr>
              <w:t>1</w:t>
            </w:r>
          </w:p>
        </w:tc>
      </w:tr>
      <w:tr w:rsidR="006830DA" w14:paraId="1FD12EFA" w14:textId="77777777" w:rsidTr="00BF00C8">
        <w:trPr>
          <w:cantSplit/>
        </w:trPr>
        <w:tc>
          <w:tcPr>
            <w:tcW w:w="4675" w:type="dxa"/>
          </w:tcPr>
          <w:p w14:paraId="286E9058" w14:textId="176EFF39" w:rsidR="006830DA" w:rsidRDefault="006830DA" w:rsidP="00B6039A">
            <w:pPr>
              <w:ind w:left="720"/>
              <w:rPr>
                <w:b/>
                <w:bCs/>
                <w:szCs w:val="24"/>
              </w:rPr>
            </w:pPr>
            <w:r w:rsidRPr="00195FDD">
              <w:rPr>
                <w:b/>
                <w:bCs/>
                <w:szCs w:val="24"/>
              </w:rPr>
              <w:t>Total Projected CT Scans</w:t>
            </w:r>
          </w:p>
        </w:tc>
        <w:tc>
          <w:tcPr>
            <w:tcW w:w="4675" w:type="dxa"/>
          </w:tcPr>
          <w:p w14:paraId="34A45803" w14:textId="2D588860" w:rsidR="006830DA" w:rsidRDefault="006830DA" w:rsidP="006830DA">
            <w:pPr>
              <w:jc w:val="center"/>
              <w:rPr>
                <w:b/>
                <w:bCs/>
                <w:szCs w:val="24"/>
              </w:rPr>
            </w:pPr>
            <w:r w:rsidRPr="00195FDD">
              <w:rPr>
                <w:b/>
                <w:bCs/>
                <w:szCs w:val="24"/>
              </w:rPr>
              <w:t>1</w:t>
            </w:r>
            <w:r w:rsidR="009F2173">
              <w:rPr>
                <w:b/>
                <w:bCs/>
                <w:szCs w:val="24"/>
              </w:rPr>
              <w:t>8</w:t>
            </w:r>
            <w:r w:rsidRPr="00195FDD">
              <w:rPr>
                <w:b/>
                <w:bCs/>
                <w:szCs w:val="24"/>
              </w:rPr>
              <w:t>,</w:t>
            </w:r>
            <w:r w:rsidR="000C0FC1">
              <w:rPr>
                <w:b/>
                <w:bCs/>
                <w:szCs w:val="24"/>
              </w:rPr>
              <w:t>400</w:t>
            </w:r>
          </w:p>
        </w:tc>
      </w:tr>
      <w:tr w:rsidR="006830DA" w14:paraId="3052F361" w14:textId="77777777" w:rsidTr="00BF00C8">
        <w:trPr>
          <w:cantSplit/>
        </w:trPr>
        <w:tc>
          <w:tcPr>
            <w:tcW w:w="4675" w:type="dxa"/>
          </w:tcPr>
          <w:p w14:paraId="25663237" w14:textId="31A5228B" w:rsidR="006830DA" w:rsidRDefault="006830DA" w:rsidP="006830DA">
            <w:pPr>
              <w:rPr>
                <w:b/>
                <w:bCs/>
                <w:szCs w:val="24"/>
              </w:rPr>
            </w:pPr>
            <w:r w:rsidRPr="00195FDD">
              <w:rPr>
                <w:szCs w:val="24"/>
              </w:rPr>
              <w:t>CT W</w:t>
            </w:r>
            <w:r>
              <w:rPr>
                <w:szCs w:val="24"/>
              </w:rPr>
              <w:t>eighted Average</w:t>
            </w:r>
            <w:r w:rsidRPr="00195FDD">
              <w:rPr>
                <w:szCs w:val="24"/>
              </w:rPr>
              <w:t xml:space="preserve"> Throughput</w:t>
            </w:r>
          </w:p>
        </w:tc>
        <w:tc>
          <w:tcPr>
            <w:tcW w:w="4675" w:type="dxa"/>
          </w:tcPr>
          <w:p w14:paraId="5CA13AA0" w14:textId="6BC92A34" w:rsidR="006830DA" w:rsidRDefault="006830DA" w:rsidP="006830DA">
            <w:pPr>
              <w:jc w:val="center"/>
              <w:rPr>
                <w:b/>
                <w:bCs/>
                <w:szCs w:val="24"/>
              </w:rPr>
            </w:pPr>
            <w:r w:rsidRPr="00195FDD">
              <w:rPr>
                <w:szCs w:val="24"/>
              </w:rPr>
              <w:t>10,0</w:t>
            </w:r>
            <w:r w:rsidR="009F2173">
              <w:rPr>
                <w:szCs w:val="24"/>
              </w:rPr>
              <w:t>7</w:t>
            </w:r>
            <w:r w:rsidR="000C0FC1">
              <w:rPr>
                <w:szCs w:val="24"/>
              </w:rPr>
              <w:t>8</w:t>
            </w:r>
          </w:p>
        </w:tc>
      </w:tr>
      <w:tr w:rsidR="006830DA" w14:paraId="1F61E6E0" w14:textId="77777777" w:rsidTr="00BF00C8">
        <w:trPr>
          <w:cantSplit/>
        </w:trPr>
        <w:tc>
          <w:tcPr>
            <w:tcW w:w="4675" w:type="dxa"/>
          </w:tcPr>
          <w:p w14:paraId="7865C5B7" w14:textId="34DB0BBB" w:rsidR="006830DA" w:rsidRDefault="006830DA" w:rsidP="00B6039A">
            <w:pPr>
              <w:ind w:left="720"/>
              <w:rPr>
                <w:b/>
                <w:bCs/>
                <w:szCs w:val="24"/>
              </w:rPr>
            </w:pPr>
            <w:r>
              <w:rPr>
                <w:b/>
                <w:bCs/>
                <w:szCs w:val="24"/>
              </w:rPr>
              <w:t xml:space="preserve">Total </w:t>
            </w:r>
            <w:r w:rsidRPr="00195FDD">
              <w:rPr>
                <w:b/>
                <w:bCs/>
                <w:szCs w:val="24"/>
              </w:rPr>
              <w:t>C</w:t>
            </w:r>
            <w:r>
              <w:rPr>
                <w:b/>
                <w:bCs/>
                <w:szCs w:val="24"/>
              </w:rPr>
              <w:t xml:space="preserve">T </w:t>
            </w:r>
            <w:r w:rsidRPr="00195FDD">
              <w:rPr>
                <w:b/>
                <w:bCs/>
                <w:szCs w:val="24"/>
              </w:rPr>
              <w:t>Need</w:t>
            </w:r>
          </w:p>
        </w:tc>
        <w:tc>
          <w:tcPr>
            <w:tcW w:w="4675" w:type="dxa"/>
          </w:tcPr>
          <w:p w14:paraId="735F0579" w14:textId="525DD9FA" w:rsidR="006830DA" w:rsidRDefault="006830DA" w:rsidP="006830DA">
            <w:pPr>
              <w:jc w:val="center"/>
              <w:rPr>
                <w:b/>
                <w:bCs/>
                <w:szCs w:val="24"/>
              </w:rPr>
            </w:pPr>
            <w:r w:rsidRPr="00195FDD">
              <w:rPr>
                <w:b/>
                <w:bCs/>
                <w:szCs w:val="24"/>
              </w:rPr>
              <w:t>2</w:t>
            </w:r>
          </w:p>
        </w:tc>
      </w:tr>
    </w:tbl>
    <w:p w14:paraId="2FBAA130" w14:textId="6630FF9C" w:rsidR="006842C3" w:rsidRDefault="006842C3" w:rsidP="006830DA">
      <w:pPr>
        <w:spacing w:line="259" w:lineRule="auto"/>
        <w:jc w:val="center"/>
        <w:rPr>
          <w:b/>
          <w:szCs w:val="24"/>
        </w:rPr>
      </w:pPr>
    </w:p>
    <w:p w14:paraId="1215F325" w14:textId="77777777" w:rsidR="00EB29FC" w:rsidRDefault="00EB29FC" w:rsidP="00EB29FC">
      <w:pPr>
        <w:jc w:val="both"/>
      </w:pPr>
      <w:r>
        <w:t>G</w:t>
      </w:r>
      <w:r w:rsidRPr="00B52499">
        <w:t>iven how critical CT</w:t>
      </w:r>
      <w:r>
        <w:t xml:space="preserve"> </w:t>
      </w:r>
      <w:r w:rsidRPr="00B52499">
        <w:t>scans are to inpatient medical</w:t>
      </w:r>
      <w:r>
        <w:t xml:space="preserve"> </w:t>
      </w:r>
      <w:r w:rsidRPr="00B52499">
        <w:t>oncology</w:t>
      </w:r>
      <w:r>
        <w:t xml:space="preserve"> </w:t>
      </w:r>
      <w:r w:rsidRPr="00B52499">
        <w:t>care, it is important that</w:t>
      </w:r>
      <w:r>
        <w:t xml:space="preserve"> </w:t>
      </w:r>
      <w:r w:rsidRPr="00B52499">
        <w:t>there be more than one CT scanner</w:t>
      </w:r>
      <w:r>
        <w:t xml:space="preserve"> </w:t>
      </w:r>
      <w:r w:rsidRPr="00B52499">
        <w:t>both to accommodate surge capacity</w:t>
      </w:r>
      <w:r>
        <w:t xml:space="preserve"> </w:t>
      </w:r>
      <w:r w:rsidRPr="00B52499">
        <w:t>and to ensure redundancy.</w:t>
      </w:r>
      <w:r>
        <w:t xml:space="preserve"> </w:t>
      </w:r>
    </w:p>
    <w:p w14:paraId="48A17EFE" w14:textId="77777777" w:rsidR="009C3555" w:rsidRDefault="009C3555" w:rsidP="00C61E6C">
      <w:pPr>
        <w:spacing w:line="259" w:lineRule="auto"/>
        <w:rPr>
          <w:b/>
          <w:szCs w:val="24"/>
        </w:rPr>
      </w:pPr>
    </w:p>
    <w:p w14:paraId="1F09BE79" w14:textId="26EA6058" w:rsidR="006830DA" w:rsidRDefault="006830DA" w:rsidP="006830DA">
      <w:pPr>
        <w:spacing w:line="259" w:lineRule="auto"/>
        <w:jc w:val="center"/>
        <w:rPr>
          <w:b/>
          <w:szCs w:val="24"/>
        </w:rPr>
      </w:pPr>
      <w:r w:rsidRPr="000977E7">
        <w:rPr>
          <w:b/>
          <w:szCs w:val="24"/>
        </w:rPr>
        <w:t>Table 1</w:t>
      </w:r>
      <w:r w:rsidR="00BA5968">
        <w:rPr>
          <w:b/>
          <w:szCs w:val="24"/>
        </w:rPr>
        <w:t>5</w:t>
      </w:r>
    </w:p>
    <w:p w14:paraId="71C414DF" w14:textId="4C114DCB" w:rsidR="00A1432A" w:rsidRDefault="006830DA" w:rsidP="006830DA">
      <w:pPr>
        <w:jc w:val="center"/>
        <w:rPr>
          <w:b/>
          <w:szCs w:val="24"/>
        </w:rPr>
      </w:pPr>
      <w:r>
        <w:rPr>
          <w:b/>
          <w:szCs w:val="24"/>
        </w:rPr>
        <w:t>Projected Demand for MRI with Proposed Project</w:t>
      </w:r>
    </w:p>
    <w:p w14:paraId="4EE24E78" w14:textId="77777777" w:rsidR="006830DA" w:rsidRDefault="006830DA" w:rsidP="006830DA">
      <w:pPr>
        <w:jc w:val="center"/>
        <w:rPr>
          <w:b/>
          <w:bCs/>
          <w:szCs w:val="24"/>
        </w:rPr>
      </w:pPr>
    </w:p>
    <w:tbl>
      <w:tblPr>
        <w:tblStyle w:val="TableGrid"/>
        <w:tblW w:w="0" w:type="auto"/>
        <w:tblLook w:val="04A0" w:firstRow="1" w:lastRow="0" w:firstColumn="1" w:lastColumn="0" w:noHBand="0" w:noVBand="1"/>
      </w:tblPr>
      <w:tblGrid>
        <w:gridCol w:w="4675"/>
        <w:gridCol w:w="4675"/>
      </w:tblGrid>
      <w:tr w:rsidR="006830DA" w14:paraId="624286BF" w14:textId="77777777" w:rsidTr="002249A3">
        <w:trPr>
          <w:cantSplit/>
          <w:tblHeader/>
        </w:trPr>
        <w:tc>
          <w:tcPr>
            <w:tcW w:w="4675" w:type="dxa"/>
          </w:tcPr>
          <w:p w14:paraId="183221F2" w14:textId="64A28712" w:rsidR="006830DA" w:rsidRDefault="006830DA" w:rsidP="006830DA">
            <w:pPr>
              <w:jc w:val="center"/>
            </w:pPr>
            <w:r>
              <w:rPr>
                <w:b/>
                <w:bCs/>
                <w:szCs w:val="24"/>
              </w:rPr>
              <w:t>Metric</w:t>
            </w:r>
          </w:p>
        </w:tc>
        <w:tc>
          <w:tcPr>
            <w:tcW w:w="4675" w:type="dxa"/>
          </w:tcPr>
          <w:p w14:paraId="564CFAE8" w14:textId="4A24A2FE" w:rsidR="006830DA" w:rsidRDefault="006830DA" w:rsidP="006830DA">
            <w:pPr>
              <w:jc w:val="center"/>
            </w:pPr>
            <w:r>
              <w:rPr>
                <w:b/>
                <w:bCs/>
                <w:szCs w:val="24"/>
              </w:rPr>
              <w:t>2032</w:t>
            </w:r>
          </w:p>
        </w:tc>
      </w:tr>
      <w:tr w:rsidR="006830DA" w14:paraId="6AA54170" w14:textId="77777777" w:rsidTr="002249A3">
        <w:trPr>
          <w:cantSplit/>
        </w:trPr>
        <w:tc>
          <w:tcPr>
            <w:tcW w:w="4675" w:type="dxa"/>
          </w:tcPr>
          <w:p w14:paraId="2D383FE1" w14:textId="7A8DC1DD" w:rsidR="006830DA" w:rsidRDefault="006830DA" w:rsidP="006830DA">
            <w:pPr>
              <w:jc w:val="both"/>
            </w:pPr>
            <w:r w:rsidRPr="00195FDD">
              <w:rPr>
                <w:szCs w:val="24"/>
              </w:rPr>
              <w:t>MRI Applied Scan Ratio</w:t>
            </w:r>
          </w:p>
        </w:tc>
        <w:tc>
          <w:tcPr>
            <w:tcW w:w="4675" w:type="dxa"/>
          </w:tcPr>
          <w:p w14:paraId="61F76331" w14:textId="2B532217" w:rsidR="006830DA" w:rsidRDefault="006830DA" w:rsidP="006830DA">
            <w:pPr>
              <w:jc w:val="center"/>
            </w:pPr>
            <w:r w:rsidRPr="00195FDD">
              <w:rPr>
                <w:szCs w:val="24"/>
              </w:rPr>
              <w:t>0.36</w:t>
            </w:r>
          </w:p>
        </w:tc>
      </w:tr>
      <w:tr w:rsidR="006830DA" w14:paraId="65FED9EB" w14:textId="77777777" w:rsidTr="002249A3">
        <w:trPr>
          <w:cantSplit/>
        </w:trPr>
        <w:tc>
          <w:tcPr>
            <w:tcW w:w="4675" w:type="dxa"/>
          </w:tcPr>
          <w:p w14:paraId="60CC6271" w14:textId="005A0B0C" w:rsidR="006830DA" w:rsidRDefault="006830DA" w:rsidP="006830DA">
            <w:pPr>
              <w:jc w:val="both"/>
            </w:pPr>
            <w:r w:rsidRPr="00195FDD">
              <w:rPr>
                <w:szCs w:val="24"/>
              </w:rPr>
              <w:t>Projected I</w:t>
            </w:r>
            <w:r>
              <w:rPr>
                <w:szCs w:val="24"/>
              </w:rPr>
              <w:t>npatient</w:t>
            </w:r>
            <w:r w:rsidRPr="00195FDD">
              <w:rPr>
                <w:szCs w:val="24"/>
              </w:rPr>
              <w:t xml:space="preserve"> MRI </w:t>
            </w:r>
            <w:r w:rsidR="003966FD">
              <w:rPr>
                <w:szCs w:val="24"/>
              </w:rPr>
              <w:t>Scans</w:t>
            </w:r>
          </w:p>
        </w:tc>
        <w:tc>
          <w:tcPr>
            <w:tcW w:w="4675" w:type="dxa"/>
          </w:tcPr>
          <w:p w14:paraId="1BE97374" w14:textId="2585D563" w:rsidR="006830DA" w:rsidRDefault="006830DA" w:rsidP="006830DA">
            <w:pPr>
              <w:jc w:val="center"/>
            </w:pPr>
            <w:r w:rsidRPr="00195FDD">
              <w:rPr>
                <w:szCs w:val="24"/>
              </w:rPr>
              <w:t>4,</w:t>
            </w:r>
            <w:r w:rsidR="000C0FC1">
              <w:rPr>
                <w:szCs w:val="24"/>
              </w:rPr>
              <w:t>839</w:t>
            </w:r>
          </w:p>
        </w:tc>
      </w:tr>
      <w:tr w:rsidR="006830DA" w14:paraId="3801B376" w14:textId="77777777" w:rsidTr="002249A3">
        <w:trPr>
          <w:cantSplit/>
        </w:trPr>
        <w:tc>
          <w:tcPr>
            <w:tcW w:w="4675" w:type="dxa"/>
          </w:tcPr>
          <w:p w14:paraId="7CFAEFB9" w14:textId="3FBBF709" w:rsidR="006830DA" w:rsidRDefault="006830DA" w:rsidP="006830DA">
            <w:pPr>
              <w:jc w:val="both"/>
            </w:pPr>
            <w:r w:rsidRPr="00195FDD">
              <w:rPr>
                <w:szCs w:val="24"/>
              </w:rPr>
              <w:t xml:space="preserve">Projected </w:t>
            </w:r>
            <w:r w:rsidR="009F2173">
              <w:rPr>
                <w:szCs w:val="24"/>
              </w:rPr>
              <w:t xml:space="preserve">Unmet </w:t>
            </w:r>
            <w:r w:rsidRPr="00195FDD">
              <w:rPr>
                <w:szCs w:val="24"/>
              </w:rPr>
              <w:t>O</w:t>
            </w:r>
            <w:r>
              <w:rPr>
                <w:szCs w:val="24"/>
              </w:rPr>
              <w:t>utpatient</w:t>
            </w:r>
            <w:r w:rsidRPr="00195FDD">
              <w:rPr>
                <w:szCs w:val="24"/>
              </w:rPr>
              <w:t xml:space="preserve"> MRI </w:t>
            </w:r>
            <w:r w:rsidR="003966FD">
              <w:rPr>
                <w:szCs w:val="24"/>
              </w:rPr>
              <w:t>Scans</w:t>
            </w:r>
          </w:p>
        </w:tc>
        <w:tc>
          <w:tcPr>
            <w:tcW w:w="4675" w:type="dxa"/>
          </w:tcPr>
          <w:p w14:paraId="41CB86DD" w14:textId="7AEDC681" w:rsidR="006830DA" w:rsidRDefault="000A3398" w:rsidP="006830DA">
            <w:pPr>
              <w:jc w:val="center"/>
            </w:pPr>
            <w:r>
              <w:t>N/A</w:t>
            </w:r>
          </w:p>
        </w:tc>
      </w:tr>
      <w:tr w:rsidR="006830DA" w14:paraId="6F6E3E51" w14:textId="77777777" w:rsidTr="002249A3">
        <w:trPr>
          <w:cantSplit/>
        </w:trPr>
        <w:tc>
          <w:tcPr>
            <w:tcW w:w="4675" w:type="dxa"/>
          </w:tcPr>
          <w:p w14:paraId="344E9447" w14:textId="65A53A71" w:rsidR="006830DA" w:rsidRDefault="006830DA" w:rsidP="00B6039A">
            <w:pPr>
              <w:ind w:left="720"/>
              <w:jc w:val="both"/>
            </w:pPr>
            <w:r w:rsidRPr="00195FDD">
              <w:rPr>
                <w:b/>
                <w:bCs/>
                <w:szCs w:val="24"/>
              </w:rPr>
              <w:t>Total Projected MRI Scans</w:t>
            </w:r>
          </w:p>
        </w:tc>
        <w:tc>
          <w:tcPr>
            <w:tcW w:w="4675" w:type="dxa"/>
          </w:tcPr>
          <w:p w14:paraId="459B3C89" w14:textId="5DD91A79" w:rsidR="006830DA" w:rsidRDefault="000A3398" w:rsidP="006830DA">
            <w:pPr>
              <w:jc w:val="center"/>
            </w:pPr>
            <w:r>
              <w:t>4,928</w:t>
            </w:r>
          </w:p>
        </w:tc>
      </w:tr>
      <w:tr w:rsidR="006830DA" w14:paraId="5E06BCCF" w14:textId="77777777" w:rsidTr="002249A3">
        <w:trPr>
          <w:cantSplit/>
        </w:trPr>
        <w:tc>
          <w:tcPr>
            <w:tcW w:w="4675" w:type="dxa"/>
          </w:tcPr>
          <w:p w14:paraId="73598E80" w14:textId="1B38484E" w:rsidR="006830DA" w:rsidRDefault="006842C3" w:rsidP="006830DA">
            <w:pPr>
              <w:jc w:val="both"/>
            </w:pPr>
            <w:r>
              <w:t xml:space="preserve">Inpatient MRI Throughput </w:t>
            </w:r>
          </w:p>
        </w:tc>
        <w:tc>
          <w:tcPr>
            <w:tcW w:w="4675" w:type="dxa"/>
          </w:tcPr>
          <w:p w14:paraId="4DBCC60D" w14:textId="2C26C42C" w:rsidR="006830DA" w:rsidRDefault="000A3398" w:rsidP="006830DA">
            <w:pPr>
              <w:jc w:val="center"/>
            </w:pPr>
            <w:r>
              <w:rPr>
                <w:szCs w:val="24"/>
              </w:rPr>
              <w:t>3,103</w:t>
            </w:r>
          </w:p>
        </w:tc>
      </w:tr>
      <w:tr w:rsidR="006830DA" w14:paraId="55B0C67F" w14:textId="77777777" w:rsidTr="002249A3">
        <w:trPr>
          <w:cantSplit/>
        </w:trPr>
        <w:tc>
          <w:tcPr>
            <w:tcW w:w="4675" w:type="dxa"/>
          </w:tcPr>
          <w:p w14:paraId="4386341B" w14:textId="4623D38C" w:rsidR="006830DA" w:rsidRDefault="006830DA" w:rsidP="00B6039A">
            <w:pPr>
              <w:ind w:left="720"/>
              <w:jc w:val="both"/>
            </w:pPr>
            <w:r>
              <w:rPr>
                <w:b/>
                <w:bCs/>
                <w:szCs w:val="24"/>
              </w:rPr>
              <w:t xml:space="preserve">Total </w:t>
            </w:r>
            <w:r w:rsidRPr="00195FDD">
              <w:rPr>
                <w:b/>
                <w:bCs/>
                <w:szCs w:val="24"/>
              </w:rPr>
              <w:t>MRI Need</w:t>
            </w:r>
          </w:p>
        </w:tc>
        <w:tc>
          <w:tcPr>
            <w:tcW w:w="4675" w:type="dxa"/>
          </w:tcPr>
          <w:p w14:paraId="0E89C0A9" w14:textId="56DEDB94" w:rsidR="006830DA" w:rsidRPr="00B35F8D" w:rsidRDefault="000A3398" w:rsidP="006830DA">
            <w:pPr>
              <w:jc w:val="center"/>
              <w:rPr>
                <w:b/>
                <w:bCs/>
              </w:rPr>
            </w:pPr>
            <w:r>
              <w:rPr>
                <w:b/>
                <w:bCs/>
              </w:rPr>
              <w:t>2</w:t>
            </w:r>
          </w:p>
        </w:tc>
      </w:tr>
    </w:tbl>
    <w:p w14:paraId="388C57BD" w14:textId="77777777" w:rsidR="001739E5" w:rsidRDefault="001739E5" w:rsidP="000B112B">
      <w:pPr>
        <w:spacing w:line="259" w:lineRule="auto"/>
        <w:rPr>
          <w:b/>
          <w:szCs w:val="24"/>
        </w:rPr>
      </w:pPr>
    </w:p>
    <w:p w14:paraId="230D2970" w14:textId="04FC9CFB" w:rsidR="006830DA" w:rsidRDefault="006830DA" w:rsidP="00A85909">
      <w:pPr>
        <w:spacing w:line="259" w:lineRule="auto"/>
        <w:jc w:val="center"/>
        <w:rPr>
          <w:b/>
          <w:szCs w:val="24"/>
        </w:rPr>
      </w:pPr>
      <w:r w:rsidRPr="000977E7">
        <w:rPr>
          <w:b/>
          <w:szCs w:val="24"/>
        </w:rPr>
        <w:t>Table 1</w:t>
      </w:r>
      <w:r w:rsidR="00BA5968">
        <w:rPr>
          <w:b/>
          <w:szCs w:val="24"/>
        </w:rPr>
        <w:t>6</w:t>
      </w:r>
    </w:p>
    <w:p w14:paraId="7A3276FE" w14:textId="688F52D3" w:rsidR="00F7530A" w:rsidRDefault="006830DA" w:rsidP="00A85909">
      <w:pPr>
        <w:jc w:val="center"/>
        <w:rPr>
          <w:b/>
          <w:szCs w:val="24"/>
        </w:rPr>
      </w:pPr>
      <w:r>
        <w:rPr>
          <w:b/>
          <w:szCs w:val="24"/>
        </w:rPr>
        <w:t>Projected Demand for PET-CT with Proposed Project</w:t>
      </w:r>
    </w:p>
    <w:p w14:paraId="5D695F43" w14:textId="77777777" w:rsidR="00A85909" w:rsidRDefault="00A85909" w:rsidP="00A85909">
      <w:pPr>
        <w:jc w:val="center"/>
      </w:pPr>
    </w:p>
    <w:tbl>
      <w:tblPr>
        <w:tblStyle w:val="TableGrid"/>
        <w:tblW w:w="0" w:type="auto"/>
        <w:tblLook w:val="04A0" w:firstRow="1" w:lastRow="0" w:firstColumn="1" w:lastColumn="0" w:noHBand="0" w:noVBand="1"/>
      </w:tblPr>
      <w:tblGrid>
        <w:gridCol w:w="4675"/>
        <w:gridCol w:w="4675"/>
      </w:tblGrid>
      <w:tr w:rsidR="006830DA" w14:paraId="1DED4A51" w14:textId="77777777" w:rsidTr="00646441">
        <w:trPr>
          <w:cantSplit/>
          <w:tblHeader/>
        </w:trPr>
        <w:tc>
          <w:tcPr>
            <w:tcW w:w="4675" w:type="dxa"/>
          </w:tcPr>
          <w:p w14:paraId="37C24704" w14:textId="301EFFCD" w:rsidR="006830DA" w:rsidRDefault="006830DA" w:rsidP="006830DA">
            <w:pPr>
              <w:jc w:val="center"/>
            </w:pPr>
            <w:r w:rsidRPr="00F7530A">
              <w:rPr>
                <w:b/>
                <w:bCs/>
                <w:szCs w:val="24"/>
              </w:rPr>
              <w:t>Metric</w:t>
            </w:r>
          </w:p>
        </w:tc>
        <w:tc>
          <w:tcPr>
            <w:tcW w:w="4675" w:type="dxa"/>
          </w:tcPr>
          <w:p w14:paraId="332B4470" w14:textId="30482D39" w:rsidR="006830DA" w:rsidRDefault="006830DA" w:rsidP="006830DA">
            <w:pPr>
              <w:jc w:val="center"/>
            </w:pPr>
            <w:r w:rsidRPr="00F7530A">
              <w:rPr>
                <w:b/>
                <w:bCs/>
                <w:szCs w:val="24"/>
              </w:rPr>
              <w:t>2032</w:t>
            </w:r>
          </w:p>
        </w:tc>
      </w:tr>
      <w:tr w:rsidR="006830DA" w14:paraId="6317532F" w14:textId="77777777" w:rsidTr="00646441">
        <w:trPr>
          <w:cantSplit/>
        </w:trPr>
        <w:tc>
          <w:tcPr>
            <w:tcW w:w="4675" w:type="dxa"/>
          </w:tcPr>
          <w:p w14:paraId="3348BFCC" w14:textId="5BFB9DB3" w:rsidR="006830DA" w:rsidRDefault="006830DA" w:rsidP="006830DA">
            <w:pPr>
              <w:jc w:val="both"/>
            </w:pPr>
            <w:r w:rsidRPr="00195FDD">
              <w:rPr>
                <w:szCs w:val="24"/>
              </w:rPr>
              <w:t>PET-CT Applied Scan Ratio</w:t>
            </w:r>
          </w:p>
        </w:tc>
        <w:tc>
          <w:tcPr>
            <w:tcW w:w="4675" w:type="dxa"/>
          </w:tcPr>
          <w:p w14:paraId="08F2BBB2" w14:textId="5EDDCC7E" w:rsidR="006830DA" w:rsidRDefault="006830DA" w:rsidP="006830DA">
            <w:pPr>
              <w:jc w:val="center"/>
            </w:pPr>
            <w:r w:rsidRPr="00195FDD">
              <w:rPr>
                <w:szCs w:val="24"/>
              </w:rPr>
              <w:t>0.04</w:t>
            </w:r>
          </w:p>
        </w:tc>
      </w:tr>
      <w:tr w:rsidR="006830DA" w14:paraId="183AD241" w14:textId="77777777" w:rsidTr="00646441">
        <w:trPr>
          <w:cantSplit/>
        </w:trPr>
        <w:tc>
          <w:tcPr>
            <w:tcW w:w="4675" w:type="dxa"/>
          </w:tcPr>
          <w:p w14:paraId="10DF22C5" w14:textId="197A5805" w:rsidR="006830DA" w:rsidRDefault="006830DA" w:rsidP="006830DA">
            <w:pPr>
              <w:jc w:val="both"/>
            </w:pPr>
            <w:r w:rsidRPr="00195FDD">
              <w:rPr>
                <w:szCs w:val="24"/>
              </w:rPr>
              <w:t>Projected I</w:t>
            </w:r>
            <w:r>
              <w:rPr>
                <w:szCs w:val="24"/>
              </w:rPr>
              <w:t>npatient</w:t>
            </w:r>
            <w:r w:rsidRPr="00195FDD">
              <w:rPr>
                <w:szCs w:val="24"/>
              </w:rPr>
              <w:t xml:space="preserve"> PET-CT Scan</w:t>
            </w:r>
            <w:r w:rsidR="00163A1B">
              <w:rPr>
                <w:szCs w:val="24"/>
              </w:rPr>
              <w:t>s</w:t>
            </w:r>
          </w:p>
        </w:tc>
        <w:tc>
          <w:tcPr>
            <w:tcW w:w="4675" w:type="dxa"/>
          </w:tcPr>
          <w:p w14:paraId="5B459A3C" w14:textId="5C449105" w:rsidR="006830DA" w:rsidRDefault="006830DA" w:rsidP="006830DA">
            <w:pPr>
              <w:jc w:val="center"/>
            </w:pPr>
            <w:r w:rsidRPr="00195FDD">
              <w:rPr>
                <w:szCs w:val="24"/>
              </w:rPr>
              <w:t>5</w:t>
            </w:r>
            <w:r w:rsidR="000C0FC1">
              <w:rPr>
                <w:szCs w:val="24"/>
              </w:rPr>
              <w:t>55</w:t>
            </w:r>
          </w:p>
        </w:tc>
      </w:tr>
      <w:tr w:rsidR="006830DA" w14:paraId="0D7B8B1B" w14:textId="77777777" w:rsidTr="00646441">
        <w:trPr>
          <w:cantSplit/>
        </w:trPr>
        <w:tc>
          <w:tcPr>
            <w:tcW w:w="4675" w:type="dxa"/>
          </w:tcPr>
          <w:p w14:paraId="23A0D504" w14:textId="058F7184" w:rsidR="006830DA" w:rsidRDefault="006830DA" w:rsidP="006830DA">
            <w:pPr>
              <w:jc w:val="both"/>
            </w:pPr>
            <w:r w:rsidRPr="00195FDD">
              <w:rPr>
                <w:szCs w:val="24"/>
              </w:rPr>
              <w:t xml:space="preserve">Projected </w:t>
            </w:r>
            <w:r w:rsidR="009F2173">
              <w:rPr>
                <w:szCs w:val="24"/>
              </w:rPr>
              <w:t xml:space="preserve">Unmet </w:t>
            </w:r>
            <w:r w:rsidRPr="00195FDD">
              <w:rPr>
                <w:szCs w:val="24"/>
              </w:rPr>
              <w:t>O</w:t>
            </w:r>
            <w:r>
              <w:rPr>
                <w:szCs w:val="24"/>
              </w:rPr>
              <w:t>utpatient</w:t>
            </w:r>
            <w:r w:rsidRPr="00195FDD">
              <w:rPr>
                <w:szCs w:val="24"/>
              </w:rPr>
              <w:t xml:space="preserve"> PET-CT Scan</w:t>
            </w:r>
            <w:r w:rsidR="00163A1B">
              <w:rPr>
                <w:szCs w:val="24"/>
              </w:rPr>
              <w:t>s</w:t>
            </w:r>
            <w:r w:rsidRPr="00195FDD">
              <w:rPr>
                <w:szCs w:val="24"/>
              </w:rPr>
              <w:t xml:space="preserve"> </w:t>
            </w:r>
          </w:p>
        </w:tc>
        <w:tc>
          <w:tcPr>
            <w:tcW w:w="4675" w:type="dxa"/>
          </w:tcPr>
          <w:p w14:paraId="6C18C647" w14:textId="32CA9642" w:rsidR="006830DA" w:rsidRDefault="009F2173" w:rsidP="006830DA">
            <w:pPr>
              <w:jc w:val="center"/>
            </w:pPr>
            <w:r>
              <w:rPr>
                <w:szCs w:val="24"/>
              </w:rPr>
              <w:t>2,455</w:t>
            </w:r>
          </w:p>
        </w:tc>
      </w:tr>
      <w:tr w:rsidR="006830DA" w14:paraId="2BACE4D1" w14:textId="77777777" w:rsidTr="00646441">
        <w:trPr>
          <w:cantSplit/>
        </w:trPr>
        <w:tc>
          <w:tcPr>
            <w:tcW w:w="4675" w:type="dxa"/>
          </w:tcPr>
          <w:p w14:paraId="57944148" w14:textId="53F9B32A" w:rsidR="006830DA" w:rsidRDefault="006830DA" w:rsidP="00B6039A">
            <w:pPr>
              <w:ind w:left="720"/>
              <w:jc w:val="both"/>
            </w:pPr>
            <w:r w:rsidRPr="00195FDD">
              <w:rPr>
                <w:b/>
                <w:bCs/>
                <w:szCs w:val="24"/>
              </w:rPr>
              <w:t>Total Projected PET-CT Scans</w:t>
            </w:r>
          </w:p>
        </w:tc>
        <w:tc>
          <w:tcPr>
            <w:tcW w:w="4675" w:type="dxa"/>
          </w:tcPr>
          <w:p w14:paraId="6D994304" w14:textId="360551CE" w:rsidR="006830DA" w:rsidRDefault="009F2173" w:rsidP="006830DA">
            <w:pPr>
              <w:jc w:val="center"/>
            </w:pPr>
            <w:r>
              <w:rPr>
                <w:b/>
                <w:bCs/>
                <w:szCs w:val="24"/>
              </w:rPr>
              <w:t>3,0</w:t>
            </w:r>
            <w:r w:rsidR="000C0FC1">
              <w:rPr>
                <w:b/>
                <w:bCs/>
                <w:szCs w:val="24"/>
              </w:rPr>
              <w:t>1</w:t>
            </w:r>
            <w:r>
              <w:rPr>
                <w:b/>
                <w:bCs/>
                <w:szCs w:val="24"/>
              </w:rPr>
              <w:t>0</w:t>
            </w:r>
          </w:p>
        </w:tc>
      </w:tr>
      <w:tr w:rsidR="006830DA" w14:paraId="6C3618BC" w14:textId="77777777" w:rsidTr="00646441">
        <w:trPr>
          <w:cantSplit/>
        </w:trPr>
        <w:tc>
          <w:tcPr>
            <w:tcW w:w="4675" w:type="dxa"/>
          </w:tcPr>
          <w:p w14:paraId="22D30337" w14:textId="0B4F76D9" w:rsidR="006830DA" w:rsidRDefault="006830DA" w:rsidP="006830DA">
            <w:pPr>
              <w:jc w:val="both"/>
            </w:pPr>
            <w:r w:rsidRPr="00195FDD">
              <w:rPr>
                <w:szCs w:val="24"/>
              </w:rPr>
              <w:t>PET-CT W</w:t>
            </w:r>
            <w:r>
              <w:rPr>
                <w:szCs w:val="24"/>
              </w:rPr>
              <w:t>eighted Average</w:t>
            </w:r>
            <w:r w:rsidRPr="00195FDD">
              <w:rPr>
                <w:szCs w:val="24"/>
              </w:rPr>
              <w:t xml:space="preserve"> Throughput</w:t>
            </w:r>
          </w:p>
        </w:tc>
        <w:tc>
          <w:tcPr>
            <w:tcW w:w="4675" w:type="dxa"/>
          </w:tcPr>
          <w:p w14:paraId="142F0DEE" w14:textId="3B47070F" w:rsidR="006830DA" w:rsidRDefault="006830DA" w:rsidP="006830DA">
            <w:pPr>
              <w:jc w:val="center"/>
            </w:pPr>
            <w:r w:rsidRPr="00195FDD">
              <w:rPr>
                <w:szCs w:val="24"/>
              </w:rPr>
              <w:t>4,</w:t>
            </w:r>
            <w:r w:rsidR="009F2173">
              <w:rPr>
                <w:szCs w:val="24"/>
              </w:rPr>
              <w:t>11</w:t>
            </w:r>
            <w:r w:rsidR="000C0FC1">
              <w:rPr>
                <w:szCs w:val="24"/>
              </w:rPr>
              <w:t>8</w:t>
            </w:r>
          </w:p>
        </w:tc>
      </w:tr>
      <w:tr w:rsidR="006830DA" w14:paraId="2C2472F9" w14:textId="77777777" w:rsidTr="00646441">
        <w:trPr>
          <w:cantSplit/>
        </w:trPr>
        <w:tc>
          <w:tcPr>
            <w:tcW w:w="4675" w:type="dxa"/>
          </w:tcPr>
          <w:p w14:paraId="725FC3C1" w14:textId="11C5E9CE" w:rsidR="006830DA" w:rsidRDefault="006830DA" w:rsidP="00B6039A">
            <w:pPr>
              <w:ind w:left="720"/>
              <w:jc w:val="both"/>
            </w:pPr>
            <w:r>
              <w:rPr>
                <w:b/>
                <w:bCs/>
                <w:szCs w:val="24"/>
              </w:rPr>
              <w:t xml:space="preserve">Total </w:t>
            </w:r>
            <w:r w:rsidRPr="00195FDD">
              <w:rPr>
                <w:b/>
                <w:bCs/>
                <w:szCs w:val="24"/>
              </w:rPr>
              <w:t xml:space="preserve">PET-CT Need </w:t>
            </w:r>
          </w:p>
        </w:tc>
        <w:tc>
          <w:tcPr>
            <w:tcW w:w="4675" w:type="dxa"/>
          </w:tcPr>
          <w:p w14:paraId="5EE5ACD6" w14:textId="70A749AB" w:rsidR="006830DA" w:rsidRDefault="006830DA" w:rsidP="006830DA">
            <w:pPr>
              <w:jc w:val="center"/>
            </w:pPr>
            <w:r w:rsidRPr="00195FDD">
              <w:rPr>
                <w:b/>
                <w:bCs/>
                <w:szCs w:val="24"/>
              </w:rPr>
              <w:t>1</w:t>
            </w:r>
          </w:p>
        </w:tc>
      </w:tr>
    </w:tbl>
    <w:p w14:paraId="133BAB31" w14:textId="77777777" w:rsidR="00F7530A" w:rsidRDefault="00F7530A" w:rsidP="00CC29C5">
      <w:pPr>
        <w:jc w:val="both"/>
      </w:pPr>
    </w:p>
    <w:p w14:paraId="4D25C015" w14:textId="296F76D9" w:rsidR="00A24D6F" w:rsidRPr="006D6413" w:rsidRDefault="00A24D6F" w:rsidP="006D6413">
      <w:pPr>
        <w:jc w:val="both"/>
        <w:rPr>
          <w:b/>
          <w:i/>
          <w:iCs/>
          <w:szCs w:val="24"/>
        </w:rPr>
      </w:pPr>
      <w:r>
        <w:rPr>
          <w:b/>
          <w:i/>
          <w:iCs/>
          <w:szCs w:val="24"/>
        </w:rPr>
        <w:t xml:space="preserve">Need for </w:t>
      </w:r>
      <w:r w:rsidR="00E87C87">
        <w:rPr>
          <w:b/>
          <w:i/>
          <w:iCs/>
          <w:szCs w:val="24"/>
        </w:rPr>
        <w:t xml:space="preserve">New </w:t>
      </w:r>
      <w:r w:rsidR="00235292">
        <w:rPr>
          <w:b/>
          <w:i/>
          <w:iCs/>
          <w:szCs w:val="24"/>
        </w:rPr>
        <w:t>Radiation Oncology Equipment</w:t>
      </w:r>
      <w:r w:rsidR="00E87C87">
        <w:rPr>
          <w:b/>
          <w:i/>
          <w:iCs/>
          <w:szCs w:val="24"/>
        </w:rPr>
        <w:t xml:space="preserve"> </w:t>
      </w:r>
    </w:p>
    <w:p w14:paraId="3320BE3B" w14:textId="77777777" w:rsidR="006C14D8" w:rsidRPr="00010222" w:rsidRDefault="006C14D8">
      <w:pPr>
        <w:rPr>
          <w:bCs/>
          <w:szCs w:val="24"/>
        </w:rPr>
      </w:pPr>
    </w:p>
    <w:p w14:paraId="093C4F74" w14:textId="7E6333EE" w:rsidR="000A45F0" w:rsidRPr="00CD757A" w:rsidRDefault="00010222" w:rsidP="000A45F0">
      <w:pPr>
        <w:jc w:val="both"/>
        <w:rPr>
          <w:bCs/>
          <w:szCs w:val="24"/>
        </w:rPr>
      </w:pPr>
      <w:r w:rsidRPr="00010222">
        <w:rPr>
          <w:bCs/>
          <w:szCs w:val="24"/>
        </w:rPr>
        <w:t xml:space="preserve">The data in </w:t>
      </w:r>
      <w:r w:rsidRPr="002E73B5">
        <w:rPr>
          <w:bCs/>
          <w:szCs w:val="24"/>
          <w:u w:val="single"/>
        </w:rPr>
        <w:t xml:space="preserve">Table </w:t>
      </w:r>
      <w:r w:rsidR="00CD757A">
        <w:rPr>
          <w:bCs/>
          <w:szCs w:val="24"/>
          <w:u w:val="single"/>
        </w:rPr>
        <w:t>1</w:t>
      </w:r>
      <w:r w:rsidR="009E6E7E">
        <w:rPr>
          <w:bCs/>
          <w:szCs w:val="24"/>
          <w:u w:val="single"/>
        </w:rPr>
        <w:t>8</w:t>
      </w:r>
      <w:r w:rsidRPr="00010222">
        <w:rPr>
          <w:bCs/>
          <w:szCs w:val="24"/>
        </w:rPr>
        <w:t xml:space="preserve"> below set forth projected demand for LINACs</w:t>
      </w:r>
      <w:r w:rsidR="00622554">
        <w:rPr>
          <w:rStyle w:val="FootnoteReference"/>
          <w:bCs/>
          <w:szCs w:val="24"/>
        </w:rPr>
        <w:footnoteReference w:id="93"/>
      </w:r>
      <w:r w:rsidRPr="00010222">
        <w:rPr>
          <w:bCs/>
          <w:szCs w:val="24"/>
        </w:rPr>
        <w:t xml:space="preserve"> in </w:t>
      </w:r>
      <w:r w:rsidR="0097120E">
        <w:rPr>
          <w:bCs/>
          <w:szCs w:val="24"/>
        </w:rPr>
        <w:t>203</w:t>
      </w:r>
      <w:r w:rsidR="00DB0BB6">
        <w:rPr>
          <w:bCs/>
          <w:szCs w:val="24"/>
        </w:rPr>
        <w:t>2</w:t>
      </w:r>
      <w:r w:rsidRPr="00010222">
        <w:rPr>
          <w:bCs/>
          <w:szCs w:val="24"/>
        </w:rPr>
        <w:t xml:space="preserve">. </w:t>
      </w:r>
      <w:r w:rsidR="00EA5028" w:rsidRPr="000409A8">
        <w:rPr>
          <w:bCs/>
          <w:szCs w:val="24"/>
        </w:rPr>
        <w:t xml:space="preserve">The number of </w:t>
      </w:r>
      <w:r w:rsidR="00EA5028">
        <w:rPr>
          <w:bCs/>
          <w:szCs w:val="24"/>
        </w:rPr>
        <w:t>LINAC machines needed</w:t>
      </w:r>
      <w:r w:rsidR="00EA5028" w:rsidRPr="000409A8">
        <w:rPr>
          <w:bCs/>
          <w:szCs w:val="24"/>
        </w:rPr>
        <w:t xml:space="preserve"> was calculated by</w:t>
      </w:r>
      <w:r w:rsidR="00EA5028">
        <w:rPr>
          <w:bCs/>
          <w:szCs w:val="24"/>
        </w:rPr>
        <w:t xml:space="preserve"> </w:t>
      </w:r>
      <w:r w:rsidR="00EA5028" w:rsidRPr="000409A8">
        <w:rPr>
          <w:bCs/>
          <w:szCs w:val="24"/>
        </w:rPr>
        <w:t>dividing the projected 2032 annual</w:t>
      </w:r>
      <w:r w:rsidR="00EA5028">
        <w:rPr>
          <w:bCs/>
          <w:szCs w:val="24"/>
        </w:rPr>
        <w:t xml:space="preserve"> </w:t>
      </w:r>
      <w:r w:rsidR="00EA5028" w:rsidRPr="000409A8">
        <w:rPr>
          <w:bCs/>
          <w:szCs w:val="24"/>
        </w:rPr>
        <w:t xml:space="preserve">demand for </w:t>
      </w:r>
      <w:r w:rsidR="00EA5028">
        <w:rPr>
          <w:bCs/>
          <w:szCs w:val="24"/>
        </w:rPr>
        <w:t xml:space="preserve">LINAC sessions </w:t>
      </w:r>
      <w:r w:rsidR="00EA5028" w:rsidRPr="000409A8">
        <w:rPr>
          <w:bCs/>
          <w:szCs w:val="24"/>
        </w:rPr>
        <w:t xml:space="preserve">by </w:t>
      </w:r>
      <w:r w:rsidR="007570C5">
        <w:rPr>
          <w:bCs/>
          <w:szCs w:val="24"/>
        </w:rPr>
        <w:t>a</w:t>
      </w:r>
      <w:r w:rsidR="00EA5028">
        <w:rPr>
          <w:bCs/>
          <w:szCs w:val="24"/>
        </w:rPr>
        <w:t xml:space="preserve"> LINAC machine</w:t>
      </w:r>
      <w:r w:rsidR="002340EA">
        <w:rPr>
          <w:bCs/>
          <w:szCs w:val="24"/>
        </w:rPr>
        <w:t>’</w:t>
      </w:r>
      <w:r w:rsidR="00EA5028">
        <w:rPr>
          <w:bCs/>
          <w:szCs w:val="24"/>
        </w:rPr>
        <w:t>s throughput</w:t>
      </w:r>
      <w:r w:rsidR="00EA5028" w:rsidRPr="000409A8">
        <w:rPr>
          <w:bCs/>
          <w:szCs w:val="24"/>
        </w:rPr>
        <w:t xml:space="preserve">. </w:t>
      </w:r>
      <w:r w:rsidR="000A45F0">
        <w:rPr>
          <w:bCs/>
          <w:szCs w:val="24"/>
        </w:rPr>
        <w:t>Throughput, or annual session capacity</w:t>
      </w:r>
      <w:r w:rsidR="007922CD">
        <w:rPr>
          <w:bCs/>
          <w:szCs w:val="24"/>
        </w:rPr>
        <w:t xml:space="preserve">, </w:t>
      </w:r>
      <w:r w:rsidR="000A45F0">
        <w:rPr>
          <w:bCs/>
          <w:szCs w:val="24"/>
        </w:rPr>
        <w:t xml:space="preserve">of </w:t>
      </w:r>
      <w:r w:rsidR="000A45F0">
        <w:rPr>
          <w:bCs/>
          <w:szCs w:val="24"/>
        </w:rPr>
        <w:lastRenderedPageBreak/>
        <w:t>one LINAC was estimated</w:t>
      </w:r>
      <w:r w:rsidR="00FF7123">
        <w:rPr>
          <w:bCs/>
          <w:szCs w:val="24"/>
        </w:rPr>
        <w:t xml:space="preserve">, </w:t>
      </w:r>
      <w:r w:rsidR="001019F6">
        <w:rPr>
          <w:bCs/>
          <w:szCs w:val="24"/>
        </w:rPr>
        <w:t>based on the</w:t>
      </w:r>
      <w:r w:rsidR="00FF7123">
        <w:rPr>
          <w:bCs/>
          <w:szCs w:val="24"/>
        </w:rPr>
        <w:t xml:space="preserve"> Applicant’s historical </w:t>
      </w:r>
      <w:r w:rsidR="009F5498">
        <w:rPr>
          <w:bCs/>
          <w:szCs w:val="24"/>
        </w:rPr>
        <w:t>experience</w:t>
      </w:r>
      <w:r w:rsidR="00FF7123">
        <w:rPr>
          <w:bCs/>
          <w:szCs w:val="24"/>
        </w:rPr>
        <w:t xml:space="preserve">, </w:t>
      </w:r>
      <w:r w:rsidR="001019F6">
        <w:rPr>
          <w:bCs/>
          <w:szCs w:val="24"/>
        </w:rPr>
        <w:t xml:space="preserve">using the </w:t>
      </w:r>
      <w:r w:rsidR="007922CD">
        <w:rPr>
          <w:bCs/>
          <w:szCs w:val="24"/>
        </w:rPr>
        <w:t>information</w:t>
      </w:r>
      <w:r w:rsidR="001019F6">
        <w:rPr>
          <w:bCs/>
          <w:szCs w:val="24"/>
        </w:rPr>
        <w:t xml:space="preserve"> </w:t>
      </w:r>
      <w:r w:rsidR="000202A0">
        <w:rPr>
          <w:bCs/>
          <w:szCs w:val="24"/>
        </w:rPr>
        <w:t xml:space="preserve">shown in </w:t>
      </w:r>
      <w:r w:rsidR="000202A0" w:rsidRPr="000202A0">
        <w:rPr>
          <w:bCs/>
          <w:szCs w:val="24"/>
          <w:u w:val="single"/>
        </w:rPr>
        <w:t>Table 1</w:t>
      </w:r>
      <w:r w:rsidR="009E6E7E">
        <w:rPr>
          <w:bCs/>
          <w:szCs w:val="24"/>
          <w:u w:val="single"/>
        </w:rPr>
        <w:t>7</w:t>
      </w:r>
      <w:r w:rsidR="000202A0">
        <w:rPr>
          <w:bCs/>
          <w:szCs w:val="24"/>
        </w:rPr>
        <w:t xml:space="preserve">. </w:t>
      </w:r>
      <w:r w:rsidR="00CD757A">
        <w:rPr>
          <w:bCs/>
          <w:szCs w:val="24"/>
        </w:rPr>
        <w:t xml:space="preserve">The projected 2032 annual demand for LINAC sessions was derived as described in </w:t>
      </w:r>
      <w:r w:rsidR="00CD757A">
        <w:rPr>
          <w:bCs/>
          <w:szCs w:val="24"/>
          <w:u w:val="single"/>
        </w:rPr>
        <w:t>Appendix A</w:t>
      </w:r>
      <w:r w:rsidR="00CD757A">
        <w:rPr>
          <w:bCs/>
          <w:szCs w:val="24"/>
        </w:rPr>
        <w:t xml:space="preserve"> </w:t>
      </w:r>
      <w:r w:rsidR="00FB7A4C">
        <w:rPr>
          <w:bCs/>
          <w:szCs w:val="24"/>
        </w:rPr>
        <w:t xml:space="preserve">attached </w:t>
      </w:r>
      <w:r w:rsidR="00CD757A">
        <w:rPr>
          <w:bCs/>
          <w:szCs w:val="24"/>
        </w:rPr>
        <w:t xml:space="preserve">hereto. </w:t>
      </w:r>
    </w:p>
    <w:p w14:paraId="3049B244" w14:textId="5B041B5E" w:rsidR="00CD757A" w:rsidRDefault="00CD757A" w:rsidP="000A45F0">
      <w:pPr>
        <w:jc w:val="both"/>
        <w:rPr>
          <w:bCs/>
          <w:szCs w:val="24"/>
        </w:rPr>
      </w:pPr>
    </w:p>
    <w:p w14:paraId="1A41DE52" w14:textId="449E50BC" w:rsidR="00CD757A" w:rsidRPr="000977E7" w:rsidRDefault="00CD757A" w:rsidP="00CD757A">
      <w:pPr>
        <w:jc w:val="center"/>
        <w:rPr>
          <w:b/>
          <w:szCs w:val="24"/>
        </w:rPr>
      </w:pPr>
      <w:r>
        <w:rPr>
          <w:b/>
          <w:szCs w:val="24"/>
        </w:rPr>
        <w:t>T</w:t>
      </w:r>
      <w:r w:rsidRPr="000977E7">
        <w:rPr>
          <w:b/>
          <w:szCs w:val="24"/>
        </w:rPr>
        <w:t>able 1</w:t>
      </w:r>
      <w:r w:rsidR="00BA5968">
        <w:rPr>
          <w:b/>
          <w:szCs w:val="24"/>
        </w:rPr>
        <w:t>7</w:t>
      </w:r>
    </w:p>
    <w:p w14:paraId="6BFA9EFE" w14:textId="77777777" w:rsidR="00CD757A" w:rsidRPr="000977E7" w:rsidRDefault="00CD757A" w:rsidP="00CD757A">
      <w:pPr>
        <w:jc w:val="center"/>
        <w:rPr>
          <w:bCs/>
          <w:szCs w:val="24"/>
        </w:rPr>
      </w:pPr>
      <w:r>
        <w:rPr>
          <w:b/>
          <w:szCs w:val="24"/>
        </w:rPr>
        <w:t>LINAC Throughput</w:t>
      </w:r>
      <w:r w:rsidRPr="000977E7">
        <w:rPr>
          <w:b/>
          <w:szCs w:val="24"/>
        </w:rPr>
        <w:t xml:space="preserve"> Assumptions</w:t>
      </w:r>
    </w:p>
    <w:p w14:paraId="08B260C0" w14:textId="77777777" w:rsidR="00CD757A" w:rsidRPr="000977E7" w:rsidRDefault="00CD757A" w:rsidP="00CD757A">
      <w:pPr>
        <w:jc w:val="center"/>
        <w:rPr>
          <w:b/>
          <w:szCs w:val="24"/>
          <w:u w:val="single"/>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D757A" w14:paraId="3A033BCD" w14:textId="77777777" w:rsidTr="004D5205">
        <w:tc>
          <w:tcPr>
            <w:tcW w:w="1558" w:type="dxa"/>
          </w:tcPr>
          <w:p w14:paraId="3E365D92" w14:textId="77777777" w:rsidR="00CD757A" w:rsidRPr="000977E7" w:rsidRDefault="00CD757A" w:rsidP="004D5205">
            <w:pPr>
              <w:jc w:val="center"/>
              <w:rPr>
                <w:b/>
                <w:szCs w:val="24"/>
              </w:rPr>
            </w:pPr>
            <w:r w:rsidRPr="000977E7">
              <w:rPr>
                <w:b/>
                <w:szCs w:val="24"/>
              </w:rPr>
              <w:t>Equipment</w:t>
            </w:r>
          </w:p>
        </w:tc>
        <w:tc>
          <w:tcPr>
            <w:tcW w:w="1558" w:type="dxa"/>
          </w:tcPr>
          <w:p w14:paraId="46B0903E" w14:textId="77777777" w:rsidR="00CD757A" w:rsidRPr="000977E7" w:rsidRDefault="00CD757A" w:rsidP="004D5205">
            <w:pPr>
              <w:jc w:val="center"/>
              <w:rPr>
                <w:b/>
                <w:szCs w:val="24"/>
              </w:rPr>
            </w:pPr>
            <w:r w:rsidRPr="000977E7">
              <w:rPr>
                <w:b/>
                <w:szCs w:val="24"/>
              </w:rPr>
              <w:t>Days/Year</w:t>
            </w:r>
          </w:p>
        </w:tc>
        <w:tc>
          <w:tcPr>
            <w:tcW w:w="1558" w:type="dxa"/>
          </w:tcPr>
          <w:p w14:paraId="7E9A6B11" w14:textId="77777777" w:rsidR="00CD757A" w:rsidRPr="000977E7" w:rsidRDefault="00CD757A" w:rsidP="004D5205">
            <w:pPr>
              <w:jc w:val="center"/>
              <w:rPr>
                <w:b/>
                <w:szCs w:val="24"/>
              </w:rPr>
            </w:pPr>
            <w:r w:rsidRPr="000977E7">
              <w:rPr>
                <w:b/>
                <w:szCs w:val="24"/>
              </w:rPr>
              <w:t>Hours/Day</w:t>
            </w:r>
          </w:p>
        </w:tc>
        <w:tc>
          <w:tcPr>
            <w:tcW w:w="1558" w:type="dxa"/>
          </w:tcPr>
          <w:p w14:paraId="050A757F" w14:textId="77777777" w:rsidR="00CD757A" w:rsidRPr="000977E7" w:rsidRDefault="00CD757A" w:rsidP="004D5205">
            <w:pPr>
              <w:jc w:val="center"/>
              <w:rPr>
                <w:b/>
                <w:szCs w:val="24"/>
              </w:rPr>
            </w:pPr>
            <w:r w:rsidRPr="000977E7">
              <w:rPr>
                <w:b/>
                <w:szCs w:val="24"/>
              </w:rPr>
              <w:t>Patient Time (</w:t>
            </w:r>
            <w:proofErr w:type="spellStart"/>
            <w:r w:rsidRPr="000977E7">
              <w:rPr>
                <w:b/>
                <w:szCs w:val="24"/>
              </w:rPr>
              <w:t>hr</w:t>
            </w:r>
            <w:proofErr w:type="spellEnd"/>
            <w:r w:rsidRPr="000977E7">
              <w:rPr>
                <w:b/>
                <w:szCs w:val="24"/>
              </w:rPr>
              <w:t>)</w:t>
            </w:r>
          </w:p>
        </w:tc>
        <w:tc>
          <w:tcPr>
            <w:tcW w:w="1559" w:type="dxa"/>
          </w:tcPr>
          <w:p w14:paraId="7D4A4899" w14:textId="77777777" w:rsidR="00CD757A" w:rsidRPr="000977E7" w:rsidRDefault="00CD757A" w:rsidP="004D5205">
            <w:pPr>
              <w:jc w:val="center"/>
              <w:rPr>
                <w:b/>
                <w:szCs w:val="24"/>
              </w:rPr>
            </w:pPr>
            <w:r w:rsidRPr="000977E7">
              <w:rPr>
                <w:b/>
                <w:szCs w:val="24"/>
              </w:rPr>
              <w:t>Efficiency</w:t>
            </w:r>
          </w:p>
        </w:tc>
        <w:tc>
          <w:tcPr>
            <w:tcW w:w="1559" w:type="dxa"/>
          </w:tcPr>
          <w:p w14:paraId="25D01004" w14:textId="77777777" w:rsidR="00CD757A" w:rsidRPr="000977E7" w:rsidRDefault="00CD757A" w:rsidP="004D5205">
            <w:pPr>
              <w:jc w:val="center"/>
              <w:rPr>
                <w:b/>
                <w:szCs w:val="24"/>
              </w:rPr>
            </w:pPr>
            <w:r w:rsidRPr="000977E7">
              <w:rPr>
                <w:b/>
                <w:szCs w:val="24"/>
              </w:rPr>
              <w:t>Throughput</w:t>
            </w:r>
          </w:p>
        </w:tc>
      </w:tr>
      <w:tr w:rsidR="00CD757A" w14:paraId="74594B52" w14:textId="77777777" w:rsidTr="004D5205">
        <w:tc>
          <w:tcPr>
            <w:tcW w:w="1558" w:type="dxa"/>
          </w:tcPr>
          <w:p w14:paraId="2919F2DA" w14:textId="77777777" w:rsidR="00CD757A" w:rsidRDefault="00CD757A" w:rsidP="004D5205">
            <w:pPr>
              <w:jc w:val="both"/>
              <w:rPr>
                <w:bCs/>
                <w:szCs w:val="24"/>
              </w:rPr>
            </w:pPr>
            <w:r>
              <w:rPr>
                <w:bCs/>
                <w:szCs w:val="24"/>
              </w:rPr>
              <w:t>LINAC</w:t>
            </w:r>
          </w:p>
        </w:tc>
        <w:tc>
          <w:tcPr>
            <w:tcW w:w="1558" w:type="dxa"/>
          </w:tcPr>
          <w:p w14:paraId="638664B1" w14:textId="77777777" w:rsidR="00CD757A" w:rsidRDefault="00CD757A" w:rsidP="004D5205">
            <w:pPr>
              <w:jc w:val="center"/>
              <w:rPr>
                <w:bCs/>
                <w:szCs w:val="24"/>
              </w:rPr>
            </w:pPr>
            <w:r w:rsidRPr="00E629EF">
              <w:rPr>
                <w:bCs/>
                <w:szCs w:val="24"/>
              </w:rPr>
              <w:t>250</w:t>
            </w:r>
          </w:p>
        </w:tc>
        <w:tc>
          <w:tcPr>
            <w:tcW w:w="1558" w:type="dxa"/>
          </w:tcPr>
          <w:p w14:paraId="35D1CFCA" w14:textId="77777777" w:rsidR="00CD757A" w:rsidRDefault="00CD757A" w:rsidP="004D5205">
            <w:pPr>
              <w:jc w:val="center"/>
              <w:rPr>
                <w:bCs/>
                <w:szCs w:val="24"/>
              </w:rPr>
            </w:pPr>
            <w:r>
              <w:rPr>
                <w:bCs/>
                <w:szCs w:val="24"/>
              </w:rPr>
              <w:t>10</w:t>
            </w:r>
          </w:p>
        </w:tc>
        <w:tc>
          <w:tcPr>
            <w:tcW w:w="1558" w:type="dxa"/>
          </w:tcPr>
          <w:p w14:paraId="4D1D4B07" w14:textId="77777777" w:rsidR="00CD757A" w:rsidRDefault="00CD757A" w:rsidP="004D5205">
            <w:pPr>
              <w:jc w:val="center"/>
              <w:rPr>
                <w:bCs/>
                <w:szCs w:val="24"/>
              </w:rPr>
            </w:pPr>
            <w:r>
              <w:rPr>
                <w:bCs/>
                <w:szCs w:val="24"/>
              </w:rPr>
              <w:t>0.3</w:t>
            </w:r>
          </w:p>
        </w:tc>
        <w:tc>
          <w:tcPr>
            <w:tcW w:w="1559" w:type="dxa"/>
          </w:tcPr>
          <w:p w14:paraId="77D432CB" w14:textId="77777777" w:rsidR="00CD757A" w:rsidRDefault="00CD757A" w:rsidP="004D5205">
            <w:pPr>
              <w:jc w:val="center"/>
              <w:rPr>
                <w:bCs/>
                <w:szCs w:val="24"/>
              </w:rPr>
            </w:pPr>
            <w:r>
              <w:rPr>
                <w:bCs/>
                <w:szCs w:val="24"/>
              </w:rPr>
              <w:t>85%</w:t>
            </w:r>
          </w:p>
        </w:tc>
        <w:tc>
          <w:tcPr>
            <w:tcW w:w="1559" w:type="dxa"/>
          </w:tcPr>
          <w:p w14:paraId="22AD7B20" w14:textId="77777777" w:rsidR="00CD757A" w:rsidRDefault="00CD757A" w:rsidP="004D5205">
            <w:pPr>
              <w:jc w:val="center"/>
              <w:rPr>
                <w:bCs/>
                <w:szCs w:val="24"/>
              </w:rPr>
            </w:pPr>
            <w:r>
              <w:rPr>
                <w:bCs/>
                <w:szCs w:val="24"/>
              </w:rPr>
              <w:t>7,000</w:t>
            </w:r>
          </w:p>
        </w:tc>
      </w:tr>
    </w:tbl>
    <w:p w14:paraId="2AFC3A5A" w14:textId="088C1B3C" w:rsidR="00FD315E" w:rsidRDefault="00FD315E" w:rsidP="0001282C">
      <w:pPr>
        <w:rPr>
          <w:b/>
          <w:bCs/>
          <w:szCs w:val="24"/>
        </w:rPr>
      </w:pPr>
    </w:p>
    <w:p w14:paraId="01FD8599" w14:textId="77777777" w:rsidR="00BA5968" w:rsidRDefault="00BA5968" w:rsidP="0001282C">
      <w:pPr>
        <w:rPr>
          <w:b/>
          <w:bCs/>
          <w:szCs w:val="24"/>
        </w:rPr>
      </w:pPr>
    </w:p>
    <w:p w14:paraId="34BFB64F" w14:textId="35535013" w:rsidR="00604B59" w:rsidRDefault="00604B59" w:rsidP="00604B59">
      <w:pPr>
        <w:jc w:val="center"/>
        <w:rPr>
          <w:b/>
          <w:bCs/>
          <w:szCs w:val="24"/>
        </w:rPr>
      </w:pPr>
      <w:r>
        <w:rPr>
          <w:b/>
          <w:bCs/>
          <w:szCs w:val="24"/>
        </w:rPr>
        <w:t xml:space="preserve">Table </w:t>
      </w:r>
      <w:r w:rsidR="007821C3">
        <w:rPr>
          <w:b/>
          <w:bCs/>
          <w:szCs w:val="24"/>
        </w:rPr>
        <w:t>1</w:t>
      </w:r>
      <w:r w:rsidR="00BA5968">
        <w:rPr>
          <w:b/>
          <w:bCs/>
          <w:szCs w:val="24"/>
        </w:rPr>
        <w:t>8</w:t>
      </w:r>
    </w:p>
    <w:p w14:paraId="2328CA3D" w14:textId="16040EFD" w:rsidR="00572DF7" w:rsidRDefault="00572DF7" w:rsidP="00604B59">
      <w:pPr>
        <w:jc w:val="center"/>
        <w:rPr>
          <w:b/>
          <w:bCs/>
          <w:szCs w:val="24"/>
        </w:rPr>
      </w:pPr>
      <w:r>
        <w:rPr>
          <w:b/>
          <w:bCs/>
          <w:szCs w:val="24"/>
        </w:rPr>
        <w:t xml:space="preserve">Projected </w:t>
      </w:r>
      <w:r w:rsidR="00726D55">
        <w:rPr>
          <w:b/>
          <w:bCs/>
          <w:szCs w:val="24"/>
        </w:rPr>
        <w:t xml:space="preserve">Demand for </w:t>
      </w:r>
      <w:r w:rsidR="00E80FB8">
        <w:rPr>
          <w:b/>
          <w:bCs/>
          <w:szCs w:val="24"/>
        </w:rPr>
        <w:t>LINAC Sessions</w:t>
      </w:r>
      <w:r>
        <w:rPr>
          <w:b/>
          <w:bCs/>
          <w:szCs w:val="24"/>
        </w:rPr>
        <w:t xml:space="preserve"> (w/</w:t>
      </w:r>
      <w:r w:rsidR="0062328E">
        <w:rPr>
          <w:b/>
          <w:bCs/>
          <w:szCs w:val="24"/>
        </w:rPr>
        <w:t xml:space="preserve"> </w:t>
      </w:r>
      <w:r>
        <w:rPr>
          <w:b/>
          <w:bCs/>
          <w:szCs w:val="24"/>
        </w:rPr>
        <w:t>Proposed Project)</w:t>
      </w:r>
      <w:r w:rsidR="00A501CC">
        <w:rPr>
          <w:rStyle w:val="CommentReference"/>
        </w:rPr>
        <w:t xml:space="preserve"> </w:t>
      </w:r>
    </w:p>
    <w:tbl>
      <w:tblPr>
        <w:tblStyle w:val="TableGrid"/>
        <w:tblW w:w="4955" w:type="pct"/>
        <w:jc w:val="center"/>
        <w:tblLook w:val="04A0" w:firstRow="1" w:lastRow="0" w:firstColumn="1" w:lastColumn="0" w:noHBand="0" w:noVBand="1"/>
      </w:tblPr>
      <w:tblGrid>
        <w:gridCol w:w="5940"/>
        <w:gridCol w:w="3326"/>
      </w:tblGrid>
      <w:tr w:rsidR="002744C9" w:rsidRPr="002E3569" w14:paraId="73F654EA" w14:textId="77777777" w:rsidTr="000935FC">
        <w:trPr>
          <w:cantSplit/>
          <w:tblHeader/>
          <w:jc w:val="center"/>
        </w:trPr>
        <w:tc>
          <w:tcPr>
            <w:tcW w:w="3205" w:type="pct"/>
            <w:tcBorders>
              <w:bottom w:val="single" w:sz="4" w:space="0" w:color="auto"/>
            </w:tcBorders>
          </w:tcPr>
          <w:p w14:paraId="6EE35415" w14:textId="77777777" w:rsidR="002744C9" w:rsidRPr="002E3569" w:rsidRDefault="002744C9" w:rsidP="00954980">
            <w:pPr>
              <w:jc w:val="center"/>
              <w:rPr>
                <w:b/>
                <w:bCs/>
                <w:szCs w:val="24"/>
              </w:rPr>
            </w:pPr>
            <w:r w:rsidRPr="002E3569">
              <w:rPr>
                <w:b/>
                <w:bCs/>
                <w:szCs w:val="24"/>
              </w:rPr>
              <w:t>Metric</w:t>
            </w:r>
          </w:p>
        </w:tc>
        <w:tc>
          <w:tcPr>
            <w:tcW w:w="1795" w:type="pct"/>
            <w:tcBorders>
              <w:bottom w:val="single" w:sz="4" w:space="0" w:color="auto"/>
            </w:tcBorders>
          </w:tcPr>
          <w:p w14:paraId="221DA63D" w14:textId="6E275C32" w:rsidR="002744C9" w:rsidRPr="002E3569" w:rsidRDefault="00C26031" w:rsidP="00954980">
            <w:pPr>
              <w:jc w:val="center"/>
              <w:rPr>
                <w:b/>
                <w:bCs/>
                <w:szCs w:val="24"/>
              </w:rPr>
            </w:pPr>
            <w:r>
              <w:rPr>
                <w:b/>
                <w:bCs/>
                <w:szCs w:val="24"/>
              </w:rPr>
              <w:t>Total</w:t>
            </w:r>
          </w:p>
        </w:tc>
      </w:tr>
      <w:tr w:rsidR="000935FC" w:rsidRPr="002E3569" w14:paraId="5BFCE6B8" w14:textId="77777777" w:rsidTr="000935FC">
        <w:trPr>
          <w:cantSplit/>
          <w:jc w:val="center"/>
        </w:trPr>
        <w:tc>
          <w:tcPr>
            <w:tcW w:w="3205" w:type="pct"/>
            <w:tcBorders>
              <w:bottom w:val="single" w:sz="4" w:space="0" w:color="auto"/>
              <w:right w:val="nil"/>
            </w:tcBorders>
          </w:tcPr>
          <w:p w14:paraId="07B124C6" w14:textId="77777777" w:rsidR="000935FC" w:rsidRDefault="000935FC" w:rsidP="00706294">
            <w:pPr>
              <w:rPr>
                <w:b/>
                <w:bCs/>
                <w:szCs w:val="24"/>
              </w:rPr>
            </w:pPr>
            <w:r>
              <w:rPr>
                <w:b/>
                <w:bCs/>
                <w:i/>
                <w:iCs/>
                <w:szCs w:val="24"/>
              </w:rPr>
              <w:t>Applicant</w:t>
            </w:r>
          </w:p>
        </w:tc>
        <w:tc>
          <w:tcPr>
            <w:tcW w:w="1795" w:type="pct"/>
            <w:tcBorders>
              <w:left w:val="nil"/>
              <w:bottom w:val="single" w:sz="4" w:space="0" w:color="auto"/>
            </w:tcBorders>
          </w:tcPr>
          <w:p w14:paraId="0AC25328" w14:textId="3828938C" w:rsidR="000935FC" w:rsidRDefault="000935FC" w:rsidP="00706294">
            <w:pPr>
              <w:rPr>
                <w:b/>
                <w:bCs/>
                <w:szCs w:val="24"/>
              </w:rPr>
            </w:pPr>
          </w:p>
        </w:tc>
      </w:tr>
      <w:tr w:rsidR="00E968E0" w:rsidRPr="002E3569" w14:paraId="7B61A42E" w14:textId="77777777" w:rsidTr="000935FC">
        <w:trPr>
          <w:cantSplit/>
          <w:jc w:val="center"/>
        </w:trPr>
        <w:tc>
          <w:tcPr>
            <w:tcW w:w="3205" w:type="pct"/>
            <w:tcBorders>
              <w:bottom w:val="single" w:sz="4" w:space="0" w:color="auto"/>
            </w:tcBorders>
            <w:vAlign w:val="bottom"/>
          </w:tcPr>
          <w:p w14:paraId="63078BB7" w14:textId="22CC831F" w:rsidR="00E968E0" w:rsidRDefault="00E968E0" w:rsidP="00E968E0">
            <w:pPr>
              <w:rPr>
                <w:b/>
                <w:bCs/>
              </w:rPr>
            </w:pPr>
            <w:r>
              <w:t xml:space="preserve">Projected 2032 LINAC Sessions </w:t>
            </w:r>
          </w:p>
        </w:tc>
        <w:tc>
          <w:tcPr>
            <w:tcW w:w="1795" w:type="pct"/>
            <w:tcBorders>
              <w:bottom w:val="single" w:sz="4" w:space="0" w:color="auto"/>
            </w:tcBorders>
          </w:tcPr>
          <w:p w14:paraId="3387CA1E" w14:textId="50BE00B1" w:rsidR="00E968E0" w:rsidRDefault="00BA5968" w:rsidP="00E968E0">
            <w:pPr>
              <w:jc w:val="center"/>
            </w:pPr>
            <w:r>
              <w:t>47,456</w:t>
            </w:r>
          </w:p>
        </w:tc>
      </w:tr>
      <w:tr w:rsidR="00CF4B2D" w:rsidRPr="002E3569" w14:paraId="6577FF8E" w14:textId="77777777" w:rsidTr="000935FC">
        <w:trPr>
          <w:cantSplit/>
          <w:jc w:val="center"/>
        </w:trPr>
        <w:tc>
          <w:tcPr>
            <w:tcW w:w="3205" w:type="pct"/>
            <w:tcBorders>
              <w:top w:val="single" w:sz="4" w:space="0" w:color="auto"/>
              <w:left w:val="single" w:sz="4" w:space="0" w:color="auto"/>
              <w:bottom w:val="single" w:sz="4" w:space="0" w:color="auto"/>
              <w:right w:val="nil"/>
            </w:tcBorders>
            <w:vAlign w:val="bottom"/>
          </w:tcPr>
          <w:p w14:paraId="01B31953" w14:textId="111395CF" w:rsidR="00CF4B2D" w:rsidRPr="007904D3" w:rsidRDefault="00CF4B2D" w:rsidP="00CF4B2D">
            <w:pPr>
              <w:rPr>
                <w:b/>
                <w:bCs/>
                <w:i/>
                <w:iCs/>
                <w:szCs w:val="24"/>
              </w:rPr>
            </w:pPr>
            <w:r w:rsidRPr="007904D3">
              <w:rPr>
                <w:b/>
                <w:bCs/>
                <w:i/>
                <w:iCs/>
              </w:rPr>
              <w:t>BIDMC</w:t>
            </w:r>
          </w:p>
        </w:tc>
        <w:tc>
          <w:tcPr>
            <w:tcW w:w="1795" w:type="pct"/>
            <w:tcBorders>
              <w:top w:val="single" w:sz="4" w:space="0" w:color="auto"/>
              <w:left w:val="nil"/>
              <w:bottom w:val="single" w:sz="4" w:space="0" w:color="auto"/>
              <w:right w:val="single" w:sz="4" w:space="0" w:color="auto"/>
            </w:tcBorders>
            <w:vAlign w:val="bottom"/>
          </w:tcPr>
          <w:p w14:paraId="4EDF3EC6" w14:textId="158CB567" w:rsidR="00CF4B2D" w:rsidRPr="002E3569" w:rsidRDefault="00CF4B2D" w:rsidP="00CF4B2D">
            <w:pPr>
              <w:jc w:val="center"/>
              <w:rPr>
                <w:szCs w:val="24"/>
              </w:rPr>
            </w:pPr>
            <w:r w:rsidRPr="002E3569">
              <w:rPr>
                <w:rFonts w:eastAsia="Times New Roman"/>
                <w:color w:val="000000" w:themeColor="text1"/>
              </w:rPr>
              <w:t xml:space="preserve"> </w:t>
            </w:r>
          </w:p>
        </w:tc>
      </w:tr>
      <w:tr w:rsidR="00CF4B2D" w:rsidRPr="002E3569" w14:paraId="0ABC5480" w14:textId="77777777" w:rsidTr="000935FC">
        <w:trPr>
          <w:cantSplit/>
          <w:jc w:val="center"/>
        </w:trPr>
        <w:tc>
          <w:tcPr>
            <w:tcW w:w="3205" w:type="pct"/>
            <w:tcBorders>
              <w:top w:val="single" w:sz="4" w:space="0" w:color="auto"/>
            </w:tcBorders>
            <w:vAlign w:val="bottom"/>
          </w:tcPr>
          <w:p w14:paraId="50AB5F57" w14:textId="34C4A98E" w:rsidR="00CF4B2D" w:rsidRDefault="00CF4B2D" w:rsidP="00CF4B2D">
            <w:r>
              <w:t xml:space="preserve">Projected 2032 LINAC Sessions </w:t>
            </w:r>
          </w:p>
        </w:tc>
        <w:tc>
          <w:tcPr>
            <w:tcW w:w="1795" w:type="pct"/>
            <w:tcBorders>
              <w:top w:val="single" w:sz="4" w:space="0" w:color="auto"/>
            </w:tcBorders>
            <w:vAlign w:val="bottom"/>
          </w:tcPr>
          <w:p w14:paraId="59757953" w14:textId="60298347" w:rsidR="00CF4B2D" w:rsidRPr="002E3569" w:rsidRDefault="00E968E0" w:rsidP="00CF4B2D">
            <w:pPr>
              <w:jc w:val="center"/>
              <w:rPr>
                <w:rFonts w:eastAsia="Times New Roman"/>
                <w:color w:val="000000" w:themeColor="text1"/>
              </w:rPr>
            </w:pPr>
            <w:r>
              <w:rPr>
                <w:rFonts w:eastAsia="Times New Roman"/>
                <w:color w:val="000000" w:themeColor="text1"/>
              </w:rPr>
              <w:t>18,080</w:t>
            </w:r>
          </w:p>
        </w:tc>
      </w:tr>
      <w:tr w:rsidR="007904D3" w:rsidRPr="002E3569" w14:paraId="406D9D58" w14:textId="77777777" w:rsidTr="000935FC">
        <w:trPr>
          <w:cantSplit/>
          <w:jc w:val="center"/>
        </w:trPr>
        <w:tc>
          <w:tcPr>
            <w:tcW w:w="3205" w:type="pct"/>
            <w:vAlign w:val="bottom"/>
          </w:tcPr>
          <w:p w14:paraId="6E6E59C0" w14:textId="3DC56FF3" w:rsidR="007904D3" w:rsidRPr="007904D3" w:rsidRDefault="007904D3" w:rsidP="00CF4B2D">
            <w:r>
              <w:rPr>
                <w:b/>
                <w:bCs/>
              </w:rPr>
              <w:t xml:space="preserve">Total Projected 2032 LINAC Sessions </w:t>
            </w:r>
          </w:p>
        </w:tc>
        <w:tc>
          <w:tcPr>
            <w:tcW w:w="1795" w:type="pct"/>
            <w:vAlign w:val="bottom"/>
          </w:tcPr>
          <w:p w14:paraId="1A761E1A" w14:textId="34ED050F" w:rsidR="007904D3" w:rsidRDefault="00ED6D5A" w:rsidP="00CF4B2D">
            <w:pPr>
              <w:jc w:val="center"/>
              <w:rPr>
                <w:rFonts w:eastAsia="Times New Roman"/>
                <w:color w:val="000000" w:themeColor="text1"/>
              </w:rPr>
            </w:pPr>
            <w:r>
              <w:rPr>
                <w:rFonts w:eastAsia="Times New Roman"/>
                <w:color w:val="000000" w:themeColor="text1"/>
              </w:rPr>
              <w:t>6</w:t>
            </w:r>
            <w:r w:rsidR="00225020">
              <w:rPr>
                <w:rFonts w:eastAsia="Times New Roman"/>
                <w:color w:val="000000" w:themeColor="text1"/>
              </w:rPr>
              <w:t>5,</w:t>
            </w:r>
            <w:r w:rsidR="00BA5968">
              <w:rPr>
                <w:rFonts w:eastAsia="Times New Roman"/>
                <w:color w:val="000000" w:themeColor="text1"/>
              </w:rPr>
              <w:t>536</w:t>
            </w:r>
          </w:p>
        </w:tc>
      </w:tr>
      <w:tr w:rsidR="00CF4B2D" w:rsidRPr="002E3569" w14:paraId="45EC000D" w14:textId="77777777" w:rsidTr="000935FC">
        <w:trPr>
          <w:cantSplit/>
          <w:jc w:val="center"/>
        </w:trPr>
        <w:tc>
          <w:tcPr>
            <w:tcW w:w="3205" w:type="pct"/>
          </w:tcPr>
          <w:p w14:paraId="41711A60" w14:textId="35A6FEEC" w:rsidR="00CF4B2D" w:rsidRPr="002E3569" w:rsidRDefault="00CF4B2D" w:rsidP="00CF4B2D">
            <w:pPr>
              <w:rPr>
                <w:szCs w:val="24"/>
              </w:rPr>
            </w:pPr>
            <w:r w:rsidRPr="002E3569">
              <w:rPr>
                <w:szCs w:val="24"/>
              </w:rPr>
              <w:t>Throughput</w:t>
            </w:r>
          </w:p>
        </w:tc>
        <w:tc>
          <w:tcPr>
            <w:tcW w:w="1795" w:type="pct"/>
          </w:tcPr>
          <w:p w14:paraId="2B0DA7D2" w14:textId="76479016" w:rsidR="00CF4B2D" w:rsidRPr="002E3569" w:rsidRDefault="00CF4B2D" w:rsidP="00CF4B2D">
            <w:pPr>
              <w:jc w:val="center"/>
              <w:rPr>
                <w:szCs w:val="24"/>
              </w:rPr>
            </w:pPr>
            <w:r w:rsidRPr="002E3569">
              <w:rPr>
                <w:szCs w:val="24"/>
              </w:rPr>
              <w:t xml:space="preserve">7,000 </w:t>
            </w:r>
          </w:p>
        </w:tc>
      </w:tr>
      <w:tr w:rsidR="00CF4B2D" w:rsidRPr="002E3569" w14:paraId="02661704" w14:textId="77777777" w:rsidTr="000935FC">
        <w:trPr>
          <w:cantSplit/>
          <w:jc w:val="center"/>
        </w:trPr>
        <w:tc>
          <w:tcPr>
            <w:tcW w:w="3205" w:type="pct"/>
            <w:vAlign w:val="center"/>
          </w:tcPr>
          <w:p w14:paraId="4632E376" w14:textId="628E7002" w:rsidR="00CF4B2D" w:rsidRPr="007904D3" w:rsidRDefault="00CF4B2D" w:rsidP="00CF4B2D">
            <w:pPr>
              <w:rPr>
                <w:b/>
                <w:bCs/>
                <w:szCs w:val="24"/>
              </w:rPr>
            </w:pPr>
            <w:r w:rsidRPr="007904D3">
              <w:rPr>
                <w:b/>
                <w:bCs/>
                <w:szCs w:val="24"/>
              </w:rPr>
              <w:t>Total LINAC Need</w:t>
            </w:r>
          </w:p>
        </w:tc>
        <w:tc>
          <w:tcPr>
            <w:tcW w:w="1795" w:type="pct"/>
            <w:vAlign w:val="center"/>
          </w:tcPr>
          <w:p w14:paraId="294D0EC5" w14:textId="25B5D3A3" w:rsidR="00CF4B2D" w:rsidRPr="00FB7A4C" w:rsidRDefault="00225020" w:rsidP="00CF4B2D">
            <w:pPr>
              <w:jc w:val="center"/>
              <w:rPr>
                <w:b/>
                <w:bCs/>
                <w:szCs w:val="24"/>
              </w:rPr>
            </w:pPr>
            <w:r>
              <w:rPr>
                <w:b/>
                <w:bCs/>
                <w:szCs w:val="24"/>
              </w:rPr>
              <w:t>10</w:t>
            </w:r>
          </w:p>
        </w:tc>
      </w:tr>
    </w:tbl>
    <w:p w14:paraId="344BB4FE" w14:textId="77777777" w:rsidR="00DB0BB6" w:rsidRDefault="00DB0BB6" w:rsidP="00DB0BB6">
      <w:pPr>
        <w:rPr>
          <w:bCs/>
          <w:szCs w:val="24"/>
        </w:rPr>
      </w:pPr>
    </w:p>
    <w:p w14:paraId="3D5225E7" w14:textId="39920887" w:rsidR="005C6676" w:rsidRDefault="00FB7F52" w:rsidP="00EF540A">
      <w:pPr>
        <w:jc w:val="both"/>
        <w:rPr>
          <w:bCs/>
          <w:szCs w:val="24"/>
        </w:rPr>
      </w:pPr>
      <w:r>
        <w:rPr>
          <w:bCs/>
          <w:szCs w:val="24"/>
        </w:rPr>
        <w:t xml:space="preserve">Radiation therapy services are an essential component of a designated cancer hospital and critical to the Applicant’s desire to defragment the delivery of cancer care to cancer patients. </w:t>
      </w:r>
      <w:r w:rsidR="005C6676">
        <w:rPr>
          <w:bCs/>
          <w:szCs w:val="24"/>
        </w:rPr>
        <w:t>The Applicant currently operates three LINACs in its existing facilities. The Applicant proposes adding three additional LINACs as part of the Proposed Project, for a total of six LINACs. In the future, the Applicant anticipates further expanding its LINAC capacity through the acquisition by lease of three LINACs currently licensed to BIDMC, for a total of nine LINACs</w:t>
      </w:r>
      <w:r w:rsidR="00225020">
        <w:rPr>
          <w:bCs/>
          <w:szCs w:val="24"/>
        </w:rPr>
        <w:t>, still shy of the total demonstrated need of 10</w:t>
      </w:r>
      <w:r w:rsidR="005C6676">
        <w:rPr>
          <w:bCs/>
          <w:szCs w:val="24"/>
        </w:rPr>
        <w:t>. The Applicant expects any future addition of</w:t>
      </w:r>
      <w:r w:rsidR="00225020">
        <w:rPr>
          <w:bCs/>
          <w:szCs w:val="24"/>
        </w:rPr>
        <w:t xml:space="preserve"> the BIDMC</w:t>
      </w:r>
      <w:r w:rsidR="005C6676">
        <w:rPr>
          <w:bCs/>
          <w:szCs w:val="24"/>
        </w:rPr>
        <w:t xml:space="preserve"> LINACs would be the subject of a separate Determination of Need application. </w:t>
      </w:r>
    </w:p>
    <w:p w14:paraId="65048982" w14:textId="7A1C1BDC" w:rsidR="005F1036" w:rsidRDefault="005F1036" w:rsidP="003966FD">
      <w:pPr>
        <w:rPr>
          <w:b/>
          <w:bCs/>
          <w:szCs w:val="24"/>
        </w:rPr>
      </w:pPr>
    </w:p>
    <w:p w14:paraId="13AAABEE" w14:textId="13F54238" w:rsidR="00DA32B3" w:rsidRDefault="005F1036" w:rsidP="00EA5028">
      <w:pPr>
        <w:jc w:val="both"/>
        <w:rPr>
          <w:bCs/>
          <w:szCs w:val="24"/>
        </w:rPr>
      </w:pPr>
      <w:r w:rsidRPr="00010222">
        <w:rPr>
          <w:bCs/>
          <w:szCs w:val="24"/>
        </w:rPr>
        <w:t xml:space="preserve">The data in </w:t>
      </w:r>
      <w:r w:rsidRPr="002E73B5">
        <w:rPr>
          <w:bCs/>
          <w:szCs w:val="24"/>
          <w:u w:val="single"/>
        </w:rPr>
        <w:t>Table</w:t>
      </w:r>
      <w:r w:rsidR="00150BAE">
        <w:rPr>
          <w:bCs/>
          <w:szCs w:val="24"/>
          <w:u w:val="single"/>
        </w:rPr>
        <w:t xml:space="preserve"> 2</w:t>
      </w:r>
      <w:r w:rsidR="009E6E7E">
        <w:rPr>
          <w:bCs/>
          <w:szCs w:val="24"/>
          <w:u w:val="single"/>
        </w:rPr>
        <w:t>1</w:t>
      </w:r>
      <w:r w:rsidRPr="00010222">
        <w:rPr>
          <w:bCs/>
          <w:szCs w:val="24"/>
        </w:rPr>
        <w:t xml:space="preserve"> below set forth projected demand for </w:t>
      </w:r>
      <w:r w:rsidR="00EA5028">
        <w:rPr>
          <w:bCs/>
          <w:szCs w:val="24"/>
        </w:rPr>
        <w:t>CT simulators</w:t>
      </w:r>
      <w:r w:rsidRPr="00010222">
        <w:rPr>
          <w:bCs/>
          <w:szCs w:val="24"/>
        </w:rPr>
        <w:t xml:space="preserve"> in </w:t>
      </w:r>
      <w:r w:rsidR="00DB0BB6">
        <w:rPr>
          <w:bCs/>
          <w:szCs w:val="24"/>
        </w:rPr>
        <w:t>2032</w:t>
      </w:r>
      <w:r w:rsidRPr="00010222">
        <w:rPr>
          <w:bCs/>
          <w:szCs w:val="24"/>
        </w:rPr>
        <w:t xml:space="preserve">. </w:t>
      </w:r>
      <w:r w:rsidR="00EA5028" w:rsidRPr="000409A8">
        <w:rPr>
          <w:bCs/>
          <w:szCs w:val="24"/>
        </w:rPr>
        <w:t xml:space="preserve">The number of </w:t>
      </w:r>
      <w:r w:rsidR="00BA1A9A">
        <w:rPr>
          <w:bCs/>
          <w:szCs w:val="24"/>
        </w:rPr>
        <w:t>CT simulators</w:t>
      </w:r>
      <w:r w:rsidR="00EA5028">
        <w:rPr>
          <w:bCs/>
          <w:szCs w:val="24"/>
        </w:rPr>
        <w:t xml:space="preserve"> needed</w:t>
      </w:r>
      <w:r w:rsidR="00EA5028" w:rsidRPr="000409A8">
        <w:rPr>
          <w:bCs/>
          <w:szCs w:val="24"/>
        </w:rPr>
        <w:t xml:space="preserve"> was calculated by</w:t>
      </w:r>
      <w:r w:rsidR="00EA5028">
        <w:rPr>
          <w:bCs/>
          <w:szCs w:val="24"/>
        </w:rPr>
        <w:t xml:space="preserve"> </w:t>
      </w:r>
      <w:r w:rsidR="00EA5028" w:rsidRPr="000409A8">
        <w:rPr>
          <w:bCs/>
          <w:szCs w:val="24"/>
        </w:rPr>
        <w:t>dividing the projected 2032 annual</w:t>
      </w:r>
      <w:r w:rsidR="00EA5028">
        <w:rPr>
          <w:bCs/>
          <w:szCs w:val="24"/>
        </w:rPr>
        <w:t xml:space="preserve"> </w:t>
      </w:r>
      <w:r w:rsidR="00EA5028" w:rsidRPr="000409A8">
        <w:rPr>
          <w:bCs/>
          <w:szCs w:val="24"/>
        </w:rPr>
        <w:t xml:space="preserve">demand for </w:t>
      </w:r>
      <w:r w:rsidR="00BA1A9A">
        <w:rPr>
          <w:bCs/>
          <w:szCs w:val="24"/>
        </w:rPr>
        <w:t>CT simulations</w:t>
      </w:r>
      <w:r w:rsidR="00EA5028">
        <w:rPr>
          <w:bCs/>
          <w:szCs w:val="24"/>
        </w:rPr>
        <w:t xml:space="preserve"> </w:t>
      </w:r>
      <w:r w:rsidR="00EA5028" w:rsidRPr="000409A8">
        <w:rPr>
          <w:bCs/>
          <w:szCs w:val="24"/>
        </w:rPr>
        <w:t xml:space="preserve">by </w:t>
      </w:r>
      <w:r w:rsidR="00EA5028">
        <w:rPr>
          <w:bCs/>
          <w:szCs w:val="24"/>
        </w:rPr>
        <w:t xml:space="preserve">each </w:t>
      </w:r>
      <w:r w:rsidR="00BA1A9A">
        <w:rPr>
          <w:bCs/>
          <w:szCs w:val="24"/>
        </w:rPr>
        <w:t>CT simulator</w:t>
      </w:r>
      <w:r w:rsidR="002340EA">
        <w:rPr>
          <w:bCs/>
          <w:szCs w:val="24"/>
        </w:rPr>
        <w:t>’</w:t>
      </w:r>
      <w:r w:rsidR="00BA1A9A">
        <w:rPr>
          <w:bCs/>
          <w:szCs w:val="24"/>
        </w:rPr>
        <w:t>s</w:t>
      </w:r>
      <w:r w:rsidR="00EA5028">
        <w:rPr>
          <w:bCs/>
          <w:szCs w:val="24"/>
        </w:rPr>
        <w:t xml:space="preserve"> throughput</w:t>
      </w:r>
      <w:r w:rsidR="00EA5028" w:rsidRPr="000409A8">
        <w:rPr>
          <w:bCs/>
          <w:szCs w:val="24"/>
        </w:rPr>
        <w:t xml:space="preserve">. </w:t>
      </w:r>
      <w:r w:rsidR="000A45F0">
        <w:rPr>
          <w:bCs/>
          <w:szCs w:val="24"/>
        </w:rPr>
        <w:t>Throughput, or annual session capacity of one CT simulator</w:t>
      </w:r>
      <w:r w:rsidR="00DA32B3">
        <w:rPr>
          <w:bCs/>
          <w:szCs w:val="24"/>
        </w:rPr>
        <w:t xml:space="preserve">, </w:t>
      </w:r>
      <w:r w:rsidR="000A45F0">
        <w:rPr>
          <w:bCs/>
          <w:szCs w:val="24"/>
        </w:rPr>
        <w:t>was estimated</w:t>
      </w:r>
      <w:r w:rsidR="00DA32B3">
        <w:rPr>
          <w:bCs/>
          <w:szCs w:val="24"/>
        </w:rPr>
        <w:t xml:space="preserve"> based on the Applicant’s historical </w:t>
      </w:r>
      <w:r w:rsidR="009F5498">
        <w:rPr>
          <w:bCs/>
          <w:szCs w:val="24"/>
        </w:rPr>
        <w:t>experience</w:t>
      </w:r>
      <w:r w:rsidR="00DA32B3">
        <w:rPr>
          <w:bCs/>
          <w:szCs w:val="24"/>
        </w:rPr>
        <w:t xml:space="preserve">, using the information shown in </w:t>
      </w:r>
      <w:r w:rsidR="00DA32B3" w:rsidRPr="000202A0">
        <w:rPr>
          <w:bCs/>
          <w:szCs w:val="24"/>
          <w:u w:val="single"/>
        </w:rPr>
        <w:t xml:space="preserve">Table </w:t>
      </w:r>
      <w:r w:rsidR="00150BAE">
        <w:rPr>
          <w:bCs/>
          <w:szCs w:val="24"/>
          <w:u w:val="single"/>
        </w:rPr>
        <w:t>1</w:t>
      </w:r>
      <w:r w:rsidR="009E6E7E">
        <w:rPr>
          <w:bCs/>
          <w:szCs w:val="24"/>
          <w:u w:val="single"/>
        </w:rPr>
        <w:t>9</w:t>
      </w:r>
      <w:r w:rsidR="00DA32B3">
        <w:rPr>
          <w:bCs/>
          <w:szCs w:val="24"/>
        </w:rPr>
        <w:t>.</w:t>
      </w:r>
    </w:p>
    <w:p w14:paraId="41FA9780" w14:textId="4592EEF4" w:rsidR="00E80FB8" w:rsidRDefault="00E80FB8" w:rsidP="00EA5028">
      <w:pPr>
        <w:jc w:val="both"/>
        <w:rPr>
          <w:bCs/>
          <w:szCs w:val="24"/>
        </w:rPr>
      </w:pPr>
    </w:p>
    <w:p w14:paraId="3784A293" w14:textId="54B74536" w:rsidR="00E80FB8" w:rsidRPr="000977E7" w:rsidRDefault="00E80FB8" w:rsidP="00E80FB8">
      <w:pPr>
        <w:jc w:val="center"/>
        <w:rPr>
          <w:b/>
          <w:szCs w:val="24"/>
        </w:rPr>
      </w:pPr>
      <w:r w:rsidRPr="000977E7">
        <w:rPr>
          <w:b/>
          <w:szCs w:val="24"/>
        </w:rPr>
        <w:t xml:space="preserve">Table </w:t>
      </w:r>
      <w:r w:rsidR="00150BAE">
        <w:rPr>
          <w:b/>
          <w:szCs w:val="24"/>
        </w:rPr>
        <w:t>1</w:t>
      </w:r>
      <w:r w:rsidR="00BA5968">
        <w:rPr>
          <w:b/>
          <w:szCs w:val="24"/>
        </w:rPr>
        <w:t>9</w:t>
      </w:r>
    </w:p>
    <w:p w14:paraId="765DA6C9" w14:textId="797200F1" w:rsidR="00E80FB8" w:rsidRPr="000977E7" w:rsidRDefault="00E80FB8" w:rsidP="00E80FB8">
      <w:pPr>
        <w:jc w:val="center"/>
        <w:rPr>
          <w:b/>
          <w:szCs w:val="24"/>
        </w:rPr>
      </w:pPr>
      <w:r>
        <w:rPr>
          <w:b/>
          <w:szCs w:val="24"/>
        </w:rPr>
        <w:t>CT Simulator</w:t>
      </w:r>
      <w:r w:rsidRPr="000977E7">
        <w:rPr>
          <w:b/>
          <w:szCs w:val="24"/>
        </w:rPr>
        <w:t xml:space="preserve"> Throughput Assumptions</w:t>
      </w:r>
    </w:p>
    <w:p w14:paraId="01D459F8" w14:textId="77777777" w:rsidR="00E80FB8" w:rsidRPr="000977E7" w:rsidRDefault="00E80FB8" w:rsidP="00E80FB8">
      <w:pPr>
        <w:jc w:val="center"/>
        <w:rPr>
          <w:b/>
          <w:szCs w:val="24"/>
          <w:u w:val="single"/>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80FB8" w14:paraId="731EB7FC" w14:textId="77777777" w:rsidTr="002502E2">
        <w:trPr>
          <w:cantSplit/>
          <w:tblHeader/>
        </w:trPr>
        <w:tc>
          <w:tcPr>
            <w:tcW w:w="1558" w:type="dxa"/>
          </w:tcPr>
          <w:p w14:paraId="4A8C36C4" w14:textId="77777777" w:rsidR="00E80FB8" w:rsidRPr="000977E7" w:rsidRDefault="00E80FB8" w:rsidP="001E121A">
            <w:pPr>
              <w:jc w:val="center"/>
              <w:rPr>
                <w:b/>
                <w:szCs w:val="24"/>
              </w:rPr>
            </w:pPr>
            <w:r w:rsidRPr="000977E7">
              <w:rPr>
                <w:b/>
                <w:szCs w:val="24"/>
              </w:rPr>
              <w:t>Equipment</w:t>
            </w:r>
          </w:p>
        </w:tc>
        <w:tc>
          <w:tcPr>
            <w:tcW w:w="1558" w:type="dxa"/>
          </w:tcPr>
          <w:p w14:paraId="001DD57A" w14:textId="77777777" w:rsidR="00E80FB8" w:rsidRPr="000977E7" w:rsidRDefault="00E80FB8" w:rsidP="001E121A">
            <w:pPr>
              <w:jc w:val="center"/>
              <w:rPr>
                <w:b/>
                <w:szCs w:val="24"/>
              </w:rPr>
            </w:pPr>
            <w:r w:rsidRPr="000977E7">
              <w:rPr>
                <w:b/>
                <w:szCs w:val="24"/>
              </w:rPr>
              <w:t>Days/Year</w:t>
            </w:r>
          </w:p>
        </w:tc>
        <w:tc>
          <w:tcPr>
            <w:tcW w:w="1558" w:type="dxa"/>
          </w:tcPr>
          <w:p w14:paraId="13934C64" w14:textId="77777777" w:rsidR="00E80FB8" w:rsidRPr="000977E7" w:rsidRDefault="00E80FB8" w:rsidP="001E121A">
            <w:pPr>
              <w:jc w:val="center"/>
              <w:rPr>
                <w:b/>
                <w:szCs w:val="24"/>
              </w:rPr>
            </w:pPr>
            <w:r w:rsidRPr="000977E7">
              <w:rPr>
                <w:b/>
                <w:szCs w:val="24"/>
              </w:rPr>
              <w:t>Hours/Day</w:t>
            </w:r>
          </w:p>
        </w:tc>
        <w:tc>
          <w:tcPr>
            <w:tcW w:w="1558" w:type="dxa"/>
          </w:tcPr>
          <w:p w14:paraId="14E64C1C" w14:textId="77777777" w:rsidR="00E80FB8" w:rsidRPr="000977E7" w:rsidRDefault="00E80FB8" w:rsidP="001E121A">
            <w:pPr>
              <w:jc w:val="center"/>
              <w:rPr>
                <w:b/>
                <w:szCs w:val="24"/>
              </w:rPr>
            </w:pPr>
            <w:r w:rsidRPr="000977E7">
              <w:rPr>
                <w:b/>
                <w:szCs w:val="24"/>
              </w:rPr>
              <w:t>Patient Time (</w:t>
            </w:r>
            <w:proofErr w:type="spellStart"/>
            <w:r w:rsidRPr="000977E7">
              <w:rPr>
                <w:b/>
                <w:szCs w:val="24"/>
              </w:rPr>
              <w:t>hr</w:t>
            </w:r>
            <w:proofErr w:type="spellEnd"/>
            <w:r w:rsidRPr="000977E7">
              <w:rPr>
                <w:b/>
                <w:szCs w:val="24"/>
              </w:rPr>
              <w:t>)</w:t>
            </w:r>
          </w:p>
        </w:tc>
        <w:tc>
          <w:tcPr>
            <w:tcW w:w="1559" w:type="dxa"/>
          </w:tcPr>
          <w:p w14:paraId="62027D5B" w14:textId="77777777" w:rsidR="00E80FB8" w:rsidRPr="000977E7" w:rsidRDefault="00E80FB8" w:rsidP="001E121A">
            <w:pPr>
              <w:jc w:val="center"/>
              <w:rPr>
                <w:b/>
                <w:szCs w:val="24"/>
              </w:rPr>
            </w:pPr>
            <w:r w:rsidRPr="000977E7">
              <w:rPr>
                <w:b/>
                <w:szCs w:val="24"/>
              </w:rPr>
              <w:t>Efficiency</w:t>
            </w:r>
          </w:p>
        </w:tc>
        <w:tc>
          <w:tcPr>
            <w:tcW w:w="1559" w:type="dxa"/>
          </w:tcPr>
          <w:p w14:paraId="148FFE62" w14:textId="77777777" w:rsidR="00E80FB8" w:rsidRPr="000977E7" w:rsidRDefault="00E80FB8" w:rsidP="001E121A">
            <w:pPr>
              <w:jc w:val="center"/>
              <w:rPr>
                <w:b/>
                <w:szCs w:val="24"/>
              </w:rPr>
            </w:pPr>
            <w:r w:rsidRPr="000977E7">
              <w:rPr>
                <w:b/>
                <w:szCs w:val="24"/>
              </w:rPr>
              <w:t>Throughput</w:t>
            </w:r>
          </w:p>
        </w:tc>
      </w:tr>
      <w:tr w:rsidR="00E80FB8" w14:paraId="27D7BE05" w14:textId="77777777" w:rsidTr="000935FC">
        <w:trPr>
          <w:cantSplit/>
        </w:trPr>
        <w:tc>
          <w:tcPr>
            <w:tcW w:w="1558" w:type="dxa"/>
          </w:tcPr>
          <w:p w14:paraId="7C853C33" w14:textId="7B8E24EF" w:rsidR="00E80FB8" w:rsidRDefault="00E80FB8" w:rsidP="001E121A">
            <w:pPr>
              <w:jc w:val="both"/>
              <w:rPr>
                <w:bCs/>
                <w:szCs w:val="24"/>
              </w:rPr>
            </w:pPr>
            <w:r>
              <w:rPr>
                <w:bCs/>
                <w:szCs w:val="24"/>
              </w:rPr>
              <w:t>CT Simulator</w:t>
            </w:r>
          </w:p>
        </w:tc>
        <w:tc>
          <w:tcPr>
            <w:tcW w:w="1558" w:type="dxa"/>
          </w:tcPr>
          <w:p w14:paraId="1E6361E5" w14:textId="7A8932F3" w:rsidR="00E80FB8" w:rsidRDefault="00DA32B3" w:rsidP="001E121A">
            <w:pPr>
              <w:jc w:val="center"/>
              <w:rPr>
                <w:bCs/>
                <w:szCs w:val="24"/>
              </w:rPr>
            </w:pPr>
            <w:r>
              <w:rPr>
                <w:bCs/>
                <w:szCs w:val="24"/>
              </w:rPr>
              <w:t>250</w:t>
            </w:r>
          </w:p>
        </w:tc>
        <w:tc>
          <w:tcPr>
            <w:tcW w:w="1558" w:type="dxa"/>
          </w:tcPr>
          <w:p w14:paraId="65AF6149" w14:textId="77777777" w:rsidR="00E80FB8" w:rsidRDefault="00E80FB8" w:rsidP="001E121A">
            <w:pPr>
              <w:jc w:val="center"/>
              <w:rPr>
                <w:bCs/>
                <w:szCs w:val="24"/>
              </w:rPr>
            </w:pPr>
            <w:r>
              <w:rPr>
                <w:bCs/>
                <w:szCs w:val="24"/>
              </w:rPr>
              <w:t>10</w:t>
            </w:r>
          </w:p>
        </w:tc>
        <w:tc>
          <w:tcPr>
            <w:tcW w:w="1558" w:type="dxa"/>
          </w:tcPr>
          <w:p w14:paraId="14341838" w14:textId="201E4972" w:rsidR="00E80FB8" w:rsidRDefault="00DA32B3" w:rsidP="001E121A">
            <w:pPr>
              <w:jc w:val="center"/>
              <w:rPr>
                <w:bCs/>
                <w:szCs w:val="24"/>
              </w:rPr>
            </w:pPr>
            <w:r>
              <w:rPr>
                <w:bCs/>
                <w:szCs w:val="24"/>
              </w:rPr>
              <w:t>1.0</w:t>
            </w:r>
          </w:p>
        </w:tc>
        <w:tc>
          <w:tcPr>
            <w:tcW w:w="1559" w:type="dxa"/>
          </w:tcPr>
          <w:p w14:paraId="2D91E8FF" w14:textId="77777777" w:rsidR="00E80FB8" w:rsidRDefault="00E80FB8" w:rsidP="001E121A">
            <w:pPr>
              <w:jc w:val="center"/>
              <w:rPr>
                <w:bCs/>
                <w:szCs w:val="24"/>
              </w:rPr>
            </w:pPr>
            <w:r>
              <w:rPr>
                <w:bCs/>
                <w:szCs w:val="24"/>
              </w:rPr>
              <w:t>85%</w:t>
            </w:r>
          </w:p>
        </w:tc>
        <w:tc>
          <w:tcPr>
            <w:tcW w:w="1559" w:type="dxa"/>
          </w:tcPr>
          <w:p w14:paraId="51A45182" w14:textId="6C875B2B" w:rsidR="00E80FB8" w:rsidRDefault="00DA32B3" w:rsidP="001E121A">
            <w:pPr>
              <w:jc w:val="center"/>
              <w:rPr>
                <w:bCs/>
                <w:szCs w:val="24"/>
              </w:rPr>
            </w:pPr>
            <w:r>
              <w:rPr>
                <w:bCs/>
                <w:szCs w:val="24"/>
              </w:rPr>
              <w:t>2,125</w:t>
            </w:r>
          </w:p>
        </w:tc>
      </w:tr>
    </w:tbl>
    <w:p w14:paraId="21620823" w14:textId="77777777" w:rsidR="000A45F0" w:rsidRDefault="000A45F0" w:rsidP="00EA5028">
      <w:pPr>
        <w:jc w:val="both"/>
        <w:rPr>
          <w:bCs/>
          <w:szCs w:val="24"/>
        </w:rPr>
      </w:pPr>
    </w:p>
    <w:p w14:paraId="3DB6CA89" w14:textId="0037040E" w:rsidR="00146022" w:rsidRDefault="00EA5028" w:rsidP="00250465">
      <w:pPr>
        <w:jc w:val="both"/>
        <w:rPr>
          <w:bCs/>
          <w:szCs w:val="24"/>
        </w:rPr>
      </w:pPr>
      <w:r w:rsidRPr="000409A8">
        <w:rPr>
          <w:bCs/>
          <w:szCs w:val="24"/>
        </w:rPr>
        <w:lastRenderedPageBreak/>
        <w:t>The projected 2032</w:t>
      </w:r>
      <w:r>
        <w:rPr>
          <w:bCs/>
          <w:szCs w:val="24"/>
        </w:rPr>
        <w:t xml:space="preserve"> </w:t>
      </w:r>
      <w:r w:rsidRPr="000409A8">
        <w:rPr>
          <w:bCs/>
          <w:szCs w:val="24"/>
        </w:rPr>
        <w:t>demand</w:t>
      </w:r>
      <w:r w:rsidR="00647776">
        <w:rPr>
          <w:bCs/>
          <w:szCs w:val="24"/>
        </w:rPr>
        <w:t xml:space="preserve"> started with the projected 2032 LINAC sessions described in </w:t>
      </w:r>
      <w:r w:rsidR="00647776">
        <w:rPr>
          <w:bCs/>
          <w:szCs w:val="24"/>
          <w:u w:val="single"/>
        </w:rPr>
        <w:t xml:space="preserve">Table </w:t>
      </w:r>
      <w:r w:rsidR="00150BAE">
        <w:rPr>
          <w:bCs/>
          <w:szCs w:val="24"/>
          <w:u w:val="single"/>
        </w:rPr>
        <w:t>1</w:t>
      </w:r>
      <w:r w:rsidR="009B6EF3">
        <w:rPr>
          <w:bCs/>
          <w:szCs w:val="24"/>
          <w:u w:val="single"/>
        </w:rPr>
        <w:t>8</w:t>
      </w:r>
      <w:r w:rsidR="00647776">
        <w:rPr>
          <w:bCs/>
          <w:szCs w:val="24"/>
        </w:rPr>
        <w:t xml:space="preserve"> above and, using historical data of the Applicant and BIDMC, estimated the </w:t>
      </w:r>
      <w:r w:rsidR="007A6738">
        <w:rPr>
          <w:bCs/>
          <w:szCs w:val="24"/>
        </w:rPr>
        <w:t xml:space="preserve">projected </w:t>
      </w:r>
      <w:r w:rsidR="00647776">
        <w:rPr>
          <w:bCs/>
          <w:szCs w:val="24"/>
        </w:rPr>
        <w:t xml:space="preserve">number of unique patients that </w:t>
      </w:r>
      <w:r w:rsidR="007A6738">
        <w:rPr>
          <w:bCs/>
          <w:szCs w:val="24"/>
        </w:rPr>
        <w:t xml:space="preserve">would </w:t>
      </w:r>
      <w:r w:rsidR="00647776">
        <w:rPr>
          <w:bCs/>
          <w:szCs w:val="24"/>
        </w:rPr>
        <w:t>undergo treatment with LINACs</w:t>
      </w:r>
      <w:r w:rsidR="007A6738">
        <w:rPr>
          <w:bCs/>
          <w:szCs w:val="24"/>
        </w:rPr>
        <w:t xml:space="preserve"> in 2032</w:t>
      </w:r>
      <w:r w:rsidR="00F1619A">
        <w:rPr>
          <w:bCs/>
          <w:szCs w:val="24"/>
        </w:rPr>
        <w:t xml:space="preserve"> at each </w:t>
      </w:r>
      <w:r w:rsidR="001C76A4">
        <w:rPr>
          <w:bCs/>
          <w:szCs w:val="24"/>
        </w:rPr>
        <w:t>of the Applicant and BIDMC</w:t>
      </w:r>
      <w:r w:rsidR="00066B26">
        <w:rPr>
          <w:bCs/>
          <w:szCs w:val="24"/>
        </w:rPr>
        <w:t xml:space="preserve">, as shown in </w:t>
      </w:r>
      <w:r w:rsidR="00066B26">
        <w:rPr>
          <w:bCs/>
          <w:szCs w:val="24"/>
          <w:u w:val="single"/>
        </w:rPr>
        <w:t xml:space="preserve">Table </w:t>
      </w:r>
      <w:r w:rsidR="009B6EF3">
        <w:rPr>
          <w:bCs/>
          <w:szCs w:val="24"/>
          <w:u w:val="single"/>
        </w:rPr>
        <w:t>20</w:t>
      </w:r>
      <w:r w:rsidR="00581EC0">
        <w:rPr>
          <w:bCs/>
          <w:szCs w:val="24"/>
        </w:rPr>
        <w:t xml:space="preserve"> below</w:t>
      </w:r>
      <w:r w:rsidR="00647776">
        <w:rPr>
          <w:bCs/>
          <w:szCs w:val="24"/>
        </w:rPr>
        <w:t xml:space="preserve">. </w:t>
      </w:r>
      <w:r w:rsidR="00F84982">
        <w:rPr>
          <w:bCs/>
          <w:szCs w:val="24"/>
        </w:rPr>
        <w:t xml:space="preserve">This calculation was derived by dividing the number of unique patients by total </w:t>
      </w:r>
      <w:r w:rsidR="00170C00">
        <w:rPr>
          <w:bCs/>
          <w:szCs w:val="24"/>
        </w:rPr>
        <w:t>LINAC</w:t>
      </w:r>
      <w:r w:rsidR="00F84982">
        <w:rPr>
          <w:bCs/>
          <w:szCs w:val="24"/>
        </w:rPr>
        <w:t xml:space="preserve"> therapy scans. </w:t>
      </w:r>
      <w:r w:rsidR="00647776">
        <w:rPr>
          <w:bCs/>
          <w:szCs w:val="24"/>
        </w:rPr>
        <w:t>Because CT</w:t>
      </w:r>
      <w:r w:rsidR="007A6738">
        <w:rPr>
          <w:bCs/>
          <w:szCs w:val="24"/>
        </w:rPr>
        <w:t xml:space="preserve"> simulators are used for diagnostic purposes for all patients undergoing treatment with LINACs, the Applicant assumed that each unique patient undergoing LINAC treatment also had one CT </w:t>
      </w:r>
      <w:r w:rsidR="00B33207">
        <w:rPr>
          <w:bCs/>
          <w:szCs w:val="24"/>
        </w:rPr>
        <w:t>simulator treatment</w:t>
      </w:r>
      <w:r w:rsidR="007A6738">
        <w:rPr>
          <w:bCs/>
          <w:szCs w:val="24"/>
        </w:rPr>
        <w:t xml:space="preserve"> prior to receiving LINAC treatment. </w:t>
      </w:r>
    </w:p>
    <w:p w14:paraId="5D4DCF94" w14:textId="77777777" w:rsidR="00716159" w:rsidRDefault="00716159" w:rsidP="00250465">
      <w:pPr>
        <w:jc w:val="both"/>
        <w:rPr>
          <w:bCs/>
          <w:szCs w:val="24"/>
        </w:rPr>
      </w:pPr>
    </w:p>
    <w:p w14:paraId="7A9EC65D" w14:textId="44B283DB" w:rsidR="00581EC0" w:rsidRDefault="00581EC0" w:rsidP="00581EC0">
      <w:pPr>
        <w:jc w:val="both"/>
        <w:rPr>
          <w:bCs/>
          <w:szCs w:val="24"/>
        </w:rPr>
      </w:pPr>
      <w:r>
        <w:rPr>
          <w:bCs/>
          <w:szCs w:val="24"/>
        </w:rPr>
        <w:t>T</w:t>
      </w:r>
      <w:r w:rsidRPr="00550109">
        <w:rPr>
          <w:bCs/>
          <w:szCs w:val="24"/>
        </w:rPr>
        <w:t>he ratio was applied to estimate total CT</w:t>
      </w:r>
      <w:r>
        <w:rPr>
          <w:bCs/>
          <w:szCs w:val="24"/>
        </w:rPr>
        <w:t xml:space="preserve"> simulation</w:t>
      </w:r>
      <w:r w:rsidRPr="00550109">
        <w:rPr>
          <w:bCs/>
          <w:szCs w:val="24"/>
        </w:rPr>
        <w:t xml:space="preserve"> scans based on the premise that each unique patient represents a “new</w:t>
      </w:r>
      <w:r w:rsidR="00A26087">
        <w:rPr>
          <w:bCs/>
          <w:szCs w:val="24"/>
        </w:rPr>
        <w:t xml:space="preserve"> </w:t>
      </w:r>
      <w:r w:rsidRPr="00550109">
        <w:rPr>
          <w:bCs/>
          <w:szCs w:val="24"/>
        </w:rPr>
        <w:t>start” and would require a CT</w:t>
      </w:r>
      <w:r>
        <w:rPr>
          <w:bCs/>
          <w:szCs w:val="24"/>
        </w:rPr>
        <w:t xml:space="preserve"> simulation</w:t>
      </w:r>
      <w:r w:rsidRPr="00550109">
        <w:rPr>
          <w:bCs/>
          <w:szCs w:val="24"/>
        </w:rPr>
        <w:t xml:space="preserve"> appointment</w:t>
      </w:r>
      <w:r>
        <w:rPr>
          <w:bCs/>
          <w:szCs w:val="24"/>
        </w:rPr>
        <w:t>, resulting in the e</w:t>
      </w:r>
      <w:r w:rsidRPr="00550109">
        <w:rPr>
          <w:bCs/>
          <w:szCs w:val="24"/>
        </w:rPr>
        <w:t>stimated number of CT</w:t>
      </w:r>
      <w:r>
        <w:rPr>
          <w:bCs/>
          <w:szCs w:val="24"/>
        </w:rPr>
        <w:t xml:space="preserve"> simulation</w:t>
      </w:r>
      <w:r w:rsidRPr="00550109">
        <w:rPr>
          <w:bCs/>
          <w:szCs w:val="24"/>
        </w:rPr>
        <w:t xml:space="preserve"> scans. </w:t>
      </w:r>
    </w:p>
    <w:p w14:paraId="415E9F64" w14:textId="77777777" w:rsidR="000E27B2" w:rsidRDefault="000E27B2" w:rsidP="003966FD">
      <w:pPr>
        <w:spacing w:line="259" w:lineRule="auto"/>
        <w:rPr>
          <w:b/>
          <w:szCs w:val="24"/>
        </w:rPr>
      </w:pPr>
    </w:p>
    <w:p w14:paraId="0598872B" w14:textId="01D5BB48" w:rsidR="00914FEE" w:rsidRPr="00914FEE" w:rsidRDefault="000A45F0" w:rsidP="00EA0C59">
      <w:pPr>
        <w:spacing w:line="259" w:lineRule="auto"/>
        <w:jc w:val="center"/>
        <w:rPr>
          <w:b/>
          <w:szCs w:val="24"/>
        </w:rPr>
      </w:pPr>
      <w:r w:rsidRPr="00914FEE">
        <w:rPr>
          <w:b/>
          <w:szCs w:val="24"/>
        </w:rPr>
        <w:t>Table</w:t>
      </w:r>
      <w:r w:rsidR="00914FEE" w:rsidRPr="00914FEE">
        <w:rPr>
          <w:b/>
          <w:szCs w:val="24"/>
        </w:rPr>
        <w:t xml:space="preserve"> </w:t>
      </w:r>
      <w:r w:rsidR="00BA5968">
        <w:rPr>
          <w:b/>
          <w:szCs w:val="24"/>
        </w:rPr>
        <w:t>20</w:t>
      </w:r>
    </w:p>
    <w:p w14:paraId="541BADD1" w14:textId="0F3DB057" w:rsidR="000A45F0" w:rsidRPr="00581EC0" w:rsidRDefault="000D77BB" w:rsidP="00EA0C59">
      <w:pPr>
        <w:jc w:val="center"/>
        <w:rPr>
          <w:b/>
          <w:szCs w:val="24"/>
        </w:rPr>
      </w:pPr>
      <w:r>
        <w:rPr>
          <w:b/>
          <w:szCs w:val="24"/>
        </w:rPr>
        <w:t>Total</w:t>
      </w:r>
      <w:r w:rsidR="00914FEE" w:rsidRPr="00914FEE">
        <w:rPr>
          <w:b/>
          <w:szCs w:val="24"/>
        </w:rPr>
        <w:t xml:space="preserve"> CT Sim</w:t>
      </w:r>
      <w:r w:rsidR="00066B26">
        <w:rPr>
          <w:b/>
          <w:szCs w:val="24"/>
        </w:rPr>
        <w:t>ulator</w:t>
      </w:r>
      <w:r w:rsidR="00914FEE" w:rsidRPr="00914FEE">
        <w:rPr>
          <w:b/>
          <w:szCs w:val="24"/>
        </w:rPr>
        <w:t xml:space="preserve"> </w:t>
      </w:r>
      <w:r>
        <w:rPr>
          <w:b/>
          <w:szCs w:val="24"/>
        </w:rPr>
        <w:t>Appointments</w:t>
      </w:r>
      <w:r w:rsidR="00FC1CF7">
        <w:rPr>
          <w:b/>
          <w:szCs w:val="24"/>
        </w:rPr>
        <w:t xml:space="preserve"> per Unique Patient</w:t>
      </w:r>
      <w:r w:rsidR="00914FEE" w:rsidRPr="00914FEE">
        <w:rPr>
          <w:b/>
          <w:szCs w:val="24"/>
        </w:rPr>
        <w:t xml:space="preserve"> </w:t>
      </w:r>
      <w:r w:rsidR="00A068C2">
        <w:rPr>
          <w:b/>
          <w:szCs w:val="24"/>
        </w:rPr>
        <w:t>(</w:t>
      </w:r>
      <w:r w:rsidR="00EA0C59">
        <w:rPr>
          <w:b/>
          <w:szCs w:val="24"/>
        </w:rPr>
        <w:t>Applicant</w:t>
      </w:r>
      <w:r w:rsidR="00A26087">
        <w:rPr>
          <w:b/>
          <w:szCs w:val="24"/>
        </w:rPr>
        <w:t xml:space="preserve"> &amp; </w:t>
      </w:r>
      <w:r w:rsidR="001C76A4">
        <w:rPr>
          <w:b/>
          <w:szCs w:val="24"/>
        </w:rPr>
        <w:t>BIDMC</w:t>
      </w:r>
      <w:r w:rsidR="00A26087">
        <w:rPr>
          <w:b/>
          <w:szCs w:val="24"/>
        </w:rPr>
        <w:t xml:space="preserve"> Combined</w:t>
      </w:r>
      <w:r w:rsidR="00A068C2">
        <w:rPr>
          <w:b/>
          <w:szCs w:val="24"/>
        </w:rPr>
        <w:t>)</w:t>
      </w:r>
    </w:p>
    <w:p w14:paraId="1FF7C0DA" w14:textId="77777777" w:rsidR="00914FEE" w:rsidRPr="00A068C2" w:rsidRDefault="00914FEE" w:rsidP="00A068C2">
      <w:pPr>
        <w:jc w:val="center"/>
        <w:rPr>
          <w:b/>
          <w:bCs/>
          <w:szCs w:val="24"/>
        </w:rPr>
      </w:pPr>
    </w:p>
    <w:tbl>
      <w:tblPr>
        <w:tblStyle w:val="TableGrid"/>
        <w:tblW w:w="5100" w:type="pct"/>
        <w:jc w:val="center"/>
        <w:tblLook w:val="04A0" w:firstRow="1" w:lastRow="0" w:firstColumn="1" w:lastColumn="0" w:noHBand="0" w:noVBand="1"/>
      </w:tblPr>
      <w:tblGrid>
        <w:gridCol w:w="5755"/>
        <w:gridCol w:w="3782"/>
      </w:tblGrid>
      <w:tr w:rsidR="00A068C2" w:rsidRPr="00A068C2" w14:paraId="6565B195" w14:textId="77777777" w:rsidTr="002502E2">
        <w:trPr>
          <w:cantSplit/>
          <w:trHeight w:val="303"/>
          <w:tblHeader/>
          <w:jc w:val="center"/>
        </w:trPr>
        <w:tc>
          <w:tcPr>
            <w:tcW w:w="5755" w:type="dxa"/>
            <w:noWrap/>
          </w:tcPr>
          <w:p w14:paraId="1AD1B655" w14:textId="6F13CFBE" w:rsidR="00A068C2" w:rsidRPr="00A068C2" w:rsidRDefault="00A068C2" w:rsidP="00A068C2">
            <w:pPr>
              <w:jc w:val="center"/>
              <w:rPr>
                <w:rFonts w:eastAsia="Times New Roman"/>
                <w:b/>
                <w:bCs/>
                <w:color w:val="000000"/>
              </w:rPr>
            </w:pPr>
            <w:r w:rsidRPr="00A068C2">
              <w:rPr>
                <w:rFonts w:eastAsia="Times New Roman"/>
                <w:b/>
                <w:bCs/>
                <w:color w:val="000000"/>
              </w:rPr>
              <w:t>Metric</w:t>
            </w:r>
          </w:p>
        </w:tc>
        <w:tc>
          <w:tcPr>
            <w:tcW w:w="3782" w:type="dxa"/>
            <w:noWrap/>
          </w:tcPr>
          <w:p w14:paraId="7A4C8A61" w14:textId="78CC79E8" w:rsidR="00A068C2" w:rsidRPr="00A068C2" w:rsidRDefault="00A068C2" w:rsidP="00A068C2">
            <w:pPr>
              <w:jc w:val="center"/>
              <w:rPr>
                <w:rFonts w:eastAsia="Times New Roman"/>
                <w:b/>
                <w:bCs/>
                <w:color w:val="000000"/>
              </w:rPr>
            </w:pPr>
            <w:r w:rsidRPr="00A068C2">
              <w:rPr>
                <w:rFonts w:eastAsia="Times New Roman"/>
                <w:b/>
                <w:bCs/>
                <w:color w:val="000000"/>
              </w:rPr>
              <w:t>20</w:t>
            </w:r>
            <w:r>
              <w:rPr>
                <w:rFonts w:eastAsia="Times New Roman"/>
                <w:b/>
                <w:bCs/>
                <w:color w:val="000000"/>
              </w:rPr>
              <w:t>32</w:t>
            </w:r>
          </w:p>
        </w:tc>
      </w:tr>
      <w:tr w:rsidR="00225020" w:rsidRPr="00614A36" w14:paraId="6F92849A" w14:textId="77777777" w:rsidTr="002502E2">
        <w:trPr>
          <w:cantSplit/>
          <w:trHeight w:val="303"/>
          <w:jc w:val="center"/>
        </w:trPr>
        <w:tc>
          <w:tcPr>
            <w:tcW w:w="5755" w:type="dxa"/>
            <w:noWrap/>
          </w:tcPr>
          <w:p w14:paraId="44619735" w14:textId="7BC0DCDD" w:rsidR="00225020" w:rsidRPr="00914FEE" w:rsidRDefault="00225020" w:rsidP="00225020">
            <w:pPr>
              <w:rPr>
                <w:rFonts w:eastAsia="Times New Roman"/>
                <w:color w:val="000000"/>
              </w:rPr>
            </w:pPr>
            <w:r>
              <w:rPr>
                <w:rFonts w:eastAsia="Times New Roman"/>
                <w:color w:val="000000"/>
              </w:rPr>
              <w:t xml:space="preserve">Unadjusted LINAC Sessions </w:t>
            </w:r>
          </w:p>
        </w:tc>
        <w:tc>
          <w:tcPr>
            <w:tcW w:w="3782" w:type="dxa"/>
            <w:noWrap/>
            <w:vAlign w:val="bottom"/>
          </w:tcPr>
          <w:p w14:paraId="6EF2B18E" w14:textId="78450B7D" w:rsidR="00225020" w:rsidRPr="00914FEE" w:rsidRDefault="0033151A" w:rsidP="00225020">
            <w:pPr>
              <w:jc w:val="center"/>
              <w:rPr>
                <w:rFonts w:eastAsia="Times New Roman"/>
                <w:color w:val="000000"/>
              </w:rPr>
            </w:pPr>
            <w:r>
              <w:rPr>
                <w:rFonts w:eastAsia="Times New Roman"/>
                <w:color w:val="000000" w:themeColor="text1"/>
              </w:rPr>
              <w:t>65,536</w:t>
            </w:r>
          </w:p>
        </w:tc>
      </w:tr>
      <w:tr w:rsidR="00256C4A" w:rsidRPr="00614A36" w14:paraId="3F330E4D" w14:textId="77777777" w:rsidTr="002502E2">
        <w:trPr>
          <w:cantSplit/>
          <w:trHeight w:val="303"/>
          <w:jc w:val="center"/>
        </w:trPr>
        <w:tc>
          <w:tcPr>
            <w:tcW w:w="5755" w:type="dxa"/>
            <w:noWrap/>
          </w:tcPr>
          <w:p w14:paraId="2B374CDD" w14:textId="0CCDB796" w:rsidR="00256C4A" w:rsidRDefault="000D77BB" w:rsidP="00256C4A">
            <w:pPr>
              <w:rPr>
                <w:rFonts w:eastAsia="Times New Roman"/>
                <w:color w:val="000000"/>
              </w:rPr>
            </w:pPr>
            <w:r>
              <w:rPr>
                <w:rFonts w:eastAsia="Times New Roman"/>
                <w:color w:val="000000"/>
              </w:rPr>
              <w:t xml:space="preserve">Weighted Average </w:t>
            </w:r>
            <w:r w:rsidR="00256C4A">
              <w:rPr>
                <w:rFonts w:eastAsia="Times New Roman"/>
                <w:color w:val="000000"/>
              </w:rPr>
              <w:t xml:space="preserve">Treatments/Unique Patient </w:t>
            </w:r>
          </w:p>
        </w:tc>
        <w:tc>
          <w:tcPr>
            <w:tcW w:w="3782" w:type="dxa"/>
            <w:noWrap/>
          </w:tcPr>
          <w:p w14:paraId="038C7A0E" w14:textId="5D7CCB81" w:rsidR="00256C4A" w:rsidRDefault="00915B3A" w:rsidP="00256C4A">
            <w:pPr>
              <w:jc w:val="center"/>
              <w:rPr>
                <w:rFonts w:eastAsia="Times New Roman"/>
                <w:color w:val="000000"/>
              </w:rPr>
            </w:pPr>
            <w:r>
              <w:rPr>
                <w:rFonts w:eastAsia="Times New Roman"/>
                <w:color w:val="000000"/>
              </w:rPr>
              <w:t>11.</w:t>
            </w:r>
            <w:r w:rsidR="00410490">
              <w:rPr>
                <w:rFonts w:eastAsia="Times New Roman"/>
                <w:color w:val="000000"/>
              </w:rPr>
              <w:t>0</w:t>
            </w:r>
          </w:p>
        </w:tc>
      </w:tr>
      <w:tr w:rsidR="000D77BB" w:rsidRPr="00614A36" w14:paraId="70F791D3" w14:textId="77777777" w:rsidTr="002502E2">
        <w:trPr>
          <w:cantSplit/>
          <w:trHeight w:val="303"/>
          <w:jc w:val="center"/>
        </w:trPr>
        <w:tc>
          <w:tcPr>
            <w:tcW w:w="5755" w:type="dxa"/>
            <w:noWrap/>
          </w:tcPr>
          <w:p w14:paraId="3CF468A5" w14:textId="761A5C76" w:rsidR="000D77BB" w:rsidRPr="000D77BB" w:rsidRDefault="000D77BB" w:rsidP="00614A36">
            <w:pPr>
              <w:rPr>
                <w:rFonts w:eastAsia="Times New Roman"/>
                <w:b/>
                <w:bCs/>
                <w:color w:val="000000"/>
              </w:rPr>
            </w:pPr>
            <w:r>
              <w:rPr>
                <w:rFonts w:eastAsia="Times New Roman"/>
                <w:b/>
                <w:bCs/>
                <w:color w:val="000000"/>
              </w:rPr>
              <w:t xml:space="preserve">Total Projected CT Simulator Treatments  </w:t>
            </w:r>
          </w:p>
        </w:tc>
        <w:tc>
          <w:tcPr>
            <w:tcW w:w="3782" w:type="dxa"/>
            <w:noWrap/>
            <w:vAlign w:val="center"/>
          </w:tcPr>
          <w:p w14:paraId="075F6021" w14:textId="4FF7FC06" w:rsidR="000D77BB" w:rsidRPr="00B82EF2" w:rsidRDefault="00B82EF2" w:rsidP="00713ACB">
            <w:pPr>
              <w:jc w:val="center"/>
              <w:rPr>
                <w:rFonts w:eastAsia="Times New Roman"/>
                <w:b/>
                <w:bCs/>
                <w:color w:val="000000"/>
              </w:rPr>
            </w:pPr>
            <w:r w:rsidRPr="00B82EF2">
              <w:rPr>
                <w:rFonts w:eastAsia="Times New Roman"/>
                <w:b/>
                <w:bCs/>
                <w:color w:val="000000"/>
              </w:rPr>
              <w:t>5,</w:t>
            </w:r>
            <w:r w:rsidR="00410490">
              <w:rPr>
                <w:rFonts w:eastAsia="Times New Roman"/>
                <w:b/>
                <w:bCs/>
                <w:color w:val="000000"/>
              </w:rPr>
              <w:t>9</w:t>
            </w:r>
            <w:r w:rsidR="0033151A">
              <w:rPr>
                <w:rFonts w:eastAsia="Times New Roman"/>
                <w:b/>
                <w:bCs/>
                <w:color w:val="000000"/>
              </w:rPr>
              <w:t>58</w:t>
            </w:r>
          </w:p>
        </w:tc>
      </w:tr>
    </w:tbl>
    <w:p w14:paraId="14FBC7BF" w14:textId="77777777" w:rsidR="000A0E3B" w:rsidRDefault="000A0E3B" w:rsidP="00EF540A">
      <w:pPr>
        <w:jc w:val="center"/>
        <w:rPr>
          <w:b/>
          <w:bCs/>
          <w:szCs w:val="24"/>
        </w:rPr>
      </w:pPr>
    </w:p>
    <w:p w14:paraId="70F3A269" w14:textId="3009154E" w:rsidR="00EF540A" w:rsidRDefault="00EF540A" w:rsidP="00EF540A">
      <w:pPr>
        <w:jc w:val="center"/>
        <w:rPr>
          <w:b/>
          <w:bCs/>
          <w:szCs w:val="24"/>
        </w:rPr>
      </w:pPr>
      <w:r>
        <w:rPr>
          <w:b/>
          <w:bCs/>
          <w:szCs w:val="24"/>
        </w:rPr>
        <w:t xml:space="preserve">Table </w:t>
      </w:r>
      <w:r w:rsidR="00150BAE">
        <w:rPr>
          <w:b/>
          <w:bCs/>
          <w:szCs w:val="24"/>
        </w:rPr>
        <w:t>2</w:t>
      </w:r>
      <w:r w:rsidR="00BA5968">
        <w:rPr>
          <w:b/>
          <w:bCs/>
          <w:szCs w:val="24"/>
        </w:rPr>
        <w:t>1</w:t>
      </w:r>
    </w:p>
    <w:p w14:paraId="7436AF65" w14:textId="4DAA8590" w:rsidR="00EF540A" w:rsidRDefault="00EF540A" w:rsidP="00EF540A">
      <w:pPr>
        <w:jc w:val="center"/>
        <w:rPr>
          <w:bCs/>
          <w:szCs w:val="24"/>
        </w:rPr>
      </w:pPr>
      <w:r>
        <w:rPr>
          <w:b/>
          <w:bCs/>
          <w:szCs w:val="24"/>
        </w:rPr>
        <w:t>Projected Demand for CT Simulator (w/ Proposed Project)</w:t>
      </w:r>
    </w:p>
    <w:p w14:paraId="59C5274A" w14:textId="77777777" w:rsidR="00742449" w:rsidRDefault="00742449" w:rsidP="00E21510">
      <w:pPr>
        <w:jc w:val="both"/>
        <w:rPr>
          <w:bCs/>
          <w:szCs w:val="24"/>
        </w:rPr>
      </w:pPr>
    </w:p>
    <w:tbl>
      <w:tblPr>
        <w:tblStyle w:val="TableGrid"/>
        <w:tblW w:w="5051" w:type="pct"/>
        <w:jc w:val="center"/>
        <w:tblLook w:val="04A0" w:firstRow="1" w:lastRow="0" w:firstColumn="1" w:lastColumn="0" w:noHBand="0" w:noVBand="1"/>
      </w:tblPr>
      <w:tblGrid>
        <w:gridCol w:w="5665"/>
        <w:gridCol w:w="3780"/>
      </w:tblGrid>
      <w:tr w:rsidR="00742449" w14:paraId="68B3DEFC" w14:textId="77777777" w:rsidTr="0047503F">
        <w:trPr>
          <w:cantSplit/>
          <w:tblHeader/>
          <w:jc w:val="center"/>
        </w:trPr>
        <w:tc>
          <w:tcPr>
            <w:tcW w:w="2999" w:type="pct"/>
          </w:tcPr>
          <w:p w14:paraId="002C169C" w14:textId="77777777" w:rsidR="00742449" w:rsidRDefault="00742449" w:rsidP="00431236">
            <w:pPr>
              <w:jc w:val="center"/>
              <w:rPr>
                <w:b/>
                <w:bCs/>
                <w:szCs w:val="24"/>
              </w:rPr>
            </w:pPr>
            <w:r>
              <w:rPr>
                <w:b/>
                <w:bCs/>
                <w:szCs w:val="24"/>
              </w:rPr>
              <w:t>Metric</w:t>
            </w:r>
          </w:p>
        </w:tc>
        <w:tc>
          <w:tcPr>
            <w:tcW w:w="2001" w:type="pct"/>
          </w:tcPr>
          <w:p w14:paraId="366C02CA" w14:textId="77777777" w:rsidR="00742449" w:rsidRDefault="00742449" w:rsidP="00431236">
            <w:pPr>
              <w:jc w:val="center"/>
              <w:rPr>
                <w:b/>
                <w:bCs/>
                <w:szCs w:val="24"/>
              </w:rPr>
            </w:pPr>
            <w:r>
              <w:rPr>
                <w:b/>
                <w:bCs/>
                <w:szCs w:val="24"/>
              </w:rPr>
              <w:t>2032</w:t>
            </w:r>
          </w:p>
        </w:tc>
      </w:tr>
      <w:tr w:rsidR="00742449" w14:paraId="10D09709" w14:textId="77777777" w:rsidTr="0047503F">
        <w:trPr>
          <w:cantSplit/>
          <w:jc w:val="center"/>
        </w:trPr>
        <w:tc>
          <w:tcPr>
            <w:tcW w:w="2999" w:type="pct"/>
          </w:tcPr>
          <w:p w14:paraId="577E50CC" w14:textId="6E9FC8D6" w:rsidR="00742449" w:rsidRPr="00465DBD" w:rsidRDefault="00EA5028" w:rsidP="00431236">
            <w:pPr>
              <w:rPr>
                <w:szCs w:val="24"/>
              </w:rPr>
            </w:pPr>
            <w:r>
              <w:rPr>
                <w:szCs w:val="24"/>
              </w:rPr>
              <w:t>Projected 2032 CT</w:t>
            </w:r>
            <w:r w:rsidR="000D77BB">
              <w:rPr>
                <w:szCs w:val="24"/>
              </w:rPr>
              <w:t xml:space="preserve"> Simulator</w:t>
            </w:r>
            <w:r>
              <w:rPr>
                <w:szCs w:val="24"/>
              </w:rPr>
              <w:t xml:space="preserve"> </w:t>
            </w:r>
            <w:r w:rsidR="000D77BB">
              <w:rPr>
                <w:szCs w:val="24"/>
              </w:rPr>
              <w:t>Treatments</w:t>
            </w:r>
          </w:p>
        </w:tc>
        <w:tc>
          <w:tcPr>
            <w:tcW w:w="2001" w:type="pct"/>
          </w:tcPr>
          <w:p w14:paraId="23EE877D" w14:textId="3FDA98B1" w:rsidR="00742449" w:rsidRPr="00B82EF2" w:rsidRDefault="00B82EF2" w:rsidP="00E602D9">
            <w:pPr>
              <w:jc w:val="center"/>
              <w:rPr>
                <w:szCs w:val="24"/>
              </w:rPr>
            </w:pPr>
            <w:r w:rsidRPr="00B82EF2">
              <w:rPr>
                <w:rFonts w:eastAsia="Times New Roman"/>
                <w:color w:val="000000"/>
              </w:rPr>
              <w:t>5,</w:t>
            </w:r>
            <w:r w:rsidR="00410490">
              <w:rPr>
                <w:rFonts w:eastAsia="Times New Roman"/>
                <w:color w:val="000000"/>
              </w:rPr>
              <w:t>9</w:t>
            </w:r>
            <w:r w:rsidR="0033151A">
              <w:rPr>
                <w:rFonts w:eastAsia="Times New Roman"/>
                <w:color w:val="000000"/>
              </w:rPr>
              <w:t>58</w:t>
            </w:r>
          </w:p>
        </w:tc>
      </w:tr>
      <w:tr w:rsidR="00742449" w14:paraId="2687D3E9" w14:textId="77777777" w:rsidTr="0047503F">
        <w:trPr>
          <w:cantSplit/>
          <w:jc w:val="center"/>
        </w:trPr>
        <w:tc>
          <w:tcPr>
            <w:tcW w:w="2999" w:type="pct"/>
            <w:tcBorders>
              <w:bottom w:val="single" w:sz="4" w:space="0" w:color="auto"/>
            </w:tcBorders>
          </w:tcPr>
          <w:p w14:paraId="2D3EF8D5" w14:textId="0A31DAE3" w:rsidR="00742449" w:rsidRPr="0049156B" w:rsidRDefault="00E602D9" w:rsidP="00431236">
            <w:pPr>
              <w:rPr>
                <w:szCs w:val="24"/>
              </w:rPr>
            </w:pPr>
            <w:r>
              <w:rPr>
                <w:szCs w:val="24"/>
              </w:rPr>
              <w:t>Throughput</w:t>
            </w:r>
          </w:p>
        </w:tc>
        <w:tc>
          <w:tcPr>
            <w:tcW w:w="2001" w:type="pct"/>
            <w:tcBorders>
              <w:bottom w:val="single" w:sz="4" w:space="0" w:color="auto"/>
            </w:tcBorders>
          </w:tcPr>
          <w:p w14:paraId="63DCBE92" w14:textId="48C13D93" w:rsidR="00742449" w:rsidRPr="0049156B" w:rsidRDefault="0062328E" w:rsidP="00E602D9">
            <w:pPr>
              <w:jc w:val="center"/>
              <w:rPr>
                <w:szCs w:val="24"/>
              </w:rPr>
            </w:pPr>
            <w:r>
              <w:rPr>
                <w:szCs w:val="24"/>
              </w:rPr>
              <w:t>2,125</w:t>
            </w:r>
            <w:r w:rsidR="00E602D9" w:rsidRPr="00E602D9">
              <w:rPr>
                <w:szCs w:val="24"/>
              </w:rPr>
              <w:t xml:space="preserve"> </w:t>
            </w:r>
          </w:p>
        </w:tc>
      </w:tr>
      <w:tr w:rsidR="00742449" w14:paraId="70AE5B7F" w14:textId="77777777" w:rsidTr="0047503F">
        <w:trPr>
          <w:cantSplit/>
          <w:jc w:val="center"/>
        </w:trPr>
        <w:tc>
          <w:tcPr>
            <w:tcW w:w="2999" w:type="pct"/>
            <w:tcBorders>
              <w:bottom w:val="single" w:sz="4" w:space="0" w:color="auto"/>
            </w:tcBorders>
            <w:vAlign w:val="center"/>
          </w:tcPr>
          <w:p w14:paraId="43D96890" w14:textId="55C8AB6F" w:rsidR="00742449" w:rsidRPr="00F84982" w:rsidRDefault="00E602D9" w:rsidP="00431236">
            <w:pPr>
              <w:rPr>
                <w:b/>
                <w:bCs/>
                <w:szCs w:val="24"/>
              </w:rPr>
            </w:pPr>
            <w:r w:rsidRPr="00F84982">
              <w:rPr>
                <w:b/>
                <w:bCs/>
                <w:szCs w:val="24"/>
              </w:rPr>
              <w:t>Total CT Simulator Need</w:t>
            </w:r>
          </w:p>
        </w:tc>
        <w:tc>
          <w:tcPr>
            <w:tcW w:w="2001" w:type="pct"/>
            <w:tcBorders>
              <w:bottom w:val="single" w:sz="4" w:space="0" w:color="auto"/>
            </w:tcBorders>
            <w:vAlign w:val="center"/>
          </w:tcPr>
          <w:p w14:paraId="068D2AC4" w14:textId="7AC8FF83" w:rsidR="00742449" w:rsidRPr="00F84982" w:rsidRDefault="00AE3D20" w:rsidP="00431236">
            <w:pPr>
              <w:jc w:val="center"/>
              <w:rPr>
                <w:b/>
                <w:bCs/>
                <w:szCs w:val="24"/>
              </w:rPr>
            </w:pPr>
            <w:r>
              <w:rPr>
                <w:b/>
                <w:bCs/>
                <w:szCs w:val="24"/>
              </w:rPr>
              <w:t>3</w:t>
            </w:r>
          </w:p>
        </w:tc>
      </w:tr>
    </w:tbl>
    <w:p w14:paraId="024ECE16" w14:textId="77777777" w:rsidR="007776F1" w:rsidRDefault="007776F1" w:rsidP="00EA5028">
      <w:pPr>
        <w:jc w:val="both"/>
        <w:rPr>
          <w:bCs/>
          <w:szCs w:val="24"/>
        </w:rPr>
      </w:pPr>
    </w:p>
    <w:p w14:paraId="6E20E952" w14:textId="64E29DA7" w:rsidR="00CC06EC" w:rsidRPr="0062328E" w:rsidRDefault="0015709A" w:rsidP="0093346E">
      <w:pPr>
        <w:jc w:val="both"/>
        <w:rPr>
          <w:bCs/>
          <w:szCs w:val="24"/>
        </w:rPr>
        <w:sectPr w:rsidR="00CC06EC" w:rsidRPr="0062328E">
          <w:pgSz w:w="12240" w:h="15840"/>
          <w:pgMar w:top="1440" w:right="1440" w:bottom="1440" w:left="1440" w:header="720" w:footer="720" w:gutter="0"/>
          <w:cols w:space="720"/>
          <w:docGrid w:linePitch="360"/>
        </w:sectPr>
      </w:pPr>
      <w:r w:rsidRPr="00581EC0">
        <w:rPr>
          <w:bCs/>
          <w:szCs w:val="24"/>
        </w:rPr>
        <w:t xml:space="preserve">CT </w:t>
      </w:r>
      <w:r w:rsidR="0035051E">
        <w:rPr>
          <w:bCs/>
          <w:szCs w:val="24"/>
        </w:rPr>
        <w:t>s</w:t>
      </w:r>
      <w:r w:rsidRPr="00581EC0">
        <w:rPr>
          <w:bCs/>
          <w:szCs w:val="24"/>
        </w:rPr>
        <w:t>imulator need was determined using throughput assumptions</w:t>
      </w:r>
      <w:r>
        <w:rPr>
          <w:bCs/>
          <w:szCs w:val="24"/>
        </w:rPr>
        <w:t xml:space="preserve"> outlined above in </w:t>
      </w:r>
      <w:r>
        <w:rPr>
          <w:bCs/>
          <w:szCs w:val="24"/>
          <w:u w:val="single"/>
        </w:rPr>
        <w:t xml:space="preserve">Table </w:t>
      </w:r>
      <w:r w:rsidR="00FB7A4C">
        <w:rPr>
          <w:bCs/>
          <w:szCs w:val="24"/>
          <w:u w:val="single"/>
        </w:rPr>
        <w:t>2</w:t>
      </w:r>
      <w:r w:rsidR="009B6EF3">
        <w:rPr>
          <w:bCs/>
          <w:szCs w:val="24"/>
          <w:u w:val="single"/>
        </w:rPr>
        <w:t>1</w:t>
      </w:r>
      <w:r>
        <w:rPr>
          <w:bCs/>
          <w:szCs w:val="24"/>
        </w:rPr>
        <w:t xml:space="preserve">. </w:t>
      </w:r>
      <w:r w:rsidR="0062328E">
        <w:rPr>
          <w:bCs/>
          <w:szCs w:val="24"/>
        </w:rPr>
        <w:t>Based on this analysis, the</w:t>
      </w:r>
      <w:r w:rsidR="00CE7924">
        <w:rPr>
          <w:bCs/>
          <w:szCs w:val="24"/>
        </w:rPr>
        <w:t xml:space="preserve">re </w:t>
      </w:r>
      <w:r w:rsidR="0035051E">
        <w:rPr>
          <w:bCs/>
          <w:szCs w:val="24"/>
        </w:rPr>
        <w:t xml:space="preserve">is a need for </w:t>
      </w:r>
      <w:r w:rsidR="002A275D">
        <w:rPr>
          <w:bCs/>
          <w:szCs w:val="24"/>
        </w:rPr>
        <w:t>three</w:t>
      </w:r>
      <w:r w:rsidR="00CE7924">
        <w:rPr>
          <w:bCs/>
          <w:szCs w:val="24"/>
        </w:rPr>
        <w:t xml:space="preserve"> CT simulators. The</w:t>
      </w:r>
      <w:r w:rsidR="0062328E">
        <w:rPr>
          <w:bCs/>
          <w:szCs w:val="24"/>
        </w:rPr>
        <w:t xml:space="preserve"> Applicant proposes to add two CT stimulators as part of the Proposed Project</w:t>
      </w:r>
      <w:r w:rsidR="007A6738">
        <w:rPr>
          <w:bCs/>
          <w:szCs w:val="24"/>
        </w:rPr>
        <w:t xml:space="preserve">. In addition, </w:t>
      </w:r>
      <w:r w:rsidR="0062328E">
        <w:rPr>
          <w:bCs/>
          <w:szCs w:val="24"/>
        </w:rPr>
        <w:t>BIDMC has one CT simulator</w:t>
      </w:r>
      <w:r w:rsidR="007A6738">
        <w:rPr>
          <w:bCs/>
          <w:szCs w:val="24"/>
        </w:rPr>
        <w:t>,</w:t>
      </w:r>
      <w:r w:rsidR="0062328E">
        <w:rPr>
          <w:bCs/>
          <w:szCs w:val="24"/>
        </w:rPr>
        <w:t xml:space="preserve"> which </w:t>
      </w:r>
      <w:r w:rsidR="007A6738">
        <w:rPr>
          <w:bCs/>
          <w:szCs w:val="24"/>
        </w:rPr>
        <w:t>it will continue to operate as part of the collaboration with the Applicant</w:t>
      </w:r>
      <w:r w:rsidR="00CE7924">
        <w:rPr>
          <w:bCs/>
          <w:szCs w:val="24"/>
        </w:rPr>
        <w:t xml:space="preserve">. </w:t>
      </w:r>
    </w:p>
    <w:p w14:paraId="03D9288F" w14:textId="41881792" w:rsidR="0093346E" w:rsidRPr="00FA1DD3" w:rsidRDefault="0093346E" w:rsidP="0093346E">
      <w:pPr>
        <w:jc w:val="both"/>
        <w:rPr>
          <w:b/>
          <w:szCs w:val="24"/>
          <w:u w:val="single"/>
        </w:rPr>
      </w:pPr>
      <w:r w:rsidRPr="00FA1DD3">
        <w:rPr>
          <w:b/>
          <w:szCs w:val="24"/>
          <w:u w:val="single"/>
        </w:rPr>
        <w:lastRenderedPageBreak/>
        <w:t xml:space="preserve">F1.a.iii. </w:t>
      </w:r>
      <w:r w:rsidR="008D01AB" w:rsidRPr="00FA1DD3">
        <w:rPr>
          <w:b/>
          <w:szCs w:val="24"/>
          <w:u w:val="single"/>
        </w:rPr>
        <w:t>Competition</w:t>
      </w:r>
    </w:p>
    <w:p w14:paraId="3CF5A8E7" w14:textId="7A251631" w:rsidR="0093346E" w:rsidRDefault="0093346E" w:rsidP="00F6671F">
      <w:pPr>
        <w:jc w:val="both"/>
        <w:rPr>
          <w:b/>
          <w:szCs w:val="24"/>
        </w:rPr>
      </w:pPr>
      <w:r w:rsidRPr="00FA1DD3">
        <w:rPr>
          <w:b/>
          <w:szCs w:val="24"/>
        </w:rPr>
        <w:t>Provide evidence that the Proposed Project will compete on the basis of price, total medical expenses, provider costs and other recognized measures of health care spending.</w:t>
      </w:r>
      <w:r w:rsidR="00A47CC6">
        <w:rPr>
          <w:b/>
          <w:szCs w:val="24"/>
        </w:rPr>
        <w:t xml:space="preserve"> </w:t>
      </w:r>
      <w:r w:rsidRPr="00FA1DD3">
        <w:rPr>
          <w:b/>
          <w:szCs w:val="24"/>
        </w:rPr>
        <w:t>When responding to this question, please consider Factor 4</w:t>
      </w:r>
      <w:r w:rsidR="00EB4674">
        <w:rPr>
          <w:b/>
          <w:szCs w:val="24"/>
        </w:rPr>
        <w:t>,</w:t>
      </w:r>
      <w:r w:rsidR="00AE2B54" w:rsidRPr="00FA1DD3">
        <w:rPr>
          <w:b/>
          <w:szCs w:val="24"/>
        </w:rPr>
        <w:t xml:space="preserve"> </w:t>
      </w:r>
      <w:r w:rsidRPr="00FA1DD3">
        <w:rPr>
          <w:b/>
          <w:szCs w:val="24"/>
        </w:rPr>
        <w:t>Financial Feasibility and Reasonableness of Costs.</w:t>
      </w:r>
    </w:p>
    <w:p w14:paraId="0CF4FD02" w14:textId="30E19A22" w:rsidR="00000A33" w:rsidRDefault="00000A33" w:rsidP="00E41C7E">
      <w:pPr>
        <w:keepNext/>
        <w:jc w:val="both"/>
        <w:rPr>
          <w:szCs w:val="24"/>
        </w:rPr>
      </w:pPr>
    </w:p>
    <w:p w14:paraId="68137375" w14:textId="0F649AEC" w:rsidR="00B30B6A" w:rsidRDefault="00240733" w:rsidP="00240733">
      <w:pPr>
        <w:keepNext/>
        <w:jc w:val="both"/>
        <w:rPr>
          <w:szCs w:val="24"/>
        </w:rPr>
      </w:pPr>
      <w:bookmarkStart w:id="10" w:name="_Hlk144194961"/>
      <w:r>
        <w:rPr>
          <w:szCs w:val="24"/>
        </w:rPr>
        <w:t>The Applicant anticipates that the Proposed Project will have a pro-competitive impact on the health care market in the Commonwealth. Massachusetts General Hospital (</w:t>
      </w:r>
      <w:r w:rsidR="002340EA">
        <w:rPr>
          <w:szCs w:val="24"/>
        </w:rPr>
        <w:t>“</w:t>
      </w:r>
      <w:r>
        <w:rPr>
          <w:szCs w:val="24"/>
        </w:rPr>
        <w:t>MGH</w:t>
      </w:r>
      <w:r w:rsidR="002340EA">
        <w:rPr>
          <w:szCs w:val="24"/>
        </w:rPr>
        <w:t>”</w:t>
      </w:r>
      <w:r>
        <w:rPr>
          <w:szCs w:val="24"/>
        </w:rPr>
        <w:t>), a sister hospital to BWH and part of the Mass General Brigham (</w:t>
      </w:r>
      <w:r w:rsidR="002340EA">
        <w:rPr>
          <w:szCs w:val="24"/>
        </w:rPr>
        <w:t>“</w:t>
      </w:r>
      <w:r>
        <w:rPr>
          <w:szCs w:val="24"/>
        </w:rPr>
        <w:t>MGB</w:t>
      </w:r>
      <w:r w:rsidR="002340EA">
        <w:rPr>
          <w:szCs w:val="24"/>
        </w:rPr>
        <w:t>”</w:t>
      </w:r>
      <w:r>
        <w:rPr>
          <w:szCs w:val="24"/>
        </w:rPr>
        <w:t>) system, also provides subspeciality-level inpatient cancer care in Boston. The Proposed Project, along with the Applicant</w:t>
      </w:r>
      <w:r w:rsidR="002340EA">
        <w:rPr>
          <w:szCs w:val="24"/>
        </w:rPr>
        <w:t>’</w:t>
      </w:r>
      <w:r>
        <w:rPr>
          <w:szCs w:val="24"/>
        </w:rPr>
        <w:t xml:space="preserve">s </w:t>
      </w:r>
      <w:r w:rsidR="009103DC">
        <w:rPr>
          <w:szCs w:val="24"/>
        </w:rPr>
        <w:t>collaboration</w:t>
      </w:r>
      <w:r>
        <w:rPr>
          <w:szCs w:val="24"/>
        </w:rPr>
        <w:t xml:space="preserve"> with BIDMC, would establish the Applicant as independent from any MGH affiliate, serving to promote competition in the market. </w:t>
      </w:r>
    </w:p>
    <w:p w14:paraId="5A8527FD" w14:textId="77777777" w:rsidR="00B30B6A" w:rsidRDefault="00B30B6A" w:rsidP="00240733">
      <w:pPr>
        <w:keepNext/>
        <w:jc w:val="both"/>
        <w:rPr>
          <w:szCs w:val="24"/>
        </w:rPr>
      </w:pPr>
    </w:p>
    <w:p w14:paraId="5B37AE35" w14:textId="0A4233CF" w:rsidR="00240733" w:rsidRDefault="00240733" w:rsidP="00240733">
      <w:pPr>
        <w:keepNext/>
        <w:jc w:val="both"/>
        <w:rPr>
          <w:szCs w:val="24"/>
        </w:rPr>
      </w:pPr>
      <w:r w:rsidRPr="007861F0">
        <w:rPr>
          <w:szCs w:val="24"/>
        </w:rPr>
        <w:t>Additionally, the Applicant does not compete with community hospitals for patients</w:t>
      </w:r>
      <w:r w:rsidR="00B30B6A">
        <w:rPr>
          <w:szCs w:val="24"/>
        </w:rPr>
        <w:t>.</w:t>
      </w:r>
      <w:r w:rsidRPr="007861F0">
        <w:rPr>
          <w:szCs w:val="24"/>
        </w:rPr>
        <w:t xml:space="preserve"> </w:t>
      </w:r>
      <w:r w:rsidR="00B30B6A">
        <w:rPr>
          <w:szCs w:val="24"/>
        </w:rPr>
        <w:t>A</w:t>
      </w:r>
      <w:r w:rsidRPr="007861F0">
        <w:rPr>
          <w:szCs w:val="24"/>
        </w:rPr>
        <w:t xml:space="preserve">s previously mentioned, </w:t>
      </w:r>
      <w:r w:rsidR="00B30B6A">
        <w:rPr>
          <w:szCs w:val="24"/>
        </w:rPr>
        <w:t xml:space="preserve">it </w:t>
      </w:r>
      <w:r>
        <w:rPr>
          <w:szCs w:val="24"/>
        </w:rPr>
        <w:t>refers</w:t>
      </w:r>
      <w:r w:rsidRPr="007861F0">
        <w:rPr>
          <w:szCs w:val="24"/>
        </w:rPr>
        <w:t xml:space="preserve"> many patients back to their community physicians once the specialized care they need is complete.</w:t>
      </w:r>
      <w:r w:rsidR="00B30B6A">
        <w:rPr>
          <w:szCs w:val="24"/>
        </w:rPr>
        <w:t xml:space="preserve"> The</w:t>
      </w:r>
      <w:r>
        <w:rPr>
          <w:szCs w:val="24"/>
        </w:rPr>
        <w:t xml:space="preserve"> Proposed Project also increases the </w:t>
      </w:r>
      <w:r w:rsidR="00B30B6A">
        <w:rPr>
          <w:szCs w:val="24"/>
        </w:rPr>
        <w:t>e</w:t>
      </w:r>
      <w:r>
        <w:rPr>
          <w:szCs w:val="24"/>
        </w:rPr>
        <w:t xml:space="preserve">fficiency of care, as patients will not have to rely </w:t>
      </w:r>
      <w:r w:rsidR="00B30B6A">
        <w:rPr>
          <w:szCs w:val="24"/>
        </w:rPr>
        <w:t xml:space="preserve">so heavily </w:t>
      </w:r>
      <w:r>
        <w:rPr>
          <w:szCs w:val="24"/>
        </w:rPr>
        <w:t>on admittance to the emergency department in order to receive medical oncology</w:t>
      </w:r>
      <w:r>
        <w:t xml:space="preserve"> care, as discussed in Factor </w:t>
      </w:r>
      <w:r w:rsidRPr="00AB1C89">
        <w:t>1.a.ii.</w:t>
      </w:r>
    </w:p>
    <w:bookmarkEnd w:id="10"/>
    <w:p w14:paraId="02231182" w14:textId="77777777" w:rsidR="00240733" w:rsidRDefault="00240733" w:rsidP="00240733">
      <w:pPr>
        <w:keepNext/>
        <w:jc w:val="both"/>
        <w:rPr>
          <w:szCs w:val="24"/>
        </w:rPr>
      </w:pPr>
    </w:p>
    <w:p w14:paraId="1892950A" w14:textId="70BC5F89" w:rsidR="00B73BF0" w:rsidRDefault="00B30B6A" w:rsidP="003624D0">
      <w:pPr>
        <w:keepNext/>
        <w:jc w:val="both"/>
        <w:rPr>
          <w:szCs w:val="24"/>
        </w:rPr>
        <w:sectPr w:rsidR="00B73BF0">
          <w:pgSz w:w="12240" w:h="15840"/>
          <w:pgMar w:top="1440" w:right="1440" w:bottom="1440" w:left="1440" w:header="720" w:footer="720" w:gutter="0"/>
          <w:cols w:space="720"/>
          <w:docGrid w:linePitch="360"/>
        </w:sectPr>
      </w:pPr>
      <w:bookmarkStart w:id="11" w:name="_Hlk144194776"/>
      <w:r>
        <w:rPr>
          <w:szCs w:val="24"/>
        </w:rPr>
        <w:t>In connection with t</w:t>
      </w:r>
      <w:r w:rsidR="00240733">
        <w:rPr>
          <w:szCs w:val="24"/>
        </w:rPr>
        <w:t>he Proposed Project</w:t>
      </w:r>
      <w:r>
        <w:rPr>
          <w:szCs w:val="24"/>
        </w:rPr>
        <w:t>,</w:t>
      </w:r>
      <w:r w:rsidR="00240733">
        <w:rPr>
          <w:szCs w:val="24"/>
        </w:rPr>
        <w:t xml:space="preserve"> </w:t>
      </w:r>
      <w:r w:rsidR="008B6AA8">
        <w:rPr>
          <w:szCs w:val="24"/>
        </w:rPr>
        <w:t xml:space="preserve">the Applicant anticipates that </w:t>
      </w:r>
      <w:r>
        <w:rPr>
          <w:szCs w:val="24"/>
        </w:rPr>
        <w:t xml:space="preserve">a significant volume of </w:t>
      </w:r>
      <w:r w:rsidR="00240733">
        <w:rPr>
          <w:szCs w:val="24"/>
        </w:rPr>
        <w:t xml:space="preserve">cancer care will </w:t>
      </w:r>
      <w:r>
        <w:rPr>
          <w:szCs w:val="24"/>
        </w:rPr>
        <w:t xml:space="preserve">shift </w:t>
      </w:r>
      <w:r w:rsidR="00240733">
        <w:rPr>
          <w:szCs w:val="24"/>
        </w:rPr>
        <w:t xml:space="preserve">from higher-priced health </w:t>
      </w:r>
      <w:r w:rsidR="008B6AA8">
        <w:rPr>
          <w:szCs w:val="24"/>
        </w:rPr>
        <w:t>sites of care</w:t>
      </w:r>
      <w:r w:rsidR="00240733">
        <w:rPr>
          <w:szCs w:val="24"/>
        </w:rPr>
        <w:t xml:space="preserve"> to relatively lower-priced ones. A significant percentage of patients currently receiving medical oncology services at BIDMC or BWH (and some receiving medical oncology services at MGH) will begin receiving such services from the Applicant. Similarly, the Applicant anticipates that a significant percentage of patients currently receiving surgical oncology services at BWH (and some receiving surgical oncology services at MGH) will begin receiving such services from BIDMC.</w:t>
      </w:r>
      <w:r>
        <w:rPr>
          <w:szCs w:val="24"/>
        </w:rPr>
        <w:t xml:space="preserve"> As</w:t>
      </w:r>
      <w:r w:rsidR="00240733">
        <w:rPr>
          <w:szCs w:val="24"/>
        </w:rPr>
        <w:t xml:space="preserve"> </w:t>
      </w:r>
      <w:r w:rsidR="006C6AA8">
        <w:rPr>
          <w:szCs w:val="24"/>
        </w:rPr>
        <w:t>both</w:t>
      </w:r>
      <w:r w:rsidR="00240733">
        <w:rPr>
          <w:szCs w:val="24"/>
        </w:rPr>
        <w:t xml:space="preserve"> the Applicant and BIDMC provide care at lower rates than BWH and MGH, the Applicant anticipates a decrease in total medical expenses associated with </w:t>
      </w:r>
      <w:r>
        <w:rPr>
          <w:szCs w:val="24"/>
        </w:rPr>
        <w:t>such</w:t>
      </w:r>
      <w:r w:rsidR="00240733">
        <w:rPr>
          <w:szCs w:val="24"/>
        </w:rPr>
        <w:t xml:space="preserve"> shift</w:t>
      </w:r>
      <w:r>
        <w:rPr>
          <w:szCs w:val="24"/>
        </w:rPr>
        <w:t>s</w:t>
      </w:r>
      <w:r w:rsidR="00240733">
        <w:rPr>
          <w:szCs w:val="24"/>
        </w:rPr>
        <w:t xml:space="preserve">. </w:t>
      </w:r>
      <w:r w:rsidR="00E14342">
        <w:rPr>
          <w:szCs w:val="24"/>
        </w:rPr>
        <w:t>A</w:t>
      </w:r>
      <w:r w:rsidR="00240733">
        <w:rPr>
          <w:szCs w:val="24"/>
        </w:rPr>
        <w:t xml:space="preserve"> plurality of the Applicant</w:t>
      </w:r>
      <w:r w:rsidR="002340EA">
        <w:rPr>
          <w:szCs w:val="24"/>
        </w:rPr>
        <w:t>’</w:t>
      </w:r>
      <w:r w:rsidR="00240733">
        <w:rPr>
          <w:szCs w:val="24"/>
        </w:rPr>
        <w:t>s patients are Medicare beneficiaries.</w:t>
      </w:r>
      <w:bookmarkEnd w:id="11"/>
      <w:r w:rsidR="00240733">
        <w:rPr>
          <w:szCs w:val="24"/>
        </w:rPr>
        <w:t xml:space="preserve"> </w:t>
      </w:r>
      <w:r w:rsidR="003C0F34">
        <w:t>T</w:t>
      </w:r>
      <w:r w:rsidR="003C0F34" w:rsidRPr="007861F0">
        <w:t xml:space="preserve">he new Facility established through the Proposed Project is expected to </w:t>
      </w:r>
      <w:r w:rsidR="003C0F34">
        <w:t>be</w:t>
      </w:r>
      <w:r w:rsidR="003C0F34" w:rsidRPr="007861F0">
        <w:t xml:space="preserve"> exempt from the Medicare Prospective Payment System (</w:t>
      </w:r>
      <w:r w:rsidR="002340EA">
        <w:t>“</w:t>
      </w:r>
      <w:r w:rsidR="003C0F34" w:rsidRPr="007861F0">
        <w:t>PPS</w:t>
      </w:r>
      <w:r w:rsidR="002340EA">
        <w:t>”</w:t>
      </w:r>
      <w:r w:rsidR="003C0F34" w:rsidRPr="007861F0">
        <w:t>)</w:t>
      </w:r>
      <w:r w:rsidR="003C0F34">
        <w:t>.</w:t>
      </w:r>
      <w:r w:rsidR="006D1A6E">
        <w:t xml:space="preserve"> </w:t>
      </w:r>
      <w:r w:rsidR="006D1A6E" w:rsidRPr="006D1A6E">
        <w:t>Nonetheless, once the Proposed Project is operational, the Applicant expects that its inpatient cost-based Medicare rates will not be materially greater</w:t>
      </w:r>
      <w:r w:rsidR="003C0F34" w:rsidRPr="007861F0">
        <w:t xml:space="preserve"> </w:t>
      </w:r>
      <w:r w:rsidR="003C0F34" w:rsidRPr="005B69FC">
        <w:t>than those received by</w:t>
      </w:r>
      <w:r w:rsidR="003C0F34" w:rsidRPr="007861F0">
        <w:t xml:space="preserve"> BIDMC and BWH under PPS reimbursement.</w:t>
      </w:r>
    </w:p>
    <w:p w14:paraId="79E8C75F" w14:textId="15551ED6" w:rsidR="00DF0076" w:rsidRPr="008E1AFF" w:rsidRDefault="00DF0076" w:rsidP="00DF0076">
      <w:pPr>
        <w:rPr>
          <w:b/>
          <w:szCs w:val="24"/>
          <w:u w:val="single"/>
        </w:rPr>
      </w:pPr>
      <w:r w:rsidRPr="008E1AFF">
        <w:rPr>
          <w:b/>
          <w:szCs w:val="24"/>
          <w:u w:val="single"/>
        </w:rPr>
        <w:lastRenderedPageBreak/>
        <w:t>F1.b.i. Public Health Value/Evidence-Based</w:t>
      </w:r>
    </w:p>
    <w:p w14:paraId="7235859D" w14:textId="10EB0EAB" w:rsidR="00DF0076" w:rsidRPr="008E1AFF" w:rsidRDefault="00DF0076" w:rsidP="00DF0076">
      <w:pPr>
        <w:rPr>
          <w:b/>
          <w:szCs w:val="24"/>
        </w:rPr>
      </w:pPr>
      <w:r w:rsidRPr="008E1AFF">
        <w:rPr>
          <w:b/>
          <w:szCs w:val="24"/>
        </w:rPr>
        <w:t>Provide information on the evidence-base for the Proposed Project.</w:t>
      </w:r>
      <w:r w:rsidR="00A47CC6">
        <w:rPr>
          <w:b/>
          <w:szCs w:val="24"/>
        </w:rPr>
        <w:t xml:space="preserve"> </w:t>
      </w:r>
      <w:r w:rsidRPr="008E1AFF">
        <w:rPr>
          <w:b/>
          <w:szCs w:val="24"/>
        </w:rPr>
        <w:t xml:space="preserve">That is, how does the Proposed Project address the Need that </w:t>
      </w:r>
      <w:bookmarkStart w:id="12" w:name="_9kMLK5YVt4886AIQG2ztleqA"/>
      <w:r w:rsidRPr="008E1AFF">
        <w:rPr>
          <w:b/>
          <w:szCs w:val="24"/>
        </w:rPr>
        <w:t>Applicant</w:t>
      </w:r>
      <w:bookmarkEnd w:id="12"/>
      <w:r w:rsidRPr="008E1AFF">
        <w:rPr>
          <w:b/>
          <w:szCs w:val="24"/>
        </w:rPr>
        <w:t xml:space="preserve"> has identified.</w:t>
      </w:r>
    </w:p>
    <w:p w14:paraId="0A53CCDA" w14:textId="77777777" w:rsidR="00DF0076" w:rsidRPr="008E1AFF" w:rsidRDefault="00DF0076" w:rsidP="00DF0076">
      <w:pPr>
        <w:rPr>
          <w:color w:val="767171" w:themeColor="background2" w:themeShade="80"/>
          <w:szCs w:val="24"/>
        </w:rPr>
      </w:pPr>
    </w:p>
    <w:p w14:paraId="65055E42" w14:textId="6488B94D" w:rsidR="00DF0076" w:rsidRDefault="00391F33" w:rsidP="00F6671F">
      <w:pPr>
        <w:jc w:val="both"/>
        <w:rPr>
          <w:szCs w:val="24"/>
        </w:rPr>
      </w:pPr>
      <w:r w:rsidRPr="008E1AFF">
        <w:rPr>
          <w:szCs w:val="24"/>
        </w:rPr>
        <w:t xml:space="preserve">The Proposed Project will </w:t>
      </w:r>
      <w:r w:rsidR="00E62008">
        <w:rPr>
          <w:szCs w:val="24"/>
        </w:rPr>
        <w:t>establish</w:t>
      </w:r>
      <w:r w:rsidRPr="008E1AFF">
        <w:rPr>
          <w:szCs w:val="24"/>
        </w:rPr>
        <w:t xml:space="preserve"> </w:t>
      </w:r>
      <w:r w:rsidR="00672A69">
        <w:rPr>
          <w:szCs w:val="24"/>
        </w:rPr>
        <w:t xml:space="preserve">the </w:t>
      </w:r>
      <w:r w:rsidR="00FC302D" w:rsidRPr="008E1AFF">
        <w:rPr>
          <w:szCs w:val="24"/>
        </w:rPr>
        <w:t xml:space="preserve">dedicated inpatient cancer beds </w:t>
      </w:r>
      <w:r w:rsidR="001E14FE">
        <w:rPr>
          <w:szCs w:val="24"/>
        </w:rPr>
        <w:t>in a</w:t>
      </w:r>
      <w:r w:rsidR="00FC302D" w:rsidRPr="008E1AFF">
        <w:rPr>
          <w:szCs w:val="24"/>
        </w:rPr>
        <w:t xml:space="preserve"> </w:t>
      </w:r>
      <w:r w:rsidR="00AF7891" w:rsidRPr="008E1AFF">
        <w:rPr>
          <w:szCs w:val="24"/>
        </w:rPr>
        <w:t xml:space="preserve">specialty hospital </w:t>
      </w:r>
      <w:r w:rsidR="00FC302D" w:rsidRPr="008E1AFF">
        <w:rPr>
          <w:szCs w:val="24"/>
        </w:rPr>
        <w:t xml:space="preserve">setting </w:t>
      </w:r>
      <w:r w:rsidR="004F0678" w:rsidRPr="008E1AFF">
        <w:rPr>
          <w:szCs w:val="24"/>
        </w:rPr>
        <w:t xml:space="preserve">that will </w:t>
      </w:r>
      <w:r w:rsidR="00FC302D" w:rsidRPr="008E1AFF">
        <w:rPr>
          <w:szCs w:val="24"/>
        </w:rPr>
        <w:t>provide the most appropriate level of care</w:t>
      </w:r>
      <w:r w:rsidR="004F0678" w:rsidRPr="008E1AFF">
        <w:rPr>
          <w:szCs w:val="24"/>
        </w:rPr>
        <w:t xml:space="preserve">, </w:t>
      </w:r>
      <w:r w:rsidR="00FC302D" w:rsidRPr="008E1AFF">
        <w:rPr>
          <w:szCs w:val="24"/>
        </w:rPr>
        <w:t>at the highest quality</w:t>
      </w:r>
      <w:r w:rsidR="001E14FE">
        <w:rPr>
          <w:szCs w:val="24"/>
        </w:rPr>
        <w:t xml:space="preserve"> for the growing number of Massachusetts residents who will require advanced cancer care</w:t>
      </w:r>
      <w:r w:rsidR="00FC302D" w:rsidRPr="008E1AFF">
        <w:rPr>
          <w:szCs w:val="24"/>
        </w:rPr>
        <w:t>.</w:t>
      </w:r>
      <w:r w:rsidR="00A45C93" w:rsidRPr="008E1AFF">
        <w:rPr>
          <w:szCs w:val="24"/>
        </w:rPr>
        <w:t xml:space="preserve"> Further, the Proposed Project would allow the Applicant to meet the need for equipment to provide this needed treatment, as noted in </w:t>
      </w:r>
      <w:r w:rsidR="00A45C93" w:rsidRPr="008E1AFF">
        <w:rPr>
          <w:bCs/>
          <w:szCs w:val="24"/>
        </w:rPr>
        <w:t>Factor 1.a.ii.</w:t>
      </w:r>
      <w:r w:rsidR="00A45C93" w:rsidRPr="008E1AFF">
        <w:rPr>
          <w:b/>
          <w:szCs w:val="24"/>
        </w:rPr>
        <w:t xml:space="preserve"> </w:t>
      </w:r>
      <w:r w:rsidR="00DF0076" w:rsidRPr="008E1AFF">
        <w:rPr>
          <w:szCs w:val="24"/>
        </w:rPr>
        <w:t>The Applicant</w:t>
      </w:r>
      <w:r w:rsidR="002340EA">
        <w:rPr>
          <w:szCs w:val="24"/>
        </w:rPr>
        <w:t>’</w:t>
      </w:r>
      <w:r w:rsidR="00DF0076" w:rsidRPr="008E1AFF">
        <w:rPr>
          <w:szCs w:val="24"/>
        </w:rPr>
        <w:t>s proposed expansion of oncology services is supported by extensive literature related to evidence-based strategies on effective cancer care</w:t>
      </w:r>
      <w:r w:rsidR="00240733">
        <w:rPr>
          <w:szCs w:val="24"/>
        </w:rPr>
        <w:t>, as further discussed in Factor 1.b.iv</w:t>
      </w:r>
      <w:r w:rsidR="00DF0076" w:rsidRPr="008E1AFF">
        <w:rPr>
          <w:szCs w:val="24"/>
        </w:rPr>
        <w:t xml:space="preserve">.  </w:t>
      </w:r>
    </w:p>
    <w:p w14:paraId="6645A664" w14:textId="77777777" w:rsidR="001E14FE" w:rsidRPr="008E1AFF" w:rsidRDefault="001E14FE" w:rsidP="00F6671F">
      <w:pPr>
        <w:jc w:val="both"/>
        <w:rPr>
          <w:szCs w:val="24"/>
        </w:rPr>
      </w:pPr>
    </w:p>
    <w:p w14:paraId="2A3B63C2" w14:textId="2A62FB48" w:rsidR="0074593B" w:rsidRDefault="00D11BD0" w:rsidP="00385182">
      <w:pPr>
        <w:jc w:val="both"/>
        <w:rPr>
          <w:szCs w:val="24"/>
        </w:rPr>
      </w:pPr>
      <w:r>
        <w:rPr>
          <w:szCs w:val="24"/>
        </w:rPr>
        <w:t>Additionally, o</w:t>
      </w:r>
      <w:r w:rsidR="0074593B">
        <w:rPr>
          <w:szCs w:val="24"/>
        </w:rPr>
        <w:t>ver the past decade the number of innovative</w:t>
      </w:r>
      <w:r w:rsidR="002D5AC1">
        <w:rPr>
          <w:szCs w:val="24"/>
        </w:rPr>
        <w:t>, complex</w:t>
      </w:r>
      <w:r w:rsidR="0074593B">
        <w:rPr>
          <w:szCs w:val="24"/>
        </w:rPr>
        <w:t xml:space="preserve"> treatments that require inpatient hospitalization for either the administration or monitoring of the therapy has increased. For example, </w:t>
      </w:r>
      <w:r w:rsidR="0074593B" w:rsidRPr="008E1AFF">
        <w:rPr>
          <w:szCs w:val="24"/>
        </w:rPr>
        <w:t>the number of FDA-approved CAR-T products and bi-specific antibody therapies is expanding. There are now six FDA-approved CAR</w:t>
      </w:r>
      <w:r w:rsidR="00CB2D72">
        <w:rPr>
          <w:szCs w:val="24"/>
        </w:rPr>
        <w:t xml:space="preserve"> </w:t>
      </w:r>
      <w:r w:rsidR="0074593B" w:rsidRPr="008E1AFF">
        <w:rPr>
          <w:szCs w:val="24"/>
        </w:rPr>
        <w:t>T</w:t>
      </w:r>
      <w:r w:rsidR="00CB2D72">
        <w:rPr>
          <w:szCs w:val="24"/>
        </w:rPr>
        <w:t>-</w:t>
      </w:r>
      <w:r w:rsidR="0074593B" w:rsidRPr="008E1AFF">
        <w:rPr>
          <w:szCs w:val="24"/>
        </w:rPr>
        <w:t>cell</w:t>
      </w:r>
      <w:r w:rsidR="00CB2D72">
        <w:rPr>
          <w:szCs w:val="24"/>
        </w:rPr>
        <w:t xml:space="preserve"> </w:t>
      </w:r>
      <w:r w:rsidR="0074593B" w:rsidRPr="008E1AFF">
        <w:rPr>
          <w:szCs w:val="24"/>
        </w:rPr>
        <w:t>products and several more in development.</w:t>
      </w:r>
      <w:r w:rsidR="0074593B">
        <w:rPr>
          <w:rStyle w:val="FootnoteReference"/>
          <w:szCs w:val="24"/>
        </w:rPr>
        <w:footnoteReference w:id="94"/>
      </w:r>
      <w:r w:rsidR="0074593B">
        <w:rPr>
          <w:szCs w:val="24"/>
        </w:rPr>
        <w:t xml:space="preserve"> </w:t>
      </w:r>
      <w:r w:rsidR="0074593B" w:rsidRPr="008E1AFF">
        <w:rPr>
          <w:szCs w:val="24"/>
        </w:rPr>
        <w:t>Bi-specific antibody therapy or T-cell engager therapy is also an expanding therapeutic class</w:t>
      </w:r>
      <w:r w:rsidR="00EC750F">
        <w:rPr>
          <w:szCs w:val="24"/>
        </w:rPr>
        <w:t>,</w:t>
      </w:r>
      <w:r w:rsidR="0074593B">
        <w:rPr>
          <w:szCs w:val="24"/>
        </w:rPr>
        <w:t xml:space="preserve"> several of which are now widely available.</w:t>
      </w:r>
      <w:r w:rsidR="0074593B">
        <w:rPr>
          <w:rStyle w:val="FootnoteReference"/>
          <w:rFonts w:eastAsia="Segoe UI"/>
          <w:color w:val="000000" w:themeColor="text1"/>
          <w:szCs w:val="24"/>
        </w:rPr>
        <w:footnoteReference w:id="95"/>
      </w:r>
      <w:r w:rsidR="0074593B" w:rsidRPr="008E1AFF">
        <w:rPr>
          <w:szCs w:val="24"/>
        </w:rPr>
        <w:t xml:space="preserve"> Currently, </w:t>
      </w:r>
      <w:r w:rsidR="0074593B">
        <w:rPr>
          <w:szCs w:val="24"/>
        </w:rPr>
        <w:t>the majority of the</w:t>
      </w:r>
      <w:r w:rsidR="0074593B" w:rsidRPr="008E1AFF">
        <w:rPr>
          <w:szCs w:val="24"/>
        </w:rPr>
        <w:t xml:space="preserve"> bi-specific treatments and several CAR</w:t>
      </w:r>
      <w:r w:rsidR="00CB2D72">
        <w:rPr>
          <w:szCs w:val="24"/>
        </w:rPr>
        <w:t>-T</w:t>
      </w:r>
      <w:r w:rsidR="0074593B" w:rsidRPr="008E1AFF">
        <w:rPr>
          <w:szCs w:val="24"/>
        </w:rPr>
        <w:t xml:space="preserve"> products require hospitalization following administration to manage potential cytokine release syndrome</w:t>
      </w:r>
      <w:r w:rsidR="0074593B">
        <w:rPr>
          <w:szCs w:val="24"/>
        </w:rPr>
        <w:t>,</w:t>
      </w:r>
      <w:r w:rsidR="0074593B" w:rsidRPr="008E1AFF">
        <w:rPr>
          <w:szCs w:val="24"/>
        </w:rPr>
        <w:t xml:space="preserve"> a known toxicity that can result from a high-level of immune activation </w:t>
      </w:r>
      <w:r w:rsidR="00F233CF">
        <w:rPr>
          <w:szCs w:val="24"/>
        </w:rPr>
        <w:t>that</w:t>
      </w:r>
      <w:r w:rsidR="0074593B" w:rsidRPr="008E1AFF">
        <w:rPr>
          <w:szCs w:val="24"/>
        </w:rPr>
        <w:t xml:space="preserve"> can be life-threatening if not promptly recognized and treated</w:t>
      </w:r>
      <w:r w:rsidR="0074593B">
        <w:rPr>
          <w:szCs w:val="24"/>
        </w:rPr>
        <w:t>.</w:t>
      </w:r>
      <w:r w:rsidR="0074593B">
        <w:rPr>
          <w:rStyle w:val="FootnoteReference"/>
          <w:szCs w:val="24"/>
        </w:rPr>
        <w:footnoteReference w:id="96"/>
      </w:r>
      <w:r w:rsidR="005039A6">
        <w:rPr>
          <w:szCs w:val="24"/>
        </w:rPr>
        <w:t xml:space="preserve"> </w:t>
      </w:r>
    </w:p>
    <w:p w14:paraId="0D110EC3" w14:textId="77777777" w:rsidR="0074593B" w:rsidRDefault="0074593B" w:rsidP="00385182">
      <w:pPr>
        <w:jc w:val="both"/>
        <w:rPr>
          <w:szCs w:val="24"/>
        </w:rPr>
      </w:pPr>
    </w:p>
    <w:p w14:paraId="24144CB8" w14:textId="436ECF3C" w:rsidR="00F6671F" w:rsidRPr="008E1AFF" w:rsidRDefault="00DF0076" w:rsidP="00385182">
      <w:pPr>
        <w:jc w:val="both"/>
        <w:rPr>
          <w:szCs w:val="24"/>
        </w:rPr>
      </w:pPr>
      <w:r w:rsidRPr="008E1AFF">
        <w:rPr>
          <w:szCs w:val="24"/>
        </w:rPr>
        <w:t xml:space="preserve">Through the Proposed Project, the Applicant will make these services more accessible to those who need inpatient cancer care in order to meet the need discussed at length in </w:t>
      </w:r>
      <w:r w:rsidR="009777DB">
        <w:rPr>
          <w:szCs w:val="24"/>
        </w:rPr>
        <w:t xml:space="preserve">Factor </w:t>
      </w:r>
      <w:r w:rsidRPr="008E1AFF">
        <w:rPr>
          <w:szCs w:val="24"/>
        </w:rPr>
        <w:t>1.a.ii.</w:t>
      </w:r>
    </w:p>
    <w:p w14:paraId="06ED3EE7" w14:textId="7EB3E973" w:rsidR="00385182" w:rsidRDefault="00385182" w:rsidP="003624D0">
      <w:pPr>
        <w:keepNext/>
        <w:jc w:val="both"/>
        <w:rPr>
          <w:szCs w:val="24"/>
        </w:rPr>
      </w:pPr>
    </w:p>
    <w:p w14:paraId="0F5584E8" w14:textId="21605017" w:rsidR="00D10891" w:rsidRDefault="00D10891" w:rsidP="003624D0">
      <w:pPr>
        <w:keepNext/>
        <w:jc w:val="both"/>
        <w:rPr>
          <w:szCs w:val="24"/>
        </w:rPr>
        <w:sectPr w:rsidR="00D10891">
          <w:pgSz w:w="12240" w:h="15840"/>
          <w:pgMar w:top="1440" w:right="1440" w:bottom="1440" w:left="1440" w:header="720" w:footer="720" w:gutter="0"/>
          <w:cols w:space="720"/>
          <w:docGrid w:linePitch="360"/>
        </w:sectPr>
      </w:pPr>
    </w:p>
    <w:p w14:paraId="5ED86709" w14:textId="77777777" w:rsidR="00F6671F" w:rsidRPr="009113D4" w:rsidRDefault="00F6671F" w:rsidP="00F6671F">
      <w:pPr>
        <w:rPr>
          <w:b/>
          <w:szCs w:val="24"/>
          <w:u w:val="single"/>
        </w:rPr>
      </w:pPr>
      <w:r w:rsidRPr="009113D4">
        <w:rPr>
          <w:b/>
          <w:szCs w:val="24"/>
          <w:u w:val="single"/>
        </w:rPr>
        <w:lastRenderedPageBreak/>
        <w:t>F1.b.ii. Public Health Value/Outcome-Oriented</w:t>
      </w:r>
    </w:p>
    <w:p w14:paraId="2EF5AB4C" w14:textId="2A67B5C9" w:rsidR="00F6671F" w:rsidRPr="009113D4" w:rsidRDefault="00F6671F" w:rsidP="003E5FD4">
      <w:pPr>
        <w:jc w:val="both"/>
        <w:rPr>
          <w:b/>
          <w:szCs w:val="24"/>
        </w:rPr>
      </w:pPr>
      <w:r w:rsidRPr="009113D4">
        <w:rPr>
          <w:b/>
          <w:szCs w:val="24"/>
        </w:rPr>
        <w:t xml:space="preserve">Describe the impact of the Proposed Project and how the </w:t>
      </w:r>
      <w:bookmarkStart w:id="13" w:name="_9kMML5YVt4886AIQG2ztleqA"/>
      <w:r w:rsidRPr="009113D4">
        <w:rPr>
          <w:b/>
          <w:szCs w:val="24"/>
        </w:rPr>
        <w:t>Applicant</w:t>
      </w:r>
      <w:bookmarkEnd w:id="13"/>
      <w:r w:rsidRPr="009113D4">
        <w:rPr>
          <w:b/>
          <w:szCs w:val="24"/>
        </w:rPr>
        <w:t xml:space="preserve"> will assess such impact.</w:t>
      </w:r>
      <w:r w:rsidR="00A47CC6">
        <w:rPr>
          <w:b/>
          <w:szCs w:val="24"/>
        </w:rPr>
        <w:t xml:space="preserve"> </w:t>
      </w:r>
      <w:r w:rsidRPr="009113D4">
        <w:rPr>
          <w:b/>
          <w:szCs w:val="24"/>
        </w:rPr>
        <w:t>Provide projections demonstrating how the Proposed Project will improve health outcomes, quality of life, or health equity.</w:t>
      </w:r>
      <w:r w:rsidR="00A47CC6">
        <w:rPr>
          <w:b/>
          <w:szCs w:val="24"/>
        </w:rPr>
        <w:t xml:space="preserve"> </w:t>
      </w:r>
      <w:r w:rsidRPr="009113D4">
        <w:rPr>
          <w:b/>
          <w:szCs w:val="24"/>
        </w:rPr>
        <w:t>Only measures that can be tracked and reported over time should be utilized.</w:t>
      </w:r>
    </w:p>
    <w:p w14:paraId="21B95316" w14:textId="77777777" w:rsidR="00F6671F" w:rsidRDefault="00F6671F" w:rsidP="00F6671F">
      <w:pPr>
        <w:rPr>
          <w:color w:val="767171" w:themeColor="background2" w:themeShade="80"/>
          <w:szCs w:val="24"/>
        </w:rPr>
      </w:pPr>
    </w:p>
    <w:p w14:paraId="0B78FB38" w14:textId="11C92E33" w:rsidR="00240733" w:rsidRDefault="00413DDE" w:rsidP="00240733">
      <w:pPr>
        <w:jc w:val="both"/>
        <w:rPr>
          <w:szCs w:val="24"/>
        </w:rPr>
      </w:pPr>
      <w:r>
        <w:rPr>
          <w:szCs w:val="24"/>
        </w:rPr>
        <w:t xml:space="preserve">The </w:t>
      </w:r>
      <w:r w:rsidR="00240733" w:rsidRPr="00C34B8A">
        <w:rPr>
          <w:szCs w:val="24"/>
        </w:rPr>
        <w:t xml:space="preserve">Proposed Project will provide patients with improved health outcomes, quality of life and access to </w:t>
      </w:r>
      <w:r w:rsidR="00240733">
        <w:rPr>
          <w:szCs w:val="24"/>
        </w:rPr>
        <w:t xml:space="preserve">cancer care </w:t>
      </w:r>
      <w:r w:rsidR="00240733" w:rsidRPr="00C34B8A">
        <w:rPr>
          <w:szCs w:val="24"/>
        </w:rPr>
        <w:t>services as more fully discussed in Factor 1.a.ii</w:t>
      </w:r>
      <w:r w:rsidR="0050793C">
        <w:rPr>
          <w:szCs w:val="24"/>
        </w:rPr>
        <w:t>.</w:t>
      </w:r>
      <w:r w:rsidR="00240733">
        <w:rPr>
          <w:szCs w:val="24"/>
        </w:rPr>
        <w:t xml:space="preserve"> To assess the impact of the Proposed Project, t</w:t>
      </w:r>
      <w:r w:rsidR="00240733" w:rsidRPr="009113D4">
        <w:rPr>
          <w:szCs w:val="24"/>
        </w:rPr>
        <w:t>he</w:t>
      </w:r>
      <w:r w:rsidR="00240733">
        <w:rPr>
          <w:szCs w:val="24"/>
        </w:rPr>
        <w:t xml:space="preserve"> Applicant will track the following metrics</w:t>
      </w:r>
      <w:r w:rsidR="00240733" w:rsidRPr="009113D4">
        <w:rPr>
          <w:szCs w:val="24"/>
        </w:rPr>
        <w:t>:</w:t>
      </w:r>
    </w:p>
    <w:p w14:paraId="3B4A4253" w14:textId="77777777" w:rsidR="00240733" w:rsidRPr="00EA2E41" w:rsidRDefault="00240733" w:rsidP="00240733">
      <w:pPr>
        <w:widowControl w:val="0"/>
        <w:autoSpaceDE w:val="0"/>
        <w:autoSpaceDN w:val="0"/>
        <w:jc w:val="both"/>
        <w:rPr>
          <w:szCs w:val="24"/>
        </w:rPr>
      </w:pPr>
    </w:p>
    <w:p w14:paraId="2ADF3FB9" w14:textId="7AEA06B3" w:rsidR="00240733" w:rsidRPr="00AB1C89" w:rsidRDefault="00240733" w:rsidP="00240733">
      <w:pPr>
        <w:widowControl w:val="0"/>
        <w:numPr>
          <w:ilvl w:val="0"/>
          <w:numId w:val="2"/>
        </w:numPr>
        <w:autoSpaceDE w:val="0"/>
        <w:autoSpaceDN w:val="0"/>
        <w:jc w:val="both"/>
        <w:rPr>
          <w:szCs w:val="24"/>
        </w:rPr>
      </w:pPr>
      <w:r w:rsidRPr="00490C2C">
        <w:rPr>
          <w:szCs w:val="24"/>
        </w:rPr>
        <w:t>The proportion (per 1,000 patients) of patien</w:t>
      </w:r>
      <w:r>
        <w:rPr>
          <w:szCs w:val="24"/>
        </w:rPr>
        <w:t xml:space="preserve">ts travelling from the New England region </w:t>
      </w:r>
      <w:r w:rsidRPr="00490C2C">
        <w:rPr>
          <w:szCs w:val="24"/>
        </w:rPr>
        <w:t>that are able to obtain the Applicant</w:t>
      </w:r>
      <w:r w:rsidR="002340EA">
        <w:rPr>
          <w:szCs w:val="24"/>
        </w:rPr>
        <w:t>’</w:t>
      </w:r>
      <w:r w:rsidRPr="00490C2C">
        <w:rPr>
          <w:szCs w:val="24"/>
        </w:rPr>
        <w:t xml:space="preserve">s </w:t>
      </w:r>
      <w:r>
        <w:rPr>
          <w:szCs w:val="24"/>
        </w:rPr>
        <w:t>inpatient cancer care services.</w:t>
      </w:r>
    </w:p>
    <w:p w14:paraId="519C6051" w14:textId="7F5F622E" w:rsidR="00240733" w:rsidRPr="009C6D11" w:rsidRDefault="00240733" w:rsidP="00240733">
      <w:pPr>
        <w:widowControl w:val="0"/>
        <w:numPr>
          <w:ilvl w:val="0"/>
          <w:numId w:val="2"/>
        </w:numPr>
        <w:autoSpaceDE w:val="0"/>
        <w:autoSpaceDN w:val="0"/>
        <w:jc w:val="both"/>
        <w:rPr>
          <w:szCs w:val="24"/>
        </w:rPr>
      </w:pPr>
      <w:r>
        <w:rPr>
          <w:szCs w:val="24"/>
          <w:u w:val="single"/>
        </w:rPr>
        <w:t xml:space="preserve">Patient </w:t>
      </w:r>
      <w:r w:rsidRPr="003706A2">
        <w:rPr>
          <w:szCs w:val="24"/>
          <w:u w:val="single"/>
        </w:rPr>
        <w:t>Satisfaction</w:t>
      </w:r>
      <w:r w:rsidRPr="009C6D11">
        <w:rPr>
          <w:szCs w:val="24"/>
        </w:rPr>
        <w:t>: Patients who are satisfied with care are more likely to seek additional treatment when necessary and tend to have better quality outcomes. The Applicant</w:t>
      </w:r>
      <w:r>
        <w:rPr>
          <w:szCs w:val="24"/>
        </w:rPr>
        <w:t xml:space="preserve"> </w:t>
      </w:r>
      <w:r w:rsidRPr="00EA2E41">
        <w:rPr>
          <w:szCs w:val="24"/>
        </w:rPr>
        <w:t xml:space="preserve">will review ratings of satisfaction with the care coordination of </w:t>
      </w:r>
      <w:r>
        <w:rPr>
          <w:szCs w:val="24"/>
        </w:rPr>
        <w:t xml:space="preserve">all </w:t>
      </w:r>
      <w:r w:rsidRPr="00EA2E41">
        <w:rPr>
          <w:szCs w:val="24"/>
        </w:rPr>
        <w:t xml:space="preserve">inpatient </w:t>
      </w:r>
      <w:r>
        <w:rPr>
          <w:szCs w:val="24"/>
        </w:rPr>
        <w:t xml:space="preserve">medical oncology </w:t>
      </w:r>
      <w:r w:rsidRPr="00EA2E41">
        <w:rPr>
          <w:szCs w:val="24"/>
        </w:rPr>
        <w:t xml:space="preserve">services via </w:t>
      </w:r>
      <w:r>
        <w:rPr>
          <w:szCs w:val="24"/>
        </w:rPr>
        <w:t>Press Ganey</w:t>
      </w:r>
      <w:r w:rsidR="00413DDE">
        <w:rPr>
          <w:szCs w:val="24"/>
        </w:rPr>
        <w:t xml:space="preserve"> or an equivalent third-party f</w:t>
      </w:r>
      <w:r w:rsidR="00E601AD">
        <w:rPr>
          <w:szCs w:val="24"/>
        </w:rPr>
        <w:t>i</w:t>
      </w:r>
      <w:r w:rsidR="00413DDE">
        <w:rPr>
          <w:szCs w:val="24"/>
        </w:rPr>
        <w:t>rm</w:t>
      </w:r>
      <w:r>
        <w:rPr>
          <w:szCs w:val="24"/>
        </w:rPr>
        <w:t>.</w:t>
      </w:r>
      <w:r w:rsidRPr="009C6D11">
        <w:rPr>
          <w:szCs w:val="24"/>
        </w:rPr>
        <w:t xml:space="preserve"> </w:t>
      </w:r>
    </w:p>
    <w:p w14:paraId="7727E188" w14:textId="77777777" w:rsidR="00240733" w:rsidRPr="009C6D11" w:rsidRDefault="00240733" w:rsidP="00240733">
      <w:pPr>
        <w:widowControl w:val="0"/>
        <w:numPr>
          <w:ilvl w:val="1"/>
          <w:numId w:val="2"/>
        </w:numPr>
        <w:autoSpaceDE w:val="0"/>
        <w:autoSpaceDN w:val="0"/>
        <w:jc w:val="both"/>
        <w:rPr>
          <w:szCs w:val="24"/>
        </w:rPr>
      </w:pPr>
      <w:r w:rsidRPr="009C6D11">
        <w:rPr>
          <w:szCs w:val="24"/>
          <w:u w:val="single"/>
        </w:rPr>
        <w:t>Measure</w:t>
      </w:r>
      <w:r w:rsidRPr="009C6D11">
        <w:rPr>
          <w:szCs w:val="24"/>
        </w:rPr>
        <w:t xml:space="preserve">: To ensure a service-excellence approach, patient satisfaction surveys will be distributed to all patients at the </w:t>
      </w:r>
      <w:r>
        <w:rPr>
          <w:szCs w:val="24"/>
        </w:rPr>
        <w:t>Facility</w:t>
      </w:r>
      <w:r w:rsidRPr="009C6D11">
        <w:rPr>
          <w:szCs w:val="24"/>
        </w:rPr>
        <w:t xml:space="preserve"> with specific questions addressing (a) care coordination among doctors and caregivers; (b) satisfaction with care services; and (c) the likelihood of recommending services.</w:t>
      </w:r>
    </w:p>
    <w:p w14:paraId="50042401" w14:textId="77777777" w:rsidR="00240733" w:rsidRPr="009C6D11" w:rsidRDefault="00240733" w:rsidP="00240733">
      <w:pPr>
        <w:widowControl w:val="0"/>
        <w:numPr>
          <w:ilvl w:val="1"/>
          <w:numId w:val="2"/>
        </w:numPr>
        <w:autoSpaceDE w:val="0"/>
        <w:autoSpaceDN w:val="0"/>
        <w:jc w:val="both"/>
        <w:rPr>
          <w:szCs w:val="24"/>
        </w:rPr>
      </w:pPr>
      <w:r w:rsidRPr="009C6D11">
        <w:rPr>
          <w:szCs w:val="24"/>
          <w:u w:val="single"/>
        </w:rPr>
        <w:t>Projections</w:t>
      </w:r>
      <w:r w:rsidRPr="009C6D11">
        <w:rPr>
          <w:szCs w:val="24"/>
        </w:rPr>
        <w:t xml:space="preserve">: </w:t>
      </w:r>
      <w:r>
        <w:rPr>
          <w:szCs w:val="24"/>
        </w:rPr>
        <w:t>The</w:t>
      </w:r>
      <w:r w:rsidRPr="00EA2E41">
        <w:rPr>
          <w:szCs w:val="24"/>
        </w:rPr>
        <w:t xml:space="preserve"> Proposed Project will not be implemented for several years</w:t>
      </w:r>
      <w:r>
        <w:rPr>
          <w:szCs w:val="24"/>
        </w:rPr>
        <w:t xml:space="preserve">. Therefore, the </w:t>
      </w:r>
      <w:r w:rsidRPr="00EA2E41">
        <w:rPr>
          <w:szCs w:val="24"/>
        </w:rPr>
        <w:t xml:space="preserve">Applicant will provide baseline measures and three years of projections </w:t>
      </w:r>
      <w:r>
        <w:rPr>
          <w:szCs w:val="24"/>
        </w:rPr>
        <w:t xml:space="preserve">at least </w:t>
      </w:r>
      <w:r w:rsidRPr="00EA2E41">
        <w:rPr>
          <w:szCs w:val="24"/>
        </w:rPr>
        <w:t>one year prior to implementation of the Proposed Project</w:t>
      </w:r>
      <w:r>
        <w:rPr>
          <w:szCs w:val="24"/>
        </w:rPr>
        <w:t>.</w:t>
      </w:r>
    </w:p>
    <w:p w14:paraId="49E60F1B" w14:textId="251FF9C4" w:rsidR="00240733" w:rsidRPr="00AB1C89" w:rsidRDefault="00240733" w:rsidP="00240733">
      <w:pPr>
        <w:widowControl w:val="0"/>
        <w:numPr>
          <w:ilvl w:val="1"/>
          <w:numId w:val="2"/>
        </w:numPr>
        <w:autoSpaceDE w:val="0"/>
        <w:autoSpaceDN w:val="0"/>
        <w:jc w:val="both"/>
        <w:rPr>
          <w:szCs w:val="24"/>
        </w:rPr>
      </w:pPr>
      <w:r w:rsidRPr="009C6D11">
        <w:rPr>
          <w:szCs w:val="24"/>
          <w:u w:val="single"/>
        </w:rPr>
        <w:t>Monitoring</w:t>
      </w:r>
      <w:r w:rsidRPr="009C6D11">
        <w:rPr>
          <w:szCs w:val="24"/>
        </w:rPr>
        <w:t xml:space="preserve">: Any category receiving a less than exceptional rating (satisfactory level) will be evaluated and policy changes </w:t>
      </w:r>
      <w:r>
        <w:rPr>
          <w:szCs w:val="24"/>
        </w:rPr>
        <w:t>considered</w:t>
      </w:r>
      <w:r w:rsidR="00A50248" w:rsidRPr="009C6D11">
        <w:rPr>
          <w:szCs w:val="24"/>
        </w:rPr>
        <w:t xml:space="preserve">. </w:t>
      </w:r>
      <w:r w:rsidR="00F4335A">
        <w:rPr>
          <w:szCs w:val="24"/>
        </w:rPr>
        <w:t>These</w:t>
      </w:r>
      <w:r w:rsidRPr="009C6D11">
        <w:rPr>
          <w:szCs w:val="24"/>
        </w:rPr>
        <w:t xml:space="preserve"> data will be evaluated on a</w:t>
      </w:r>
      <w:r>
        <w:rPr>
          <w:szCs w:val="24"/>
        </w:rPr>
        <w:t xml:space="preserve">n annual </w:t>
      </w:r>
      <w:r w:rsidRPr="009C6D11">
        <w:rPr>
          <w:szCs w:val="24"/>
        </w:rPr>
        <w:t>basis by the Applicant</w:t>
      </w:r>
      <w:r w:rsidR="002340EA">
        <w:rPr>
          <w:szCs w:val="24"/>
        </w:rPr>
        <w:t>’</w:t>
      </w:r>
      <w:r w:rsidRPr="009C6D11">
        <w:rPr>
          <w:szCs w:val="24"/>
        </w:rPr>
        <w:t xml:space="preserve">s performance improvement and quality staff. </w:t>
      </w:r>
    </w:p>
    <w:p w14:paraId="4D209450" w14:textId="588D5FF7" w:rsidR="00F6671F" w:rsidRPr="00857070" w:rsidRDefault="00240733" w:rsidP="00857070">
      <w:pPr>
        <w:widowControl w:val="0"/>
        <w:numPr>
          <w:ilvl w:val="0"/>
          <w:numId w:val="2"/>
        </w:numPr>
        <w:autoSpaceDE w:val="0"/>
        <w:autoSpaceDN w:val="0"/>
        <w:jc w:val="both"/>
        <w:rPr>
          <w:szCs w:val="24"/>
        </w:rPr>
        <w:sectPr w:rsidR="00F6671F" w:rsidRPr="00857070">
          <w:pgSz w:w="12240" w:h="15840"/>
          <w:pgMar w:top="1440" w:right="1440" w:bottom="1440" w:left="1440" w:header="720" w:footer="720" w:gutter="0"/>
          <w:cols w:space="720"/>
          <w:docGrid w:linePitch="360"/>
        </w:sectPr>
      </w:pPr>
      <w:r>
        <w:rPr>
          <w:szCs w:val="24"/>
        </w:rPr>
        <w:t xml:space="preserve">The number of patients who obtain radiation therapy at the new </w:t>
      </w:r>
      <w:r w:rsidR="001E050F">
        <w:rPr>
          <w:szCs w:val="24"/>
        </w:rPr>
        <w:t>Facility</w:t>
      </w:r>
      <w:r>
        <w:rPr>
          <w:szCs w:val="24"/>
        </w:rPr>
        <w:t>.</w:t>
      </w:r>
    </w:p>
    <w:p w14:paraId="2BE2754E" w14:textId="77777777" w:rsidR="00B65F4F" w:rsidRDefault="00B65F4F" w:rsidP="003624D0">
      <w:pPr>
        <w:keepNext/>
        <w:jc w:val="both"/>
        <w:rPr>
          <w:szCs w:val="24"/>
        </w:rPr>
      </w:pPr>
    </w:p>
    <w:p w14:paraId="29BB02EF" w14:textId="77777777" w:rsidR="00F6671F" w:rsidRPr="009113D4" w:rsidRDefault="00F6671F" w:rsidP="007C5478">
      <w:pPr>
        <w:jc w:val="both"/>
        <w:rPr>
          <w:b/>
          <w:szCs w:val="24"/>
          <w:u w:val="single"/>
        </w:rPr>
      </w:pPr>
      <w:bookmarkStart w:id="14" w:name="_Hlk144405689"/>
      <w:r w:rsidRPr="009113D4">
        <w:rPr>
          <w:b/>
          <w:szCs w:val="24"/>
          <w:u w:val="single"/>
        </w:rPr>
        <w:t xml:space="preserve">F1.b.iii. </w:t>
      </w:r>
      <w:bookmarkEnd w:id="14"/>
      <w:r w:rsidRPr="009113D4">
        <w:rPr>
          <w:b/>
          <w:szCs w:val="24"/>
          <w:u w:val="single"/>
        </w:rPr>
        <w:t>Public Health Value/Health Equity-Focused (Reducing Health Inequity)</w:t>
      </w:r>
    </w:p>
    <w:p w14:paraId="0FC7037A" w14:textId="56E8F198" w:rsidR="0020766F" w:rsidRPr="00350D5C" w:rsidRDefault="00F6671F" w:rsidP="00350D5C">
      <w:pPr>
        <w:jc w:val="both"/>
        <w:rPr>
          <w:b/>
          <w:szCs w:val="24"/>
        </w:rPr>
      </w:pPr>
      <w:r w:rsidRPr="009113D4">
        <w:rPr>
          <w:b/>
          <w:szCs w:val="24"/>
        </w:rPr>
        <w:t xml:space="preserve">For Proposed Projects addressing health inequities identified within the </w:t>
      </w:r>
      <w:bookmarkStart w:id="15" w:name="_9kMNM5YVt4886AIQG2ztleqA"/>
      <w:r w:rsidRPr="009113D4">
        <w:rPr>
          <w:b/>
          <w:szCs w:val="24"/>
        </w:rPr>
        <w:t>Applicant</w:t>
      </w:r>
      <w:r w:rsidR="002340EA">
        <w:rPr>
          <w:b/>
          <w:szCs w:val="24"/>
        </w:rPr>
        <w:t>’</w:t>
      </w:r>
      <w:r w:rsidRPr="009113D4">
        <w:rPr>
          <w:b/>
          <w:szCs w:val="24"/>
        </w:rPr>
        <w:t>s</w:t>
      </w:r>
      <w:bookmarkEnd w:id="15"/>
      <w:r w:rsidRPr="009113D4">
        <w:rPr>
          <w:b/>
          <w:szCs w:val="24"/>
        </w:rPr>
        <w:t xml:space="preserve"> description of the Proposed Project</w:t>
      </w:r>
      <w:r w:rsidR="002340EA">
        <w:rPr>
          <w:b/>
          <w:szCs w:val="24"/>
        </w:rPr>
        <w:t>’</w:t>
      </w:r>
      <w:r w:rsidRPr="009113D4">
        <w:rPr>
          <w:b/>
          <w:szCs w:val="24"/>
        </w:rPr>
        <w:t>s need-base, please justify how the Proposed Project will reduce the health inequity, including the operational components (</w:t>
      </w:r>
      <w:r w:rsidR="000E7201" w:rsidRPr="009113D4">
        <w:rPr>
          <w:b/>
          <w:szCs w:val="24"/>
        </w:rPr>
        <w:t>e.g.,</w:t>
      </w:r>
      <w:r w:rsidRPr="009113D4">
        <w:rPr>
          <w:b/>
          <w:szCs w:val="24"/>
        </w:rPr>
        <w:t xml:space="preserve"> culturally competent staffing). For Proposed Projects not specifically addressing a health disparity or inequity, please provide information about specific actions the </w:t>
      </w:r>
      <w:bookmarkStart w:id="16" w:name="_9kMON5YVt4886AIQG2ztleqA"/>
      <w:r w:rsidRPr="009113D4">
        <w:rPr>
          <w:b/>
          <w:szCs w:val="24"/>
        </w:rPr>
        <w:t>Applicant</w:t>
      </w:r>
      <w:bookmarkEnd w:id="16"/>
      <w:r w:rsidRPr="009113D4">
        <w:rPr>
          <w:b/>
          <w:szCs w:val="24"/>
        </w:rPr>
        <w:t xml:space="preserve"> is and will take to ensure equal access to the health benefits created by the Proposed Project and how these actions will promote health equity.</w:t>
      </w:r>
    </w:p>
    <w:p w14:paraId="7215E47F" w14:textId="77777777" w:rsidR="0020766F" w:rsidRPr="00E32474" w:rsidRDefault="0020766F" w:rsidP="00F6671F">
      <w:pPr>
        <w:rPr>
          <w:bCs/>
          <w:szCs w:val="24"/>
        </w:rPr>
      </w:pPr>
    </w:p>
    <w:p w14:paraId="222E705A" w14:textId="48709356" w:rsidR="00585061" w:rsidRDefault="00F6671F" w:rsidP="00F6671F">
      <w:pPr>
        <w:jc w:val="both"/>
        <w:rPr>
          <w:szCs w:val="24"/>
        </w:rPr>
      </w:pPr>
      <w:r>
        <w:rPr>
          <w:szCs w:val="24"/>
        </w:rPr>
        <w:t xml:space="preserve">The Applicant </w:t>
      </w:r>
      <w:r w:rsidRPr="008615CF">
        <w:rPr>
          <w:szCs w:val="24"/>
        </w:rPr>
        <w:t>is committed to</w:t>
      </w:r>
      <w:r w:rsidR="0042087E">
        <w:rPr>
          <w:szCs w:val="24"/>
        </w:rPr>
        <w:t xml:space="preserve"> promoting equal</w:t>
      </w:r>
      <w:r w:rsidR="00EC750F">
        <w:rPr>
          <w:szCs w:val="24"/>
        </w:rPr>
        <w:t xml:space="preserve"> and equitable</w:t>
      </w:r>
      <w:r w:rsidR="0042087E">
        <w:rPr>
          <w:szCs w:val="24"/>
        </w:rPr>
        <w:t xml:space="preserve"> access to cancer </w:t>
      </w:r>
      <w:r w:rsidR="00EC750F">
        <w:rPr>
          <w:szCs w:val="24"/>
        </w:rPr>
        <w:t xml:space="preserve">care </w:t>
      </w:r>
      <w:r w:rsidR="0042087E">
        <w:rPr>
          <w:szCs w:val="24"/>
        </w:rPr>
        <w:t>and to</w:t>
      </w:r>
      <w:r w:rsidRPr="008615CF">
        <w:rPr>
          <w:szCs w:val="24"/>
        </w:rPr>
        <w:t xml:space="preserve"> reducing barriers to high-quality cancer care for medically underserved patients</w:t>
      </w:r>
      <w:r w:rsidR="0042087E">
        <w:rPr>
          <w:szCs w:val="24"/>
        </w:rPr>
        <w:t>. C</w:t>
      </w:r>
      <w:r w:rsidRPr="009113D4">
        <w:rPr>
          <w:szCs w:val="24"/>
        </w:rPr>
        <w:t xml:space="preserve">ancer </w:t>
      </w:r>
      <w:r w:rsidR="0042087E">
        <w:rPr>
          <w:szCs w:val="24"/>
        </w:rPr>
        <w:t xml:space="preserve">imposes a profound burden </w:t>
      </w:r>
      <w:r w:rsidRPr="009113D4">
        <w:rPr>
          <w:szCs w:val="24"/>
        </w:rPr>
        <w:t>on residents in Boston and its surrounding neighborhoods, especially among communities of color. The Applicant</w:t>
      </w:r>
      <w:r w:rsidR="002340EA">
        <w:rPr>
          <w:szCs w:val="24"/>
        </w:rPr>
        <w:t>’</w:t>
      </w:r>
      <w:r w:rsidRPr="009113D4">
        <w:rPr>
          <w:szCs w:val="24"/>
        </w:rPr>
        <w:t>s efforts to lessen this burden include a broad range of public health programs designed to reduce cancer incidence and mortality, support community development, and ensure every patient receives equitable and culturally appropriate care</w:t>
      </w:r>
      <w:r w:rsidR="00FE1A42">
        <w:rPr>
          <w:szCs w:val="24"/>
        </w:rPr>
        <w:t>, as further described in F</w:t>
      </w:r>
      <w:r w:rsidR="00574E9D">
        <w:rPr>
          <w:szCs w:val="24"/>
        </w:rPr>
        <w:t xml:space="preserve">actor </w:t>
      </w:r>
      <w:r w:rsidR="00FE1A42">
        <w:rPr>
          <w:szCs w:val="24"/>
        </w:rPr>
        <w:t xml:space="preserve">2.c below. </w:t>
      </w:r>
    </w:p>
    <w:p w14:paraId="07C573AD" w14:textId="39BD4A85" w:rsidR="00585061" w:rsidRDefault="00585061" w:rsidP="00F6671F">
      <w:pPr>
        <w:jc w:val="both"/>
        <w:rPr>
          <w:szCs w:val="24"/>
        </w:rPr>
      </w:pPr>
    </w:p>
    <w:p w14:paraId="08C6AB3D" w14:textId="2D3F7A7B" w:rsidR="0042087E" w:rsidRDefault="0042087E" w:rsidP="0042087E">
      <w:pPr>
        <w:jc w:val="both"/>
        <w:rPr>
          <w:b/>
          <w:bCs/>
          <w:i/>
          <w:iCs/>
          <w:szCs w:val="24"/>
        </w:rPr>
      </w:pPr>
      <w:r w:rsidRPr="0042087E">
        <w:rPr>
          <w:b/>
          <w:bCs/>
          <w:i/>
          <w:iCs/>
          <w:szCs w:val="24"/>
        </w:rPr>
        <w:t>The Joint Commission Commended the Applicant for Making Health Equity a Central Focus</w:t>
      </w:r>
    </w:p>
    <w:p w14:paraId="774A8564" w14:textId="77777777" w:rsidR="00A61FA3" w:rsidRPr="00A61FA3" w:rsidRDefault="00A61FA3" w:rsidP="0042087E">
      <w:pPr>
        <w:jc w:val="both"/>
        <w:rPr>
          <w:b/>
          <w:bCs/>
          <w:i/>
          <w:iCs/>
          <w:szCs w:val="24"/>
        </w:rPr>
      </w:pPr>
    </w:p>
    <w:p w14:paraId="7892DB3E" w14:textId="63B16572" w:rsidR="00585061" w:rsidRDefault="005D4223" w:rsidP="00F6671F">
      <w:pPr>
        <w:jc w:val="both"/>
        <w:rPr>
          <w:szCs w:val="24"/>
        </w:rPr>
      </w:pPr>
      <w:r>
        <w:rPr>
          <w:szCs w:val="24"/>
        </w:rPr>
        <w:t>The Applicant was the first hospital in the</w:t>
      </w:r>
      <w:r w:rsidR="006675CF">
        <w:rPr>
          <w:szCs w:val="24"/>
        </w:rPr>
        <w:t xml:space="preserve"> country</w:t>
      </w:r>
      <w:r>
        <w:rPr>
          <w:szCs w:val="24"/>
        </w:rPr>
        <w:t xml:space="preserve"> </w:t>
      </w:r>
      <w:r w:rsidR="006675CF">
        <w:rPr>
          <w:szCs w:val="24"/>
        </w:rPr>
        <w:t xml:space="preserve">and the </w:t>
      </w:r>
      <w:r>
        <w:rPr>
          <w:szCs w:val="24"/>
        </w:rPr>
        <w:t>Commonwealth</w:t>
      </w:r>
      <w:r w:rsidR="00B6777D">
        <w:rPr>
          <w:szCs w:val="24"/>
        </w:rPr>
        <w:t xml:space="preserve"> to </w:t>
      </w:r>
      <w:r w:rsidR="00DB4FB6">
        <w:rPr>
          <w:szCs w:val="24"/>
        </w:rPr>
        <w:t xml:space="preserve">undergo </w:t>
      </w:r>
      <w:r w:rsidR="000B2DAF" w:rsidRPr="000B2DAF">
        <w:rPr>
          <w:szCs w:val="24"/>
        </w:rPr>
        <w:t>The Joint Commission</w:t>
      </w:r>
      <w:r w:rsidR="002340EA">
        <w:rPr>
          <w:szCs w:val="24"/>
        </w:rPr>
        <w:t>’</w:t>
      </w:r>
      <w:r w:rsidR="000B2DAF" w:rsidRPr="000B2DAF">
        <w:rPr>
          <w:szCs w:val="24"/>
        </w:rPr>
        <w:t xml:space="preserve">s newest National Patient Safety Goal, </w:t>
      </w:r>
      <w:r w:rsidR="00EC750F" w:rsidRPr="000B2DAF">
        <w:rPr>
          <w:szCs w:val="24"/>
        </w:rPr>
        <w:t>which</w:t>
      </w:r>
      <w:r w:rsidR="00EC750F">
        <w:rPr>
          <w:szCs w:val="24"/>
        </w:rPr>
        <w:t>, effective January 2023,</w:t>
      </w:r>
      <w:r w:rsidR="00EC750F" w:rsidRPr="000B2DAF">
        <w:rPr>
          <w:szCs w:val="24"/>
        </w:rPr>
        <w:t xml:space="preserve"> </w:t>
      </w:r>
      <w:r w:rsidR="00EC750F">
        <w:rPr>
          <w:szCs w:val="24"/>
        </w:rPr>
        <w:t>assesses compliance with new health equity requirements.</w:t>
      </w:r>
      <w:r w:rsidR="006F5339" w:rsidRPr="006F5339">
        <w:t xml:space="preserve"> </w:t>
      </w:r>
      <w:r w:rsidR="002B4B44">
        <w:rPr>
          <w:szCs w:val="24"/>
        </w:rPr>
        <w:t xml:space="preserve">The Joint Commission commended the Applicant for making </w:t>
      </w:r>
      <w:r w:rsidR="002B4B44" w:rsidRPr="000B2DAF">
        <w:rPr>
          <w:szCs w:val="24"/>
        </w:rPr>
        <w:t xml:space="preserve">health equity a central focus of </w:t>
      </w:r>
      <w:r w:rsidR="002B4B44">
        <w:rPr>
          <w:szCs w:val="24"/>
        </w:rPr>
        <w:t>its</w:t>
      </w:r>
      <w:r w:rsidR="002B4B44" w:rsidRPr="000B2DAF">
        <w:rPr>
          <w:szCs w:val="24"/>
        </w:rPr>
        <w:t xml:space="preserve"> core values, strategic plan, and day-to-day operations</w:t>
      </w:r>
      <w:r w:rsidR="002B4B44">
        <w:rPr>
          <w:szCs w:val="24"/>
        </w:rPr>
        <w:t xml:space="preserve"> and emphasized that the Applicant</w:t>
      </w:r>
      <w:r w:rsidR="002340EA">
        <w:rPr>
          <w:szCs w:val="24"/>
        </w:rPr>
        <w:t>’</w:t>
      </w:r>
      <w:r w:rsidR="002B4B44">
        <w:rPr>
          <w:szCs w:val="24"/>
        </w:rPr>
        <w:t xml:space="preserve">s outreach efforts were </w:t>
      </w:r>
      <w:r w:rsidR="00DB4FB6">
        <w:rPr>
          <w:szCs w:val="24"/>
        </w:rPr>
        <w:t>industry-leading</w:t>
      </w:r>
      <w:r w:rsidR="00B6777D">
        <w:rPr>
          <w:szCs w:val="24"/>
        </w:rPr>
        <w:t xml:space="preserve"> as many of the </w:t>
      </w:r>
      <w:r w:rsidR="00DB4FB6">
        <w:rPr>
          <w:szCs w:val="24"/>
        </w:rPr>
        <w:t>Applicant</w:t>
      </w:r>
      <w:r w:rsidR="002340EA">
        <w:rPr>
          <w:szCs w:val="24"/>
        </w:rPr>
        <w:t>’</w:t>
      </w:r>
      <w:r w:rsidR="00DB4FB6">
        <w:rPr>
          <w:szCs w:val="24"/>
        </w:rPr>
        <w:t xml:space="preserve">s </w:t>
      </w:r>
      <w:r w:rsidR="00B6777D">
        <w:rPr>
          <w:szCs w:val="24"/>
        </w:rPr>
        <w:t>initiatives pre-dated regulatory requirements</w:t>
      </w:r>
      <w:r w:rsidR="002B4B44">
        <w:rPr>
          <w:szCs w:val="24"/>
        </w:rPr>
        <w:t xml:space="preserve">. </w:t>
      </w:r>
      <w:r w:rsidR="000D13AC">
        <w:rPr>
          <w:szCs w:val="24"/>
        </w:rPr>
        <w:t>The Applicant met all six elements of performance by d</w:t>
      </w:r>
      <w:r w:rsidR="006F5339" w:rsidRPr="006F5339">
        <w:rPr>
          <w:szCs w:val="24"/>
        </w:rPr>
        <w:t>esignating leaders to reduce health disparities for patients, assessing health related social needs</w:t>
      </w:r>
      <w:r w:rsidR="00DB4FB6">
        <w:rPr>
          <w:szCs w:val="24"/>
        </w:rPr>
        <w:t xml:space="preserve">, </w:t>
      </w:r>
      <w:r w:rsidR="006F5339" w:rsidRPr="006F5339">
        <w:rPr>
          <w:szCs w:val="24"/>
        </w:rPr>
        <w:t>providing resource information</w:t>
      </w:r>
      <w:r w:rsidR="00DB4FB6">
        <w:rPr>
          <w:szCs w:val="24"/>
        </w:rPr>
        <w:t xml:space="preserve"> </w:t>
      </w:r>
      <w:r w:rsidR="00DB4FB6">
        <w:t>and meeting identified patient needs with resources</w:t>
      </w:r>
      <w:r w:rsidR="006F5339" w:rsidRPr="006F5339">
        <w:rPr>
          <w:szCs w:val="24"/>
        </w:rPr>
        <w:t>, stratifying quality and safety data by socio-demographic characteristics, developing a written action plan to address at least one health disparity, evaluating the action plan and taking action to achieve those goals, and informing leaders, practitioners, and staff about progress to reduce identified disparities.</w:t>
      </w:r>
      <w:r w:rsidR="000D13AC">
        <w:rPr>
          <w:szCs w:val="24"/>
        </w:rPr>
        <w:t xml:space="preserve"> </w:t>
      </w:r>
      <w:r w:rsidR="00585061">
        <w:rPr>
          <w:szCs w:val="24"/>
        </w:rPr>
        <w:t xml:space="preserve">Among other </w:t>
      </w:r>
      <w:r w:rsidR="007F3EB4">
        <w:rPr>
          <w:szCs w:val="24"/>
        </w:rPr>
        <w:t>initiatives</w:t>
      </w:r>
      <w:r w:rsidR="00FE1A42">
        <w:rPr>
          <w:szCs w:val="24"/>
        </w:rPr>
        <w:t xml:space="preserve"> and in accordance with The Joint Commission</w:t>
      </w:r>
      <w:r w:rsidR="002340EA">
        <w:rPr>
          <w:szCs w:val="24"/>
        </w:rPr>
        <w:t>’</w:t>
      </w:r>
      <w:r w:rsidR="00FE1A42">
        <w:rPr>
          <w:szCs w:val="24"/>
        </w:rPr>
        <w:t>s standards,</w:t>
      </w:r>
      <w:r w:rsidR="00585061">
        <w:rPr>
          <w:szCs w:val="24"/>
        </w:rPr>
        <w:t xml:space="preserve"> the Applicant included a social </w:t>
      </w:r>
      <w:r w:rsidR="000D13AC">
        <w:rPr>
          <w:szCs w:val="24"/>
        </w:rPr>
        <w:t>determinants</w:t>
      </w:r>
      <w:r w:rsidR="00585061">
        <w:rPr>
          <w:szCs w:val="24"/>
        </w:rPr>
        <w:t xml:space="preserve"> of health screening via its new patient intake questionnaire, developed a written action plan to improve access to transportation for patients in the patient navigation program (discussed below) and embedded h</w:t>
      </w:r>
      <w:r w:rsidR="00585061" w:rsidRPr="00097A6E">
        <w:rPr>
          <w:szCs w:val="24"/>
        </w:rPr>
        <w:t>ealth equity initiatives and progress reporting</w:t>
      </w:r>
      <w:r w:rsidR="00585061">
        <w:rPr>
          <w:szCs w:val="24"/>
        </w:rPr>
        <w:t xml:space="preserve"> </w:t>
      </w:r>
      <w:r w:rsidR="00585061" w:rsidRPr="00097A6E">
        <w:rPr>
          <w:szCs w:val="24"/>
        </w:rPr>
        <w:t>within Quality Assurance and Performance Improvement goals</w:t>
      </w:r>
      <w:r w:rsidR="008D5DF0">
        <w:rPr>
          <w:szCs w:val="24"/>
        </w:rPr>
        <w:t xml:space="preserve"> and structure, the Applicant</w:t>
      </w:r>
      <w:r w:rsidR="002340EA">
        <w:rPr>
          <w:szCs w:val="24"/>
        </w:rPr>
        <w:t>’</w:t>
      </w:r>
      <w:r w:rsidR="008D5DF0">
        <w:rPr>
          <w:szCs w:val="24"/>
        </w:rPr>
        <w:t>s operating goals,</w:t>
      </w:r>
      <w:r w:rsidR="00585061" w:rsidRPr="00097A6E">
        <w:rPr>
          <w:szCs w:val="24"/>
        </w:rPr>
        <w:t xml:space="preserve"> as well as via other reporting structures</w:t>
      </w:r>
      <w:r w:rsidR="00585061">
        <w:rPr>
          <w:szCs w:val="24"/>
        </w:rPr>
        <w:t>.</w:t>
      </w:r>
    </w:p>
    <w:p w14:paraId="3C4BF0FA" w14:textId="12A37462" w:rsidR="00585061" w:rsidRDefault="00585061" w:rsidP="00F6671F">
      <w:pPr>
        <w:jc w:val="both"/>
        <w:rPr>
          <w:szCs w:val="24"/>
        </w:rPr>
      </w:pPr>
    </w:p>
    <w:p w14:paraId="632FB396" w14:textId="00EC3CD3" w:rsidR="00A61FA3" w:rsidRDefault="00A61FA3" w:rsidP="00A61FA3">
      <w:pPr>
        <w:jc w:val="both"/>
        <w:rPr>
          <w:b/>
          <w:bCs/>
          <w:i/>
          <w:iCs/>
          <w:szCs w:val="24"/>
        </w:rPr>
      </w:pPr>
      <w:r w:rsidRPr="00A6518C">
        <w:rPr>
          <w:b/>
          <w:bCs/>
          <w:i/>
          <w:iCs/>
          <w:szCs w:val="24"/>
        </w:rPr>
        <w:t>A</w:t>
      </w:r>
      <w:r>
        <w:rPr>
          <w:b/>
          <w:bCs/>
          <w:i/>
          <w:iCs/>
          <w:szCs w:val="24"/>
        </w:rPr>
        <w:t>cce</w:t>
      </w:r>
      <w:r w:rsidRPr="00A6518C">
        <w:rPr>
          <w:b/>
          <w:bCs/>
          <w:i/>
          <w:iCs/>
          <w:szCs w:val="24"/>
        </w:rPr>
        <w:t>ss</w:t>
      </w:r>
    </w:p>
    <w:p w14:paraId="01E628EC" w14:textId="77777777" w:rsidR="00A61FA3" w:rsidRPr="00A6518C" w:rsidRDefault="00A61FA3" w:rsidP="00A61FA3">
      <w:pPr>
        <w:jc w:val="both"/>
        <w:rPr>
          <w:b/>
          <w:bCs/>
          <w:szCs w:val="24"/>
        </w:rPr>
      </w:pPr>
    </w:p>
    <w:p w14:paraId="38096D77" w14:textId="6C6617FF" w:rsidR="00A61FA3" w:rsidRDefault="00A61FA3" w:rsidP="00A61FA3">
      <w:pPr>
        <w:jc w:val="both"/>
        <w:rPr>
          <w:szCs w:val="24"/>
        </w:rPr>
      </w:pPr>
      <w:r w:rsidRPr="009A20AA">
        <w:rPr>
          <w:szCs w:val="24"/>
        </w:rPr>
        <w:t>The Applicant participates in outreach activities aimed at the reduction of cancer incidence, morbidity</w:t>
      </w:r>
      <w:r w:rsidR="005C3764">
        <w:rPr>
          <w:szCs w:val="24"/>
        </w:rPr>
        <w:t>,</w:t>
      </w:r>
      <w:r w:rsidRPr="009A20AA">
        <w:rPr>
          <w:szCs w:val="24"/>
        </w:rPr>
        <w:t xml:space="preserve"> and mortality,</w:t>
      </w:r>
      <w:r w:rsidR="00BC1F17">
        <w:rPr>
          <w:szCs w:val="24"/>
        </w:rPr>
        <w:t xml:space="preserve"> </w:t>
      </w:r>
      <w:r w:rsidR="00BC1F17" w:rsidRPr="009A20AA">
        <w:rPr>
          <w:szCs w:val="24"/>
        </w:rPr>
        <w:t>supports community-based programs</w:t>
      </w:r>
      <w:r w:rsidR="00BC1F17">
        <w:rPr>
          <w:szCs w:val="24"/>
        </w:rPr>
        <w:t>, and</w:t>
      </w:r>
      <w:r w:rsidRPr="009A20AA">
        <w:rPr>
          <w:szCs w:val="24"/>
        </w:rPr>
        <w:t xml:space="preserve"> conducts community-based research.</w:t>
      </w:r>
      <w:r>
        <w:rPr>
          <w:szCs w:val="24"/>
        </w:rPr>
        <w:t xml:space="preserve"> These activities are informed by the Applicant</w:t>
      </w:r>
      <w:r w:rsidR="002340EA">
        <w:rPr>
          <w:szCs w:val="24"/>
        </w:rPr>
        <w:t>’</w:t>
      </w:r>
      <w:r>
        <w:rPr>
          <w:szCs w:val="24"/>
        </w:rPr>
        <w:t>s CHNA, conducted every three years to gain a better understanding of the health issues patients</w:t>
      </w:r>
      <w:r w:rsidR="00516A7B">
        <w:rPr>
          <w:szCs w:val="24"/>
        </w:rPr>
        <w:t xml:space="preserve"> face</w:t>
      </w:r>
      <w:r>
        <w:rPr>
          <w:szCs w:val="24"/>
        </w:rPr>
        <w:t xml:space="preserve"> in the community. Further, t</w:t>
      </w:r>
      <w:r w:rsidRPr="009A20AA">
        <w:rPr>
          <w:szCs w:val="24"/>
        </w:rPr>
        <w:t>he Applicant</w:t>
      </w:r>
      <w:r w:rsidR="002340EA">
        <w:rPr>
          <w:szCs w:val="24"/>
        </w:rPr>
        <w:t>’</w:t>
      </w:r>
      <w:r w:rsidRPr="009A20AA">
        <w:rPr>
          <w:szCs w:val="24"/>
        </w:rPr>
        <w:t>s community outreach mission, which was formally adopted by Applicant</w:t>
      </w:r>
      <w:r w:rsidR="002340EA">
        <w:rPr>
          <w:szCs w:val="24"/>
        </w:rPr>
        <w:t>’</w:t>
      </w:r>
      <w:r w:rsidRPr="009A20AA">
        <w:rPr>
          <w:szCs w:val="24"/>
        </w:rPr>
        <w:t xml:space="preserve">s Board of </w:t>
      </w:r>
      <w:r w:rsidRPr="009A20AA">
        <w:rPr>
          <w:szCs w:val="24"/>
        </w:rPr>
        <w:lastRenderedPageBreak/>
        <w:t xml:space="preserve">Trustees in 1995 and </w:t>
      </w:r>
      <w:r>
        <w:rPr>
          <w:szCs w:val="24"/>
        </w:rPr>
        <w:t>revised in 2022 seeks to</w:t>
      </w:r>
      <w:r w:rsidRPr="009A20AA">
        <w:rPr>
          <w:szCs w:val="24"/>
        </w:rPr>
        <w:t>:</w:t>
      </w:r>
      <w:r>
        <w:rPr>
          <w:szCs w:val="24"/>
        </w:rPr>
        <w:t xml:space="preserve"> (1) e</w:t>
      </w:r>
      <w:r w:rsidRPr="00D426B9">
        <w:rPr>
          <w:szCs w:val="24"/>
        </w:rPr>
        <w:t xml:space="preserve">xpand access to </w:t>
      </w:r>
      <w:r>
        <w:rPr>
          <w:szCs w:val="24"/>
        </w:rPr>
        <w:t>the Applicant</w:t>
      </w:r>
      <w:r w:rsidR="002340EA">
        <w:rPr>
          <w:szCs w:val="24"/>
        </w:rPr>
        <w:t>’</w:t>
      </w:r>
      <w:r>
        <w:rPr>
          <w:szCs w:val="24"/>
        </w:rPr>
        <w:t>s</w:t>
      </w:r>
      <w:r w:rsidRPr="00D426B9">
        <w:rPr>
          <w:szCs w:val="24"/>
        </w:rPr>
        <w:t xml:space="preserve"> measurable, evidence-based programs in early detection, screening, and cancer prevention and education to reach at-risk, historically marginalized, and diverse populations</w:t>
      </w:r>
      <w:r>
        <w:rPr>
          <w:szCs w:val="24"/>
        </w:rPr>
        <w:t>, and (2) p</w:t>
      </w:r>
      <w:r w:rsidRPr="00D426B9">
        <w:rPr>
          <w:szCs w:val="24"/>
        </w:rPr>
        <w:t xml:space="preserve">artner with community health centers, community-based organizations, and government entities to assess, enhance, and improve the overall health and well-being of the members of </w:t>
      </w:r>
      <w:r>
        <w:rPr>
          <w:szCs w:val="24"/>
        </w:rPr>
        <w:t>the Applicant</w:t>
      </w:r>
      <w:r w:rsidR="002340EA">
        <w:rPr>
          <w:szCs w:val="24"/>
        </w:rPr>
        <w:t>’</w:t>
      </w:r>
      <w:r>
        <w:rPr>
          <w:szCs w:val="24"/>
        </w:rPr>
        <w:t>s</w:t>
      </w:r>
      <w:r w:rsidRPr="00D426B9">
        <w:rPr>
          <w:szCs w:val="24"/>
        </w:rPr>
        <w:t xml:space="preserve"> communities</w:t>
      </w:r>
      <w:r>
        <w:rPr>
          <w:szCs w:val="24"/>
        </w:rPr>
        <w:t xml:space="preserve">. The Applicant </w:t>
      </w:r>
      <w:r w:rsidRPr="00D57303">
        <w:rPr>
          <w:szCs w:val="24"/>
        </w:rPr>
        <w:t>was</w:t>
      </w:r>
      <w:r>
        <w:rPr>
          <w:szCs w:val="24"/>
        </w:rPr>
        <w:t xml:space="preserve"> </w:t>
      </w:r>
      <w:r w:rsidRPr="00D57303">
        <w:rPr>
          <w:szCs w:val="24"/>
        </w:rPr>
        <w:t xml:space="preserve">the first hospital to establish a </w:t>
      </w:r>
      <w:r w:rsidR="00D1045C" w:rsidRPr="00D1045C">
        <w:rPr>
          <w:szCs w:val="24"/>
        </w:rPr>
        <w:t>Patient and Family Advisory Council</w:t>
      </w:r>
      <w:r w:rsidR="00D1045C">
        <w:rPr>
          <w:szCs w:val="24"/>
        </w:rPr>
        <w:t xml:space="preserve"> (</w:t>
      </w:r>
      <w:r w:rsidR="002340EA">
        <w:rPr>
          <w:szCs w:val="24"/>
        </w:rPr>
        <w:t>“</w:t>
      </w:r>
      <w:r w:rsidR="00D1045C">
        <w:rPr>
          <w:szCs w:val="24"/>
        </w:rPr>
        <w:t>PFAC</w:t>
      </w:r>
      <w:r w:rsidR="002340EA">
        <w:rPr>
          <w:szCs w:val="24"/>
        </w:rPr>
        <w:t>”</w:t>
      </w:r>
      <w:r w:rsidR="00D1045C">
        <w:rPr>
          <w:szCs w:val="24"/>
        </w:rPr>
        <w:t>)</w:t>
      </w:r>
      <w:r>
        <w:rPr>
          <w:szCs w:val="24"/>
        </w:rPr>
        <w:t xml:space="preserve">, </w:t>
      </w:r>
      <w:r w:rsidRPr="00D57303">
        <w:rPr>
          <w:szCs w:val="24"/>
        </w:rPr>
        <w:t>integrating patient</w:t>
      </w:r>
      <w:r>
        <w:rPr>
          <w:szCs w:val="24"/>
        </w:rPr>
        <w:t xml:space="preserve"> and </w:t>
      </w:r>
      <w:r w:rsidRPr="00D57303">
        <w:rPr>
          <w:szCs w:val="24"/>
        </w:rPr>
        <w:t xml:space="preserve">family voices in the development and shaping of programs, </w:t>
      </w:r>
      <w:r w:rsidR="00A72DED" w:rsidRPr="00D57303">
        <w:rPr>
          <w:szCs w:val="24"/>
        </w:rPr>
        <w:t>services,</w:t>
      </w:r>
      <w:r w:rsidRPr="00D57303">
        <w:rPr>
          <w:szCs w:val="24"/>
        </w:rPr>
        <w:t xml:space="preserve"> and initiative</w:t>
      </w:r>
      <w:r>
        <w:rPr>
          <w:szCs w:val="24"/>
        </w:rPr>
        <w:t xml:space="preserve">s, </w:t>
      </w:r>
      <w:r w:rsidRPr="00D57303">
        <w:rPr>
          <w:szCs w:val="24"/>
        </w:rPr>
        <w:t xml:space="preserve">and was instrumental in passing legislation mandating that all Massachusetts hospitals have </w:t>
      </w:r>
      <w:r>
        <w:rPr>
          <w:szCs w:val="24"/>
        </w:rPr>
        <w:t>similar councils</w:t>
      </w:r>
      <w:r w:rsidRPr="00D57303">
        <w:rPr>
          <w:szCs w:val="24"/>
        </w:rPr>
        <w:t>.</w:t>
      </w:r>
    </w:p>
    <w:p w14:paraId="5CB93E41" w14:textId="77777777" w:rsidR="00A61FA3" w:rsidRPr="00A6518C" w:rsidRDefault="00A61FA3" w:rsidP="00A61FA3">
      <w:pPr>
        <w:jc w:val="both"/>
        <w:rPr>
          <w:i/>
          <w:iCs/>
          <w:szCs w:val="24"/>
        </w:rPr>
      </w:pPr>
    </w:p>
    <w:p w14:paraId="49961D27" w14:textId="0BB415A9" w:rsidR="00A61FA3" w:rsidRDefault="00A61FA3" w:rsidP="00A61FA3">
      <w:pPr>
        <w:jc w:val="both"/>
        <w:rPr>
          <w:b/>
          <w:bCs/>
          <w:i/>
          <w:iCs/>
        </w:rPr>
      </w:pPr>
      <w:r w:rsidRPr="007972CE">
        <w:rPr>
          <w:b/>
          <w:bCs/>
          <w:i/>
          <w:iCs/>
        </w:rPr>
        <w:t>Commitment to Clinical Access and Equity</w:t>
      </w:r>
    </w:p>
    <w:p w14:paraId="16AFB01D" w14:textId="77777777" w:rsidR="00042503" w:rsidRPr="007972CE" w:rsidRDefault="00042503" w:rsidP="00A61FA3">
      <w:pPr>
        <w:jc w:val="both"/>
        <w:rPr>
          <w:b/>
          <w:bCs/>
          <w:i/>
          <w:iCs/>
          <w:szCs w:val="24"/>
        </w:rPr>
      </w:pPr>
    </w:p>
    <w:p w14:paraId="74E2A963" w14:textId="3E76DB6A" w:rsidR="00A61FA3" w:rsidRDefault="00A61FA3" w:rsidP="00A61FA3">
      <w:pPr>
        <w:jc w:val="both"/>
        <w:rPr>
          <w:szCs w:val="24"/>
        </w:rPr>
      </w:pPr>
      <w:bookmarkStart w:id="17" w:name="_Hlk148708260"/>
      <w:bookmarkStart w:id="18" w:name="_Hlk148620985"/>
      <w:r>
        <w:rPr>
          <w:szCs w:val="24"/>
        </w:rPr>
        <w:t xml:space="preserve">The Applicant launched its Cancer Care Equity Program (the </w:t>
      </w:r>
      <w:r w:rsidR="002340EA">
        <w:rPr>
          <w:szCs w:val="24"/>
        </w:rPr>
        <w:t>“</w:t>
      </w:r>
      <w:r w:rsidRPr="009B1538">
        <w:rPr>
          <w:szCs w:val="24"/>
        </w:rPr>
        <w:t>CCEP</w:t>
      </w:r>
      <w:r w:rsidR="002340EA">
        <w:rPr>
          <w:szCs w:val="24"/>
        </w:rPr>
        <w:t>”</w:t>
      </w:r>
      <w:r>
        <w:rPr>
          <w:szCs w:val="24"/>
        </w:rPr>
        <w:t xml:space="preserve">) in 2010, </w:t>
      </w:r>
      <w:r w:rsidR="00C91F33">
        <w:rPr>
          <w:szCs w:val="24"/>
        </w:rPr>
        <w:t>and has since</w:t>
      </w:r>
      <w:r w:rsidR="002F57CA">
        <w:rPr>
          <w:szCs w:val="24"/>
        </w:rPr>
        <w:t xml:space="preserve"> expanded its outreach programming to two </w:t>
      </w:r>
      <w:r w:rsidR="00C91F33">
        <w:rPr>
          <w:szCs w:val="24"/>
        </w:rPr>
        <w:t>Federally Qualified Health Clinics (</w:t>
      </w:r>
      <w:r w:rsidR="002340EA">
        <w:rPr>
          <w:szCs w:val="24"/>
        </w:rPr>
        <w:t>“</w:t>
      </w:r>
      <w:r w:rsidR="00C91F33">
        <w:rPr>
          <w:szCs w:val="24"/>
        </w:rPr>
        <w:t>FQHC</w:t>
      </w:r>
      <w:r w:rsidR="002340EA">
        <w:rPr>
          <w:szCs w:val="24"/>
        </w:rPr>
        <w:t>”</w:t>
      </w:r>
      <w:r w:rsidR="00C91F33">
        <w:rPr>
          <w:szCs w:val="24"/>
        </w:rPr>
        <w:t>)</w:t>
      </w:r>
      <w:r w:rsidR="002F57CA">
        <w:rPr>
          <w:szCs w:val="24"/>
        </w:rPr>
        <w:t>, Harvard Street Neighborhood Health Center (</w:t>
      </w:r>
      <w:r w:rsidR="002340EA">
        <w:rPr>
          <w:szCs w:val="24"/>
        </w:rPr>
        <w:t>“</w:t>
      </w:r>
      <w:r w:rsidR="002F57CA">
        <w:rPr>
          <w:szCs w:val="24"/>
        </w:rPr>
        <w:t>Harvard Street</w:t>
      </w:r>
      <w:r w:rsidR="002340EA">
        <w:rPr>
          <w:szCs w:val="24"/>
        </w:rPr>
        <w:t>”</w:t>
      </w:r>
      <w:r w:rsidR="002F57CA">
        <w:rPr>
          <w:szCs w:val="24"/>
        </w:rPr>
        <w:t>) in Dorchester and The Dimock Health Center in Roxbury.</w:t>
      </w:r>
      <w:bookmarkEnd w:id="17"/>
      <w:r w:rsidR="0086352E">
        <w:rPr>
          <w:rStyle w:val="FootnoteReference"/>
          <w:szCs w:val="24"/>
        </w:rPr>
        <w:footnoteReference w:id="97"/>
      </w:r>
      <w:r w:rsidR="002F57CA">
        <w:t xml:space="preserve"> </w:t>
      </w:r>
      <w:r w:rsidRPr="000672AB">
        <w:rPr>
          <w:szCs w:val="24"/>
        </w:rPr>
        <w:t xml:space="preserve">The goal of the CCEP is </w:t>
      </w:r>
      <w:r>
        <w:rPr>
          <w:szCs w:val="24"/>
        </w:rPr>
        <w:t>t</w:t>
      </w:r>
      <w:r w:rsidRPr="000672AB">
        <w:rPr>
          <w:szCs w:val="24"/>
        </w:rPr>
        <w:t>o reduce disparities in cancer outcomes for historically marginalized groups locally, as well as become a national model for translating cancer equity research into interventions that have demonstrable impact.</w:t>
      </w:r>
      <w:r w:rsidR="002F57CA">
        <w:t xml:space="preserve"> Current CCEP</w:t>
      </w:r>
      <w:r w:rsidRPr="00295DA7">
        <w:rPr>
          <w:szCs w:val="24"/>
        </w:rPr>
        <w:t xml:space="preserve"> outreach program</w:t>
      </w:r>
      <w:r w:rsidR="002F57CA">
        <w:rPr>
          <w:szCs w:val="24"/>
        </w:rPr>
        <w:t>s</w:t>
      </w:r>
      <w:r w:rsidRPr="00295DA7">
        <w:rPr>
          <w:szCs w:val="24"/>
        </w:rPr>
        <w:t xml:space="preserve"> provide on-site evaluation services by </w:t>
      </w:r>
      <w:r w:rsidR="002F57CA">
        <w:rPr>
          <w:szCs w:val="24"/>
        </w:rPr>
        <w:t>the Applicant</w:t>
      </w:r>
      <w:r w:rsidR="002340EA">
        <w:rPr>
          <w:szCs w:val="24"/>
        </w:rPr>
        <w:t>’</w:t>
      </w:r>
      <w:r w:rsidR="002F57CA">
        <w:rPr>
          <w:szCs w:val="24"/>
        </w:rPr>
        <w:t xml:space="preserve">s </w:t>
      </w:r>
      <w:r w:rsidRPr="00295DA7">
        <w:rPr>
          <w:szCs w:val="24"/>
        </w:rPr>
        <w:t xml:space="preserve">providers (oncologists and </w:t>
      </w:r>
      <w:r w:rsidR="002F57CA">
        <w:rPr>
          <w:szCs w:val="24"/>
        </w:rPr>
        <w:t xml:space="preserve">other </w:t>
      </w:r>
      <w:r w:rsidRPr="00295DA7">
        <w:rPr>
          <w:szCs w:val="24"/>
        </w:rPr>
        <w:t xml:space="preserve">clinicians) to patients at </w:t>
      </w:r>
      <w:r w:rsidR="002F57CA">
        <w:rPr>
          <w:szCs w:val="24"/>
        </w:rPr>
        <w:t xml:space="preserve">Harvard Street and The Dimock Center </w:t>
      </w:r>
      <w:r w:rsidRPr="00295DA7">
        <w:rPr>
          <w:szCs w:val="24"/>
        </w:rPr>
        <w:t>based on a co-location model. In coordination with their primary care provider</w:t>
      </w:r>
      <w:r>
        <w:rPr>
          <w:szCs w:val="24"/>
        </w:rPr>
        <w:t xml:space="preserve">, </w:t>
      </w:r>
      <w:r w:rsidRPr="00295DA7">
        <w:rPr>
          <w:szCs w:val="24"/>
        </w:rPr>
        <w:t xml:space="preserve">patients are referred to the </w:t>
      </w:r>
      <w:r w:rsidR="002F57CA">
        <w:rPr>
          <w:szCs w:val="24"/>
        </w:rPr>
        <w:t xml:space="preserve">CCEP </w:t>
      </w:r>
      <w:r w:rsidRPr="00295DA7">
        <w:rPr>
          <w:szCs w:val="24"/>
        </w:rPr>
        <w:t xml:space="preserve">for diagnostic evaluation of suspected cancers and abnormal screening, cancer genetic counseling and testing, lung cancer screening and smoking cessation counseling, selected long-term follow-up or, for those with previous cancer histories, to re-establish connections with oncology. </w:t>
      </w:r>
      <w:r w:rsidR="006A2642">
        <w:rPr>
          <w:szCs w:val="24"/>
        </w:rPr>
        <w:t xml:space="preserve">The </w:t>
      </w:r>
      <w:r w:rsidR="006A2642">
        <w:rPr>
          <w:rFonts w:eastAsia="Times New Roman"/>
        </w:rPr>
        <w:t>Applicant</w:t>
      </w:r>
      <w:r w:rsidR="002340EA">
        <w:rPr>
          <w:rFonts w:eastAsia="Times New Roman"/>
        </w:rPr>
        <w:t>’</w:t>
      </w:r>
      <w:r w:rsidR="006A2642">
        <w:rPr>
          <w:rFonts w:eastAsia="Times New Roman"/>
        </w:rPr>
        <w:t>s clinicians provide care under the license of the FQHCs, which allows for continuity of care and reduced administrative burdens for patients.</w:t>
      </w:r>
      <w:r>
        <w:rPr>
          <w:szCs w:val="24"/>
        </w:rPr>
        <w:t xml:space="preserve"> </w:t>
      </w:r>
      <w:r w:rsidRPr="00E52955">
        <w:rPr>
          <w:szCs w:val="24"/>
        </w:rPr>
        <w:t xml:space="preserve">When patients who participate in these clinics present </w:t>
      </w:r>
      <w:r w:rsidR="006D492A">
        <w:rPr>
          <w:szCs w:val="24"/>
        </w:rPr>
        <w:t xml:space="preserve">with </w:t>
      </w:r>
      <w:r w:rsidRPr="00E52955">
        <w:rPr>
          <w:szCs w:val="24"/>
        </w:rPr>
        <w:t xml:space="preserve">cancer-related issues, the CCEP navigates </w:t>
      </w:r>
      <w:r w:rsidR="006D492A">
        <w:rPr>
          <w:szCs w:val="24"/>
        </w:rPr>
        <w:t xml:space="preserve">the </w:t>
      </w:r>
      <w:r w:rsidRPr="00E52955">
        <w:rPr>
          <w:szCs w:val="24"/>
        </w:rPr>
        <w:t>patient to a cancer facility</w:t>
      </w:r>
      <w:r w:rsidR="002F57CA">
        <w:rPr>
          <w:szCs w:val="24"/>
        </w:rPr>
        <w:t xml:space="preserve"> of their choosing</w:t>
      </w:r>
      <w:r w:rsidRPr="00E52955">
        <w:rPr>
          <w:szCs w:val="24"/>
        </w:rPr>
        <w:t>, including, if appropriate, the Applicant, for further care. If a patient does not present with a cancer-related issue, the CCEP helps navigate those patients to other, non-cancer specialty care</w:t>
      </w:r>
      <w:r>
        <w:rPr>
          <w:szCs w:val="24"/>
        </w:rPr>
        <w:t xml:space="preserve"> according to the wishes of the patient. </w:t>
      </w:r>
      <w:r w:rsidR="006D492A">
        <w:rPr>
          <w:szCs w:val="24"/>
        </w:rPr>
        <w:t>A study conducted of</w:t>
      </w:r>
      <w:r>
        <w:rPr>
          <w:szCs w:val="24"/>
        </w:rPr>
        <w:t xml:space="preserve"> </w:t>
      </w:r>
      <w:r w:rsidR="002F57CA">
        <w:rPr>
          <w:szCs w:val="24"/>
        </w:rPr>
        <w:t>the CCEP</w:t>
      </w:r>
      <w:r>
        <w:rPr>
          <w:szCs w:val="24"/>
        </w:rPr>
        <w:t xml:space="preserve"> model </w:t>
      </w:r>
      <w:r w:rsidR="006D492A">
        <w:rPr>
          <w:szCs w:val="24"/>
        </w:rPr>
        <w:t xml:space="preserve">indicates that the model </w:t>
      </w:r>
      <w:r>
        <w:rPr>
          <w:szCs w:val="24"/>
        </w:rPr>
        <w:t>improve</w:t>
      </w:r>
      <w:r w:rsidR="006D492A">
        <w:rPr>
          <w:szCs w:val="24"/>
        </w:rPr>
        <w:t>s</w:t>
      </w:r>
      <w:r>
        <w:rPr>
          <w:szCs w:val="24"/>
        </w:rPr>
        <w:t xml:space="preserve"> access to care for historically </w:t>
      </w:r>
      <w:r w:rsidR="008D5DF0">
        <w:rPr>
          <w:szCs w:val="24"/>
        </w:rPr>
        <w:t>marginalized</w:t>
      </w:r>
      <w:r>
        <w:rPr>
          <w:szCs w:val="24"/>
        </w:rPr>
        <w:t xml:space="preserve"> populations.</w:t>
      </w:r>
      <w:r>
        <w:rPr>
          <w:rStyle w:val="FootnoteReference"/>
          <w:szCs w:val="24"/>
        </w:rPr>
        <w:footnoteReference w:id="98"/>
      </w:r>
      <w:r>
        <w:rPr>
          <w:szCs w:val="24"/>
        </w:rPr>
        <w:t xml:space="preserve"> </w:t>
      </w:r>
    </w:p>
    <w:bookmarkEnd w:id="18"/>
    <w:p w14:paraId="754CCBAF" w14:textId="77777777" w:rsidR="003724F9" w:rsidRDefault="003724F9" w:rsidP="00A61FA3">
      <w:pPr>
        <w:jc w:val="both"/>
        <w:rPr>
          <w:b/>
          <w:bCs/>
          <w:i/>
          <w:iCs/>
          <w:szCs w:val="24"/>
        </w:rPr>
      </w:pPr>
    </w:p>
    <w:p w14:paraId="36892E0E" w14:textId="031FC81E" w:rsidR="00A61FA3" w:rsidRDefault="00A61FA3" w:rsidP="00A61FA3">
      <w:pPr>
        <w:jc w:val="both"/>
        <w:rPr>
          <w:b/>
          <w:bCs/>
          <w:i/>
          <w:iCs/>
          <w:szCs w:val="24"/>
        </w:rPr>
      </w:pPr>
      <w:r w:rsidRPr="00B126C0">
        <w:rPr>
          <w:b/>
          <w:bCs/>
          <w:i/>
          <w:iCs/>
          <w:szCs w:val="24"/>
        </w:rPr>
        <w:t>Community Focused Patient Navigation</w:t>
      </w:r>
    </w:p>
    <w:p w14:paraId="51517DF0" w14:textId="77777777" w:rsidR="00042503" w:rsidRPr="00B126C0" w:rsidRDefault="00042503" w:rsidP="00A61FA3">
      <w:pPr>
        <w:jc w:val="both"/>
        <w:rPr>
          <w:b/>
          <w:bCs/>
          <w:i/>
          <w:iCs/>
          <w:szCs w:val="24"/>
        </w:rPr>
      </w:pPr>
    </w:p>
    <w:p w14:paraId="47B8A8ED" w14:textId="24130B8B" w:rsidR="00A61FA3" w:rsidRDefault="00A61FA3" w:rsidP="00A61FA3">
      <w:pPr>
        <w:jc w:val="both"/>
        <w:rPr>
          <w:szCs w:val="24"/>
        </w:rPr>
      </w:pPr>
      <w:r w:rsidRPr="002B5C2F">
        <w:rPr>
          <w:szCs w:val="24"/>
        </w:rPr>
        <w:t xml:space="preserve">To reduce gaps in timely cancer screening, diagnosis, and treatment for patients from historically marginalized and vulnerable groups who are most at risk to loss </w:t>
      </w:r>
      <w:r w:rsidR="008D5DF0">
        <w:rPr>
          <w:szCs w:val="24"/>
        </w:rPr>
        <w:t>at</w:t>
      </w:r>
      <w:r w:rsidRPr="002B5C2F">
        <w:rPr>
          <w:szCs w:val="24"/>
        </w:rPr>
        <w:t xml:space="preserve"> follow up, </w:t>
      </w:r>
      <w:r>
        <w:rPr>
          <w:szCs w:val="24"/>
        </w:rPr>
        <w:t>the Applicant</w:t>
      </w:r>
      <w:r w:rsidRPr="002B5C2F">
        <w:rPr>
          <w:szCs w:val="24"/>
        </w:rPr>
        <w:t xml:space="preserve"> created a patient navigation program in 2005 with the aim of guiding medically underserved patients and their families through the complexities of both cancer screening and cancer care in a culturally sensitive way</w:t>
      </w:r>
      <w:r>
        <w:rPr>
          <w:szCs w:val="24"/>
        </w:rPr>
        <w:t xml:space="preserve">. </w:t>
      </w:r>
      <w:r w:rsidRPr="002B5C2F">
        <w:rPr>
          <w:szCs w:val="24"/>
        </w:rPr>
        <w:t xml:space="preserve">Patient navigation, a concept pioneered in </w:t>
      </w:r>
      <w:r>
        <w:rPr>
          <w:szCs w:val="24"/>
        </w:rPr>
        <w:t xml:space="preserve">the </w:t>
      </w:r>
      <w:r w:rsidRPr="002B5C2F">
        <w:rPr>
          <w:szCs w:val="24"/>
        </w:rPr>
        <w:t xml:space="preserve">1990s by Harold Freeman, MD, is an evidence-based, community-based intervention designed to promote timely access to cancer </w:t>
      </w:r>
      <w:r w:rsidRPr="002B5C2F">
        <w:rPr>
          <w:szCs w:val="24"/>
        </w:rPr>
        <w:lastRenderedPageBreak/>
        <w:t>diagnosis and treatment by eliminating barriers to care from point of cancer detection to survivorship or end of life, such as: financial and economic disparities, health</w:t>
      </w:r>
      <w:r w:rsidR="00F25DC8">
        <w:rPr>
          <w:szCs w:val="24"/>
        </w:rPr>
        <w:t xml:space="preserve"> </w:t>
      </w:r>
      <w:r w:rsidRPr="002B5C2F">
        <w:rPr>
          <w:szCs w:val="24"/>
        </w:rPr>
        <w:t>care system complexity, language and cultural differences, communication and information breakdown, and fear and distrust of health</w:t>
      </w:r>
      <w:r w:rsidR="00F25DC8">
        <w:rPr>
          <w:szCs w:val="24"/>
        </w:rPr>
        <w:t xml:space="preserve"> </w:t>
      </w:r>
      <w:r w:rsidRPr="002B5C2F">
        <w:rPr>
          <w:szCs w:val="24"/>
        </w:rPr>
        <w:t>care providers/system.</w:t>
      </w:r>
      <w:r>
        <w:rPr>
          <w:rStyle w:val="FootnoteReference"/>
          <w:szCs w:val="24"/>
        </w:rPr>
        <w:footnoteReference w:id="99"/>
      </w:r>
      <w:r w:rsidRPr="002B5C2F">
        <w:t xml:space="preserve"> </w:t>
      </w:r>
      <w:r w:rsidRPr="002B5C2F">
        <w:rPr>
          <w:szCs w:val="24"/>
        </w:rPr>
        <w:t xml:space="preserve">Though anchored at </w:t>
      </w:r>
      <w:r>
        <w:rPr>
          <w:szCs w:val="24"/>
        </w:rPr>
        <w:t>the Applicant</w:t>
      </w:r>
      <w:r w:rsidRPr="002B5C2F">
        <w:rPr>
          <w:szCs w:val="24"/>
        </w:rPr>
        <w:t>,</w:t>
      </w:r>
      <w:r>
        <w:rPr>
          <w:szCs w:val="24"/>
        </w:rPr>
        <w:t xml:space="preserve"> the Applicant</w:t>
      </w:r>
      <w:r w:rsidR="002340EA">
        <w:rPr>
          <w:szCs w:val="24"/>
        </w:rPr>
        <w:t>’</w:t>
      </w:r>
      <w:r>
        <w:rPr>
          <w:szCs w:val="24"/>
        </w:rPr>
        <w:t xml:space="preserve">s patient </w:t>
      </w:r>
      <w:r w:rsidRPr="002B5C2F">
        <w:rPr>
          <w:szCs w:val="24"/>
        </w:rPr>
        <w:t>navigators have established visible relationships with community level providers such as community health centers, primary care practices, community hospitals and other social service organizations</w:t>
      </w:r>
      <w:r w:rsidR="00DD4D7B">
        <w:rPr>
          <w:szCs w:val="24"/>
        </w:rPr>
        <w:t>.</w:t>
      </w:r>
      <w:r w:rsidR="00253894">
        <w:rPr>
          <w:szCs w:val="24"/>
        </w:rPr>
        <w:t xml:space="preserve"> </w:t>
      </w:r>
      <w:r w:rsidR="00DD4D7B" w:rsidRPr="009113D4">
        <w:rPr>
          <w:szCs w:val="24"/>
        </w:rPr>
        <w:t xml:space="preserve">A patient navigator is an individual trained to help identify and resolve real and perceived barriers to care, enabling cancer patients to adhere to </w:t>
      </w:r>
      <w:r w:rsidR="00DD4D7B">
        <w:rPr>
          <w:szCs w:val="24"/>
        </w:rPr>
        <w:t>treatment</w:t>
      </w:r>
      <w:r w:rsidR="00DD4D7B" w:rsidRPr="009113D4">
        <w:rPr>
          <w:szCs w:val="24"/>
        </w:rPr>
        <w:t xml:space="preserve"> recommendations,</w:t>
      </w:r>
      <w:r w:rsidR="005C3764">
        <w:rPr>
          <w:szCs w:val="24"/>
        </w:rPr>
        <w:t xml:space="preserve"> and</w:t>
      </w:r>
      <w:r w:rsidR="00DD4D7B" w:rsidRPr="009113D4">
        <w:rPr>
          <w:szCs w:val="24"/>
        </w:rPr>
        <w:t xml:space="preserve"> thereby improving their cancer outcomes.</w:t>
      </w:r>
      <w:r w:rsidR="00DD4D7B" w:rsidRPr="009113D4">
        <w:rPr>
          <w:szCs w:val="24"/>
          <w:vertAlign w:val="superscript"/>
        </w:rPr>
        <w:footnoteReference w:id="100"/>
      </w:r>
      <w:r w:rsidR="00DD4D7B" w:rsidRPr="009113D4">
        <w:rPr>
          <w:szCs w:val="24"/>
        </w:rPr>
        <w:t xml:space="preserve"> </w:t>
      </w:r>
      <w:r w:rsidR="00DD4D7B" w:rsidRPr="00F92CDA">
        <w:rPr>
          <w:szCs w:val="24"/>
        </w:rPr>
        <w:t>Patient navigators</w:t>
      </w:r>
      <w:r w:rsidR="00DD4D7B" w:rsidRPr="009113D4">
        <w:rPr>
          <w:szCs w:val="24"/>
        </w:rPr>
        <w:t xml:space="preserve"> are tasked with identifying high-risk patients, conducting outreach to </w:t>
      </w:r>
      <w:r w:rsidR="00DD4D7B">
        <w:rPr>
          <w:szCs w:val="24"/>
        </w:rPr>
        <w:t>marginalized communities</w:t>
      </w:r>
      <w:r w:rsidR="00DD4D7B" w:rsidRPr="009113D4">
        <w:rPr>
          <w:szCs w:val="24"/>
        </w:rPr>
        <w:t>, and assisting patients in accessing the Applicant</w:t>
      </w:r>
      <w:r w:rsidR="002340EA">
        <w:rPr>
          <w:szCs w:val="24"/>
        </w:rPr>
        <w:t>’</w:t>
      </w:r>
      <w:r w:rsidR="00DD4D7B" w:rsidRPr="009113D4">
        <w:rPr>
          <w:szCs w:val="24"/>
        </w:rPr>
        <w:t xml:space="preserve">s cancer care and supportive services. </w:t>
      </w:r>
      <w:r w:rsidR="00DD4D7B">
        <w:rPr>
          <w:szCs w:val="24"/>
        </w:rPr>
        <w:t>Further, the Applicant</w:t>
      </w:r>
      <w:r w:rsidR="002340EA">
        <w:rPr>
          <w:szCs w:val="24"/>
        </w:rPr>
        <w:t>’</w:t>
      </w:r>
      <w:r w:rsidR="00DD4D7B">
        <w:rPr>
          <w:szCs w:val="24"/>
        </w:rPr>
        <w:t xml:space="preserve">s patient navigators </w:t>
      </w:r>
      <w:r w:rsidR="00DD4D7B" w:rsidRPr="006F5339">
        <w:rPr>
          <w:szCs w:val="24"/>
        </w:rPr>
        <w:t>proactively engage with adult patients from historically marginalized communities, eliminate barriers to timely care, and help patients navigate health care system complexities and logistics throughout the cancer continuum</w:t>
      </w:r>
      <w:r w:rsidR="00DD4D7B">
        <w:rPr>
          <w:szCs w:val="24"/>
        </w:rPr>
        <w:t xml:space="preserve">. </w:t>
      </w:r>
      <w:r w:rsidR="00DD4D7B" w:rsidRPr="009113D4">
        <w:rPr>
          <w:szCs w:val="24"/>
        </w:rPr>
        <w:t>Studies have found that cancer patient navigation programs result in increased access to and utilization of cancer care for poor and underserved individuals.</w:t>
      </w:r>
      <w:r w:rsidR="00DD4D7B" w:rsidRPr="009113D4">
        <w:rPr>
          <w:szCs w:val="24"/>
          <w:vertAlign w:val="superscript"/>
        </w:rPr>
        <w:footnoteReference w:id="101"/>
      </w:r>
      <w:r w:rsidR="00DD4D7B">
        <w:rPr>
          <w:szCs w:val="24"/>
        </w:rPr>
        <w:t xml:space="preserve"> </w:t>
      </w:r>
      <w:r w:rsidR="00DD4D7B" w:rsidRPr="009113D4">
        <w:rPr>
          <w:szCs w:val="24"/>
        </w:rPr>
        <w:t xml:space="preserve">Research shows that patients who face the greatest barriers in accessing care are at risk </w:t>
      </w:r>
      <w:r w:rsidR="00516A7B">
        <w:rPr>
          <w:szCs w:val="24"/>
        </w:rPr>
        <w:t>of</w:t>
      </w:r>
      <w:r w:rsidR="00DD4D7B" w:rsidRPr="009113D4">
        <w:rPr>
          <w:szCs w:val="24"/>
        </w:rPr>
        <w:t xml:space="preserve"> foregoing diagnostic testing and/or treatment until later stages of cancer without the involvement of a navigator to provide support, encouragement</w:t>
      </w:r>
      <w:r w:rsidR="002C4D4D">
        <w:rPr>
          <w:szCs w:val="24"/>
        </w:rPr>
        <w:t>,</w:t>
      </w:r>
      <w:r w:rsidR="00DD4D7B" w:rsidRPr="009113D4">
        <w:rPr>
          <w:szCs w:val="24"/>
        </w:rPr>
        <w:t xml:space="preserve"> and linkages to resources to facilitate completion of treatment, making this a critical resource for patients.</w:t>
      </w:r>
    </w:p>
    <w:p w14:paraId="12355DC6" w14:textId="77777777" w:rsidR="00A61FA3" w:rsidRDefault="00A61FA3" w:rsidP="00A61FA3">
      <w:pPr>
        <w:jc w:val="both"/>
        <w:rPr>
          <w:szCs w:val="24"/>
        </w:rPr>
      </w:pPr>
    </w:p>
    <w:p w14:paraId="5818B03A" w14:textId="1BBBFF29" w:rsidR="00A61FA3" w:rsidRDefault="00A61FA3" w:rsidP="00A61FA3">
      <w:pPr>
        <w:jc w:val="both"/>
        <w:rPr>
          <w:szCs w:val="24"/>
        </w:rPr>
      </w:pPr>
      <w:r>
        <w:rPr>
          <w:szCs w:val="24"/>
        </w:rPr>
        <w:t xml:space="preserve">In October 2021, </w:t>
      </w:r>
      <w:r w:rsidR="006C6AA8">
        <w:rPr>
          <w:szCs w:val="24"/>
        </w:rPr>
        <w:t>as an operational priority, this program was expanded</w:t>
      </w:r>
      <w:r>
        <w:rPr>
          <w:szCs w:val="24"/>
        </w:rPr>
        <w:t xml:space="preserve"> with a focus on increasing access and equity for the Applicant</w:t>
      </w:r>
      <w:r w:rsidR="002340EA">
        <w:rPr>
          <w:szCs w:val="24"/>
        </w:rPr>
        <w:t>’</w:t>
      </w:r>
      <w:r>
        <w:rPr>
          <w:szCs w:val="24"/>
        </w:rPr>
        <w:t xml:space="preserve">s priority community neighborhoods and integrating the navigation with the clinical operations under the </w:t>
      </w:r>
      <w:r w:rsidR="008A0A7D">
        <w:rPr>
          <w:szCs w:val="24"/>
        </w:rPr>
        <w:t>CCEP</w:t>
      </w:r>
      <w:r>
        <w:rPr>
          <w:szCs w:val="24"/>
        </w:rPr>
        <w:t xml:space="preserve"> in collaboration with the </w:t>
      </w:r>
      <w:r w:rsidR="0072467A">
        <w:rPr>
          <w:szCs w:val="24"/>
        </w:rPr>
        <w:t>Applicant</w:t>
      </w:r>
      <w:r w:rsidR="002340EA">
        <w:rPr>
          <w:szCs w:val="24"/>
        </w:rPr>
        <w:t>’</w:t>
      </w:r>
      <w:r w:rsidR="0072467A">
        <w:rPr>
          <w:szCs w:val="24"/>
        </w:rPr>
        <w:t xml:space="preserve">s </w:t>
      </w:r>
      <w:r>
        <w:rPr>
          <w:szCs w:val="24"/>
        </w:rPr>
        <w:t xml:space="preserve">Community Benefits </w:t>
      </w:r>
      <w:r w:rsidR="0072467A">
        <w:rPr>
          <w:szCs w:val="24"/>
        </w:rPr>
        <w:t>O</w:t>
      </w:r>
      <w:r>
        <w:rPr>
          <w:szCs w:val="24"/>
        </w:rPr>
        <w:t>ffice. The Applicant</w:t>
      </w:r>
      <w:r w:rsidR="002340EA">
        <w:rPr>
          <w:szCs w:val="24"/>
        </w:rPr>
        <w:t>’</w:t>
      </w:r>
      <w:r>
        <w:rPr>
          <w:szCs w:val="24"/>
        </w:rPr>
        <w:t>s</w:t>
      </w:r>
      <w:r w:rsidRPr="002B5C2F">
        <w:rPr>
          <w:szCs w:val="24"/>
        </w:rPr>
        <w:t xml:space="preserve"> </w:t>
      </w:r>
      <w:r>
        <w:rPr>
          <w:szCs w:val="24"/>
        </w:rPr>
        <w:t xml:space="preserve">CHNA </w:t>
      </w:r>
      <w:r w:rsidRPr="002B5C2F">
        <w:rPr>
          <w:szCs w:val="24"/>
        </w:rPr>
        <w:t xml:space="preserve">identified </w:t>
      </w:r>
      <w:r>
        <w:rPr>
          <w:szCs w:val="24"/>
        </w:rPr>
        <w:t>p</w:t>
      </w:r>
      <w:r w:rsidRPr="002B5C2F">
        <w:rPr>
          <w:szCs w:val="24"/>
        </w:rPr>
        <w:t xml:space="preserve">riority </w:t>
      </w:r>
      <w:r>
        <w:rPr>
          <w:szCs w:val="24"/>
        </w:rPr>
        <w:t>n</w:t>
      </w:r>
      <w:r w:rsidRPr="002B5C2F">
        <w:rPr>
          <w:szCs w:val="24"/>
        </w:rPr>
        <w:t>eighborhoods for community health work including</w:t>
      </w:r>
      <w:r>
        <w:rPr>
          <w:szCs w:val="24"/>
        </w:rPr>
        <w:t>,</w:t>
      </w:r>
      <w:r w:rsidRPr="002B5C2F">
        <w:rPr>
          <w:szCs w:val="24"/>
        </w:rPr>
        <w:t xml:space="preserve"> Roxbury, Dorchester, Mattapan, and Jamaica Plain, </w:t>
      </w:r>
      <w:r>
        <w:rPr>
          <w:szCs w:val="24"/>
        </w:rPr>
        <w:t xml:space="preserve">which are </w:t>
      </w:r>
      <w:r w:rsidRPr="002B5C2F">
        <w:rPr>
          <w:szCs w:val="24"/>
        </w:rPr>
        <w:t>some of Boston</w:t>
      </w:r>
      <w:r w:rsidR="002340EA">
        <w:rPr>
          <w:szCs w:val="24"/>
        </w:rPr>
        <w:t>’</w:t>
      </w:r>
      <w:r w:rsidRPr="002B5C2F">
        <w:rPr>
          <w:szCs w:val="24"/>
        </w:rPr>
        <w:t>s most diverse areas</w:t>
      </w:r>
      <w:r>
        <w:rPr>
          <w:szCs w:val="24"/>
        </w:rPr>
        <w:t>. Currently in the pilot phase, the Applicant</w:t>
      </w:r>
      <w:r w:rsidR="002340EA">
        <w:rPr>
          <w:szCs w:val="24"/>
        </w:rPr>
        <w:t>’</w:t>
      </w:r>
      <w:r>
        <w:rPr>
          <w:szCs w:val="24"/>
        </w:rPr>
        <w:t>s community</w:t>
      </w:r>
      <w:r w:rsidR="008D5DF0">
        <w:rPr>
          <w:szCs w:val="24"/>
        </w:rPr>
        <w:t>-</w:t>
      </w:r>
      <w:r>
        <w:rPr>
          <w:szCs w:val="24"/>
        </w:rPr>
        <w:t xml:space="preserve">focused patient navigation is integrating into the clinical operational space, with plans to expand to all areas of the clinical enterprise. </w:t>
      </w:r>
      <w:r w:rsidR="00DD4D7B">
        <w:rPr>
          <w:szCs w:val="24"/>
        </w:rPr>
        <w:t xml:space="preserve">The Proposed Project </w:t>
      </w:r>
      <w:r w:rsidR="00DD4D7B">
        <w:rPr>
          <w:rFonts w:eastAsia="Times New Roman"/>
        </w:rPr>
        <w:t xml:space="preserve">will allow the Applicant to consolidate outreach efforts to a standalone inpatient hospital for its community prevention and diagnostic services and provide a sole focus on cancer to its priority neighborhoods, </w:t>
      </w:r>
      <w:r w:rsidR="000D13AC">
        <w:rPr>
          <w:rFonts w:eastAsia="Times New Roman"/>
        </w:rPr>
        <w:t xml:space="preserve">as </w:t>
      </w:r>
      <w:r w:rsidR="00DD4D7B">
        <w:rPr>
          <w:rFonts w:eastAsia="Times New Roman"/>
        </w:rPr>
        <w:t>well as expand the capacity to impact marginalized communities throughout the greater Boston area.</w:t>
      </w:r>
    </w:p>
    <w:p w14:paraId="23B49E75" w14:textId="72B558C8" w:rsidR="00A61FA3" w:rsidRDefault="00A61FA3" w:rsidP="00A61FA3">
      <w:pPr>
        <w:jc w:val="both"/>
        <w:rPr>
          <w:szCs w:val="24"/>
        </w:rPr>
      </w:pPr>
    </w:p>
    <w:p w14:paraId="721F06F9" w14:textId="5FB39F07" w:rsidR="000D13AC" w:rsidRPr="009113D4" w:rsidRDefault="000D13AC" w:rsidP="000D13AC">
      <w:pPr>
        <w:jc w:val="both"/>
        <w:rPr>
          <w:szCs w:val="24"/>
        </w:rPr>
      </w:pPr>
      <w:r>
        <w:rPr>
          <w:szCs w:val="24"/>
        </w:rPr>
        <w:t>To further these efforts, the Applicant maintains a strategic alliance with Boston Medical Center (</w:t>
      </w:r>
      <w:r w:rsidR="002340EA">
        <w:rPr>
          <w:szCs w:val="24"/>
        </w:rPr>
        <w:t>“</w:t>
      </w:r>
      <w:r>
        <w:rPr>
          <w:szCs w:val="24"/>
        </w:rPr>
        <w:t>BMC</w:t>
      </w:r>
      <w:r w:rsidR="002340EA">
        <w:rPr>
          <w:szCs w:val="24"/>
        </w:rPr>
        <w:t>”</w:t>
      </w:r>
      <w:r>
        <w:rPr>
          <w:szCs w:val="24"/>
        </w:rPr>
        <w:t>), which allows BMC p</w:t>
      </w:r>
      <w:r w:rsidRPr="006351A3">
        <w:rPr>
          <w:szCs w:val="24"/>
        </w:rPr>
        <w:t>atients and physicians to</w:t>
      </w:r>
      <w:r>
        <w:rPr>
          <w:szCs w:val="24"/>
        </w:rPr>
        <w:t xml:space="preserve"> access</w:t>
      </w:r>
      <w:r w:rsidRPr="006351A3">
        <w:rPr>
          <w:szCs w:val="24"/>
        </w:rPr>
        <w:t xml:space="preserve"> </w:t>
      </w:r>
      <w:r>
        <w:rPr>
          <w:szCs w:val="24"/>
        </w:rPr>
        <w:t>Applicant</w:t>
      </w:r>
      <w:r w:rsidR="002340EA">
        <w:rPr>
          <w:szCs w:val="24"/>
        </w:rPr>
        <w:t>’</w:t>
      </w:r>
      <w:r>
        <w:rPr>
          <w:szCs w:val="24"/>
        </w:rPr>
        <w:t xml:space="preserve">s </w:t>
      </w:r>
      <w:r w:rsidRPr="006351A3">
        <w:rPr>
          <w:szCs w:val="24"/>
        </w:rPr>
        <w:t>clinical trials</w:t>
      </w:r>
      <w:r>
        <w:rPr>
          <w:szCs w:val="24"/>
        </w:rPr>
        <w:t>, thereby promoting access to innovative studies and investigational products</w:t>
      </w:r>
      <w:r w:rsidRPr="006351A3">
        <w:rPr>
          <w:szCs w:val="24"/>
        </w:rPr>
        <w:t>.</w:t>
      </w:r>
    </w:p>
    <w:p w14:paraId="2A5D33D9" w14:textId="77777777" w:rsidR="000D13AC" w:rsidRDefault="000D13AC">
      <w:pPr>
        <w:jc w:val="both"/>
        <w:rPr>
          <w:szCs w:val="24"/>
        </w:rPr>
      </w:pPr>
    </w:p>
    <w:p w14:paraId="7F47E72E" w14:textId="1309DB97" w:rsidR="001B285C" w:rsidRDefault="006C6AA8" w:rsidP="00F6671F">
      <w:pPr>
        <w:jc w:val="both"/>
        <w:rPr>
          <w:szCs w:val="24"/>
        </w:rPr>
      </w:pPr>
      <w:r>
        <w:rPr>
          <w:szCs w:val="24"/>
        </w:rPr>
        <w:t>Th</w:t>
      </w:r>
      <w:r w:rsidR="001A4C5D">
        <w:t xml:space="preserve">e Applicant employs </w:t>
      </w:r>
      <w:r w:rsidR="00574E9D">
        <w:t>financial counselors</w:t>
      </w:r>
      <w:r w:rsidR="001A4C5D">
        <w:t xml:space="preserve"> </w:t>
      </w:r>
      <w:r w:rsidR="00574E9D">
        <w:t>who work c</w:t>
      </w:r>
      <w:r w:rsidR="00574E9D" w:rsidRPr="00574E9D">
        <w:t xml:space="preserve">losely with patients to remove access barriers by ensuring </w:t>
      </w:r>
      <w:r w:rsidR="00574E9D">
        <w:t>patients</w:t>
      </w:r>
      <w:r w:rsidR="00574E9D" w:rsidRPr="00574E9D">
        <w:t xml:space="preserve"> fully understand their available insurance coverage and any sources of potential financial assistance</w:t>
      </w:r>
      <w:r w:rsidR="00F6671F" w:rsidRPr="009113D4">
        <w:rPr>
          <w:szCs w:val="24"/>
        </w:rPr>
        <w:t>.</w:t>
      </w:r>
      <w:r w:rsidR="004E51D3">
        <w:rPr>
          <w:szCs w:val="24"/>
        </w:rPr>
        <w:t xml:space="preserve"> </w:t>
      </w:r>
      <w:r w:rsidR="000749BC">
        <w:rPr>
          <w:szCs w:val="24"/>
        </w:rPr>
        <w:t>Through its recent contr</w:t>
      </w:r>
      <w:r w:rsidR="000749BC" w:rsidRPr="006C6AA8">
        <w:t>act</w:t>
      </w:r>
      <w:r w:rsidR="00A74C2C" w:rsidRPr="006C6AA8">
        <w:t xml:space="preserve"> with </w:t>
      </w:r>
      <w:proofErr w:type="spellStart"/>
      <w:r w:rsidRPr="006C6AA8">
        <w:t>Wellsense</w:t>
      </w:r>
      <w:proofErr w:type="spellEnd"/>
      <w:r w:rsidRPr="006C6AA8">
        <w:t xml:space="preserve">, formally </w:t>
      </w:r>
      <w:r>
        <w:t xml:space="preserve">the </w:t>
      </w:r>
      <w:r w:rsidR="00A74C2C" w:rsidRPr="006C6AA8">
        <w:t>Boston Medical Center HealthNet Plan</w:t>
      </w:r>
      <w:r w:rsidR="00E664C3" w:rsidRPr="006C6AA8">
        <w:t>,</w:t>
      </w:r>
      <w:r w:rsidR="00A74C2C" w:rsidRPr="006C6AA8">
        <w:t xml:space="preserve"> the second largest MassHealth managed care plan in the Commonwealth, </w:t>
      </w:r>
      <w:r w:rsidR="000749BC" w:rsidRPr="006C6AA8">
        <w:t xml:space="preserve">the Applicant expanded </w:t>
      </w:r>
      <w:r w:rsidR="00E664C3" w:rsidRPr="006C6AA8">
        <w:t>access</w:t>
      </w:r>
      <w:r w:rsidR="00A74C2C" w:rsidRPr="006C6AA8">
        <w:t xml:space="preserve"> to thousands of MassHealth patients</w:t>
      </w:r>
      <w:r w:rsidR="000749BC" w:rsidRPr="006C6AA8">
        <w:t>, whi</w:t>
      </w:r>
      <w:r w:rsidR="000749BC">
        <w:rPr>
          <w:szCs w:val="24"/>
        </w:rPr>
        <w:t xml:space="preserve">ch raised </w:t>
      </w:r>
      <w:r w:rsidR="00A74C2C">
        <w:rPr>
          <w:szCs w:val="24"/>
        </w:rPr>
        <w:lastRenderedPageBreak/>
        <w:t>the percentage of MassHealth members in Massachusetts who were enrolled in a health plan that offered access to the Applicant</w:t>
      </w:r>
      <w:r w:rsidR="004E51D3">
        <w:rPr>
          <w:szCs w:val="24"/>
        </w:rPr>
        <w:t xml:space="preserve"> from 67% to 88%</w:t>
      </w:r>
      <w:r w:rsidR="00E664C3">
        <w:rPr>
          <w:szCs w:val="24"/>
        </w:rPr>
        <w:t>.</w:t>
      </w:r>
      <w:r w:rsidR="00E664C3">
        <w:rPr>
          <w:rStyle w:val="FootnoteReference"/>
          <w:szCs w:val="24"/>
        </w:rPr>
        <w:footnoteReference w:id="102"/>
      </w:r>
      <w:r w:rsidR="00965C1C">
        <w:rPr>
          <w:szCs w:val="24"/>
        </w:rPr>
        <w:t xml:space="preserve"> </w:t>
      </w:r>
      <w:r w:rsidR="009A1940">
        <w:rPr>
          <w:szCs w:val="24"/>
        </w:rPr>
        <w:t xml:space="preserve"> </w:t>
      </w:r>
    </w:p>
    <w:p w14:paraId="4083B54F" w14:textId="77777777" w:rsidR="001B285C" w:rsidRDefault="001B285C" w:rsidP="00F6671F">
      <w:pPr>
        <w:jc w:val="both"/>
        <w:rPr>
          <w:szCs w:val="24"/>
        </w:rPr>
      </w:pPr>
    </w:p>
    <w:p w14:paraId="32818C58" w14:textId="63E2E072" w:rsidR="0020226B" w:rsidRDefault="000749BC" w:rsidP="0020226B">
      <w:pPr>
        <w:jc w:val="both"/>
        <w:rPr>
          <w:szCs w:val="24"/>
        </w:rPr>
      </w:pPr>
      <w:r>
        <w:rPr>
          <w:szCs w:val="24"/>
        </w:rPr>
        <w:t>Further, the</w:t>
      </w:r>
      <w:r w:rsidR="00F6671F" w:rsidRPr="009113D4">
        <w:rPr>
          <w:szCs w:val="24"/>
        </w:rPr>
        <w:t xml:space="preserve"> Applicant is making significant progress in curbing youth access to tobacco, providing breast cancer screenings, increasing vaccination rates for human papillomavirus (</w:t>
      </w:r>
      <w:r w:rsidR="002340EA">
        <w:rPr>
          <w:szCs w:val="24"/>
        </w:rPr>
        <w:t>“</w:t>
      </w:r>
      <w:r w:rsidR="00F6671F" w:rsidRPr="009113D4">
        <w:rPr>
          <w:szCs w:val="24"/>
        </w:rPr>
        <w:t>HPV</w:t>
      </w:r>
      <w:r w:rsidR="002340EA">
        <w:rPr>
          <w:szCs w:val="24"/>
        </w:rPr>
        <w:t>”</w:t>
      </w:r>
      <w:r w:rsidR="00F6671F" w:rsidRPr="009113D4">
        <w:rPr>
          <w:szCs w:val="24"/>
        </w:rPr>
        <w:t xml:space="preserve">), </w:t>
      </w:r>
      <w:r w:rsidR="00746128">
        <w:rPr>
          <w:szCs w:val="24"/>
        </w:rPr>
        <w:t xml:space="preserve">and </w:t>
      </w:r>
      <w:r w:rsidR="00F6671F" w:rsidRPr="009113D4">
        <w:rPr>
          <w:szCs w:val="24"/>
        </w:rPr>
        <w:t>educating residents ab</w:t>
      </w:r>
      <w:r w:rsidR="009C6C3F">
        <w:rPr>
          <w:szCs w:val="24"/>
        </w:rPr>
        <w:t>out their risk for cancer</w:t>
      </w:r>
      <w:r w:rsidR="00F6671F" w:rsidRPr="009113D4">
        <w:rPr>
          <w:szCs w:val="24"/>
        </w:rPr>
        <w:t>.</w:t>
      </w:r>
      <w:r w:rsidR="006D492A">
        <w:rPr>
          <w:szCs w:val="24"/>
        </w:rPr>
        <w:t xml:space="preserve"> </w:t>
      </w:r>
      <w:r w:rsidR="006D492A">
        <w:rPr>
          <w:rFonts w:eastAsia="Times New Roman"/>
        </w:rPr>
        <w:t>The Applicant</w:t>
      </w:r>
      <w:r w:rsidR="002340EA">
        <w:rPr>
          <w:rFonts w:eastAsia="Times New Roman"/>
        </w:rPr>
        <w:t>’</w:t>
      </w:r>
      <w:r w:rsidR="006D492A">
        <w:rPr>
          <w:rFonts w:eastAsia="Times New Roman"/>
        </w:rPr>
        <w:t xml:space="preserve">s Community Benefits Office partnered with Union Capital Boston and </w:t>
      </w:r>
      <w:r w:rsidR="006D492A" w:rsidRPr="00335063">
        <w:rPr>
          <w:bCs/>
          <w:szCs w:val="24"/>
        </w:rPr>
        <w:t>Dana-Farber/Harvard Cancer Center for Cancer Equity &amp; Engagement</w:t>
      </w:r>
      <w:r w:rsidR="006D492A">
        <w:rPr>
          <w:rFonts w:eastAsia="Times New Roman"/>
        </w:rPr>
        <w:t xml:space="preserve"> (</w:t>
      </w:r>
      <w:r w:rsidR="002340EA">
        <w:rPr>
          <w:rFonts w:eastAsia="Times New Roman"/>
        </w:rPr>
        <w:t>“</w:t>
      </w:r>
      <w:r w:rsidR="006D492A">
        <w:rPr>
          <w:rFonts w:eastAsia="Times New Roman"/>
        </w:rPr>
        <w:t>DF/HCC</w:t>
      </w:r>
      <w:r w:rsidR="002340EA">
        <w:rPr>
          <w:rFonts w:eastAsia="Times New Roman"/>
        </w:rPr>
        <w:t>”</w:t>
      </w:r>
      <w:r w:rsidR="006D492A">
        <w:rPr>
          <w:rFonts w:eastAsia="Times New Roman"/>
        </w:rPr>
        <w:t xml:space="preserve">) to host four Cancer Awareness Resource Nights focused on breast cancer screening, tobacco cessation, HPV </w:t>
      </w:r>
      <w:r w:rsidR="00C83E43">
        <w:rPr>
          <w:rFonts w:eastAsia="Times New Roman"/>
        </w:rPr>
        <w:t>vaccination</w:t>
      </w:r>
      <w:r w:rsidR="006D492A">
        <w:rPr>
          <w:rFonts w:eastAsia="Times New Roman"/>
        </w:rPr>
        <w:t xml:space="preserve">, and cancer survivorship, </w:t>
      </w:r>
      <w:r w:rsidR="006D492A" w:rsidRPr="00335063">
        <w:rPr>
          <w:rFonts w:eastAsia="Times New Roman"/>
        </w:rPr>
        <w:t>engaging over 500 residents virtually</w:t>
      </w:r>
      <w:r w:rsidR="006D492A">
        <w:rPr>
          <w:rFonts w:eastAsia="Times New Roman"/>
        </w:rPr>
        <w:t xml:space="preserve">. </w:t>
      </w:r>
      <w:r w:rsidR="00F6671F" w:rsidRPr="009113D4">
        <w:rPr>
          <w:szCs w:val="24"/>
        </w:rPr>
        <w:t>The impact of these programs is greatly strengthened by embedding these initiatives and services in the fabric of the communities that the Applicant serves and through comprehensive partnerships with community-based organizations</w:t>
      </w:r>
      <w:r w:rsidR="00F6671F">
        <w:rPr>
          <w:szCs w:val="24"/>
        </w:rPr>
        <w:t xml:space="preserve"> and </w:t>
      </w:r>
      <w:r w:rsidR="009C6C3F">
        <w:rPr>
          <w:szCs w:val="24"/>
        </w:rPr>
        <w:t xml:space="preserve">community </w:t>
      </w:r>
      <w:r w:rsidR="00F6671F">
        <w:rPr>
          <w:szCs w:val="24"/>
        </w:rPr>
        <w:t>health centers</w:t>
      </w:r>
      <w:r w:rsidR="00F6671F" w:rsidRPr="009113D4">
        <w:rPr>
          <w:szCs w:val="24"/>
        </w:rPr>
        <w:t xml:space="preserve"> </w:t>
      </w:r>
      <w:r w:rsidR="00F6671F">
        <w:rPr>
          <w:szCs w:val="24"/>
        </w:rPr>
        <w:t>that</w:t>
      </w:r>
      <w:r w:rsidR="00F6671F" w:rsidRPr="009113D4">
        <w:rPr>
          <w:szCs w:val="24"/>
        </w:rPr>
        <w:t xml:space="preserve"> share the goal of reducing cancer-related disparities in Boston and across the </w:t>
      </w:r>
      <w:r w:rsidR="0072467A">
        <w:rPr>
          <w:szCs w:val="24"/>
        </w:rPr>
        <w:t>Commonwealth</w:t>
      </w:r>
      <w:r w:rsidR="00F6671F" w:rsidRPr="009113D4">
        <w:rPr>
          <w:szCs w:val="24"/>
        </w:rPr>
        <w:t xml:space="preserve">. </w:t>
      </w:r>
    </w:p>
    <w:p w14:paraId="115A8441" w14:textId="77777777" w:rsidR="0020226B" w:rsidRDefault="0020226B" w:rsidP="0020226B">
      <w:pPr>
        <w:jc w:val="both"/>
        <w:rPr>
          <w:szCs w:val="24"/>
        </w:rPr>
      </w:pPr>
    </w:p>
    <w:p w14:paraId="11E3FFA2" w14:textId="53482938" w:rsidR="00E1504D" w:rsidRPr="00A61FA3" w:rsidRDefault="00DD4D7B" w:rsidP="00E1504D">
      <w:pPr>
        <w:jc w:val="both"/>
        <w:rPr>
          <w:rFonts w:eastAsia="Times New Roman"/>
        </w:rPr>
      </w:pPr>
      <w:r>
        <w:rPr>
          <w:szCs w:val="24"/>
        </w:rPr>
        <w:t>Aside from the patient navigation program discussed above, t</w:t>
      </w:r>
      <w:r w:rsidR="001B285C">
        <w:rPr>
          <w:szCs w:val="24"/>
        </w:rPr>
        <w:t>he</w:t>
      </w:r>
      <w:r w:rsidR="00F6671F" w:rsidRPr="009113D4">
        <w:rPr>
          <w:szCs w:val="24"/>
        </w:rPr>
        <w:t xml:space="preserve"> Applicant offers a comprehensive array of supportive resources and services, </w:t>
      </w:r>
      <w:r>
        <w:rPr>
          <w:szCs w:val="24"/>
        </w:rPr>
        <w:t>including</w:t>
      </w:r>
      <w:r w:rsidR="00F6671F" w:rsidRPr="009113D4">
        <w:rPr>
          <w:szCs w:val="24"/>
        </w:rPr>
        <w:t xml:space="preserve"> resource specialists, social workers, clinical nurse navigators, among others to help address cultural, language, </w:t>
      </w:r>
      <w:r w:rsidR="00A72DED" w:rsidRPr="009113D4">
        <w:rPr>
          <w:szCs w:val="24"/>
        </w:rPr>
        <w:t>transportation,</w:t>
      </w:r>
      <w:r w:rsidR="00DD18B5">
        <w:rPr>
          <w:szCs w:val="24"/>
        </w:rPr>
        <w:t xml:space="preserve"> financial,</w:t>
      </w:r>
      <w:r w:rsidR="00F6671F" w:rsidRPr="009113D4">
        <w:rPr>
          <w:szCs w:val="24"/>
        </w:rPr>
        <w:t xml:space="preserve"> and other barriers </w:t>
      </w:r>
      <w:r w:rsidR="009022F2">
        <w:rPr>
          <w:szCs w:val="24"/>
        </w:rPr>
        <w:t xml:space="preserve">to care </w:t>
      </w:r>
      <w:r w:rsidR="00F6671F" w:rsidRPr="009113D4">
        <w:rPr>
          <w:szCs w:val="24"/>
        </w:rPr>
        <w:t>for patients</w:t>
      </w:r>
      <w:r w:rsidR="0072467A">
        <w:rPr>
          <w:szCs w:val="24"/>
        </w:rPr>
        <w:t>, as discussed in Factor 1.c.</w:t>
      </w:r>
    </w:p>
    <w:p w14:paraId="6E77687E" w14:textId="77777777" w:rsidR="00E1504D" w:rsidRDefault="00E1504D" w:rsidP="00E1504D">
      <w:pPr>
        <w:jc w:val="both"/>
        <w:rPr>
          <w:rFonts w:eastAsia="Times New Roman"/>
        </w:rPr>
      </w:pPr>
    </w:p>
    <w:p w14:paraId="08BEBCE2" w14:textId="3E593156" w:rsidR="007F3EB4" w:rsidRDefault="007F3EB4" w:rsidP="007F3EB4">
      <w:pPr>
        <w:rPr>
          <w:b/>
          <w:i/>
          <w:iCs/>
          <w:szCs w:val="24"/>
        </w:rPr>
      </w:pPr>
      <w:r w:rsidRPr="00613D7F">
        <w:rPr>
          <w:b/>
          <w:i/>
          <w:iCs/>
          <w:szCs w:val="24"/>
        </w:rPr>
        <w:t xml:space="preserve">Site </w:t>
      </w:r>
      <w:r w:rsidR="001E050F" w:rsidRPr="00613D7F">
        <w:rPr>
          <w:b/>
          <w:i/>
          <w:iCs/>
          <w:szCs w:val="24"/>
        </w:rPr>
        <w:t>Accessibility</w:t>
      </w:r>
    </w:p>
    <w:p w14:paraId="7EC67F37" w14:textId="77777777" w:rsidR="00042503" w:rsidRPr="00613D7F" w:rsidRDefault="00042503" w:rsidP="007F3EB4">
      <w:pPr>
        <w:rPr>
          <w:b/>
          <w:i/>
          <w:iCs/>
          <w:szCs w:val="24"/>
        </w:rPr>
      </w:pPr>
    </w:p>
    <w:p w14:paraId="45315634" w14:textId="309D9602" w:rsidR="00147BBD" w:rsidRDefault="000D13AC" w:rsidP="00147BBD">
      <w:pPr>
        <w:jc w:val="both"/>
        <w:rPr>
          <w:bCs/>
          <w:szCs w:val="24"/>
        </w:rPr>
      </w:pPr>
      <w:r>
        <w:rPr>
          <w:szCs w:val="24"/>
        </w:rPr>
        <w:t>Although cancer affects all racial and ethnic groups in Massachusetts, some groups are disproportionally impacted. The Applicant</w:t>
      </w:r>
      <w:r w:rsidR="002340EA">
        <w:rPr>
          <w:szCs w:val="24"/>
        </w:rPr>
        <w:t>’</w:t>
      </w:r>
      <w:r>
        <w:rPr>
          <w:szCs w:val="24"/>
        </w:rPr>
        <w:t>s CHNA findings indicate that Black men in Boston continue to experience the highest rates of overall cancer mortality and premature cancer mortality. B</w:t>
      </w:r>
      <w:r w:rsidRPr="005A1BB0">
        <w:rPr>
          <w:szCs w:val="24"/>
        </w:rPr>
        <w:t xml:space="preserve">arriers to accessing cancer services </w:t>
      </w:r>
      <w:r>
        <w:rPr>
          <w:szCs w:val="24"/>
        </w:rPr>
        <w:t>include</w:t>
      </w:r>
      <w:r w:rsidRPr="005A1BB0">
        <w:rPr>
          <w:szCs w:val="24"/>
        </w:rPr>
        <w:t>,</w:t>
      </w:r>
      <w:r>
        <w:rPr>
          <w:szCs w:val="24"/>
        </w:rPr>
        <w:t xml:space="preserve"> among other things, access to transportation. Of the </w:t>
      </w:r>
      <w:r w:rsidRPr="000237FD">
        <w:rPr>
          <w:szCs w:val="24"/>
        </w:rPr>
        <w:t xml:space="preserve">unique patients identified by </w:t>
      </w:r>
      <w:r>
        <w:rPr>
          <w:szCs w:val="24"/>
        </w:rPr>
        <w:t>the Applicant</w:t>
      </w:r>
      <w:r w:rsidR="002340EA">
        <w:rPr>
          <w:szCs w:val="24"/>
        </w:rPr>
        <w:t>’</w:t>
      </w:r>
      <w:r>
        <w:rPr>
          <w:szCs w:val="24"/>
        </w:rPr>
        <w:t>s p</w:t>
      </w:r>
      <w:r w:rsidRPr="000237FD">
        <w:rPr>
          <w:szCs w:val="24"/>
        </w:rPr>
        <w:t xml:space="preserve">atient </w:t>
      </w:r>
      <w:r>
        <w:rPr>
          <w:szCs w:val="24"/>
        </w:rPr>
        <w:t>n</w:t>
      </w:r>
      <w:r w:rsidRPr="000237FD">
        <w:rPr>
          <w:szCs w:val="24"/>
        </w:rPr>
        <w:t>avigators,</w:t>
      </w:r>
      <w:r>
        <w:rPr>
          <w:szCs w:val="24"/>
        </w:rPr>
        <w:t xml:space="preserve"> </w:t>
      </w:r>
      <w:r w:rsidRPr="000237FD">
        <w:rPr>
          <w:szCs w:val="24"/>
        </w:rPr>
        <w:t>15% reported transportation as a barrier to their cancer care. Of these patients,</w:t>
      </w:r>
      <w:r>
        <w:rPr>
          <w:szCs w:val="24"/>
        </w:rPr>
        <w:t xml:space="preserve"> the</w:t>
      </w:r>
      <w:r w:rsidRPr="000237FD">
        <w:rPr>
          <w:szCs w:val="24"/>
        </w:rPr>
        <w:t xml:space="preserve"> majority self-identify as Black or African American (58%) and have Medicare or Medicaid (76%)</w:t>
      </w:r>
      <w:r>
        <w:rPr>
          <w:szCs w:val="24"/>
        </w:rPr>
        <w:t>. The Applicant has been working to address the transportation needs of its patient panel and has been successful in securing grant funding to continue to address these needs and reduce patient no-shows. For example, p</w:t>
      </w:r>
      <w:r w:rsidRPr="00385102">
        <w:rPr>
          <w:szCs w:val="24"/>
        </w:rPr>
        <w:t xml:space="preserve">atient </w:t>
      </w:r>
      <w:r>
        <w:rPr>
          <w:szCs w:val="24"/>
        </w:rPr>
        <w:t>n</w:t>
      </w:r>
      <w:r w:rsidRPr="00385102">
        <w:rPr>
          <w:szCs w:val="24"/>
        </w:rPr>
        <w:t xml:space="preserve">avigators </w:t>
      </w:r>
      <w:r>
        <w:rPr>
          <w:szCs w:val="24"/>
        </w:rPr>
        <w:t xml:space="preserve">helped </w:t>
      </w:r>
      <w:r w:rsidRPr="00385102">
        <w:rPr>
          <w:szCs w:val="24"/>
        </w:rPr>
        <w:t xml:space="preserve">coordinate </w:t>
      </w:r>
      <w:r>
        <w:rPr>
          <w:szCs w:val="24"/>
        </w:rPr>
        <w:t xml:space="preserve">ride-sharing </w:t>
      </w:r>
      <w:r w:rsidRPr="00385102">
        <w:rPr>
          <w:szCs w:val="24"/>
        </w:rPr>
        <w:t xml:space="preserve">resources </w:t>
      </w:r>
      <w:r>
        <w:rPr>
          <w:szCs w:val="24"/>
        </w:rPr>
        <w:t>such as</w:t>
      </w:r>
      <w:r w:rsidRPr="00385102">
        <w:rPr>
          <w:szCs w:val="24"/>
        </w:rPr>
        <w:t xml:space="preserve"> Uber, PT</w:t>
      </w:r>
      <w:r>
        <w:rPr>
          <w:szCs w:val="24"/>
        </w:rPr>
        <w:t>-</w:t>
      </w:r>
      <w:r w:rsidRPr="00385102">
        <w:rPr>
          <w:szCs w:val="24"/>
        </w:rPr>
        <w:t xml:space="preserve">1, and </w:t>
      </w:r>
      <w:r>
        <w:rPr>
          <w:szCs w:val="24"/>
        </w:rPr>
        <w:t xml:space="preserve">the </w:t>
      </w:r>
      <w:r w:rsidRPr="00385102">
        <w:rPr>
          <w:szCs w:val="24"/>
        </w:rPr>
        <w:t>M</w:t>
      </w:r>
      <w:r>
        <w:rPr>
          <w:szCs w:val="24"/>
        </w:rPr>
        <w:t xml:space="preserve">assachusetts </w:t>
      </w:r>
      <w:r w:rsidRPr="00385102">
        <w:rPr>
          <w:szCs w:val="24"/>
        </w:rPr>
        <w:t>B</w:t>
      </w:r>
      <w:r>
        <w:rPr>
          <w:szCs w:val="24"/>
        </w:rPr>
        <w:t xml:space="preserve">ay </w:t>
      </w:r>
      <w:r w:rsidRPr="00385102">
        <w:rPr>
          <w:szCs w:val="24"/>
        </w:rPr>
        <w:t>T</w:t>
      </w:r>
      <w:r>
        <w:rPr>
          <w:szCs w:val="24"/>
        </w:rPr>
        <w:t xml:space="preserve">ransportation </w:t>
      </w:r>
      <w:r w:rsidRPr="00385102">
        <w:rPr>
          <w:szCs w:val="24"/>
        </w:rPr>
        <w:t>A</w:t>
      </w:r>
      <w:r>
        <w:rPr>
          <w:szCs w:val="24"/>
        </w:rPr>
        <w:t>uthority</w:t>
      </w:r>
      <w:r w:rsidR="002340EA">
        <w:rPr>
          <w:szCs w:val="24"/>
        </w:rPr>
        <w:t>’</w:t>
      </w:r>
      <w:r>
        <w:rPr>
          <w:szCs w:val="24"/>
        </w:rPr>
        <w:t>s</w:t>
      </w:r>
      <w:r w:rsidRPr="00385102">
        <w:rPr>
          <w:szCs w:val="24"/>
        </w:rPr>
        <w:t xml:space="preserve"> The R</w:t>
      </w:r>
      <w:r>
        <w:rPr>
          <w:szCs w:val="24"/>
        </w:rPr>
        <w:t>IDE service,</w:t>
      </w:r>
      <w:r w:rsidRPr="00385102">
        <w:rPr>
          <w:szCs w:val="24"/>
        </w:rPr>
        <w:t xml:space="preserve"> to </w:t>
      </w:r>
      <w:r>
        <w:rPr>
          <w:szCs w:val="24"/>
        </w:rPr>
        <w:t xml:space="preserve">help </w:t>
      </w:r>
      <w:r w:rsidRPr="00385102">
        <w:rPr>
          <w:szCs w:val="24"/>
        </w:rPr>
        <w:t>prevent patient no</w:t>
      </w:r>
      <w:r>
        <w:rPr>
          <w:szCs w:val="24"/>
        </w:rPr>
        <w:t>-</w:t>
      </w:r>
      <w:r w:rsidRPr="00385102">
        <w:rPr>
          <w:szCs w:val="24"/>
        </w:rPr>
        <w:t>shows and delays in</w:t>
      </w:r>
      <w:r>
        <w:rPr>
          <w:szCs w:val="24"/>
        </w:rPr>
        <w:t xml:space="preserve"> </w:t>
      </w:r>
      <w:r w:rsidRPr="00385102">
        <w:rPr>
          <w:szCs w:val="24"/>
        </w:rPr>
        <w:t>cancer treatment.</w:t>
      </w:r>
      <w:r>
        <w:rPr>
          <w:b/>
          <w:bCs/>
          <w:szCs w:val="24"/>
        </w:rPr>
        <w:t xml:space="preserve"> </w:t>
      </w:r>
      <w:r>
        <w:rPr>
          <w:szCs w:val="24"/>
        </w:rPr>
        <w:t xml:space="preserve">Further, </w:t>
      </w:r>
      <w:r>
        <w:rPr>
          <w:bCs/>
          <w:szCs w:val="24"/>
        </w:rPr>
        <w:t xml:space="preserve">the Proposed Project would preserve and increase the number of much needed inpatient cancer care beds on the Longwood Medical Campus, which is accessible by both car and public transportation, allowing for greater flexibility for those who may not have reliable access to a car. </w:t>
      </w:r>
      <w:r w:rsidRPr="009C5705">
        <w:rPr>
          <w:bCs/>
          <w:szCs w:val="24"/>
        </w:rPr>
        <w:t>The</w:t>
      </w:r>
      <w:r>
        <w:rPr>
          <w:bCs/>
          <w:szCs w:val="24"/>
        </w:rPr>
        <w:t xml:space="preserve"> Proposed Project</w:t>
      </w:r>
      <w:r w:rsidRPr="009C5705">
        <w:rPr>
          <w:bCs/>
          <w:szCs w:val="24"/>
        </w:rPr>
        <w:t xml:space="preserve"> site</w:t>
      </w:r>
      <w:r w:rsidR="002340EA">
        <w:rPr>
          <w:bCs/>
          <w:szCs w:val="24"/>
        </w:rPr>
        <w:t>’</w:t>
      </w:r>
      <w:r w:rsidRPr="009C5705">
        <w:rPr>
          <w:bCs/>
          <w:szCs w:val="24"/>
        </w:rPr>
        <w:t>s location and design will ensure accessibility for disabled</w:t>
      </w:r>
      <w:r>
        <w:rPr>
          <w:bCs/>
          <w:szCs w:val="24"/>
        </w:rPr>
        <w:t xml:space="preserve"> and</w:t>
      </w:r>
      <w:r w:rsidRPr="009C5705">
        <w:rPr>
          <w:bCs/>
          <w:szCs w:val="24"/>
        </w:rPr>
        <w:t xml:space="preserve"> mobility-impaired</w:t>
      </w:r>
      <w:r>
        <w:rPr>
          <w:bCs/>
          <w:szCs w:val="24"/>
        </w:rPr>
        <w:t xml:space="preserve"> p</w:t>
      </w:r>
      <w:r w:rsidRPr="009C5705">
        <w:rPr>
          <w:bCs/>
          <w:szCs w:val="24"/>
        </w:rPr>
        <w:t>atients.</w:t>
      </w:r>
    </w:p>
    <w:p w14:paraId="28909CED" w14:textId="77777777" w:rsidR="00147BBD" w:rsidRPr="00147BBD" w:rsidRDefault="00147BBD" w:rsidP="00147BBD">
      <w:pPr>
        <w:jc w:val="both"/>
        <w:rPr>
          <w:bCs/>
          <w:szCs w:val="24"/>
        </w:rPr>
      </w:pPr>
    </w:p>
    <w:p w14:paraId="6C717E4A" w14:textId="196DA394" w:rsidR="000F5C76" w:rsidRPr="00FA1DD3" w:rsidRDefault="00147BBD" w:rsidP="00857070">
      <w:pPr>
        <w:spacing w:after="160" w:line="259" w:lineRule="auto"/>
        <w:jc w:val="both"/>
      </w:pPr>
      <w:r>
        <w:rPr>
          <w:szCs w:val="24"/>
        </w:rPr>
        <w:t>The building of the new Facility as part of the Proposed Project gives the Applicant the opportunity to take lessons learned from ongoing work to address health equity and cancer health disparities and apply those lessons in the fabric of the design of the Applicant’s Facility, its clinical programming, and its ability to reach historically underserved communities.</w:t>
      </w:r>
    </w:p>
    <w:p w14:paraId="16CF7947" w14:textId="77777777" w:rsidR="00147BBD" w:rsidRDefault="00147BBD" w:rsidP="00F6671F">
      <w:pPr>
        <w:rPr>
          <w:b/>
          <w:szCs w:val="24"/>
          <w:u w:val="single"/>
        </w:rPr>
      </w:pPr>
    </w:p>
    <w:p w14:paraId="69069956" w14:textId="699867B5" w:rsidR="00F6671F" w:rsidRPr="009113D4" w:rsidRDefault="00F6671F" w:rsidP="00F6671F">
      <w:pPr>
        <w:rPr>
          <w:b/>
          <w:szCs w:val="24"/>
          <w:u w:val="single"/>
        </w:rPr>
      </w:pPr>
      <w:r w:rsidRPr="009113D4">
        <w:rPr>
          <w:b/>
          <w:szCs w:val="24"/>
          <w:u w:val="single"/>
        </w:rPr>
        <w:lastRenderedPageBreak/>
        <w:t>F1.</w:t>
      </w:r>
      <w:r w:rsidR="00A72DED" w:rsidRPr="009113D4">
        <w:rPr>
          <w:b/>
          <w:szCs w:val="24"/>
          <w:u w:val="single"/>
        </w:rPr>
        <w:t>b.iv.</w:t>
      </w:r>
      <w:r w:rsidRPr="009113D4">
        <w:rPr>
          <w:b/>
          <w:szCs w:val="24"/>
          <w:u w:val="single"/>
        </w:rPr>
        <w:t xml:space="preserve"> Public Health Value/Health Equity-Focused (Additional Information)</w:t>
      </w:r>
    </w:p>
    <w:p w14:paraId="3D3577FF" w14:textId="4CB5ED9E" w:rsidR="00F6671F" w:rsidRPr="009113D4" w:rsidRDefault="00F6671F" w:rsidP="0083124C">
      <w:pPr>
        <w:jc w:val="both"/>
        <w:rPr>
          <w:b/>
          <w:szCs w:val="24"/>
        </w:rPr>
      </w:pPr>
      <w:r w:rsidRPr="009113D4">
        <w:rPr>
          <w:b/>
          <w:szCs w:val="24"/>
        </w:rPr>
        <w:t xml:space="preserve">Provide additional information to demonstrate that the Proposed Project will result in improved health outcomes and quality of life of the </w:t>
      </w:r>
      <w:bookmarkStart w:id="19" w:name="_9kMPO5YVt4886AIQG2ztleqA"/>
      <w:r w:rsidRPr="009113D4">
        <w:rPr>
          <w:b/>
          <w:szCs w:val="24"/>
        </w:rPr>
        <w:t>Applicant</w:t>
      </w:r>
      <w:r w:rsidR="002340EA">
        <w:rPr>
          <w:b/>
          <w:szCs w:val="24"/>
        </w:rPr>
        <w:t>’</w:t>
      </w:r>
      <w:r w:rsidRPr="009113D4">
        <w:rPr>
          <w:b/>
          <w:szCs w:val="24"/>
        </w:rPr>
        <w:t>s</w:t>
      </w:r>
      <w:bookmarkEnd w:id="19"/>
      <w:r w:rsidRPr="009113D4">
        <w:rPr>
          <w:b/>
          <w:szCs w:val="24"/>
        </w:rPr>
        <w:t xml:space="preserve"> existing</w:t>
      </w:r>
      <w:r w:rsidR="002611F1">
        <w:rPr>
          <w:b/>
          <w:szCs w:val="24"/>
        </w:rPr>
        <w:t xml:space="preserve"> </w:t>
      </w:r>
      <w:r w:rsidR="00EB4674">
        <w:rPr>
          <w:b/>
          <w:szCs w:val="24"/>
        </w:rPr>
        <w:t>P</w:t>
      </w:r>
      <w:r w:rsidR="00744BA5">
        <w:rPr>
          <w:b/>
          <w:szCs w:val="24"/>
        </w:rPr>
        <w:t xml:space="preserve">atient </w:t>
      </w:r>
      <w:r w:rsidR="00EB4674">
        <w:rPr>
          <w:b/>
          <w:szCs w:val="24"/>
        </w:rPr>
        <w:t>P</w:t>
      </w:r>
      <w:r w:rsidR="00744BA5">
        <w:rPr>
          <w:b/>
          <w:szCs w:val="24"/>
        </w:rPr>
        <w:t>anel</w:t>
      </w:r>
      <w:r w:rsidRPr="009113D4">
        <w:rPr>
          <w:b/>
          <w:szCs w:val="24"/>
        </w:rPr>
        <w:t>, while providing reasonable assurances of health equity.</w:t>
      </w:r>
    </w:p>
    <w:p w14:paraId="247FDE45" w14:textId="77777777" w:rsidR="009E40D8" w:rsidRDefault="009E40D8" w:rsidP="009E40D8">
      <w:pPr>
        <w:jc w:val="both"/>
        <w:rPr>
          <w:szCs w:val="24"/>
        </w:rPr>
      </w:pPr>
    </w:p>
    <w:p w14:paraId="65262A67" w14:textId="43BC36D7" w:rsidR="00717DE5" w:rsidRPr="009777DB" w:rsidRDefault="009E40D8" w:rsidP="009777DB">
      <w:pPr>
        <w:jc w:val="both"/>
        <w:rPr>
          <w:szCs w:val="24"/>
        </w:rPr>
      </w:pPr>
      <w:r w:rsidRPr="009113D4">
        <w:rPr>
          <w:szCs w:val="24"/>
        </w:rPr>
        <w:t>The Applicant provides</w:t>
      </w:r>
      <w:r w:rsidR="009777DB">
        <w:rPr>
          <w:szCs w:val="24"/>
        </w:rPr>
        <w:t>, and through the Proposed Project will expand its ability to provide,</w:t>
      </w:r>
      <w:r w:rsidRPr="009113D4">
        <w:rPr>
          <w:szCs w:val="24"/>
        </w:rPr>
        <w:t xml:space="preserve"> a continuum of cancer care, including risk assessment, primary prevention, screening, detection, diagnosis, treatment, </w:t>
      </w:r>
      <w:r w:rsidR="00DD18B5">
        <w:rPr>
          <w:szCs w:val="24"/>
        </w:rPr>
        <w:t xml:space="preserve">palliative and psychosocial care, </w:t>
      </w:r>
      <w:r w:rsidR="00A72DED" w:rsidRPr="009113D4">
        <w:rPr>
          <w:szCs w:val="24"/>
        </w:rPr>
        <w:t>survivorship,</w:t>
      </w:r>
      <w:r w:rsidRPr="009113D4">
        <w:rPr>
          <w:szCs w:val="24"/>
        </w:rPr>
        <w:t xml:space="preserve"> and end-of-life care. Each of these services includes</w:t>
      </w:r>
      <w:r w:rsidR="009022F2">
        <w:rPr>
          <w:szCs w:val="24"/>
        </w:rPr>
        <w:t xml:space="preserve"> a number of departments,</w:t>
      </w:r>
      <w:r w:rsidR="009022F2" w:rsidRPr="009113D4">
        <w:rPr>
          <w:szCs w:val="24"/>
        </w:rPr>
        <w:t xml:space="preserve"> and the inclusion of a </w:t>
      </w:r>
      <w:r w:rsidR="009022F2">
        <w:rPr>
          <w:szCs w:val="24"/>
        </w:rPr>
        <w:t>multidisciplinary team</w:t>
      </w:r>
      <w:r w:rsidRPr="009113D4">
        <w:rPr>
          <w:szCs w:val="24"/>
        </w:rPr>
        <w:t xml:space="preserve"> of providers and departments, which can improve care outcomes.</w:t>
      </w:r>
      <w:r w:rsidRPr="009113D4">
        <w:rPr>
          <w:szCs w:val="24"/>
          <w:vertAlign w:val="superscript"/>
        </w:rPr>
        <w:footnoteReference w:id="103"/>
      </w:r>
      <w:r>
        <w:rPr>
          <w:szCs w:val="24"/>
        </w:rPr>
        <w:t xml:space="preserve"> The </w:t>
      </w:r>
      <w:r w:rsidR="007F3EB4">
        <w:t xml:space="preserve">Applicant continues </w:t>
      </w:r>
      <w:r w:rsidR="007F3EB4" w:rsidRPr="0C41756B">
        <w:rPr>
          <w:shd w:val="clear" w:color="auto" w:fill="FFFFFF"/>
        </w:rPr>
        <w:t>to advance the mission of Dr. Sidney Farber</w:t>
      </w:r>
      <w:r w:rsidR="002340EA">
        <w:rPr>
          <w:shd w:val="clear" w:color="auto" w:fill="FFFFFF"/>
        </w:rPr>
        <w:t>’</w:t>
      </w:r>
      <w:r w:rsidR="007F3EB4" w:rsidRPr="0C41756B">
        <w:rPr>
          <w:shd w:val="clear" w:color="auto" w:fill="FFFFFF"/>
        </w:rPr>
        <w:t xml:space="preserve">s groundbreaking core philosophy of </w:t>
      </w:r>
      <w:r w:rsidR="002340EA">
        <w:rPr>
          <w:shd w:val="clear" w:color="auto" w:fill="FFFFFF"/>
        </w:rPr>
        <w:t>“</w:t>
      </w:r>
      <w:r w:rsidR="007F3EB4" w:rsidRPr="0C41756B">
        <w:rPr>
          <w:shd w:val="clear" w:color="auto" w:fill="FFFFFF"/>
        </w:rPr>
        <w:t>Total Patient Care,</w:t>
      </w:r>
      <w:r w:rsidR="002340EA">
        <w:rPr>
          <w:shd w:val="clear" w:color="auto" w:fill="FFFFFF"/>
        </w:rPr>
        <w:t>”</w:t>
      </w:r>
      <w:r w:rsidR="007F3EB4" w:rsidRPr="0C41756B">
        <w:rPr>
          <w:shd w:val="clear" w:color="auto" w:fill="FFFFFF"/>
        </w:rPr>
        <w:t xml:space="preserve"> in which all patient services are provided in one place and decisions are made as a team </w:t>
      </w:r>
      <w:r w:rsidR="007F3EB4">
        <w:rPr>
          <w:shd w:val="clear" w:color="auto" w:fill="FFFFFF"/>
        </w:rPr>
        <w:t>in</w:t>
      </w:r>
      <w:r w:rsidR="00A958B3">
        <w:rPr>
          <w:shd w:val="clear" w:color="auto" w:fill="FFFFFF"/>
        </w:rPr>
        <w:t xml:space="preserve"> collaboration</w:t>
      </w:r>
      <w:r w:rsidR="007F3EB4">
        <w:rPr>
          <w:shd w:val="clear" w:color="auto" w:fill="FFFFFF"/>
        </w:rPr>
        <w:t xml:space="preserve"> </w:t>
      </w:r>
      <w:r w:rsidR="007F3EB4" w:rsidRPr="0C41756B">
        <w:rPr>
          <w:shd w:val="clear" w:color="auto" w:fill="FFFFFF"/>
        </w:rPr>
        <w:t xml:space="preserve">with the patient. </w:t>
      </w:r>
      <w:r w:rsidR="007F3EB4">
        <w:rPr>
          <w:shd w:val="clear" w:color="auto" w:fill="FFFFFF"/>
        </w:rPr>
        <w:t>The Applicant</w:t>
      </w:r>
      <w:r w:rsidR="002340EA">
        <w:rPr>
          <w:shd w:val="clear" w:color="auto" w:fill="FFFFFF"/>
        </w:rPr>
        <w:t>’</w:t>
      </w:r>
      <w:r w:rsidR="007F3EB4">
        <w:rPr>
          <w:shd w:val="clear" w:color="auto" w:fill="FFFFFF"/>
        </w:rPr>
        <w:t>s</w:t>
      </w:r>
      <w:r w:rsidR="007F3EB4" w:rsidRPr="0C41756B">
        <w:rPr>
          <w:shd w:val="clear" w:color="auto" w:fill="FFFFFF"/>
        </w:rPr>
        <w:t xml:space="preserve"> approach is to bring together multidisciplinary teams with expertise in cancer care whose focus is to achieve superior outcomes for patients while delivering care which meets rigorous </w:t>
      </w:r>
      <w:r w:rsidR="007F3EB4">
        <w:rPr>
          <w:shd w:val="clear" w:color="auto" w:fill="FFFFFF"/>
        </w:rPr>
        <w:t xml:space="preserve">clinical </w:t>
      </w:r>
      <w:r w:rsidR="007F3EB4" w:rsidRPr="0C41756B">
        <w:rPr>
          <w:shd w:val="clear" w:color="auto" w:fill="FFFFFF"/>
        </w:rPr>
        <w:t xml:space="preserve">quality and </w:t>
      </w:r>
      <w:r w:rsidR="007F3EB4">
        <w:rPr>
          <w:shd w:val="clear" w:color="auto" w:fill="FFFFFF"/>
        </w:rPr>
        <w:t xml:space="preserve">safety </w:t>
      </w:r>
      <w:r w:rsidR="007F3EB4" w:rsidRPr="0C41756B">
        <w:rPr>
          <w:shd w:val="clear" w:color="auto" w:fill="FFFFFF"/>
        </w:rPr>
        <w:t>standards</w:t>
      </w:r>
      <w:r w:rsidR="00A72DED" w:rsidRPr="0C41756B">
        <w:rPr>
          <w:shd w:val="clear" w:color="auto" w:fill="FFFFFF"/>
        </w:rPr>
        <w:t xml:space="preserve">. </w:t>
      </w:r>
      <w:r w:rsidR="007F3EB4">
        <w:rPr>
          <w:shd w:val="clear" w:color="auto" w:fill="FFFFFF"/>
        </w:rPr>
        <w:t xml:space="preserve">These </w:t>
      </w:r>
      <w:r w:rsidR="007F3EB4" w:rsidRPr="0C41756B">
        <w:rPr>
          <w:shd w:val="clear" w:color="auto" w:fill="FFFFFF"/>
        </w:rPr>
        <w:t xml:space="preserve">multidisciplinary teams include </w:t>
      </w:r>
      <w:r w:rsidR="00D157C5">
        <w:rPr>
          <w:shd w:val="clear" w:color="auto" w:fill="FFFFFF"/>
        </w:rPr>
        <w:t xml:space="preserve">medical </w:t>
      </w:r>
      <w:r w:rsidR="007F3EB4" w:rsidRPr="0C41756B">
        <w:rPr>
          <w:shd w:val="clear" w:color="auto" w:fill="FFFFFF"/>
        </w:rPr>
        <w:t>oncologists, hematologists, medical subspecialists, surg</w:t>
      </w:r>
      <w:r w:rsidR="00D157C5">
        <w:rPr>
          <w:shd w:val="clear" w:color="auto" w:fill="FFFFFF"/>
        </w:rPr>
        <w:t>ical oncologists</w:t>
      </w:r>
      <w:r w:rsidR="007F3EB4" w:rsidRPr="0C41756B">
        <w:rPr>
          <w:shd w:val="clear" w:color="auto" w:fill="FFFFFF"/>
        </w:rPr>
        <w:t xml:space="preserve">, radiation oncologists, advanced practice providers, </w:t>
      </w:r>
      <w:r w:rsidR="007F3EB4">
        <w:rPr>
          <w:shd w:val="clear" w:color="auto" w:fill="FFFFFF"/>
        </w:rPr>
        <w:t xml:space="preserve">specialized oncology </w:t>
      </w:r>
      <w:r w:rsidR="007F3EB4" w:rsidRPr="0C41756B">
        <w:rPr>
          <w:shd w:val="clear" w:color="auto" w:fill="FFFFFF"/>
        </w:rPr>
        <w:t>nurses</w:t>
      </w:r>
      <w:r w:rsidR="006C6AA8">
        <w:rPr>
          <w:shd w:val="clear" w:color="auto" w:fill="FFFFFF"/>
        </w:rPr>
        <w:t xml:space="preserve">, </w:t>
      </w:r>
      <w:r w:rsidR="009022F2">
        <w:rPr>
          <w:shd w:val="clear" w:color="auto" w:fill="FFFFFF"/>
        </w:rPr>
        <w:t>nurse navigators,</w:t>
      </w:r>
      <w:r w:rsidR="007F3EB4" w:rsidRPr="0C41756B">
        <w:rPr>
          <w:shd w:val="clear" w:color="auto" w:fill="FFFFFF"/>
        </w:rPr>
        <w:t xml:space="preserve"> </w:t>
      </w:r>
      <w:r w:rsidR="007F3EB4">
        <w:rPr>
          <w:shd w:val="clear" w:color="auto" w:fill="FFFFFF"/>
        </w:rPr>
        <w:t xml:space="preserve">clinical </w:t>
      </w:r>
      <w:r w:rsidR="007F3EB4" w:rsidRPr="0C41756B">
        <w:rPr>
          <w:shd w:val="clear" w:color="auto" w:fill="FFFFFF"/>
        </w:rPr>
        <w:t>social workers</w:t>
      </w:r>
      <w:r w:rsidR="009C6C3F">
        <w:rPr>
          <w:shd w:val="clear" w:color="auto" w:fill="FFFFFF"/>
        </w:rPr>
        <w:t>, and patient navigators</w:t>
      </w:r>
      <w:r w:rsidR="007F3EB4" w:rsidRPr="0C41756B">
        <w:rPr>
          <w:shd w:val="clear" w:color="auto" w:fill="FFFFFF"/>
        </w:rPr>
        <w:t xml:space="preserve">. </w:t>
      </w:r>
      <w:r w:rsidR="007F3EB4">
        <w:rPr>
          <w:shd w:val="clear" w:color="auto" w:fill="FFFFFF"/>
        </w:rPr>
        <w:t>S</w:t>
      </w:r>
      <w:r w:rsidR="007F3EB4" w:rsidRPr="0C41756B">
        <w:rPr>
          <w:shd w:val="clear" w:color="auto" w:fill="FFFFFF"/>
        </w:rPr>
        <w:t xml:space="preserve">pecialists work closely together to offer patients the </w:t>
      </w:r>
      <w:r w:rsidR="00F92CDA" w:rsidRPr="0C41756B">
        <w:rPr>
          <w:shd w:val="clear" w:color="auto" w:fill="FFFFFF"/>
        </w:rPr>
        <w:t>latest therapies</w:t>
      </w:r>
      <w:r w:rsidR="007F3EB4" w:rsidRPr="0C41756B">
        <w:rPr>
          <w:shd w:val="clear" w:color="auto" w:fill="FFFFFF"/>
        </w:rPr>
        <w:t>, specialty programs, and clinical services, including access to innovative clinical trials</w:t>
      </w:r>
      <w:r w:rsidR="00F84C20">
        <w:rPr>
          <w:shd w:val="clear" w:color="auto" w:fill="FFFFFF"/>
        </w:rPr>
        <w:t xml:space="preserve">. </w:t>
      </w:r>
    </w:p>
    <w:p w14:paraId="4DD7C80F" w14:textId="240EC19B" w:rsidR="007F3EB4" w:rsidRPr="00E66097" w:rsidRDefault="007F3EB4" w:rsidP="007F3EB4">
      <w:pPr>
        <w:spacing w:before="100" w:beforeAutospacing="1" w:after="100" w:afterAutospacing="1"/>
        <w:rPr>
          <w:b/>
          <w:bCs/>
          <w:i/>
          <w:iCs/>
          <w:shd w:val="clear" w:color="auto" w:fill="FFFFFF"/>
        </w:rPr>
      </w:pPr>
      <w:r>
        <w:rPr>
          <w:b/>
          <w:bCs/>
          <w:i/>
          <w:iCs/>
          <w:shd w:val="clear" w:color="auto" w:fill="FFFFFF"/>
        </w:rPr>
        <w:t>Inpatient Clinical Centers</w:t>
      </w:r>
    </w:p>
    <w:p w14:paraId="6A22CA5A" w14:textId="26DF3680" w:rsidR="007F3EB4" w:rsidRDefault="007F3EB4" w:rsidP="007F3EB4">
      <w:pPr>
        <w:jc w:val="both"/>
        <w:rPr>
          <w:szCs w:val="24"/>
        </w:rPr>
      </w:pPr>
      <w:r>
        <w:rPr>
          <w:szCs w:val="24"/>
        </w:rPr>
        <w:t xml:space="preserve">Further, </w:t>
      </w:r>
      <w:r w:rsidR="006A2642">
        <w:rPr>
          <w:rFonts w:eastAsia="Times New Roman"/>
        </w:rPr>
        <w:t>the Applicant</w:t>
      </w:r>
      <w:r w:rsidR="002340EA">
        <w:rPr>
          <w:rFonts w:eastAsia="Times New Roman"/>
        </w:rPr>
        <w:t>’</w:t>
      </w:r>
      <w:r w:rsidR="006A2642">
        <w:rPr>
          <w:rFonts w:eastAsia="Times New Roman"/>
        </w:rPr>
        <w:t xml:space="preserve">s inpatient structure in its existing unit and across the inpatient care it manages at BWH </w:t>
      </w:r>
      <w:r w:rsidRPr="007941F8">
        <w:rPr>
          <w:szCs w:val="24"/>
        </w:rPr>
        <w:t xml:space="preserve">has been </w:t>
      </w:r>
      <w:r>
        <w:rPr>
          <w:szCs w:val="24"/>
        </w:rPr>
        <w:t>developed</w:t>
      </w:r>
      <w:r w:rsidRPr="007941F8">
        <w:rPr>
          <w:szCs w:val="24"/>
        </w:rPr>
        <w:t xml:space="preserve"> to continue this model of integrated, specialized, and subspecialized care across the care continuum from the outpatient setting into the acute care inpatient setting.</w:t>
      </w:r>
      <w:r>
        <w:rPr>
          <w:szCs w:val="24"/>
        </w:rPr>
        <w:t xml:space="preserve"> </w:t>
      </w:r>
      <w:r w:rsidRPr="006745F4">
        <w:rPr>
          <w:szCs w:val="24"/>
        </w:rPr>
        <w:t>Patients are assigned to an inpatient team based upon their disease type or modality of treatment</w:t>
      </w:r>
      <w:r w:rsidR="005E43AC">
        <w:rPr>
          <w:szCs w:val="24"/>
        </w:rPr>
        <w:t xml:space="preserve"> with attending physicians who are expert in their </w:t>
      </w:r>
      <w:r w:rsidR="006C6AA8">
        <w:rPr>
          <w:szCs w:val="24"/>
        </w:rPr>
        <w:t>specific</w:t>
      </w:r>
      <w:r w:rsidR="005E43AC">
        <w:rPr>
          <w:szCs w:val="24"/>
        </w:rPr>
        <w:t xml:space="preserve"> disease</w:t>
      </w:r>
      <w:r w:rsidRPr="006745F4">
        <w:rPr>
          <w:szCs w:val="24"/>
        </w:rPr>
        <w:t xml:space="preserve">. </w:t>
      </w:r>
      <w:r>
        <w:rPr>
          <w:szCs w:val="24"/>
        </w:rPr>
        <w:t>The Applicant</w:t>
      </w:r>
      <w:r w:rsidRPr="006745F4">
        <w:rPr>
          <w:szCs w:val="24"/>
        </w:rPr>
        <w:t xml:space="preserve"> </w:t>
      </w:r>
      <w:r>
        <w:rPr>
          <w:szCs w:val="24"/>
        </w:rPr>
        <w:t>has</w:t>
      </w:r>
      <w:r w:rsidRPr="006745F4">
        <w:rPr>
          <w:szCs w:val="24"/>
        </w:rPr>
        <w:t xml:space="preserve"> dedicated teams of </w:t>
      </w:r>
      <w:r w:rsidR="00D157C5">
        <w:rPr>
          <w:szCs w:val="24"/>
        </w:rPr>
        <w:t xml:space="preserve">oncology </w:t>
      </w:r>
      <w:r w:rsidRPr="006745F4">
        <w:rPr>
          <w:szCs w:val="24"/>
        </w:rPr>
        <w:t>nurses, advanced practice providers and physicians specialized in solid tumor</w:t>
      </w:r>
      <w:r w:rsidR="005E43AC">
        <w:rPr>
          <w:szCs w:val="24"/>
        </w:rPr>
        <w:t xml:space="preserve"> malignancies</w:t>
      </w:r>
      <w:r w:rsidRPr="006745F4">
        <w:rPr>
          <w:szCs w:val="24"/>
        </w:rPr>
        <w:t>, hematologic malignancies,</w:t>
      </w:r>
      <w:r w:rsidR="00D157C5">
        <w:rPr>
          <w:szCs w:val="24"/>
        </w:rPr>
        <w:t xml:space="preserve"> and</w:t>
      </w:r>
      <w:r w:rsidRPr="006745F4">
        <w:rPr>
          <w:szCs w:val="24"/>
        </w:rPr>
        <w:t xml:space="preserve"> bone marrow transplant</w:t>
      </w:r>
      <w:r w:rsidR="00E3465C">
        <w:rPr>
          <w:szCs w:val="24"/>
        </w:rPr>
        <w:t>s</w:t>
      </w:r>
      <w:r w:rsidR="005E43AC">
        <w:rPr>
          <w:szCs w:val="24"/>
        </w:rPr>
        <w:t>, immune effector cell therapies,</w:t>
      </w:r>
      <w:r w:rsidRPr="006745F4">
        <w:rPr>
          <w:szCs w:val="24"/>
        </w:rPr>
        <w:t xml:space="preserve"> as well as palliative care. Inpatient teams are led by </w:t>
      </w:r>
      <w:r>
        <w:rPr>
          <w:szCs w:val="24"/>
        </w:rPr>
        <w:t>the Applicant</w:t>
      </w:r>
      <w:r w:rsidR="002340EA">
        <w:rPr>
          <w:szCs w:val="24"/>
        </w:rPr>
        <w:t>’</w:t>
      </w:r>
      <w:r>
        <w:rPr>
          <w:szCs w:val="24"/>
        </w:rPr>
        <w:t>s</w:t>
      </w:r>
      <w:r w:rsidRPr="006745F4">
        <w:rPr>
          <w:szCs w:val="24"/>
        </w:rPr>
        <w:t xml:space="preserve"> faculty, staffed by highly trained physician assistants and internal medicine residents, and regionalized to units with dedicated and </w:t>
      </w:r>
      <w:r w:rsidR="005E43AC">
        <w:rPr>
          <w:szCs w:val="24"/>
        </w:rPr>
        <w:t xml:space="preserve">highly </w:t>
      </w:r>
      <w:r w:rsidRPr="006745F4">
        <w:rPr>
          <w:szCs w:val="24"/>
        </w:rPr>
        <w:t>specialized oncology nurses</w:t>
      </w:r>
      <w:r>
        <w:rPr>
          <w:szCs w:val="24"/>
        </w:rPr>
        <w:t>. Additionally,</w:t>
      </w:r>
      <w:r w:rsidRPr="006745F4">
        <w:rPr>
          <w:szCs w:val="24"/>
        </w:rPr>
        <w:t xml:space="preserve"> </w:t>
      </w:r>
      <w:r>
        <w:rPr>
          <w:szCs w:val="24"/>
        </w:rPr>
        <w:t>the Applicant</w:t>
      </w:r>
      <w:r w:rsidR="002340EA">
        <w:rPr>
          <w:szCs w:val="24"/>
        </w:rPr>
        <w:t>’</w:t>
      </w:r>
      <w:r>
        <w:rPr>
          <w:szCs w:val="24"/>
        </w:rPr>
        <w:t>s</w:t>
      </w:r>
      <w:r w:rsidRPr="006745F4">
        <w:rPr>
          <w:szCs w:val="24"/>
        </w:rPr>
        <w:t xml:space="preserve"> solid tumor teams are predominantly disease-center based with dedicated services for</w:t>
      </w:r>
      <w:r w:rsidR="00DD18B5">
        <w:rPr>
          <w:szCs w:val="24"/>
        </w:rPr>
        <w:t xml:space="preserve"> breast cancer,</w:t>
      </w:r>
      <w:r w:rsidRPr="006745F4">
        <w:rPr>
          <w:szCs w:val="24"/>
        </w:rPr>
        <w:t xml:space="preserve"> </w:t>
      </w:r>
      <w:r w:rsidR="00785733">
        <w:rPr>
          <w:szCs w:val="24"/>
        </w:rPr>
        <w:t>gynecological</w:t>
      </w:r>
      <w:r w:rsidR="00785733" w:rsidRPr="006745F4">
        <w:rPr>
          <w:szCs w:val="24"/>
        </w:rPr>
        <w:t xml:space="preserve"> </w:t>
      </w:r>
      <w:r w:rsidRPr="006745F4">
        <w:rPr>
          <w:szCs w:val="24"/>
        </w:rPr>
        <w:t>cancers</w:t>
      </w:r>
      <w:r w:rsidR="00D157C5">
        <w:rPr>
          <w:szCs w:val="24"/>
        </w:rPr>
        <w:t>, gastrointestinal cancers, thoracic cancers, etc.,</w:t>
      </w:r>
      <w:r w:rsidRPr="006745F4">
        <w:rPr>
          <w:szCs w:val="24"/>
        </w:rPr>
        <w:t xml:space="preserve"> as well as the treatment of immunotherapy toxicity. Within </w:t>
      </w:r>
      <w:r>
        <w:rPr>
          <w:szCs w:val="24"/>
        </w:rPr>
        <w:t>its</w:t>
      </w:r>
      <w:r w:rsidRPr="006745F4">
        <w:rPr>
          <w:szCs w:val="24"/>
        </w:rPr>
        <w:t xml:space="preserve"> hematologic malignancy teams, </w:t>
      </w:r>
      <w:r>
        <w:rPr>
          <w:szCs w:val="24"/>
        </w:rPr>
        <w:t>the Applicant</w:t>
      </w:r>
      <w:r w:rsidRPr="006745F4">
        <w:rPr>
          <w:szCs w:val="24"/>
        </w:rPr>
        <w:t xml:space="preserve"> ha</w:t>
      </w:r>
      <w:r>
        <w:rPr>
          <w:szCs w:val="24"/>
        </w:rPr>
        <w:t>s</w:t>
      </w:r>
      <w:r w:rsidRPr="006745F4">
        <w:rPr>
          <w:szCs w:val="24"/>
        </w:rPr>
        <w:t xml:space="preserve"> teams dedicated to bone marrow transplantation, immune effector cell therapies (</w:t>
      </w:r>
      <w:r w:rsidR="000749BC">
        <w:rPr>
          <w:szCs w:val="24"/>
        </w:rPr>
        <w:t xml:space="preserve">including </w:t>
      </w:r>
      <w:r w:rsidRPr="006745F4">
        <w:rPr>
          <w:szCs w:val="24"/>
        </w:rPr>
        <w:t>CAR-T), leukemia and the treatment of lymphoma and multiple myeloma.</w:t>
      </w:r>
    </w:p>
    <w:p w14:paraId="53B9D5E8" w14:textId="77777777" w:rsidR="007F3EB4" w:rsidRDefault="007F3EB4" w:rsidP="007F3EB4">
      <w:pPr>
        <w:jc w:val="both"/>
        <w:rPr>
          <w:szCs w:val="24"/>
        </w:rPr>
      </w:pPr>
    </w:p>
    <w:p w14:paraId="1B4FFEC0" w14:textId="7A6ADBB1" w:rsidR="007F3EB4" w:rsidRDefault="009777DB" w:rsidP="007F3EB4">
      <w:pPr>
        <w:jc w:val="both"/>
        <w:rPr>
          <w:rFonts w:eastAsia="Times New Roman"/>
        </w:rPr>
      </w:pPr>
      <w:r>
        <w:rPr>
          <w:shd w:val="clear" w:color="auto" w:fill="FFFFFF"/>
        </w:rPr>
        <w:t>T</w:t>
      </w:r>
      <w:r w:rsidR="007F3EB4">
        <w:rPr>
          <w:shd w:val="clear" w:color="auto" w:fill="FFFFFF"/>
        </w:rPr>
        <w:t>he Applicant</w:t>
      </w:r>
      <w:r w:rsidR="006C6AA8">
        <w:rPr>
          <w:shd w:val="clear" w:color="auto" w:fill="FFFFFF"/>
        </w:rPr>
        <w:t xml:space="preserve"> provides</w:t>
      </w:r>
      <w:r w:rsidR="007F3EB4" w:rsidRPr="0C41756B">
        <w:rPr>
          <w:shd w:val="clear" w:color="auto" w:fill="FFFFFF"/>
        </w:rPr>
        <w:t xml:space="preserve"> </w:t>
      </w:r>
      <w:r w:rsidR="002B61BF">
        <w:rPr>
          <w:shd w:val="clear" w:color="auto" w:fill="FFFFFF"/>
        </w:rPr>
        <w:t xml:space="preserve">all aspects of </w:t>
      </w:r>
      <w:r w:rsidR="007F3EB4" w:rsidRPr="0C41756B">
        <w:rPr>
          <w:shd w:val="clear" w:color="auto" w:fill="FFFFFF"/>
        </w:rPr>
        <w:t>oncologic care including chemotherapy, palliative care, and treatment to mitigate the toxicities and side effects of cancer</w:t>
      </w:r>
      <w:r w:rsidR="005E43AC">
        <w:rPr>
          <w:shd w:val="clear" w:color="auto" w:fill="FFFFFF"/>
        </w:rPr>
        <w:t xml:space="preserve"> diseases</w:t>
      </w:r>
      <w:r w:rsidR="007F3EB4" w:rsidRPr="0C41756B">
        <w:rPr>
          <w:shd w:val="clear" w:color="auto" w:fill="FFFFFF"/>
        </w:rPr>
        <w:t xml:space="preserve"> and </w:t>
      </w:r>
      <w:r w:rsidR="005E43AC">
        <w:rPr>
          <w:shd w:val="clear" w:color="auto" w:fill="FFFFFF"/>
        </w:rPr>
        <w:t xml:space="preserve">their </w:t>
      </w:r>
      <w:r w:rsidR="007F3EB4" w:rsidRPr="0C41756B">
        <w:rPr>
          <w:shd w:val="clear" w:color="auto" w:fill="FFFFFF"/>
        </w:rPr>
        <w:t>treatment</w:t>
      </w:r>
      <w:r w:rsidR="00D157C5">
        <w:rPr>
          <w:shd w:val="clear" w:color="auto" w:fill="FFFFFF"/>
        </w:rPr>
        <w:t>s</w:t>
      </w:r>
      <w:r w:rsidR="007F3EB4" w:rsidRPr="0C41756B">
        <w:rPr>
          <w:shd w:val="clear" w:color="auto" w:fill="FFFFFF"/>
        </w:rPr>
        <w:t>.</w:t>
      </w:r>
      <w:r w:rsidR="007F3EB4">
        <w:rPr>
          <w:shd w:val="clear" w:color="auto" w:fill="FFFFFF"/>
        </w:rPr>
        <w:t xml:space="preserve"> </w:t>
      </w:r>
      <w:r w:rsidR="004B565B">
        <w:rPr>
          <w:shd w:val="clear" w:color="auto" w:fill="FFFFFF"/>
        </w:rPr>
        <w:t>Further, t</w:t>
      </w:r>
      <w:r w:rsidR="00785733">
        <w:rPr>
          <w:shd w:val="clear" w:color="auto" w:fill="FFFFFF"/>
        </w:rPr>
        <w:t>he Applicant</w:t>
      </w:r>
      <w:r w:rsidR="002340EA">
        <w:rPr>
          <w:shd w:val="clear" w:color="auto" w:fill="FFFFFF"/>
        </w:rPr>
        <w:t>’</w:t>
      </w:r>
      <w:r w:rsidR="00785733">
        <w:rPr>
          <w:shd w:val="clear" w:color="auto" w:fill="FFFFFF"/>
        </w:rPr>
        <w:t xml:space="preserve">s inpatient palliative care team operates a unit </w:t>
      </w:r>
      <w:r w:rsidR="00785733">
        <w:rPr>
          <w:rStyle w:val="Emphasis"/>
          <w:i w:val="0"/>
          <w:iCs w:val="0"/>
        </w:rPr>
        <w:t>of specialized palliative care physicians and nurses.</w:t>
      </w:r>
      <w:r w:rsidR="00785733" w:rsidRPr="006745F4">
        <w:rPr>
          <w:rStyle w:val="Emphasis"/>
          <w:i w:val="0"/>
          <w:iCs w:val="0"/>
        </w:rPr>
        <w:t xml:space="preserve"> </w:t>
      </w:r>
      <w:r w:rsidR="00785733">
        <w:rPr>
          <w:rStyle w:val="Emphasis"/>
          <w:i w:val="0"/>
          <w:iCs w:val="0"/>
        </w:rPr>
        <w:t xml:space="preserve">This unit is </w:t>
      </w:r>
      <w:r w:rsidR="00785733" w:rsidRPr="006745F4">
        <w:rPr>
          <w:rStyle w:val="Emphasis"/>
          <w:i w:val="0"/>
          <w:iCs w:val="0"/>
        </w:rPr>
        <w:t xml:space="preserve">dedicated to intensive palliative care and care focused on the needs of </w:t>
      </w:r>
      <w:r w:rsidR="00785733">
        <w:rPr>
          <w:rStyle w:val="Emphasis"/>
          <w:i w:val="0"/>
          <w:iCs w:val="0"/>
        </w:rPr>
        <w:t xml:space="preserve">cancer </w:t>
      </w:r>
      <w:r w:rsidR="00785733" w:rsidRPr="006745F4">
        <w:rPr>
          <w:rStyle w:val="Emphasis"/>
          <w:i w:val="0"/>
          <w:iCs w:val="0"/>
        </w:rPr>
        <w:t xml:space="preserve">patients </w:t>
      </w:r>
      <w:r w:rsidR="00785733">
        <w:rPr>
          <w:rStyle w:val="Emphasis"/>
          <w:i w:val="0"/>
          <w:iCs w:val="0"/>
        </w:rPr>
        <w:t xml:space="preserve">experiencing symptoms related to their cancer or its treatment or whose </w:t>
      </w:r>
      <w:r w:rsidR="00785733">
        <w:rPr>
          <w:rStyle w:val="Emphasis"/>
          <w:i w:val="0"/>
          <w:iCs w:val="0"/>
        </w:rPr>
        <w:lastRenderedPageBreak/>
        <w:t xml:space="preserve">hospitalization is devoted to symptom control and/or </w:t>
      </w:r>
      <w:r w:rsidR="00785733" w:rsidRPr="006745F4">
        <w:rPr>
          <w:rStyle w:val="Emphasis"/>
          <w:i w:val="0"/>
          <w:iCs w:val="0"/>
        </w:rPr>
        <w:t>end of life</w:t>
      </w:r>
      <w:r w:rsidR="00785733">
        <w:rPr>
          <w:rStyle w:val="Emphasis"/>
          <w:i w:val="0"/>
          <w:iCs w:val="0"/>
        </w:rPr>
        <w:t xml:space="preserve"> care.</w:t>
      </w:r>
      <w:r w:rsidR="007F3EB4" w:rsidRPr="006745F4">
        <w:rPr>
          <w:rStyle w:val="Emphasis"/>
          <w:i w:val="0"/>
          <w:iCs w:val="0"/>
        </w:rPr>
        <w:t xml:space="preserve"> </w:t>
      </w:r>
      <w:r w:rsidR="00E345F0">
        <w:rPr>
          <w:rStyle w:val="Emphasis"/>
          <w:i w:val="0"/>
          <w:iCs w:val="0"/>
        </w:rPr>
        <w:t>In addition</w:t>
      </w:r>
      <w:r w:rsidR="007F3EB4" w:rsidRPr="006745F4">
        <w:rPr>
          <w:rStyle w:val="Emphasis"/>
        </w:rPr>
        <w:t xml:space="preserve">, </w:t>
      </w:r>
      <w:r w:rsidR="007F3EB4">
        <w:rPr>
          <w:rStyle w:val="Emphasis"/>
          <w:i w:val="0"/>
          <w:iCs w:val="0"/>
        </w:rPr>
        <w:t>the Applicant has</w:t>
      </w:r>
      <w:r w:rsidR="007F3EB4" w:rsidRPr="006745F4">
        <w:rPr>
          <w:i/>
          <w:iCs/>
          <w:shd w:val="clear" w:color="auto" w:fill="FFFFFF"/>
        </w:rPr>
        <w:t xml:space="preserve"> </w:t>
      </w:r>
      <w:r w:rsidR="007F3EB4" w:rsidRPr="006745F4">
        <w:rPr>
          <w:shd w:val="clear" w:color="auto" w:fill="FFFFFF"/>
        </w:rPr>
        <w:t>dedicated and specialized medical and surgical subspecialty care including infectious disease, nephrology, cardiology</w:t>
      </w:r>
      <w:r w:rsidR="00D157C5">
        <w:rPr>
          <w:shd w:val="clear" w:color="auto" w:fill="FFFFFF"/>
        </w:rPr>
        <w:t xml:space="preserve"> </w:t>
      </w:r>
      <w:r w:rsidR="007F3EB4" w:rsidRPr="006745F4">
        <w:rPr>
          <w:shd w:val="clear" w:color="auto" w:fill="FFFFFF"/>
        </w:rPr>
        <w:t>pulmonary</w:t>
      </w:r>
      <w:r w:rsidR="00FC08CD">
        <w:rPr>
          <w:shd w:val="clear" w:color="auto" w:fill="FFFFFF"/>
        </w:rPr>
        <w:t xml:space="preserve"> medicine and other medical subspecialties</w:t>
      </w:r>
      <w:r w:rsidR="007F3EB4" w:rsidRPr="006745F4">
        <w:rPr>
          <w:shd w:val="clear" w:color="auto" w:fill="FFFFFF"/>
        </w:rPr>
        <w:t>,</w:t>
      </w:r>
      <w:r w:rsidR="00D157C5">
        <w:rPr>
          <w:shd w:val="clear" w:color="auto" w:fill="FFFFFF"/>
        </w:rPr>
        <w:t xml:space="preserve"> intensive care, and</w:t>
      </w:r>
      <w:r w:rsidR="007F3EB4" w:rsidRPr="006745F4">
        <w:rPr>
          <w:shd w:val="clear" w:color="auto" w:fill="FFFFFF"/>
        </w:rPr>
        <w:t xml:space="preserve"> state of the art radiation oncology therapy</w:t>
      </w:r>
      <w:r w:rsidR="004C346B">
        <w:rPr>
          <w:shd w:val="clear" w:color="auto" w:fill="FFFFFF"/>
        </w:rPr>
        <w:t xml:space="preserve"> and</w:t>
      </w:r>
      <w:r w:rsidR="007F3EB4" w:rsidRPr="006745F4">
        <w:rPr>
          <w:shd w:val="clear" w:color="auto" w:fill="FFFFFF"/>
        </w:rPr>
        <w:t xml:space="preserve"> radiology services</w:t>
      </w:r>
      <w:r w:rsidR="007F3EB4">
        <w:rPr>
          <w:shd w:val="clear" w:color="auto" w:fill="FFFFFF"/>
        </w:rPr>
        <w:t xml:space="preserve"> (</w:t>
      </w:r>
      <w:r w:rsidR="007F3EB4" w:rsidRPr="006745F4">
        <w:rPr>
          <w:shd w:val="clear" w:color="auto" w:fill="FFFFFF"/>
        </w:rPr>
        <w:t>including nuclear medicine</w:t>
      </w:r>
      <w:r w:rsidR="007F3EB4">
        <w:rPr>
          <w:shd w:val="clear" w:color="auto" w:fill="FFFFFF"/>
        </w:rPr>
        <w:t>)</w:t>
      </w:r>
      <w:r w:rsidR="007F3EB4" w:rsidRPr="006745F4">
        <w:rPr>
          <w:shd w:val="clear" w:color="auto" w:fill="FFFFFF"/>
        </w:rPr>
        <w:t>, MRI and CT</w:t>
      </w:r>
      <w:r w:rsidR="007F3EB4">
        <w:rPr>
          <w:shd w:val="clear" w:color="auto" w:fill="FFFFFF"/>
        </w:rPr>
        <w:t>,</w:t>
      </w:r>
      <w:r w:rsidR="007F3EB4" w:rsidRPr="006745F4">
        <w:rPr>
          <w:shd w:val="clear" w:color="auto" w:fill="FFFFFF"/>
        </w:rPr>
        <w:t xml:space="preserve"> and interventional radiology. </w:t>
      </w:r>
      <w:r w:rsidR="007F3EB4">
        <w:rPr>
          <w:shd w:val="clear" w:color="auto" w:fill="FFFFFF"/>
        </w:rPr>
        <w:t xml:space="preserve">Further, </w:t>
      </w:r>
      <w:r w:rsidR="007F3EB4">
        <w:rPr>
          <w:rFonts w:eastAsia="Times New Roman"/>
        </w:rPr>
        <w:t>a</w:t>
      </w:r>
      <w:r w:rsidR="007F3EB4" w:rsidRPr="006745F4">
        <w:rPr>
          <w:rFonts w:eastAsia="Times New Roman"/>
        </w:rPr>
        <w:t>ncillary s</w:t>
      </w:r>
      <w:r w:rsidR="007F3EB4" w:rsidRPr="0C41756B">
        <w:rPr>
          <w:rFonts w:eastAsia="Times New Roman"/>
        </w:rPr>
        <w:t xml:space="preserve">ervices including </w:t>
      </w:r>
      <w:r w:rsidR="007F3EB4">
        <w:rPr>
          <w:rFonts w:eastAsia="Times New Roman"/>
        </w:rPr>
        <w:t xml:space="preserve">clinical </w:t>
      </w:r>
      <w:r w:rsidR="007F3EB4" w:rsidRPr="0C41756B">
        <w:rPr>
          <w:rFonts w:eastAsia="Times New Roman"/>
        </w:rPr>
        <w:t xml:space="preserve">social work, </w:t>
      </w:r>
      <w:r w:rsidR="00FC08CD">
        <w:rPr>
          <w:rFonts w:eastAsia="Times New Roman"/>
        </w:rPr>
        <w:t xml:space="preserve">medical </w:t>
      </w:r>
      <w:r w:rsidR="00FC08CD" w:rsidRPr="0C41756B">
        <w:rPr>
          <w:rFonts w:eastAsia="Times New Roman"/>
        </w:rPr>
        <w:t>nutrition</w:t>
      </w:r>
      <w:r w:rsidR="00FC08CD">
        <w:rPr>
          <w:rFonts w:eastAsia="Times New Roman"/>
        </w:rPr>
        <w:t xml:space="preserve"> therapy</w:t>
      </w:r>
      <w:r w:rsidR="007F3EB4" w:rsidRPr="0C41756B">
        <w:rPr>
          <w:rFonts w:eastAsia="Times New Roman"/>
        </w:rPr>
        <w:t xml:space="preserve">, respiratory care, physical and occupational </w:t>
      </w:r>
      <w:r w:rsidR="00A72DED" w:rsidRPr="0C41756B">
        <w:rPr>
          <w:rFonts w:eastAsia="Times New Roman"/>
        </w:rPr>
        <w:t>therapy,</w:t>
      </w:r>
      <w:r w:rsidR="007F3EB4" w:rsidRPr="0C41756B">
        <w:rPr>
          <w:rFonts w:eastAsia="Times New Roman"/>
        </w:rPr>
        <w:t xml:space="preserve"> and spiritual care are central to </w:t>
      </w:r>
      <w:r w:rsidR="007F3EB4">
        <w:rPr>
          <w:rFonts w:eastAsia="Times New Roman"/>
        </w:rPr>
        <w:t>the Applicant</w:t>
      </w:r>
      <w:r w:rsidR="002340EA">
        <w:rPr>
          <w:rFonts w:eastAsia="Times New Roman"/>
        </w:rPr>
        <w:t>’</w:t>
      </w:r>
      <w:r w:rsidR="007F3EB4">
        <w:rPr>
          <w:rFonts w:eastAsia="Times New Roman"/>
        </w:rPr>
        <w:t>s</w:t>
      </w:r>
      <w:r w:rsidR="007F3EB4" w:rsidRPr="0C41756B">
        <w:rPr>
          <w:rFonts w:eastAsia="Times New Roman"/>
        </w:rPr>
        <w:t xml:space="preserve"> inpatient multidisciplinary teams</w:t>
      </w:r>
      <w:r w:rsidR="00A72DED" w:rsidRPr="0C41756B">
        <w:rPr>
          <w:rFonts w:eastAsia="Times New Roman"/>
        </w:rPr>
        <w:t>.</w:t>
      </w:r>
      <w:r w:rsidR="00A72DED">
        <w:rPr>
          <w:rFonts w:eastAsia="Times New Roman"/>
        </w:rPr>
        <w:t xml:space="preserve"> </w:t>
      </w:r>
      <w:r w:rsidR="008D5DF0">
        <w:rPr>
          <w:rFonts w:eastAsia="Times New Roman"/>
        </w:rPr>
        <w:t>Consistent with Dr. Farber</w:t>
      </w:r>
      <w:r w:rsidR="002340EA">
        <w:rPr>
          <w:rFonts w:eastAsia="Times New Roman"/>
        </w:rPr>
        <w:t>’</w:t>
      </w:r>
      <w:r w:rsidR="008D5DF0">
        <w:rPr>
          <w:rFonts w:eastAsia="Times New Roman"/>
        </w:rPr>
        <w:t xml:space="preserve">s </w:t>
      </w:r>
      <w:r w:rsidR="002340EA">
        <w:rPr>
          <w:rFonts w:eastAsia="Times New Roman"/>
        </w:rPr>
        <w:t>“</w:t>
      </w:r>
      <w:r w:rsidR="008D5DF0">
        <w:rPr>
          <w:rFonts w:eastAsia="Times New Roman"/>
        </w:rPr>
        <w:t>Total Patient Care</w:t>
      </w:r>
      <w:r w:rsidR="002340EA">
        <w:rPr>
          <w:rFonts w:eastAsia="Times New Roman"/>
        </w:rPr>
        <w:t>”</w:t>
      </w:r>
      <w:r w:rsidR="008D5DF0">
        <w:rPr>
          <w:rFonts w:eastAsia="Times New Roman"/>
        </w:rPr>
        <w:t xml:space="preserve"> philosophy, a</w:t>
      </w:r>
      <w:r w:rsidR="007F3EB4">
        <w:rPr>
          <w:rFonts w:eastAsia="Times New Roman"/>
        </w:rPr>
        <w:t>ll care is supported by the availability of medical interpreters for patients for whom English is not their first language</w:t>
      </w:r>
      <w:r w:rsidR="008D5DF0">
        <w:rPr>
          <w:rFonts w:eastAsia="Times New Roman"/>
        </w:rPr>
        <w:t xml:space="preserve">, </w:t>
      </w:r>
      <w:r w:rsidR="00C93D67">
        <w:rPr>
          <w:rFonts w:eastAsia="Times New Roman"/>
        </w:rPr>
        <w:t>as detailed in Factor 1.c.</w:t>
      </w:r>
    </w:p>
    <w:p w14:paraId="44875B28" w14:textId="77777777" w:rsidR="0006727D" w:rsidRDefault="0006727D" w:rsidP="007F3EB4">
      <w:pPr>
        <w:jc w:val="both"/>
        <w:rPr>
          <w:rFonts w:eastAsia="Times New Roman"/>
        </w:rPr>
      </w:pPr>
    </w:p>
    <w:p w14:paraId="66ECBA94" w14:textId="77777777" w:rsidR="007F3EB4" w:rsidRDefault="007F3EB4" w:rsidP="007F3EB4">
      <w:pPr>
        <w:jc w:val="both"/>
        <w:rPr>
          <w:b/>
          <w:bCs/>
          <w:i/>
          <w:iCs/>
          <w:szCs w:val="24"/>
        </w:rPr>
      </w:pPr>
      <w:r w:rsidRPr="00E66097">
        <w:rPr>
          <w:b/>
          <w:bCs/>
          <w:i/>
          <w:iCs/>
          <w:szCs w:val="24"/>
        </w:rPr>
        <w:t>Other Adult Clinical Services and Adult Specialty Centers</w:t>
      </w:r>
    </w:p>
    <w:p w14:paraId="22BEADC3" w14:textId="77777777" w:rsidR="007F3EB4" w:rsidRDefault="007F3EB4" w:rsidP="007F3EB4">
      <w:pPr>
        <w:jc w:val="both"/>
        <w:rPr>
          <w:b/>
          <w:bCs/>
          <w:i/>
          <w:iCs/>
          <w:szCs w:val="24"/>
        </w:rPr>
      </w:pPr>
    </w:p>
    <w:p w14:paraId="04B816C0" w14:textId="0DEE7068" w:rsidR="000749BC" w:rsidRDefault="000749BC" w:rsidP="000749BC">
      <w:pPr>
        <w:jc w:val="both"/>
        <w:rPr>
          <w:rFonts w:cstheme="minorHAnsi"/>
        </w:rPr>
      </w:pPr>
      <w:r>
        <w:rPr>
          <w:rFonts w:eastAsia="Times New Roman" w:cstheme="minorHAnsi"/>
        </w:rPr>
        <w:t>The Applicant</w:t>
      </w:r>
      <w:r w:rsidR="002340EA">
        <w:rPr>
          <w:rFonts w:eastAsia="Times New Roman" w:cstheme="minorHAnsi"/>
        </w:rPr>
        <w:t>’</w:t>
      </w:r>
      <w:r>
        <w:rPr>
          <w:rFonts w:eastAsia="Times New Roman" w:cstheme="minorHAnsi"/>
        </w:rPr>
        <w:t>s patients also benefit from other clinical services and specialty programs, including systemic infusion therapy (</w:t>
      </w:r>
      <w:r w:rsidRPr="00FC08CD">
        <w:rPr>
          <w:rFonts w:eastAsia="Times New Roman" w:cstheme="minorHAnsi"/>
          <w:i/>
          <w:iCs/>
        </w:rPr>
        <w:t>e.g.</w:t>
      </w:r>
      <w:r>
        <w:rPr>
          <w:rFonts w:eastAsia="Times New Roman" w:cstheme="minorHAnsi"/>
        </w:rPr>
        <w:t xml:space="preserve">, </w:t>
      </w:r>
      <w:r>
        <w:rPr>
          <w:rFonts w:cstheme="minorHAnsi"/>
        </w:rPr>
        <w:t xml:space="preserve">chemotherapy, biologic, endocrine and immunotherapies), imaging services (radiology/nuclear medicine), oncology hospital medicine (inpatient care), oral medicine and oral oncology, pathology, the adult survivorship program, </w:t>
      </w:r>
      <w:r>
        <w:rPr>
          <w:rFonts w:eastAsia="Times New Roman" w:cstheme="minorHAnsi"/>
        </w:rPr>
        <w:t xml:space="preserve">the </w:t>
      </w:r>
      <w:r>
        <w:rPr>
          <w:rFonts w:cstheme="minorHAnsi"/>
        </w:rPr>
        <w:t>adult fertility preservation (</w:t>
      </w:r>
      <w:proofErr w:type="spellStart"/>
      <w:r>
        <w:rPr>
          <w:rFonts w:cstheme="minorHAnsi"/>
        </w:rPr>
        <w:t>oncofertility</w:t>
      </w:r>
      <w:proofErr w:type="spellEnd"/>
      <w:r>
        <w:rPr>
          <w:rFonts w:cstheme="minorHAnsi"/>
        </w:rPr>
        <w:t xml:space="preserve">) program, adult psychosocial oncology, the Zakim Center for Integrative Therapies and Healthy Living, </w:t>
      </w:r>
      <w:r>
        <w:rPr>
          <w:rFonts w:cstheme="minorHAnsi"/>
          <w:shd w:val="clear" w:color="auto" w:fill="FFFFFF"/>
        </w:rPr>
        <w:t xml:space="preserve">the </w:t>
      </w:r>
      <w:r>
        <w:rPr>
          <w:rFonts w:cstheme="minorHAnsi"/>
        </w:rPr>
        <w:t xml:space="preserve">Center for </w:t>
      </w:r>
      <w:r w:rsidRPr="00D4292E">
        <w:rPr>
          <w:rFonts w:cstheme="minorHAnsi"/>
        </w:rPr>
        <w:t>Cancer Therapeutic Innovation, the Adolescent and Young Adult Program, the Center for Immuno-Oncology, and the stem cell transplantation and cellular therapies division, including</w:t>
      </w:r>
      <w:r>
        <w:rPr>
          <w:rFonts w:cstheme="minorHAnsi"/>
        </w:rPr>
        <w:t xml:space="preserve"> </w:t>
      </w:r>
      <w:r w:rsidRPr="00D4292E">
        <w:rPr>
          <w:rFonts w:cstheme="minorHAnsi"/>
          <w:shd w:val="clear" w:color="auto" w:fill="FFFFFF"/>
        </w:rPr>
        <w:t>The </w:t>
      </w:r>
      <w:r w:rsidRPr="00E66097">
        <w:rPr>
          <w:rFonts w:cstheme="minorHAnsi"/>
          <w:shd w:val="clear" w:color="auto" w:fill="FFFFFF"/>
        </w:rPr>
        <w:t>Connell and O</w:t>
      </w:r>
      <w:r w:rsidR="002340EA">
        <w:rPr>
          <w:rFonts w:cstheme="minorHAnsi"/>
          <w:shd w:val="clear" w:color="auto" w:fill="FFFFFF"/>
        </w:rPr>
        <w:t>’</w:t>
      </w:r>
      <w:r w:rsidRPr="00E66097">
        <w:rPr>
          <w:rFonts w:cstheme="minorHAnsi"/>
          <w:shd w:val="clear" w:color="auto" w:fill="FFFFFF"/>
        </w:rPr>
        <w:t>Reilly Families Cell Manipulation Core Facility</w:t>
      </w:r>
      <w:r w:rsidR="007D1969">
        <w:rPr>
          <w:rFonts w:cstheme="minorHAnsi"/>
          <w:shd w:val="clear" w:color="auto" w:fill="FFFFFF"/>
        </w:rPr>
        <w:t>,</w:t>
      </w:r>
      <w:r w:rsidRPr="00E66097">
        <w:t xml:space="preserve"> where </w:t>
      </w:r>
      <w:r>
        <w:t>the Applicant</w:t>
      </w:r>
      <w:r w:rsidRPr="00E66097">
        <w:t xml:space="preserve"> process</w:t>
      </w:r>
      <w:r>
        <w:t>es</w:t>
      </w:r>
      <w:r w:rsidRPr="00E66097">
        <w:t xml:space="preserve"> cells for </w:t>
      </w:r>
      <w:r w:rsidRPr="00D4292E">
        <w:rPr>
          <w:rFonts w:cstheme="minorHAnsi"/>
          <w:shd w:val="clear" w:color="auto" w:fill="FFFFFF"/>
        </w:rPr>
        <w:t>more than 600 adult and pediatric stem cell transplants and support</w:t>
      </w:r>
      <w:r>
        <w:rPr>
          <w:rFonts w:cstheme="minorHAnsi"/>
          <w:shd w:val="clear" w:color="auto" w:fill="FFFFFF"/>
        </w:rPr>
        <w:t>s</w:t>
      </w:r>
      <w:r w:rsidRPr="00D4292E">
        <w:rPr>
          <w:rFonts w:cstheme="minorHAnsi"/>
          <w:shd w:val="clear" w:color="auto" w:fill="FFFFFF"/>
        </w:rPr>
        <w:t xml:space="preserve"> more than 40 diverse active clinical research protocols. </w:t>
      </w:r>
      <w:r>
        <w:rPr>
          <w:rFonts w:cstheme="minorHAnsi"/>
        </w:rPr>
        <w:t xml:space="preserve">Further, the Applicant </w:t>
      </w:r>
      <w:r w:rsidRPr="00D4292E">
        <w:rPr>
          <w:rFonts w:cstheme="minorHAnsi"/>
        </w:rPr>
        <w:t xml:space="preserve">also manages a comprehensive immunotoxicity service for rapidly evolving </w:t>
      </w:r>
      <w:r>
        <w:rPr>
          <w:rFonts w:cstheme="minorHAnsi"/>
        </w:rPr>
        <w:t xml:space="preserve">care, with intense care coordination between the inpatient and outpatient settings for patients who have received immunotherapy in the last several months, even if the patient is no longer being treated with immunotherapy (because these toxicities may occur even months after discontinuation of this therapy). </w:t>
      </w:r>
    </w:p>
    <w:p w14:paraId="01440EC9" w14:textId="6C019CE9" w:rsidR="004C346B" w:rsidRDefault="004C346B" w:rsidP="009777DB">
      <w:pPr>
        <w:spacing w:before="100" w:beforeAutospacing="1" w:after="100" w:afterAutospacing="1"/>
        <w:jc w:val="both"/>
        <w:rPr>
          <w:rFonts w:cstheme="minorHAnsi"/>
          <w:shd w:val="clear" w:color="auto" w:fill="FFFFFF"/>
        </w:rPr>
      </w:pPr>
      <w:r>
        <w:rPr>
          <w:rFonts w:cstheme="minorHAnsi"/>
          <w:shd w:val="clear" w:color="auto" w:fill="FFFFFF"/>
        </w:rPr>
        <w:t>The Applicant</w:t>
      </w:r>
      <w:r w:rsidR="002340EA">
        <w:rPr>
          <w:rFonts w:cstheme="minorHAnsi"/>
          <w:shd w:val="clear" w:color="auto" w:fill="FFFFFF"/>
        </w:rPr>
        <w:t>’</w:t>
      </w:r>
      <w:r>
        <w:rPr>
          <w:rFonts w:cstheme="minorHAnsi"/>
          <w:shd w:val="clear" w:color="auto" w:fill="FFFFFF"/>
        </w:rPr>
        <w:t>s differentiated care is supported in part by its oncology research infrastructure, including specialized research nurses, pharmacists, research coordinators, and data managers in addition to the Applicant</w:t>
      </w:r>
      <w:r w:rsidR="002340EA">
        <w:rPr>
          <w:rFonts w:cstheme="minorHAnsi"/>
          <w:shd w:val="clear" w:color="auto" w:fill="FFFFFF"/>
        </w:rPr>
        <w:t>’</w:t>
      </w:r>
      <w:r>
        <w:rPr>
          <w:rFonts w:cstheme="minorHAnsi"/>
          <w:shd w:val="clear" w:color="auto" w:fill="FFFFFF"/>
        </w:rPr>
        <w:t xml:space="preserve">s oncology pharmacy which provides specialized coordination between ambulatory and inpatient care settings. The Applicant has oncology-trained staff including resource specialists, nurse navigators, </w:t>
      </w:r>
      <w:r w:rsidR="00D60C6F">
        <w:rPr>
          <w:rFonts w:cstheme="minorHAnsi"/>
          <w:shd w:val="clear" w:color="auto" w:fill="FFFFFF"/>
        </w:rPr>
        <w:t>patient</w:t>
      </w:r>
      <w:r>
        <w:rPr>
          <w:rFonts w:cstheme="minorHAnsi"/>
          <w:shd w:val="clear" w:color="auto" w:fill="FFFFFF"/>
        </w:rPr>
        <w:t xml:space="preserve"> navigators</w:t>
      </w:r>
      <w:r w:rsidR="00D60C6F">
        <w:rPr>
          <w:rFonts w:cstheme="minorHAnsi"/>
          <w:shd w:val="clear" w:color="auto" w:fill="FFFFFF"/>
        </w:rPr>
        <w:t>,</w:t>
      </w:r>
      <w:r w:rsidR="00FC08CD">
        <w:rPr>
          <w:rFonts w:cstheme="minorHAnsi"/>
          <w:shd w:val="clear" w:color="auto" w:fill="FFFFFF"/>
        </w:rPr>
        <w:t xml:space="preserve"> spiritual care provide</w:t>
      </w:r>
      <w:r>
        <w:rPr>
          <w:rFonts w:cstheme="minorHAnsi"/>
          <w:shd w:val="clear" w:color="auto" w:fill="FFFFFF"/>
        </w:rPr>
        <w:t>rs</w:t>
      </w:r>
      <w:r w:rsidR="007D1969">
        <w:rPr>
          <w:rFonts w:cstheme="minorHAnsi"/>
          <w:shd w:val="clear" w:color="auto" w:fill="FFFFFF"/>
        </w:rPr>
        <w:t>,</w:t>
      </w:r>
      <w:r>
        <w:rPr>
          <w:rFonts w:cstheme="minorHAnsi"/>
          <w:shd w:val="clear" w:color="auto" w:fill="FFFFFF"/>
        </w:rPr>
        <w:t xml:space="preserve"> and nutritionists, as well as oncology-trained staff that are subspecialized in specific cancer types, such as oncology nurses trained in each specific cancer type, clinical social work, </w:t>
      </w:r>
      <w:r>
        <w:rPr>
          <w:rFonts w:cstheme="minorHAnsi"/>
        </w:rPr>
        <w:t>psychiatry, palliative care, infection control, and infectious diseases.</w:t>
      </w:r>
    </w:p>
    <w:p w14:paraId="22DDD29D" w14:textId="460121F7" w:rsidR="001C5287" w:rsidRDefault="007F3EB4" w:rsidP="009777DB">
      <w:pPr>
        <w:jc w:val="both"/>
      </w:pPr>
      <w:r w:rsidRPr="008B3AD9">
        <w:rPr>
          <w:rFonts w:cstheme="minorHAnsi"/>
        </w:rPr>
        <w:t xml:space="preserve">The ability to consolidate oncologic </w:t>
      </w:r>
      <w:r w:rsidR="004C346B">
        <w:rPr>
          <w:rFonts w:cstheme="minorHAnsi"/>
        </w:rPr>
        <w:t>sub</w:t>
      </w:r>
      <w:r w:rsidRPr="008B3AD9">
        <w:rPr>
          <w:rFonts w:cstheme="minorHAnsi"/>
        </w:rPr>
        <w:t>special</w:t>
      </w:r>
      <w:r w:rsidR="004C346B">
        <w:rPr>
          <w:rFonts w:cstheme="minorHAnsi"/>
        </w:rPr>
        <w:t>ized</w:t>
      </w:r>
      <w:r w:rsidRPr="008B3AD9">
        <w:rPr>
          <w:rFonts w:cstheme="minorHAnsi"/>
        </w:rPr>
        <w:t xml:space="preserve"> care in the inpatient setting will allow for implementation of a more equitable, integrated</w:t>
      </w:r>
      <w:r w:rsidR="00FC08CD">
        <w:rPr>
          <w:rFonts w:cstheme="minorHAnsi"/>
        </w:rPr>
        <w:t>,</w:t>
      </w:r>
      <w:r w:rsidRPr="008B3AD9">
        <w:rPr>
          <w:rFonts w:cstheme="minorHAnsi"/>
        </w:rPr>
        <w:t xml:space="preserve"> cancer</w:t>
      </w:r>
      <w:r w:rsidR="00FC08CD">
        <w:rPr>
          <w:rFonts w:cstheme="minorHAnsi"/>
        </w:rPr>
        <w:t>-</w:t>
      </w:r>
      <w:r w:rsidRPr="008B3AD9">
        <w:rPr>
          <w:rFonts w:cstheme="minorHAnsi"/>
        </w:rPr>
        <w:t>focused health care delivery infrastructure as described above.</w:t>
      </w:r>
      <w:r w:rsidR="001C5287">
        <w:rPr>
          <w:rFonts w:cstheme="minorHAnsi"/>
        </w:rPr>
        <w:t xml:space="preserve"> </w:t>
      </w:r>
      <w:r w:rsidR="001C5287">
        <w:t>In addition, the Proposed Project will also facilitate enhanced coordination of cancer prevention, outreach, and screening and diagnostic services for communities.</w:t>
      </w:r>
    </w:p>
    <w:p w14:paraId="29E5A997" w14:textId="77777777" w:rsidR="001C5287" w:rsidRDefault="001C5287" w:rsidP="009777DB">
      <w:pPr>
        <w:jc w:val="both"/>
      </w:pPr>
    </w:p>
    <w:p w14:paraId="59F6A690" w14:textId="32E5832A" w:rsidR="009E40D8" w:rsidRPr="009E40D8" w:rsidRDefault="009E40D8" w:rsidP="009777DB">
      <w:pPr>
        <w:jc w:val="both"/>
        <w:rPr>
          <w:szCs w:val="24"/>
        </w:rPr>
      </w:pPr>
      <w:r>
        <w:rPr>
          <w:szCs w:val="24"/>
        </w:rPr>
        <w:t>T</w:t>
      </w:r>
      <w:r w:rsidRPr="009113D4">
        <w:rPr>
          <w:szCs w:val="24"/>
        </w:rPr>
        <w:t>hrough the Proposed Project, the Applicant will continue to facilitate expedited access to fully integrated</w:t>
      </w:r>
      <w:r>
        <w:rPr>
          <w:szCs w:val="24"/>
        </w:rPr>
        <w:t xml:space="preserve"> </w:t>
      </w:r>
      <w:r w:rsidRPr="009113D4">
        <w:rPr>
          <w:szCs w:val="24"/>
        </w:rPr>
        <w:t>cancer care services, assisting patients and families in navigating the complex clinical system and providing essential supportive services that positively impact overall health outcomes and patient experience.</w:t>
      </w:r>
    </w:p>
    <w:p w14:paraId="3A65C416" w14:textId="6D2050D6" w:rsidR="00A45C93" w:rsidRDefault="00A45C93" w:rsidP="007F3EB4">
      <w:pPr>
        <w:jc w:val="both"/>
        <w:rPr>
          <w:rFonts w:cstheme="minorHAnsi"/>
        </w:rPr>
      </w:pPr>
    </w:p>
    <w:p w14:paraId="462E0412" w14:textId="77777777" w:rsidR="000749BC" w:rsidRPr="009113D4" w:rsidRDefault="000749BC" w:rsidP="000749BC">
      <w:pPr>
        <w:rPr>
          <w:b/>
          <w:szCs w:val="24"/>
          <w:u w:val="single"/>
        </w:rPr>
      </w:pPr>
      <w:r w:rsidRPr="009113D4">
        <w:rPr>
          <w:b/>
          <w:szCs w:val="24"/>
          <w:u w:val="single"/>
        </w:rPr>
        <w:t>F1.c. Furthering and Improving Continuity and Coordination of Care</w:t>
      </w:r>
    </w:p>
    <w:p w14:paraId="6E5EF463" w14:textId="0C1B8ABB" w:rsidR="000749BC" w:rsidRDefault="000749BC" w:rsidP="0083124C">
      <w:pPr>
        <w:jc w:val="both"/>
        <w:rPr>
          <w:b/>
          <w:szCs w:val="24"/>
        </w:rPr>
      </w:pPr>
      <w:r w:rsidRPr="009113D4">
        <w:rPr>
          <w:b/>
          <w:szCs w:val="24"/>
        </w:rPr>
        <w:t xml:space="preserve">Provide evidence that the Proposed Project will operate efficiently and effectively by furthering and improving continuity and coordination of care for the </w:t>
      </w:r>
      <w:bookmarkStart w:id="20" w:name="_9kR3WTr26648IQE0xrjco8ElOz8u0GtV054"/>
      <w:r w:rsidRPr="009113D4">
        <w:rPr>
          <w:b/>
          <w:szCs w:val="24"/>
        </w:rPr>
        <w:t>Applicant</w:t>
      </w:r>
      <w:r w:rsidR="002340EA">
        <w:rPr>
          <w:b/>
          <w:szCs w:val="24"/>
        </w:rPr>
        <w:t>’</w:t>
      </w:r>
      <w:r w:rsidRPr="009113D4">
        <w:rPr>
          <w:b/>
          <w:szCs w:val="24"/>
        </w:rPr>
        <w:t>s</w:t>
      </w:r>
      <w:r w:rsidR="002611F1">
        <w:rPr>
          <w:b/>
          <w:szCs w:val="24"/>
        </w:rPr>
        <w:t xml:space="preserve"> </w:t>
      </w:r>
      <w:r w:rsidR="00EB4674">
        <w:rPr>
          <w:b/>
          <w:szCs w:val="24"/>
        </w:rPr>
        <w:t>P</w:t>
      </w:r>
      <w:r w:rsidR="00744BA5">
        <w:rPr>
          <w:b/>
          <w:szCs w:val="24"/>
        </w:rPr>
        <w:t xml:space="preserve">atient </w:t>
      </w:r>
      <w:r w:rsidR="00EB4674">
        <w:rPr>
          <w:b/>
          <w:szCs w:val="24"/>
        </w:rPr>
        <w:t>P</w:t>
      </w:r>
      <w:r w:rsidR="00744BA5">
        <w:rPr>
          <w:b/>
          <w:szCs w:val="24"/>
        </w:rPr>
        <w:t>anel</w:t>
      </w:r>
      <w:bookmarkEnd w:id="20"/>
      <w:r w:rsidRPr="009113D4">
        <w:rPr>
          <w:b/>
          <w:szCs w:val="24"/>
        </w:rPr>
        <w:t>, including, how the Proposed Project will create or ensure appropriate linkages to patients</w:t>
      </w:r>
      <w:r w:rsidR="002340EA">
        <w:rPr>
          <w:b/>
          <w:szCs w:val="24"/>
        </w:rPr>
        <w:t>’</w:t>
      </w:r>
      <w:r w:rsidRPr="009113D4">
        <w:rPr>
          <w:b/>
          <w:szCs w:val="24"/>
        </w:rPr>
        <w:t xml:space="preserve"> primary care services.</w:t>
      </w:r>
    </w:p>
    <w:p w14:paraId="4BD26F9A" w14:textId="77777777" w:rsidR="000749BC" w:rsidRPr="001A779D" w:rsidRDefault="000749BC" w:rsidP="000749BC">
      <w:pPr>
        <w:jc w:val="both"/>
        <w:rPr>
          <w:b/>
          <w:bCs/>
          <w:i/>
          <w:iCs/>
          <w:szCs w:val="24"/>
        </w:rPr>
      </w:pPr>
    </w:p>
    <w:p w14:paraId="631047AD" w14:textId="15D63404" w:rsidR="000749BC" w:rsidRDefault="000749BC" w:rsidP="000749BC">
      <w:pPr>
        <w:jc w:val="both"/>
        <w:rPr>
          <w:szCs w:val="24"/>
        </w:rPr>
      </w:pPr>
      <w:r w:rsidRPr="009113D4">
        <w:rPr>
          <w:szCs w:val="24"/>
        </w:rPr>
        <w:t>To ensure continuity of care, improved health outcomes</w:t>
      </w:r>
      <w:r>
        <w:rPr>
          <w:szCs w:val="24"/>
        </w:rPr>
        <w:t>,</w:t>
      </w:r>
      <w:r w:rsidRPr="009113D4">
        <w:rPr>
          <w:szCs w:val="24"/>
        </w:rPr>
        <w:t xml:space="preserve"> and enhanced quality of life</w:t>
      </w:r>
      <w:r>
        <w:rPr>
          <w:szCs w:val="24"/>
        </w:rPr>
        <w:t xml:space="preserve"> </w:t>
      </w:r>
      <w:r w:rsidRPr="009113D4">
        <w:rPr>
          <w:szCs w:val="24"/>
        </w:rPr>
        <w:t>through the Proposed Project, the Applicant</w:t>
      </w:r>
      <w:r w:rsidR="002340EA">
        <w:rPr>
          <w:szCs w:val="24"/>
        </w:rPr>
        <w:t>’</w:t>
      </w:r>
      <w:r w:rsidRPr="009113D4">
        <w:rPr>
          <w:szCs w:val="24"/>
        </w:rPr>
        <w:t>s staff will continue existing formal processes for linking cancer patients with referring physicians (often primary care physicians) and other specialists for follow-up care</w:t>
      </w:r>
      <w:r>
        <w:rPr>
          <w:szCs w:val="24"/>
        </w:rPr>
        <w:t>.</w:t>
      </w:r>
      <w:r w:rsidR="00BE360D">
        <w:rPr>
          <w:szCs w:val="24"/>
        </w:rPr>
        <w:t xml:space="preserve"> </w:t>
      </w:r>
      <w:r w:rsidR="00330A57">
        <w:rPr>
          <w:szCs w:val="24"/>
        </w:rPr>
        <w:t>Currently, the Applicant works with physicians</w:t>
      </w:r>
      <w:r w:rsidR="002340EA">
        <w:rPr>
          <w:szCs w:val="24"/>
        </w:rPr>
        <w:t>’</w:t>
      </w:r>
      <w:r w:rsidR="00330A57">
        <w:rPr>
          <w:szCs w:val="24"/>
        </w:rPr>
        <w:t xml:space="preserve"> groups and community medical groups throughout the Commonwealth, including, but not limited to,</w:t>
      </w:r>
      <w:r w:rsidR="006C6AA8">
        <w:rPr>
          <w:szCs w:val="24"/>
        </w:rPr>
        <w:t xml:space="preserve"> MGB-affiliated physician</w:t>
      </w:r>
      <w:r w:rsidR="002340EA">
        <w:rPr>
          <w:szCs w:val="24"/>
        </w:rPr>
        <w:t>’</w:t>
      </w:r>
      <w:r w:rsidR="00516A7B">
        <w:rPr>
          <w:szCs w:val="24"/>
        </w:rPr>
        <w:t>s</w:t>
      </w:r>
      <w:r w:rsidR="006C6AA8">
        <w:rPr>
          <w:szCs w:val="24"/>
        </w:rPr>
        <w:t xml:space="preserve"> offices and community medical groups,</w:t>
      </w:r>
      <w:r w:rsidR="00330A57">
        <w:rPr>
          <w:szCs w:val="24"/>
        </w:rPr>
        <w:t xml:space="preserve"> </w:t>
      </w:r>
      <w:r w:rsidR="008E2EC3">
        <w:rPr>
          <w:szCs w:val="24"/>
        </w:rPr>
        <w:t>Beth Israel Lahey Health (</w:t>
      </w:r>
      <w:r w:rsidR="002340EA">
        <w:rPr>
          <w:szCs w:val="24"/>
        </w:rPr>
        <w:t>“</w:t>
      </w:r>
      <w:r w:rsidR="008E2EC3">
        <w:rPr>
          <w:szCs w:val="24"/>
        </w:rPr>
        <w:t>BILH</w:t>
      </w:r>
      <w:r w:rsidR="002340EA">
        <w:rPr>
          <w:szCs w:val="24"/>
        </w:rPr>
        <w:t>”</w:t>
      </w:r>
      <w:r w:rsidR="008E2EC3">
        <w:rPr>
          <w:szCs w:val="24"/>
        </w:rPr>
        <w:t>)</w:t>
      </w:r>
      <w:r w:rsidR="00330A57">
        <w:rPr>
          <w:szCs w:val="24"/>
        </w:rPr>
        <w:t>-affiliated physician</w:t>
      </w:r>
      <w:r w:rsidR="002340EA">
        <w:rPr>
          <w:szCs w:val="24"/>
        </w:rPr>
        <w:t>’</w:t>
      </w:r>
      <w:r w:rsidR="00516A7B">
        <w:rPr>
          <w:szCs w:val="24"/>
        </w:rPr>
        <w:t>s</w:t>
      </w:r>
      <w:r w:rsidR="00330A57">
        <w:rPr>
          <w:szCs w:val="24"/>
        </w:rPr>
        <w:t xml:space="preserve"> offices and community medical groups, </w:t>
      </w:r>
      <w:r w:rsidR="00330A57">
        <w:t>South Shore Health Medical Group, Steward Medical Group, Berkshire Health System Medical Group, Harvard Street Health Center, and Cape Cod Healthcare Physician Groups,</w:t>
      </w:r>
      <w:r w:rsidR="00330A57">
        <w:rPr>
          <w:szCs w:val="24"/>
        </w:rPr>
        <w:t xml:space="preserve"> to ensure that patients are receiving the appropriate follow-up care across the care continuum. </w:t>
      </w:r>
      <w:r>
        <w:rPr>
          <w:szCs w:val="24"/>
        </w:rPr>
        <w:t>The Applicant will also continue its efforts to ensure patients receive the right care in the right setting, including through its provision of second opinion services to community hospitals and its practice of returning patients to community hospitals when they do not require the Applicant</w:t>
      </w:r>
      <w:r w:rsidR="002340EA">
        <w:rPr>
          <w:szCs w:val="24"/>
        </w:rPr>
        <w:t>’</w:t>
      </w:r>
      <w:r>
        <w:rPr>
          <w:szCs w:val="24"/>
        </w:rPr>
        <w:t>s specialized cancer expertise.</w:t>
      </w:r>
      <w:r w:rsidR="005139E4">
        <w:rPr>
          <w:szCs w:val="24"/>
        </w:rPr>
        <w:t xml:space="preserve"> </w:t>
      </w:r>
    </w:p>
    <w:p w14:paraId="029AA4CC" w14:textId="77777777" w:rsidR="000749BC" w:rsidRDefault="000749BC" w:rsidP="000749BC">
      <w:pPr>
        <w:jc w:val="both"/>
        <w:rPr>
          <w:szCs w:val="24"/>
        </w:rPr>
      </w:pPr>
    </w:p>
    <w:p w14:paraId="01B0DDA3" w14:textId="12BA0DAB" w:rsidR="000749BC" w:rsidRDefault="000749BC" w:rsidP="000749BC">
      <w:pPr>
        <w:jc w:val="both"/>
        <w:rPr>
          <w:szCs w:val="24"/>
        </w:rPr>
      </w:pPr>
      <w:r w:rsidRPr="009113D4">
        <w:rPr>
          <w:szCs w:val="24"/>
        </w:rPr>
        <w:t xml:space="preserve">The Applicant provides care coordination services in numerous ways. </w:t>
      </w:r>
      <w:r>
        <w:rPr>
          <w:szCs w:val="24"/>
        </w:rPr>
        <w:t xml:space="preserve">As </w:t>
      </w:r>
      <w:r w:rsidRPr="009113D4">
        <w:rPr>
          <w:szCs w:val="24"/>
        </w:rPr>
        <w:t>discussed in F</w:t>
      </w:r>
      <w:r>
        <w:rPr>
          <w:szCs w:val="24"/>
        </w:rPr>
        <w:t xml:space="preserve">actor </w:t>
      </w:r>
      <w:r w:rsidRPr="009113D4">
        <w:rPr>
          <w:szCs w:val="24"/>
        </w:rPr>
        <w:t>1.b.iii, the Applicant has an array of supportive services that coordinate care, such as patient navigator</w:t>
      </w:r>
      <w:r w:rsidR="00DC7CE5">
        <w:rPr>
          <w:szCs w:val="24"/>
        </w:rPr>
        <w:t>s</w:t>
      </w:r>
      <w:r w:rsidRPr="009113D4">
        <w:rPr>
          <w:szCs w:val="24"/>
        </w:rPr>
        <w:t xml:space="preserve"> and resource specialists</w:t>
      </w:r>
      <w:r>
        <w:rPr>
          <w:szCs w:val="24"/>
        </w:rPr>
        <w:t xml:space="preserve"> who help to decrease barriers to care, in addition to nurse navigators who follow the patients throughout their cancer journeys and provide symptom </w:t>
      </w:r>
      <w:r w:rsidR="00F233CF">
        <w:rPr>
          <w:szCs w:val="24"/>
        </w:rPr>
        <w:t>management</w:t>
      </w:r>
      <w:r>
        <w:rPr>
          <w:szCs w:val="24"/>
        </w:rPr>
        <w:t xml:space="preserve"> and coordination of their medical care across the cancer service continuum</w:t>
      </w:r>
      <w:r w:rsidRPr="009113D4">
        <w:rPr>
          <w:szCs w:val="24"/>
        </w:rPr>
        <w:t xml:space="preserve">. </w:t>
      </w:r>
      <w:r>
        <w:rPr>
          <w:szCs w:val="24"/>
        </w:rPr>
        <w:t>Further, as also discussed in F</w:t>
      </w:r>
      <w:r w:rsidR="00574E9D">
        <w:rPr>
          <w:szCs w:val="24"/>
        </w:rPr>
        <w:t xml:space="preserve">actor </w:t>
      </w:r>
      <w:r>
        <w:rPr>
          <w:szCs w:val="24"/>
        </w:rPr>
        <w:t xml:space="preserve">2.c, the Applicant partners with community organizations to </w:t>
      </w:r>
      <w:r w:rsidRPr="00D426B9">
        <w:rPr>
          <w:szCs w:val="24"/>
        </w:rPr>
        <w:t xml:space="preserve">assess, enhance, and improve the overall health and well-being of the members of </w:t>
      </w:r>
      <w:r>
        <w:rPr>
          <w:szCs w:val="24"/>
        </w:rPr>
        <w:t>the Applicant</w:t>
      </w:r>
      <w:r w:rsidR="002340EA">
        <w:rPr>
          <w:szCs w:val="24"/>
        </w:rPr>
        <w:t>’</w:t>
      </w:r>
      <w:r>
        <w:rPr>
          <w:szCs w:val="24"/>
        </w:rPr>
        <w:t>s</w:t>
      </w:r>
      <w:r w:rsidRPr="00D426B9">
        <w:rPr>
          <w:szCs w:val="24"/>
        </w:rPr>
        <w:t xml:space="preserve"> communities</w:t>
      </w:r>
      <w:r>
        <w:rPr>
          <w:szCs w:val="24"/>
        </w:rPr>
        <w:t>.</w:t>
      </w:r>
    </w:p>
    <w:p w14:paraId="79335A2E" w14:textId="77777777" w:rsidR="000749BC" w:rsidRDefault="000749BC" w:rsidP="000749BC">
      <w:pPr>
        <w:jc w:val="both"/>
        <w:rPr>
          <w:szCs w:val="24"/>
        </w:rPr>
      </w:pPr>
    </w:p>
    <w:p w14:paraId="1CCBE0EC" w14:textId="6BB2F3E1" w:rsidR="000749BC" w:rsidRPr="00DC7CE5" w:rsidRDefault="000749BC" w:rsidP="000749BC">
      <w:pPr>
        <w:jc w:val="both"/>
        <w:rPr>
          <w:b/>
          <w:bCs/>
          <w:szCs w:val="24"/>
        </w:rPr>
      </w:pPr>
      <w:r w:rsidRPr="009113D4">
        <w:rPr>
          <w:szCs w:val="24"/>
        </w:rPr>
        <w:t xml:space="preserve">In addition to </w:t>
      </w:r>
      <w:r>
        <w:rPr>
          <w:szCs w:val="24"/>
        </w:rPr>
        <w:t xml:space="preserve">patient </w:t>
      </w:r>
      <w:r w:rsidRPr="009113D4">
        <w:rPr>
          <w:szCs w:val="24"/>
        </w:rPr>
        <w:t>navigation services, the Applicant provides linkages to its adult social work program, resource specialists, financial counseling assistance program,</w:t>
      </w:r>
      <w:r>
        <w:rPr>
          <w:szCs w:val="24"/>
        </w:rPr>
        <w:t xml:space="preserve"> pro-bono legal services</w:t>
      </w:r>
      <w:r w:rsidRPr="009113D4">
        <w:rPr>
          <w:szCs w:val="24"/>
        </w:rPr>
        <w:t xml:space="preserve"> as well as interpreter services. Social workers provide assistance</w:t>
      </w:r>
      <w:r>
        <w:rPr>
          <w:szCs w:val="24"/>
        </w:rPr>
        <w:t xml:space="preserve"> to patients and families</w:t>
      </w:r>
      <w:r w:rsidRPr="009113D4">
        <w:rPr>
          <w:szCs w:val="24"/>
        </w:rPr>
        <w:t xml:space="preserve"> on a number of issues, such as dealing with depression and anxiety, concerns about drug and alcohol use, coping with advanced cancer, and finding supportive local resources. </w:t>
      </w:r>
      <w:r w:rsidR="00DC7CE5" w:rsidRPr="009113D4">
        <w:rPr>
          <w:szCs w:val="24"/>
        </w:rPr>
        <w:t xml:space="preserve">Financial counselors aid patients who are unable to pay for care in </w:t>
      </w:r>
      <w:r w:rsidR="00DC7CE5">
        <w:rPr>
          <w:szCs w:val="24"/>
        </w:rPr>
        <w:t xml:space="preserve">understanding </w:t>
      </w:r>
      <w:r w:rsidR="00DC7CE5">
        <w:t xml:space="preserve">sources of potential financial assistance. </w:t>
      </w:r>
      <w:r w:rsidR="006A2642">
        <w:rPr>
          <w:rFonts w:eastAsia="Times New Roman"/>
        </w:rPr>
        <w:t xml:space="preserve">Consistent with all applicable laws, </w:t>
      </w:r>
      <w:r w:rsidR="006A2642">
        <w:rPr>
          <w:szCs w:val="24"/>
        </w:rPr>
        <w:t>r</w:t>
      </w:r>
      <w:r w:rsidRPr="009113D4">
        <w:rPr>
          <w:szCs w:val="24"/>
        </w:rPr>
        <w:t>esource specialists assist patients in obtaining local transportation, short-term accommodations during treatment, and other special needs (such as,</w:t>
      </w:r>
      <w:r>
        <w:rPr>
          <w:szCs w:val="24"/>
        </w:rPr>
        <w:t xml:space="preserve"> pro bono legal services,</w:t>
      </w:r>
      <w:r w:rsidRPr="009113D4">
        <w:rPr>
          <w:szCs w:val="24"/>
        </w:rPr>
        <w:t xml:space="preserve"> fuel and food pantry assistance</w:t>
      </w:r>
      <w:r>
        <w:rPr>
          <w:szCs w:val="24"/>
        </w:rPr>
        <w:t>, and other financial assistance</w:t>
      </w:r>
      <w:r w:rsidRPr="009113D4">
        <w:rPr>
          <w:szCs w:val="24"/>
        </w:rPr>
        <w:t>).</w:t>
      </w:r>
      <w:r w:rsidR="00DC7CE5">
        <w:rPr>
          <w:szCs w:val="24"/>
        </w:rPr>
        <w:t xml:space="preserve"> Between FY21 and FY23, the Applicant</w:t>
      </w:r>
      <w:r w:rsidR="002340EA">
        <w:rPr>
          <w:szCs w:val="24"/>
        </w:rPr>
        <w:t>’</w:t>
      </w:r>
      <w:r w:rsidR="00DC7CE5">
        <w:rPr>
          <w:szCs w:val="24"/>
        </w:rPr>
        <w:t xml:space="preserve">s Adult Resource Office has assisted </w:t>
      </w:r>
      <w:r w:rsidR="00DC7CE5" w:rsidRPr="00DC7CE5">
        <w:rPr>
          <w:szCs w:val="24"/>
        </w:rPr>
        <w:t>18</w:t>
      </w:r>
      <w:r w:rsidR="00DC7CE5">
        <w:rPr>
          <w:szCs w:val="24"/>
        </w:rPr>
        <w:t>,</w:t>
      </w:r>
      <w:r w:rsidR="00DC7CE5" w:rsidRPr="00DC7CE5">
        <w:rPr>
          <w:szCs w:val="24"/>
        </w:rPr>
        <w:t>173</w:t>
      </w:r>
      <w:r w:rsidR="00DC7CE5">
        <w:rPr>
          <w:szCs w:val="24"/>
        </w:rPr>
        <w:t xml:space="preserve"> unique patients </w:t>
      </w:r>
      <w:r w:rsidR="00563D3B">
        <w:rPr>
          <w:szCs w:val="24"/>
        </w:rPr>
        <w:t>in</w:t>
      </w:r>
      <w:r w:rsidR="00DC7CE5">
        <w:rPr>
          <w:szCs w:val="24"/>
        </w:rPr>
        <w:t xml:space="preserve"> access</w:t>
      </w:r>
      <w:r w:rsidR="00563D3B">
        <w:rPr>
          <w:szCs w:val="24"/>
        </w:rPr>
        <w:t>ing</w:t>
      </w:r>
      <w:r w:rsidR="00DC7CE5">
        <w:rPr>
          <w:szCs w:val="24"/>
        </w:rPr>
        <w:t xml:space="preserve"> these resources.</w:t>
      </w:r>
    </w:p>
    <w:p w14:paraId="7D7530D8" w14:textId="77777777" w:rsidR="00DC7CE5" w:rsidRDefault="00DC7CE5" w:rsidP="000749BC">
      <w:pPr>
        <w:jc w:val="both"/>
        <w:rPr>
          <w:szCs w:val="24"/>
        </w:rPr>
      </w:pPr>
    </w:p>
    <w:p w14:paraId="548085AA" w14:textId="0DCA9726" w:rsidR="000749BC" w:rsidRDefault="000749BC" w:rsidP="000749BC">
      <w:pPr>
        <w:pStyle w:val="RBUBullets"/>
        <w:spacing w:after="0"/>
      </w:pPr>
      <w:r>
        <w:rPr>
          <w:rFonts w:eastAsiaTheme="minorHAnsi"/>
          <w:szCs w:val="24"/>
        </w:rPr>
        <w:t>With</w:t>
      </w:r>
      <w:r w:rsidRPr="00F05B08">
        <w:rPr>
          <w:rFonts w:eastAsiaTheme="minorHAnsi"/>
          <w:szCs w:val="24"/>
        </w:rPr>
        <w:t xml:space="preserve"> regard to interpreter services, the Applicant has adopted the Culturally and Linguistically Appropriate Service</w:t>
      </w:r>
      <w:r w:rsidR="006E15B2">
        <w:rPr>
          <w:rFonts w:eastAsiaTheme="minorHAnsi"/>
          <w:szCs w:val="24"/>
        </w:rPr>
        <w:t xml:space="preserve"> </w:t>
      </w:r>
      <w:r w:rsidRPr="00F05B08">
        <w:rPr>
          <w:rFonts w:eastAsiaTheme="minorHAnsi"/>
          <w:szCs w:val="24"/>
        </w:rPr>
        <w:t>standards (specifically the Communication and Language Assistance Standards) set forth by the U</w:t>
      </w:r>
      <w:r w:rsidR="001616DD">
        <w:rPr>
          <w:rFonts w:eastAsiaTheme="minorHAnsi"/>
          <w:szCs w:val="24"/>
        </w:rPr>
        <w:t>nited States</w:t>
      </w:r>
      <w:r w:rsidRPr="00F05B08">
        <w:rPr>
          <w:rFonts w:eastAsiaTheme="minorHAnsi"/>
          <w:szCs w:val="24"/>
        </w:rPr>
        <w:t xml:space="preserve"> Department of Health and Human Services Office of Minority Health. The Applicant provides effective, understandable, and respectful care with an </w:t>
      </w:r>
      <w:r w:rsidRPr="00F05B08">
        <w:rPr>
          <w:rFonts w:eastAsiaTheme="minorHAnsi"/>
          <w:szCs w:val="24"/>
        </w:rPr>
        <w:lastRenderedPageBreak/>
        <w:t>understanding of patients</w:t>
      </w:r>
      <w:r w:rsidR="002340EA">
        <w:rPr>
          <w:rFonts w:eastAsiaTheme="minorHAnsi"/>
          <w:szCs w:val="24"/>
        </w:rPr>
        <w:t>’</w:t>
      </w:r>
      <w:r w:rsidRPr="00F05B08">
        <w:rPr>
          <w:rFonts w:eastAsiaTheme="minorHAnsi"/>
          <w:szCs w:val="24"/>
        </w:rPr>
        <w:t xml:space="preserve"> cultural health beliefs and practices and preferred languages. Accordingly, the Applicant provides medical interpreters at no charge to patients and families who</w:t>
      </w:r>
      <w:r w:rsidRPr="00D63306">
        <w:rPr>
          <w:rFonts w:eastAsiaTheme="minorHAnsi"/>
          <w:szCs w:val="24"/>
        </w:rPr>
        <w:t xml:space="preserve"> </w:t>
      </w:r>
      <w:r w:rsidRPr="00F05B08">
        <w:rPr>
          <w:rFonts w:eastAsiaTheme="minorHAnsi"/>
          <w:szCs w:val="24"/>
        </w:rPr>
        <w:t>speak a language other than English</w:t>
      </w:r>
      <w:r w:rsidR="006E15B2">
        <w:rPr>
          <w:rFonts w:eastAsiaTheme="minorHAnsi"/>
          <w:szCs w:val="24"/>
        </w:rPr>
        <w:t>.</w:t>
      </w:r>
      <w:r w:rsidRPr="00F05B08">
        <w:rPr>
          <w:rFonts w:eastAsiaTheme="minorHAnsi"/>
          <w:szCs w:val="24"/>
        </w:rPr>
        <w:t xml:space="preserve"> The Applicant</w:t>
      </w:r>
      <w:r w:rsidR="002340EA">
        <w:rPr>
          <w:rFonts w:eastAsiaTheme="minorHAnsi"/>
          <w:szCs w:val="24"/>
        </w:rPr>
        <w:t>’</w:t>
      </w:r>
      <w:r w:rsidRPr="00F05B08">
        <w:rPr>
          <w:rFonts w:eastAsiaTheme="minorHAnsi"/>
          <w:szCs w:val="24"/>
        </w:rPr>
        <w:t>s medical interpreters are trained professionals who speak a patient</w:t>
      </w:r>
      <w:r w:rsidR="002340EA">
        <w:rPr>
          <w:rFonts w:eastAsiaTheme="minorHAnsi"/>
          <w:szCs w:val="24"/>
        </w:rPr>
        <w:t>’</w:t>
      </w:r>
      <w:r w:rsidRPr="00F05B08">
        <w:rPr>
          <w:rFonts w:eastAsiaTheme="minorHAnsi"/>
          <w:szCs w:val="24"/>
        </w:rPr>
        <w:t>s language, share a patient</w:t>
      </w:r>
      <w:r w:rsidR="002340EA">
        <w:rPr>
          <w:rFonts w:eastAsiaTheme="minorHAnsi"/>
          <w:szCs w:val="24"/>
        </w:rPr>
        <w:t>’</w:t>
      </w:r>
      <w:r w:rsidRPr="00F05B08">
        <w:rPr>
          <w:rFonts w:eastAsiaTheme="minorHAnsi"/>
          <w:szCs w:val="24"/>
        </w:rPr>
        <w:t>s culture, have knowledge of medical terminology, and support a patient and their care team.</w:t>
      </w:r>
      <w:r>
        <w:rPr>
          <w:rFonts w:eastAsiaTheme="minorHAnsi"/>
          <w:szCs w:val="24"/>
        </w:rPr>
        <w:t xml:space="preserve"> Further, i</w:t>
      </w:r>
      <w:r w:rsidRPr="00ED597B">
        <w:rPr>
          <w:rFonts w:eastAsiaTheme="minorHAnsi"/>
          <w:szCs w:val="24"/>
        </w:rPr>
        <w:t>n addition to translating important clinical conversations, interpreters meet patients who are identified as having a primary language other than English and escort them through registratio</w:t>
      </w:r>
      <w:r>
        <w:rPr>
          <w:rFonts w:eastAsiaTheme="minorHAnsi"/>
          <w:szCs w:val="24"/>
        </w:rPr>
        <w:t xml:space="preserve">n. Additionally, </w:t>
      </w:r>
      <w:r w:rsidRPr="00ED597B">
        <w:rPr>
          <w:rFonts w:eastAsiaTheme="minorHAnsi"/>
          <w:szCs w:val="24"/>
        </w:rPr>
        <w:t>ambassadors accompany patients to their appointments, help with referrals and pharmacy pick up, and inform them of the many supportive programs and resources at the</w:t>
      </w:r>
      <w:r w:rsidR="00CE4021">
        <w:rPr>
          <w:rFonts w:eastAsiaTheme="minorHAnsi"/>
          <w:szCs w:val="24"/>
        </w:rPr>
        <w:t xml:space="preserve"> Applicant</w:t>
      </w:r>
      <w:r w:rsidRPr="00ED597B">
        <w:rPr>
          <w:rFonts w:eastAsiaTheme="minorHAnsi"/>
          <w:szCs w:val="24"/>
        </w:rPr>
        <w:t xml:space="preserve">. To foster trust in the ambassador, </w:t>
      </w:r>
      <w:r>
        <w:rPr>
          <w:rFonts w:eastAsiaTheme="minorHAnsi"/>
          <w:szCs w:val="24"/>
        </w:rPr>
        <w:t>the Applicant</w:t>
      </w:r>
      <w:r w:rsidR="002340EA">
        <w:rPr>
          <w:rFonts w:eastAsiaTheme="minorHAnsi"/>
          <w:szCs w:val="24"/>
        </w:rPr>
        <w:t>’</w:t>
      </w:r>
      <w:r>
        <w:rPr>
          <w:rFonts w:eastAsiaTheme="minorHAnsi"/>
          <w:szCs w:val="24"/>
        </w:rPr>
        <w:t xml:space="preserve">s interpreter services program </w:t>
      </w:r>
      <w:r w:rsidRPr="00ED597B">
        <w:rPr>
          <w:rFonts w:eastAsiaTheme="minorHAnsi"/>
          <w:szCs w:val="24"/>
        </w:rPr>
        <w:t>aims to pair an interpreter with a specific patient and their family regularly</w:t>
      </w:r>
      <w:r>
        <w:rPr>
          <w:rFonts w:eastAsiaTheme="minorHAnsi"/>
          <w:szCs w:val="24"/>
        </w:rPr>
        <w:t xml:space="preserve">. </w:t>
      </w:r>
      <w:r w:rsidRPr="00ED597B">
        <w:rPr>
          <w:rFonts w:eastAsiaTheme="minorHAnsi"/>
          <w:szCs w:val="24"/>
        </w:rPr>
        <w:t>Ambassadors often meet the same patients up to four times as they get accustomed to</w:t>
      </w:r>
      <w:r>
        <w:rPr>
          <w:rFonts w:eastAsiaTheme="minorHAnsi"/>
          <w:szCs w:val="24"/>
        </w:rPr>
        <w:t xml:space="preserve"> the Applicant and continue to provide support for a patient through their experience with the Applicant. </w:t>
      </w:r>
      <w:r w:rsidRPr="00F05B08">
        <w:rPr>
          <w:rFonts w:eastAsiaTheme="minorHAnsi"/>
          <w:szCs w:val="24"/>
        </w:rPr>
        <w:t>Through all of these efforts, the Applicant ensures that all patients have access to high quality oncology services</w:t>
      </w:r>
      <w:r w:rsidR="00F233CF">
        <w:rPr>
          <w:rFonts w:eastAsiaTheme="minorHAnsi"/>
          <w:szCs w:val="24"/>
        </w:rPr>
        <w:t xml:space="preserve"> and exceptional patient experience</w:t>
      </w:r>
      <w:r w:rsidR="00F233CF" w:rsidRPr="00F05B08">
        <w:rPr>
          <w:rFonts w:eastAsiaTheme="minorHAnsi"/>
          <w:szCs w:val="24"/>
        </w:rPr>
        <w:t>.</w:t>
      </w:r>
    </w:p>
    <w:p w14:paraId="6194B2FB" w14:textId="77777777" w:rsidR="000749BC" w:rsidRDefault="000749BC" w:rsidP="000749BC">
      <w:pPr>
        <w:pStyle w:val="RBUBullets"/>
        <w:spacing w:after="0"/>
      </w:pPr>
    </w:p>
    <w:p w14:paraId="69669D1A" w14:textId="77777777" w:rsidR="00F6671F" w:rsidRDefault="00F6671F">
      <w:pPr>
        <w:sectPr w:rsidR="00F6671F">
          <w:pgSz w:w="12240" w:h="15840"/>
          <w:pgMar w:top="1440" w:right="1440" w:bottom="1440" w:left="1440" w:header="720" w:footer="720" w:gutter="0"/>
          <w:cols w:space="720"/>
          <w:docGrid w:linePitch="360"/>
        </w:sectPr>
      </w:pPr>
    </w:p>
    <w:p w14:paraId="7344D2DC" w14:textId="77777777" w:rsidR="00E94438" w:rsidRPr="00FA1DD3" w:rsidRDefault="00E94438" w:rsidP="00E94438">
      <w:pPr>
        <w:jc w:val="both"/>
        <w:rPr>
          <w:b/>
          <w:szCs w:val="24"/>
          <w:u w:val="single"/>
        </w:rPr>
      </w:pPr>
      <w:r w:rsidRPr="00FA1DD3">
        <w:rPr>
          <w:b/>
          <w:szCs w:val="24"/>
          <w:u w:val="single"/>
        </w:rPr>
        <w:lastRenderedPageBreak/>
        <w:t>F1.d. Consultation with Government Agencies</w:t>
      </w:r>
    </w:p>
    <w:p w14:paraId="325A4772" w14:textId="77777777" w:rsidR="00E94438" w:rsidRPr="00FA1DD3" w:rsidRDefault="00E94438" w:rsidP="007C5478">
      <w:pPr>
        <w:pStyle w:val="RBNBasicNoSpace"/>
        <w:jc w:val="both"/>
        <w:rPr>
          <w:b/>
          <w:szCs w:val="24"/>
        </w:rPr>
      </w:pPr>
      <w:r w:rsidRPr="00FA1DD3">
        <w:rPr>
          <w:b/>
          <w:szCs w:val="24"/>
        </w:rPr>
        <w:t xml:space="preserve">Provide evidence of consultation, both prior to and after the Filing Date, with all Government Agencies with relevant licensure, certification, or other regulatory oversight of the </w:t>
      </w:r>
      <w:bookmarkStart w:id="21" w:name="_9kMH0H6ZWu5997BJRH30umfrB"/>
      <w:r w:rsidRPr="00FA1DD3">
        <w:rPr>
          <w:b/>
          <w:szCs w:val="24"/>
        </w:rPr>
        <w:t>Applicant</w:t>
      </w:r>
      <w:bookmarkEnd w:id="21"/>
      <w:r w:rsidRPr="00FA1DD3">
        <w:rPr>
          <w:b/>
          <w:szCs w:val="24"/>
        </w:rPr>
        <w:t xml:space="preserve"> or the Proposed Project.</w:t>
      </w:r>
    </w:p>
    <w:p w14:paraId="4C73AE44" w14:textId="77777777" w:rsidR="00E94438" w:rsidRPr="00FA1DD3" w:rsidRDefault="00E94438" w:rsidP="00E94438">
      <w:pPr>
        <w:pStyle w:val="RBNBasicNoSpace"/>
        <w:jc w:val="both"/>
        <w:rPr>
          <w:b/>
          <w:szCs w:val="24"/>
        </w:rPr>
      </w:pPr>
    </w:p>
    <w:p w14:paraId="0CF135FB" w14:textId="34D74762" w:rsidR="00387DB6" w:rsidRDefault="007C5478" w:rsidP="00E94438">
      <w:pPr>
        <w:pStyle w:val="RBNBasicNoSpace"/>
        <w:jc w:val="both"/>
        <w:rPr>
          <w:szCs w:val="24"/>
        </w:rPr>
      </w:pPr>
      <w:r>
        <w:rPr>
          <w:szCs w:val="24"/>
        </w:rPr>
        <w:t xml:space="preserve">The following is a </w:t>
      </w:r>
      <w:r w:rsidR="00387DB6">
        <w:rPr>
          <w:szCs w:val="24"/>
        </w:rPr>
        <w:t>list</w:t>
      </w:r>
      <w:r>
        <w:rPr>
          <w:szCs w:val="24"/>
        </w:rPr>
        <w:t xml:space="preserve"> of the Government Agencies with relevant licensure, certification, or other regulatory oversight of the Applicant and/or the Proposed Project.</w:t>
      </w:r>
      <w:r w:rsidR="006E15B2">
        <w:rPr>
          <w:szCs w:val="24"/>
        </w:rPr>
        <w:t xml:space="preserve"> The Applicant has consulted</w:t>
      </w:r>
      <w:r w:rsidR="00D11ACF">
        <w:rPr>
          <w:szCs w:val="24"/>
        </w:rPr>
        <w:t>, or will consult</w:t>
      </w:r>
      <w:r w:rsidR="006E15B2">
        <w:rPr>
          <w:szCs w:val="24"/>
        </w:rPr>
        <w:t xml:space="preserve"> with each of the following </w:t>
      </w:r>
      <w:r w:rsidR="00387DB6">
        <w:rPr>
          <w:szCs w:val="24"/>
        </w:rPr>
        <w:t>Government Agencies prior to</w:t>
      </w:r>
      <w:r w:rsidR="00F840BA">
        <w:rPr>
          <w:szCs w:val="24"/>
        </w:rPr>
        <w:t xml:space="preserve"> or after</w:t>
      </w:r>
      <w:r w:rsidR="006E15B2">
        <w:rPr>
          <w:szCs w:val="24"/>
        </w:rPr>
        <w:t xml:space="preserve"> </w:t>
      </w:r>
      <w:r w:rsidR="00387DB6">
        <w:rPr>
          <w:szCs w:val="24"/>
        </w:rPr>
        <w:t>the Filing Date</w:t>
      </w:r>
      <w:r w:rsidR="00A72DED">
        <w:rPr>
          <w:szCs w:val="24"/>
        </w:rPr>
        <w:t xml:space="preserve">. </w:t>
      </w:r>
    </w:p>
    <w:p w14:paraId="1CB09868" w14:textId="77777777" w:rsidR="00E94438" w:rsidRDefault="00E94438" w:rsidP="00E94438">
      <w:pPr>
        <w:pStyle w:val="RBNBasicNoSpace"/>
        <w:jc w:val="both"/>
        <w:rPr>
          <w:szCs w:val="24"/>
        </w:rPr>
      </w:pPr>
    </w:p>
    <w:p w14:paraId="3DD3866D" w14:textId="77777777" w:rsidR="00E94438" w:rsidRDefault="00323286" w:rsidP="00205A61">
      <w:pPr>
        <w:pStyle w:val="RBUBullets"/>
        <w:numPr>
          <w:ilvl w:val="0"/>
          <w:numId w:val="28"/>
        </w:numPr>
      </w:pPr>
      <w:bookmarkStart w:id="22" w:name="_Hlk148013093"/>
      <w:r>
        <w:t xml:space="preserve">United States Department of Health and Human Services, </w:t>
      </w:r>
      <w:r w:rsidR="00E94438">
        <w:t>Centers for Medicare and Medicaid Services;</w:t>
      </w:r>
    </w:p>
    <w:bookmarkEnd w:id="22"/>
    <w:p w14:paraId="76D8E9B9" w14:textId="77777777" w:rsidR="00E94438" w:rsidRDefault="00323286" w:rsidP="00205A61">
      <w:pPr>
        <w:pStyle w:val="RBUBullets"/>
        <w:numPr>
          <w:ilvl w:val="0"/>
          <w:numId w:val="28"/>
        </w:numPr>
      </w:pPr>
      <w:r>
        <w:t xml:space="preserve">Massachusetts </w:t>
      </w:r>
      <w:r w:rsidR="00E94438">
        <w:t>Executive Office of Health and Human Services;</w:t>
      </w:r>
    </w:p>
    <w:p w14:paraId="7A8B4E26" w14:textId="77777777" w:rsidR="00E94438" w:rsidRDefault="00E94438" w:rsidP="00205A61">
      <w:pPr>
        <w:pStyle w:val="RBUBullets"/>
        <w:numPr>
          <w:ilvl w:val="0"/>
          <w:numId w:val="28"/>
        </w:numPr>
      </w:pPr>
      <w:r>
        <w:t>Massachusetts Office of the Attorney General;</w:t>
      </w:r>
    </w:p>
    <w:p w14:paraId="4D41F008" w14:textId="77777777" w:rsidR="00E94438" w:rsidRDefault="00323286" w:rsidP="00205A61">
      <w:pPr>
        <w:pStyle w:val="RBUBullets"/>
        <w:numPr>
          <w:ilvl w:val="0"/>
          <w:numId w:val="28"/>
        </w:numPr>
      </w:pPr>
      <w:r>
        <w:t xml:space="preserve">Massachusetts </w:t>
      </w:r>
      <w:r w:rsidR="00E94438">
        <w:t>Health Policy Commission;</w:t>
      </w:r>
    </w:p>
    <w:p w14:paraId="75A22FDB" w14:textId="77777777" w:rsidR="00E94438" w:rsidRDefault="00323286" w:rsidP="00205A61">
      <w:pPr>
        <w:pStyle w:val="RBUBullets"/>
        <w:numPr>
          <w:ilvl w:val="0"/>
          <w:numId w:val="28"/>
        </w:numPr>
      </w:pPr>
      <w:r>
        <w:t xml:space="preserve">Massachusetts </w:t>
      </w:r>
      <w:r w:rsidR="00E94438">
        <w:t>Department of Public Health: Office of the Commissioner, Office of Legal Counsel, Determination of Need Program, Office of Health Equity;</w:t>
      </w:r>
      <w:r w:rsidR="001C1D13">
        <w:t xml:space="preserve"> </w:t>
      </w:r>
    </w:p>
    <w:p w14:paraId="6A12D34D" w14:textId="480B044B" w:rsidR="001C1D13" w:rsidRDefault="00323286" w:rsidP="00205A61">
      <w:pPr>
        <w:pStyle w:val="RBUBullets"/>
        <w:numPr>
          <w:ilvl w:val="0"/>
          <w:numId w:val="28"/>
        </w:numPr>
      </w:pPr>
      <w:r>
        <w:t xml:space="preserve">Massachusetts </w:t>
      </w:r>
      <w:r w:rsidR="00E94438">
        <w:t>Center for Health Information and Analysis</w:t>
      </w:r>
      <w:r w:rsidR="001C1D13">
        <w:t>;</w:t>
      </w:r>
    </w:p>
    <w:p w14:paraId="3247456F" w14:textId="74366E07" w:rsidR="00785733" w:rsidRDefault="001C1D13" w:rsidP="00205A61">
      <w:pPr>
        <w:pStyle w:val="RBUBullets"/>
        <w:numPr>
          <w:ilvl w:val="0"/>
          <w:numId w:val="28"/>
        </w:numPr>
      </w:pPr>
      <w:r>
        <w:t>M</w:t>
      </w:r>
      <w:r w:rsidR="00205A61">
        <w:t>assachusetts Medicaid</w:t>
      </w:r>
      <w:r w:rsidR="003724F9">
        <w:t xml:space="preserve"> (MassHealth)</w:t>
      </w:r>
      <w:r w:rsidR="00205A61">
        <w:t>;</w:t>
      </w:r>
      <w:r>
        <w:t xml:space="preserve"> </w:t>
      </w:r>
    </w:p>
    <w:p w14:paraId="19462127" w14:textId="7F1F668C" w:rsidR="002254E1" w:rsidRDefault="00785733" w:rsidP="00205A61">
      <w:pPr>
        <w:pStyle w:val="RBUBullets"/>
        <w:numPr>
          <w:ilvl w:val="0"/>
          <w:numId w:val="28"/>
        </w:numPr>
      </w:pPr>
      <w:bookmarkStart w:id="23" w:name="_Hlk148013147"/>
      <w:bookmarkStart w:id="24" w:name="_Hlk148012664"/>
      <w:r w:rsidRPr="00785733">
        <w:t>Boston Planning &amp; Development Agency</w:t>
      </w:r>
      <w:bookmarkEnd w:id="23"/>
      <w:r>
        <w:t>, Zoning Board of Appeal</w:t>
      </w:r>
      <w:bookmarkEnd w:id="24"/>
      <w:r w:rsidR="00205A61">
        <w:t>;</w:t>
      </w:r>
      <w:r w:rsidR="0072467A">
        <w:t xml:space="preserve"> and</w:t>
      </w:r>
    </w:p>
    <w:p w14:paraId="567FF60F" w14:textId="3F44F137" w:rsidR="00785733" w:rsidRDefault="00785733" w:rsidP="00205A61">
      <w:pPr>
        <w:pStyle w:val="RBUBullets"/>
        <w:numPr>
          <w:ilvl w:val="0"/>
          <w:numId w:val="28"/>
        </w:numPr>
      </w:pPr>
      <w:bookmarkStart w:id="25" w:name="_Hlk148012671"/>
      <w:r w:rsidRPr="00785733">
        <w:t>Massachusetts Environmental Policy Act Office</w:t>
      </w:r>
      <w:bookmarkEnd w:id="25"/>
      <w:r w:rsidR="00205A61">
        <w:t>.</w:t>
      </w:r>
    </w:p>
    <w:p w14:paraId="6F411CCB" w14:textId="736232DC" w:rsidR="00785733" w:rsidRDefault="00785733" w:rsidP="00205A61">
      <w:pPr>
        <w:pStyle w:val="RBUBullets"/>
        <w:sectPr w:rsidR="00785733">
          <w:pgSz w:w="12240" w:h="15840"/>
          <w:pgMar w:top="1440" w:right="1440" w:bottom="1440" w:left="1440" w:header="720" w:footer="720" w:gutter="0"/>
          <w:cols w:space="720"/>
          <w:docGrid w:linePitch="360"/>
        </w:sectPr>
      </w:pPr>
    </w:p>
    <w:p w14:paraId="2FFA8033" w14:textId="4B3CA389" w:rsidR="00BA5C44" w:rsidRDefault="00C00808" w:rsidP="0083124C">
      <w:pPr>
        <w:pStyle w:val="RBUBullets"/>
        <w:spacing w:after="0"/>
      </w:pPr>
      <w:r w:rsidRPr="002254E1">
        <w:rPr>
          <w:b/>
          <w:bCs/>
          <w:u w:val="single"/>
        </w:rPr>
        <w:lastRenderedPageBreak/>
        <w:t>F1.e.i</w:t>
      </w:r>
      <w:r w:rsidR="003E5FD4">
        <w:rPr>
          <w:b/>
          <w:bCs/>
          <w:u w:val="single"/>
        </w:rPr>
        <w:t>.</w:t>
      </w:r>
      <w:r w:rsidRPr="002254E1">
        <w:rPr>
          <w:b/>
          <w:bCs/>
          <w:spacing w:val="40"/>
          <w:u w:val="single"/>
        </w:rPr>
        <w:t xml:space="preserve"> </w:t>
      </w:r>
      <w:r w:rsidRPr="002248D7">
        <w:rPr>
          <w:b/>
          <w:bCs/>
          <w:u w:val="single"/>
        </w:rPr>
        <w:t>Process</w:t>
      </w:r>
      <w:r w:rsidR="002254E1" w:rsidRPr="002248D7">
        <w:rPr>
          <w:b/>
          <w:bCs/>
          <w:u w:val="single"/>
        </w:rPr>
        <w:t xml:space="preserve"> for Determining Need</w:t>
      </w:r>
      <w:r w:rsidR="002254E1" w:rsidRPr="002254E1">
        <w:rPr>
          <w:b/>
          <w:bCs/>
          <w:u w:val="single"/>
        </w:rPr>
        <w:t>/</w:t>
      </w:r>
      <w:r w:rsidR="002254E1" w:rsidRPr="002248D7">
        <w:rPr>
          <w:b/>
          <w:bCs/>
          <w:u w:val="single"/>
        </w:rPr>
        <w:t>Evidence of Community Engagement</w:t>
      </w:r>
    </w:p>
    <w:p w14:paraId="03826ED7" w14:textId="2356B081" w:rsidR="002C3E31" w:rsidRDefault="002254E1" w:rsidP="0083124C">
      <w:pPr>
        <w:pStyle w:val="RBUBullets"/>
        <w:spacing w:after="0"/>
        <w:rPr>
          <w:b/>
          <w:bCs/>
        </w:rPr>
      </w:pPr>
      <w:r w:rsidRPr="00BA5C44">
        <w:rPr>
          <w:b/>
          <w:bCs/>
        </w:rPr>
        <w:t>For assistance in responding to this portion of the</w:t>
      </w:r>
      <w:r w:rsidRPr="00BA5C44">
        <w:rPr>
          <w:b/>
          <w:bCs/>
          <w:spacing w:val="40"/>
        </w:rPr>
        <w:t xml:space="preserve"> </w:t>
      </w:r>
      <w:r w:rsidRPr="00BA5C44">
        <w:rPr>
          <w:b/>
          <w:bCs/>
        </w:rPr>
        <w:t xml:space="preserve">Application, Applicant is encouraged to review </w:t>
      </w:r>
      <w:r w:rsidRPr="002248D7">
        <w:rPr>
          <w:b/>
          <w:bCs/>
          <w:i/>
        </w:rPr>
        <w:t>Community</w:t>
      </w:r>
      <w:r w:rsidRPr="002248D7">
        <w:rPr>
          <w:b/>
          <w:bCs/>
          <w:i/>
          <w:spacing w:val="-2"/>
        </w:rPr>
        <w:t xml:space="preserve"> </w:t>
      </w:r>
      <w:r w:rsidRPr="002248D7">
        <w:rPr>
          <w:b/>
          <w:bCs/>
          <w:i/>
        </w:rPr>
        <w:t>Engagement</w:t>
      </w:r>
      <w:r w:rsidRPr="002248D7">
        <w:rPr>
          <w:b/>
          <w:bCs/>
          <w:i/>
          <w:spacing w:val="-2"/>
        </w:rPr>
        <w:t xml:space="preserve"> </w:t>
      </w:r>
      <w:r w:rsidRPr="002248D7">
        <w:rPr>
          <w:b/>
          <w:bCs/>
          <w:i/>
        </w:rPr>
        <w:t>Standards</w:t>
      </w:r>
      <w:r w:rsidRPr="002248D7">
        <w:rPr>
          <w:b/>
          <w:bCs/>
          <w:i/>
          <w:spacing w:val="-2"/>
        </w:rPr>
        <w:t xml:space="preserve"> </w:t>
      </w:r>
      <w:r w:rsidRPr="002248D7">
        <w:rPr>
          <w:b/>
          <w:bCs/>
          <w:i/>
        </w:rPr>
        <w:t>for</w:t>
      </w:r>
      <w:r w:rsidRPr="002248D7">
        <w:rPr>
          <w:b/>
          <w:bCs/>
          <w:i/>
          <w:spacing w:val="-2"/>
        </w:rPr>
        <w:t xml:space="preserve"> </w:t>
      </w:r>
      <w:r w:rsidRPr="002248D7">
        <w:rPr>
          <w:b/>
          <w:bCs/>
          <w:i/>
        </w:rPr>
        <w:t>Community</w:t>
      </w:r>
      <w:r w:rsidRPr="002248D7">
        <w:rPr>
          <w:b/>
          <w:bCs/>
          <w:i/>
          <w:spacing w:val="-2"/>
        </w:rPr>
        <w:t xml:space="preserve"> </w:t>
      </w:r>
      <w:r w:rsidRPr="002248D7">
        <w:rPr>
          <w:b/>
          <w:bCs/>
          <w:i/>
        </w:rPr>
        <w:t>Health</w:t>
      </w:r>
      <w:r w:rsidRPr="002248D7">
        <w:rPr>
          <w:b/>
          <w:bCs/>
          <w:i/>
          <w:spacing w:val="-2"/>
        </w:rPr>
        <w:t xml:space="preserve"> </w:t>
      </w:r>
      <w:r w:rsidRPr="002248D7">
        <w:rPr>
          <w:b/>
          <w:bCs/>
          <w:i/>
        </w:rPr>
        <w:t>Planning</w:t>
      </w:r>
      <w:r w:rsidRPr="002248D7">
        <w:rPr>
          <w:b/>
          <w:bCs/>
          <w:i/>
          <w:spacing w:val="-2"/>
        </w:rPr>
        <w:t xml:space="preserve"> </w:t>
      </w:r>
      <w:r w:rsidRPr="002248D7">
        <w:rPr>
          <w:b/>
          <w:bCs/>
          <w:i/>
        </w:rPr>
        <w:t>Guideline</w:t>
      </w:r>
      <w:r w:rsidRPr="00BA5C44">
        <w:rPr>
          <w:b/>
          <w:bCs/>
          <w:i/>
        </w:rPr>
        <w:t>.</w:t>
      </w:r>
      <w:r w:rsidRPr="00BA5C44">
        <w:rPr>
          <w:b/>
          <w:bCs/>
          <w:i/>
          <w:spacing w:val="-3"/>
        </w:rPr>
        <w:t xml:space="preserve"> </w:t>
      </w:r>
      <w:r w:rsidRPr="00BA5C44">
        <w:rPr>
          <w:b/>
          <w:bCs/>
        </w:rPr>
        <w:t>With respect</w:t>
      </w:r>
      <w:r w:rsidRPr="00BA5C44">
        <w:rPr>
          <w:b/>
          <w:bCs/>
          <w:spacing w:val="21"/>
        </w:rPr>
        <w:t xml:space="preserve"> </w:t>
      </w:r>
      <w:r w:rsidRPr="00BA5C44">
        <w:rPr>
          <w:b/>
          <w:bCs/>
        </w:rPr>
        <w:t>to</w:t>
      </w:r>
      <w:r w:rsidRPr="00BA5C44">
        <w:rPr>
          <w:b/>
          <w:bCs/>
          <w:spacing w:val="21"/>
        </w:rPr>
        <w:t xml:space="preserve"> </w:t>
      </w:r>
      <w:r w:rsidRPr="00BA5C44">
        <w:rPr>
          <w:b/>
          <w:bCs/>
        </w:rPr>
        <w:t>the</w:t>
      </w:r>
      <w:r w:rsidRPr="00BA5C44">
        <w:rPr>
          <w:b/>
          <w:bCs/>
          <w:spacing w:val="21"/>
        </w:rPr>
        <w:t xml:space="preserve"> </w:t>
      </w:r>
      <w:r w:rsidRPr="00BA5C44">
        <w:rPr>
          <w:b/>
          <w:bCs/>
        </w:rPr>
        <w:t>existing</w:t>
      </w:r>
      <w:r w:rsidR="002611F1">
        <w:rPr>
          <w:b/>
          <w:bCs/>
          <w:spacing w:val="21"/>
        </w:rPr>
        <w:t xml:space="preserve"> </w:t>
      </w:r>
      <w:r w:rsidR="002C3E31">
        <w:rPr>
          <w:b/>
          <w:bCs/>
          <w:spacing w:val="21"/>
        </w:rPr>
        <w:t>P</w:t>
      </w:r>
      <w:r w:rsidR="002C3E31">
        <w:rPr>
          <w:b/>
          <w:bCs/>
        </w:rPr>
        <w:t>a</w:t>
      </w:r>
      <w:r w:rsidR="00744BA5" w:rsidRPr="002C3E31">
        <w:rPr>
          <w:b/>
          <w:bCs/>
        </w:rPr>
        <w:t xml:space="preserve">tient </w:t>
      </w:r>
      <w:r w:rsidR="002C3E31">
        <w:rPr>
          <w:b/>
          <w:bCs/>
        </w:rPr>
        <w:t>P</w:t>
      </w:r>
      <w:r w:rsidR="00744BA5" w:rsidRPr="002C3E31">
        <w:rPr>
          <w:b/>
          <w:bCs/>
        </w:rPr>
        <w:t>anel</w:t>
      </w:r>
      <w:r w:rsidRPr="002C3E31">
        <w:rPr>
          <w:b/>
          <w:bCs/>
        </w:rPr>
        <w:t>,</w:t>
      </w:r>
      <w:r w:rsidRPr="00BA5C44">
        <w:rPr>
          <w:b/>
          <w:bCs/>
          <w:spacing w:val="21"/>
        </w:rPr>
        <w:t xml:space="preserve"> </w:t>
      </w:r>
      <w:r w:rsidRPr="00BA5C44">
        <w:rPr>
          <w:b/>
          <w:bCs/>
        </w:rPr>
        <w:t>please</w:t>
      </w:r>
      <w:r w:rsidRPr="00BA5C44">
        <w:rPr>
          <w:b/>
          <w:bCs/>
          <w:spacing w:val="21"/>
        </w:rPr>
        <w:t xml:space="preserve"> </w:t>
      </w:r>
      <w:r w:rsidRPr="00BA5C44">
        <w:rPr>
          <w:b/>
          <w:bCs/>
        </w:rPr>
        <w:t>describe</w:t>
      </w:r>
      <w:r w:rsidRPr="00BA5C44">
        <w:rPr>
          <w:b/>
          <w:bCs/>
          <w:spacing w:val="21"/>
        </w:rPr>
        <w:t xml:space="preserve"> </w:t>
      </w:r>
      <w:r w:rsidRPr="00BA5C44">
        <w:rPr>
          <w:b/>
          <w:bCs/>
        </w:rPr>
        <w:t>the</w:t>
      </w:r>
      <w:r w:rsidRPr="00BA5C44">
        <w:rPr>
          <w:b/>
          <w:bCs/>
          <w:spacing w:val="21"/>
        </w:rPr>
        <w:t xml:space="preserve"> </w:t>
      </w:r>
      <w:r w:rsidRPr="00BA5C44">
        <w:rPr>
          <w:b/>
          <w:bCs/>
        </w:rPr>
        <w:t>process</w:t>
      </w:r>
      <w:r w:rsidRPr="00BA5C44">
        <w:rPr>
          <w:b/>
          <w:bCs/>
          <w:spacing w:val="21"/>
        </w:rPr>
        <w:t xml:space="preserve"> </w:t>
      </w:r>
      <w:r w:rsidRPr="00BA5C44">
        <w:rPr>
          <w:b/>
          <w:bCs/>
        </w:rPr>
        <w:t>through</w:t>
      </w:r>
      <w:r w:rsidRPr="00BA5C44">
        <w:rPr>
          <w:b/>
          <w:bCs/>
          <w:spacing w:val="21"/>
        </w:rPr>
        <w:t xml:space="preserve"> </w:t>
      </w:r>
      <w:r w:rsidRPr="00BA5C44">
        <w:rPr>
          <w:b/>
          <w:bCs/>
        </w:rPr>
        <w:t>which</w:t>
      </w:r>
      <w:r w:rsidRPr="00BA5C44">
        <w:rPr>
          <w:b/>
          <w:bCs/>
          <w:spacing w:val="21"/>
        </w:rPr>
        <w:t xml:space="preserve"> </w:t>
      </w:r>
      <w:r w:rsidRPr="00BA5C44">
        <w:rPr>
          <w:b/>
          <w:bCs/>
        </w:rPr>
        <w:t>Applicant</w:t>
      </w:r>
      <w:r w:rsidRPr="00BA5C44">
        <w:rPr>
          <w:b/>
          <w:bCs/>
          <w:spacing w:val="21"/>
        </w:rPr>
        <w:t xml:space="preserve"> </w:t>
      </w:r>
      <w:r w:rsidRPr="00BA5C44">
        <w:rPr>
          <w:b/>
          <w:bCs/>
        </w:rPr>
        <w:t>determined</w:t>
      </w:r>
      <w:r w:rsidRPr="00BA5C44">
        <w:rPr>
          <w:b/>
          <w:bCs/>
          <w:spacing w:val="21"/>
        </w:rPr>
        <w:t xml:space="preserve"> </w:t>
      </w:r>
      <w:r w:rsidRPr="00BA5C44">
        <w:rPr>
          <w:b/>
          <w:bCs/>
        </w:rPr>
        <w:t>the</w:t>
      </w:r>
      <w:r w:rsidRPr="00BA5C44">
        <w:rPr>
          <w:b/>
          <w:bCs/>
          <w:spacing w:val="21"/>
        </w:rPr>
        <w:t xml:space="preserve"> </w:t>
      </w:r>
      <w:r w:rsidRPr="00BA5C44">
        <w:rPr>
          <w:b/>
          <w:bCs/>
        </w:rPr>
        <w:t>need</w:t>
      </w:r>
      <w:r w:rsidRPr="00BA5C44">
        <w:rPr>
          <w:b/>
          <w:bCs/>
          <w:spacing w:val="21"/>
        </w:rPr>
        <w:t xml:space="preserve"> </w:t>
      </w:r>
      <w:r w:rsidRPr="00BA5C44">
        <w:rPr>
          <w:b/>
          <w:bCs/>
        </w:rPr>
        <w:t>for</w:t>
      </w:r>
      <w:r w:rsidRPr="00BA5C44">
        <w:rPr>
          <w:b/>
          <w:bCs/>
          <w:spacing w:val="21"/>
        </w:rPr>
        <w:t xml:space="preserve"> </w:t>
      </w:r>
      <w:r w:rsidRPr="00BA5C44">
        <w:rPr>
          <w:b/>
          <w:bCs/>
        </w:rPr>
        <w:t>the Proposed</w:t>
      </w:r>
      <w:r w:rsidRPr="00BA5C44">
        <w:rPr>
          <w:b/>
          <w:bCs/>
          <w:spacing w:val="-1"/>
        </w:rPr>
        <w:t xml:space="preserve"> </w:t>
      </w:r>
      <w:r w:rsidRPr="00BA5C44">
        <w:rPr>
          <w:b/>
          <w:bCs/>
        </w:rPr>
        <w:t>Project.</w:t>
      </w:r>
    </w:p>
    <w:p w14:paraId="145BF130" w14:textId="77777777" w:rsidR="0051777B" w:rsidRDefault="0051777B" w:rsidP="0083124C">
      <w:pPr>
        <w:pStyle w:val="RBUBullets"/>
        <w:spacing w:after="0"/>
        <w:rPr>
          <w:b/>
          <w:bCs/>
        </w:rPr>
      </w:pPr>
    </w:p>
    <w:p w14:paraId="69D35043" w14:textId="26408D1D" w:rsidR="000749BC" w:rsidRDefault="000749BC" w:rsidP="0083124C">
      <w:pPr>
        <w:pStyle w:val="RBUBullets"/>
        <w:spacing w:after="0"/>
      </w:pPr>
      <w:r>
        <w:t xml:space="preserve">To </w:t>
      </w:r>
      <w:r w:rsidRPr="005E21DA">
        <w:t xml:space="preserve">ensure appropriate patient and family engagement, </w:t>
      </w:r>
      <w:r>
        <w:t xml:space="preserve">the </w:t>
      </w:r>
      <w:r w:rsidRPr="005E21DA">
        <w:t>Applicant</w:t>
      </w:r>
      <w:r w:rsidR="002340EA">
        <w:t>’</w:t>
      </w:r>
      <w:r w:rsidR="00E41D38">
        <w:t>s</w:t>
      </w:r>
      <w:r w:rsidRPr="005E21DA">
        <w:t xml:space="preserve"> staff </w:t>
      </w:r>
      <w:r>
        <w:t xml:space="preserve">first presented </w:t>
      </w:r>
      <w:r w:rsidRPr="005E21DA">
        <w:t>the Proposed Project to the Applicant</w:t>
      </w:r>
      <w:r w:rsidR="002340EA">
        <w:t>’</w:t>
      </w:r>
      <w:r w:rsidRPr="005E21DA">
        <w:t xml:space="preserve">s </w:t>
      </w:r>
      <w:r w:rsidRPr="002248D7">
        <w:t>Adult</w:t>
      </w:r>
      <w:r w:rsidR="00D1045C" w:rsidRPr="002248D7">
        <w:t xml:space="preserve"> </w:t>
      </w:r>
      <w:r w:rsidRPr="002248D7">
        <w:t>PFAC</w:t>
      </w:r>
      <w:r w:rsidRPr="005E21DA">
        <w:t xml:space="preserve">. This is one of two PFACs at the hospital (there is a separate </w:t>
      </w:r>
      <w:r w:rsidRPr="002248D7">
        <w:t>Pediatric PFAC</w:t>
      </w:r>
      <w:r w:rsidRPr="005E21DA">
        <w:t>) comprised of patients, family</w:t>
      </w:r>
      <w:r>
        <w:t>,</w:t>
      </w:r>
      <w:r w:rsidRPr="005E21DA">
        <w:t xml:space="preserve"> and staff members that seek to ensure</w:t>
      </w:r>
      <w:r>
        <w:t xml:space="preserve"> that</w:t>
      </w:r>
      <w:r w:rsidRPr="005E21DA">
        <w:t xml:space="preserve"> the Applicant provides patient- and family-centered care with a commitment to dignity and respect, information sharing, participation</w:t>
      </w:r>
      <w:r>
        <w:t>,</w:t>
      </w:r>
      <w:r w:rsidRPr="005E21DA">
        <w:t xml:space="preserve"> and collaboration. The</w:t>
      </w:r>
      <w:r>
        <w:t xml:space="preserve"> PFACs</w:t>
      </w:r>
      <w:r w:rsidR="002340EA">
        <w:t>’</w:t>
      </w:r>
      <w:r>
        <w:t xml:space="preserve"> mission is</w:t>
      </w:r>
      <w:r w:rsidRPr="005E21DA">
        <w:t>: (1) to help disseminate information and implement services that affect the Applicant</w:t>
      </w:r>
      <w:r w:rsidR="002340EA">
        <w:t>’</w:t>
      </w:r>
      <w:r w:rsidRPr="005E21DA">
        <w:t xml:space="preserve">s patients and their families; (2) to support patients and their families becoming informed advocates for their own care; (3) to offer a patient and family voice; (4) to initiate ideas for policies, programs, projects, and services within the patient care environment; and (5) to provide ongoing opportunities to hear the voices, experiences, and perspectives of patients and their families. </w:t>
      </w:r>
    </w:p>
    <w:p w14:paraId="157260BD" w14:textId="77777777" w:rsidR="0051777B" w:rsidRPr="005E21DA" w:rsidRDefault="0051777B" w:rsidP="0051777B">
      <w:pPr>
        <w:pStyle w:val="RBUBullets"/>
        <w:spacing w:after="0"/>
      </w:pPr>
    </w:p>
    <w:p w14:paraId="7C367347" w14:textId="64143224" w:rsidR="00047341" w:rsidRDefault="008C7339" w:rsidP="000749BC">
      <w:pPr>
        <w:pStyle w:val="RBUBullets"/>
      </w:pPr>
      <w:r>
        <w:t>On September 14, the Applicant</w:t>
      </w:r>
      <w:r w:rsidR="002340EA">
        <w:t>’</w:t>
      </w:r>
      <w:r>
        <w:t xml:space="preserve">s clinical leadership met with the PFAC staff management to initially inform them of the public announcement of the Proposed Project. </w:t>
      </w:r>
      <w:r w:rsidR="00E81EB5">
        <w:t xml:space="preserve">The Applicant sought </w:t>
      </w:r>
      <w:r w:rsidR="000749BC" w:rsidRPr="005E21DA">
        <w:t xml:space="preserve">feedback </w:t>
      </w:r>
      <w:r w:rsidR="00574A8F">
        <w:t xml:space="preserve">from its PFAC </w:t>
      </w:r>
      <w:r w:rsidR="000749BC" w:rsidRPr="005E21DA">
        <w:t>about the Proposed Project</w:t>
      </w:r>
      <w:r w:rsidR="000749BC">
        <w:t xml:space="preserve"> and </w:t>
      </w:r>
      <w:r w:rsidR="00E81EB5">
        <w:t xml:space="preserve">members of the </w:t>
      </w:r>
      <w:r w:rsidR="000749BC">
        <w:t>PFAC</w:t>
      </w:r>
      <w:r w:rsidR="00D11BD0">
        <w:t xml:space="preserve"> </w:t>
      </w:r>
      <w:r w:rsidR="00CE4021">
        <w:t>informed</w:t>
      </w:r>
      <w:r w:rsidR="00D11BD0">
        <w:t xml:space="preserve"> leadership and staff of its</w:t>
      </w:r>
      <w:r w:rsidR="00CE4021">
        <w:t xml:space="preserve"> view of </w:t>
      </w:r>
      <w:r w:rsidR="000749BC">
        <w:t>need for increased inpatient capacity, patient experience and satisfaction, wait times, and inability to access care</w:t>
      </w:r>
      <w:r w:rsidR="000749BC" w:rsidRPr="005E21DA">
        <w:t xml:space="preserve">. </w:t>
      </w:r>
      <w:r>
        <w:t>Further, o</w:t>
      </w:r>
      <w:r w:rsidR="000749BC" w:rsidRPr="005E21DA">
        <w:t>n</w:t>
      </w:r>
      <w:r w:rsidR="000749BC">
        <w:t xml:space="preserve"> </w:t>
      </w:r>
      <w:r w:rsidR="00055FCF">
        <w:t>October 3</w:t>
      </w:r>
      <w:r w:rsidR="000749BC">
        <w:t>, 2023</w:t>
      </w:r>
      <w:r w:rsidR="000749BC" w:rsidRPr="005E21DA">
        <w:t>, the Applicant</w:t>
      </w:r>
      <w:r w:rsidR="002340EA">
        <w:t>’</w:t>
      </w:r>
      <w:r w:rsidR="009B000A">
        <w:t>s Chief Medical Officer and</w:t>
      </w:r>
      <w:r w:rsidR="00055FCF">
        <w:t xml:space="preserve"> </w:t>
      </w:r>
      <w:r w:rsidR="009B000A" w:rsidRPr="009B000A">
        <w:t xml:space="preserve">Senior Vice President, </w:t>
      </w:r>
      <w:r w:rsidR="009B000A" w:rsidRPr="002248D7">
        <w:t>Patient Care Services</w:t>
      </w:r>
      <w:r w:rsidR="00F25726">
        <w:t xml:space="preserve">, in collaboration with the </w:t>
      </w:r>
      <w:r w:rsidR="00F25726" w:rsidRPr="002248D7">
        <w:t>PFAC Co-Chairs</w:t>
      </w:r>
      <w:r w:rsidR="00F25726">
        <w:t>, presented</w:t>
      </w:r>
      <w:r w:rsidR="00175326">
        <w:t xml:space="preserve"> </w:t>
      </w:r>
      <w:r w:rsidR="00F25726">
        <w:t>on the Proposed Project</w:t>
      </w:r>
      <w:r w:rsidR="00DB062A">
        <w:t xml:space="preserve"> at a special PFAC meeting</w:t>
      </w:r>
      <w:r w:rsidR="00175326">
        <w:t>,</w:t>
      </w:r>
      <w:r w:rsidR="000749BC" w:rsidRPr="005E21DA">
        <w:t xml:space="preserve"> provid</w:t>
      </w:r>
      <w:r w:rsidR="00175326">
        <w:t>ing</w:t>
      </w:r>
      <w:r w:rsidR="000749BC" w:rsidRPr="005E21DA">
        <w:t xml:space="preserve"> </w:t>
      </w:r>
      <w:r w:rsidR="00175326">
        <w:t xml:space="preserve">the PFAC with </w:t>
      </w:r>
      <w:r w:rsidR="000749BC" w:rsidRPr="005E21DA">
        <w:t>background, a high-level timeline for progression</w:t>
      </w:r>
      <w:r w:rsidR="00175326">
        <w:t>, and an opportunity to ask questions.</w:t>
      </w:r>
      <w:r w:rsidR="00CB5748">
        <w:t xml:space="preserve"> A discussion took place regarding the impact of the Proposed Project on patients, patient care and the overall patient experience during the next five years, as well as the benefits of a dedicated cancer hospital and vision for the future of cancer care. </w:t>
      </w:r>
      <w:r w:rsidR="00047341">
        <w:rPr>
          <w:lang w:val="en"/>
        </w:rPr>
        <w:t xml:space="preserve">The materials from these meetings are attached in Attachment </w:t>
      </w:r>
      <w:r w:rsidR="00326329">
        <w:rPr>
          <w:lang w:val="en"/>
        </w:rPr>
        <w:t>9</w:t>
      </w:r>
      <w:r w:rsidR="00047341">
        <w:rPr>
          <w:lang w:val="en"/>
        </w:rPr>
        <w:t>.</w:t>
      </w:r>
    </w:p>
    <w:p w14:paraId="1E883441" w14:textId="1ECDADAB" w:rsidR="00047341" w:rsidRPr="00047341" w:rsidRDefault="00DB062A" w:rsidP="000749BC">
      <w:pPr>
        <w:pStyle w:val="RBUBullets"/>
        <w:rPr>
          <w:lang w:val="en"/>
        </w:rPr>
      </w:pPr>
      <w:r>
        <w:t xml:space="preserve">Separately, the PFAC was informed that patients would have an opportunity to provide feedback at patient open forums, which took place on the </w:t>
      </w:r>
      <w:r w:rsidRPr="00DB062A">
        <w:rPr>
          <w:lang w:val="en"/>
        </w:rPr>
        <w:t>16</w:t>
      </w:r>
      <w:r w:rsidRPr="00DB062A">
        <w:rPr>
          <w:vertAlign w:val="superscript"/>
          <w:lang w:val="en"/>
        </w:rPr>
        <w:t>th</w:t>
      </w:r>
      <w:r w:rsidRPr="00DB062A">
        <w:rPr>
          <w:lang w:val="en"/>
        </w:rPr>
        <w:t>, 17</w:t>
      </w:r>
      <w:r w:rsidRPr="00DB062A">
        <w:rPr>
          <w:vertAlign w:val="superscript"/>
          <w:lang w:val="en"/>
        </w:rPr>
        <w:t>th</w:t>
      </w:r>
      <w:r w:rsidRPr="00DB062A">
        <w:rPr>
          <w:lang w:val="en"/>
        </w:rPr>
        <w:t xml:space="preserve">, </w:t>
      </w:r>
      <w:r w:rsidR="00047341">
        <w:rPr>
          <w:lang w:val="en"/>
        </w:rPr>
        <w:t xml:space="preserve">and </w:t>
      </w:r>
      <w:r w:rsidRPr="00DB062A">
        <w:rPr>
          <w:lang w:val="en"/>
        </w:rPr>
        <w:t>18</w:t>
      </w:r>
      <w:r w:rsidR="00047341" w:rsidRPr="00047341">
        <w:rPr>
          <w:vertAlign w:val="superscript"/>
          <w:lang w:val="en"/>
        </w:rPr>
        <w:t>th</w:t>
      </w:r>
      <w:r w:rsidR="00047341">
        <w:rPr>
          <w:lang w:val="en"/>
        </w:rPr>
        <w:t xml:space="preserve"> </w:t>
      </w:r>
      <w:r w:rsidRPr="00DB062A">
        <w:rPr>
          <w:lang w:val="en"/>
        </w:rPr>
        <w:t>of October 2023</w:t>
      </w:r>
      <w:r w:rsidR="00047341">
        <w:rPr>
          <w:lang w:val="en"/>
        </w:rPr>
        <w:t xml:space="preserve">. These </w:t>
      </w:r>
      <w:r w:rsidR="00047341" w:rsidRPr="00047341">
        <w:t>virtual forums</w:t>
      </w:r>
      <w:r w:rsidR="00047341">
        <w:t xml:space="preserve"> offered</w:t>
      </w:r>
      <w:r w:rsidR="00047341" w:rsidRPr="00047341">
        <w:t xml:space="preserve"> patients and families </w:t>
      </w:r>
      <w:r w:rsidR="00047341">
        <w:t xml:space="preserve">the opportunity </w:t>
      </w:r>
      <w:r w:rsidR="00047341" w:rsidRPr="00047341">
        <w:t xml:space="preserve">to learn more about the </w:t>
      </w:r>
      <w:r w:rsidR="00047341">
        <w:t>Proposed Project</w:t>
      </w:r>
      <w:r w:rsidR="00047341" w:rsidRPr="00047341">
        <w:t xml:space="preserve"> and the Applicant</w:t>
      </w:r>
      <w:r w:rsidR="002340EA">
        <w:t>’</w:t>
      </w:r>
      <w:r w:rsidR="00047341" w:rsidRPr="00047341">
        <w:t>s vision for the future of cancer care</w:t>
      </w:r>
      <w:r w:rsidR="00047341">
        <w:t>.</w:t>
      </w:r>
      <w:r w:rsidR="00047341" w:rsidRPr="00047341">
        <w:t xml:space="preserve"> An invitation was sent to all</w:t>
      </w:r>
      <w:r w:rsidR="008B13E7">
        <w:t xml:space="preserve"> of the Applicant</w:t>
      </w:r>
      <w:r w:rsidR="002340EA">
        <w:t>’</w:t>
      </w:r>
      <w:r w:rsidR="008B13E7">
        <w:t>s</w:t>
      </w:r>
      <w:r w:rsidR="00047341" w:rsidRPr="00047341">
        <w:t xml:space="preserve"> current patients</w:t>
      </w:r>
      <w:r w:rsidR="008B13E7">
        <w:t xml:space="preserve"> for each of the three forums.</w:t>
      </w:r>
      <w:r w:rsidR="00047341" w:rsidRPr="00047341">
        <w:t xml:space="preserve"> Patients and families could choose to attend whichever forum was convenient for them. Participants were able to submit questions in advance of the forums as well as anonymously submit questions during the event. </w:t>
      </w:r>
      <w:r w:rsidR="00047341">
        <w:rPr>
          <w:lang w:val="en"/>
        </w:rPr>
        <w:t xml:space="preserve">The presentation slides </w:t>
      </w:r>
      <w:r w:rsidR="008B13E7">
        <w:rPr>
          <w:lang w:val="en"/>
        </w:rPr>
        <w:t xml:space="preserve">used </w:t>
      </w:r>
      <w:r w:rsidR="00047341">
        <w:rPr>
          <w:lang w:val="en"/>
        </w:rPr>
        <w:t xml:space="preserve">for the patient </w:t>
      </w:r>
      <w:r w:rsidR="008B13E7">
        <w:rPr>
          <w:lang w:val="en"/>
        </w:rPr>
        <w:t>forums</w:t>
      </w:r>
      <w:r w:rsidR="00047341">
        <w:rPr>
          <w:lang w:val="en"/>
        </w:rPr>
        <w:t xml:space="preserve"> are also attached in Attachment </w:t>
      </w:r>
      <w:r w:rsidR="00326329">
        <w:rPr>
          <w:lang w:val="en"/>
        </w:rPr>
        <w:t>9</w:t>
      </w:r>
      <w:r w:rsidR="00047341">
        <w:rPr>
          <w:lang w:val="en"/>
        </w:rPr>
        <w:t xml:space="preserve">. </w:t>
      </w:r>
    </w:p>
    <w:p w14:paraId="3EEFB4B5" w14:textId="35263AB6" w:rsidR="00232F99" w:rsidRDefault="00047341" w:rsidP="000749BC">
      <w:pPr>
        <w:pStyle w:val="RBUBullets"/>
      </w:pPr>
      <w:r>
        <w:t xml:space="preserve">The </w:t>
      </w:r>
      <w:r w:rsidR="000749BC">
        <w:t xml:space="preserve">Applicant will </w:t>
      </w:r>
      <w:r>
        <w:t xml:space="preserve">also </w:t>
      </w:r>
      <w:r w:rsidR="000749BC">
        <w:t xml:space="preserve">meet with government stakeholders prior to </w:t>
      </w:r>
      <w:r>
        <w:t xml:space="preserve">and after </w:t>
      </w:r>
      <w:r w:rsidR="000749BC">
        <w:t xml:space="preserve">the filing of this Application, including individuals in the </w:t>
      </w:r>
      <w:r w:rsidR="000749BC" w:rsidRPr="002248D7">
        <w:t>Governor</w:t>
      </w:r>
      <w:r w:rsidR="002340EA">
        <w:t>’</w:t>
      </w:r>
      <w:r w:rsidR="000749BC" w:rsidRPr="002248D7">
        <w:t>s Office</w:t>
      </w:r>
      <w:r w:rsidR="000749BC">
        <w:t xml:space="preserve">, </w:t>
      </w:r>
      <w:r w:rsidR="000749BC" w:rsidRPr="002248D7">
        <w:t>Lieutenant Governor</w:t>
      </w:r>
      <w:r w:rsidR="002340EA">
        <w:t>’</w:t>
      </w:r>
      <w:r w:rsidR="000749BC" w:rsidRPr="002248D7">
        <w:t>s Office</w:t>
      </w:r>
      <w:r w:rsidR="000749BC">
        <w:t>, Attorney General</w:t>
      </w:r>
      <w:r w:rsidR="002340EA">
        <w:t>’</w:t>
      </w:r>
      <w:r w:rsidR="000749BC">
        <w:t xml:space="preserve">s Office, </w:t>
      </w:r>
      <w:r w:rsidR="000749BC" w:rsidRPr="002248D7">
        <w:t>Executive Office of Health and Human Services</w:t>
      </w:r>
      <w:r w:rsidR="000749BC">
        <w:t xml:space="preserve">, Department of Public Health, Health Policy Commission, and elected individuals representing the City of Boston and the Commonwealth, as well as individuals at the Department of Health and Human Services, Centers for Medicare and Medicaid Services. </w:t>
      </w:r>
    </w:p>
    <w:p w14:paraId="7069C876" w14:textId="77777777" w:rsidR="00232F99" w:rsidRDefault="00232F99">
      <w:pPr>
        <w:spacing w:after="160" w:line="259" w:lineRule="auto"/>
      </w:pPr>
      <w:r>
        <w:br w:type="page"/>
      </w:r>
    </w:p>
    <w:p w14:paraId="4E2AC8A4" w14:textId="4B09948F" w:rsidR="000749BC" w:rsidRDefault="000749BC" w:rsidP="0083124C">
      <w:pPr>
        <w:pStyle w:val="RBUBullets"/>
        <w:spacing w:after="0"/>
        <w:rPr>
          <w:spacing w:val="40"/>
        </w:rPr>
      </w:pPr>
      <w:r w:rsidRPr="00BA5C44">
        <w:rPr>
          <w:b/>
          <w:bCs/>
          <w:u w:val="single"/>
        </w:rPr>
        <w:lastRenderedPageBreak/>
        <w:t>F1.e.ii</w:t>
      </w:r>
      <w:r w:rsidRPr="00BA5C44">
        <w:rPr>
          <w:b/>
          <w:bCs/>
          <w:spacing w:val="80"/>
          <w:w w:val="150"/>
          <w:u w:val="single"/>
        </w:rPr>
        <w:t xml:space="preserve"> </w:t>
      </w:r>
      <w:r w:rsidRPr="00BA5C44">
        <w:rPr>
          <w:b/>
          <w:bCs/>
          <w:u w:val="single"/>
        </w:rPr>
        <w:t xml:space="preserve">Please provide evidence of sound </w:t>
      </w:r>
      <w:r w:rsidRPr="002248D7">
        <w:rPr>
          <w:b/>
          <w:bCs/>
          <w:u w:val="single"/>
        </w:rPr>
        <w:t>Community Engagement</w:t>
      </w:r>
      <w:r w:rsidRPr="00BA5C44">
        <w:rPr>
          <w:b/>
          <w:bCs/>
          <w:u w:val="single"/>
        </w:rPr>
        <w:t xml:space="preserve"> and consultation throughout the development of the Proposed</w:t>
      </w:r>
      <w:r w:rsidRPr="00BA5C44">
        <w:rPr>
          <w:b/>
          <w:bCs/>
          <w:spacing w:val="80"/>
          <w:u w:val="single"/>
        </w:rPr>
        <w:t xml:space="preserve"> </w:t>
      </w:r>
      <w:r w:rsidRPr="00BA5C44">
        <w:rPr>
          <w:b/>
          <w:bCs/>
          <w:u w:val="single"/>
        </w:rPr>
        <w:t>Project.</w:t>
      </w:r>
    </w:p>
    <w:p w14:paraId="0317BEFC" w14:textId="4318A1BA" w:rsidR="009840A8" w:rsidRDefault="000749BC" w:rsidP="0083124C">
      <w:pPr>
        <w:pStyle w:val="RBUBullets"/>
        <w:spacing w:after="0"/>
        <w:rPr>
          <w:b/>
          <w:bCs/>
          <w:szCs w:val="24"/>
        </w:rPr>
      </w:pPr>
      <w:r w:rsidRPr="00BA5C44">
        <w:rPr>
          <w:b/>
          <w:bCs/>
          <w:szCs w:val="24"/>
        </w:rPr>
        <w:t xml:space="preserve">A successful Applicant will, at a minimum, describe the process whereby the </w:t>
      </w:r>
      <w:r w:rsidR="002340EA">
        <w:rPr>
          <w:b/>
          <w:bCs/>
          <w:szCs w:val="24"/>
        </w:rPr>
        <w:t>“</w:t>
      </w:r>
      <w:r w:rsidRPr="00BA5C44">
        <w:rPr>
          <w:b/>
          <w:bCs/>
          <w:szCs w:val="24"/>
        </w:rPr>
        <w:t>Public Health Value</w:t>
      </w:r>
      <w:r w:rsidR="002340EA">
        <w:rPr>
          <w:b/>
          <w:bCs/>
          <w:szCs w:val="24"/>
        </w:rPr>
        <w:t>”</w:t>
      </w:r>
      <w:r w:rsidRPr="00BA5C44">
        <w:rPr>
          <w:b/>
          <w:bCs/>
          <w:szCs w:val="24"/>
        </w:rPr>
        <w:t xml:space="preserve"> of the Proposed</w:t>
      </w:r>
      <w:r w:rsidRPr="00BA5C44">
        <w:rPr>
          <w:b/>
          <w:bCs/>
          <w:spacing w:val="40"/>
          <w:szCs w:val="24"/>
        </w:rPr>
        <w:t xml:space="preserve"> </w:t>
      </w:r>
      <w:r w:rsidRPr="00BA5C44">
        <w:rPr>
          <w:b/>
          <w:bCs/>
          <w:szCs w:val="24"/>
        </w:rPr>
        <w:t>Project</w:t>
      </w:r>
      <w:r w:rsidRPr="00BA5C44">
        <w:rPr>
          <w:b/>
          <w:bCs/>
          <w:spacing w:val="21"/>
          <w:szCs w:val="24"/>
        </w:rPr>
        <w:t xml:space="preserve"> </w:t>
      </w:r>
      <w:r w:rsidRPr="00BA5C44">
        <w:rPr>
          <w:b/>
          <w:bCs/>
          <w:szCs w:val="24"/>
        </w:rPr>
        <w:t>was</w:t>
      </w:r>
      <w:r w:rsidRPr="00BA5C44">
        <w:rPr>
          <w:b/>
          <w:bCs/>
          <w:spacing w:val="21"/>
          <w:szCs w:val="24"/>
        </w:rPr>
        <w:t xml:space="preserve"> </w:t>
      </w:r>
      <w:r w:rsidRPr="00BA5C44">
        <w:rPr>
          <w:b/>
          <w:bCs/>
          <w:szCs w:val="24"/>
        </w:rPr>
        <w:t>considered,</w:t>
      </w:r>
      <w:r w:rsidRPr="00BA5C44">
        <w:rPr>
          <w:b/>
          <w:bCs/>
          <w:spacing w:val="21"/>
          <w:szCs w:val="24"/>
        </w:rPr>
        <w:t xml:space="preserve"> </w:t>
      </w:r>
      <w:r w:rsidRPr="00BA5C44">
        <w:rPr>
          <w:b/>
          <w:bCs/>
          <w:szCs w:val="24"/>
        </w:rPr>
        <w:t>and</w:t>
      </w:r>
      <w:r w:rsidRPr="00BA5C44">
        <w:rPr>
          <w:b/>
          <w:bCs/>
          <w:spacing w:val="21"/>
          <w:szCs w:val="24"/>
        </w:rPr>
        <w:t xml:space="preserve"> </w:t>
      </w:r>
      <w:r w:rsidRPr="00BA5C44">
        <w:rPr>
          <w:b/>
          <w:bCs/>
          <w:szCs w:val="24"/>
        </w:rPr>
        <w:t>will</w:t>
      </w:r>
      <w:r w:rsidRPr="00BA5C44">
        <w:rPr>
          <w:b/>
          <w:bCs/>
          <w:spacing w:val="21"/>
          <w:szCs w:val="24"/>
        </w:rPr>
        <w:t xml:space="preserve"> </w:t>
      </w:r>
      <w:r w:rsidRPr="00BA5C44">
        <w:rPr>
          <w:b/>
          <w:bCs/>
          <w:szCs w:val="24"/>
        </w:rPr>
        <w:t>describe</w:t>
      </w:r>
      <w:r w:rsidRPr="00BA5C44">
        <w:rPr>
          <w:b/>
          <w:bCs/>
          <w:spacing w:val="21"/>
          <w:szCs w:val="24"/>
        </w:rPr>
        <w:t xml:space="preserve"> </w:t>
      </w:r>
      <w:r w:rsidRPr="00BA5C44">
        <w:rPr>
          <w:b/>
          <w:bCs/>
          <w:szCs w:val="24"/>
        </w:rPr>
        <w:t>the</w:t>
      </w:r>
      <w:r w:rsidRPr="00BA5C44">
        <w:rPr>
          <w:b/>
          <w:bCs/>
          <w:spacing w:val="21"/>
          <w:szCs w:val="24"/>
        </w:rPr>
        <w:t xml:space="preserve"> </w:t>
      </w:r>
      <w:r w:rsidRPr="002248D7">
        <w:rPr>
          <w:b/>
          <w:bCs/>
          <w:szCs w:val="24"/>
        </w:rPr>
        <w:t>Community</w:t>
      </w:r>
      <w:r w:rsidRPr="002248D7">
        <w:rPr>
          <w:b/>
          <w:bCs/>
          <w:spacing w:val="21"/>
          <w:szCs w:val="24"/>
        </w:rPr>
        <w:t xml:space="preserve"> </w:t>
      </w:r>
      <w:r w:rsidRPr="002248D7">
        <w:rPr>
          <w:b/>
          <w:bCs/>
          <w:szCs w:val="24"/>
        </w:rPr>
        <w:t>Engagement</w:t>
      </w:r>
      <w:r w:rsidRPr="00BA5C44">
        <w:rPr>
          <w:b/>
          <w:bCs/>
          <w:spacing w:val="21"/>
          <w:szCs w:val="24"/>
        </w:rPr>
        <w:t xml:space="preserve"> </w:t>
      </w:r>
      <w:r w:rsidRPr="00BA5C44">
        <w:rPr>
          <w:b/>
          <w:bCs/>
          <w:szCs w:val="24"/>
        </w:rPr>
        <w:t>process</w:t>
      </w:r>
      <w:r w:rsidRPr="00BA5C44">
        <w:rPr>
          <w:b/>
          <w:bCs/>
          <w:spacing w:val="21"/>
          <w:szCs w:val="24"/>
        </w:rPr>
        <w:t xml:space="preserve"> </w:t>
      </w:r>
      <w:r w:rsidRPr="00BA5C44">
        <w:rPr>
          <w:b/>
          <w:bCs/>
          <w:szCs w:val="24"/>
        </w:rPr>
        <w:t>as</w:t>
      </w:r>
      <w:r w:rsidRPr="00BA5C44">
        <w:rPr>
          <w:b/>
          <w:bCs/>
          <w:spacing w:val="21"/>
          <w:szCs w:val="24"/>
        </w:rPr>
        <w:t xml:space="preserve"> </w:t>
      </w:r>
      <w:r w:rsidRPr="00BA5C44">
        <w:rPr>
          <w:b/>
          <w:bCs/>
          <w:szCs w:val="24"/>
        </w:rPr>
        <w:t>it</w:t>
      </w:r>
      <w:r w:rsidRPr="00BA5C44">
        <w:rPr>
          <w:b/>
          <w:bCs/>
          <w:spacing w:val="21"/>
          <w:szCs w:val="24"/>
        </w:rPr>
        <w:t xml:space="preserve"> </w:t>
      </w:r>
      <w:r w:rsidRPr="00BA5C44">
        <w:rPr>
          <w:b/>
          <w:bCs/>
          <w:szCs w:val="24"/>
        </w:rPr>
        <w:t>occurred</w:t>
      </w:r>
      <w:r w:rsidRPr="00BA5C44">
        <w:rPr>
          <w:b/>
          <w:bCs/>
          <w:spacing w:val="21"/>
          <w:szCs w:val="24"/>
        </w:rPr>
        <w:t xml:space="preserve"> </w:t>
      </w:r>
      <w:r w:rsidRPr="00BA5C44">
        <w:rPr>
          <w:b/>
          <w:bCs/>
          <w:szCs w:val="24"/>
        </w:rPr>
        <w:t>and</w:t>
      </w:r>
      <w:r w:rsidRPr="00BA5C44">
        <w:rPr>
          <w:b/>
          <w:bCs/>
          <w:spacing w:val="21"/>
          <w:szCs w:val="24"/>
        </w:rPr>
        <w:t xml:space="preserve"> </w:t>
      </w:r>
      <w:r w:rsidRPr="00BA5C44">
        <w:rPr>
          <w:b/>
          <w:bCs/>
          <w:szCs w:val="24"/>
        </w:rPr>
        <w:t>is</w:t>
      </w:r>
      <w:r w:rsidRPr="00BA5C44">
        <w:rPr>
          <w:b/>
          <w:bCs/>
          <w:spacing w:val="21"/>
          <w:szCs w:val="24"/>
        </w:rPr>
        <w:t xml:space="preserve"> </w:t>
      </w:r>
      <w:r w:rsidRPr="00BA5C44">
        <w:rPr>
          <w:b/>
          <w:bCs/>
          <w:szCs w:val="24"/>
        </w:rPr>
        <w:t>occurring</w:t>
      </w:r>
      <w:r w:rsidRPr="00BA5C44">
        <w:rPr>
          <w:b/>
          <w:bCs/>
          <w:spacing w:val="21"/>
          <w:szCs w:val="24"/>
        </w:rPr>
        <w:t xml:space="preserve"> </w:t>
      </w:r>
      <w:r w:rsidRPr="00BA5C44">
        <w:rPr>
          <w:b/>
          <w:bCs/>
          <w:szCs w:val="24"/>
        </w:rPr>
        <w:t>currently</w:t>
      </w:r>
      <w:r w:rsidRPr="00BA5C44">
        <w:rPr>
          <w:b/>
          <w:bCs/>
          <w:spacing w:val="21"/>
          <w:szCs w:val="24"/>
        </w:rPr>
        <w:t xml:space="preserve"> </w:t>
      </w:r>
      <w:r w:rsidRPr="00BA5C44">
        <w:rPr>
          <w:b/>
          <w:bCs/>
          <w:szCs w:val="24"/>
        </w:rPr>
        <w:t>in,</w:t>
      </w:r>
      <w:r w:rsidRPr="00BA5C44">
        <w:rPr>
          <w:b/>
          <w:bCs/>
          <w:spacing w:val="21"/>
          <w:szCs w:val="24"/>
        </w:rPr>
        <w:t xml:space="preserve"> </w:t>
      </w:r>
      <w:r w:rsidRPr="00BA5C44">
        <w:rPr>
          <w:b/>
          <w:bCs/>
          <w:szCs w:val="24"/>
        </w:rPr>
        <w:t>at least, the following contexts:</w:t>
      </w:r>
      <w:r w:rsidRPr="00BA5C44">
        <w:rPr>
          <w:b/>
          <w:bCs/>
          <w:spacing w:val="40"/>
          <w:szCs w:val="24"/>
        </w:rPr>
        <w:t xml:space="preserve"> </w:t>
      </w:r>
      <w:r w:rsidRPr="00BA5C44">
        <w:rPr>
          <w:b/>
          <w:bCs/>
          <w:szCs w:val="24"/>
        </w:rPr>
        <w:t>Identification of</w:t>
      </w:r>
      <w:r w:rsidR="002611F1">
        <w:rPr>
          <w:b/>
          <w:bCs/>
          <w:szCs w:val="24"/>
        </w:rPr>
        <w:t xml:space="preserve"> </w:t>
      </w:r>
      <w:r w:rsidR="00744BA5">
        <w:rPr>
          <w:b/>
          <w:bCs/>
          <w:szCs w:val="24"/>
        </w:rPr>
        <w:t>patient panel</w:t>
      </w:r>
      <w:r w:rsidRPr="00BA5C44">
        <w:rPr>
          <w:b/>
          <w:bCs/>
          <w:szCs w:val="24"/>
        </w:rPr>
        <w:t xml:space="preserve"> </w:t>
      </w:r>
      <w:r w:rsidRPr="002248D7">
        <w:rPr>
          <w:b/>
          <w:bCs/>
          <w:szCs w:val="24"/>
        </w:rPr>
        <w:t>Need</w:t>
      </w:r>
      <w:r w:rsidRPr="00BA5C44">
        <w:rPr>
          <w:b/>
          <w:bCs/>
          <w:szCs w:val="24"/>
        </w:rPr>
        <w:t xml:space="preserve">; </w:t>
      </w:r>
      <w:r w:rsidRPr="002248D7">
        <w:rPr>
          <w:b/>
          <w:bCs/>
          <w:szCs w:val="24"/>
        </w:rPr>
        <w:t>Design</w:t>
      </w:r>
      <w:r w:rsidRPr="00BA5C44">
        <w:rPr>
          <w:b/>
          <w:bCs/>
          <w:szCs w:val="24"/>
        </w:rPr>
        <w:t xml:space="preserve">/selection of </w:t>
      </w:r>
      <w:proofErr w:type="spellStart"/>
      <w:r w:rsidRPr="002248D7">
        <w:rPr>
          <w:b/>
          <w:bCs/>
          <w:szCs w:val="24"/>
        </w:rPr>
        <w:t>DoN</w:t>
      </w:r>
      <w:proofErr w:type="spellEnd"/>
      <w:r w:rsidRPr="002248D7">
        <w:rPr>
          <w:b/>
          <w:bCs/>
          <w:szCs w:val="24"/>
        </w:rPr>
        <w:t xml:space="preserve"> Project</w:t>
      </w:r>
      <w:r w:rsidRPr="00BA5C44">
        <w:rPr>
          <w:b/>
          <w:bCs/>
          <w:szCs w:val="24"/>
        </w:rPr>
        <w:t xml:space="preserve"> in response to </w:t>
      </w:r>
      <w:r w:rsidR="002340EA">
        <w:rPr>
          <w:b/>
          <w:bCs/>
          <w:szCs w:val="24"/>
        </w:rPr>
        <w:t>“</w:t>
      </w:r>
      <w:r w:rsidR="00744BA5">
        <w:rPr>
          <w:b/>
          <w:bCs/>
          <w:szCs w:val="24"/>
        </w:rPr>
        <w:t>patient panel</w:t>
      </w:r>
      <w:r w:rsidR="002340EA">
        <w:rPr>
          <w:b/>
          <w:bCs/>
          <w:szCs w:val="24"/>
        </w:rPr>
        <w:t>”</w:t>
      </w:r>
      <w:r w:rsidRPr="00BA5C44">
        <w:rPr>
          <w:b/>
          <w:bCs/>
          <w:szCs w:val="24"/>
        </w:rPr>
        <w:t xml:space="preserve"> need; and </w:t>
      </w:r>
      <w:r w:rsidRPr="002248D7">
        <w:rPr>
          <w:b/>
          <w:bCs/>
          <w:szCs w:val="24"/>
        </w:rPr>
        <w:t>Linking</w:t>
      </w:r>
      <w:r w:rsidRPr="00BA5C44">
        <w:rPr>
          <w:b/>
          <w:bCs/>
          <w:szCs w:val="24"/>
        </w:rPr>
        <w:t xml:space="preserve"> the Proposed Project to </w:t>
      </w:r>
      <w:r w:rsidR="002340EA">
        <w:rPr>
          <w:b/>
          <w:bCs/>
          <w:szCs w:val="24"/>
        </w:rPr>
        <w:t>“</w:t>
      </w:r>
      <w:r w:rsidRPr="00BA5C44">
        <w:rPr>
          <w:b/>
          <w:bCs/>
          <w:szCs w:val="24"/>
        </w:rPr>
        <w:t>Public Health Value</w:t>
      </w:r>
      <w:r w:rsidR="002340EA">
        <w:rPr>
          <w:b/>
          <w:bCs/>
          <w:szCs w:val="24"/>
        </w:rPr>
        <w:t>”</w:t>
      </w:r>
      <w:r w:rsidRPr="00BA5C44">
        <w:rPr>
          <w:b/>
          <w:bCs/>
          <w:szCs w:val="24"/>
        </w:rPr>
        <w:t>.</w:t>
      </w:r>
    </w:p>
    <w:p w14:paraId="23012B19" w14:textId="77777777" w:rsidR="0051777B" w:rsidRPr="009840A8" w:rsidRDefault="0051777B" w:rsidP="0083124C">
      <w:pPr>
        <w:pStyle w:val="RBUBullets"/>
        <w:spacing w:after="0"/>
        <w:ind w:left="360"/>
        <w:rPr>
          <w:b/>
          <w:bCs/>
          <w:szCs w:val="24"/>
        </w:rPr>
      </w:pPr>
    </w:p>
    <w:p w14:paraId="5D5FE388" w14:textId="72122A81" w:rsidR="000749BC" w:rsidRDefault="000749BC" w:rsidP="0083124C">
      <w:pPr>
        <w:pStyle w:val="RBUBullets"/>
        <w:spacing w:after="0"/>
        <w:rPr>
          <w:rFonts w:eastAsiaTheme="minorHAnsi"/>
          <w:szCs w:val="24"/>
        </w:rPr>
      </w:pPr>
      <w:r>
        <w:rPr>
          <w:szCs w:val="24"/>
        </w:rPr>
        <w:t xml:space="preserve">The Applicant has engaged in a robust community engagement process including, without limitation presenting </w:t>
      </w:r>
      <w:r w:rsidRPr="00825D21">
        <w:rPr>
          <w:rFonts w:eastAsiaTheme="minorHAnsi"/>
          <w:szCs w:val="24"/>
        </w:rPr>
        <w:t xml:space="preserve">the Proposed Project to its </w:t>
      </w:r>
      <w:r w:rsidR="009840A8">
        <w:rPr>
          <w:rFonts w:eastAsiaTheme="minorHAnsi"/>
          <w:szCs w:val="24"/>
        </w:rPr>
        <w:t>PFAC members</w:t>
      </w:r>
      <w:r w:rsidRPr="00825D21">
        <w:rPr>
          <w:rFonts w:eastAsiaTheme="minorHAnsi"/>
          <w:szCs w:val="24"/>
        </w:rPr>
        <w:t xml:space="preserve">, </w:t>
      </w:r>
      <w:r w:rsidRPr="002248D7">
        <w:rPr>
          <w:rFonts w:eastAsiaTheme="minorHAnsi"/>
          <w:szCs w:val="24"/>
        </w:rPr>
        <w:t>Community Benefits</w:t>
      </w:r>
      <w:r w:rsidRPr="00825D21">
        <w:rPr>
          <w:rFonts w:eastAsiaTheme="minorHAnsi"/>
          <w:szCs w:val="24"/>
        </w:rPr>
        <w:t>/</w:t>
      </w:r>
      <w:proofErr w:type="spellStart"/>
      <w:r w:rsidRPr="002248D7">
        <w:rPr>
          <w:rFonts w:eastAsiaTheme="minorHAnsi"/>
          <w:szCs w:val="24"/>
        </w:rPr>
        <w:t>DoN</w:t>
      </w:r>
      <w:proofErr w:type="spellEnd"/>
      <w:r w:rsidRPr="002248D7">
        <w:rPr>
          <w:rFonts w:eastAsiaTheme="minorHAnsi"/>
          <w:szCs w:val="24"/>
        </w:rPr>
        <w:t xml:space="preserve"> External Advisory Committee</w:t>
      </w:r>
      <w:r w:rsidRPr="00825D21">
        <w:rPr>
          <w:rFonts w:eastAsiaTheme="minorHAnsi"/>
          <w:szCs w:val="24"/>
        </w:rPr>
        <w:t xml:space="preserve">, and the </w:t>
      </w:r>
      <w:r w:rsidRPr="009840A8">
        <w:rPr>
          <w:rFonts w:eastAsiaTheme="minorHAnsi"/>
          <w:szCs w:val="24"/>
        </w:rPr>
        <w:t>public to inform the community</w:t>
      </w:r>
      <w:r w:rsidRPr="00825D21">
        <w:rPr>
          <w:rFonts w:eastAsiaTheme="minorHAnsi"/>
          <w:szCs w:val="24"/>
        </w:rPr>
        <w:t xml:space="preserve"> of the Proposed Project and solicit feedback in the development of the Proposed Project</w:t>
      </w:r>
      <w:r w:rsidR="00A72DED" w:rsidRPr="00825D21">
        <w:rPr>
          <w:rFonts w:eastAsiaTheme="minorHAnsi"/>
          <w:szCs w:val="24"/>
        </w:rPr>
        <w:t xml:space="preserve">. </w:t>
      </w:r>
      <w:r w:rsidR="008C1C91">
        <w:rPr>
          <w:rFonts w:eastAsiaTheme="minorHAnsi"/>
          <w:szCs w:val="24"/>
        </w:rPr>
        <w:t>Further, when engaging with stakeholders, the Applicant discussed and sought feedback on the Public Health Value of the Proposed Project,</w:t>
      </w:r>
      <w:r w:rsidR="00C014C8">
        <w:rPr>
          <w:rFonts w:eastAsiaTheme="minorHAnsi"/>
          <w:szCs w:val="24"/>
        </w:rPr>
        <w:t xml:space="preserve"> as outlin</w:t>
      </w:r>
      <w:r w:rsidR="0050793C">
        <w:rPr>
          <w:rFonts w:eastAsiaTheme="minorHAnsi"/>
          <w:szCs w:val="24"/>
        </w:rPr>
        <w:t xml:space="preserve">ed in </w:t>
      </w:r>
      <w:r w:rsidR="0050793C" w:rsidRPr="002248D7">
        <w:rPr>
          <w:rFonts w:eastAsiaTheme="minorHAnsi"/>
          <w:szCs w:val="24"/>
        </w:rPr>
        <w:t>Factor</w:t>
      </w:r>
      <w:r w:rsidR="0050793C">
        <w:rPr>
          <w:rFonts w:eastAsiaTheme="minorHAnsi"/>
          <w:szCs w:val="24"/>
        </w:rPr>
        <w:t xml:space="preserve"> 1.b,</w:t>
      </w:r>
      <w:r w:rsidR="008C1C91">
        <w:rPr>
          <w:rFonts w:eastAsiaTheme="minorHAnsi"/>
          <w:szCs w:val="24"/>
        </w:rPr>
        <w:t xml:space="preserve"> and addressed concerns as</w:t>
      </w:r>
      <w:r w:rsidR="0050793C">
        <w:rPr>
          <w:rFonts w:eastAsiaTheme="minorHAnsi"/>
          <w:szCs w:val="24"/>
        </w:rPr>
        <w:t xml:space="preserve"> appropriate</w:t>
      </w:r>
      <w:r w:rsidR="00C014C8">
        <w:rPr>
          <w:rFonts w:eastAsiaTheme="minorHAnsi"/>
          <w:szCs w:val="24"/>
        </w:rPr>
        <w:t>.</w:t>
      </w:r>
      <w:r w:rsidR="0050793C" w:rsidRPr="0050793C">
        <w:rPr>
          <w:rFonts w:eastAsiaTheme="minorHAnsi"/>
          <w:szCs w:val="24"/>
        </w:rPr>
        <w:t xml:space="preserve"> </w:t>
      </w:r>
      <w:r w:rsidR="0050793C">
        <w:rPr>
          <w:rFonts w:eastAsiaTheme="minorHAnsi"/>
          <w:szCs w:val="24"/>
        </w:rPr>
        <w:t xml:space="preserve">The Applicant considered this feedback when identifying its patient panel need, described in </w:t>
      </w:r>
      <w:r w:rsidR="0050793C" w:rsidRPr="002248D7">
        <w:rPr>
          <w:rFonts w:eastAsiaTheme="minorHAnsi"/>
          <w:szCs w:val="24"/>
        </w:rPr>
        <w:t>Factor</w:t>
      </w:r>
      <w:r w:rsidR="0050793C">
        <w:rPr>
          <w:rFonts w:eastAsiaTheme="minorHAnsi"/>
          <w:szCs w:val="24"/>
        </w:rPr>
        <w:t xml:space="preserve"> 1.a.ii, and designing the Proposed Project to address the patient panel need and to ensure the Proposed Project </w:t>
      </w:r>
      <w:r w:rsidR="00733D12">
        <w:rPr>
          <w:rFonts w:eastAsiaTheme="minorHAnsi"/>
          <w:szCs w:val="24"/>
        </w:rPr>
        <w:t xml:space="preserve">had a positive </w:t>
      </w:r>
      <w:r w:rsidR="0050793C">
        <w:rPr>
          <w:rFonts w:eastAsiaTheme="minorHAnsi"/>
          <w:szCs w:val="24"/>
        </w:rPr>
        <w:t xml:space="preserve">Public Health Value </w:t>
      </w:r>
      <w:r w:rsidR="00733D12">
        <w:rPr>
          <w:rFonts w:eastAsiaTheme="minorHAnsi"/>
          <w:szCs w:val="24"/>
        </w:rPr>
        <w:t xml:space="preserve">on its community. </w:t>
      </w:r>
    </w:p>
    <w:p w14:paraId="5E299CC7" w14:textId="77777777" w:rsidR="009840A8" w:rsidRDefault="009840A8" w:rsidP="009840A8">
      <w:pPr>
        <w:pStyle w:val="RBUBullets"/>
        <w:rPr>
          <w:rFonts w:eastAsiaTheme="minorHAnsi"/>
          <w:szCs w:val="24"/>
        </w:rPr>
      </w:pPr>
    </w:p>
    <w:p w14:paraId="30BBEA5E" w14:textId="42A8BB63" w:rsidR="009840A8" w:rsidRPr="009840A8" w:rsidRDefault="009840A8" w:rsidP="009840A8">
      <w:pPr>
        <w:pStyle w:val="RBUBullets"/>
        <w:rPr>
          <w:szCs w:val="24"/>
        </w:rPr>
        <w:sectPr w:rsidR="009840A8" w:rsidRPr="009840A8">
          <w:pgSz w:w="12240" w:h="15840"/>
          <w:pgMar w:top="1440" w:right="1440" w:bottom="1440" w:left="1440" w:header="720" w:footer="720" w:gutter="0"/>
          <w:cols w:space="720"/>
          <w:docGrid w:linePitch="360"/>
        </w:sectPr>
      </w:pPr>
    </w:p>
    <w:p w14:paraId="5E4DBF5B" w14:textId="5D5C1D26" w:rsidR="001E2FA8" w:rsidRPr="003E5FD4" w:rsidRDefault="001E2FA8" w:rsidP="003E5FD4">
      <w:pPr>
        <w:keepNext/>
        <w:jc w:val="both"/>
        <w:rPr>
          <w:b/>
          <w:szCs w:val="24"/>
          <w:u w:val="single"/>
        </w:rPr>
      </w:pPr>
      <w:r w:rsidRPr="00FA1DD3">
        <w:rPr>
          <w:b/>
          <w:szCs w:val="24"/>
          <w:u w:val="single"/>
        </w:rPr>
        <w:lastRenderedPageBreak/>
        <w:t>Factor 2</w:t>
      </w:r>
      <w:r w:rsidRPr="00FA1DD3">
        <w:rPr>
          <w:b/>
          <w:szCs w:val="24"/>
          <w:u w:val="single"/>
        </w:rPr>
        <w:tab/>
        <w:t>Health Priorities</w:t>
      </w:r>
    </w:p>
    <w:p w14:paraId="588B7AF4" w14:textId="76939938" w:rsidR="001E2FA8" w:rsidRDefault="001E2FA8" w:rsidP="005D261B">
      <w:pPr>
        <w:keepNext/>
        <w:jc w:val="both"/>
        <w:rPr>
          <w:b/>
          <w:szCs w:val="24"/>
        </w:rPr>
      </w:pPr>
      <w:r w:rsidRPr="00FA1DD3">
        <w:rPr>
          <w:b/>
          <w:szCs w:val="24"/>
        </w:rPr>
        <w:t>Addresses the impact of the Proposed Project on health more broadly (that is, beyond the</w:t>
      </w:r>
      <w:r w:rsidR="002611F1">
        <w:rPr>
          <w:b/>
          <w:szCs w:val="24"/>
        </w:rPr>
        <w:t xml:space="preserve"> </w:t>
      </w:r>
      <w:r w:rsidR="00744BA5">
        <w:rPr>
          <w:b/>
          <w:szCs w:val="24"/>
        </w:rPr>
        <w:t>patient panel</w:t>
      </w:r>
      <w:r w:rsidRPr="00FA1DD3">
        <w:rPr>
          <w:b/>
          <w:szCs w:val="24"/>
        </w:rPr>
        <w:t xml:space="preserve">) requiring the </w:t>
      </w:r>
      <w:bookmarkStart w:id="26" w:name="_9kMH4L6ZWu5997BJRH30umfrB"/>
      <w:r w:rsidRPr="00FA1DD3">
        <w:rPr>
          <w:b/>
          <w:szCs w:val="24"/>
        </w:rPr>
        <w:t>Applicant</w:t>
      </w:r>
      <w:bookmarkEnd w:id="26"/>
      <w:r w:rsidRPr="00FA1DD3">
        <w:rPr>
          <w:b/>
          <w:szCs w:val="24"/>
        </w:rPr>
        <w:t xml:space="preserve"> demonstrate that the Proposed Project will meaningfully contribute to Commonwealth</w:t>
      </w:r>
      <w:r w:rsidR="002340EA">
        <w:rPr>
          <w:b/>
          <w:szCs w:val="24"/>
        </w:rPr>
        <w:t>’</w:t>
      </w:r>
      <w:r w:rsidRPr="00FA1DD3">
        <w:rPr>
          <w:b/>
          <w:szCs w:val="24"/>
        </w:rPr>
        <w:t>s goals for cost containment, improved public health outcomes, and delivery system transformation.</w:t>
      </w:r>
    </w:p>
    <w:p w14:paraId="1769F80D" w14:textId="77777777" w:rsidR="003E5FD4" w:rsidRPr="00FA1DD3" w:rsidRDefault="003E5FD4" w:rsidP="005D261B">
      <w:pPr>
        <w:keepNext/>
        <w:jc w:val="both"/>
        <w:rPr>
          <w:b/>
          <w:szCs w:val="24"/>
        </w:rPr>
      </w:pPr>
    </w:p>
    <w:p w14:paraId="79F8BECD" w14:textId="77777777" w:rsidR="001E2FA8" w:rsidRPr="00FA1DD3" w:rsidRDefault="001E2FA8" w:rsidP="001E2FA8">
      <w:pPr>
        <w:keepNext/>
        <w:jc w:val="both"/>
        <w:rPr>
          <w:b/>
          <w:szCs w:val="24"/>
          <w:u w:val="single"/>
        </w:rPr>
      </w:pPr>
      <w:r w:rsidRPr="00FA1DD3">
        <w:rPr>
          <w:b/>
          <w:szCs w:val="24"/>
          <w:u w:val="single"/>
        </w:rPr>
        <w:t>F2.a. Cost Containment</w:t>
      </w:r>
    </w:p>
    <w:p w14:paraId="56BCA858" w14:textId="7A3213B0" w:rsidR="001E2FA8" w:rsidRPr="00FA1DD3" w:rsidRDefault="001E2FA8" w:rsidP="001E2FA8">
      <w:pPr>
        <w:keepNext/>
        <w:jc w:val="both"/>
        <w:rPr>
          <w:b/>
          <w:szCs w:val="24"/>
        </w:rPr>
      </w:pPr>
      <w:r w:rsidRPr="00FA1DD3">
        <w:rPr>
          <w:b/>
          <w:szCs w:val="24"/>
        </w:rPr>
        <w:t>Using objective data, please describe for each new or expanded service, how the Proposed Project will meaningfully contribute to the Commonwealth</w:t>
      </w:r>
      <w:r w:rsidR="002340EA">
        <w:rPr>
          <w:b/>
          <w:szCs w:val="24"/>
        </w:rPr>
        <w:t>’</w:t>
      </w:r>
      <w:r w:rsidRPr="00FA1DD3">
        <w:rPr>
          <w:b/>
          <w:szCs w:val="24"/>
        </w:rPr>
        <w:t>s goals for cost containment.</w:t>
      </w:r>
    </w:p>
    <w:p w14:paraId="1E932B23" w14:textId="77777777" w:rsidR="001E2FA8" w:rsidRPr="00FA1DD3" w:rsidRDefault="001E2FA8" w:rsidP="001E2FA8">
      <w:pPr>
        <w:pStyle w:val="RBUBullets"/>
        <w:spacing w:after="0"/>
        <w:rPr>
          <w:szCs w:val="24"/>
        </w:rPr>
      </w:pPr>
    </w:p>
    <w:p w14:paraId="0C19FF66" w14:textId="644BEE3D" w:rsidR="00B23D3B" w:rsidRDefault="00B23D3B" w:rsidP="00C277B3">
      <w:pPr>
        <w:pStyle w:val="RBUBullets"/>
        <w:spacing w:after="0"/>
        <w:rPr>
          <w:szCs w:val="24"/>
        </w:rPr>
      </w:pPr>
      <w:r>
        <w:rPr>
          <w:szCs w:val="24"/>
        </w:rPr>
        <w:t xml:space="preserve">As discussed above in Factor 1.a.i and Factor 1.a.iii, as the only freestanding, NCI-designated </w:t>
      </w:r>
      <w:r w:rsidR="006920D1">
        <w:rPr>
          <w:szCs w:val="24"/>
        </w:rPr>
        <w:t>comprehensive cancer center</w:t>
      </w:r>
      <w:r>
        <w:rPr>
          <w:szCs w:val="24"/>
        </w:rPr>
        <w:t xml:space="preserve"> in New England</w:t>
      </w:r>
      <w:r w:rsidR="006920D1">
        <w:rPr>
          <w:szCs w:val="24"/>
        </w:rPr>
        <w:t>,</w:t>
      </w:r>
      <w:r>
        <w:rPr>
          <w:szCs w:val="24"/>
        </w:rPr>
        <w:t xml:space="preserve"> the Applicant</w:t>
      </w:r>
      <w:r w:rsidR="002340EA">
        <w:rPr>
          <w:szCs w:val="24"/>
        </w:rPr>
        <w:t>’</w:t>
      </w:r>
      <w:r>
        <w:rPr>
          <w:szCs w:val="24"/>
        </w:rPr>
        <w:t>s</w:t>
      </w:r>
      <w:r w:rsidR="002611F1">
        <w:rPr>
          <w:szCs w:val="24"/>
        </w:rPr>
        <w:t xml:space="preserve"> </w:t>
      </w:r>
      <w:r w:rsidR="00744BA5">
        <w:rPr>
          <w:szCs w:val="24"/>
        </w:rPr>
        <w:t>patient panel</w:t>
      </w:r>
      <w:r>
        <w:rPr>
          <w:szCs w:val="24"/>
        </w:rPr>
        <w:t xml:space="preserve"> includes all residents of Massachusetts that may receive a cancer diagnosis. The Applicant is pursuing this Proposed Project because it recognizes that there is a growing need for both inpatient medical oncology services and radiation therapy services in the Commonwealth. Through the Proposed Project, </w:t>
      </w:r>
      <w:r>
        <w:t>the Applicant further seeks to expand access to world-class</w:t>
      </w:r>
      <w:r w:rsidR="00EE220D">
        <w:t>, potentially life-saving</w:t>
      </w:r>
      <w:r>
        <w:t xml:space="preserve"> cancer care without a meaningful increase in cost, and </w:t>
      </w:r>
      <w:r>
        <w:rPr>
          <w:szCs w:val="24"/>
        </w:rPr>
        <w:t>without a meaningful impact on cost growth as noted above in Factor 1.a.iii. As discussed above, because the Proposed Project results in the transition of care of the sickest patients from one of the highest cost centers to more cost-effective cost centers, the Applicant anticipates a decrease in total medical expenses</w:t>
      </w:r>
      <w:r w:rsidR="00516A7B">
        <w:rPr>
          <w:szCs w:val="24"/>
        </w:rPr>
        <w:t xml:space="preserve"> in the Commonwealth</w:t>
      </w:r>
      <w:r>
        <w:rPr>
          <w:szCs w:val="24"/>
        </w:rPr>
        <w:t>.</w:t>
      </w:r>
    </w:p>
    <w:p w14:paraId="0696AAC0" w14:textId="77777777" w:rsidR="00132587" w:rsidRDefault="00132587" w:rsidP="00132587">
      <w:pPr>
        <w:pStyle w:val="RBUBullets"/>
        <w:spacing w:after="0"/>
      </w:pPr>
    </w:p>
    <w:p w14:paraId="5C048674" w14:textId="4179FF0C" w:rsidR="00100130" w:rsidRDefault="00785733" w:rsidP="00C16605">
      <w:pPr>
        <w:pStyle w:val="RBUBullets"/>
      </w:pPr>
      <w:r>
        <w:t>The Applicant plans to continue its preexisting efforts at containing health care costs in the Commonwealth. By way of example of these efforts, the Applicant has developed an alternative to emergency care</w:t>
      </w:r>
      <w:r w:rsidR="008B144E">
        <w:t>. The Applicant has no emergency department</w:t>
      </w:r>
      <w:r w:rsidR="00B63864">
        <w:t>. Emergency departments of general acute care hospitals generally do not have oncology subspecialty capabilities. Further, oncology patients unnecessary visiting emergency departments puts said patients at a greater risk of complications, given cancer patients’ susceptibility to communicable diseases.</w:t>
      </w:r>
      <w:r w:rsidR="00652D38">
        <w:rPr>
          <w:rStyle w:val="FootnoteReference"/>
        </w:rPr>
        <w:footnoteReference w:id="104"/>
      </w:r>
      <w:r w:rsidR="00652D38">
        <w:t xml:space="preserve"> In addition, emergency department visits are a</w:t>
      </w:r>
      <w:r>
        <w:t xml:space="preserve"> major source of health</w:t>
      </w:r>
      <w:r w:rsidR="00F25DC8">
        <w:t xml:space="preserve"> </w:t>
      </w:r>
      <w:r>
        <w:t>care resource utilization and costs</w:t>
      </w:r>
      <w:r w:rsidR="00652D38">
        <w:t xml:space="preserve">, </w:t>
      </w:r>
      <w:r w:rsidR="00006CA0">
        <w:t xml:space="preserve">including because </w:t>
      </w:r>
      <w:r w:rsidR="00EE7120">
        <w:t>emergency department visits often yield inpatient admissions that could have been avoided had the appropriate treatment been provided initially in the outpatient setting</w:t>
      </w:r>
      <w:r>
        <w:t>.</w:t>
      </w:r>
      <w:r w:rsidR="00241CAF">
        <w:rPr>
          <w:rStyle w:val="FootnoteReference"/>
        </w:rPr>
        <w:footnoteReference w:id="105"/>
      </w:r>
      <w:r w:rsidR="00996098">
        <w:t xml:space="preserve">As such, </w:t>
      </w:r>
      <w:r w:rsidR="00652D38">
        <w:t>the Applicant recognized that providing patients with an alternative to the emergency department could both increase the quality of care provided to cancer patients, while also reducing the cost.</w:t>
      </w:r>
      <w:r w:rsidR="00C62355">
        <w:t xml:space="preserve"> </w:t>
      </w:r>
      <w:r w:rsidR="00652D38">
        <w:t>T</w:t>
      </w:r>
      <w:r>
        <w:t>he Applicant</w:t>
      </w:r>
      <w:r w:rsidR="00652D38">
        <w:t>, therefore,</w:t>
      </w:r>
      <w:r>
        <w:t xml:space="preserve"> developed an oncology-specific acute care clinic that caters to urgent medical needs of cancer patients.</w:t>
      </w:r>
      <w:r w:rsidR="008B144E">
        <w:t xml:space="preserve"> </w:t>
      </w:r>
      <w:r w:rsidR="00006CA0" w:rsidRPr="00843106">
        <w:rPr>
          <w:color w:val="000000"/>
          <w:szCs w:val="24"/>
        </w:rPr>
        <w:t>A</w:t>
      </w:r>
      <w:r w:rsidR="00652D38">
        <w:rPr>
          <w:color w:val="000000"/>
          <w:szCs w:val="24"/>
        </w:rPr>
        <w:t xml:space="preserve"> published study assessing the impact of the clinic</w:t>
      </w:r>
      <w:r w:rsidR="009A7D84">
        <w:rPr>
          <w:color w:val="000000"/>
          <w:szCs w:val="24"/>
        </w:rPr>
        <w:t xml:space="preserve"> was completed using a</w:t>
      </w:r>
      <w:r w:rsidR="00006CA0" w:rsidRPr="00843106">
        <w:rPr>
          <w:color w:val="000000"/>
          <w:szCs w:val="24"/>
        </w:rPr>
        <w:t xml:space="preserve"> retrospective analysis of </w:t>
      </w:r>
      <w:r w:rsidR="009A7D84">
        <w:rPr>
          <w:color w:val="000000"/>
          <w:szCs w:val="24"/>
        </w:rPr>
        <w:t>four</w:t>
      </w:r>
      <w:r w:rsidR="00006CA0" w:rsidRPr="00843106">
        <w:rPr>
          <w:color w:val="000000"/>
          <w:szCs w:val="24"/>
        </w:rPr>
        <w:t xml:space="preserve"> months pre- and post-</w:t>
      </w:r>
      <w:r w:rsidR="009A7D84">
        <w:rPr>
          <w:color w:val="000000"/>
          <w:szCs w:val="24"/>
        </w:rPr>
        <w:t>opening of the clinic, looking at patient emergency department visits and subsequent hospitalizations for patients</w:t>
      </w:r>
      <w:r w:rsidR="00006CA0" w:rsidRPr="00843106">
        <w:rPr>
          <w:color w:val="000000"/>
          <w:szCs w:val="24"/>
        </w:rPr>
        <w:t>.</w:t>
      </w:r>
      <w:r w:rsidR="009A7D84" w:rsidRPr="009A7D84">
        <w:rPr>
          <w:rStyle w:val="FootnoteReference"/>
        </w:rPr>
        <w:t xml:space="preserve"> </w:t>
      </w:r>
      <w:r w:rsidR="009A7D84">
        <w:rPr>
          <w:rStyle w:val="FootnoteReference"/>
        </w:rPr>
        <w:footnoteReference w:id="106"/>
      </w:r>
      <w:r w:rsidR="009A7D84">
        <w:t xml:space="preserve">  The study found that the </w:t>
      </w:r>
      <w:r w:rsidR="00D07859">
        <w:t>impact of the acute care clinic found that it resulted in a</w:t>
      </w:r>
      <w:r w:rsidR="00732447">
        <w:t>n approximately 20% reduction in emergency department visits</w:t>
      </w:r>
      <w:r w:rsidR="00D07859">
        <w:t xml:space="preserve"> and less care in acute care settings, including double the proportion of patients discharged to home and approximately one-fifth the proportion of patients admitted to an inpatient bed.</w:t>
      </w:r>
      <w:r>
        <w:rPr>
          <w:rStyle w:val="FootnoteReference"/>
        </w:rPr>
        <w:footnoteReference w:id="107"/>
      </w:r>
      <w:r w:rsidR="00826383">
        <w:t xml:space="preserve">  </w:t>
      </w:r>
    </w:p>
    <w:p w14:paraId="578C0A9C" w14:textId="639BC295" w:rsidR="00B63864" w:rsidRPr="00584E13" w:rsidRDefault="0097008A" w:rsidP="00584E13">
      <w:pPr>
        <w:pStyle w:val="RBUBullets"/>
      </w:pPr>
      <w:r w:rsidRPr="0097008A">
        <w:rPr>
          <w:rFonts w:ascii="TimesNewRoman" w:hAnsi="TimesNewRoman"/>
          <w:szCs w:val="24"/>
        </w:rPr>
        <w:lastRenderedPageBreak/>
        <w:t>As a further example of the Applicant’s efforts to extend care beyond inpatient academic hospitals, the Applicant has instituted a “Shared Care” model, which allows patients to be seen locally in their communities for follow-up care after receiving allogenic hematopoietic cell transplantation from the Applicant. This program has the opportunity to help reduce reliance on academic hospitals in Boston and promotes the provision of cost-effective care within local community hospitals.</w:t>
      </w:r>
      <w:r>
        <w:rPr>
          <w:rFonts w:ascii="TimesNewRoman" w:hAnsi="TimesNewRoman"/>
          <w:szCs w:val="24"/>
        </w:rPr>
        <w:t xml:space="preserve"> </w:t>
      </w:r>
      <w:r w:rsidR="00CC4F3A">
        <w:t xml:space="preserve">Similarly, the Applicant’s </w:t>
      </w:r>
      <w:r w:rsidR="00584E13">
        <w:t xml:space="preserve">efforts to bring cancer screening into underserved communities (including through the initiatives discussed in more detail in Section </w:t>
      </w:r>
      <w:r w:rsidR="00584E13">
        <w:rPr>
          <w:u w:val="single"/>
        </w:rPr>
        <w:t>F2.c.</w:t>
      </w:r>
      <w:r w:rsidR="00584E13" w:rsidRPr="00584E13">
        <w:t>)</w:t>
      </w:r>
      <w:r w:rsidR="00584E13">
        <w:t xml:space="preserve"> can </w:t>
      </w:r>
      <w:r w:rsidR="00B63864" w:rsidRPr="00132587">
        <w:rPr>
          <w:szCs w:val="24"/>
        </w:rPr>
        <w:t>provide additional cost savings</w:t>
      </w:r>
      <w:r w:rsidR="00B63864">
        <w:rPr>
          <w:szCs w:val="24"/>
        </w:rPr>
        <w:t xml:space="preserve"> </w:t>
      </w:r>
      <w:r w:rsidR="00B63864" w:rsidRPr="00132587">
        <w:rPr>
          <w:szCs w:val="24"/>
        </w:rPr>
        <w:t>through earlier diagnosis and intervention and decreased variation in acute care utilization. Acute care utilization is the single largest driver of regional spending variation in oncology care, accounting for 48% of spending and 67% of variatio</w:t>
      </w:r>
      <w:r w:rsidR="00B63864">
        <w:rPr>
          <w:szCs w:val="24"/>
        </w:rPr>
        <w:t>n</w:t>
      </w:r>
      <w:r w:rsidR="00B63864" w:rsidRPr="00132587">
        <w:rPr>
          <w:szCs w:val="24"/>
        </w:rPr>
        <w:t>.</w:t>
      </w:r>
      <w:r w:rsidR="00B63864">
        <w:rPr>
          <w:rStyle w:val="FootnoteReference"/>
          <w:szCs w:val="24"/>
        </w:rPr>
        <w:footnoteReference w:id="108"/>
      </w:r>
      <w:r w:rsidR="00B63864">
        <w:rPr>
          <w:szCs w:val="24"/>
        </w:rPr>
        <w:t xml:space="preserve"> Further, in a study r</w:t>
      </w:r>
      <w:r w:rsidR="00B63864" w:rsidRPr="00132587">
        <w:rPr>
          <w:szCs w:val="24"/>
        </w:rPr>
        <w:t>eviewing cost of care for breast cancer</w:t>
      </w:r>
      <w:r w:rsidR="00B63864">
        <w:rPr>
          <w:szCs w:val="24"/>
        </w:rPr>
        <w:t>, which included</w:t>
      </w:r>
      <w:r w:rsidR="00B63864" w:rsidRPr="00132587">
        <w:rPr>
          <w:szCs w:val="24"/>
        </w:rPr>
        <w:t xml:space="preserve"> </w:t>
      </w:r>
      <w:r w:rsidR="00B63864">
        <w:rPr>
          <w:szCs w:val="24"/>
        </w:rPr>
        <w:t>two</w:t>
      </w:r>
      <w:r w:rsidR="00B63864" w:rsidRPr="00132587">
        <w:rPr>
          <w:szCs w:val="24"/>
        </w:rPr>
        <w:t xml:space="preserve"> years of post-diagnosis claims data analyzed by stage at diagnosis</w:t>
      </w:r>
      <w:r w:rsidR="00B63864">
        <w:rPr>
          <w:szCs w:val="24"/>
        </w:rPr>
        <w:t>, r</w:t>
      </w:r>
      <w:r w:rsidR="00B63864" w:rsidRPr="00132587">
        <w:rPr>
          <w:szCs w:val="24"/>
        </w:rPr>
        <w:t xml:space="preserve">esearchers found that </w:t>
      </w:r>
      <w:r w:rsidR="00B63864">
        <w:rPr>
          <w:szCs w:val="24"/>
        </w:rPr>
        <w:t xml:space="preserve">the </w:t>
      </w:r>
      <w:r w:rsidR="00B63864" w:rsidRPr="00132587">
        <w:rPr>
          <w:szCs w:val="24"/>
        </w:rPr>
        <w:t xml:space="preserve">average cost per patient at disease stages </w:t>
      </w:r>
      <w:r w:rsidR="00B63864">
        <w:rPr>
          <w:szCs w:val="24"/>
        </w:rPr>
        <w:t>III</w:t>
      </w:r>
      <w:r w:rsidR="00B63864" w:rsidRPr="00132587">
        <w:rPr>
          <w:szCs w:val="24"/>
        </w:rPr>
        <w:t xml:space="preserve"> </w:t>
      </w:r>
      <w:r w:rsidR="00B63864">
        <w:rPr>
          <w:szCs w:val="24"/>
        </w:rPr>
        <w:t>and IV</w:t>
      </w:r>
      <w:r w:rsidR="00B63864" w:rsidRPr="00132587">
        <w:rPr>
          <w:szCs w:val="24"/>
        </w:rPr>
        <w:t xml:space="preserve"> were between 64% and 154% higher than</w:t>
      </w:r>
      <w:r w:rsidR="00B63864">
        <w:rPr>
          <w:szCs w:val="24"/>
        </w:rPr>
        <w:t xml:space="preserve"> the cost of</w:t>
      </w:r>
      <w:r w:rsidR="00B63864" w:rsidRPr="00132587">
        <w:rPr>
          <w:szCs w:val="24"/>
        </w:rPr>
        <w:t xml:space="preserve"> those</w:t>
      </w:r>
      <w:r w:rsidR="00B63864">
        <w:rPr>
          <w:szCs w:val="24"/>
        </w:rPr>
        <w:t xml:space="preserve"> patients</w:t>
      </w:r>
      <w:r w:rsidR="00B63864" w:rsidRPr="00132587">
        <w:rPr>
          <w:szCs w:val="24"/>
        </w:rPr>
        <w:t xml:space="preserve"> treated at Stage </w:t>
      </w:r>
      <w:r w:rsidR="00B63864">
        <w:rPr>
          <w:szCs w:val="24"/>
        </w:rPr>
        <w:t>0</w:t>
      </w:r>
      <w:r w:rsidR="00B63864" w:rsidRPr="00132587">
        <w:rPr>
          <w:szCs w:val="24"/>
        </w:rPr>
        <w:t xml:space="preserve">, </w:t>
      </w:r>
      <w:r w:rsidR="00B63864">
        <w:rPr>
          <w:szCs w:val="24"/>
        </w:rPr>
        <w:t>I and II.</w:t>
      </w:r>
      <w:r w:rsidR="00B63864">
        <w:rPr>
          <w:rStyle w:val="FootnoteReference"/>
          <w:szCs w:val="24"/>
        </w:rPr>
        <w:footnoteReference w:id="109"/>
      </w:r>
    </w:p>
    <w:p w14:paraId="5C98A9AA" w14:textId="4064D27E" w:rsidR="00B63864" w:rsidRDefault="00B63864" w:rsidP="00C16605">
      <w:pPr>
        <w:pStyle w:val="RBUBullets"/>
        <w:sectPr w:rsidR="00B63864">
          <w:pgSz w:w="12240" w:h="15840"/>
          <w:pgMar w:top="1440" w:right="1440" w:bottom="1440" w:left="1440" w:header="720" w:footer="720" w:gutter="0"/>
          <w:cols w:space="720"/>
          <w:docGrid w:linePitch="360"/>
        </w:sectPr>
      </w:pPr>
    </w:p>
    <w:p w14:paraId="67B1D478" w14:textId="77777777" w:rsidR="00886CCD" w:rsidRPr="00FA1DD3" w:rsidRDefault="00886CCD" w:rsidP="00886CCD">
      <w:pPr>
        <w:jc w:val="both"/>
        <w:rPr>
          <w:b/>
          <w:szCs w:val="24"/>
          <w:u w:val="single"/>
        </w:rPr>
      </w:pPr>
      <w:r w:rsidRPr="00FA1DD3">
        <w:rPr>
          <w:b/>
          <w:szCs w:val="24"/>
          <w:u w:val="single"/>
        </w:rPr>
        <w:lastRenderedPageBreak/>
        <w:t>F2.b. Public Health Outcomes</w:t>
      </w:r>
    </w:p>
    <w:p w14:paraId="2C30E725" w14:textId="77777777" w:rsidR="00886CCD" w:rsidRPr="00FA1DD3" w:rsidRDefault="00886CCD" w:rsidP="003E5FD4">
      <w:pPr>
        <w:jc w:val="both"/>
        <w:rPr>
          <w:b/>
          <w:szCs w:val="24"/>
        </w:rPr>
      </w:pPr>
      <w:r w:rsidRPr="00FA1DD3">
        <w:rPr>
          <w:b/>
          <w:szCs w:val="24"/>
        </w:rPr>
        <w:t>Describe, as relevant, for each new or expanded service, how the Proposed Project will improve public health outcomes.</w:t>
      </w:r>
    </w:p>
    <w:p w14:paraId="6B205154" w14:textId="77777777" w:rsidR="00886CCD" w:rsidRPr="00FA1DD3" w:rsidRDefault="00886CCD" w:rsidP="00886CCD">
      <w:pPr>
        <w:ind w:left="720"/>
        <w:jc w:val="both"/>
        <w:rPr>
          <w:b/>
          <w:szCs w:val="24"/>
        </w:rPr>
      </w:pPr>
    </w:p>
    <w:p w14:paraId="76F03461" w14:textId="25CA61D6" w:rsidR="00B63864" w:rsidRDefault="00B63864" w:rsidP="00B63864">
      <w:pPr>
        <w:pStyle w:val="RBUBullets"/>
        <w:spacing w:after="0"/>
        <w:rPr>
          <w:szCs w:val="24"/>
        </w:rPr>
      </w:pPr>
      <w:r>
        <w:rPr>
          <w:szCs w:val="24"/>
        </w:rPr>
        <w:t xml:space="preserve">The Proposed Project will increase the accessibility of inpatient medical oncology services and radiation therapy services for Massachusetts residents, especially for the highest acuity patients with the most complex diagnoses. As a result of such increased accessibility, </w:t>
      </w:r>
      <w:r w:rsidRPr="00132587">
        <w:rPr>
          <w:szCs w:val="24"/>
        </w:rPr>
        <w:t>the Proposed Project will</w:t>
      </w:r>
      <w:r>
        <w:rPr>
          <w:szCs w:val="24"/>
        </w:rPr>
        <w:t xml:space="preserve"> improve quality of life and save patient lives. </w:t>
      </w:r>
    </w:p>
    <w:p w14:paraId="27A29A53" w14:textId="77777777" w:rsidR="00B63864" w:rsidRDefault="00B63864" w:rsidP="00886CCD">
      <w:pPr>
        <w:tabs>
          <w:tab w:val="left" w:pos="720"/>
        </w:tabs>
        <w:jc w:val="both"/>
        <w:rPr>
          <w:bCs/>
          <w:szCs w:val="24"/>
        </w:rPr>
      </w:pPr>
    </w:p>
    <w:p w14:paraId="51DCEA04" w14:textId="67A28BD3" w:rsidR="00886CCD" w:rsidRDefault="00B63864" w:rsidP="00886CCD">
      <w:pPr>
        <w:tabs>
          <w:tab w:val="left" w:pos="720"/>
        </w:tabs>
        <w:jc w:val="both"/>
        <w:rPr>
          <w:bCs/>
          <w:szCs w:val="24"/>
        </w:rPr>
      </w:pPr>
      <w:r>
        <w:rPr>
          <w:bCs/>
          <w:szCs w:val="24"/>
        </w:rPr>
        <w:t>Specifically, t</w:t>
      </w:r>
      <w:r w:rsidR="00886CCD">
        <w:rPr>
          <w:bCs/>
          <w:szCs w:val="24"/>
        </w:rPr>
        <w:t>he Proposed Project</w:t>
      </w:r>
      <w:r w:rsidR="002B4FEE">
        <w:rPr>
          <w:bCs/>
          <w:szCs w:val="24"/>
        </w:rPr>
        <w:t xml:space="preserve"> </w:t>
      </w:r>
      <w:r w:rsidR="00BC1F17">
        <w:rPr>
          <w:bCs/>
          <w:szCs w:val="24"/>
        </w:rPr>
        <w:t>w</w:t>
      </w:r>
      <w:r w:rsidR="00886CCD">
        <w:rPr>
          <w:bCs/>
          <w:szCs w:val="24"/>
        </w:rPr>
        <w:t>ill enhance oncology services in Massachusetts, offering residents</w:t>
      </w:r>
      <w:r w:rsidR="00C277B3">
        <w:rPr>
          <w:bCs/>
          <w:szCs w:val="24"/>
        </w:rPr>
        <w:t xml:space="preserve"> greater access to the</w:t>
      </w:r>
      <w:r w:rsidR="00886CCD">
        <w:rPr>
          <w:bCs/>
          <w:szCs w:val="24"/>
        </w:rPr>
        <w:t xml:space="preserve"> </w:t>
      </w:r>
      <w:r w:rsidR="00C277B3">
        <w:rPr>
          <w:bCs/>
          <w:szCs w:val="24"/>
        </w:rPr>
        <w:t xml:space="preserve">high quality, cutting-edge inpatient </w:t>
      </w:r>
      <w:r w:rsidR="001820B6">
        <w:rPr>
          <w:bCs/>
          <w:szCs w:val="24"/>
        </w:rPr>
        <w:t xml:space="preserve">medical </w:t>
      </w:r>
      <w:r w:rsidR="00A72DED">
        <w:rPr>
          <w:bCs/>
          <w:szCs w:val="24"/>
        </w:rPr>
        <w:t>oncology,</w:t>
      </w:r>
      <w:r w:rsidR="00C277B3">
        <w:rPr>
          <w:bCs/>
          <w:szCs w:val="24"/>
        </w:rPr>
        <w:t xml:space="preserve"> and radiation therapy services</w:t>
      </w:r>
      <w:r w:rsidR="00A6518C">
        <w:rPr>
          <w:bCs/>
          <w:szCs w:val="24"/>
        </w:rPr>
        <w:t xml:space="preserve"> by expanding the number of beds and equipment available to the Applicant to meet the needs for these services</w:t>
      </w:r>
      <w:r w:rsidR="00BC1F17">
        <w:rPr>
          <w:bCs/>
          <w:szCs w:val="24"/>
        </w:rPr>
        <w:t xml:space="preserve"> and</w:t>
      </w:r>
      <w:r w:rsidR="007C4653">
        <w:rPr>
          <w:bCs/>
          <w:szCs w:val="24"/>
        </w:rPr>
        <w:t xml:space="preserve"> </w:t>
      </w:r>
      <w:r w:rsidR="00BC1F17">
        <w:rPr>
          <w:bCs/>
          <w:szCs w:val="24"/>
        </w:rPr>
        <w:t xml:space="preserve">keep </w:t>
      </w:r>
      <w:r w:rsidR="003939A2">
        <w:rPr>
          <w:bCs/>
          <w:szCs w:val="24"/>
        </w:rPr>
        <w:t>patients out of the emergency room</w:t>
      </w:r>
      <w:r w:rsidR="00BC1F17">
        <w:rPr>
          <w:bCs/>
          <w:szCs w:val="24"/>
        </w:rPr>
        <w:t xml:space="preserve">, as further outlined in Factor 1.b.ii and Factor 1.b.iii. </w:t>
      </w:r>
    </w:p>
    <w:p w14:paraId="1A7263A5" w14:textId="3165828A" w:rsidR="007C4653" w:rsidRDefault="007C4653" w:rsidP="00886CCD">
      <w:pPr>
        <w:tabs>
          <w:tab w:val="left" w:pos="720"/>
        </w:tabs>
        <w:jc w:val="both"/>
        <w:rPr>
          <w:bCs/>
          <w:szCs w:val="24"/>
        </w:rPr>
      </w:pPr>
    </w:p>
    <w:p w14:paraId="411E5BF0" w14:textId="2F730942" w:rsidR="00370520" w:rsidRPr="00807CD0" w:rsidRDefault="00370520" w:rsidP="00370520">
      <w:pPr>
        <w:pStyle w:val="RBUBullets"/>
        <w:rPr>
          <w:bCs/>
          <w:szCs w:val="24"/>
        </w:rPr>
      </w:pPr>
      <w:r>
        <w:rPr>
          <w:bCs/>
          <w:szCs w:val="24"/>
        </w:rPr>
        <w:t>T</w:t>
      </w:r>
      <w:r w:rsidRPr="00807CD0">
        <w:rPr>
          <w:bCs/>
          <w:szCs w:val="24"/>
        </w:rPr>
        <w:t xml:space="preserve">he Applicant is focused </w:t>
      </w:r>
      <w:r>
        <w:rPr>
          <w:bCs/>
          <w:szCs w:val="24"/>
        </w:rPr>
        <w:t>on providing care across</w:t>
      </w:r>
      <w:r w:rsidRPr="00807CD0">
        <w:rPr>
          <w:bCs/>
          <w:szCs w:val="24"/>
        </w:rPr>
        <w:t xml:space="preserve"> the entire cancer care continuum</w:t>
      </w:r>
      <w:r>
        <w:rPr>
          <w:bCs/>
          <w:szCs w:val="24"/>
        </w:rPr>
        <w:t>. T</w:t>
      </w:r>
      <w:r w:rsidRPr="00807CD0">
        <w:rPr>
          <w:bCs/>
          <w:szCs w:val="24"/>
        </w:rPr>
        <w:t xml:space="preserve">his perspective allows the </w:t>
      </w:r>
      <w:r>
        <w:rPr>
          <w:bCs/>
          <w:szCs w:val="24"/>
        </w:rPr>
        <w:t>A</w:t>
      </w:r>
      <w:r w:rsidRPr="00807CD0">
        <w:rPr>
          <w:bCs/>
          <w:szCs w:val="24"/>
        </w:rPr>
        <w:t xml:space="preserve">pplicant to focus </w:t>
      </w:r>
      <w:r>
        <w:rPr>
          <w:bCs/>
          <w:szCs w:val="24"/>
        </w:rPr>
        <w:t>on</w:t>
      </w:r>
      <w:r w:rsidRPr="00807CD0">
        <w:rPr>
          <w:bCs/>
          <w:szCs w:val="24"/>
        </w:rPr>
        <w:t xml:space="preserve"> opportunities for innovation, improve delivery and efficiency of care, and disseminate this knowledge to the broader oncology community to improve outcomes for cancer patients world-wide. The Proposed Project will have a direct impact upon public health outcomes by expanding the availability and access to this type of highly specialized and focused care</w:t>
      </w:r>
      <w:r>
        <w:rPr>
          <w:bCs/>
          <w:szCs w:val="24"/>
        </w:rPr>
        <w:t>, as well as improving access to clinical trials</w:t>
      </w:r>
      <w:r w:rsidRPr="00807CD0">
        <w:rPr>
          <w:bCs/>
          <w:szCs w:val="24"/>
        </w:rPr>
        <w:t xml:space="preserve">. </w:t>
      </w:r>
      <w:r>
        <w:rPr>
          <w:bCs/>
          <w:szCs w:val="24"/>
        </w:rPr>
        <w:t xml:space="preserve">Furthermore, data support that risk-adjusted outcomes for patients with </w:t>
      </w:r>
      <w:r w:rsidRPr="00807CD0">
        <w:rPr>
          <w:bCs/>
          <w:szCs w:val="24"/>
        </w:rPr>
        <w:t>cancer treated at dedicated cancer hospitals</w:t>
      </w:r>
      <w:r>
        <w:rPr>
          <w:bCs/>
          <w:szCs w:val="24"/>
        </w:rPr>
        <w:t xml:space="preserve"> (including of the type the Applicant is proposing as the Project) </w:t>
      </w:r>
      <w:r w:rsidRPr="00807CD0">
        <w:rPr>
          <w:bCs/>
          <w:szCs w:val="24"/>
        </w:rPr>
        <w:t>are superior to the outcomes of patients treated at other facilities</w:t>
      </w:r>
      <w:r>
        <w:rPr>
          <w:bCs/>
          <w:szCs w:val="24"/>
        </w:rPr>
        <w:t>,</w:t>
      </w:r>
      <w:r w:rsidRPr="00807CD0">
        <w:rPr>
          <w:bCs/>
          <w:szCs w:val="24"/>
        </w:rPr>
        <w:t xml:space="preserve"> including NCI-designated cancer hospitals and academic medical centers</w:t>
      </w:r>
      <w:r>
        <w:rPr>
          <w:bCs/>
          <w:szCs w:val="24"/>
        </w:rPr>
        <w:t>.</w:t>
      </w:r>
      <w:r w:rsidRPr="00807CD0">
        <w:rPr>
          <w:rStyle w:val="FootnoteReference"/>
          <w:bCs/>
          <w:szCs w:val="24"/>
        </w:rPr>
        <w:footnoteReference w:id="110"/>
      </w:r>
    </w:p>
    <w:p w14:paraId="660B6FD8" w14:textId="73B8C299" w:rsidR="00886CCD" w:rsidRPr="000D5C17" w:rsidRDefault="0037201E" w:rsidP="000D5C17">
      <w:pPr>
        <w:pStyle w:val="RBUBullets"/>
        <w:rPr>
          <w:bCs/>
          <w:szCs w:val="24"/>
        </w:rPr>
        <w:sectPr w:rsidR="00886CCD" w:rsidRPr="000D5C17">
          <w:pgSz w:w="12240" w:h="15840"/>
          <w:pgMar w:top="1440" w:right="1440" w:bottom="1440" w:left="1440" w:header="720" w:footer="720" w:gutter="0"/>
          <w:cols w:space="720"/>
          <w:docGrid w:linePitch="360"/>
        </w:sectPr>
      </w:pPr>
      <w:r w:rsidRPr="00807CD0">
        <w:rPr>
          <w:bCs/>
          <w:szCs w:val="24"/>
        </w:rPr>
        <w:t xml:space="preserve">Furthermore, the </w:t>
      </w:r>
      <w:r w:rsidR="00893207">
        <w:rPr>
          <w:bCs/>
          <w:szCs w:val="24"/>
        </w:rPr>
        <w:t>P</w:t>
      </w:r>
      <w:r w:rsidRPr="00807CD0">
        <w:rPr>
          <w:bCs/>
          <w:szCs w:val="24"/>
        </w:rPr>
        <w:t xml:space="preserve">roposed </w:t>
      </w:r>
      <w:r w:rsidR="00893207">
        <w:rPr>
          <w:bCs/>
          <w:szCs w:val="24"/>
        </w:rPr>
        <w:t>P</w:t>
      </w:r>
      <w:r w:rsidRPr="00807CD0">
        <w:rPr>
          <w:bCs/>
          <w:szCs w:val="24"/>
        </w:rPr>
        <w:t xml:space="preserve">roject will have the downstream effect of increasing the likelihood of patients getting to the right treatment, in </w:t>
      </w:r>
      <w:r w:rsidR="007E49B7">
        <w:rPr>
          <w:bCs/>
          <w:szCs w:val="24"/>
        </w:rPr>
        <w:t>the appropriate</w:t>
      </w:r>
      <w:r w:rsidRPr="00807CD0">
        <w:rPr>
          <w:bCs/>
          <w:szCs w:val="24"/>
        </w:rPr>
        <w:t xml:space="preserve"> setting</w:t>
      </w:r>
      <w:r w:rsidR="007E49B7">
        <w:rPr>
          <w:bCs/>
          <w:szCs w:val="24"/>
        </w:rPr>
        <w:t>,</w:t>
      </w:r>
      <w:r w:rsidRPr="00807CD0">
        <w:rPr>
          <w:bCs/>
          <w:szCs w:val="24"/>
        </w:rPr>
        <w:t xml:space="preserve"> at the </w:t>
      </w:r>
      <w:r w:rsidR="007E49B7">
        <w:rPr>
          <w:bCs/>
          <w:szCs w:val="24"/>
        </w:rPr>
        <w:t>optimal</w:t>
      </w:r>
      <w:r w:rsidRPr="00807CD0">
        <w:rPr>
          <w:bCs/>
          <w:szCs w:val="24"/>
        </w:rPr>
        <w:t xml:space="preserve"> time. Increased inpatient capacity will mean more timely care. Delays in cancer care have been associated with poor outcomes and increased mortality.</w:t>
      </w:r>
      <w:r w:rsidR="001A498F">
        <w:rPr>
          <w:rStyle w:val="FootnoteReference"/>
          <w:bCs/>
          <w:szCs w:val="24"/>
        </w:rPr>
        <w:footnoteReference w:id="111"/>
      </w:r>
      <w:r w:rsidRPr="00807CD0">
        <w:rPr>
          <w:bCs/>
          <w:szCs w:val="24"/>
        </w:rPr>
        <w:t xml:space="preserve"> As a result of the Proposed Project, </w:t>
      </w:r>
      <w:r w:rsidR="00605A99">
        <w:rPr>
          <w:bCs/>
          <w:szCs w:val="24"/>
        </w:rPr>
        <w:t>fewer</w:t>
      </w:r>
      <w:r w:rsidRPr="00807CD0">
        <w:rPr>
          <w:bCs/>
          <w:szCs w:val="24"/>
        </w:rPr>
        <w:t xml:space="preserve"> people will </w:t>
      </w:r>
      <w:r w:rsidR="00605A99">
        <w:rPr>
          <w:bCs/>
          <w:szCs w:val="24"/>
        </w:rPr>
        <w:t xml:space="preserve">be awaiting </w:t>
      </w:r>
      <w:r w:rsidRPr="00807CD0">
        <w:rPr>
          <w:bCs/>
          <w:szCs w:val="24"/>
        </w:rPr>
        <w:t xml:space="preserve">tertiary-level care. The proposed number of LINACs </w:t>
      </w:r>
      <w:r w:rsidR="00605A99">
        <w:rPr>
          <w:bCs/>
          <w:szCs w:val="24"/>
        </w:rPr>
        <w:t xml:space="preserve">also </w:t>
      </w:r>
      <w:r w:rsidRPr="00807CD0">
        <w:rPr>
          <w:bCs/>
          <w:szCs w:val="24"/>
        </w:rPr>
        <w:t>will</w:t>
      </w:r>
      <w:r w:rsidR="00605A99">
        <w:rPr>
          <w:bCs/>
          <w:szCs w:val="24"/>
        </w:rPr>
        <w:t xml:space="preserve"> </w:t>
      </w:r>
      <w:r w:rsidRPr="00807CD0">
        <w:rPr>
          <w:bCs/>
          <w:szCs w:val="24"/>
        </w:rPr>
        <w:t xml:space="preserve">ensure </w:t>
      </w:r>
      <w:r w:rsidR="00605A99">
        <w:rPr>
          <w:bCs/>
          <w:szCs w:val="24"/>
        </w:rPr>
        <w:t>fewer</w:t>
      </w:r>
      <w:r w:rsidRPr="00807CD0">
        <w:rPr>
          <w:bCs/>
          <w:szCs w:val="24"/>
        </w:rPr>
        <w:t xml:space="preserve"> people are waiting for radiation oncology services. Furthermore, </w:t>
      </w:r>
      <w:r w:rsidR="00605A99">
        <w:rPr>
          <w:bCs/>
          <w:szCs w:val="24"/>
        </w:rPr>
        <w:t>the Applicant</w:t>
      </w:r>
      <w:r w:rsidRPr="00807CD0">
        <w:rPr>
          <w:bCs/>
          <w:szCs w:val="24"/>
        </w:rPr>
        <w:t xml:space="preserve"> anticipate</w:t>
      </w:r>
      <w:r w:rsidR="000D13AC">
        <w:rPr>
          <w:bCs/>
          <w:szCs w:val="24"/>
        </w:rPr>
        <w:t>s</w:t>
      </w:r>
      <w:r w:rsidRPr="00807CD0">
        <w:rPr>
          <w:bCs/>
          <w:szCs w:val="24"/>
        </w:rPr>
        <w:t xml:space="preserve"> that the downstream effect of more inpatient bed availability will translate into </w:t>
      </w:r>
      <w:r w:rsidR="00F71F29">
        <w:rPr>
          <w:bCs/>
          <w:szCs w:val="24"/>
        </w:rPr>
        <w:t>fewer</w:t>
      </w:r>
      <w:r w:rsidRPr="00807CD0">
        <w:rPr>
          <w:bCs/>
          <w:szCs w:val="24"/>
        </w:rPr>
        <w:t xml:space="preserve"> patients boarding </w:t>
      </w:r>
      <w:r w:rsidR="00746128">
        <w:rPr>
          <w:bCs/>
          <w:szCs w:val="24"/>
        </w:rPr>
        <w:t xml:space="preserve">in </w:t>
      </w:r>
      <w:r w:rsidRPr="00807CD0">
        <w:rPr>
          <w:bCs/>
          <w:szCs w:val="24"/>
        </w:rPr>
        <w:t>the emergency department.</w:t>
      </w:r>
      <w:r w:rsidR="00FC677C">
        <w:rPr>
          <w:bCs/>
          <w:szCs w:val="24"/>
        </w:rPr>
        <w:t xml:space="preserve"> </w:t>
      </w:r>
      <w:r w:rsidRPr="00807CD0">
        <w:rPr>
          <w:bCs/>
          <w:szCs w:val="24"/>
        </w:rPr>
        <w:t xml:space="preserve">Emergency department boarding </w:t>
      </w:r>
      <w:r w:rsidR="00605A99">
        <w:rPr>
          <w:bCs/>
          <w:szCs w:val="24"/>
        </w:rPr>
        <w:t xml:space="preserve">is </w:t>
      </w:r>
      <w:r w:rsidRPr="00807CD0">
        <w:rPr>
          <w:bCs/>
          <w:szCs w:val="24"/>
        </w:rPr>
        <w:t>associated with</w:t>
      </w:r>
      <w:r w:rsidR="00605A99">
        <w:rPr>
          <w:bCs/>
          <w:szCs w:val="24"/>
        </w:rPr>
        <w:t xml:space="preserve"> </w:t>
      </w:r>
      <w:r w:rsidRPr="00807CD0">
        <w:rPr>
          <w:bCs/>
          <w:szCs w:val="24"/>
        </w:rPr>
        <w:t>negative patient-related outcomes including</w:t>
      </w:r>
      <w:r w:rsidR="00605A99">
        <w:rPr>
          <w:bCs/>
          <w:szCs w:val="24"/>
        </w:rPr>
        <w:t>,</w:t>
      </w:r>
      <w:r w:rsidRPr="00807CD0">
        <w:rPr>
          <w:bCs/>
          <w:szCs w:val="24"/>
        </w:rPr>
        <w:t xml:space="preserve"> lower patient satisfaction, delayed time to medication and treatment, higher complication rates</w:t>
      </w:r>
      <w:r w:rsidR="00496A8B">
        <w:rPr>
          <w:bCs/>
          <w:szCs w:val="24"/>
        </w:rPr>
        <w:t>,</w:t>
      </w:r>
      <w:r w:rsidRPr="00807CD0">
        <w:rPr>
          <w:bCs/>
          <w:szCs w:val="24"/>
        </w:rPr>
        <w:t xml:space="preserve"> and higher inpatient mortality rates.</w:t>
      </w:r>
      <w:r w:rsidR="009718A3">
        <w:rPr>
          <w:rStyle w:val="FootnoteReference"/>
          <w:bCs/>
          <w:szCs w:val="24"/>
        </w:rPr>
        <w:footnoteReference w:id="112"/>
      </w:r>
      <w:r w:rsidR="00FC677C">
        <w:rPr>
          <w:bCs/>
          <w:szCs w:val="24"/>
        </w:rPr>
        <w:t xml:space="preserve"> T</w:t>
      </w:r>
      <w:r w:rsidR="00FC677C">
        <w:rPr>
          <w:rFonts w:eastAsia="Times New Roman"/>
          <w:lang w:eastAsia="ja-JP"/>
        </w:rPr>
        <w:t xml:space="preserve">he Proposed Project will increase inpatient </w:t>
      </w:r>
      <w:r w:rsidR="006B3EE2">
        <w:rPr>
          <w:rFonts w:eastAsia="Times New Roman"/>
          <w:lang w:eastAsia="ja-JP"/>
        </w:rPr>
        <w:t xml:space="preserve">adult cancer care </w:t>
      </w:r>
      <w:r w:rsidR="00FC677C">
        <w:rPr>
          <w:rFonts w:eastAsia="Times New Roman"/>
          <w:lang w:eastAsia="ja-JP"/>
        </w:rPr>
        <w:t>bed capacity and alleviate</w:t>
      </w:r>
      <w:r w:rsidR="006B3EE2">
        <w:rPr>
          <w:rFonts w:eastAsia="Times New Roman"/>
          <w:lang w:eastAsia="ja-JP"/>
        </w:rPr>
        <w:t xml:space="preserve"> boarding in the</w:t>
      </w:r>
      <w:r w:rsidR="00FC677C">
        <w:rPr>
          <w:rFonts w:eastAsia="Times New Roman"/>
          <w:lang w:eastAsia="ja-JP"/>
        </w:rPr>
        <w:t xml:space="preserve"> emergency department by making beds available to oncology patients that need them</w:t>
      </w:r>
      <w:r w:rsidR="006B3EE2">
        <w:rPr>
          <w:rFonts w:eastAsia="Times New Roman"/>
          <w:lang w:eastAsia="ja-JP"/>
        </w:rPr>
        <w:t>.</w:t>
      </w:r>
      <w:r w:rsidR="009718A3">
        <w:rPr>
          <w:bCs/>
          <w:szCs w:val="24"/>
        </w:rPr>
        <w:t xml:space="preserve"> </w:t>
      </w:r>
      <w:r w:rsidR="00F71F29">
        <w:rPr>
          <w:bCs/>
          <w:szCs w:val="24"/>
        </w:rPr>
        <w:t>Fewer</w:t>
      </w:r>
      <w:r w:rsidRPr="00807CD0">
        <w:rPr>
          <w:bCs/>
          <w:szCs w:val="24"/>
        </w:rPr>
        <w:t xml:space="preserve"> patients boarding in the emergency department will increase the availability of emergency department resources for the appropriate and timely delivery of emergency care services for patients seeking care for myocardial infarction, stroke, trauma</w:t>
      </w:r>
      <w:r w:rsidR="00893207">
        <w:rPr>
          <w:bCs/>
          <w:szCs w:val="24"/>
        </w:rPr>
        <w:t>,</w:t>
      </w:r>
      <w:r w:rsidRPr="00807CD0">
        <w:rPr>
          <w:bCs/>
          <w:szCs w:val="24"/>
        </w:rPr>
        <w:t xml:space="preserve"> and other </w:t>
      </w:r>
      <w:r w:rsidR="001A498F" w:rsidRPr="00807CD0">
        <w:rPr>
          <w:bCs/>
          <w:szCs w:val="24"/>
        </w:rPr>
        <w:t>life-threatening</w:t>
      </w:r>
      <w:r w:rsidRPr="00807CD0">
        <w:rPr>
          <w:bCs/>
          <w:szCs w:val="24"/>
        </w:rPr>
        <w:t xml:space="preserve"> emergencies.</w:t>
      </w:r>
      <w:r w:rsidR="000D5C17">
        <w:rPr>
          <w:bCs/>
          <w:szCs w:val="24"/>
        </w:rPr>
        <w:t xml:space="preserve"> </w:t>
      </w:r>
    </w:p>
    <w:p w14:paraId="5FCE98A5" w14:textId="41B3866F" w:rsidR="00886CCD" w:rsidRPr="009A20AA" w:rsidRDefault="00886CCD" w:rsidP="00886CCD">
      <w:pPr>
        <w:rPr>
          <w:b/>
          <w:szCs w:val="24"/>
          <w:u w:val="single"/>
        </w:rPr>
      </w:pPr>
      <w:r w:rsidRPr="009A20AA">
        <w:rPr>
          <w:b/>
          <w:szCs w:val="24"/>
          <w:u w:val="single"/>
        </w:rPr>
        <w:lastRenderedPageBreak/>
        <w:t xml:space="preserve">F2.c. Delivery System </w:t>
      </w:r>
      <w:r w:rsidR="00916633" w:rsidRPr="009A20AA">
        <w:rPr>
          <w:b/>
          <w:szCs w:val="24"/>
          <w:u w:val="single"/>
        </w:rPr>
        <w:t>Transformation</w:t>
      </w:r>
    </w:p>
    <w:p w14:paraId="23F0B7FC" w14:textId="17430D06" w:rsidR="00B23D3B" w:rsidRPr="00BC1F17" w:rsidRDefault="00886CCD" w:rsidP="00B23D3B">
      <w:pPr>
        <w:jc w:val="both"/>
        <w:rPr>
          <w:b/>
          <w:szCs w:val="24"/>
        </w:rPr>
      </w:pPr>
      <w:r w:rsidRPr="009A20AA">
        <w:rPr>
          <w:b/>
          <w:szCs w:val="24"/>
        </w:rPr>
        <w:t>Because the integration of social services and community-based expertise is central to goal of delivery system transformation, discuss how the needs of their</w:t>
      </w:r>
      <w:r w:rsidR="002611F1">
        <w:rPr>
          <w:b/>
          <w:szCs w:val="24"/>
        </w:rPr>
        <w:t xml:space="preserve"> </w:t>
      </w:r>
      <w:r w:rsidR="00744BA5">
        <w:rPr>
          <w:b/>
          <w:szCs w:val="24"/>
        </w:rPr>
        <w:t>patient panel</w:t>
      </w:r>
      <w:r w:rsidRPr="009A20AA">
        <w:rPr>
          <w:b/>
          <w:szCs w:val="24"/>
        </w:rPr>
        <w:t xml:space="preserve"> have been assessed and linkages to social services organizations have been created and how the social determinants of health have been incorporated into care planning.</w:t>
      </w:r>
      <w:r w:rsidR="00B23D3B">
        <w:rPr>
          <w:szCs w:val="24"/>
        </w:rPr>
        <w:t xml:space="preserve"> </w:t>
      </w:r>
    </w:p>
    <w:p w14:paraId="0CDCA134" w14:textId="73719D69" w:rsidR="00B23D3B" w:rsidRPr="00B126C0" w:rsidRDefault="00B23D3B">
      <w:pPr>
        <w:jc w:val="both"/>
        <w:rPr>
          <w:b/>
          <w:bCs/>
          <w:i/>
          <w:iCs/>
          <w:szCs w:val="24"/>
        </w:rPr>
      </w:pPr>
    </w:p>
    <w:p w14:paraId="7CFC09CC" w14:textId="2516FB71" w:rsidR="00B126C0" w:rsidRDefault="007972CE" w:rsidP="007972CE">
      <w:pPr>
        <w:jc w:val="both"/>
        <w:rPr>
          <w:b/>
          <w:bCs/>
          <w:i/>
          <w:iCs/>
          <w:szCs w:val="24"/>
        </w:rPr>
      </w:pPr>
      <w:r w:rsidRPr="00B126C0">
        <w:rPr>
          <w:b/>
          <w:bCs/>
          <w:i/>
          <w:iCs/>
          <w:szCs w:val="24"/>
        </w:rPr>
        <w:t>Linkages to Social Services Organizations</w:t>
      </w:r>
    </w:p>
    <w:p w14:paraId="7DB8DA71" w14:textId="37A10A53" w:rsidR="007F4E86" w:rsidRDefault="007F4E86" w:rsidP="007972CE">
      <w:pPr>
        <w:jc w:val="both"/>
        <w:rPr>
          <w:b/>
          <w:bCs/>
          <w:i/>
          <w:iCs/>
          <w:szCs w:val="24"/>
        </w:rPr>
      </w:pPr>
    </w:p>
    <w:p w14:paraId="3815F3EF" w14:textId="529605E1" w:rsidR="007F4E86" w:rsidRPr="007F4E86" w:rsidRDefault="007F4E86" w:rsidP="007F4E86">
      <w:pPr>
        <w:jc w:val="both"/>
        <w:rPr>
          <w:szCs w:val="24"/>
        </w:rPr>
      </w:pPr>
      <w:r>
        <w:rPr>
          <w:szCs w:val="24"/>
        </w:rPr>
        <w:t>The Applicant</w:t>
      </w:r>
      <w:r w:rsidRPr="007F4E86">
        <w:rPr>
          <w:szCs w:val="24"/>
        </w:rPr>
        <w:t xml:space="preserve"> recognizes that efforts to reduce the cancer burden must go beyond</w:t>
      </w:r>
      <w:r w:rsidR="00326CD1">
        <w:rPr>
          <w:szCs w:val="24"/>
        </w:rPr>
        <w:t xml:space="preserve"> </w:t>
      </w:r>
      <w:r w:rsidRPr="007F4E86">
        <w:rPr>
          <w:szCs w:val="24"/>
        </w:rPr>
        <w:t>cancer care and treatment</w:t>
      </w:r>
      <w:r w:rsidR="00902410">
        <w:rPr>
          <w:szCs w:val="24"/>
        </w:rPr>
        <w:t>,</w:t>
      </w:r>
      <w:r>
        <w:rPr>
          <w:szCs w:val="24"/>
        </w:rPr>
        <w:t xml:space="preserve"> and</w:t>
      </w:r>
      <w:r w:rsidR="00902410">
        <w:rPr>
          <w:szCs w:val="24"/>
        </w:rPr>
        <w:t xml:space="preserve"> so it</w:t>
      </w:r>
      <w:r>
        <w:rPr>
          <w:szCs w:val="24"/>
        </w:rPr>
        <w:t xml:space="preserve"> partners with social services and community-based organizations to link its patient panel to resources tha</w:t>
      </w:r>
      <w:r w:rsidR="00A561E0">
        <w:rPr>
          <w:szCs w:val="24"/>
        </w:rPr>
        <w:t xml:space="preserve">t help address health disparities. These partnerships include: </w:t>
      </w:r>
      <w:r>
        <w:rPr>
          <w:szCs w:val="24"/>
        </w:rPr>
        <w:t xml:space="preserve"> </w:t>
      </w:r>
    </w:p>
    <w:p w14:paraId="74A273D8" w14:textId="77777777" w:rsidR="00BC1F17" w:rsidRPr="00B126C0" w:rsidRDefault="00BC1F17" w:rsidP="007972CE">
      <w:pPr>
        <w:jc w:val="both"/>
        <w:rPr>
          <w:b/>
          <w:bCs/>
          <w:i/>
          <w:iCs/>
          <w:szCs w:val="24"/>
        </w:rPr>
      </w:pPr>
    </w:p>
    <w:p w14:paraId="25F46ADE" w14:textId="152BFCB8" w:rsidR="00B23D3B" w:rsidRDefault="00B23D3B" w:rsidP="00B23D3B">
      <w:pPr>
        <w:widowControl w:val="0"/>
        <w:numPr>
          <w:ilvl w:val="0"/>
          <w:numId w:val="4"/>
        </w:numPr>
        <w:autoSpaceDE w:val="0"/>
        <w:autoSpaceDN w:val="0"/>
        <w:jc w:val="both"/>
        <w:rPr>
          <w:szCs w:val="24"/>
        </w:rPr>
      </w:pPr>
      <w:r w:rsidRPr="009A20AA">
        <w:rPr>
          <w:b/>
          <w:szCs w:val="24"/>
        </w:rPr>
        <w:t xml:space="preserve">Boston Breast Cancer Equity Coalition: </w:t>
      </w:r>
      <w:r w:rsidRPr="009A20AA">
        <w:rPr>
          <w:szCs w:val="24"/>
        </w:rPr>
        <w:t>Launched in 2014</w:t>
      </w:r>
      <w:r w:rsidR="00D60C6F">
        <w:rPr>
          <w:szCs w:val="24"/>
        </w:rPr>
        <w:t xml:space="preserve"> by the Applicant</w:t>
      </w:r>
      <w:r w:rsidRPr="009A20AA">
        <w:rPr>
          <w:szCs w:val="24"/>
        </w:rPr>
        <w:t xml:space="preserve">, this cross-sector coalition seeks to eliminate the differences in breast cancer care and outcomes by promoting equity and excellence in care among women of all racial/ethnic groups in the City of Boston. </w:t>
      </w:r>
      <w:r w:rsidR="00D60C6F">
        <w:rPr>
          <w:szCs w:val="24"/>
        </w:rPr>
        <w:t xml:space="preserve">The Applicant continues to be an engaged member </w:t>
      </w:r>
      <w:r w:rsidR="006C6AA8">
        <w:rPr>
          <w:szCs w:val="24"/>
        </w:rPr>
        <w:t>of</w:t>
      </w:r>
      <w:r w:rsidR="00D60C6F">
        <w:rPr>
          <w:szCs w:val="24"/>
        </w:rPr>
        <w:t xml:space="preserve"> the coalition.</w:t>
      </w:r>
    </w:p>
    <w:p w14:paraId="08D0D1A3" w14:textId="77777777" w:rsidR="00B23D3B" w:rsidRPr="00854213" w:rsidRDefault="00B23D3B" w:rsidP="00B23D3B">
      <w:pPr>
        <w:widowControl w:val="0"/>
        <w:autoSpaceDE w:val="0"/>
        <w:autoSpaceDN w:val="0"/>
        <w:ind w:left="720"/>
        <w:jc w:val="both"/>
        <w:rPr>
          <w:szCs w:val="24"/>
        </w:rPr>
      </w:pPr>
    </w:p>
    <w:p w14:paraId="26A6424B" w14:textId="73859296" w:rsidR="00B23D3B" w:rsidRDefault="00B23D3B" w:rsidP="00B23D3B">
      <w:pPr>
        <w:widowControl w:val="0"/>
        <w:numPr>
          <w:ilvl w:val="0"/>
          <w:numId w:val="4"/>
        </w:numPr>
        <w:autoSpaceDE w:val="0"/>
        <w:autoSpaceDN w:val="0"/>
        <w:jc w:val="both"/>
        <w:rPr>
          <w:szCs w:val="24"/>
        </w:rPr>
      </w:pPr>
      <w:r w:rsidRPr="00ED10B8">
        <w:rPr>
          <w:b/>
          <w:bCs/>
          <w:szCs w:val="24"/>
        </w:rPr>
        <w:t>Boston CHNA/CHIP Collaborative</w:t>
      </w:r>
      <w:r w:rsidRPr="00ED10B8">
        <w:rPr>
          <w:szCs w:val="24"/>
        </w:rPr>
        <w:t>:</w:t>
      </w:r>
      <w:r>
        <w:rPr>
          <w:szCs w:val="24"/>
        </w:rPr>
        <w:t xml:space="preserve"> The Applicant</w:t>
      </w:r>
      <w:r w:rsidRPr="00ED10B8">
        <w:rPr>
          <w:szCs w:val="24"/>
        </w:rPr>
        <w:t xml:space="preserve"> is a founding member of the Boston CHNA/CHIP Collaborative, a large multi-sector effort launched in September 2018 to conduct the first citywide Community Health Needs Assessment and Implementation Plan (</w:t>
      </w:r>
      <w:r w:rsidR="002340EA">
        <w:rPr>
          <w:szCs w:val="24"/>
        </w:rPr>
        <w:t>“</w:t>
      </w:r>
      <w:r w:rsidRPr="00ED10B8">
        <w:rPr>
          <w:szCs w:val="24"/>
        </w:rPr>
        <w:t>CHNA/CHIP</w:t>
      </w:r>
      <w:r w:rsidR="002340EA">
        <w:rPr>
          <w:szCs w:val="24"/>
        </w:rPr>
        <w:t>”</w:t>
      </w:r>
      <w:r w:rsidRPr="00ED10B8">
        <w:rPr>
          <w:szCs w:val="24"/>
        </w:rPr>
        <w:t xml:space="preserve">). </w:t>
      </w:r>
      <w:r>
        <w:rPr>
          <w:szCs w:val="24"/>
        </w:rPr>
        <w:t>The Applicant</w:t>
      </w:r>
      <w:r w:rsidRPr="00ED10B8">
        <w:rPr>
          <w:szCs w:val="24"/>
        </w:rPr>
        <w:t xml:space="preserve"> also serves as the co-chair of the Collaborative and previously co-chaired the Community Engagement Work Group in collaboration with BPHC.</w:t>
      </w:r>
    </w:p>
    <w:p w14:paraId="06D2838F" w14:textId="77777777" w:rsidR="00B23D3B" w:rsidRDefault="00B23D3B" w:rsidP="00B23D3B">
      <w:pPr>
        <w:widowControl w:val="0"/>
        <w:autoSpaceDE w:val="0"/>
        <w:autoSpaceDN w:val="0"/>
        <w:ind w:left="720"/>
        <w:jc w:val="both"/>
        <w:rPr>
          <w:szCs w:val="24"/>
        </w:rPr>
      </w:pPr>
    </w:p>
    <w:p w14:paraId="542C2F3F" w14:textId="5FE10F79" w:rsidR="00B23D3B" w:rsidRDefault="00B23D3B" w:rsidP="00410F28">
      <w:pPr>
        <w:widowControl w:val="0"/>
        <w:numPr>
          <w:ilvl w:val="0"/>
          <w:numId w:val="4"/>
        </w:numPr>
        <w:autoSpaceDE w:val="0"/>
        <w:autoSpaceDN w:val="0"/>
        <w:jc w:val="both"/>
        <w:rPr>
          <w:szCs w:val="24"/>
        </w:rPr>
      </w:pPr>
      <w:r w:rsidRPr="00D60C6F">
        <w:rPr>
          <w:b/>
          <w:szCs w:val="24"/>
        </w:rPr>
        <w:t>Boston Public Health Commission (</w:t>
      </w:r>
      <w:r w:rsidR="002340EA">
        <w:rPr>
          <w:b/>
          <w:szCs w:val="24"/>
        </w:rPr>
        <w:t>“</w:t>
      </w:r>
      <w:r w:rsidRPr="00D60C6F">
        <w:rPr>
          <w:b/>
          <w:szCs w:val="24"/>
        </w:rPr>
        <w:t>BPHC</w:t>
      </w:r>
      <w:r w:rsidR="002340EA">
        <w:rPr>
          <w:b/>
          <w:szCs w:val="24"/>
        </w:rPr>
        <w:t>”</w:t>
      </w:r>
      <w:r w:rsidRPr="00D60C6F">
        <w:rPr>
          <w:b/>
          <w:szCs w:val="24"/>
        </w:rPr>
        <w:t>):</w:t>
      </w:r>
      <w:r w:rsidRPr="00D60C6F">
        <w:rPr>
          <w:szCs w:val="24"/>
        </w:rPr>
        <w:t xml:space="preserve"> The Applicant works closely with the BPHC to implement and sustain initiatives that address the need for cancer prevention education, screening services, and survivorship education. BPHC is also an active member of the Applicant</w:t>
      </w:r>
      <w:r w:rsidR="002340EA">
        <w:rPr>
          <w:szCs w:val="24"/>
        </w:rPr>
        <w:t>’</w:t>
      </w:r>
      <w:r w:rsidRPr="00D60C6F">
        <w:rPr>
          <w:szCs w:val="24"/>
        </w:rPr>
        <w:t>s Community Benefits External Advisory Committe</w:t>
      </w:r>
      <w:r w:rsidR="00D60C6F">
        <w:rPr>
          <w:szCs w:val="24"/>
        </w:rPr>
        <w:t xml:space="preserve">e. </w:t>
      </w:r>
    </w:p>
    <w:p w14:paraId="6A6D58BE" w14:textId="77777777" w:rsidR="00D60C6F" w:rsidRPr="00D60C6F" w:rsidRDefault="00D60C6F" w:rsidP="00D60C6F">
      <w:pPr>
        <w:widowControl w:val="0"/>
        <w:autoSpaceDE w:val="0"/>
        <w:autoSpaceDN w:val="0"/>
        <w:ind w:left="720"/>
        <w:jc w:val="both"/>
        <w:rPr>
          <w:szCs w:val="24"/>
        </w:rPr>
      </w:pPr>
    </w:p>
    <w:p w14:paraId="56E37812" w14:textId="566A5254" w:rsidR="00B23D3B" w:rsidRDefault="00B23D3B" w:rsidP="00B23D3B">
      <w:pPr>
        <w:widowControl w:val="0"/>
        <w:numPr>
          <w:ilvl w:val="0"/>
          <w:numId w:val="4"/>
        </w:numPr>
        <w:autoSpaceDE w:val="0"/>
        <w:autoSpaceDN w:val="0"/>
        <w:jc w:val="both"/>
        <w:rPr>
          <w:szCs w:val="24"/>
        </w:rPr>
      </w:pPr>
      <w:r>
        <w:rPr>
          <w:b/>
          <w:bCs/>
          <w:szCs w:val="24"/>
        </w:rPr>
        <w:t xml:space="preserve">CHNA </w:t>
      </w:r>
      <w:r w:rsidRPr="00ED10B8">
        <w:rPr>
          <w:b/>
          <w:bCs/>
          <w:szCs w:val="24"/>
        </w:rPr>
        <w:t>Partners</w:t>
      </w:r>
      <w:r w:rsidRPr="00ED10B8">
        <w:rPr>
          <w:szCs w:val="24"/>
        </w:rPr>
        <w:t xml:space="preserve">: </w:t>
      </w:r>
      <w:r>
        <w:rPr>
          <w:szCs w:val="24"/>
        </w:rPr>
        <w:t xml:space="preserve">The Applicant </w:t>
      </w:r>
      <w:r w:rsidRPr="00ED10B8">
        <w:rPr>
          <w:szCs w:val="24"/>
        </w:rPr>
        <w:t>worked closely with Enhance Asian Community on Health</w:t>
      </w:r>
      <w:r>
        <w:rPr>
          <w:szCs w:val="24"/>
        </w:rPr>
        <w:t>,</w:t>
      </w:r>
      <w:r w:rsidRPr="00ED10B8">
        <w:rPr>
          <w:szCs w:val="24"/>
        </w:rPr>
        <w:t xml:space="preserve"> Roxbury Tenants of Harvard, Union Capital Boston and BPHC to implement community engagement efforts for Dana-Farber</w:t>
      </w:r>
      <w:r w:rsidR="002340EA">
        <w:rPr>
          <w:szCs w:val="24"/>
        </w:rPr>
        <w:t>’</w:t>
      </w:r>
      <w:r w:rsidRPr="00ED10B8">
        <w:rPr>
          <w:szCs w:val="24"/>
        </w:rPr>
        <w:t>s 2022 Cancer CHNA Report.</w:t>
      </w:r>
    </w:p>
    <w:p w14:paraId="4008303C" w14:textId="77777777" w:rsidR="00B23D3B" w:rsidRPr="009C69B7" w:rsidRDefault="00B23D3B" w:rsidP="00B23D3B">
      <w:pPr>
        <w:widowControl w:val="0"/>
        <w:autoSpaceDE w:val="0"/>
        <w:autoSpaceDN w:val="0"/>
        <w:ind w:left="720"/>
        <w:jc w:val="both"/>
        <w:rPr>
          <w:szCs w:val="24"/>
        </w:rPr>
      </w:pPr>
    </w:p>
    <w:p w14:paraId="6FBD2345" w14:textId="0AF9AB3C" w:rsidR="00B23D3B" w:rsidRDefault="00B23D3B" w:rsidP="00B23D3B">
      <w:pPr>
        <w:widowControl w:val="0"/>
        <w:numPr>
          <w:ilvl w:val="0"/>
          <w:numId w:val="4"/>
        </w:numPr>
        <w:autoSpaceDE w:val="0"/>
        <w:autoSpaceDN w:val="0"/>
        <w:jc w:val="both"/>
        <w:rPr>
          <w:szCs w:val="24"/>
        </w:rPr>
      </w:pPr>
      <w:r w:rsidRPr="009A20AA">
        <w:rPr>
          <w:b/>
          <w:szCs w:val="24"/>
        </w:rPr>
        <w:t>Dana-Farber/Harvard Cancer Center</w:t>
      </w:r>
      <w:r>
        <w:rPr>
          <w:b/>
          <w:szCs w:val="24"/>
        </w:rPr>
        <w:t xml:space="preserve"> </w:t>
      </w:r>
      <w:r w:rsidRPr="00BA72E9">
        <w:rPr>
          <w:b/>
          <w:szCs w:val="24"/>
        </w:rPr>
        <w:t>for Cancer Equity &amp; Engagement</w:t>
      </w:r>
      <w:r w:rsidRPr="009A20AA">
        <w:rPr>
          <w:b/>
          <w:szCs w:val="24"/>
        </w:rPr>
        <w:t xml:space="preserve"> (</w:t>
      </w:r>
      <w:r w:rsidR="002340EA">
        <w:rPr>
          <w:b/>
          <w:szCs w:val="24"/>
        </w:rPr>
        <w:t>“</w:t>
      </w:r>
      <w:r w:rsidRPr="009A20AA">
        <w:rPr>
          <w:b/>
          <w:szCs w:val="24"/>
        </w:rPr>
        <w:t>DF/HCC</w:t>
      </w:r>
      <w:r>
        <w:rPr>
          <w:b/>
          <w:szCs w:val="24"/>
        </w:rPr>
        <w:t xml:space="preserve"> CCEE</w:t>
      </w:r>
      <w:r w:rsidR="002340EA">
        <w:rPr>
          <w:b/>
          <w:szCs w:val="24"/>
        </w:rPr>
        <w:t>”</w:t>
      </w:r>
      <w:r w:rsidRPr="009A20AA">
        <w:rPr>
          <w:b/>
          <w:szCs w:val="24"/>
        </w:rPr>
        <w:t>):</w:t>
      </w:r>
      <w:r w:rsidRPr="009A20AA">
        <w:rPr>
          <w:szCs w:val="24"/>
        </w:rPr>
        <w:t xml:space="preserve">  The Applicant and the DF/HCC</w:t>
      </w:r>
      <w:r>
        <w:rPr>
          <w:szCs w:val="24"/>
        </w:rPr>
        <w:t xml:space="preserve"> CCEE</w:t>
      </w:r>
      <w:r w:rsidRPr="009A20AA">
        <w:rPr>
          <w:szCs w:val="24"/>
        </w:rPr>
        <w:t xml:space="preserve"> continue to collaborate and develop programming in a variety of areas aimed at reducing the unequal burden of cancer in partnership with the Faith-based Cancer Disparities Network and other community-based organizations. Early in its history, the consortium created the Initiative to Eliminate Cancer Disparities (</w:t>
      </w:r>
      <w:r w:rsidR="002340EA">
        <w:rPr>
          <w:szCs w:val="24"/>
        </w:rPr>
        <w:t>“</w:t>
      </w:r>
      <w:r w:rsidRPr="009A20AA">
        <w:rPr>
          <w:szCs w:val="24"/>
        </w:rPr>
        <w:t>IECD</w:t>
      </w:r>
      <w:r w:rsidR="002340EA">
        <w:rPr>
          <w:szCs w:val="24"/>
        </w:rPr>
        <w:t>”</w:t>
      </w:r>
      <w:r w:rsidRPr="009A20AA">
        <w:rPr>
          <w:szCs w:val="24"/>
        </w:rPr>
        <w:t>) to maximize the acceptance and desirability of cancer research in communities that have traditionally experienced significant disparities in cancer care. The DF/HCC IECD is also the convener of the Patient Navigator Network</w:t>
      </w:r>
      <w:r w:rsidR="00A72DED" w:rsidRPr="009A20AA">
        <w:rPr>
          <w:szCs w:val="24"/>
        </w:rPr>
        <w:t xml:space="preserve">. </w:t>
      </w:r>
    </w:p>
    <w:p w14:paraId="4CBB8237" w14:textId="77777777" w:rsidR="00B23D3B" w:rsidRPr="00854213" w:rsidRDefault="00B23D3B" w:rsidP="00B23D3B">
      <w:pPr>
        <w:widowControl w:val="0"/>
        <w:autoSpaceDE w:val="0"/>
        <w:autoSpaceDN w:val="0"/>
        <w:ind w:left="720"/>
        <w:jc w:val="both"/>
        <w:rPr>
          <w:szCs w:val="24"/>
        </w:rPr>
      </w:pPr>
    </w:p>
    <w:p w14:paraId="60EAEBD1" w14:textId="47C65200" w:rsidR="00B23D3B" w:rsidRDefault="00B23D3B" w:rsidP="00B23D3B">
      <w:pPr>
        <w:widowControl w:val="0"/>
        <w:numPr>
          <w:ilvl w:val="0"/>
          <w:numId w:val="4"/>
        </w:numPr>
        <w:autoSpaceDE w:val="0"/>
        <w:autoSpaceDN w:val="0"/>
        <w:jc w:val="both"/>
        <w:rPr>
          <w:szCs w:val="24"/>
        </w:rPr>
      </w:pPr>
      <w:r w:rsidRPr="009A20AA">
        <w:rPr>
          <w:b/>
          <w:szCs w:val="24"/>
        </w:rPr>
        <w:t>Dana-Farbe</w:t>
      </w:r>
      <w:r>
        <w:rPr>
          <w:b/>
          <w:szCs w:val="24"/>
        </w:rPr>
        <w:t>r</w:t>
      </w:r>
      <w:r w:rsidR="002340EA">
        <w:rPr>
          <w:b/>
          <w:szCs w:val="24"/>
        </w:rPr>
        <w:t>’</w:t>
      </w:r>
      <w:r>
        <w:rPr>
          <w:b/>
          <w:szCs w:val="24"/>
        </w:rPr>
        <w:t xml:space="preserve">s </w:t>
      </w:r>
      <w:r w:rsidRPr="009A20AA">
        <w:rPr>
          <w:b/>
          <w:szCs w:val="24"/>
        </w:rPr>
        <w:t>Center for Community-Based Research (</w:t>
      </w:r>
      <w:r w:rsidR="002340EA">
        <w:rPr>
          <w:b/>
          <w:szCs w:val="24"/>
        </w:rPr>
        <w:t>“</w:t>
      </w:r>
      <w:r w:rsidRPr="009A20AA">
        <w:rPr>
          <w:b/>
          <w:szCs w:val="24"/>
        </w:rPr>
        <w:t>CCBR</w:t>
      </w:r>
      <w:r w:rsidR="002340EA">
        <w:rPr>
          <w:b/>
          <w:szCs w:val="24"/>
        </w:rPr>
        <w:t>”</w:t>
      </w:r>
      <w:r w:rsidRPr="009A20AA">
        <w:rPr>
          <w:b/>
          <w:szCs w:val="24"/>
        </w:rPr>
        <w:t xml:space="preserve">):  </w:t>
      </w:r>
      <w:r w:rsidRPr="009A20AA">
        <w:rPr>
          <w:szCs w:val="24"/>
        </w:rPr>
        <w:t>CCBR conducts cancer prevention research with the goal of developing effective intervention strategies to reduce the risk of cancer</w:t>
      </w:r>
      <w:r w:rsidR="00A72DED" w:rsidRPr="009A20AA">
        <w:rPr>
          <w:szCs w:val="24"/>
        </w:rPr>
        <w:t xml:space="preserve">. </w:t>
      </w:r>
      <w:r w:rsidRPr="009A20AA">
        <w:rPr>
          <w:szCs w:val="24"/>
        </w:rPr>
        <w:t xml:space="preserve">CCBR works extensively with neighborhood health centers, low-income housing, faith-based organizations, health departments and community-based </w:t>
      </w:r>
      <w:r w:rsidRPr="009A20AA">
        <w:rPr>
          <w:szCs w:val="24"/>
        </w:rPr>
        <w:lastRenderedPageBreak/>
        <w:t>organizations</w:t>
      </w:r>
      <w:r>
        <w:rPr>
          <w:szCs w:val="24"/>
        </w:rPr>
        <w:t>.</w:t>
      </w:r>
    </w:p>
    <w:p w14:paraId="61AB8CB9" w14:textId="77777777" w:rsidR="00B23D3B" w:rsidRPr="009A20AA" w:rsidRDefault="00B23D3B" w:rsidP="00B23D3B">
      <w:pPr>
        <w:widowControl w:val="0"/>
        <w:autoSpaceDE w:val="0"/>
        <w:autoSpaceDN w:val="0"/>
        <w:ind w:left="720"/>
        <w:jc w:val="both"/>
        <w:rPr>
          <w:szCs w:val="24"/>
        </w:rPr>
      </w:pPr>
    </w:p>
    <w:p w14:paraId="68B6CE46" w14:textId="4BEF3610" w:rsidR="00B23D3B" w:rsidRPr="00B23D3B" w:rsidRDefault="00B23D3B" w:rsidP="00B23D3B">
      <w:pPr>
        <w:widowControl w:val="0"/>
        <w:numPr>
          <w:ilvl w:val="0"/>
          <w:numId w:val="4"/>
        </w:numPr>
        <w:autoSpaceDE w:val="0"/>
        <w:autoSpaceDN w:val="0"/>
        <w:jc w:val="both"/>
        <w:rPr>
          <w:szCs w:val="24"/>
        </w:rPr>
      </w:pPr>
      <w:r w:rsidRPr="009A20AA">
        <w:rPr>
          <w:b/>
          <w:szCs w:val="24"/>
        </w:rPr>
        <w:t>Massachusetts Coalition for HPV</w:t>
      </w:r>
      <w:r>
        <w:rPr>
          <w:b/>
          <w:szCs w:val="24"/>
        </w:rPr>
        <w:t xml:space="preserve">: </w:t>
      </w:r>
      <w:r>
        <w:rPr>
          <w:bCs/>
          <w:szCs w:val="24"/>
        </w:rPr>
        <w:t xml:space="preserve">The Applicant </w:t>
      </w:r>
      <w:r w:rsidRPr="009C69B7">
        <w:rPr>
          <w:bCs/>
          <w:szCs w:val="24"/>
        </w:rPr>
        <w:t xml:space="preserve">continues to partner with Team Maureen to lead the statewide HPV Coalition and identify opportunities for greatest impact in increasing statewide vaccination rates and knowledge around HPV-related cancers. </w:t>
      </w:r>
      <w:r>
        <w:rPr>
          <w:bCs/>
          <w:szCs w:val="24"/>
        </w:rPr>
        <w:t>The Applicant</w:t>
      </w:r>
      <w:r w:rsidRPr="009C69B7">
        <w:rPr>
          <w:bCs/>
          <w:szCs w:val="24"/>
        </w:rPr>
        <w:t xml:space="preserve"> also continues to play an active role in supporting the annual HPV-Related Cancer Summit.</w:t>
      </w:r>
    </w:p>
    <w:p w14:paraId="32F9D064" w14:textId="77777777" w:rsidR="00B23D3B" w:rsidRPr="00854213" w:rsidRDefault="00B23D3B" w:rsidP="00B23D3B">
      <w:pPr>
        <w:widowControl w:val="0"/>
        <w:autoSpaceDE w:val="0"/>
        <w:autoSpaceDN w:val="0"/>
        <w:ind w:left="720"/>
        <w:jc w:val="both"/>
        <w:rPr>
          <w:szCs w:val="24"/>
        </w:rPr>
      </w:pPr>
    </w:p>
    <w:p w14:paraId="1C84845A" w14:textId="0D07DAA6" w:rsidR="00810E1B" w:rsidRDefault="00B23D3B" w:rsidP="00810E1B">
      <w:pPr>
        <w:widowControl w:val="0"/>
        <w:numPr>
          <w:ilvl w:val="0"/>
          <w:numId w:val="4"/>
        </w:numPr>
        <w:autoSpaceDE w:val="0"/>
        <w:autoSpaceDN w:val="0"/>
        <w:jc w:val="both"/>
        <w:rPr>
          <w:szCs w:val="24"/>
        </w:rPr>
      </w:pPr>
      <w:r w:rsidRPr="009A20AA">
        <w:rPr>
          <w:b/>
          <w:szCs w:val="24"/>
        </w:rPr>
        <w:t>Massachusetts Department of Public Health:</w:t>
      </w:r>
      <w:r w:rsidRPr="009A20AA">
        <w:rPr>
          <w:szCs w:val="24"/>
        </w:rPr>
        <w:t xml:space="preserve"> Through ongoing partnerships with </w:t>
      </w:r>
      <w:r>
        <w:rPr>
          <w:szCs w:val="24"/>
        </w:rPr>
        <w:t>DPH</w:t>
      </w:r>
      <w:r w:rsidR="002340EA">
        <w:rPr>
          <w:szCs w:val="24"/>
        </w:rPr>
        <w:t>’</w:t>
      </w:r>
      <w:r>
        <w:rPr>
          <w:szCs w:val="24"/>
        </w:rPr>
        <w:t>s</w:t>
      </w:r>
      <w:r w:rsidRPr="009A20AA">
        <w:rPr>
          <w:szCs w:val="24"/>
        </w:rPr>
        <w:t xml:space="preserve"> Chronic Disease Prevention and Control Unit, programs in colorectal, prostate, skin and women</w:t>
      </w:r>
      <w:r w:rsidR="002340EA">
        <w:rPr>
          <w:szCs w:val="24"/>
        </w:rPr>
        <w:t>’</w:t>
      </w:r>
      <w:r w:rsidRPr="009A20AA">
        <w:rPr>
          <w:szCs w:val="24"/>
        </w:rPr>
        <w:t xml:space="preserve">s cancers have been established with </w:t>
      </w:r>
      <w:r>
        <w:rPr>
          <w:szCs w:val="24"/>
        </w:rPr>
        <w:t>DPH</w:t>
      </w:r>
      <w:r w:rsidRPr="009A20AA">
        <w:rPr>
          <w:szCs w:val="24"/>
        </w:rPr>
        <w:t xml:space="preserve"> and other community agencies across the Commonwealth.</w:t>
      </w:r>
    </w:p>
    <w:p w14:paraId="0A42750F" w14:textId="7DA081EA" w:rsidR="00810E1B" w:rsidRPr="00810E1B" w:rsidRDefault="00810E1B" w:rsidP="00810E1B">
      <w:pPr>
        <w:widowControl w:val="0"/>
        <w:autoSpaceDE w:val="0"/>
        <w:autoSpaceDN w:val="0"/>
        <w:jc w:val="both"/>
        <w:rPr>
          <w:szCs w:val="24"/>
        </w:rPr>
      </w:pPr>
    </w:p>
    <w:p w14:paraId="6FD82934" w14:textId="20940661" w:rsidR="00810E1B" w:rsidRPr="00810E1B" w:rsidRDefault="00810E1B" w:rsidP="00810E1B">
      <w:pPr>
        <w:widowControl w:val="0"/>
        <w:numPr>
          <w:ilvl w:val="0"/>
          <w:numId w:val="4"/>
        </w:numPr>
        <w:autoSpaceDE w:val="0"/>
        <w:autoSpaceDN w:val="0"/>
        <w:jc w:val="both"/>
        <w:rPr>
          <w:szCs w:val="24"/>
        </w:rPr>
      </w:pPr>
      <w:r>
        <w:rPr>
          <w:b/>
          <w:bCs/>
          <w:szCs w:val="24"/>
        </w:rPr>
        <w:t>Prostate Cancer Foundation (</w:t>
      </w:r>
      <w:r w:rsidR="002340EA">
        <w:rPr>
          <w:b/>
          <w:bCs/>
          <w:szCs w:val="24"/>
        </w:rPr>
        <w:t>“</w:t>
      </w:r>
      <w:r>
        <w:rPr>
          <w:b/>
          <w:bCs/>
          <w:szCs w:val="24"/>
        </w:rPr>
        <w:t>PCF</w:t>
      </w:r>
      <w:r w:rsidR="002340EA">
        <w:rPr>
          <w:b/>
          <w:bCs/>
          <w:szCs w:val="24"/>
        </w:rPr>
        <w:t>”</w:t>
      </w:r>
      <w:r>
        <w:rPr>
          <w:b/>
          <w:bCs/>
          <w:szCs w:val="24"/>
        </w:rPr>
        <w:t xml:space="preserve">): </w:t>
      </w:r>
      <w:r>
        <w:rPr>
          <w:szCs w:val="24"/>
        </w:rPr>
        <w:t>In 2020, the Applicant</w:t>
      </w:r>
      <w:r w:rsidR="00A050EB">
        <w:rPr>
          <w:szCs w:val="24"/>
        </w:rPr>
        <w:t>,</w:t>
      </w:r>
      <w:r>
        <w:rPr>
          <w:szCs w:val="24"/>
        </w:rPr>
        <w:t xml:space="preserve"> PCF</w:t>
      </w:r>
      <w:r w:rsidR="00A050EB">
        <w:rPr>
          <w:szCs w:val="24"/>
        </w:rPr>
        <w:t xml:space="preserve">, and </w:t>
      </w:r>
      <w:r w:rsidR="00A050EB" w:rsidRPr="00A050EB">
        <w:rPr>
          <w:szCs w:val="24"/>
        </w:rPr>
        <w:t>VA Boston Healthcare System</w:t>
      </w:r>
      <w:r>
        <w:rPr>
          <w:szCs w:val="24"/>
        </w:rPr>
        <w:t xml:space="preserve"> partnered to launch the first PCF-Veterans Affairs Center of Excellence in New England</w:t>
      </w:r>
      <w:r w:rsidR="0099405A">
        <w:rPr>
          <w:szCs w:val="24"/>
        </w:rPr>
        <w:t xml:space="preserve"> to </w:t>
      </w:r>
      <w:r>
        <w:rPr>
          <w:szCs w:val="24"/>
        </w:rPr>
        <w:t>advance prostate cancer treatment for veterans</w:t>
      </w:r>
      <w:r w:rsidR="000D13AC">
        <w:rPr>
          <w:szCs w:val="24"/>
        </w:rPr>
        <w:t>.</w:t>
      </w:r>
    </w:p>
    <w:p w14:paraId="64347812" w14:textId="77777777" w:rsidR="00B23D3B" w:rsidRDefault="00B23D3B" w:rsidP="00B23D3B">
      <w:pPr>
        <w:widowControl w:val="0"/>
        <w:autoSpaceDE w:val="0"/>
        <w:autoSpaceDN w:val="0"/>
        <w:ind w:left="720"/>
        <w:jc w:val="both"/>
        <w:rPr>
          <w:szCs w:val="24"/>
        </w:rPr>
      </w:pPr>
    </w:p>
    <w:p w14:paraId="6E8952FA" w14:textId="1EAB4046" w:rsidR="00B23D3B" w:rsidRDefault="00B23D3B" w:rsidP="00B23D3B">
      <w:pPr>
        <w:widowControl w:val="0"/>
        <w:numPr>
          <w:ilvl w:val="0"/>
          <w:numId w:val="4"/>
        </w:numPr>
        <w:autoSpaceDE w:val="0"/>
        <w:autoSpaceDN w:val="0"/>
        <w:jc w:val="both"/>
        <w:rPr>
          <w:szCs w:val="24"/>
        </w:rPr>
      </w:pPr>
      <w:r w:rsidRPr="009A20AA">
        <w:rPr>
          <w:b/>
          <w:szCs w:val="24"/>
        </w:rPr>
        <w:t>Prostate Health Education Network (</w:t>
      </w:r>
      <w:r w:rsidR="002340EA">
        <w:rPr>
          <w:b/>
          <w:szCs w:val="24"/>
        </w:rPr>
        <w:t>“</w:t>
      </w:r>
      <w:r w:rsidRPr="009A20AA">
        <w:rPr>
          <w:b/>
          <w:szCs w:val="24"/>
        </w:rPr>
        <w:t>PHEN</w:t>
      </w:r>
      <w:r w:rsidR="002340EA">
        <w:rPr>
          <w:b/>
          <w:szCs w:val="24"/>
        </w:rPr>
        <w:t>”</w:t>
      </w:r>
      <w:r w:rsidRPr="009A20AA">
        <w:rPr>
          <w:b/>
          <w:szCs w:val="24"/>
        </w:rPr>
        <w:t>):</w:t>
      </w:r>
      <w:r w:rsidRPr="009A20AA">
        <w:rPr>
          <w:szCs w:val="24"/>
        </w:rPr>
        <w:t xml:space="preserve">  The Applicant and PHEN partner on education, outreach and advocacy efforts and together sustain a prostate cancer support group for men of color that meets monthly at </w:t>
      </w:r>
      <w:r>
        <w:rPr>
          <w:szCs w:val="24"/>
        </w:rPr>
        <w:t>the Applicant</w:t>
      </w:r>
      <w:r w:rsidR="002340EA">
        <w:rPr>
          <w:szCs w:val="24"/>
        </w:rPr>
        <w:t>’</w:t>
      </w:r>
      <w:r w:rsidR="00516A7B">
        <w:rPr>
          <w:szCs w:val="24"/>
        </w:rPr>
        <w:t>s facility.</w:t>
      </w:r>
    </w:p>
    <w:p w14:paraId="39495238" w14:textId="77777777" w:rsidR="00B23D3B" w:rsidRPr="00854213" w:rsidRDefault="00B23D3B" w:rsidP="00B23D3B">
      <w:pPr>
        <w:widowControl w:val="0"/>
        <w:autoSpaceDE w:val="0"/>
        <w:autoSpaceDN w:val="0"/>
        <w:ind w:left="720"/>
        <w:jc w:val="both"/>
        <w:rPr>
          <w:szCs w:val="24"/>
        </w:rPr>
      </w:pPr>
    </w:p>
    <w:p w14:paraId="536B34B9" w14:textId="749AD54A" w:rsidR="00B23D3B" w:rsidRDefault="00B23D3B" w:rsidP="00B23D3B">
      <w:pPr>
        <w:widowControl w:val="0"/>
        <w:numPr>
          <w:ilvl w:val="0"/>
          <w:numId w:val="4"/>
        </w:numPr>
        <w:autoSpaceDE w:val="0"/>
        <w:autoSpaceDN w:val="0"/>
        <w:jc w:val="both"/>
        <w:rPr>
          <w:szCs w:val="24"/>
        </w:rPr>
      </w:pPr>
      <w:r w:rsidRPr="009A20AA">
        <w:rPr>
          <w:b/>
          <w:szCs w:val="24"/>
        </w:rPr>
        <w:t>Tobacco Free Mass Coalition:</w:t>
      </w:r>
      <w:r w:rsidRPr="009A20AA">
        <w:rPr>
          <w:szCs w:val="24"/>
        </w:rPr>
        <w:t xml:space="preserve"> As a member of the Tobacco Free Mass Coalition, the Applicant supports the development of policies that aim to reduce youth access to tobacco, prevent nicotine addiction, and increase tobacco control funding</w:t>
      </w:r>
      <w:r w:rsidR="00A72DED" w:rsidRPr="009A20AA">
        <w:rPr>
          <w:szCs w:val="24"/>
        </w:rPr>
        <w:t xml:space="preserve">. </w:t>
      </w:r>
    </w:p>
    <w:p w14:paraId="35713472" w14:textId="77777777" w:rsidR="00B23D3B" w:rsidRPr="00854213" w:rsidRDefault="00B23D3B" w:rsidP="00B23D3B">
      <w:pPr>
        <w:widowControl w:val="0"/>
        <w:autoSpaceDE w:val="0"/>
        <w:autoSpaceDN w:val="0"/>
        <w:ind w:left="720"/>
        <w:jc w:val="both"/>
        <w:rPr>
          <w:szCs w:val="24"/>
        </w:rPr>
      </w:pPr>
    </w:p>
    <w:p w14:paraId="6E7E80EB" w14:textId="60B50BB9" w:rsidR="00B23D3B" w:rsidRDefault="00B23D3B" w:rsidP="00B23D3B">
      <w:pPr>
        <w:widowControl w:val="0"/>
        <w:numPr>
          <w:ilvl w:val="0"/>
          <w:numId w:val="4"/>
        </w:numPr>
        <w:autoSpaceDE w:val="0"/>
        <w:autoSpaceDN w:val="0"/>
        <w:jc w:val="both"/>
        <w:rPr>
          <w:szCs w:val="24"/>
        </w:rPr>
      </w:pPr>
      <w:r w:rsidRPr="00EF081A">
        <w:rPr>
          <w:b/>
          <w:bCs/>
          <w:szCs w:val="24"/>
        </w:rPr>
        <w:t>Union Capital Boston (</w:t>
      </w:r>
      <w:r w:rsidR="002340EA">
        <w:rPr>
          <w:b/>
          <w:bCs/>
          <w:szCs w:val="24"/>
        </w:rPr>
        <w:t>“</w:t>
      </w:r>
      <w:r w:rsidRPr="00EF081A">
        <w:rPr>
          <w:b/>
          <w:bCs/>
          <w:szCs w:val="24"/>
        </w:rPr>
        <w:t>UCB</w:t>
      </w:r>
      <w:r w:rsidR="002340EA">
        <w:rPr>
          <w:b/>
          <w:bCs/>
          <w:szCs w:val="24"/>
        </w:rPr>
        <w:t>”</w:t>
      </w:r>
      <w:r w:rsidRPr="00EF081A">
        <w:rPr>
          <w:b/>
          <w:bCs/>
          <w:szCs w:val="24"/>
        </w:rPr>
        <w:t>)</w:t>
      </w:r>
      <w:r w:rsidRPr="00EF081A">
        <w:rPr>
          <w:szCs w:val="24"/>
        </w:rPr>
        <w:t>: The Applicant</w:t>
      </w:r>
      <w:r w:rsidRPr="00EF081A">
        <w:rPr>
          <w:rFonts w:eastAsiaTheme="minorEastAsia"/>
          <w:color w:val="000000"/>
          <w:sz w:val="23"/>
          <w:szCs w:val="23"/>
          <w:lang w:eastAsia="zh-CN"/>
        </w:rPr>
        <w:t xml:space="preserve"> </w:t>
      </w:r>
      <w:r w:rsidRPr="00EF081A">
        <w:rPr>
          <w:szCs w:val="24"/>
        </w:rPr>
        <w:t>is actively involved in a partnership initiative with UCB focused on promoting cancer prevention and survivorship and strengthening the work of</w:t>
      </w:r>
      <w:r>
        <w:rPr>
          <w:szCs w:val="24"/>
        </w:rPr>
        <w:t xml:space="preserve"> the Applicant</w:t>
      </w:r>
      <w:r w:rsidR="002340EA">
        <w:rPr>
          <w:szCs w:val="24"/>
        </w:rPr>
        <w:t>’</w:t>
      </w:r>
      <w:r>
        <w:rPr>
          <w:szCs w:val="24"/>
        </w:rPr>
        <w:t>s</w:t>
      </w:r>
      <w:r w:rsidRPr="00EF081A">
        <w:rPr>
          <w:szCs w:val="24"/>
        </w:rPr>
        <w:t xml:space="preserve"> Community Benefits Office. </w:t>
      </w:r>
      <w:r>
        <w:rPr>
          <w:szCs w:val="24"/>
        </w:rPr>
        <w:t xml:space="preserve">The Applicant </w:t>
      </w:r>
      <w:r w:rsidRPr="00EF081A">
        <w:rPr>
          <w:szCs w:val="24"/>
        </w:rPr>
        <w:t xml:space="preserve">also worked closely with UCB to carry out focus groups with cancer patients, survivors, and caregivers for </w:t>
      </w:r>
      <w:r>
        <w:rPr>
          <w:szCs w:val="24"/>
        </w:rPr>
        <w:t>the Applicant</w:t>
      </w:r>
      <w:r w:rsidR="002340EA">
        <w:rPr>
          <w:szCs w:val="24"/>
        </w:rPr>
        <w:t>’</w:t>
      </w:r>
      <w:r>
        <w:rPr>
          <w:szCs w:val="24"/>
        </w:rPr>
        <w:t>s</w:t>
      </w:r>
      <w:r w:rsidRPr="00EF081A">
        <w:rPr>
          <w:szCs w:val="24"/>
        </w:rPr>
        <w:t xml:space="preserve"> 2022 Cancer CHNA.</w:t>
      </w:r>
    </w:p>
    <w:p w14:paraId="6FE9A781" w14:textId="77777777" w:rsidR="00B23D3B" w:rsidRDefault="00B23D3B" w:rsidP="00B23D3B">
      <w:pPr>
        <w:widowControl w:val="0"/>
        <w:autoSpaceDE w:val="0"/>
        <w:autoSpaceDN w:val="0"/>
        <w:ind w:left="720"/>
        <w:jc w:val="both"/>
        <w:rPr>
          <w:szCs w:val="24"/>
        </w:rPr>
      </w:pPr>
    </w:p>
    <w:p w14:paraId="46FFD277" w14:textId="4039FEE9" w:rsidR="00B23D3B" w:rsidRDefault="00B23D3B" w:rsidP="00B23D3B">
      <w:pPr>
        <w:widowControl w:val="0"/>
        <w:numPr>
          <w:ilvl w:val="0"/>
          <w:numId w:val="4"/>
        </w:numPr>
        <w:autoSpaceDE w:val="0"/>
        <w:autoSpaceDN w:val="0"/>
        <w:jc w:val="both"/>
        <w:rPr>
          <w:szCs w:val="24"/>
        </w:rPr>
      </w:pPr>
      <w:r>
        <w:rPr>
          <w:b/>
          <w:bCs/>
          <w:szCs w:val="24"/>
        </w:rPr>
        <w:t>Rian Immigrant Center (</w:t>
      </w:r>
      <w:r w:rsidR="002340EA">
        <w:rPr>
          <w:b/>
          <w:bCs/>
          <w:szCs w:val="24"/>
        </w:rPr>
        <w:t>“</w:t>
      </w:r>
      <w:r>
        <w:rPr>
          <w:b/>
          <w:bCs/>
          <w:szCs w:val="24"/>
        </w:rPr>
        <w:t>Rian</w:t>
      </w:r>
      <w:r w:rsidR="002340EA">
        <w:rPr>
          <w:b/>
          <w:bCs/>
          <w:szCs w:val="24"/>
        </w:rPr>
        <w:t>”</w:t>
      </w:r>
      <w:r>
        <w:rPr>
          <w:b/>
          <w:bCs/>
          <w:szCs w:val="24"/>
        </w:rPr>
        <w:t>) and Health Law Advocates (</w:t>
      </w:r>
      <w:r w:rsidR="002340EA">
        <w:rPr>
          <w:b/>
          <w:bCs/>
          <w:szCs w:val="24"/>
        </w:rPr>
        <w:t>“</w:t>
      </w:r>
      <w:r>
        <w:rPr>
          <w:b/>
          <w:bCs/>
          <w:szCs w:val="24"/>
        </w:rPr>
        <w:t>HLA</w:t>
      </w:r>
      <w:r w:rsidR="002340EA">
        <w:rPr>
          <w:b/>
          <w:bCs/>
          <w:szCs w:val="24"/>
        </w:rPr>
        <w:t>”</w:t>
      </w:r>
      <w:r>
        <w:rPr>
          <w:b/>
          <w:bCs/>
          <w:szCs w:val="24"/>
        </w:rPr>
        <w:t>):</w:t>
      </w:r>
      <w:r>
        <w:rPr>
          <w:szCs w:val="24"/>
        </w:rPr>
        <w:t xml:space="preserve"> The Applicant has established an immigrant-focused medical-legal partnership with two respected Boston-based community organizations, </w:t>
      </w:r>
      <w:r w:rsidR="00A72DED">
        <w:rPr>
          <w:szCs w:val="24"/>
        </w:rPr>
        <w:t xml:space="preserve">Rian </w:t>
      </w:r>
      <w:r>
        <w:rPr>
          <w:szCs w:val="24"/>
        </w:rPr>
        <w:t>and HLA</w:t>
      </w:r>
      <w:r w:rsidR="00A72DED">
        <w:rPr>
          <w:szCs w:val="24"/>
        </w:rPr>
        <w:t xml:space="preserve">. </w:t>
      </w:r>
      <w:r>
        <w:rPr>
          <w:szCs w:val="24"/>
        </w:rPr>
        <w:t>The partnership established a comprehensive pro bono legal services program for low-income patients and their families with a focus on improving access to care and offering legal services directly to patients who could not otherwise afford an attorney and who need legal representation to remove barriers to health care</w:t>
      </w:r>
      <w:r w:rsidR="00A72DED">
        <w:rPr>
          <w:szCs w:val="24"/>
        </w:rPr>
        <w:t xml:space="preserve">. </w:t>
      </w:r>
    </w:p>
    <w:p w14:paraId="4FA4F732" w14:textId="77777777" w:rsidR="00B23D3B" w:rsidRDefault="00B23D3B" w:rsidP="00B23D3B">
      <w:pPr>
        <w:jc w:val="both"/>
        <w:rPr>
          <w:b/>
          <w:bCs/>
          <w:i/>
          <w:iCs/>
          <w:szCs w:val="24"/>
        </w:rPr>
      </w:pPr>
    </w:p>
    <w:p w14:paraId="4F6B09D2" w14:textId="36952A73" w:rsidR="00B23D3B" w:rsidRPr="002E60CE" w:rsidRDefault="00B23D3B" w:rsidP="00B23D3B">
      <w:pPr>
        <w:jc w:val="both"/>
        <w:rPr>
          <w:b/>
          <w:bCs/>
          <w:i/>
          <w:iCs/>
          <w:szCs w:val="24"/>
        </w:rPr>
      </w:pPr>
      <w:r w:rsidRPr="002E60CE">
        <w:rPr>
          <w:b/>
          <w:bCs/>
          <w:i/>
          <w:iCs/>
          <w:szCs w:val="24"/>
        </w:rPr>
        <w:t>Applicant Social Linkage Programs</w:t>
      </w:r>
      <w:r w:rsidR="00A561E0">
        <w:rPr>
          <w:b/>
          <w:bCs/>
          <w:i/>
          <w:iCs/>
          <w:szCs w:val="24"/>
        </w:rPr>
        <w:t xml:space="preserve"> and Social </w:t>
      </w:r>
      <w:r w:rsidR="00902410">
        <w:rPr>
          <w:b/>
          <w:bCs/>
          <w:i/>
          <w:iCs/>
          <w:szCs w:val="24"/>
        </w:rPr>
        <w:t xml:space="preserve">Determinants </w:t>
      </w:r>
      <w:r w:rsidR="00A561E0">
        <w:rPr>
          <w:b/>
          <w:bCs/>
          <w:i/>
          <w:iCs/>
          <w:szCs w:val="24"/>
        </w:rPr>
        <w:t>of Health</w:t>
      </w:r>
    </w:p>
    <w:p w14:paraId="1389F1B8" w14:textId="77777777" w:rsidR="00B23D3B" w:rsidRDefault="00B23D3B" w:rsidP="00B23D3B">
      <w:pPr>
        <w:jc w:val="both"/>
        <w:rPr>
          <w:szCs w:val="24"/>
        </w:rPr>
      </w:pPr>
    </w:p>
    <w:p w14:paraId="58649EFF" w14:textId="341FDB4B" w:rsidR="00B23D3B" w:rsidRDefault="00B23D3B" w:rsidP="00B23D3B">
      <w:pPr>
        <w:jc w:val="both"/>
        <w:rPr>
          <w:szCs w:val="24"/>
        </w:rPr>
      </w:pPr>
      <w:r w:rsidRPr="009A20AA">
        <w:rPr>
          <w:szCs w:val="24"/>
        </w:rPr>
        <w:t>As previously discussed</w:t>
      </w:r>
      <w:r>
        <w:rPr>
          <w:szCs w:val="24"/>
        </w:rPr>
        <w:t xml:space="preserve"> in Factor </w:t>
      </w:r>
      <w:r w:rsidRPr="009A20AA">
        <w:rPr>
          <w:szCs w:val="24"/>
        </w:rPr>
        <w:t xml:space="preserve">1.b.iii, the Applicant </w:t>
      </w:r>
      <w:r>
        <w:rPr>
          <w:szCs w:val="24"/>
        </w:rPr>
        <w:t>maintains</w:t>
      </w:r>
      <w:r w:rsidRPr="009A20AA">
        <w:rPr>
          <w:szCs w:val="24"/>
        </w:rPr>
        <w:t xml:space="preserve"> programs</w:t>
      </w:r>
      <w:r>
        <w:rPr>
          <w:szCs w:val="24"/>
        </w:rPr>
        <w:t xml:space="preserve"> in place</w:t>
      </w:r>
      <w:r w:rsidRPr="009A20AA">
        <w:rPr>
          <w:szCs w:val="24"/>
        </w:rPr>
        <w:t xml:space="preserve"> to address the needs of its</w:t>
      </w:r>
      <w:r w:rsidR="002611F1">
        <w:rPr>
          <w:szCs w:val="24"/>
        </w:rPr>
        <w:t xml:space="preserve"> </w:t>
      </w:r>
      <w:r w:rsidR="00744BA5">
        <w:rPr>
          <w:szCs w:val="24"/>
        </w:rPr>
        <w:t>patient panel</w:t>
      </w:r>
      <w:r w:rsidRPr="009A20AA">
        <w:rPr>
          <w:szCs w:val="24"/>
        </w:rPr>
        <w:t xml:space="preserve"> and ensure appropriate linkages to social services. </w:t>
      </w:r>
      <w:r>
        <w:rPr>
          <w:szCs w:val="24"/>
        </w:rPr>
        <w:t xml:space="preserve">These include, but are not limited to, </w:t>
      </w:r>
      <w:r w:rsidR="00E14342">
        <w:rPr>
          <w:szCs w:val="24"/>
        </w:rPr>
        <w:t xml:space="preserve">the services described below. </w:t>
      </w:r>
    </w:p>
    <w:p w14:paraId="38B9CB12" w14:textId="77777777" w:rsidR="00B23D3B" w:rsidRDefault="00B23D3B" w:rsidP="00B23D3B">
      <w:pPr>
        <w:jc w:val="both"/>
        <w:rPr>
          <w:szCs w:val="24"/>
        </w:rPr>
      </w:pPr>
    </w:p>
    <w:p w14:paraId="21E3014E" w14:textId="73F3FE61" w:rsidR="00B23D3B" w:rsidRDefault="00A561E0" w:rsidP="00B23D3B">
      <w:pPr>
        <w:jc w:val="both"/>
        <w:rPr>
          <w:szCs w:val="24"/>
        </w:rPr>
      </w:pPr>
      <w:r>
        <w:rPr>
          <w:szCs w:val="24"/>
        </w:rPr>
        <w:lastRenderedPageBreak/>
        <w:t>T</w:t>
      </w:r>
      <w:r w:rsidR="00B23D3B" w:rsidRPr="00A6518C">
        <w:rPr>
          <w:szCs w:val="24"/>
        </w:rPr>
        <w:t>o address the social determinants of health that might prevent a patient from completing treatment</w:t>
      </w:r>
      <w:r>
        <w:rPr>
          <w:szCs w:val="24"/>
        </w:rPr>
        <w:t>, p</w:t>
      </w:r>
      <w:r w:rsidR="00B23D3B" w:rsidRPr="00A6518C">
        <w:rPr>
          <w:szCs w:val="24"/>
        </w:rPr>
        <w:t>atient navigation and social work services provide patients with timely, compassionate support and connect patients to essential resources, including transportation and interpreter services</w:t>
      </w:r>
      <w:r>
        <w:rPr>
          <w:szCs w:val="24"/>
        </w:rPr>
        <w:t>.</w:t>
      </w:r>
      <w:r w:rsidR="00B23D3B" w:rsidRPr="00A6518C">
        <w:rPr>
          <w:szCs w:val="24"/>
        </w:rPr>
        <w:t xml:space="preserve"> </w:t>
      </w:r>
    </w:p>
    <w:p w14:paraId="660F7384" w14:textId="77777777" w:rsidR="00B23D3B" w:rsidRPr="00A6518C" w:rsidRDefault="00B23D3B" w:rsidP="00B23D3B">
      <w:pPr>
        <w:jc w:val="both"/>
        <w:rPr>
          <w:szCs w:val="24"/>
        </w:rPr>
      </w:pPr>
    </w:p>
    <w:p w14:paraId="5FDE7EE7" w14:textId="17E25F16" w:rsidR="00D11BD0" w:rsidRDefault="00A561E0" w:rsidP="00B23D3B">
      <w:pPr>
        <w:jc w:val="both"/>
        <w:rPr>
          <w:szCs w:val="24"/>
        </w:rPr>
      </w:pPr>
      <w:r>
        <w:rPr>
          <w:szCs w:val="24"/>
        </w:rPr>
        <w:t>The</w:t>
      </w:r>
      <w:r w:rsidR="00D11BD0" w:rsidRPr="00D11BD0">
        <w:rPr>
          <w:szCs w:val="24"/>
        </w:rPr>
        <w:t xml:space="preserve"> Applicant </w:t>
      </w:r>
      <w:r>
        <w:rPr>
          <w:szCs w:val="24"/>
        </w:rPr>
        <w:t xml:space="preserve">also </w:t>
      </w:r>
      <w:r w:rsidR="00D11BD0" w:rsidRPr="00D11BD0">
        <w:rPr>
          <w:szCs w:val="24"/>
        </w:rPr>
        <w:t xml:space="preserve">provides patients with resource specialists who </w:t>
      </w:r>
      <w:r>
        <w:rPr>
          <w:szCs w:val="24"/>
        </w:rPr>
        <w:t>seek</w:t>
      </w:r>
      <w:r w:rsidR="00D11BD0" w:rsidRPr="00D11BD0">
        <w:rPr>
          <w:szCs w:val="24"/>
        </w:rPr>
        <w:t xml:space="preserve"> to address patients</w:t>
      </w:r>
      <w:r w:rsidR="002340EA">
        <w:rPr>
          <w:szCs w:val="24"/>
        </w:rPr>
        <w:t>’</w:t>
      </w:r>
      <w:r w:rsidR="00D11BD0" w:rsidRPr="00D11BD0">
        <w:rPr>
          <w:szCs w:val="24"/>
        </w:rPr>
        <w:t xml:space="preserve"> social determinant</w:t>
      </w:r>
      <w:r w:rsidR="00902410">
        <w:rPr>
          <w:szCs w:val="24"/>
        </w:rPr>
        <w:t>s</w:t>
      </w:r>
      <w:r w:rsidR="00D11BD0" w:rsidRPr="00D11BD0">
        <w:rPr>
          <w:szCs w:val="24"/>
        </w:rPr>
        <w:t xml:space="preserve"> of health needs. These </w:t>
      </w:r>
      <w:r>
        <w:rPr>
          <w:szCs w:val="24"/>
        </w:rPr>
        <w:t>r</w:t>
      </w:r>
      <w:r w:rsidR="00D11BD0" w:rsidRPr="00D11BD0">
        <w:rPr>
          <w:szCs w:val="24"/>
        </w:rPr>
        <w:t xml:space="preserve">esource </w:t>
      </w:r>
      <w:r>
        <w:rPr>
          <w:szCs w:val="24"/>
        </w:rPr>
        <w:t>s</w:t>
      </w:r>
      <w:r w:rsidR="00D11BD0" w:rsidRPr="00D11BD0">
        <w:rPr>
          <w:szCs w:val="24"/>
        </w:rPr>
        <w:t xml:space="preserve">pecialists </w:t>
      </w:r>
      <w:r>
        <w:rPr>
          <w:szCs w:val="24"/>
        </w:rPr>
        <w:t xml:space="preserve">focus </w:t>
      </w:r>
      <w:r w:rsidR="00902410">
        <w:rPr>
          <w:szCs w:val="24"/>
        </w:rPr>
        <w:t xml:space="preserve">on </w:t>
      </w:r>
      <w:r>
        <w:rPr>
          <w:szCs w:val="24"/>
        </w:rPr>
        <w:t>alleviating</w:t>
      </w:r>
      <w:r w:rsidR="00D11BD0" w:rsidRPr="00D11BD0">
        <w:rPr>
          <w:szCs w:val="24"/>
        </w:rPr>
        <w:t xml:space="preserve"> the financial burden that cancer places on individuals and their families by securing concrete supportive assistance, including short-term lodging/housing accommodation, such as the Hope Lodge operated by the American Cancer Society</w:t>
      </w:r>
      <w:r w:rsidR="00496A8B">
        <w:rPr>
          <w:szCs w:val="24"/>
        </w:rPr>
        <w:t>,</w:t>
      </w:r>
      <w:r w:rsidR="00D11BD0" w:rsidRPr="00D11BD0">
        <w:rPr>
          <w:szCs w:val="24"/>
        </w:rPr>
        <w:t xml:space="preserve"> and financial supports from foundations and other local resources. Additionally, Pharmacy Resource Specialists assist with the frequently high co-pays for cancer-related medications (</w:t>
      </w:r>
      <w:r w:rsidR="00D11BD0" w:rsidRPr="00D11BD0">
        <w:rPr>
          <w:i/>
          <w:iCs/>
          <w:szCs w:val="24"/>
        </w:rPr>
        <w:t>e.g.</w:t>
      </w:r>
      <w:r w:rsidR="00D11BD0" w:rsidRPr="00D11BD0">
        <w:rPr>
          <w:szCs w:val="24"/>
        </w:rPr>
        <w:t>, by assisting patients with navigating insurance coverage). Providing patients with these services ensures patients have reduced barriers to care through the provision of the necessary support and tools to complete their treatment regimen</w:t>
      </w:r>
      <w:r w:rsidR="00EE220D">
        <w:rPr>
          <w:szCs w:val="24"/>
        </w:rPr>
        <w:t>s</w:t>
      </w:r>
      <w:r w:rsidR="00D11BD0" w:rsidRPr="00D11BD0">
        <w:rPr>
          <w:szCs w:val="24"/>
        </w:rPr>
        <w:t>, thereby reducing unnecessary readmissions and visits.</w:t>
      </w:r>
    </w:p>
    <w:p w14:paraId="07DA4D63" w14:textId="16AC023C" w:rsidR="00B23D3B" w:rsidRPr="00A6518C" w:rsidRDefault="00B23D3B" w:rsidP="00B23D3B">
      <w:pPr>
        <w:jc w:val="both"/>
        <w:rPr>
          <w:szCs w:val="24"/>
        </w:rPr>
      </w:pPr>
      <w:r w:rsidRPr="00A6518C">
        <w:rPr>
          <w:szCs w:val="24"/>
        </w:rPr>
        <w:t xml:space="preserve"> </w:t>
      </w:r>
    </w:p>
    <w:p w14:paraId="1C75E73B" w14:textId="5179566A" w:rsidR="00886CCD" w:rsidRDefault="00A561E0" w:rsidP="00375C9C">
      <w:pPr>
        <w:jc w:val="both"/>
        <w:rPr>
          <w:szCs w:val="24"/>
        </w:rPr>
      </w:pPr>
      <w:r>
        <w:rPr>
          <w:szCs w:val="24"/>
        </w:rPr>
        <w:t>Additionally</w:t>
      </w:r>
      <w:r w:rsidR="00B23D3B" w:rsidRPr="00A6518C">
        <w:rPr>
          <w:szCs w:val="24"/>
        </w:rPr>
        <w:t>, the Applicant also launched a state-of-the-art mobile mammography van equipped with new tomosynthesis imaging technology.</w:t>
      </w:r>
      <w:r w:rsidR="00375C9C">
        <w:rPr>
          <w:szCs w:val="24"/>
        </w:rPr>
        <w:t xml:space="preserve"> </w:t>
      </w:r>
      <w:r w:rsidR="00584E13">
        <w:rPr>
          <w:szCs w:val="24"/>
        </w:rPr>
        <w:t xml:space="preserve">By bringing the most efficient and innovative technologies to </w:t>
      </w:r>
      <w:r w:rsidR="003C5A42">
        <w:rPr>
          <w:szCs w:val="24"/>
        </w:rPr>
        <w:t>underserved neighborhoods,</w:t>
      </w:r>
      <w:r w:rsidR="00375C9C" w:rsidRPr="00375C9C">
        <w:rPr>
          <w:szCs w:val="24"/>
        </w:rPr>
        <w:t xml:space="preserve"> the </w:t>
      </w:r>
      <w:r w:rsidR="00DD55AA">
        <w:rPr>
          <w:szCs w:val="24"/>
        </w:rPr>
        <w:t>m</w:t>
      </w:r>
      <w:r w:rsidR="00375C9C" w:rsidRPr="00375C9C">
        <w:rPr>
          <w:szCs w:val="24"/>
        </w:rPr>
        <w:t xml:space="preserve">ammography </w:t>
      </w:r>
      <w:r w:rsidR="00DD55AA">
        <w:rPr>
          <w:szCs w:val="24"/>
        </w:rPr>
        <w:t>v</w:t>
      </w:r>
      <w:r w:rsidR="00375C9C" w:rsidRPr="00375C9C">
        <w:rPr>
          <w:szCs w:val="24"/>
        </w:rPr>
        <w:t>an provides vital early detection services for populations that statistically receive later diagnoses and experience worse outcomes.</w:t>
      </w:r>
      <w:r w:rsidR="00B23D3B" w:rsidRPr="00A6518C">
        <w:rPr>
          <w:szCs w:val="24"/>
        </w:rPr>
        <w:t xml:space="preserve"> This mobile van has </w:t>
      </w:r>
      <w:r>
        <w:rPr>
          <w:szCs w:val="24"/>
        </w:rPr>
        <w:t xml:space="preserve">increased </w:t>
      </w:r>
      <w:r w:rsidR="00B23D3B" w:rsidRPr="00A6518C">
        <w:rPr>
          <w:szCs w:val="24"/>
        </w:rPr>
        <w:t>access</w:t>
      </w:r>
      <w:r w:rsidR="00530B7C">
        <w:rPr>
          <w:szCs w:val="24"/>
        </w:rPr>
        <w:t xml:space="preserve"> to</w:t>
      </w:r>
      <w:r w:rsidR="00B23D3B" w:rsidRPr="00A6518C">
        <w:rPr>
          <w:szCs w:val="24"/>
        </w:rPr>
        <w:t xml:space="preserve"> early detection, screening, and cancer prevention services</w:t>
      </w:r>
      <w:r w:rsidR="00530B7C">
        <w:rPr>
          <w:szCs w:val="24"/>
        </w:rPr>
        <w:t xml:space="preserve"> to</w:t>
      </w:r>
      <w:r w:rsidR="00B23D3B" w:rsidRPr="00A6518C">
        <w:rPr>
          <w:szCs w:val="24"/>
        </w:rPr>
        <w:t xml:space="preserve"> at-risk, historically marginalized, and diverse populations</w:t>
      </w:r>
      <w:r w:rsidR="00530B7C">
        <w:rPr>
          <w:szCs w:val="24"/>
        </w:rPr>
        <w:t>.</w:t>
      </w:r>
      <w:r w:rsidR="00B23D3B" w:rsidRPr="00A6518C">
        <w:rPr>
          <w:szCs w:val="24"/>
        </w:rPr>
        <w:t xml:space="preserve"> </w:t>
      </w:r>
      <w:r w:rsidR="0078681A">
        <w:rPr>
          <w:szCs w:val="24"/>
        </w:rPr>
        <w:t>For example, s</w:t>
      </w:r>
      <w:r w:rsidR="00335063" w:rsidRPr="00335063">
        <w:rPr>
          <w:szCs w:val="24"/>
        </w:rPr>
        <w:t xml:space="preserve">ince program inception in April 2002, </w:t>
      </w:r>
      <w:r w:rsidR="00530B7C">
        <w:rPr>
          <w:szCs w:val="24"/>
        </w:rPr>
        <w:t xml:space="preserve">the </w:t>
      </w:r>
      <w:r w:rsidR="00DD55AA">
        <w:rPr>
          <w:szCs w:val="24"/>
        </w:rPr>
        <w:t>m</w:t>
      </w:r>
      <w:r w:rsidR="00335063" w:rsidRPr="00335063">
        <w:rPr>
          <w:szCs w:val="24"/>
        </w:rPr>
        <w:t xml:space="preserve">ammography </w:t>
      </w:r>
      <w:r w:rsidR="00530B7C">
        <w:rPr>
          <w:szCs w:val="24"/>
        </w:rPr>
        <w:t>v</w:t>
      </w:r>
      <w:r w:rsidR="00335063" w:rsidRPr="00335063">
        <w:rPr>
          <w:szCs w:val="24"/>
        </w:rPr>
        <w:t xml:space="preserve">an has provided more than 52,000 mammograms to more than 23,000 unique patients. </w:t>
      </w:r>
      <w:r w:rsidR="00335063">
        <w:rPr>
          <w:szCs w:val="24"/>
        </w:rPr>
        <w:t>Further, s</w:t>
      </w:r>
      <w:r w:rsidR="00335063" w:rsidRPr="00335063">
        <w:rPr>
          <w:szCs w:val="24"/>
        </w:rPr>
        <w:t xml:space="preserve">ince program inception in October 2013, the </w:t>
      </w:r>
      <w:r w:rsidR="00530B7C">
        <w:rPr>
          <w:szCs w:val="24"/>
        </w:rPr>
        <w:t>m</w:t>
      </w:r>
      <w:r w:rsidR="00335063" w:rsidRPr="00335063">
        <w:rPr>
          <w:szCs w:val="24"/>
        </w:rPr>
        <w:t xml:space="preserve">ammography </w:t>
      </w:r>
      <w:r w:rsidR="00530B7C">
        <w:rPr>
          <w:szCs w:val="24"/>
        </w:rPr>
        <w:t>s</w:t>
      </w:r>
      <w:r w:rsidR="00335063" w:rsidRPr="00335063">
        <w:rPr>
          <w:szCs w:val="24"/>
        </w:rPr>
        <w:t>uite</w:t>
      </w:r>
      <w:r w:rsidR="00335063">
        <w:rPr>
          <w:szCs w:val="24"/>
        </w:rPr>
        <w:t xml:space="preserve"> at the Whitt</w:t>
      </w:r>
      <w:r w:rsidR="00956361">
        <w:rPr>
          <w:szCs w:val="24"/>
        </w:rPr>
        <w:t>i</w:t>
      </w:r>
      <w:r w:rsidR="00335063">
        <w:rPr>
          <w:szCs w:val="24"/>
        </w:rPr>
        <w:t>er Street Health Center</w:t>
      </w:r>
      <w:r w:rsidR="00335063" w:rsidRPr="00335063">
        <w:rPr>
          <w:szCs w:val="24"/>
        </w:rPr>
        <w:t xml:space="preserve"> has provided more than 5,900 mammograms to more than 3,000 unique patients.</w:t>
      </w:r>
      <w:r w:rsidR="00886CCD" w:rsidRPr="00A6518C">
        <w:rPr>
          <w:szCs w:val="24"/>
        </w:rPr>
        <w:t xml:space="preserve"> </w:t>
      </w:r>
    </w:p>
    <w:p w14:paraId="4DF865EA" w14:textId="77777777" w:rsidR="00375C9C" w:rsidRDefault="00375C9C" w:rsidP="00375C9C">
      <w:pPr>
        <w:jc w:val="both"/>
        <w:rPr>
          <w:szCs w:val="24"/>
        </w:rPr>
      </w:pPr>
    </w:p>
    <w:p w14:paraId="6DA58C37" w14:textId="40530320" w:rsidR="00356FB2" w:rsidRDefault="00375C9C" w:rsidP="00375C9C">
      <w:pPr>
        <w:jc w:val="both"/>
        <w:rPr>
          <w:szCs w:val="24"/>
        </w:rPr>
      </w:pPr>
      <w:r w:rsidRPr="00375C9C">
        <w:rPr>
          <w:szCs w:val="24"/>
        </w:rPr>
        <w:t xml:space="preserve">The </w:t>
      </w:r>
      <w:r w:rsidR="00DD55AA">
        <w:rPr>
          <w:szCs w:val="24"/>
        </w:rPr>
        <w:t>m</w:t>
      </w:r>
      <w:r w:rsidRPr="00375C9C">
        <w:rPr>
          <w:szCs w:val="24"/>
        </w:rPr>
        <w:t xml:space="preserve">ammography </w:t>
      </w:r>
      <w:r w:rsidR="00DD55AA">
        <w:rPr>
          <w:szCs w:val="24"/>
        </w:rPr>
        <w:t>v</w:t>
      </w:r>
      <w:r w:rsidRPr="00375C9C">
        <w:rPr>
          <w:szCs w:val="24"/>
        </w:rPr>
        <w:t>an program also provides community outreach events (</w:t>
      </w:r>
      <w:r w:rsidR="00DD55AA" w:rsidRPr="00DD55AA">
        <w:rPr>
          <w:i/>
          <w:iCs/>
          <w:szCs w:val="24"/>
        </w:rPr>
        <w:t>e.g.</w:t>
      </w:r>
      <w:r w:rsidR="00DD55AA">
        <w:rPr>
          <w:szCs w:val="24"/>
        </w:rPr>
        <w:t xml:space="preserve">, </w:t>
      </w:r>
      <w:r w:rsidRPr="00375C9C">
        <w:rPr>
          <w:szCs w:val="24"/>
        </w:rPr>
        <w:t xml:space="preserve">health fairs and workshops) annually to reduce </w:t>
      </w:r>
      <w:r w:rsidR="00DD55AA">
        <w:rPr>
          <w:szCs w:val="24"/>
        </w:rPr>
        <w:t xml:space="preserve">barriers to </w:t>
      </w:r>
      <w:r w:rsidRPr="00375C9C">
        <w:rPr>
          <w:szCs w:val="24"/>
        </w:rPr>
        <w:t>access by delivering information pertaining to health insurance and breast health education</w:t>
      </w:r>
      <w:r w:rsidR="003C5A42">
        <w:rPr>
          <w:szCs w:val="24"/>
        </w:rPr>
        <w:t xml:space="preserve"> and to ensure that underserved communities are able to obtain access to subspecialty oncology care when needed</w:t>
      </w:r>
      <w:r w:rsidRPr="00375C9C">
        <w:rPr>
          <w:szCs w:val="24"/>
        </w:rPr>
        <w:t xml:space="preserve">. The services provided by the </w:t>
      </w:r>
      <w:r w:rsidR="00DD55AA">
        <w:rPr>
          <w:szCs w:val="24"/>
        </w:rPr>
        <w:t>Applicant’s</w:t>
      </w:r>
      <w:r w:rsidRPr="00375C9C">
        <w:rPr>
          <w:szCs w:val="24"/>
        </w:rPr>
        <w:t xml:space="preserve"> </w:t>
      </w:r>
      <w:r w:rsidR="00DD55AA">
        <w:rPr>
          <w:szCs w:val="24"/>
        </w:rPr>
        <w:t>m</w:t>
      </w:r>
      <w:r w:rsidRPr="00375C9C">
        <w:rPr>
          <w:szCs w:val="24"/>
        </w:rPr>
        <w:t xml:space="preserve">ammography </w:t>
      </w:r>
      <w:r w:rsidR="00DD55AA">
        <w:rPr>
          <w:szCs w:val="24"/>
        </w:rPr>
        <w:t>v</w:t>
      </w:r>
      <w:r w:rsidRPr="00375C9C">
        <w:rPr>
          <w:szCs w:val="24"/>
        </w:rPr>
        <w:t xml:space="preserve">an and the </w:t>
      </w:r>
      <w:r w:rsidR="00DD55AA">
        <w:rPr>
          <w:szCs w:val="24"/>
        </w:rPr>
        <w:t>m</w:t>
      </w:r>
      <w:r w:rsidRPr="00375C9C">
        <w:rPr>
          <w:szCs w:val="24"/>
        </w:rPr>
        <w:t xml:space="preserve">ammography suite at Whittier Street Health Center are linked to increased access to care at </w:t>
      </w:r>
      <w:r w:rsidR="00DD55AA">
        <w:rPr>
          <w:szCs w:val="24"/>
        </w:rPr>
        <w:t>the Applicant’s facility</w:t>
      </w:r>
      <w:r w:rsidRPr="00375C9C">
        <w:rPr>
          <w:szCs w:val="24"/>
        </w:rPr>
        <w:t xml:space="preserve"> through </w:t>
      </w:r>
      <w:r w:rsidR="00DD55AA">
        <w:rPr>
          <w:szCs w:val="24"/>
        </w:rPr>
        <w:t>the Applicant’s</w:t>
      </w:r>
      <w:r w:rsidRPr="00375C9C">
        <w:rPr>
          <w:szCs w:val="24"/>
        </w:rPr>
        <w:t xml:space="preserve"> </w:t>
      </w:r>
      <w:r w:rsidR="009F6E56">
        <w:rPr>
          <w:szCs w:val="24"/>
        </w:rPr>
        <w:t xml:space="preserve">patient navigation program </w:t>
      </w:r>
      <w:r w:rsidRPr="00375C9C">
        <w:rPr>
          <w:szCs w:val="24"/>
        </w:rPr>
        <w:t xml:space="preserve">(previously described in Section F1.b.iii).  </w:t>
      </w:r>
      <w:r w:rsidR="009F6E56">
        <w:rPr>
          <w:szCs w:val="24"/>
        </w:rPr>
        <w:t>P</w:t>
      </w:r>
      <w:r w:rsidR="009F6E56" w:rsidRPr="00375C9C">
        <w:rPr>
          <w:szCs w:val="24"/>
        </w:rPr>
        <w:t>atients</w:t>
      </w:r>
      <w:r w:rsidR="009F6E56">
        <w:rPr>
          <w:szCs w:val="24"/>
        </w:rPr>
        <w:t xml:space="preserve"> that use</w:t>
      </w:r>
      <w:r w:rsidR="009F6E56" w:rsidRPr="00375C9C">
        <w:rPr>
          <w:szCs w:val="24"/>
        </w:rPr>
        <w:t xml:space="preserve"> </w:t>
      </w:r>
      <w:r w:rsidR="009F6E56">
        <w:rPr>
          <w:szCs w:val="24"/>
        </w:rPr>
        <w:t>the m</w:t>
      </w:r>
      <w:r w:rsidRPr="00375C9C">
        <w:rPr>
          <w:szCs w:val="24"/>
        </w:rPr>
        <w:t>ammography van and suite</w:t>
      </w:r>
      <w:r w:rsidR="00356FB2">
        <w:rPr>
          <w:szCs w:val="24"/>
        </w:rPr>
        <w:t xml:space="preserve"> at Whittier Street Health Center</w:t>
      </w:r>
      <w:r w:rsidRPr="00375C9C">
        <w:rPr>
          <w:szCs w:val="24"/>
        </w:rPr>
        <w:t xml:space="preserve"> </w:t>
      </w:r>
      <w:r w:rsidR="009F6E56">
        <w:rPr>
          <w:szCs w:val="24"/>
        </w:rPr>
        <w:t>who need</w:t>
      </w:r>
      <w:r w:rsidRPr="00375C9C">
        <w:rPr>
          <w:szCs w:val="24"/>
        </w:rPr>
        <w:t xml:space="preserve"> additional health care services choose where they would like to receive follow</w:t>
      </w:r>
      <w:r w:rsidR="003C5A42">
        <w:rPr>
          <w:szCs w:val="24"/>
        </w:rPr>
        <w:t>-</w:t>
      </w:r>
      <w:r w:rsidRPr="00375C9C">
        <w:rPr>
          <w:szCs w:val="24"/>
        </w:rPr>
        <w:t xml:space="preserve">up care. If </w:t>
      </w:r>
      <w:r w:rsidR="009F6E56">
        <w:rPr>
          <w:szCs w:val="24"/>
        </w:rPr>
        <w:t>those patients</w:t>
      </w:r>
      <w:r w:rsidRPr="00375C9C">
        <w:rPr>
          <w:szCs w:val="24"/>
        </w:rPr>
        <w:t xml:space="preserve"> choose </w:t>
      </w:r>
      <w:r w:rsidR="00DD55AA">
        <w:rPr>
          <w:szCs w:val="24"/>
        </w:rPr>
        <w:t>to receive care at the Applicant</w:t>
      </w:r>
      <w:r w:rsidR="009F6E56">
        <w:rPr>
          <w:szCs w:val="24"/>
        </w:rPr>
        <w:t>’s facility</w:t>
      </w:r>
      <w:r w:rsidRPr="00375C9C">
        <w:rPr>
          <w:szCs w:val="24"/>
        </w:rPr>
        <w:t xml:space="preserve">, </w:t>
      </w:r>
      <w:r w:rsidR="00DD55AA">
        <w:rPr>
          <w:szCs w:val="24"/>
        </w:rPr>
        <w:t xml:space="preserve">the Applicant’s </w:t>
      </w:r>
      <w:r w:rsidRPr="00375C9C">
        <w:rPr>
          <w:szCs w:val="24"/>
        </w:rPr>
        <w:t xml:space="preserve">team immediately connects them to a new patient coordinator, who assists with ensuring access to an initial appointment with </w:t>
      </w:r>
      <w:r w:rsidR="00DD55AA">
        <w:rPr>
          <w:szCs w:val="24"/>
        </w:rPr>
        <w:t>the</w:t>
      </w:r>
      <w:r w:rsidR="009F6E56">
        <w:rPr>
          <w:szCs w:val="24"/>
        </w:rPr>
        <w:t xml:space="preserve"> Applicant’s</w:t>
      </w:r>
      <w:r w:rsidR="00DD55AA">
        <w:rPr>
          <w:szCs w:val="24"/>
        </w:rPr>
        <w:t xml:space="preserve"> </w:t>
      </w:r>
      <w:r w:rsidRPr="00375C9C">
        <w:rPr>
          <w:szCs w:val="24"/>
        </w:rPr>
        <w:t>breast oncology team and informs the breast cancer patient navigator to ensure continuity of care.</w:t>
      </w:r>
      <w:r w:rsidR="0076531B">
        <w:rPr>
          <w:szCs w:val="24"/>
        </w:rPr>
        <w:t xml:space="preserve"> </w:t>
      </w:r>
      <w:r w:rsidR="00356FB2">
        <w:rPr>
          <w:szCs w:val="24"/>
        </w:rPr>
        <w:t>Information from FY2023 regarding the</w:t>
      </w:r>
      <w:r w:rsidR="0076531B">
        <w:rPr>
          <w:szCs w:val="24"/>
        </w:rPr>
        <w:t xml:space="preserve"> number of patients </w:t>
      </w:r>
      <w:r w:rsidR="00356FB2">
        <w:rPr>
          <w:szCs w:val="24"/>
        </w:rPr>
        <w:t>receiving</w:t>
      </w:r>
      <w:r w:rsidR="0076531B">
        <w:rPr>
          <w:szCs w:val="24"/>
        </w:rPr>
        <w:t xml:space="preserve"> screenings through either the mammography van or </w:t>
      </w:r>
      <w:r w:rsidR="00356FB2">
        <w:rPr>
          <w:szCs w:val="24"/>
        </w:rPr>
        <w:t xml:space="preserve">the </w:t>
      </w:r>
      <w:r w:rsidR="0076531B">
        <w:rPr>
          <w:szCs w:val="24"/>
        </w:rPr>
        <w:t>mammography suite</w:t>
      </w:r>
      <w:r w:rsidR="00356FB2">
        <w:rPr>
          <w:szCs w:val="24"/>
        </w:rPr>
        <w:t xml:space="preserve"> at Whittier Street Health Center </w:t>
      </w:r>
      <w:r w:rsidR="0076531B">
        <w:rPr>
          <w:szCs w:val="24"/>
        </w:rPr>
        <w:t>and follow-up care at the Applicant in 2023 is shown</w:t>
      </w:r>
      <w:r w:rsidR="00356FB2">
        <w:rPr>
          <w:szCs w:val="24"/>
        </w:rPr>
        <w:t xml:space="preserve"> in the table below. </w:t>
      </w:r>
    </w:p>
    <w:p w14:paraId="5B7618E8" w14:textId="77777777" w:rsidR="00356FB2" w:rsidRDefault="00356FB2" w:rsidP="00375C9C">
      <w:pPr>
        <w:jc w:val="both"/>
        <w:rPr>
          <w:szCs w:val="24"/>
        </w:rPr>
      </w:pPr>
    </w:p>
    <w:p w14:paraId="776A8798" w14:textId="77777777" w:rsidR="00356FB2" w:rsidRDefault="00356FB2" w:rsidP="00375C9C">
      <w:pPr>
        <w:jc w:val="both"/>
        <w:rPr>
          <w:szCs w:val="24"/>
        </w:rPr>
      </w:pPr>
    </w:p>
    <w:p w14:paraId="657727B1" w14:textId="77777777" w:rsidR="00356FB2" w:rsidRDefault="00356FB2" w:rsidP="00375C9C">
      <w:pPr>
        <w:jc w:val="both"/>
        <w:rPr>
          <w:szCs w:val="24"/>
        </w:rPr>
      </w:pPr>
    </w:p>
    <w:p w14:paraId="355D1C55" w14:textId="4CE0C1C9" w:rsidR="00375C9C" w:rsidRDefault="0076531B" w:rsidP="00375C9C">
      <w:pPr>
        <w:jc w:val="both"/>
        <w:rPr>
          <w:szCs w:val="24"/>
        </w:rPr>
      </w:pPr>
      <w:r>
        <w:rPr>
          <w:szCs w:val="24"/>
        </w:rPr>
        <w:t xml:space="preserve"> </w:t>
      </w:r>
    </w:p>
    <w:p w14:paraId="788C156C" w14:textId="311EC0EE" w:rsidR="00356FB2" w:rsidRDefault="00356FB2" w:rsidP="00375C9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5"/>
        <w:gridCol w:w="3185"/>
        <w:gridCol w:w="3730"/>
      </w:tblGrid>
      <w:tr w:rsidR="00356FB2" w:rsidRPr="0076531B" w14:paraId="300244F4" w14:textId="77777777" w:rsidTr="00EE61CD">
        <w:trPr>
          <w:cantSplit/>
          <w:tblHeader/>
        </w:trPr>
        <w:tc>
          <w:tcPr>
            <w:tcW w:w="2425" w:type="dxa"/>
            <w:shd w:val="clear" w:color="auto" w:fill="D9D9D9"/>
            <w:tcMar>
              <w:top w:w="0" w:type="dxa"/>
              <w:left w:w="108" w:type="dxa"/>
              <w:bottom w:w="0" w:type="dxa"/>
              <w:right w:w="108" w:type="dxa"/>
            </w:tcMar>
            <w:vAlign w:val="center"/>
            <w:hideMark/>
          </w:tcPr>
          <w:p w14:paraId="05990337" w14:textId="77777777" w:rsidR="00356FB2" w:rsidRPr="0076531B" w:rsidRDefault="00356FB2" w:rsidP="00843106">
            <w:pPr>
              <w:jc w:val="both"/>
              <w:rPr>
                <w:szCs w:val="24"/>
              </w:rPr>
            </w:pPr>
            <w:r w:rsidRPr="0076531B">
              <w:rPr>
                <w:szCs w:val="24"/>
              </w:rPr>
              <w:t> </w:t>
            </w:r>
          </w:p>
        </w:tc>
        <w:tc>
          <w:tcPr>
            <w:tcW w:w="3185" w:type="dxa"/>
            <w:shd w:val="clear" w:color="auto" w:fill="D9D9D9"/>
            <w:tcMar>
              <w:top w:w="0" w:type="dxa"/>
              <w:left w:w="108" w:type="dxa"/>
              <w:bottom w:w="0" w:type="dxa"/>
              <w:right w:w="108" w:type="dxa"/>
            </w:tcMar>
            <w:vAlign w:val="center"/>
            <w:hideMark/>
          </w:tcPr>
          <w:p w14:paraId="5A1D0382" w14:textId="77777777" w:rsidR="00356FB2" w:rsidRPr="0076531B" w:rsidRDefault="00356FB2" w:rsidP="00843106">
            <w:pPr>
              <w:jc w:val="center"/>
              <w:rPr>
                <w:b/>
                <w:bCs/>
                <w:szCs w:val="24"/>
              </w:rPr>
            </w:pPr>
            <w:r w:rsidRPr="0076531B">
              <w:rPr>
                <w:b/>
                <w:bCs/>
                <w:szCs w:val="24"/>
              </w:rPr>
              <w:t>Mammography Van</w:t>
            </w:r>
          </w:p>
        </w:tc>
        <w:tc>
          <w:tcPr>
            <w:tcW w:w="3730" w:type="dxa"/>
            <w:shd w:val="clear" w:color="auto" w:fill="D9D9D9"/>
            <w:tcMar>
              <w:top w:w="0" w:type="dxa"/>
              <w:left w:w="108" w:type="dxa"/>
              <w:bottom w:w="0" w:type="dxa"/>
              <w:right w:w="108" w:type="dxa"/>
            </w:tcMar>
            <w:vAlign w:val="center"/>
            <w:hideMark/>
          </w:tcPr>
          <w:p w14:paraId="261C8AB7" w14:textId="77777777" w:rsidR="00356FB2" w:rsidRPr="0076531B" w:rsidRDefault="00356FB2" w:rsidP="00843106">
            <w:pPr>
              <w:jc w:val="center"/>
              <w:rPr>
                <w:b/>
                <w:bCs/>
                <w:szCs w:val="24"/>
              </w:rPr>
            </w:pPr>
            <w:r w:rsidRPr="0076531B">
              <w:rPr>
                <w:b/>
                <w:bCs/>
                <w:szCs w:val="24"/>
              </w:rPr>
              <w:t>Whittier Mammography Suite</w:t>
            </w:r>
          </w:p>
        </w:tc>
      </w:tr>
      <w:tr w:rsidR="00356FB2" w:rsidRPr="0076531B" w14:paraId="74F76179" w14:textId="77777777" w:rsidTr="00EE61CD">
        <w:trPr>
          <w:cantSplit/>
        </w:trPr>
        <w:tc>
          <w:tcPr>
            <w:tcW w:w="2425" w:type="dxa"/>
            <w:shd w:val="clear" w:color="auto" w:fill="FFFFFF" w:themeFill="background1"/>
            <w:tcMar>
              <w:top w:w="0" w:type="dxa"/>
              <w:left w:w="108" w:type="dxa"/>
              <w:bottom w:w="0" w:type="dxa"/>
              <w:right w:w="108" w:type="dxa"/>
            </w:tcMar>
            <w:vAlign w:val="center"/>
            <w:hideMark/>
          </w:tcPr>
          <w:p w14:paraId="621C2080" w14:textId="74D7F373" w:rsidR="00356FB2" w:rsidRPr="0076531B" w:rsidRDefault="00356FB2" w:rsidP="00843106">
            <w:pPr>
              <w:rPr>
                <w:szCs w:val="24"/>
              </w:rPr>
            </w:pPr>
            <w:r>
              <w:rPr>
                <w:szCs w:val="24"/>
              </w:rPr>
              <w:t>Patient Screenings</w:t>
            </w:r>
          </w:p>
        </w:tc>
        <w:tc>
          <w:tcPr>
            <w:tcW w:w="3185" w:type="dxa"/>
            <w:tcMar>
              <w:top w:w="0" w:type="dxa"/>
              <w:left w:w="108" w:type="dxa"/>
              <w:bottom w:w="0" w:type="dxa"/>
              <w:right w:w="108" w:type="dxa"/>
            </w:tcMar>
            <w:vAlign w:val="center"/>
            <w:hideMark/>
          </w:tcPr>
          <w:p w14:paraId="6C17C2DC" w14:textId="77777777" w:rsidR="00356FB2" w:rsidRPr="0076531B" w:rsidRDefault="00356FB2" w:rsidP="00356FB2">
            <w:pPr>
              <w:jc w:val="center"/>
              <w:rPr>
                <w:szCs w:val="24"/>
              </w:rPr>
            </w:pPr>
            <w:r w:rsidRPr="0076531B">
              <w:rPr>
                <w:szCs w:val="24"/>
              </w:rPr>
              <w:t>1,516</w:t>
            </w:r>
          </w:p>
        </w:tc>
        <w:tc>
          <w:tcPr>
            <w:tcW w:w="3730" w:type="dxa"/>
            <w:tcMar>
              <w:top w:w="0" w:type="dxa"/>
              <w:left w:w="108" w:type="dxa"/>
              <w:bottom w:w="0" w:type="dxa"/>
              <w:right w:w="108" w:type="dxa"/>
            </w:tcMar>
            <w:vAlign w:val="center"/>
            <w:hideMark/>
          </w:tcPr>
          <w:p w14:paraId="669B757E" w14:textId="77777777" w:rsidR="00356FB2" w:rsidRPr="0076531B" w:rsidRDefault="00356FB2" w:rsidP="00356FB2">
            <w:pPr>
              <w:jc w:val="center"/>
              <w:rPr>
                <w:szCs w:val="24"/>
              </w:rPr>
            </w:pPr>
            <w:r w:rsidRPr="0076531B">
              <w:rPr>
                <w:szCs w:val="24"/>
              </w:rPr>
              <w:t>712</w:t>
            </w:r>
          </w:p>
        </w:tc>
      </w:tr>
      <w:tr w:rsidR="00356FB2" w:rsidRPr="0076531B" w14:paraId="4B5AB35A" w14:textId="77777777" w:rsidTr="00EE61CD">
        <w:trPr>
          <w:cantSplit/>
        </w:trPr>
        <w:tc>
          <w:tcPr>
            <w:tcW w:w="2425" w:type="dxa"/>
            <w:shd w:val="clear" w:color="auto" w:fill="FFFFFF" w:themeFill="background1"/>
            <w:tcMar>
              <w:top w:w="0" w:type="dxa"/>
              <w:left w:w="108" w:type="dxa"/>
              <w:bottom w:w="0" w:type="dxa"/>
              <w:right w:w="108" w:type="dxa"/>
            </w:tcMar>
            <w:vAlign w:val="center"/>
            <w:hideMark/>
          </w:tcPr>
          <w:p w14:paraId="51636514" w14:textId="285252BE" w:rsidR="00356FB2" w:rsidRPr="0076531B" w:rsidRDefault="00356FB2" w:rsidP="00843106">
            <w:pPr>
              <w:rPr>
                <w:szCs w:val="24"/>
              </w:rPr>
            </w:pPr>
            <w:r>
              <w:rPr>
                <w:szCs w:val="24"/>
              </w:rPr>
              <w:t xml:space="preserve">Patients Requiring Diagnostic Treatment </w:t>
            </w:r>
          </w:p>
        </w:tc>
        <w:tc>
          <w:tcPr>
            <w:tcW w:w="3185" w:type="dxa"/>
            <w:tcMar>
              <w:top w:w="0" w:type="dxa"/>
              <w:left w:w="108" w:type="dxa"/>
              <w:bottom w:w="0" w:type="dxa"/>
              <w:right w:w="108" w:type="dxa"/>
            </w:tcMar>
            <w:vAlign w:val="center"/>
            <w:hideMark/>
          </w:tcPr>
          <w:p w14:paraId="6D298F7F" w14:textId="01F3E627" w:rsidR="00356FB2" w:rsidRPr="0076531B" w:rsidRDefault="00356FB2" w:rsidP="00356FB2">
            <w:pPr>
              <w:jc w:val="center"/>
              <w:rPr>
                <w:szCs w:val="24"/>
              </w:rPr>
            </w:pPr>
            <w:r w:rsidRPr="0076531B">
              <w:rPr>
                <w:szCs w:val="24"/>
              </w:rPr>
              <w:t>206 (13.6%</w:t>
            </w:r>
            <w:r>
              <w:rPr>
                <w:szCs w:val="24"/>
              </w:rPr>
              <w:t xml:space="preserve"> of patient screenings</w:t>
            </w:r>
            <w:r w:rsidRPr="0076531B">
              <w:rPr>
                <w:szCs w:val="24"/>
              </w:rPr>
              <w:t>)</w:t>
            </w:r>
          </w:p>
        </w:tc>
        <w:tc>
          <w:tcPr>
            <w:tcW w:w="3730" w:type="dxa"/>
            <w:tcMar>
              <w:top w:w="0" w:type="dxa"/>
              <w:left w:w="108" w:type="dxa"/>
              <w:bottom w:w="0" w:type="dxa"/>
              <w:right w:w="108" w:type="dxa"/>
            </w:tcMar>
            <w:vAlign w:val="center"/>
            <w:hideMark/>
          </w:tcPr>
          <w:p w14:paraId="6E72F62B" w14:textId="69120060" w:rsidR="00356FB2" w:rsidRPr="0076531B" w:rsidRDefault="00356FB2" w:rsidP="00356FB2">
            <w:pPr>
              <w:jc w:val="center"/>
              <w:rPr>
                <w:szCs w:val="24"/>
              </w:rPr>
            </w:pPr>
            <w:r w:rsidRPr="0076531B">
              <w:rPr>
                <w:szCs w:val="24"/>
              </w:rPr>
              <w:t>102 (14.3%</w:t>
            </w:r>
            <w:r>
              <w:rPr>
                <w:szCs w:val="24"/>
              </w:rPr>
              <w:t xml:space="preserve"> of patient screenings</w:t>
            </w:r>
            <w:r w:rsidRPr="0076531B">
              <w:rPr>
                <w:szCs w:val="24"/>
              </w:rPr>
              <w:t>)</w:t>
            </w:r>
          </w:p>
        </w:tc>
      </w:tr>
      <w:tr w:rsidR="00356FB2" w:rsidRPr="0076531B" w14:paraId="07883EB0" w14:textId="77777777" w:rsidTr="00EE61CD">
        <w:trPr>
          <w:cantSplit/>
        </w:trPr>
        <w:tc>
          <w:tcPr>
            <w:tcW w:w="2425" w:type="dxa"/>
            <w:shd w:val="clear" w:color="auto" w:fill="FFFFFF" w:themeFill="background1"/>
            <w:tcMar>
              <w:top w:w="0" w:type="dxa"/>
              <w:left w:w="108" w:type="dxa"/>
              <w:bottom w:w="0" w:type="dxa"/>
              <w:right w:w="108" w:type="dxa"/>
            </w:tcMar>
            <w:vAlign w:val="center"/>
            <w:hideMark/>
          </w:tcPr>
          <w:p w14:paraId="719F548A" w14:textId="3136012A" w:rsidR="00356FB2" w:rsidRPr="0076531B" w:rsidRDefault="00356FB2" w:rsidP="00843106">
            <w:pPr>
              <w:rPr>
                <w:szCs w:val="24"/>
              </w:rPr>
            </w:pPr>
            <w:r>
              <w:rPr>
                <w:szCs w:val="24"/>
              </w:rPr>
              <w:t>Patients Receiving Diagnostic Treatment w/Applicant</w:t>
            </w:r>
          </w:p>
        </w:tc>
        <w:tc>
          <w:tcPr>
            <w:tcW w:w="3185" w:type="dxa"/>
            <w:tcMar>
              <w:top w:w="0" w:type="dxa"/>
              <w:left w:w="108" w:type="dxa"/>
              <w:bottom w:w="0" w:type="dxa"/>
              <w:right w:w="108" w:type="dxa"/>
            </w:tcMar>
            <w:vAlign w:val="center"/>
            <w:hideMark/>
          </w:tcPr>
          <w:p w14:paraId="087B31F7" w14:textId="6AB316E1" w:rsidR="00356FB2" w:rsidRPr="0076531B" w:rsidRDefault="00356FB2" w:rsidP="00356FB2">
            <w:pPr>
              <w:jc w:val="center"/>
              <w:rPr>
                <w:szCs w:val="24"/>
              </w:rPr>
            </w:pPr>
            <w:r w:rsidRPr="0076531B">
              <w:rPr>
                <w:szCs w:val="24"/>
              </w:rPr>
              <w:t>54 (26.2%</w:t>
            </w:r>
            <w:r>
              <w:rPr>
                <w:szCs w:val="24"/>
              </w:rPr>
              <w:t xml:space="preserve"> of patients requiring diagnostic treatment</w:t>
            </w:r>
            <w:r w:rsidRPr="0076531B">
              <w:rPr>
                <w:szCs w:val="24"/>
              </w:rPr>
              <w:t>)</w:t>
            </w:r>
          </w:p>
        </w:tc>
        <w:tc>
          <w:tcPr>
            <w:tcW w:w="3730" w:type="dxa"/>
            <w:tcMar>
              <w:top w:w="0" w:type="dxa"/>
              <w:left w:w="108" w:type="dxa"/>
              <w:bottom w:w="0" w:type="dxa"/>
              <w:right w:w="108" w:type="dxa"/>
            </w:tcMar>
            <w:vAlign w:val="center"/>
            <w:hideMark/>
          </w:tcPr>
          <w:p w14:paraId="79387FB5" w14:textId="03B348FA" w:rsidR="00356FB2" w:rsidRPr="0076531B" w:rsidRDefault="00356FB2" w:rsidP="00356FB2">
            <w:pPr>
              <w:jc w:val="center"/>
              <w:rPr>
                <w:szCs w:val="24"/>
              </w:rPr>
            </w:pPr>
            <w:r w:rsidRPr="0076531B">
              <w:rPr>
                <w:szCs w:val="24"/>
              </w:rPr>
              <w:t>59 (57.3%</w:t>
            </w:r>
            <w:r>
              <w:rPr>
                <w:szCs w:val="24"/>
              </w:rPr>
              <w:t xml:space="preserve"> of patients requiring diagnostic treatment</w:t>
            </w:r>
            <w:r w:rsidRPr="0076531B">
              <w:rPr>
                <w:szCs w:val="24"/>
              </w:rPr>
              <w:t>)</w:t>
            </w:r>
          </w:p>
        </w:tc>
      </w:tr>
    </w:tbl>
    <w:p w14:paraId="5014C650" w14:textId="273A8BD1" w:rsidR="00375C9C" w:rsidRPr="00375C9C" w:rsidRDefault="00375C9C" w:rsidP="00375C9C">
      <w:pPr>
        <w:jc w:val="both"/>
        <w:rPr>
          <w:szCs w:val="24"/>
        </w:rPr>
      </w:pPr>
    </w:p>
    <w:p w14:paraId="6A27430A" w14:textId="77777777" w:rsidR="00375C9C" w:rsidRDefault="00375C9C" w:rsidP="00375C9C">
      <w:pPr>
        <w:jc w:val="both"/>
        <w:rPr>
          <w:szCs w:val="24"/>
        </w:rPr>
      </w:pPr>
      <w:r w:rsidRPr="00375C9C">
        <w:rPr>
          <w:szCs w:val="24"/>
        </w:rPr>
        <w:t xml:space="preserve">The patient navigator program, which supports patients </w:t>
      </w:r>
      <w:r w:rsidR="009F6E56">
        <w:rPr>
          <w:szCs w:val="24"/>
        </w:rPr>
        <w:t>who receive</w:t>
      </w:r>
      <w:r w:rsidRPr="00375C9C">
        <w:rPr>
          <w:szCs w:val="24"/>
        </w:rPr>
        <w:t xml:space="preserve"> abnormal findings, enables </w:t>
      </w:r>
      <w:r w:rsidR="00DD55AA">
        <w:rPr>
          <w:szCs w:val="24"/>
        </w:rPr>
        <w:t>the Applicant</w:t>
      </w:r>
      <w:r w:rsidRPr="00375C9C">
        <w:rPr>
          <w:szCs w:val="24"/>
        </w:rPr>
        <w:t xml:space="preserve"> to reduce access barriers by supporting patients through their cancer journey. The program provides additional support to </w:t>
      </w:r>
      <w:r w:rsidR="009F6E56">
        <w:rPr>
          <w:szCs w:val="24"/>
        </w:rPr>
        <w:t>its</w:t>
      </w:r>
      <w:r w:rsidRPr="00375C9C">
        <w:rPr>
          <w:szCs w:val="24"/>
        </w:rPr>
        <w:t xml:space="preserve"> patients by identifying individual needs and providing the appropriate assistance, eliminating barriers to timely diagnosis and treatment, and helping to navigate health</w:t>
      </w:r>
      <w:r w:rsidR="00EA64EB">
        <w:rPr>
          <w:szCs w:val="24"/>
        </w:rPr>
        <w:t xml:space="preserve"> </w:t>
      </w:r>
      <w:r w:rsidRPr="00375C9C">
        <w:rPr>
          <w:szCs w:val="24"/>
        </w:rPr>
        <w:t>care system complexities and logistics throughout the cancer continuum.</w:t>
      </w:r>
    </w:p>
    <w:p w14:paraId="68E354EC" w14:textId="77777777" w:rsidR="0076531B" w:rsidRDefault="0076531B" w:rsidP="00375C9C">
      <w:pPr>
        <w:jc w:val="both"/>
        <w:rPr>
          <w:szCs w:val="24"/>
        </w:rPr>
      </w:pPr>
    </w:p>
    <w:p w14:paraId="1C70B25D" w14:textId="4308E996" w:rsidR="0076531B" w:rsidRPr="00375C9C" w:rsidRDefault="0076531B" w:rsidP="00375C9C">
      <w:pPr>
        <w:jc w:val="both"/>
        <w:rPr>
          <w:szCs w:val="24"/>
        </w:rPr>
        <w:sectPr w:rsidR="0076531B" w:rsidRPr="00375C9C">
          <w:pgSz w:w="12240" w:h="15840"/>
          <w:pgMar w:top="1440" w:right="1440" w:bottom="1440" w:left="1440" w:header="720" w:footer="720" w:gutter="0"/>
          <w:cols w:space="720"/>
          <w:docGrid w:linePitch="360"/>
        </w:sectPr>
      </w:pPr>
    </w:p>
    <w:p w14:paraId="2A7761CB" w14:textId="77777777" w:rsidR="00886CCD" w:rsidRPr="00FA1DD3" w:rsidRDefault="00886CCD" w:rsidP="00886CCD">
      <w:pPr>
        <w:pStyle w:val="RBUBullets"/>
        <w:spacing w:after="0"/>
        <w:rPr>
          <w:b/>
          <w:szCs w:val="24"/>
          <w:u w:val="single"/>
        </w:rPr>
      </w:pPr>
      <w:bookmarkStart w:id="27" w:name="_Hlk143616528"/>
      <w:r w:rsidRPr="00FA1DD3">
        <w:rPr>
          <w:b/>
          <w:szCs w:val="24"/>
          <w:u w:val="single"/>
        </w:rPr>
        <w:lastRenderedPageBreak/>
        <w:t>Factor 5</w:t>
      </w:r>
      <w:r w:rsidRPr="00FA1DD3">
        <w:rPr>
          <w:b/>
          <w:szCs w:val="24"/>
          <w:u w:val="single"/>
        </w:rPr>
        <w:tab/>
        <w:t>Relative Merit</w:t>
      </w:r>
    </w:p>
    <w:p w14:paraId="302BFF3A" w14:textId="27A11F72" w:rsidR="00B23D3B" w:rsidRDefault="00886CCD" w:rsidP="00B23D3B">
      <w:pPr>
        <w:pStyle w:val="RBUBullets"/>
        <w:spacing w:after="0"/>
        <w:rPr>
          <w:b/>
          <w:bCs/>
          <w:szCs w:val="24"/>
        </w:rPr>
      </w:pPr>
      <w:r w:rsidRPr="00FA1DD3">
        <w:rPr>
          <w:b/>
          <w:bCs/>
          <w:szCs w:val="24"/>
        </w:rPr>
        <w:t>Describe the process of analysis and the conclusion that the Proposed Project, on balance, is superior to alternative and substitute methods for meeting the existing</w:t>
      </w:r>
      <w:r w:rsidR="002611F1">
        <w:rPr>
          <w:b/>
          <w:bCs/>
          <w:szCs w:val="24"/>
        </w:rPr>
        <w:t xml:space="preserve"> </w:t>
      </w:r>
      <w:r w:rsidR="00356D5D">
        <w:rPr>
          <w:b/>
          <w:bCs/>
          <w:szCs w:val="24"/>
        </w:rPr>
        <w:t>P</w:t>
      </w:r>
      <w:r w:rsidR="00744BA5">
        <w:rPr>
          <w:b/>
          <w:bCs/>
          <w:szCs w:val="24"/>
        </w:rPr>
        <w:t xml:space="preserve">atient </w:t>
      </w:r>
      <w:r w:rsidR="00356D5D">
        <w:rPr>
          <w:b/>
          <w:bCs/>
          <w:szCs w:val="24"/>
        </w:rPr>
        <w:t>P</w:t>
      </w:r>
      <w:r w:rsidR="00744BA5">
        <w:rPr>
          <w:b/>
          <w:bCs/>
          <w:szCs w:val="24"/>
        </w:rPr>
        <w:t>anel</w:t>
      </w:r>
      <w:r w:rsidRPr="00FA1DD3">
        <w:rPr>
          <w:b/>
          <w:bCs/>
          <w:szCs w:val="24"/>
        </w:rPr>
        <w:t xml:space="preserve">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r w:rsidR="00A72DED" w:rsidRPr="00FA1DD3">
        <w:rPr>
          <w:b/>
          <w:bCs/>
          <w:szCs w:val="24"/>
        </w:rPr>
        <w:t xml:space="preserve">. </w:t>
      </w:r>
    </w:p>
    <w:p w14:paraId="22EB2059" w14:textId="77777777" w:rsidR="00B23D3B" w:rsidRDefault="00B23D3B" w:rsidP="00B23D3B">
      <w:pPr>
        <w:pStyle w:val="RBUBullets"/>
        <w:spacing w:after="0"/>
        <w:rPr>
          <w:b/>
          <w:bCs/>
          <w:szCs w:val="24"/>
        </w:rPr>
      </w:pPr>
    </w:p>
    <w:p w14:paraId="3144CCBA" w14:textId="3E05A9AB" w:rsidR="00B23D3B" w:rsidRDefault="00B23D3B" w:rsidP="00B23D3B">
      <w:pPr>
        <w:pStyle w:val="RBUBullets"/>
        <w:spacing w:after="0"/>
        <w:rPr>
          <w:szCs w:val="24"/>
        </w:rPr>
      </w:pPr>
      <w:r w:rsidRPr="009969D0">
        <w:rPr>
          <w:szCs w:val="24"/>
        </w:rPr>
        <w:t>The Applicant</w:t>
      </w:r>
      <w:r>
        <w:rPr>
          <w:szCs w:val="24"/>
        </w:rPr>
        <w:t xml:space="preserve"> has engaged in a multi-year strategic planning process to assess how best to expand access, address the unmet need of its</w:t>
      </w:r>
      <w:r w:rsidR="002611F1">
        <w:rPr>
          <w:szCs w:val="24"/>
        </w:rPr>
        <w:t xml:space="preserve"> </w:t>
      </w:r>
      <w:r w:rsidR="00744BA5">
        <w:rPr>
          <w:szCs w:val="24"/>
        </w:rPr>
        <w:t>patient panel</w:t>
      </w:r>
      <w:r>
        <w:rPr>
          <w:szCs w:val="24"/>
        </w:rPr>
        <w:t>, ensure continuity of care, and further its clinical and academic mission in light of the limited remaining term of its arrangement with BWH</w:t>
      </w:r>
      <w:r w:rsidR="0071196D">
        <w:rPr>
          <w:szCs w:val="24"/>
        </w:rPr>
        <w:t xml:space="preserve">, and </w:t>
      </w:r>
      <w:r w:rsidR="0071196D">
        <w:rPr>
          <w:rFonts w:eastAsia="Times New Roman"/>
        </w:rPr>
        <w:t xml:space="preserve">decided that a new </w:t>
      </w:r>
      <w:r w:rsidR="001B7F48">
        <w:rPr>
          <w:rFonts w:eastAsia="Times New Roman"/>
        </w:rPr>
        <w:t>F</w:t>
      </w:r>
      <w:r w:rsidR="0071196D">
        <w:rPr>
          <w:rFonts w:eastAsia="Times New Roman"/>
        </w:rPr>
        <w:t>acility with expanded inpatient capacity was necessary for patient care</w:t>
      </w:r>
      <w:r>
        <w:rPr>
          <w:szCs w:val="24"/>
        </w:rPr>
        <w:t>. Through that process, several key criteria were identified. The new Facility must be contiguous to the Applicant</w:t>
      </w:r>
      <w:r w:rsidR="002340EA">
        <w:rPr>
          <w:szCs w:val="24"/>
        </w:rPr>
        <w:t>’</w:t>
      </w:r>
      <w:r>
        <w:rPr>
          <w:szCs w:val="24"/>
        </w:rPr>
        <w:t>s existing care locations to ensure seamless integration of services and to foster interdisciplinary collaboration among healthcare professionals. The center must be dedicated exclusively to cancer care, consistent with the Applicant</w:t>
      </w:r>
      <w:r w:rsidR="002340EA">
        <w:rPr>
          <w:szCs w:val="24"/>
        </w:rPr>
        <w:t>’</w:t>
      </w:r>
      <w:r>
        <w:rPr>
          <w:szCs w:val="24"/>
        </w:rPr>
        <w:t xml:space="preserve">s commitment to specialized treatment and research in oncology. The layout and operations must be designed to significantly reduce the fragmentation of care, enhancing both the quality and continuity of patient services and ability to care for non-cancer care needs of medically complex and highly acute patients. Finally, the new </w:t>
      </w:r>
      <w:r w:rsidR="00EE220D">
        <w:rPr>
          <w:szCs w:val="24"/>
        </w:rPr>
        <w:t>Facility</w:t>
      </w:r>
      <w:r>
        <w:rPr>
          <w:szCs w:val="24"/>
        </w:rPr>
        <w:t xml:space="preserve"> must be equipped with state-of-the-art research capabilities to advance the Applicant</w:t>
      </w:r>
      <w:r w:rsidR="002340EA">
        <w:rPr>
          <w:szCs w:val="24"/>
        </w:rPr>
        <w:t>’</w:t>
      </w:r>
      <w:r>
        <w:rPr>
          <w:szCs w:val="24"/>
        </w:rPr>
        <w:t xml:space="preserve">s institutional mission in the domain of cancer research. </w:t>
      </w:r>
    </w:p>
    <w:p w14:paraId="376EBF9B" w14:textId="77777777" w:rsidR="00B23D3B" w:rsidRDefault="00B23D3B" w:rsidP="00B23D3B">
      <w:pPr>
        <w:pStyle w:val="RBUBullets"/>
        <w:spacing w:after="0"/>
        <w:rPr>
          <w:szCs w:val="24"/>
        </w:rPr>
      </w:pPr>
    </w:p>
    <w:p w14:paraId="2EB97474" w14:textId="04E77327" w:rsidR="00B23D3B" w:rsidRDefault="00B23D3B" w:rsidP="00B23D3B">
      <w:pPr>
        <w:pStyle w:val="RBUBullets"/>
        <w:spacing w:after="0"/>
        <w:rPr>
          <w:szCs w:val="24"/>
        </w:rPr>
      </w:pPr>
      <w:r>
        <w:rPr>
          <w:szCs w:val="24"/>
        </w:rPr>
        <w:t>As part of that process, the Applicant evaluated a wide variety of options. The A</w:t>
      </w:r>
      <w:r w:rsidRPr="009969D0">
        <w:rPr>
          <w:szCs w:val="24"/>
        </w:rPr>
        <w:t xml:space="preserve">pplicant </w:t>
      </w:r>
      <w:r>
        <w:rPr>
          <w:szCs w:val="24"/>
        </w:rPr>
        <w:t xml:space="preserve">also </w:t>
      </w:r>
      <w:r w:rsidRPr="009969D0">
        <w:rPr>
          <w:szCs w:val="24"/>
        </w:rPr>
        <w:t xml:space="preserve">engaged in extensive discussions with </w:t>
      </w:r>
      <w:r>
        <w:rPr>
          <w:szCs w:val="24"/>
        </w:rPr>
        <w:t>MGB</w:t>
      </w:r>
      <w:r w:rsidRPr="009969D0">
        <w:rPr>
          <w:szCs w:val="24"/>
        </w:rPr>
        <w:t xml:space="preserve"> regarding a </w:t>
      </w:r>
      <w:r>
        <w:rPr>
          <w:szCs w:val="24"/>
        </w:rPr>
        <w:t>new affiliation to replace the existing arrangement</w:t>
      </w:r>
      <w:r w:rsidRPr="009969D0">
        <w:rPr>
          <w:szCs w:val="24"/>
        </w:rPr>
        <w:t xml:space="preserve">, including the potential to add increased inpatient cancer capacity. Ultimately, those discussions were not successful, and </w:t>
      </w:r>
      <w:r>
        <w:rPr>
          <w:szCs w:val="24"/>
        </w:rPr>
        <w:t xml:space="preserve">as a result, </w:t>
      </w:r>
      <w:r w:rsidRPr="009969D0">
        <w:rPr>
          <w:szCs w:val="24"/>
        </w:rPr>
        <w:t xml:space="preserve">the </w:t>
      </w:r>
      <w:r>
        <w:rPr>
          <w:szCs w:val="24"/>
        </w:rPr>
        <w:t xml:space="preserve">current affiliation </w:t>
      </w:r>
      <w:r w:rsidRPr="009969D0">
        <w:rPr>
          <w:szCs w:val="24"/>
        </w:rPr>
        <w:t xml:space="preserve">will </w:t>
      </w:r>
      <w:r w:rsidR="00CA3B33">
        <w:rPr>
          <w:szCs w:val="24"/>
        </w:rPr>
        <w:t xml:space="preserve">be coming to an </w:t>
      </w:r>
      <w:r w:rsidRPr="009969D0">
        <w:rPr>
          <w:szCs w:val="24"/>
        </w:rPr>
        <w:t>end.</w:t>
      </w:r>
      <w:r>
        <w:rPr>
          <w:szCs w:val="24"/>
        </w:rPr>
        <w:t xml:space="preserve"> </w:t>
      </w:r>
    </w:p>
    <w:p w14:paraId="1BB54323" w14:textId="77777777" w:rsidR="00B23D3B" w:rsidRDefault="00B23D3B" w:rsidP="00B23D3B">
      <w:pPr>
        <w:pStyle w:val="RBUBullets"/>
        <w:spacing w:after="0"/>
        <w:rPr>
          <w:szCs w:val="24"/>
        </w:rPr>
      </w:pPr>
    </w:p>
    <w:p w14:paraId="13DD43A6" w14:textId="7C7EF12E" w:rsidR="00B23D3B" w:rsidRDefault="00B23D3B" w:rsidP="00B23D3B">
      <w:pPr>
        <w:pStyle w:val="RBUBullets"/>
        <w:spacing w:after="0"/>
        <w:rPr>
          <w:szCs w:val="24"/>
        </w:rPr>
      </w:pPr>
      <w:r>
        <w:rPr>
          <w:szCs w:val="24"/>
        </w:rPr>
        <w:t>Following this process, the two options that remained were for the Applicant to build an independent cancer care center (</w:t>
      </w:r>
      <w:r w:rsidR="002340EA">
        <w:rPr>
          <w:szCs w:val="24"/>
        </w:rPr>
        <w:t>“</w:t>
      </w:r>
      <w:r>
        <w:rPr>
          <w:szCs w:val="24"/>
        </w:rPr>
        <w:t>Alternative Option</w:t>
      </w:r>
      <w:r w:rsidR="002340EA">
        <w:rPr>
          <w:szCs w:val="24"/>
        </w:rPr>
        <w:t>”</w:t>
      </w:r>
      <w:r>
        <w:rPr>
          <w:szCs w:val="24"/>
        </w:rPr>
        <w:t xml:space="preserve">), or to </w:t>
      </w:r>
      <w:r w:rsidR="00DF59A1">
        <w:rPr>
          <w:szCs w:val="24"/>
        </w:rPr>
        <w:t>collaborate</w:t>
      </w:r>
      <w:r>
        <w:rPr>
          <w:szCs w:val="24"/>
        </w:rPr>
        <w:t xml:space="preserve"> with </w:t>
      </w:r>
      <w:r w:rsidR="00DF59A1">
        <w:rPr>
          <w:szCs w:val="24"/>
        </w:rPr>
        <w:t>BIDMC t</w:t>
      </w:r>
      <w:r>
        <w:rPr>
          <w:szCs w:val="24"/>
        </w:rPr>
        <w:t xml:space="preserve">o enter into the Proposed Project. </w:t>
      </w:r>
    </w:p>
    <w:p w14:paraId="2A78F80B" w14:textId="77777777" w:rsidR="00B23D3B" w:rsidRDefault="00B23D3B" w:rsidP="00B23D3B">
      <w:pPr>
        <w:pStyle w:val="RBUBullets"/>
        <w:spacing w:after="0"/>
        <w:rPr>
          <w:szCs w:val="24"/>
        </w:rPr>
      </w:pPr>
    </w:p>
    <w:p w14:paraId="7DD0956F" w14:textId="5D0E20BC" w:rsidR="00B23D3B" w:rsidRDefault="00B23D3B" w:rsidP="00B23D3B">
      <w:pPr>
        <w:pStyle w:val="RBUBullets"/>
        <w:spacing w:after="0"/>
        <w:rPr>
          <w:szCs w:val="24"/>
        </w:rPr>
      </w:pPr>
      <w:r>
        <w:rPr>
          <w:szCs w:val="24"/>
        </w:rPr>
        <w:t xml:space="preserve">Below is a summary comparison of the Proposed Project and </w:t>
      </w:r>
      <w:r w:rsidR="00D11BD0">
        <w:rPr>
          <w:szCs w:val="24"/>
        </w:rPr>
        <w:t>Alternative Option</w:t>
      </w:r>
      <w:r>
        <w:rPr>
          <w:szCs w:val="24"/>
        </w:rPr>
        <w:t>, with respect to quality, efficiency, capital expense, and operating cost, along with a more detailed discussion of the Proposed Project and each option against the same characteristics.</w:t>
      </w:r>
    </w:p>
    <w:p w14:paraId="4601C28D" w14:textId="77777777" w:rsidR="00B23D3B" w:rsidRDefault="00B23D3B" w:rsidP="00B23D3B">
      <w:pPr>
        <w:pStyle w:val="RBUBullets"/>
        <w:spacing w:after="0"/>
        <w:rPr>
          <w:szCs w:val="24"/>
        </w:rPr>
      </w:pPr>
    </w:p>
    <w:p w14:paraId="4C91858C" w14:textId="3FBD210E" w:rsidR="00B23D3B" w:rsidRDefault="00B23D3B" w:rsidP="00B23D3B">
      <w:pPr>
        <w:pStyle w:val="RBUBullets"/>
        <w:spacing w:after="0"/>
        <w:rPr>
          <w:szCs w:val="24"/>
        </w:rPr>
      </w:pPr>
      <w:r>
        <w:rPr>
          <w:b/>
          <w:bCs/>
          <w:szCs w:val="24"/>
        </w:rPr>
        <w:t>Quality</w:t>
      </w:r>
      <w:r>
        <w:rPr>
          <w:szCs w:val="24"/>
        </w:rPr>
        <w:t xml:space="preserve">: The Proposed Project provides the Applicant with the facility upgrades and clinical control it needs to provide care of the quality and complexity required of a world-class cancer center. Through a clinical </w:t>
      </w:r>
      <w:r w:rsidR="00213456">
        <w:rPr>
          <w:szCs w:val="24"/>
        </w:rPr>
        <w:t>collaboration</w:t>
      </w:r>
      <w:r>
        <w:rPr>
          <w:szCs w:val="24"/>
        </w:rPr>
        <w:t xml:space="preserve"> with BIDMC, the Applicant can better manage continuity of care with a consistent clinical partner for surgical oncology services and other cancer-adjacent services. Care continuity is more challenging under the Alternative Option, where the Applicant would have no consistent clinical partner with which to coordinate care. As such, the Proposed Project is the superior option on quality. </w:t>
      </w:r>
    </w:p>
    <w:p w14:paraId="05BD1C09" w14:textId="77777777" w:rsidR="00B23D3B" w:rsidRDefault="00B23D3B" w:rsidP="00B23D3B">
      <w:pPr>
        <w:pStyle w:val="RBUBullets"/>
        <w:spacing w:after="0"/>
        <w:rPr>
          <w:szCs w:val="24"/>
        </w:rPr>
      </w:pPr>
    </w:p>
    <w:p w14:paraId="42E94662" w14:textId="3AFFB6C7" w:rsidR="00B23D3B" w:rsidRDefault="00B23D3B" w:rsidP="00B23D3B">
      <w:pPr>
        <w:pStyle w:val="RBUBullets"/>
        <w:spacing w:after="0"/>
        <w:rPr>
          <w:szCs w:val="24"/>
        </w:rPr>
      </w:pPr>
      <w:r>
        <w:rPr>
          <w:b/>
          <w:bCs/>
          <w:szCs w:val="24"/>
        </w:rPr>
        <w:t>Efficiency</w:t>
      </w:r>
      <w:r>
        <w:rPr>
          <w:szCs w:val="24"/>
        </w:rPr>
        <w:t xml:space="preserve">: The Proposed Project vests the Applicant with full control over the full continuum of medical oncology services provided to its patients in the new Facility, while leveraging the </w:t>
      </w:r>
      <w:r>
        <w:rPr>
          <w:szCs w:val="24"/>
        </w:rPr>
        <w:lastRenderedPageBreak/>
        <w:t xml:space="preserve">expertise and facilities of its clinical partner, BIDMC, to provide surgical oncology services to its patients. The Applicant and BIDMC have also committed to a long-term relationship that provides the Applicant with greater certainty over its future operations and greater comfort in committing to making long-term investments in the new Facility and in care coordination with BIDMC, improving the efficiency and quality of patient care overall. If the Applicant were to pursue the Alternative Option, it would be required to establish a new surgical oncology service line in order to offer its patients the full continuum of cancer care. </w:t>
      </w:r>
      <w:r w:rsidR="000F6B5F">
        <w:rPr>
          <w:szCs w:val="24"/>
        </w:rPr>
        <w:t>The Applicant</w:t>
      </w:r>
      <w:r w:rsidR="00D22708">
        <w:rPr>
          <w:szCs w:val="24"/>
        </w:rPr>
        <w:t xml:space="preserve"> does not currently operate </w:t>
      </w:r>
      <w:r w:rsidR="00E01079">
        <w:rPr>
          <w:szCs w:val="24"/>
        </w:rPr>
        <w:t>surgical</w:t>
      </w:r>
      <w:r w:rsidR="00D22708">
        <w:rPr>
          <w:szCs w:val="24"/>
        </w:rPr>
        <w:t xml:space="preserve"> </w:t>
      </w:r>
      <w:r w:rsidR="00E01079">
        <w:rPr>
          <w:szCs w:val="24"/>
        </w:rPr>
        <w:t xml:space="preserve">suites </w:t>
      </w:r>
      <w:r w:rsidR="000F6B5F">
        <w:rPr>
          <w:szCs w:val="24"/>
        </w:rPr>
        <w:t xml:space="preserve">and doing so may result, at least initially, in some operational and administrative inefficiencies and challenges. By avoiding the addition of surgical oncology facilities in the new Facility, </w:t>
      </w:r>
      <w:r>
        <w:rPr>
          <w:szCs w:val="24"/>
        </w:rPr>
        <w:t xml:space="preserve">the Applicant is able to avoid significant construction and equipment expenditures. As such, the Proposed Project is </w:t>
      </w:r>
      <w:r w:rsidR="00516A7B">
        <w:rPr>
          <w:szCs w:val="24"/>
        </w:rPr>
        <w:t xml:space="preserve">can achieve greater efficiency. </w:t>
      </w:r>
    </w:p>
    <w:p w14:paraId="0A3DF186" w14:textId="77777777" w:rsidR="00B23D3B" w:rsidRDefault="00B23D3B" w:rsidP="00B23D3B">
      <w:pPr>
        <w:pStyle w:val="RBUBullets"/>
        <w:spacing w:after="0"/>
        <w:rPr>
          <w:szCs w:val="24"/>
        </w:rPr>
      </w:pPr>
    </w:p>
    <w:p w14:paraId="056765F1" w14:textId="0C7BD422" w:rsidR="00B23D3B" w:rsidRDefault="00B23D3B" w:rsidP="00B23D3B">
      <w:pPr>
        <w:pStyle w:val="RBUBullets"/>
        <w:spacing w:after="0"/>
        <w:rPr>
          <w:szCs w:val="24"/>
        </w:rPr>
      </w:pPr>
      <w:r>
        <w:rPr>
          <w:b/>
          <w:bCs/>
          <w:szCs w:val="24"/>
        </w:rPr>
        <w:t>Capital Expense</w:t>
      </w:r>
      <w:r>
        <w:rPr>
          <w:szCs w:val="24"/>
        </w:rPr>
        <w:t xml:space="preserve">: The capital expenditures incurred by the Proposed Project are significantly less (approximately </w:t>
      </w:r>
      <w:r w:rsidR="00762185">
        <w:rPr>
          <w:szCs w:val="24"/>
        </w:rPr>
        <w:t>62</w:t>
      </w:r>
      <w:r>
        <w:rPr>
          <w:szCs w:val="24"/>
        </w:rPr>
        <w:t>%</w:t>
      </w:r>
      <w:r w:rsidR="001F6E10">
        <w:rPr>
          <w:szCs w:val="24"/>
        </w:rPr>
        <w:t xml:space="preserve"> lower</w:t>
      </w:r>
      <w:r>
        <w:rPr>
          <w:szCs w:val="24"/>
        </w:rPr>
        <w:t xml:space="preserve">) </w:t>
      </w:r>
      <w:r w:rsidR="00011718">
        <w:rPr>
          <w:szCs w:val="24"/>
        </w:rPr>
        <w:t>than</w:t>
      </w:r>
      <w:r>
        <w:rPr>
          <w:szCs w:val="24"/>
        </w:rPr>
        <w:t xml:space="preserve"> the capital expenditures that would be required to be incurred under the Alternative Option.</w:t>
      </w:r>
    </w:p>
    <w:p w14:paraId="6ABE943B" w14:textId="77777777" w:rsidR="00B23D3B" w:rsidRDefault="00B23D3B" w:rsidP="00B23D3B">
      <w:pPr>
        <w:pStyle w:val="RBUBullets"/>
        <w:spacing w:after="0"/>
        <w:rPr>
          <w:szCs w:val="24"/>
        </w:rPr>
      </w:pPr>
    </w:p>
    <w:p w14:paraId="2C4998CA" w14:textId="22337941" w:rsidR="00B23D3B" w:rsidRPr="008248D7" w:rsidRDefault="00B23D3B" w:rsidP="00B23D3B">
      <w:pPr>
        <w:pStyle w:val="RBUBullets"/>
        <w:spacing w:after="0"/>
        <w:rPr>
          <w:szCs w:val="24"/>
        </w:rPr>
      </w:pPr>
      <w:r>
        <w:rPr>
          <w:b/>
          <w:bCs/>
          <w:szCs w:val="24"/>
        </w:rPr>
        <w:t>Operating Costs</w:t>
      </w:r>
      <w:r>
        <w:rPr>
          <w:szCs w:val="24"/>
        </w:rPr>
        <w:t xml:space="preserve">: </w:t>
      </w:r>
      <w:r w:rsidR="001E218D">
        <w:rPr>
          <w:szCs w:val="24"/>
        </w:rPr>
        <w:t>The annual operating costs of the Proposed Project are significantly less (approximately 49% lower) than the operating expenses that would be required for the Alternative Option</w:t>
      </w:r>
      <w:r w:rsidR="00A72DED">
        <w:rPr>
          <w:szCs w:val="24"/>
        </w:rPr>
        <w:t xml:space="preserve">. </w:t>
      </w:r>
      <w:r w:rsidR="001E218D">
        <w:rPr>
          <w:szCs w:val="24"/>
        </w:rPr>
        <w:t>Currently, the Applicant does not have surgeons or other non-oncology physician</w:t>
      </w:r>
      <w:r w:rsidR="003201A8">
        <w:rPr>
          <w:szCs w:val="24"/>
        </w:rPr>
        <w:t>s</w:t>
      </w:r>
      <w:r w:rsidR="001E218D">
        <w:rPr>
          <w:szCs w:val="24"/>
        </w:rPr>
        <w:t xml:space="preserve"> on its faculty. </w:t>
      </w:r>
      <w:r w:rsidR="0028359E">
        <w:rPr>
          <w:szCs w:val="24"/>
        </w:rPr>
        <w:t>Under the Alternative Option, the Applicant</w:t>
      </w:r>
      <w:r w:rsidR="002340EA">
        <w:rPr>
          <w:szCs w:val="24"/>
        </w:rPr>
        <w:t>’</w:t>
      </w:r>
      <w:r w:rsidR="0028359E">
        <w:rPr>
          <w:szCs w:val="24"/>
        </w:rPr>
        <w:t>s operating costs would include t</w:t>
      </w:r>
      <w:r w:rsidR="001E218D">
        <w:rPr>
          <w:szCs w:val="24"/>
        </w:rPr>
        <w:t>he costs</w:t>
      </w:r>
      <w:r w:rsidR="0028359E">
        <w:rPr>
          <w:szCs w:val="24"/>
        </w:rPr>
        <w:t xml:space="preserve"> associated with hiring </w:t>
      </w:r>
      <w:r w:rsidR="001E218D">
        <w:rPr>
          <w:szCs w:val="24"/>
        </w:rPr>
        <w:t>surgeons and other physician specialties, the administrative support staff for those functions</w:t>
      </w:r>
      <w:r w:rsidR="0028359E">
        <w:rPr>
          <w:szCs w:val="24"/>
        </w:rPr>
        <w:t>,</w:t>
      </w:r>
      <w:r w:rsidR="001E218D">
        <w:rPr>
          <w:szCs w:val="24"/>
        </w:rPr>
        <w:t xml:space="preserve"> as well as the facility costs, </w:t>
      </w:r>
      <w:r w:rsidR="00A72DED">
        <w:rPr>
          <w:szCs w:val="24"/>
        </w:rPr>
        <w:t>maintenance,</w:t>
      </w:r>
      <w:r w:rsidR="001E218D">
        <w:rPr>
          <w:szCs w:val="24"/>
        </w:rPr>
        <w:t xml:space="preserve"> and staff to support the operation of operating rooms and a surgery facility</w:t>
      </w:r>
      <w:r w:rsidR="0028359E">
        <w:rPr>
          <w:szCs w:val="24"/>
        </w:rPr>
        <w:t xml:space="preserve">. These costs </w:t>
      </w:r>
      <w:r w:rsidR="001E218D">
        <w:rPr>
          <w:szCs w:val="24"/>
        </w:rPr>
        <w:t xml:space="preserve">would be </w:t>
      </w:r>
      <w:r w:rsidR="00011718">
        <w:rPr>
          <w:szCs w:val="24"/>
        </w:rPr>
        <w:t xml:space="preserve">a significant addition </w:t>
      </w:r>
      <w:r w:rsidR="001E218D">
        <w:rPr>
          <w:szCs w:val="24"/>
        </w:rPr>
        <w:t xml:space="preserve">to the </w:t>
      </w:r>
      <w:r w:rsidR="002816E5">
        <w:rPr>
          <w:szCs w:val="24"/>
        </w:rPr>
        <w:t xml:space="preserve">operating costs associated with operating an inpatient medical oncology </w:t>
      </w:r>
      <w:r w:rsidR="00D1045C">
        <w:rPr>
          <w:szCs w:val="24"/>
        </w:rPr>
        <w:t>F</w:t>
      </w:r>
      <w:r w:rsidR="002816E5">
        <w:rPr>
          <w:szCs w:val="24"/>
        </w:rPr>
        <w:t>acilit</w:t>
      </w:r>
      <w:r w:rsidR="00837166">
        <w:rPr>
          <w:szCs w:val="24"/>
        </w:rPr>
        <w:t>y, as contemplated under the</w:t>
      </w:r>
      <w:r w:rsidR="002816E5">
        <w:rPr>
          <w:szCs w:val="24"/>
        </w:rPr>
        <w:t xml:space="preserve"> </w:t>
      </w:r>
      <w:r w:rsidR="001E218D">
        <w:rPr>
          <w:szCs w:val="24"/>
        </w:rPr>
        <w:t>Proposed Projec</w:t>
      </w:r>
      <w:r w:rsidR="002816E5">
        <w:rPr>
          <w:szCs w:val="24"/>
        </w:rPr>
        <w:t>t.</w:t>
      </w:r>
    </w:p>
    <w:p w14:paraId="75D6DA80" w14:textId="77777777" w:rsidR="00DF3E86" w:rsidRPr="00FA1DD3" w:rsidRDefault="00DF3E86" w:rsidP="00886CCD">
      <w:pPr>
        <w:pStyle w:val="RBUBullets"/>
        <w:spacing w:after="0"/>
        <w:ind w:left="720"/>
        <w:rPr>
          <w:b/>
          <w:bCs/>
          <w:szCs w:val="24"/>
        </w:rPr>
      </w:pPr>
    </w:p>
    <w:tbl>
      <w:tblPr>
        <w:tblStyle w:val="TableGrid"/>
        <w:tblW w:w="5100" w:type="pct"/>
        <w:jc w:val="center"/>
        <w:tblLook w:val="04A0" w:firstRow="1" w:lastRow="0" w:firstColumn="1" w:lastColumn="0" w:noHBand="0" w:noVBand="1"/>
      </w:tblPr>
      <w:tblGrid>
        <w:gridCol w:w="1465"/>
        <w:gridCol w:w="3802"/>
        <w:gridCol w:w="4270"/>
      </w:tblGrid>
      <w:tr w:rsidR="00595CE3" w:rsidRPr="00FA1DD3" w14:paraId="50A0B0A7" w14:textId="77777777" w:rsidTr="00F627D9">
        <w:trPr>
          <w:cantSplit/>
          <w:tblHeader/>
          <w:jc w:val="center"/>
        </w:trPr>
        <w:tc>
          <w:tcPr>
            <w:tcW w:w="0" w:type="auto"/>
          </w:tcPr>
          <w:p w14:paraId="4E894C65" w14:textId="77777777" w:rsidR="0012232C" w:rsidRPr="00FA1DD3" w:rsidRDefault="0012232C" w:rsidP="006B22F5">
            <w:pPr>
              <w:pStyle w:val="RBUBullets"/>
              <w:spacing w:after="0"/>
              <w:rPr>
                <w:b/>
                <w:bCs/>
                <w:szCs w:val="24"/>
              </w:rPr>
            </w:pPr>
          </w:p>
        </w:tc>
        <w:tc>
          <w:tcPr>
            <w:tcW w:w="0" w:type="auto"/>
          </w:tcPr>
          <w:p w14:paraId="0444AE1D" w14:textId="77777777" w:rsidR="0012232C" w:rsidRPr="00FA1DD3" w:rsidRDefault="0012232C" w:rsidP="006B22F5">
            <w:pPr>
              <w:pStyle w:val="RBUBullets"/>
              <w:spacing w:after="0"/>
              <w:rPr>
                <w:b/>
                <w:bCs/>
                <w:szCs w:val="24"/>
              </w:rPr>
            </w:pPr>
            <w:r w:rsidRPr="00FA1DD3">
              <w:rPr>
                <w:b/>
                <w:bCs/>
                <w:szCs w:val="24"/>
              </w:rPr>
              <w:t>Proposed Project</w:t>
            </w:r>
          </w:p>
        </w:tc>
        <w:tc>
          <w:tcPr>
            <w:tcW w:w="0" w:type="auto"/>
          </w:tcPr>
          <w:p w14:paraId="59D845D5" w14:textId="1331F8B9" w:rsidR="0012232C" w:rsidRPr="00FA1DD3" w:rsidRDefault="00B73F85" w:rsidP="006B22F5">
            <w:pPr>
              <w:pStyle w:val="RBUBullets"/>
              <w:spacing w:after="0"/>
              <w:rPr>
                <w:b/>
                <w:bCs/>
                <w:szCs w:val="24"/>
              </w:rPr>
            </w:pPr>
            <w:r>
              <w:rPr>
                <w:b/>
                <w:bCs/>
                <w:szCs w:val="24"/>
              </w:rPr>
              <w:t>Alternative Option</w:t>
            </w:r>
          </w:p>
        </w:tc>
      </w:tr>
      <w:tr w:rsidR="00595CE3" w:rsidRPr="00FA1DD3" w14:paraId="786FE131" w14:textId="77777777" w:rsidTr="00F627D9">
        <w:trPr>
          <w:cantSplit/>
          <w:jc w:val="center"/>
        </w:trPr>
        <w:tc>
          <w:tcPr>
            <w:tcW w:w="0" w:type="auto"/>
          </w:tcPr>
          <w:p w14:paraId="05553819" w14:textId="3CDB7633" w:rsidR="0012232C" w:rsidRPr="00FA1DD3" w:rsidRDefault="0012232C" w:rsidP="00C519C3">
            <w:pPr>
              <w:pStyle w:val="RBUBullets"/>
              <w:spacing w:after="0"/>
              <w:rPr>
                <w:b/>
                <w:bCs/>
                <w:szCs w:val="24"/>
              </w:rPr>
            </w:pPr>
            <w:r>
              <w:rPr>
                <w:b/>
                <w:bCs/>
                <w:szCs w:val="24"/>
              </w:rPr>
              <w:t>Description</w:t>
            </w:r>
          </w:p>
        </w:tc>
        <w:tc>
          <w:tcPr>
            <w:tcW w:w="0" w:type="auto"/>
          </w:tcPr>
          <w:p w14:paraId="4384FEE8" w14:textId="59E7AA90" w:rsidR="0012232C" w:rsidRPr="007770F5" w:rsidRDefault="0012232C" w:rsidP="00C519C3">
            <w:pPr>
              <w:pStyle w:val="RBUBullets"/>
              <w:jc w:val="left"/>
            </w:pPr>
            <w:r>
              <w:t xml:space="preserve">See Project Description </w:t>
            </w:r>
          </w:p>
        </w:tc>
        <w:tc>
          <w:tcPr>
            <w:tcW w:w="0" w:type="auto"/>
          </w:tcPr>
          <w:p w14:paraId="6033D9DA" w14:textId="53BCD5E1" w:rsidR="0012232C" w:rsidRPr="00BB41E3" w:rsidRDefault="0012232C" w:rsidP="00C519C3">
            <w:pPr>
              <w:pStyle w:val="RBUBullets"/>
              <w:jc w:val="left"/>
            </w:pPr>
            <w:r>
              <w:t>The Applicant constructs and operates a completely independent comprehensive cancer center.</w:t>
            </w:r>
          </w:p>
        </w:tc>
      </w:tr>
      <w:tr w:rsidR="00595CE3" w:rsidRPr="00FA1DD3" w14:paraId="65ABF7BA" w14:textId="77777777" w:rsidTr="00F627D9">
        <w:trPr>
          <w:cantSplit/>
          <w:jc w:val="center"/>
        </w:trPr>
        <w:tc>
          <w:tcPr>
            <w:tcW w:w="0" w:type="auto"/>
          </w:tcPr>
          <w:p w14:paraId="3FA5D800" w14:textId="77777777" w:rsidR="0012232C" w:rsidRPr="00FA1DD3" w:rsidRDefault="0012232C" w:rsidP="006B22F5">
            <w:pPr>
              <w:pStyle w:val="RBUBullets"/>
              <w:spacing w:after="0"/>
              <w:rPr>
                <w:b/>
                <w:bCs/>
                <w:szCs w:val="24"/>
              </w:rPr>
            </w:pPr>
            <w:r w:rsidRPr="00FA1DD3">
              <w:rPr>
                <w:b/>
                <w:bCs/>
                <w:szCs w:val="24"/>
              </w:rPr>
              <w:t>Quality</w:t>
            </w:r>
          </w:p>
        </w:tc>
        <w:tc>
          <w:tcPr>
            <w:tcW w:w="0" w:type="auto"/>
          </w:tcPr>
          <w:p w14:paraId="2B2E9EBD" w14:textId="6923CD5F" w:rsidR="0012232C" w:rsidRDefault="0012232C" w:rsidP="007770F5">
            <w:pPr>
              <w:pStyle w:val="RBUBullets"/>
              <w:ind w:left="185" w:hanging="180"/>
              <w:jc w:val="left"/>
            </w:pPr>
            <w:r>
              <w:t>Improves and updates the facilities in which inpatient medical oncology services are delivered to the Applicant</w:t>
            </w:r>
            <w:r w:rsidR="002340EA">
              <w:t>’</w:t>
            </w:r>
            <w:r>
              <w:t>s patients</w:t>
            </w:r>
            <w:r w:rsidR="00A72DED">
              <w:t xml:space="preserve">. </w:t>
            </w:r>
          </w:p>
          <w:p w14:paraId="585C4FF7" w14:textId="685C7959" w:rsidR="0012232C" w:rsidRPr="007770F5" w:rsidRDefault="00DF59A1" w:rsidP="007770F5">
            <w:pPr>
              <w:pStyle w:val="RBUBullets"/>
              <w:ind w:left="185" w:hanging="180"/>
              <w:jc w:val="left"/>
            </w:pPr>
            <w:r>
              <w:t>Collaborates</w:t>
            </w:r>
            <w:r w:rsidR="0012232C">
              <w:t xml:space="preserve"> with BIDMC, a renowned academic medical center, to provide the Applicant</w:t>
            </w:r>
            <w:r w:rsidR="002340EA">
              <w:t>’</w:t>
            </w:r>
            <w:r w:rsidR="0012232C">
              <w:t>s patients with coordinate</w:t>
            </w:r>
            <w:r w:rsidR="00011718">
              <w:t>d</w:t>
            </w:r>
            <w:r w:rsidR="0012232C">
              <w:t xml:space="preserve"> access to high quality care across the care continuum</w:t>
            </w:r>
            <w:r w:rsidR="00A72DED">
              <w:t xml:space="preserve">. </w:t>
            </w:r>
          </w:p>
        </w:tc>
        <w:tc>
          <w:tcPr>
            <w:tcW w:w="0" w:type="auto"/>
          </w:tcPr>
          <w:p w14:paraId="68749A02" w14:textId="1F6FEF0C" w:rsidR="0012232C" w:rsidRPr="00BB41E3" w:rsidRDefault="0012232C" w:rsidP="007770F5">
            <w:pPr>
              <w:pStyle w:val="RBUBullets"/>
              <w:ind w:left="185" w:hanging="180"/>
              <w:jc w:val="left"/>
            </w:pPr>
            <w:r>
              <w:t>Lack of a primary clinical partner may reduce care coordination for essential cancer-adjacent services (</w:t>
            </w:r>
            <w:r>
              <w:rPr>
                <w:i/>
                <w:iCs/>
              </w:rPr>
              <w:t>e.g.,</w:t>
            </w:r>
            <w:r>
              <w:t xml:space="preserve"> dermatology, psychiatry, etc.)</w:t>
            </w:r>
            <w:r w:rsidR="00A72DED">
              <w:t xml:space="preserve">. </w:t>
            </w:r>
          </w:p>
        </w:tc>
      </w:tr>
      <w:tr w:rsidR="00595CE3" w:rsidRPr="00FA1DD3" w14:paraId="00D433B3" w14:textId="77777777" w:rsidTr="00F627D9">
        <w:trPr>
          <w:cantSplit/>
          <w:jc w:val="center"/>
        </w:trPr>
        <w:tc>
          <w:tcPr>
            <w:tcW w:w="0" w:type="auto"/>
          </w:tcPr>
          <w:p w14:paraId="114B9801" w14:textId="77777777" w:rsidR="0012232C" w:rsidRPr="00FA1DD3" w:rsidRDefault="0012232C" w:rsidP="006B22F5">
            <w:pPr>
              <w:pStyle w:val="RBUBullets"/>
              <w:spacing w:after="0"/>
              <w:rPr>
                <w:b/>
                <w:bCs/>
                <w:szCs w:val="24"/>
              </w:rPr>
            </w:pPr>
            <w:r w:rsidRPr="00FA1DD3">
              <w:rPr>
                <w:b/>
                <w:bCs/>
                <w:szCs w:val="24"/>
              </w:rPr>
              <w:lastRenderedPageBreak/>
              <w:t>Efficiency</w:t>
            </w:r>
          </w:p>
        </w:tc>
        <w:tc>
          <w:tcPr>
            <w:tcW w:w="0" w:type="auto"/>
          </w:tcPr>
          <w:p w14:paraId="2028D15E" w14:textId="5A90F0BF" w:rsidR="0012232C" w:rsidRDefault="0012232C" w:rsidP="007770F5">
            <w:pPr>
              <w:pStyle w:val="RBUBullets"/>
              <w:ind w:left="185" w:hanging="180"/>
              <w:jc w:val="left"/>
            </w:pPr>
            <w:r>
              <w:t xml:space="preserve">Requires </w:t>
            </w:r>
            <w:r w:rsidR="00DF59A1">
              <w:t>collaboration</w:t>
            </w:r>
            <w:r>
              <w:t xml:space="preserve"> with BIDMC, an experienced provider of surgical oncology services.</w:t>
            </w:r>
          </w:p>
          <w:p w14:paraId="49842A64" w14:textId="5C26C55F" w:rsidR="0012232C" w:rsidRDefault="0012232C" w:rsidP="007770F5">
            <w:pPr>
              <w:pStyle w:val="RBUBullets"/>
              <w:ind w:left="185" w:hanging="180"/>
              <w:jc w:val="left"/>
            </w:pPr>
            <w:r>
              <w:t>Requires that BIDMC use its existing surgical oncology facilities and equipment to provide surgical oncology services to patients</w:t>
            </w:r>
            <w:r w:rsidR="00A72DED">
              <w:t xml:space="preserve">. </w:t>
            </w:r>
          </w:p>
          <w:p w14:paraId="2A46CAEE" w14:textId="77777777" w:rsidR="0012232C" w:rsidRDefault="0012232C" w:rsidP="007770F5">
            <w:pPr>
              <w:pStyle w:val="RBUBullets"/>
              <w:ind w:left="185" w:hanging="180"/>
              <w:jc w:val="left"/>
            </w:pPr>
            <w:r>
              <w:t xml:space="preserve">Vests the Applicant with control over medical oncology services provided to patients. </w:t>
            </w:r>
          </w:p>
          <w:p w14:paraId="1C131464" w14:textId="4C7D9B9F" w:rsidR="0012232C" w:rsidRPr="00BB41E3" w:rsidRDefault="0012232C" w:rsidP="007770F5">
            <w:pPr>
              <w:pStyle w:val="RBUBullets"/>
              <w:ind w:left="185" w:hanging="180"/>
              <w:jc w:val="left"/>
            </w:pPr>
            <w:r>
              <w:t>Establishes long-term relationship with BIDMC, providing the Applicant with more operational certainty into the future</w:t>
            </w:r>
            <w:r w:rsidR="00A72DED">
              <w:t xml:space="preserve">. </w:t>
            </w:r>
          </w:p>
        </w:tc>
        <w:tc>
          <w:tcPr>
            <w:tcW w:w="0" w:type="auto"/>
          </w:tcPr>
          <w:p w14:paraId="0D200DBD" w14:textId="5589C4EE" w:rsidR="0012232C" w:rsidRDefault="0012232C" w:rsidP="007770F5">
            <w:pPr>
              <w:pStyle w:val="RBUBullets"/>
              <w:ind w:left="185" w:hanging="180"/>
              <w:jc w:val="left"/>
            </w:pPr>
            <w:r>
              <w:t xml:space="preserve">Requires </w:t>
            </w:r>
            <w:r w:rsidR="00443DD1">
              <w:t>the Applicant</w:t>
            </w:r>
            <w:r>
              <w:t xml:space="preserve"> to establish its own</w:t>
            </w:r>
            <w:r w:rsidR="00595CE3">
              <w:t xml:space="preserve"> operating surgical suites</w:t>
            </w:r>
            <w:r>
              <w:t xml:space="preserve">, which may result in initial operating inefficiency due to </w:t>
            </w:r>
            <w:r w:rsidR="00766CFD">
              <w:t>the Applicant</w:t>
            </w:r>
            <w:r w:rsidR="002340EA">
              <w:t>’</w:t>
            </w:r>
            <w:r w:rsidR="00766CFD">
              <w:t>s</w:t>
            </w:r>
            <w:r>
              <w:t xml:space="preserve"> lack of experi</w:t>
            </w:r>
            <w:r w:rsidR="00595CE3">
              <w:t xml:space="preserve">ence </w:t>
            </w:r>
            <w:r w:rsidR="00B73F85">
              <w:t>and cost inefficiencies associated with having duplicate services</w:t>
            </w:r>
            <w:r>
              <w:t xml:space="preserve">. </w:t>
            </w:r>
          </w:p>
          <w:p w14:paraId="2301F262" w14:textId="0BB5274C" w:rsidR="0012232C" w:rsidRPr="00BB41E3" w:rsidRDefault="0012232C" w:rsidP="007770F5">
            <w:pPr>
              <w:pStyle w:val="RBUBullets"/>
              <w:ind w:left="185" w:hanging="180"/>
              <w:jc w:val="left"/>
            </w:pPr>
            <w:r>
              <w:t>Requires the new construction and equipping of expensive operating surgical suites as well as emergency department and surgical ICU.</w:t>
            </w:r>
          </w:p>
        </w:tc>
      </w:tr>
      <w:tr w:rsidR="00595CE3" w:rsidRPr="00FA1DD3" w14:paraId="0E41330A" w14:textId="77777777" w:rsidTr="00F627D9">
        <w:trPr>
          <w:cantSplit/>
          <w:jc w:val="center"/>
        </w:trPr>
        <w:tc>
          <w:tcPr>
            <w:tcW w:w="0" w:type="auto"/>
          </w:tcPr>
          <w:p w14:paraId="67CFFAC5" w14:textId="77777777" w:rsidR="0012232C" w:rsidRPr="00FA1DD3" w:rsidRDefault="0012232C" w:rsidP="006B22F5">
            <w:pPr>
              <w:pStyle w:val="RBUBullets"/>
              <w:spacing w:after="0"/>
              <w:rPr>
                <w:b/>
                <w:bCs/>
                <w:szCs w:val="24"/>
              </w:rPr>
            </w:pPr>
            <w:r w:rsidRPr="00FA1DD3">
              <w:rPr>
                <w:b/>
                <w:bCs/>
                <w:szCs w:val="24"/>
              </w:rPr>
              <w:t>Capital Expense</w:t>
            </w:r>
          </w:p>
        </w:tc>
        <w:tc>
          <w:tcPr>
            <w:tcW w:w="0" w:type="auto"/>
          </w:tcPr>
          <w:p w14:paraId="580F409C" w14:textId="0D143332" w:rsidR="0012232C" w:rsidRDefault="0012232C" w:rsidP="007770F5">
            <w:pPr>
              <w:pStyle w:val="RBUBullets"/>
              <w:ind w:left="185" w:hanging="180"/>
              <w:jc w:val="left"/>
            </w:pPr>
            <w:r>
              <w:t xml:space="preserve">Requires the construction of a new </w:t>
            </w:r>
            <w:r w:rsidR="00D1045C">
              <w:t>F</w:t>
            </w:r>
            <w:r>
              <w:t xml:space="preserve">acility. </w:t>
            </w:r>
          </w:p>
          <w:p w14:paraId="30D43FDE" w14:textId="24406393" w:rsidR="0012232C" w:rsidRPr="00BB41E3" w:rsidRDefault="0012232C" w:rsidP="007770F5">
            <w:pPr>
              <w:pStyle w:val="RBUBullets"/>
              <w:ind w:left="185" w:hanging="180"/>
              <w:jc w:val="left"/>
            </w:pPr>
            <w:r>
              <w:t xml:space="preserve">Requires an estimated </w:t>
            </w:r>
            <w:r w:rsidR="003E4370">
              <w:rPr>
                <w:rFonts w:eastAsia="Times New Roman"/>
              </w:rPr>
              <w:t>$1,675,700,000</w:t>
            </w:r>
            <w:r>
              <w:t xml:space="preserve"> in initial capital expenditures. </w:t>
            </w:r>
          </w:p>
        </w:tc>
        <w:tc>
          <w:tcPr>
            <w:tcW w:w="0" w:type="auto"/>
          </w:tcPr>
          <w:p w14:paraId="05B72D40" w14:textId="72028C0C" w:rsidR="0012232C" w:rsidRDefault="0012232C" w:rsidP="007770F5">
            <w:pPr>
              <w:pStyle w:val="RBUBullets"/>
              <w:ind w:left="185" w:hanging="180"/>
              <w:jc w:val="left"/>
            </w:pPr>
            <w:r>
              <w:t xml:space="preserve">Requires the construction of a new facility with medical oncology and surgical oncology capacities. </w:t>
            </w:r>
          </w:p>
          <w:p w14:paraId="59A306F5" w14:textId="2CCE0499" w:rsidR="0012232C" w:rsidRPr="00BB41E3" w:rsidRDefault="0012232C" w:rsidP="007770F5">
            <w:pPr>
              <w:pStyle w:val="RBUBullets"/>
              <w:ind w:left="185" w:hanging="180"/>
              <w:jc w:val="left"/>
            </w:pPr>
            <w:r>
              <w:t>Requires an estimated $3.4 billion in initial capital expenditures.</w:t>
            </w:r>
          </w:p>
        </w:tc>
      </w:tr>
      <w:tr w:rsidR="00705531" w:rsidRPr="00FA1DD3" w14:paraId="2CC00EFE" w14:textId="77777777" w:rsidTr="00F627D9">
        <w:trPr>
          <w:cantSplit/>
          <w:jc w:val="center"/>
        </w:trPr>
        <w:tc>
          <w:tcPr>
            <w:tcW w:w="0" w:type="auto"/>
          </w:tcPr>
          <w:p w14:paraId="764FC9D7" w14:textId="77777777" w:rsidR="00705531" w:rsidRPr="00FA1DD3" w:rsidRDefault="00705531" w:rsidP="00705531">
            <w:pPr>
              <w:pStyle w:val="RBUBullets"/>
              <w:spacing w:after="0"/>
              <w:rPr>
                <w:b/>
                <w:bCs/>
                <w:szCs w:val="24"/>
              </w:rPr>
            </w:pPr>
            <w:r w:rsidRPr="00FA1DD3">
              <w:rPr>
                <w:b/>
                <w:bCs/>
                <w:szCs w:val="24"/>
              </w:rPr>
              <w:t>Operating Costs</w:t>
            </w:r>
          </w:p>
        </w:tc>
        <w:tc>
          <w:tcPr>
            <w:tcW w:w="0" w:type="auto"/>
          </w:tcPr>
          <w:p w14:paraId="6DFF3AAF" w14:textId="0DC0483A" w:rsidR="00705531" w:rsidRPr="00BB41E3" w:rsidRDefault="00705531" w:rsidP="00705531">
            <w:pPr>
              <w:pStyle w:val="RBUBullets"/>
              <w:ind w:left="185" w:hanging="180"/>
              <w:jc w:val="left"/>
            </w:pPr>
            <w:r>
              <w:t>Requires an estimated increase of $360 million in annual operating expenses.</w:t>
            </w:r>
          </w:p>
        </w:tc>
        <w:tc>
          <w:tcPr>
            <w:tcW w:w="0" w:type="auto"/>
          </w:tcPr>
          <w:p w14:paraId="737B35E5" w14:textId="6EE0531C" w:rsidR="00705531" w:rsidRPr="00BB41E3" w:rsidRDefault="00705531" w:rsidP="00705531">
            <w:pPr>
              <w:pStyle w:val="RBUBullets"/>
              <w:ind w:left="185" w:hanging="180"/>
              <w:jc w:val="left"/>
            </w:pPr>
            <w:r>
              <w:t>Requires an estimated increase of $700 million in annual operating expenses.</w:t>
            </w:r>
          </w:p>
        </w:tc>
      </w:tr>
      <w:bookmarkEnd w:id="27"/>
    </w:tbl>
    <w:p w14:paraId="1DE542C5" w14:textId="77777777" w:rsidR="00507B99" w:rsidRDefault="00507B99" w:rsidP="00B73F85">
      <w:pPr>
        <w:pStyle w:val="RBUBullets"/>
        <w:sectPr w:rsidR="00507B99">
          <w:pgSz w:w="12240" w:h="15840"/>
          <w:pgMar w:top="1440" w:right="1440" w:bottom="1440" w:left="1440" w:header="720" w:footer="720" w:gutter="0"/>
          <w:cols w:space="720"/>
          <w:docGrid w:linePitch="360"/>
        </w:sectPr>
      </w:pPr>
    </w:p>
    <w:p w14:paraId="5D1596CE" w14:textId="77777777" w:rsidR="00507B99" w:rsidRPr="00810EF8" w:rsidRDefault="00507B99" w:rsidP="00507B99">
      <w:pPr>
        <w:jc w:val="center"/>
        <w:rPr>
          <w:b/>
          <w:szCs w:val="24"/>
          <w:u w:val="single"/>
        </w:rPr>
      </w:pPr>
      <w:r>
        <w:rPr>
          <w:b/>
          <w:szCs w:val="24"/>
          <w:u w:val="single"/>
        </w:rPr>
        <w:lastRenderedPageBreak/>
        <w:t xml:space="preserve">Appendix A – Projecting Demand for 2032 LINAC Sessions </w:t>
      </w:r>
    </w:p>
    <w:p w14:paraId="20473CE5" w14:textId="77777777" w:rsidR="00507B99" w:rsidRDefault="00507B99" w:rsidP="00507B99">
      <w:pPr>
        <w:jc w:val="both"/>
        <w:rPr>
          <w:bCs/>
          <w:szCs w:val="24"/>
        </w:rPr>
      </w:pPr>
    </w:p>
    <w:p w14:paraId="67F7F1C9" w14:textId="5A0C574B" w:rsidR="00507B99" w:rsidRDefault="00507B99" w:rsidP="00507B99">
      <w:pPr>
        <w:jc w:val="both"/>
        <w:rPr>
          <w:bCs/>
          <w:szCs w:val="24"/>
        </w:rPr>
      </w:pPr>
      <w:bookmarkStart w:id="28" w:name="_Hlk152697284"/>
      <w:r>
        <w:rPr>
          <w:bCs/>
          <w:szCs w:val="24"/>
        </w:rPr>
        <w:t>To determine annual demand for LINAC sessions, the Applicant utilized its 2022 patient panel data to estimate the percentage of its patients that require LINAC therapy (the “LINAC Conversion Ratio”). Under its current arrangement with BWH, the Applicant’s patients receiving LINAC therapy on the Longwood Medical Campus do so at facilities operated by the Applicant or facilities operated by BWH, depending on the particular patient’s disease center.</w:t>
      </w:r>
      <w:r>
        <w:rPr>
          <w:rStyle w:val="FootnoteReference"/>
          <w:bCs/>
          <w:szCs w:val="24"/>
        </w:rPr>
        <w:footnoteReference w:customMarkFollows="1" w:id="113"/>
        <w:t>1</w:t>
      </w:r>
      <w:r>
        <w:rPr>
          <w:bCs/>
          <w:szCs w:val="24"/>
        </w:rPr>
        <w:t xml:space="preserve"> </w:t>
      </w:r>
      <w:r>
        <w:t>In light of confidentiality restrictions on disclosing information regarding patients treated in collaboration with BWH</w:t>
      </w:r>
      <w:r>
        <w:rPr>
          <w:bCs/>
          <w:szCs w:val="24"/>
        </w:rPr>
        <w:t xml:space="preserve">, the Applicant first utilized data for the three disease centers (breast, head and neck, and thoracic) for which it administers LINAC therapy in its own facilities most frequently. </w:t>
      </w:r>
    </w:p>
    <w:p w14:paraId="2E0388A2" w14:textId="77777777" w:rsidR="00507B99" w:rsidRDefault="00507B99" w:rsidP="00507B99">
      <w:pPr>
        <w:jc w:val="both"/>
        <w:rPr>
          <w:bCs/>
          <w:szCs w:val="24"/>
        </w:rPr>
      </w:pPr>
    </w:p>
    <w:p w14:paraId="589D75CF" w14:textId="1E0251E4" w:rsidR="00507B99" w:rsidRDefault="00507B99" w:rsidP="00507B99">
      <w:pPr>
        <w:jc w:val="both"/>
        <w:rPr>
          <w:bCs/>
          <w:szCs w:val="24"/>
        </w:rPr>
      </w:pPr>
      <w:r>
        <w:rPr>
          <w:bCs/>
          <w:szCs w:val="24"/>
        </w:rPr>
        <w:t xml:space="preserve">To determine the LINAC Conversion Ratio for the other disease centers, the Applicant utilized data from its site at South Shore Hospital in Weymouth, Massachusetts (“SSH”), at which it provides LINAC therapy for the other disease centers. The percentage of patients receiving LINAC therapy for all applicable disease centers is shown in the first column of </w:t>
      </w:r>
      <w:r w:rsidRPr="009D2A14">
        <w:rPr>
          <w:bCs/>
          <w:szCs w:val="24"/>
          <w:u w:val="single"/>
        </w:rPr>
        <w:t xml:space="preserve">Table </w:t>
      </w:r>
      <w:r>
        <w:rPr>
          <w:bCs/>
          <w:szCs w:val="24"/>
          <w:u w:val="single"/>
        </w:rPr>
        <w:t>A-2</w:t>
      </w:r>
      <w:r>
        <w:rPr>
          <w:bCs/>
          <w:szCs w:val="24"/>
        </w:rPr>
        <w:t>, below. An adjustment is necessary, however, as a greater proportion of patients receive LINAC therapy at community sites than at urban academic medical centers.</w:t>
      </w:r>
      <w:r>
        <w:rPr>
          <w:rStyle w:val="FootnoteReference"/>
          <w:bCs/>
          <w:szCs w:val="24"/>
        </w:rPr>
        <w:footnoteReference w:customMarkFollows="1" w:id="114"/>
        <w:t>2</w:t>
      </w:r>
      <w:r w:rsidRPr="00064A5D">
        <w:rPr>
          <w:bCs/>
          <w:szCs w:val="24"/>
        </w:rPr>
        <w:t xml:space="preserve"> </w:t>
      </w:r>
      <w:r>
        <w:rPr>
          <w:bCs/>
          <w:szCs w:val="24"/>
        </w:rPr>
        <w:t xml:space="preserve">To calculate the adjustment factor, the Applicant compared the proportion of patients that received LINAC therapy on the Longwood Medical Campus to the proportion that received LINAC therapy at SSH for the breast, head and neck, and thoracic cancer disease centers. A weighted average adjustment factor was calculated, as shown in </w:t>
      </w:r>
      <w:r>
        <w:rPr>
          <w:bCs/>
          <w:szCs w:val="24"/>
          <w:u w:val="single"/>
        </w:rPr>
        <w:t>Table A-1</w:t>
      </w:r>
      <w:r>
        <w:rPr>
          <w:bCs/>
          <w:szCs w:val="24"/>
        </w:rPr>
        <w:t>—namely, 3.33x. The percentages of patients receiving LINAC therapy for those other disease centers at SSH were divided by the adjustment factor to arrive at estimated percentages of patients receiving LINAC therapy for those disease centers at the Longwood Medical Campus—</w:t>
      </w:r>
      <w:r>
        <w:rPr>
          <w:bCs/>
          <w:i/>
          <w:iCs/>
          <w:szCs w:val="24"/>
        </w:rPr>
        <w:t>i.e.</w:t>
      </w:r>
      <w:r>
        <w:rPr>
          <w:bCs/>
          <w:szCs w:val="24"/>
        </w:rPr>
        <w:t xml:space="preserve">, the LINAC Conversion Ratio. </w:t>
      </w:r>
    </w:p>
    <w:p w14:paraId="2BBD6090" w14:textId="77777777" w:rsidR="00507B99" w:rsidRDefault="00507B99" w:rsidP="00507B99">
      <w:pPr>
        <w:jc w:val="both"/>
        <w:rPr>
          <w:bCs/>
          <w:szCs w:val="24"/>
        </w:rPr>
      </w:pPr>
    </w:p>
    <w:p w14:paraId="1B2E5067" w14:textId="3E18907A" w:rsidR="00507B99" w:rsidRDefault="00507B99" w:rsidP="00507B99">
      <w:pPr>
        <w:jc w:val="both"/>
        <w:rPr>
          <w:bCs/>
          <w:szCs w:val="24"/>
        </w:rPr>
      </w:pPr>
      <w:r>
        <w:rPr>
          <w:bCs/>
          <w:szCs w:val="24"/>
        </w:rPr>
        <w:t xml:space="preserve">The Applicant then multiplied the LINAC Conversion Ratio by the number of Longwood Medical Campus outpatients in each disease center (as shown in </w:t>
      </w:r>
      <w:r>
        <w:rPr>
          <w:bCs/>
          <w:szCs w:val="24"/>
          <w:u w:val="single"/>
        </w:rPr>
        <w:t xml:space="preserve">Table </w:t>
      </w:r>
      <w:r w:rsidR="009B6EF3">
        <w:rPr>
          <w:bCs/>
          <w:szCs w:val="24"/>
          <w:u w:val="single"/>
        </w:rPr>
        <w:t>5</w:t>
      </w:r>
      <w:r>
        <w:rPr>
          <w:bCs/>
          <w:szCs w:val="24"/>
        </w:rPr>
        <w:t xml:space="preserve"> and in </w:t>
      </w:r>
      <w:r>
        <w:rPr>
          <w:bCs/>
          <w:szCs w:val="24"/>
          <w:u w:val="single"/>
        </w:rPr>
        <w:t>Table A-2</w:t>
      </w:r>
      <w:r>
        <w:rPr>
          <w:bCs/>
          <w:szCs w:val="24"/>
        </w:rPr>
        <w:t xml:space="preserve">). This results in an estimate of the Longwood Medical Campus patients that required LINAC therapy in 2022. The Applicant estimates, based on internal data, that each patient requires, on average, 21.3 LINAC sessions. The Applicant then multiplied the total number of LINAC patients by the average number of sessions per patient to derive the total number of LINAC sessions required in 2022, as shown in </w:t>
      </w:r>
      <w:r>
        <w:rPr>
          <w:bCs/>
          <w:szCs w:val="24"/>
          <w:u w:val="single"/>
        </w:rPr>
        <w:t>Table A-3</w:t>
      </w:r>
      <w:r>
        <w:rPr>
          <w:bCs/>
          <w:szCs w:val="24"/>
        </w:rPr>
        <w:t xml:space="preserve">. </w:t>
      </w:r>
    </w:p>
    <w:p w14:paraId="5ACF3BF5" w14:textId="77777777" w:rsidR="00507B99" w:rsidRDefault="00507B99" w:rsidP="00507B99">
      <w:pPr>
        <w:jc w:val="both"/>
        <w:rPr>
          <w:bCs/>
          <w:szCs w:val="24"/>
        </w:rPr>
      </w:pPr>
    </w:p>
    <w:p w14:paraId="5B3C1D37" w14:textId="5C900B20" w:rsidR="00507B99" w:rsidRPr="00212385" w:rsidRDefault="00507B99" w:rsidP="00507B99">
      <w:pPr>
        <w:jc w:val="both"/>
        <w:rPr>
          <w:bCs/>
          <w:szCs w:val="24"/>
        </w:rPr>
      </w:pPr>
      <w:r>
        <w:rPr>
          <w:bCs/>
          <w:szCs w:val="24"/>
        </w:rPr>
        <w:t xml:space="preserve">To calculate the combined LINAC need at the new Facility and at BIDMC, the Applicant combined its estimated 2022 sessions with 2022 LINAC session data from BIDMC (18,080), as shown in </w:t>
      </w:r>
      <w:r w:rsidRPr="00951895">
        <w:rPr>
          <w:bCs/>
          <w:szCs w:val="24"/>
          <w:u w:val="single"/>
        </w:rPr>
        <w:t xml:space="preserve">Table </w:t>
      </w:r>
      <w:r w:rsidR="009B6EF3">
        <w:rPr>
          <w:bCs/>
          <w:szCs w:val="24"/>
          <w:u w:val="single"/>
        </w:rPr>
        <w:t>18</w:t>
      </w:r>
      <w:r>
        <w:rPr>
          <w:bCs/>
          <w:szCs w:val="24"/>
        </w:rPr>
        <w:t>. Consistent with Sg2 and The Advisory Board Company’s projections regarding radiation therapy, the Applicant assumed flat growth to project 2022 numbers to 2032.</w:t>
      </w:r>
      <w:bookmarkEnd w:id="28"/>
      <w:r>
        <w:rPr>
          <w:bCs/>
          <w:szCs w:val="24"/>
        </w:rPr>
        <w:t xml:space="preserve"> Thereafter, LINAC need was derived as shown in </w:t>
      </w:r>
      <w:r>
        <w:rPr>
          <w:bCs/>
          <w:szCs w:val="24"/>
          <w:u w:val="single"/>
        </w:rPr>
        <w:t xml:space="preserve">Table </w:t>
      </w:r>
      <w:r w:rsidR="009B6EF3">
        <w:rPr>
          <w:bCs/>
          <w:szCs w:val="24"/>
          <w:u w:val="single"/>
        </w:rPr>
        <w:t>18</w:t>
      </w:r>
      <w:r>
        <w:rPr>
          <w:bCs/>
          <w:szCs w:val="24"/>
        </w:rPr>
        <w:t xml:space="preserve"> and as described in the narrative accompanying it. </w:t>
      </w:r>
    </w:p>
    <w:p w14:paraId="2C39A072" w14:textId="77777777" w:rsidR="00507B99" w:rsidRDefault="00507B99" w:rsidP="00507B99">
      <w:pPr>
        <w:spacing w:line="259" w:lineRule="auto"/>
        <w:jc w:val="center"/>
        <w:rPr>
          <w:b/>
          <w:bCs/>
          <w:szCs w:val="24"/>
        </w:rPr>
      </w:pPr>
    </w:p>
    <w:p w14:paraId="5BB75956" w14:textId="77777777" w:rsidR="00EA64EB" w:rsidRDefault="00EA64EB" w:rsidP="00507B99">
      <w:pPr>
        <w:spacing w:line="259" w:lineRule="auto"/>
        <w:jc w:val="center"/>
        <w:rPr>
          <w:b/>
          <w:bCs/>
          <w:szCs w:val="24"/>
        </w:rPr>
      </w:pPr>
    </w:p>
    <w:p w14:paraId="0BBA05F6" w14:textId="77777777" w:rsidR="00EA64EB" w:rsidRDefault="00EA64EB" w:rsidP="00507B99">
      <w:pPr>
        <w:spacing w:line="259" w:lineRule="auto"/>
        <w:jc w:val="center"/>
        <w:rPr>
          <w:b/>
          <w:bCs/>
          <w:szCs w:val="24"/>
        </w:rPr>
      </w:pPr>
    </w:p>
    <w:p w14:paraId="1C78B6B7" w14:textId="77777777" w:rsidR="00EA64EB" w:rsidRDefault="00EA64EB" w:rsidP="00507B99">
      <w:pPr>
        <w:spacing w:line="259" w:lineRule="auto"/>
        <w:jc w:val="center"/>
        <w:rPr>
          <w:b/>
          <w:bCs/>
          <w:szCs w:val="24"/>
        </w:rPr>
      </w:pPr>
    </w:p>
    <w:p w14:paraId="39CD0A9C" w14:textId="7A835C4C" w:rsidR="00507B99" w:rsidRDefault="00507B99" w:rsidP="00507B99">
      <w:pPr>
        <w:spacing w:line="259" w:lineRule="auto"/>
        <w:jc w:val="center"/>
        <w:rPr>
          <w:b/>
          <w:bCs/>
          <w:szCs w:val="24"/>
        </w:rPr>
      </w:pPr>
      <w:r>
        <w:rPr>
          <w:b/>
          <w:bCs/>
          <w:szCs w:val="24"/>
        </w:rPr>
        <w:lastRenderedPageBreak/>
        <w:t>T</w:t>
      </w:r>
      <w:r w:rsidRPr="00C05AFD">
        <w:rPr>
          <w:b/>
          <w:bCs/>
          <w:szCs w:val="24"/>
        </w:rPr>
        <w:t xml:space="preserve">able </w:t>
      </w:r>
      <w:r>
        <w:rPr>
          <w:b/>
          <w:bCs/>
          <w:szCs w:val="24"/>
        </w:rPr>
        <w:t>A-1</w:t>
      </w:r>
    </w:p>
    <w:p w14:paraId="0A1CCA4F" w14:textId="77777777" w:rsidR="00507B99" w:rsidRDefault="00507B99" w:rsidP="00507B99">
      <w:pPr>
        <w:spacing w:line="259" w:lineRule="auto"/>
        <w:jc w:val="center"/>
        <w:rPr>
          <w:b/>
          <w:bCs/>
          <w:szCs w:val="24"/>
        </w:rPr>
      </w:pPr>
      <w:r>
        <w:rPr>
          <w:b/>
          <w:bCs/>
          <w:szCs w:val="24"/>
        </w:rPr>
        <w:t>Calculation of SSH to Longwood Medical Campus Conversion Factor</w:t>
      </w:r>
    </w:p>
    <w:p w14:paraId="0D89DEB1" w14:textId="77777777" w:rsidR="00507B99" w:rsidRDefault="00507B99" w:rsidP="00507B99">
      <w:pPr>
        <w:spacing w:line="259" w:lineRule="auto"/>
        <w:jc w:val="center"/>
        <w:rPr>
          <w:b/>
          <w:bCs/>
          <w:szCs w:val="24"/>
        </w:rPr>
      </w:pPr>
    </w:p>
    <w:tbl>
      <w:tblPr>
        <w:tblStyle w:val="TableGrid"/>
        <w:tblW w:w="5532" w:type="pct"/>
        <w:jc w:val="center"/>
        <w:tblLook w:val="04A0" w:firstRow="1" w:lastRow="0" w:firstColumn="1" w:lastColumn="0" w:noHBand="0" w:noVBand="1"/>
      </w:tblPr>
      <w:tblGrid>
        <w:gridCol w:w="2849"/>
        <w:gridCol w:w="1738"/>
        <w:gridCol w:w="2158"/>
        <w:gridCol w:w="2011"/>
        <w:gridCol w:w="1589"/>
      </w:tblGrid>
      <w:tr w:rsidR="00507B99" w:rsidRPr="002E3569" w14:paraId="1645DD0B" w14:textId="77777777" w:rsidTr="00CC630C">
        <w:trPr>
          <w:cantSplit/>
          <w:tblHeader/>
          <w:jc w:val="center"/>
        </w:trPr>
        <w:tc>
          <w:tcPr>
            <w:tcW w:w="1377" w:type="pct"/>
            <w:vAlign w:val="center"/>
          </w:tcPr>
          <w:p w14:paraId="7D30E34B" w14:textId="77777777" w:rsidR="00507B99" w:rsidRPr="00604B59" w:rsidRDefault="00507B99" w:rsidP="004D5205">
            <w:pPr>
              <w:jc w:val="center"/>
              <w:rPr>
                <w:b/>
                <w:bCs/>
              </w:rPr>
            </w:pPr>
            <w:r>
              <w:rPr>
                <w:b/>
                <w:bCs/>
              </w:rPr>
              <w:t>Disease Center</w:t>
            </w:r>
          </w:p>
        </w:tc>
        <w:tc>
          <w:tcPr>
            <w:tcW w:w="840" w:type="pct"/>
            <w:vAlign w:val="center"/>
          </w:tcPr>
          <w:p w14:paraId="578CC0E3" w14:textId="77777777" w:rsidR="00507B99" w:rsidRPr="00604B59" w:rsidRDefault="00507B99" w:rsidP="004D5205">
            <w:pPr>
              <w:jc w:val="center"/>
              <w:rPr>
                <w:b/>
                <w:bCs/>
              </w:rPr>
            </w:pPr>
            <w:r>
              <w:rPr>
                <w:b/>
                <w:bCs/>
              </w:rPr>
              <w:t>Total Outpatients (SSH and Longwood Medical Campus)</w:t>
            </w:r>
          </w:p>
        </w:tc>
        <w:tc>
          <w:tcPr>
            <w:tcW w:w="1043" w:type="pct"/>
            <w:vAlign w:val="center"/>
          </w:tcPr>
          <w:p w14:paraId="4DD09C0E" w14:textId="77777777" w:rsidR="00507B99" w:rsidRDefault="00507B99" w:rsidP="004D5205">
            <w:pPr>
              <w:jc w:val="center"/>
              <w:rPr>
                <w:b/>
                <w:bCs/>
              </w:rPr>
            </w:pPr>
            <w:r>
              <w:rPr>
                <w:b/>
                <w:bCs/>
              </w:rPr>
              <w:t>Share of Patients Receiving LINAC Therapy - SSH</w:t>
            </w:r>
          </w:p>
        </w:tc>
        <w:tc>
          <w:tcPr>
            <w:tcW w:w="972" w:type="pct"/>
            <w:vAlign w:val="center"/>
          </w:tcPr>
          <w:p w14:paraId="56FFABE3" w14:textId="77777777" w:rsidR="00507B99" w:rsidRDefault="00507B99" w:rsidP="004D5205">
            <w:pPr>
              <w:jc w:val="center"/>
              <w:rPr>
                <w:b/>
                <w:bCs/>
              </w:rPr>
            </w:pPr>
            <w:r>
              <w:rPr>
                <w:b/>
                <w:bCs/>
              </w:rPr>
              <w:t>Share of Patients Receiving LINAC Therapy – Longwood Medical Campus</w:t>
            </w:r>
          </w:p>
        </w:tc>
        <w:tc>
          <w:tcPr>
            <w:tcW w:w="768" w:type="pct"/>
            <w:vAlign w:val="center"/>
          </w:tcPr>
          <w:p w14:paraId="29720566" w14:textId="77777777" w:rsidR="00507B99" w:rsidRDefault="00507B99" w:rsidP="004D5205">
            <w:pPr>
              <w:jc w:val="center"/>
              <w:rPr>
                <w:b/>
                <w:bCs/>
              </w:rPr>
            </w:pPr>
            <w:r>
              <w:rPr>
                <w:b/>
                <w:bCs/>
              </w:rPr>
              <w:t>Conversion Factor</w:t>
            </w:r>
          </w:p>
        </w:tc>
      </w:tr>
      <w:tr w:rsidR="00507B99" w:rsidRPr="00E968E0" w14:paraId="3D11FA93" w14:textId="77777777" w:rsidTr="00CC630C">
        <w:trPr>
          <w:cantSplit/>
          <w:jc w:val="center"/>
        </w:trPr>
        <w:tc>
          <w:tcPr>
            <w:tcW w:w="1377" w:type="pct"/>
          </w:tcPr>
          <w:p w14:paraId="113DB150" w14:textId="77777777" w:rsidR="00507B99" w:rsidRPr="00A86751" w:rsidRDefault="00507B99" w:rsidP="004D5205">
            <w:pPr>
              <w:rPr>
                <w:szCs w:val="22"/>
              </w:rPr>
            </w:pPr>
            <w:r w:rsidRPr="00A86751">
              <w:rPr>
                <w:szCs w:val="22"/>
              </w:rPr>
              <w:t xml:space="preserve">Breast Oncology Center </w:t>
            </w:r>
          </w:p>
        </w:tc>
        <w:tc>
          <w:tcPr>
            <w:tcW w:w="840" w:type="pct"/>
            <w:vAlign w:val="center"/>
          </w:tcPr>
          <w:p w14:paraId="06C7F407" w14:textId="77777777" w:rsidR="00507B99" w:rsidRPr="00A86751" w:rsidRDefault="00507B99" w:rsidP="004D5205">
            <w:pPr>
              <w:jc w:val="center"/>
              <w:rPr>
                <w:szCs w:val="22"/>
              </w:rPr>
            </w:pPr>
            <w:r w:rsidRPr="00A86751">
              <w:rPr>
                <w:szCs w:val="22"/>
              </w:rPr>
              <w:t>17,616</w:t>
            </w:r>
          </w:p>
        </w:tc>
        <w:tc>
          <w:tcPr>
            <w:tcW w:w="1043" w:type="pct"/>
            <w:vAlign w:val="center"/>
          </w:tcPr>
          <w:p w14:paraId="3FE9593B" w14:textId="77777777" w:rsidR="00507B99" w:rsidRPr="00A86751" w:rsidRDefault="00507B99" w:rsidP="004D5205">
            <w:pPr>
              <w:jc w:val="center"/>
              <w:rPr>
                <w:szCs w:val="22"/>
              </w:rPr>
            </w:pPr>
            <w:r w:rsidRPr="00A86751">
              <w:rPr>
                <w:szCs w:val="22"/>
              </w:rPr>
              <w:t>11</w:t>
            </w:r>
            <w:r>
              <w:rPr>
                <w:szCs w:val="22"/>
              </w:rPr>
              <w:t>.16</w:t>
            </w:r>
            <w:r w:rsidRPr="00A86751">
              <w:rPr>
                <w:szCs w:val="22"/>
              </w:rPr>
              <w:t>%</w:t>
            </w:r>
          </w:p>
        </w:tc>
        <w:tc>
          <w:tcPr>
            <w:tcW w:w="972" w:type="pct"/>
            <w:vAlign w:val="center"/>
          </w:tcPr>
          <w:p w14:paraId="7610F81C" w14:textId="77777777" w:rsidR="00507B99" w:rsidRPr="00A86751" w:rsidRDefault="00507B99" w:rsidP="004D5205">
            <w:pPr>
              <w:jc w:val="center"/>
              <w:rPr>
                <w:szCs w:val="22"/>
              </w:rPr>
            </w:pPr>
            <w:r w:rsidRPr="00A86751">
              <w:rPr>
                <w:szCs w:val="22"/>
              </w:rPr>
              <w:t>3</w:t>
            </w:r>
            <w:r>
              <w:rPr>
                <w:szCs w:val="22"/>
              </w:rPr>
              <w:t>.26</w:t>
            </w:r>
            <w:r w:rsidRPr="00A86751">
              <w:rPr>
                <w:szCs w:val="22"/>
              </w:rPr>
              <w:t>%</w:t>
            </w:r>
          </w:p>
        </w:tc>
        <w:tc>
          <w:tcPr>
            <w:tcW w:w="768" w:type="pct"/>
            <w:vAlign w:val="center"/>
          </w:tcPr>
          <w:p w14:paraId="040B358C" w14:textId="77777777" w:rsidR="00507B99" w:rsidRPr="00A86751" w:rsidRDefault="00507B99" w:rsidP="004D5205">
            <w:pPr>
              <w:jc w:val="center"/>
              <w:rPr>
                <w:szCs w:val="22"/>
              </w:rPr>
            </w:pPr>
            <w:r w:rsidRPr="00A86751">
              <w:rPr>
                <w:szCs w:val="22"/>
              </w:rPr>
              <w:t>3.42x</w:t>
            </w:r>
          </w:p>
        </w:tc>
      </w:tr>
      <w:tr w:rsidR="00507B99" w:rsidRPr="00E968E0" w14:paraId="362C2F04" w14:textId="77777777" w:rsidTr="00CC630C">
        <w:trPr>
          <w:cantSplit/>
          <w:jc w:val="center"/>
        </w:trPr>
        <w:tc>
          <w:tcPr>
            <w:tcW w:w="1377" w:type="pct"/>
          </w:tcPr>
          <w:p w14:paraId="75C6B483" w14:textId="77777777" w:rsidR="00507B99" w:rsidRPr="00A86751" w:rsidRDefault="00507B99" w:rsidP="004D5205">
            <w:pPr>
              <w:rPr>
                <w:szCs w:val="22"/>
              </w:rPr>
            </w:pPr>
            <w:r w:rsidRPr="00A86751">
              <w:rPr>
                <w:szCs w:val="22"/>
              </w:rPr>
              <w:t>Head and Neck Oncology</w:t>
            </w:r>
          </w:p>
        </w:tc>
        <w:tc>
          <w:tcPr>
            <w:tcW w:w="840" w:type="pct"/>
            <w:vAlign w:val="center"/>
          </w:tcPr>
          <w:p w14:paraId="630800FF" w14:textId="77777777" w:rsidR="00507B99" w:rsidRPr="00A86751" w:rsidRDefault="00507B99" w:rsidP="004D5205">
            <w:pPr>
              <w:jc w:val="center"/>
              <w:rPr>
                <w:szCs w:val="22"/>
              </w:rPr>
            </w:pPr>
            <w:r w:rsidRPr="00A86751">
              <w:rPr>
                <w:szCs w:val="22"/>
              </w:rPr>
              <w:t>2,983</w:t>
            </w:r>
          </w:p>
        </w:tc>
        <w:tc>
          <w:tcPr>
            <w:tcW w:w="1043" w:type="pct"/>
            <w:vAlign w:val="center"/>
          </w:tcPr>
          <w:p w14:paraId="451B16C5" w14:textId="77777777" w:rsidR="00507B99" w:rsidRPr="00A86751" w:rsidRDefault="00507B99" w:rsidP="004D5205">
            <w:pPr>
              <w:jc w:val="center"/>
              <w:rPr>
                <w:szCs w:val="22"/>
              </w:rPr>
            </w:pPr>
            <w:r w:rsidRPr="00A86751">
              <w:rPr>
                <w:szCs w:val="22"/>
              </w:rPr>
              <w:t>2</w:t>
            </w:r>
            <w:r>
              <w:rPr>
                <w:szCs w:val="22"/>
              </w:rPr>
              <w:t>4.55</w:t>
            </w:r>
            <w:r w:rsidRPr="00A86751">
              <w:rPr>
                <w:szCs w:val="22"/>
              </w:rPr>
              <w:t>%</w:t>
            </w:r>
          </w:p>
        </w:tc>
        <w:tc>
          <w:tcPr>
            <w:tcW w:w="972" w:type="pct"/>
            <w:vAlign w:val="center"/>
          </w:tcPr>
          <w:p w14:paraId="3B455F21" w14:textId="77777777" w:rsidR="00507B99" w:rsidRPr="00A86751" w:rsidRDefault="00507B99" w:rsidP="004D5205">
            <w:pPr>
              <w:jc w:val="center"/>
              <w:rPr>
                <w:szCs w:val="22"/>
              </w:rPr>
            </w:pPr>
            <w:r>
              <w:rPr>
                <w:szCs w:val="22"/>
              </w:rPr>
              <w:t>8.48</w:t>
            </w:r>
            <w:r w:rsidRPr="00A86751">
              <w:rPr>
                <w:szCs w:val="22"/>
              </w:rPr>
              <w:t>%</w:t>
            </w:r>
          </w:p>
        </w:tc>
        <w:tc>
          <w:tcPr>
            <w:tcW w:w="768" w:type="pct"/>
            <w:vAlign w:val="center"/>
          </w:tcPr>
          <w:p w14:paraId="6F5F4D7A" w14:textId="77777777" w:rsidR="00507B99" w:rsidRPr="00A86751" w:rsidRDefault="00507B99" w:rsidP="004D5205">
            <w:pPr>
              <w:jc w:val="center"/>
              <w:rPr>
                <w:szCs w:val="22"/>
              </w:rPr>
            </w:pPr>
            <w:r w:rsidRPr="00A86751">
              <w:rPr>
                <w:szCs w:val="22"/>
              </w:rPr>
              <w:t>2.95x</w:t>
            </w:r>
          </w:p>
        </w:tc>
      </w:tr>
      <w:tr w:rsidR="00507B99" w:rsidRPr="00E968E0" w14:paraId="7CFAE82D" w14:textId="77777777" w:rsidTr="00CC630C">
        <w:trPr>
          <w:cantSplit/>
          <w:jc w:val="center"/>
        </w:trPr>
        <w:tc>
          <w:tcPr>
            <w:tcW w:w="1377" w:type="pct"/>
            <w:tcBorders>
              <w:bottom w:val="single" w:sz="12" w:space="0" w:color="auto"/>
            </w:tcBorders>
          </w:tcPr>
          <w:p w14:paraId="5814834B" w14:textId="77777777" w:rsidR="00507B99" w:rsidRPr="00A86751" w:rsidRDefault="00507B99" w:rsidP="004D5205">
            <w:pPr>
              <w:rPr>
                <w:b/>
                <w:bCs/>
                <w:szCs w:val="22"/>
              </w:rPr>
            </w:pPr>
            <w:r w:rsidRPr="00A86751">
              <w:rPr>
                <w:szCs w:val="22"/>
              </w:rPr>
              <w:t>Thoracic Oncology Program</w:t>
            </w:r>
          </w:p>
        </w:tc>
        <w:tc>
          <w:tcPr>
            <w:tcW w:w="840" w:type="pct"/>
            <w:tcBorders>
              <w:bottom w:val="single" w:sz="12" w:space="0" w:color="auto"/>
            </w:tcBorders>
            <w:vAlign w:val="center"/>
          </w:tcPr>
          <w:p w14:paraId="25FDC218" w14:textId="77777777" w:rsidR="00507B99" w:rsidRPr="00A86751" w:rsidRDefault="00507B99" w:rsidP="004D5205">
            <w:pPr>
              <w:jc w:val="center"/>
              <w:rPr>
                <w:szCs w:val="22"/>
              </w:rPr>
            </w:pPr>
            <w:r w:rsidRPr="00A86751">
              <w:rPr>
                <w:szCs w:val="22"/>
              </w:rPr>
              <w:t>3,928</w:t>
            </w:r>
          </w:p>
        </w:tc>
        <w:tc>
          <w:tcPr>
            <w:tcW w:w="1043" w:type="pct"/>
            <w:tcBorders>
              <w:bottom w:val="single" w:sz="12" w:space="0" w:color="auto"/>
            </w:tcBorders>
            <w:vAlign w:val="center"/>
          </w:tcPr>
          <w:p w14:paraId="130BD123" w14:textId="77777777" w:rsidR="00507B99" w:rsidRPr="00A86751" w:rsidRDefault="00507B99" w:rsidP="004D5205">
            <w:pPr>
              <w:jc w:val="center"/>
              <w:rPr>
                <w:szCs w:val="22"/>
              </w:rPr>
            </w:pPr>
            <w:r>
              <w:rPr>
                <w:szCs w:val="22"/>
              </w:rPr>
              <w:t>20.48</w:t>
            </w:r>
            <w:r w:rsidRPr="00A86751">
              <w:rPr>
                <w:szCs w:val="22"/>
              </w:rPr>
              <w:t>%</w:t>
            </w:r>
          </w:p>
        </w:tc>
        <w:tc>
          <w:tcPr>
            <w:tcW w:w="972" w:type="pct"/>
            <w:tcBorders>
              <w:bottom w:val="single" w:sz="12" w:space="0" w:color="auto"/>
            </w:tcBorders>
            <w:vAlign w:val="center"/>
          </w:tcPr>
          <w:p w14:paraId="4762EAF4" w14:textId="77777777" w:rsidR="00507B99" w:rsidRPr="00A86751" w:rsidRDefault="00507B99" w:rsidP="004D5205">
            <w:pPr>
              <w:jc w:val="center"/>
              <w:rPr>
                <w:szCs w:val="22"/>
              </w:rPr>
            </w:pPr>
            <w:r>
              <w:rPr>
                <w:szCs w:val="22"/>
              </w:rPr>
              <w:t>6.28</w:t>
            </w:r>
            <w:r w:rsidRPr="00A86751">
              <w:rPr>
                <w:szCs w:val="22"/>
              </w:rPr>
              <w:t>%</w:t>
            </w:r>
          </w:p>
        </w:tc>
        <w:tc>
          <w:tcPr>
            <w:tcW w:w="768" w:type="pct"/>
            <w:tcBorders>
              <w:bottom w:val="single" w:sz="12" w:space="0" w:color="auto"/>
            </w:tcBorders>
            <w:vAlign w:val="center"/>
          </w:tcPr>
          <w:p w14:paraId="38DC782B" w14:textId="77777777" w:rsidR="00507B99" w:rsidRPr="00A86751" w:rsidRDefault="00507B99" w:rsidP="004D5205">
            <w:pPr>
              <w:jc w:val="center"/>
              <w:rPr>
                <w:szCs w:val="22"/>
              </w:rPr>
            </w:pPr>
            <w:r w:rsidRPr="00A86751">
              <w:rPr>
                <w:szCs w:val="22"/>
              </w:rPr>
              <w:t>3.19x</w:t>
            </w:r>
          </w:p>
        </w:tc>
      </w:tr>
      <w:tr w:rsidR="00507B99" w:rsidRPr="00E968E0" w14:paraId="3E2D3FDF" w14:textId="77777777" w:rsidTr="00CC630C">
        <w:trPr>
          <w:cantSplit/>
          <w:jc w:val="center"/>
        </w:trPr>
        <w:tc>
          <w:tcPr>
            <w:tcW w:w="1377" w:type="pct"/>
            <w:tcBorders>
              <w:top w:val="single" w:sz="12" w:space="0" w:color="auto"/>
              <w:left w:val="single" w:sz="12" w:space="0" w:color="auto"/>
              <w:bottom w:val="single" w:sz="12" w:space="0" w:color="auto"/>
            </w:tcBorders>
          </w:tcPr>
          <w:p w14:paraId="40AA0F64" w14:textId="77777777" w:rsidR="00507B99" w:rsidRPr="00A86751" w:rsidRDefault="00507B99" w:rsidP="004D5205">
            <w:pPr>
              <w:rPr>
                <w:b/>
                <w:bCs/>
                <w:szCs w:val="22"/>
              </w:rPr>
            </w:pPr>
            <w:r w:rsidRPr="00A86751">
              <w:rPr>
                <w:b/>
                <w:bCs/>
                <w:szCs w:val="22"/>
              </w:rPr>
              <w:t>Weighted Average Conversion Factor</w:t>
            </w:r>
          </w:p>
        </w:tc>
        <w:tc>
          <w:tcPr>
            <w:tcW w:w="840" w:type="pct"/>
            <w:tcBorders>
              <w:top w:val="single" w:sz="12" w:space="0" w:color="auto"/>
              <w:bottom w:val="single" w:sz="12" w:space="0" w:color="auto"/>
            </w:tcBorders>
            <w:vAlign w:val="center"/>
          </w:tcPr>
          <w:p w14:paraId="571D51B5" w14:textId="77777777" w:rsidR="00507B99" w:rsidRPr="00A86751" w:rsidRDefault="00507B99" w:rsidP="004D5205">
            <w:pPr>
              <w:jc w:val="center"/>
              <w:rPr>
                <w:szCs w:val="22"/>
              </w:rPr>
            </w:pPr>
            <w:r w:rsidRPr="00A86751">
              <w:rPr>
                <w:szCs w:val="22"/>
              </w:rPr>
              <w:t>--</w:t>
            </w:r>
          </w:p>
        </w:tc>
        <w:tc>
          <w:tcPr>
            <w:tcW w:w="1043" w:type="pct"/>
            <w:tcBorders>
              <w:top w:val="single" w:sz="12" w:space="0" w:color="auto"/>
              <w:bottom w:val="single" w:sz="12" w:space="0" w:color="auto"/>
            </w:tcBorders>
            <w:vAlign w:val="center"/>
          </w:tcPr>
          <w:p w14:paraId="1AD4798D" w14:textId="77777777" w:rsidR="00507B99" w:rsidRPr="00A86751" w:rsidRDefault="00507B99" w:rsidP="004D5205">
            <w:pPr>
              <w:jc w:val="center"/>
              <w:rPr>
                <w:szCs w:val="22"/>
              </w:rPr>
            </w:pPr>
            <w:r w:rsidRPr="00A86751">
              <w:rPr>
                <w:szCs w:val="22"/>
              </w:rPr>
              <w:t>--</w:t>
            </w:r>
          </w:p>
        </w:tc>
        <w:tc>
          <w:tcPr>
            <w:tcW w:w="972" w:type="pct"/>
            <w:tcBorders>
              <w:top w:val="single" w:sz="12" w:space="0" w:color="auto"/>
              <w:bottom w:val="single" w:sz="12" w:space="0" w:color="auto"/>
            </w:tcBorders>
            <w:vAlign w:val="center"/>
          </w:tcPr>
          <w:p w14:paraId="6447E62B" w14:textId="77777777" w:rsidR="00507B99" w:rsidRPr="00A86751" w:rsidRDefault="00507B99" w:rsidP="004D5205">
            <w:pPr>
              <w:jc w:val="center"/>
              <w:rPr>
                <w:szCs w:val="22"/>
              </w:rPr>
            </w:pPr>
            <w:r w:rsidRPr="00A86751">
              <w:rPr>
                <w:szCs w:val="22"/>
              </w:rPr>
              <w:t>--</w:t>
            </w:r>
          </w:p>
        </w:tc>
        <w:tc>
          <w:tcPr>
            <w:tcW w:w="768" w:type="pct"/>
            <w:tcBorders>
              <w:top w:val="single" w:sz="12" w:space="0" w:color="auto"/>
              <w:bottom w:val="single" w:sz="12" w:space="0" w:color="auto"/>
              <w:right w:val="single" w:sz="12" w:space="0" w:color="auto"/>
            </w:tcBorders>
            <w:vAlign w:val="center"/>
          </w:tcPr>
          <w:p w14:paraId="3555F88E" w14:textId="77777777" w:rsidR="00507B99" w:rsidRPr="00A86751" w:rsidRDefault="00507B99" w:rsidP="004D5205">
            <w:pPr>
              <w:jc w:val="center"/>
              <w:rPr>
                <w:szCs w:val="22"/>
              </w:rPr>
            </w:pPr>
            <w:r w:rsidRPr="00A86751">
              <w:rPr>
                <w:szCs w:val="22"/>
              </w:rPr>
              <w:t>3.33x</w:t>
            </w:r>
          </w:p>
        </w:tc>
      </w:tr>
    </w:tbl>
    <w:p w14:paraId="68F81125" w14:textId="69B9F9DB" w:rsidR="00507B99" w:rsidRDefault="00507B99" w:rsidP="00507B99">
      <w:pPr>
        <w:spacing w:line="259" w:lineRule="auto"/>
        <w:rPr>
          <w:b/>
          <w:bCs/>
          <w:szCs w:val="24"/>
        </w:rPr>
      </w:pPr>
    </w:p>
    <w:p w14:paraId="1EB332FB" w14:textId="5BB79AA7" w:rsidR="00507B99" w:rsidRDefault="00507B99" w:rsidP="00507B99">
      <w:pPr>
        <w:spacing w:line="259" w:lineRule="auto"/>
        <w:rPr>
          <w:b/>
          <w:bCs/>
          <w:szCs w:val="24"/>
        </w:rPr>
      </w:pPr>
    </w:p>
    <w:p w14:paraId="2DB4DFD8" w14:textId="0EFC3FE2" w:rsidR="00507B99" w:rsidRDefault="00507B99" w:rsidP="00507B99">
      <w:pPr>
        <w:spacing w:line="259" w:lineRule="auto"/>
        <w:rPr>
          <w:b/>
          <w:bCs/>
          <w:szCs w:val="24"/>
        </w:rPr>
      </w:pPr>
    </w:p>
    <w:p w14:paraId="7E2B6F7B" w14:textId="6360AC3B" w:rsidR="00507B99" w:rsidRDefault="00507B99" w:rsidP="00507B99">
      <w:pPr>
        <w:spacing w:line="259" w:lineRule="auto"/>
        <w:rPr>
          <w:b/>
          <w:bCs/>
          <w:szCs w:val="24"/>
        </w:rPr>
      </w:pPr>
    </w:p>
    <w:p w14:paraId="0EBC38AA" w14:textId="65D69471" w:rsidR="00507B99" w:rsidRDefault="00507B99" w:rsidP="00507B99">
      <w:pPr>
        <w:spacing w:line="259" w:lineRule="auto"/>
        <w:rPr>
          <w:b/>
          <w:bCs/>
          <w:szCs w:val="24"/>
        </w:rPr>
      </w:pPr>
    </w:p>
    <w:p w14:paraId="7409A636" w14:textId="313A6CCA" w:rsidR="00507B99" w:rsidRDefault="00507B99" w:rsidP="00507B99">
      <w:pPr>
        <w:spacing w:line="259" w:lineRule="auto"/>
        <w:rPr>
          <w:b/>
          <w:bCs/>
          <w:szCs w:val="24"/>
        </w:rPr>
      </w:pPr>
    </w:p>
    <w:p w14:paraId="296C4EEF" w14:textId="3B1D0097" w:rsidR="00507B99" w:rsidRDefault="00507B99" w:rsidP="00507B99">
      <w:pPr>
        <w:spacing w:line="259" w:lineRule="auto"/>
        <w:rPr>
          <w:b/>
          <w:bCs/>
          <w:szCs w:val="24"/>
        </w:rPr>
      </w:pPr>
    </w:p>
    <w:p w14:paraId="62AC6B8F" w14:textId="0BA72A77" w:rsidR="00507B99" w:rsidRDefault="00507B99" w:rsidP="00507B99">
      <w:pPr>
        <w:spacing w:line="259" w:lineRule="auto"/>
        <w:rPr>
          <w:b/>
          <w:bCs/>
          <w:szCs w:val="24"/>
        </w:rPr>
      </w:pPr>
    </w:p>
    <w:p w14:paraId="2714BEB8" w14:textId="61E5681E" w:rsidR="00507B99" w:rsidRDefault="00507B99" w:rsidP="00507B99">
      <w:pPr>
        <w:spacing w:line="259" w:lineRule="auto"/>
        <w:rPr>
          <w:b/>
          <w:bCs/>
          <w:szCs w:val="24"/>
        </w:rPr>
      </w:pPr>
    </w:p>
    <w:p w14:paraId="38D8277B" w14:textId="576F78B1" w:rsidR="00507B99" w:rsidRDefault="00507B99" w:rsidP="00507B99">
      <w:pPr>
        <w:spacing w:line="259" w:lineRule="auto"/>
        <w:rPr>
          <w:b/>
          <w:bCs/>
          <w:szCs w:val="24"/>
        </w:rPr>
      </w:pPr>
    </w:p>
    <w:p w14:paraId="6A76046D" w14:textId="4C94B98A" w:rsidR="00507B99" w:rsidRDefault="00507B99" w:rsidP="00507B99">
      <w:pPr>
        <w:spacing w:line="259" w:lineRule="auto"/>
        <w:rPr>
          <w:b/>
          <w:bCs/>
          <w:szCs w:val="24"/>
        </w:rPr>
      </w:pPr>
    </w:p>
    <w:p w14:paraId="009ECB36" w14:textId="66E6958E" w:rsidR="00507B99" w:rsidRDefault="00507B99" w:rsidP="00507B99">
      <w:pPr>
        <w:spacing w:line="259" w:lineRule="auto"/>
        <w:rPr>
          <w:b/>
          <w:bCs/>
          <w:szCs w:val="24"/>
        </w:rPr>
      </w:pPr>
    </w:p>
    <w:p w14:paraId="3704589B" w14:textId="3CC80674" w:rsidR="00507B99" w:rsidRDefault="00507B99" w:rsidP="00507B99">
      <w:pPr>
        <w:spacing w:line="259" w:lineRule="auto"/>
        <w:rPr>
          <w:b/>
          <w:bCs/>
          <w:szCs w:val="24"/>
        </w:rPr>
      </w:pPr>
    </w:p>
    <w:p w14:paraId="60AC694E" w14:textId="5150B505" w:rsidR="00507B99" w:rsidRDefault="00507B99" w:rsidP="00507B99">
      <w:pPr>
        <w:spacing w:line="259" w:lineRule="auto"/>
        <w:rPr>
          <w:b/>
          <w:bCs/>
          <w:szCs w:val="24"/>
        </w:rPr>
      </w:pPr>
    </w:p>
    <w:p w14:paraId="203D58EF" w14:textId="6C8993AD" w:rsidR="00507B99" w:rsidRDefault="00507B99" w:rsidP="00507B99">
      <w:pPr>
        <w:spacing w:line="259" w:lineRule="auto"/>
        <w:rPr>
          <w:b/>
          <w:bCs/>
          <w:szCs w:val="24"/>
        </w:rPr>
      </w:pPr>
    </w:p>
    <w:p w14:paraId="74F33F4B" w14:textId="32D00C5E" w:rsidR="00507B99" w:rsidRDefault="00507B99" w:rsidP="00507B99">
      <w:pPr>
        <w:spacing w:line="259" w:lineRule="auto"/>
        <w:rPr>
          <w:b/>
          <w:bCs/>
          <w:szCs w:val="24"/>
        </w:rPr>
      </w:pPr>
    </w:p>
    <w:p w14:paraId="7277502E" w14:textId="664BF356" w:rsidR="00507B99" w:rsidRDefault="00507B99" w:rsidP="00507B99">
      <w:pPr>
        <w:spacing w:line="259" w:lineRule="auto"/>
        <w:rPr>
          <w:b/>
          <w:bCs/>
          <w:szCs w:val="24"/>
        </w:rPr>
      </w:pPr>
    </w:p>
    <w:p w14:paraId="0AC3298D" w14:textId="7C1DAAA2" w:rsidR="00507B99" w:rsidRDefault="00507B99" w:rsidP="00507B99">
      <w:pPr>
        <w:spacing w:line="259" w:lineRule="auto"/>
        <w:rPr>
          <w:b/>
          <w:bCs/>
          <w:szCs w:val="24"/>
        </w:rPr>
      </w:pPr>
    </w:p>
    <w:p w14:paraId="192813B2" w14:textId="31885D78" w:rsidR="00507B99" w:rsidRDefault="00507B99" w:rsidP="00507B99">
      <w:pPr>
        <w:spacing w:line="259" w:lineRule="auto"/>
        <w:rPr>
          <w:b/>
          <w:bCs/>
          <w:szCs w:val="24"/>
        </w:rPr>
      </w:pPr>
    </w:p>
    <w:p w14:paraId="57769B36" w14:textId="7C2D3F8E" w:rsidR="00507B99" w:rsidRDefault="00507B99" w:rsidP="00507B99">
      <w:pPr>
        <w:spacing w:line="259" w:lineRule="auto"/>
        <w:rPr>
          <w:b/>
          <w:bCs/>
          <w:szCs w:val="24"/>
        </w:rPr>
      </w:pPr>
    </w:p>
    <w:p w14:paraId="6EEC1BBA" w14:textId="72F09332" w:rsidR="00507B99" w:rsidRDefault="00507B99" w:rsidP="00507B99">
      <w:pPr>
        <w:spacing w:line="259" w:lineRule="auto"/>
        <w:rPr>
          <w:b/>
          <w:bCs/>
          <w:szCs w:val="24"/>
        </w:rPr>
      </w:pPr>
    </w:p>
    <w:p w14:paraId="124BE346" w14:textId="045A9C85" w:rsidR="00507B99" w:rsidRDefault="00507B99" w:rsidP="00507B99">
      <w:pPr>
        <w:spacing w:line="259" w:lineRule="auto"/>
        <w:rPr>
          <w:b/>
          <w:bCs/>
          <w:szCs w:val="24"/>
        </w:rPr>
      </w:pPr>
    </w:p>
    <w:p w14:paraId="2333549D" w14:textId="0341CAA7" w:rsidR="00507B99" w:rsidRDefault="00507B99" w:rsidP="00507B99">
      <w:pPr>
        <w:spacing w:line="259" w:lineRule="auto"/>
        <w:rPr>
          <w:b/>
          <w:bCs/>
          <w:szCs w:val="24"/>
        </w:rPr>
      </w:pPr>
    </w:p>
    <w:p w14:paraId="0E082450" w14:textId="6965DB04" w:rsidR="00507B99" w:rsidRDefault="00507B99" w:rsidP="00507B99">
      <w:pPr>
        <w:spacing w:line="259" w:lineRule="auto"/>
        <w:rPr>
          <w:b/>
          <w:bCs/>
          <w:szCs w:val="24"/>
        </w:rPr>
      </w:pPr>
    </w:p>
    <w:p w14:paraId="03902404" w14:textId="4BC24EB9" w:rsidR="00507B99" w:rsidRDefault="00507B99" w:rsidP="00507B99">
      <w:pPr>
        <w:spacing w:line="259" w:lineRule="auto"/>
        <w:rPr>
          <w:b/>
          <w:bCs/>
          <w:szCs w:val="24"/>
        </w:rPr>
      </w:pPr>
    </w:p>
    <w:p w14:paraId="7852DB8E" w14:textId="1DBDDA50" w:rsidR="00507B99" w:rsidRDefault="00507B99" w:rsidP="00507B99">
      <w:pPr>
        <w:spacing w:line="259" w:lineRule="auto"/>
        <w:rPr>
          <w:b/>
          <w:bCs/>
          <w:szCs w:val="24"/>
        </w:rPr>
      </w:pPr>
    </w:p>
    <w:p w14:paraId="176CEF21" w14:textId="491E8414" w:rsidR="00507B99" w:rsidRDefault="00507B99" w:rsidP="00507B99">
      <w:pPr>
        <w:spacing w:line="259" w:lineRule="auto"/>
        <w:rPr>
          <w:b/>
          <w:bCs/>
          <w:szCs w:val="24"/>
        </w:rPr>
      </w:pPr>
    </w:p>
    <w:p w14:paraId="32BDCADC" w14:textId="361C1A5C" w:rsidR="00507B99" w:rsidRDefault="00507B99" w:rsidP="00507B99">
      <w:pPr>
        <w:spacing w:line="259" w:lineRule="auto"/>
        <w:rPr>
          <w:b/>
          <w:bCs/>
          <w:szCs w:val="24"/>
        </w:rPr>
      </w:pPr>
    </w:p>
    <w:p w14:paraId="6F2C1D5A" w14:textId="77777777" w:rsidR="00507B99" w:rsidRDefault="00507B99" w:rsidP="00507B99">
      <w:pPr>
        <w:spacing w:line="259" w:lineRule="auto"/>
        <w:rPr>
          <w:b/>
          <w:bCs/>
          <w:szCs w:val="24"/>
        </w:rPr>
      </w:pPr>
    </w:p>
    <w:p w14:paraId="0FB6AF0E" w14:textId="77777777" w:rsidR="00507B99" w:rsidRDefault="00507B99" w:rsidP="00507B99">
      <w:pPr>
        <w:spacing w:line="259" w:lineRule="auto"/>
        <w:jc w:val="center"/>
        <w:rPr>
          <w:b/>
          <w:bCs/>
          <w:szCs w:val="24"/>
        </w:rPr>
      </w:pPr>
      <w:r w:rsidRPr="00C05AFD">
        <w:rPr>
          <w:b/>
          <w:bCs/>
          <w:szCs w:val="24"/>
        </w:rPr>
        <w:lastRenderedPageBreak/>
        <w:t xml:space="preserve">Table </w:t>
      </w:r>
      <w:r>
        <w:rPr>
          <w:b/>
          <w:bCs/>
          <w:szCs w:val="24"/>
        </w:rPr>
        <w:t>A-2</w:t>
      </w:r>
    </w:p>
    <w:p w14:paraId="6E66742A" w14:textId="77777777" w:rsidR="00507B99" w:rsidRDefault="00507B99" w:rsidP="00507B99">
      <w:pPr>
        <w:spacing w:line="259" w:lineRule="auto"/>
        <w:jc w:val="center"/>
        <w:rPr>
          <w:b/>
          <w:bCs/>
          <w:szCs w:val="24"/>
        </w:rPr>
      </w:pPr>
      <w:r>
        <w:rPr>
          <w:b/>
          <w:bCs/>
          <w:szCs w:val="24"/>
        </w:rPr>
        <w:t xml:space="preserve">Estimate of Longwood Medical Campus LINAC Therapy Patients </w:t>
      </w:r>
    </w:p>
    <w:p w14:paraId="6B83656B" w14:textId="77777777" w:rsidR="00507B99" w:rsidRDefault="00507B99" w:rsidP="00507B99">
      <w:pPr>
        <w:spacing w:line="259" w:lineRule="auto"/>
        <w:jc w:val="center"/>
        <w:rPr>
          <w:b/>
          <w:bCs/>
          <w:szCs w:val="24"/>
        </w:rPr>
      </w:pPr>
    </w:p>
    <w:tbl>
      <w:tblPr>
        <w:tblStyle w:val="TableGrid"/>
        <w:tblW w:w="5821" w:type="pct"/>
        <w:jc w:val="center"/>
        <w:tblLook w:val="04A0" w:firstRow="1" w:lastRow="0" w:firstColumn="1" w:lastColumn="0" w:noHBand="0" w:noVBand="1"/>
      </w:tblPr>
      <w:tblGrid>
        <w:gridCol w:w="2551"/>
        <w:gridCol w:w="2038"/>
        <w:gridCol w:w="2070"/>
        <w:gridCol w:w="2066"/>
        <w:gridCol w:w="2160"/>
      </w:tblGrid>
      <w:tr w:rsidR="00507B99" w:rsidRPr="002E3569" w14:paraId="48B1507F" w14:textId="77777777" w:rsidTr="00CC630C">
        <w:trPr>
          <w:cantSplit/>
          <w:tblHeader/>
          <w:jc w:val="center"/>
        </w:trPr>
        <w:tc>
          <w:tcPr>
            <w:tcW w:w="1172" w:type="pct"/>
          </w:tcPr>
          <w:p w14:paraId="2AD6A4F2" w14:textId="77777777" w:rsidR="00507B99" w:rsidRPr="00604B59" w:rsidRDefault="00507B99" w:rsidP="004D5205">
            <w:pPr>
              <w:jc w:val="center"/>
              <w:rPr>
                <w:b/>
                <w:bCs/>
              </w:rPr>
            </w:pPr>
            <w:r>
              <w:rPr>
                <w:b/>
                <w:bCs/>
              </w:rPr>
              <w:t xml:space="preserve">Disease Center </w:t>
            </w:r>
          </w:p>
        </w:tc>
        <w:tc>
          <w:tcPr>
            <w:tcW w:w="936" w:type="pct"/>
          </w:tcPr>
          <w:p w14:paraId="0782A11F" w14:textId="77777777" w:rsidR="00507B99" w:rsidRPr="00604B59" w:rsidRDefault="00507B99" w:rsidP="004D5205">
            <w:pPr>
              <w:jc w:val="center"/>
              <w:rPr>
                <w:b/>
                <w:bCs/>
              </w:rPr>
            </w:pPr>
            <w:r>
              <w:rPr>
                <w:b/>
                <w:bCs/>
              </w:rPr>
              <w:t>Percent of Patients Receiving LINAC Therapy at SSH</w:t>
            </w:r>
          </w:p>
        </w:tc>
        <w:tc>
          <w:tcPr>
            <w:tcW w:w="951" w:type="pct"/>
          </w:tcPr>
          <w:p w14:paraId="396BE77F" w14:textId="77777777" w:rsidR="00507B99" w:rsidRDefault="00507B99" w:rsidP="004D5205">
            <w:pPr>
              <w:jc w:val="center"/>
              <w:rPr>
                <w:b/>
                <w:bCs/>
              </w:rPr>
            </w:pPr>
            <w:r>
              <w:rPr>
                <w:b/>
                <w:bCs/>
              </w:rPr>
              <w:t>Estimated Percent Patients at Longwood Medical Campus Receiving LINAC Therapy</w:t>
            </w:r>
          </w:p>
        </w:tc>
        <w:tc>
          <w:tcPr>
            <w:tcW w:w="949" w:type="pct"/>
          </w:tcPr>
          <w:p w14:paraId="7B9CC6AE" w14:textId="77777777" w:rsidR="00507B99" w:rsidRDefault="00507B99" w:rsidP="004D5205">
            <w:pPr>
              <w:jc w:val="center"/>
              <w:rPr>
                <w:b/>
                <w:bCs/>
              </w:rPr>
            </w:pPr>
            <w:r>
              <w:rPr>
                <w:b/>
                <w:bCs/>
              </w:rPr>
              <w:t xml:space="preserve">Total Outpatients on the Longwood Medical Campus </w:t>
            </w:r>
          </w:p>
        </w:tc>
        <w:tc>
          <w:tcPr>
            <w:tcW w:w="992" w:type="pct"/>
          </w:tcPr>
          <w:p w14:paraId="487EEF5B" w14:textId="77777777" w:rsidR="00507B99" w:rsidRDefault="00507B99" w:rsidP="004D5205">
            <w:pPr>
              <w:jc w:val="center"/>
              <w:rPr>
                <w:b/>
                <w:bCs/>
              </w:rPr>
            </w:pPr>
            <w:r>
              <w:rPr>
                <w:b/>
                <w:bCs/>
              </w:rPr>
              <w:t>Estimated LINAC Therapy Patients -- Longwood Medical Campus</w:t>
            </w:r>
          </w:p>
        </w:tc>
      </w:tr>
      <w:tr w:rsidR="00507B99" w:rsidRPr="00E968E0" w14:paraId="7932B6F0" w14:textId="77777777" w:rsidTr="00CC630C">
        <w:trPr>
          <w:cantSplit/>
          <w:jc w:val="center"/>
        </w:trPr>
        <w:tc>
          <w:tcPr>
            <w:tcW w:w="1172" w:type="pct"/>
          </w:tcPr>
          <w:p w14:paraId="5569FB31" w14:textId="77777777" w:rsidR="00507B99" w:rsidRPr="00AB4B0C" w:rsidRDefault="00507B99" w:rsidP="004D5205">
            <w:pPr>
              <w:rPr>
                <w:szCs w:val="24"/>
              </w:rPr>
            </w:pPr>
            <w:r>
              <w:t>Breast Oncology Center</w:t>
            </w:r>
          </w:p>
        </w:tc>
        <w:tc>
          <w:tcPr>
            <w:tcW w:w="936" w:type="pct"/>
          </w:tcPr>
          <w:p w14:paraId="5DD66595" w14:textId="77777777" w:rsidR="00507B99" w:rsidRPr="009D6E10" w:rsidRDefault="00507B99" w:rsidP="004D5205">
            <w:pPr>
              <w:jc w:val="center"/>
              <w:rPr>
                <w:szCs w:val="24"/>
              </w:rPr>
            </w:pPr>
            <w:r w:rsidRPr="009D6E10">
              <w:t>11</w:t>
            </w:r>
            <w:r>
              <w:t>.16%</w:t>
            </w:r>
          </w:p>
        </w:tc>
        <w:tc>
          <w:tcPr>
            <w:tcW w:w="951" w:type="pct"/>
          </w:tcPr>
          <w:p w14:paraId="0503FCB8" w14:textId="77777777" w:rsidR="00507B99" w:rsidRPr="009D6E10" w:rsidRDefault="00507B99" w:rsidP="004D5205">
            <w:pPr>
              <w:jc w:val="center"/>
            </w:pPr>
            <w:r>
              <w:t>3.35%</w:t>
            </w:r>
          </w:p>
        </w:tc>
        <w:tc>
          <w:tcPr>
            <w:tcW w:w="949" w:type="pct"/>
          </w:tcPr>
          <w:p w14:paraId="0502CE6D" w14:textId="77777777" w:rsidR="00507B99" w:rsidRPr="00B77636" w:rsidRDefault="00507B99" w:rsidP="004D5205">
            <w:pPr>
              <w:jc w:val="center"/>
            </w:pPr>
            <w:r w:rsidRPr="00B77636">
              <w:rPr>
                <w:szCs w:val="24"/>
              </w:rPr>
              <w:t>13,950</w:t>
            </w:r>
          </w:p>
        </w:tc>
        <w:tc>
          <w:tcPr>
            <w:tcW w:w="992" w:type="pct"/>
          </w:tcPr>
          <w:p w14:paraId="57B5EC2F" w14:textId="77777777" w:rsidR="00507B99" w:rsidRPr="00B77636" w:rsidRDefault="00507B99" w:rsidP="004D5205">
            <w:pPr>
              <w:jc w:val="center"/>
            </w:pPr>
            <w:r w:rsidRPr="00B77636">
              <w:rPr>
                <w:szCs w:val="24"/>
              </w:rPr>
              <w:t>46</w:t>
            </w:r>
            <w:r>
              <w:rPr>
                <w:szCs w:val="24"/>
              </w:rPr>
              <w:t>7</w:t>
            </w:r>
          </w:p>
        </w:tc>
      </w:tr>
      <w:tr w:rsidR="00507B99" w:rsidRPr="00E968E0" w14:paraId="0FE98C83" w14:textId="77777777" w:rsidTr="00CC630C">
        <w:trPr>
          <w:cantSplit/>
          <w:jc w:val="center"/>
        </w:trPr>
        <w:tc>
          <w:tcPr>
            <w:tcW w:w="1172" w:type="pct"/>
          </w:tcPr>
          <w:p w14:paraId="29A11CA9" w14:textId="77777777" w:rsidR="00507B99" w:rsidRPr="00E968E0" w:rsidRDefault="00507B99" w:rsidP="004D5205">
            <w:r w:rsidRPr="00D245B8">
              <w:rPr>
                <w:szCs w:val="18"/>
              </w:rPr>
              <w:t>Cutaneous Oncology Center</w:t>
            </w:r>
          </w:p>
        </w:tc>
        <w:tc>
          <w:tcPr>
            <w:tcW w:w="936" w:type="pct"/>
          </w:tcPr>
          <w:p w14:paraId="24D54275" w14:textId="77777777" w:rsidR="00507B99" w:rsidRPr="009D6E10" w:rsidRDefault="00507B99" w:rsidP="004D5205">
            <w:pPr>
              <w:jc w:val="center"/>
            </w:pPr>
            <w:r w:rsidRPr="009D6E10">
              <w:t>2</w:t>
            </w:r>
            <w:r>
              <w:t>0.87%</w:t>
            </w:r>
          </w:p>
        </w:tc>
        <w:tc>
          <w:tcPr>
            <w:tcW w:w="951" w:type="pct"/>
          </w:tcPr>
          <w:p w14:paraId="24634BC9" w14:textId="77777777" w:rsidR="00507B99" w:rsidRPr="009D6E10" w:rsidRDefault="00507B99" w:rsidP="004D5205">
            <w:pPr>
              <w:jc w:val="center"/>
            </w:pPr>
            <w:r>
              <w:t>6.26%</w:t>
            </w:r>
          </w:p>
        </w:tc>
        <w:tc>
          <w:tcPr>
            <w:tcW w:w="949" w:type="pct"/>
          </w:tcPr>
          <w:p w14:paraId="105F2A3A" w14:textId="77777777" w:rsidR="00507B99" w:rsidRPr="00B77636" w:rsidRDefault="00507B99" w:rsidP="004D5205">
            <w:pPr>
              <w:jc w:val="center"/>
            </w:pPr>
            <w:r w:rsidRPr="00B77636">
              <w:rPr>
                <w:szCs w:val="24"/>
              </w:rPr>
              <w:t>1,827</w:t>
            </w:r>
          </w:p>
        </w:tc>
        <w:tc>
          <w:tcPr>
            <w:tcW w:w="992" w:type="pct"/>
          </w:tcPr>
          <w:p w14:paraId="2DE39C22" w14:textId="77777777" w:rsidR="00507B99" w:rsidRPr="00B77636" w:rsidRDefault="00507B99" w:rsidP="004D5205">
            <w:pPr>
              <w:jc w:val="center"/>
            </w:pPr>
            <w:r w:rsidRPr="00B77636">
              <w:rPr>
                <w:szCs w:val="24"/>
              </w:rPr>
              <w:t>11</w:t>
            </w:r>
            <w:r>
              <w:rPr>
                <w:szCs w:val="24"/>
              </w:rPr>
              <w:t>4</w:t>
            </w:r>
          </w:p>
        </w:tc>
      </w:tr>
      <w:tr w:rsidR="00507B99" w:rsidRPr="00E968E0" w14:paraId="4E7F26BA" w14:textId="77777777" w:rsidTr="00CC630C">
        <w:trPr>
          <w:cantSplit/>
          <w:jc w:val="center"/>
        </w:trPr>
        <w:tc>
          <w:tcPr>
            <w:tcW w:w="1172" w:type="pct"/>
          </w:tcPr>
          <w:p w14:paraId="0DC02DFF" w14:textId="77777777" w:rsidR="00507B99" w:rsidRPr="00604B59" w:rsidRDefault="00507B99" w:rsidP="004D5205">
            <w:pPr>
              <w:rPr>
                <w:b/>
                <w:bCs/>
              </w:rPr>
            </w:pPr>
            <w:r w:rsidRPr="00D245B8">
              <w:rPr>
                <w:szCs w:val="18"/>
              </w:rPr>
              <w:t>Gastrointestinal Oncology</w:t>
            </w:r>
          </w:p>
        </w:tc>
        <w:tc>
          <w:tcPr>
            <w:tcW w:w="936" w:type="pct"/>
          </w:tcPr>
          <w:p w14:paraId="20B15027" w14:textId="77777777" w:rsidR="00507B99" w:rsidRPr="009D6E10" w:rsidRDefault="00507B99" w:rsidP="004D5205">
            <w:pPr>
              <w:jc w:val="center"/>
            </w:pPr>
            <w:r>
              <w:t>7.75%</w:t>
            </w:r>
          </w:p>
        </w:tc>
        <w:tc>
          <w:tcPr>
            <w:tcW w:w="951" w:type="pct"/>
          </w:tcPr>
          <w:p w14:paraId="4D5CAAB4" w14:textId="77777777" w:rsidR="00507B99" w:rsidRPr="009D6E10" w:rsidRDefault="00507B99" w:rsidP="004D5205">
            <w:pPr>
              <w:jc w:val="center"/>
            </w:pPr>
            <w:r>
              <w:t>2.33%</w:t>
            </w:r>
          </w:p>
        </w:tc>
        <w:tc>
          <w:tcPr>
            <w:tcW w:w="949" w:type="pct"/>
          </w:tcPr>
          <w:p w14:paraId="770DA09E" w14:textId="77777777" w:rsidR="00507B99" w:rsidRPr="00B77636" w:rsidRDefault="00507B99" w:rsidP="004D5205">
            <w:pPr>
              <w:jc w:val="center"/>
            </w:pPr>
            <w:r w:rsidRPr="00B77636">
              <w:rPr>
                <w:szCs w:val="24"/>
              </w:rPr>
              <w:t>6,714</w:t>
            </w:r>
          </w:p>
        </w:tc>
        <w:tc>
          <w:tcPr>
            <w:tcW w:w="992" w:type="pct"/>
          </w:tcPr>
          <w:p w14:paraId="60D7B672" w14:textId="77777777" w:rsidR="00507B99" w:rsidRPr="00B77636" w:rsidRDefault="00507B99" w:rsidP="004D5205">
            <w:pPr>
              <w:jc w:val="center"/>
            </w:pPr>
            <w:r w:rsidRPr="00B77636">
              <w:rPr>
                <w:szCs w:val="24"/>
              </w:rPr>
              <w:t>1</w:t>
            </w:r>
            <w:r>
              <w:rPr>
                <w:szCs w:val="24"/>
              </w:rPr>
              <w:t>56</w:t>
            </w:r>
          </w:p>
        </w:tc>
      </w:tr>
      <w:tr w:rsidR="00507B99" w:rsidRPr="00E968E0" w14:paraId="3AA0A850" w14:textId="77777777" w:rsidTr="00CC630C">
        <w:trPr>
          <w:cantSplit/>
          <w:jc w:val="center"/>
        </w:trPr>
        <w:tc>
          <w:tcPr>
            <w:tcW w:w="1172" w:type="pct"/>
          </w:tcPr>
          <w:p w14:paraId="7EFD9C50" w14:textId="77777777" w:rsidR="00507B99" w:rsidRPr="00D245B8" w:rsidRDefault="00507B99" w:rsidP="004D5205">
            <w:pPr>
              <w:rPr>
                <w:szCs w:val="18"/>
              </w:rPr>
            </w:pPr>
            <w:r w:rsidRPr="0056235A">
              <w:rPr>
                <w:szCs w:val="18"/>
              </w:rPr>
              <w:t>Genitourinary Oncology</w:t>
            </w:r>
          </w:p>
        </w:tc>
        <w:tc>
          <w:tcPr>
            <w:tcW w:w="936" w:type="pct"/>
          </w:tcPr>
          <w:p w14:paraId="626294BC" w14:textId="77777777" w:rsidR="00507B99" w:rsidRPr="009D6E10" w:rsidRDefault="00507B99" w:rsidP="004D5205">
            <w:pPr>
              <w:jc w:val="center"/>
            </w:pPr>
            <w:r>
              <w:t>17.55%</w:t>
            </w:r>
          </w:p>
        </w:tc>
        <w:tc>
          <w:tcPr>
            <w:tcW w:w="951" w:type="pct"/>
          </w:tcPr>
          <w:p w14:paraId="7AF0CAE2" w14:textId="77777777" w:rsidR="00507B99" w:rsidRPr="009D6E10" w:rsidRDefault="00507B99" w:rsidP="004D5205">
            <w:pPr>
              <w:jc w:val="center"/>
            </w:pPr>
            <w:r>
              <w:t>5.27%</w:t>
            </w:r>
          </w:p>
        </w:tc>
        <w:tc>
          <w:tcPr>
            <w:tcW w:w="949" w:type="pct"/>
          </w:tcPr>
          <w:p w14:paraId="02A43119" w14:textId="77777777" w:rsidR="00507B99" w:rsidRPr="00B77636" w:rsidRDefault="00507B99" w:rsidP="004D5205">
            <w:pPr>
              <w:jc w:val="center"/>
            </w:pPr>
            <w:r w:rsidRPr="00B77636">
              <w:rPr>
                <w:szCs w:val="24"/>
              </w:rPr>
              <w:t>6,500</w:t>
            </w:r>
          </w:p>
        </w:tc>
        <w:tc>
          <w:tcPr>
            <w:tcW w:w="992" w:type="pct"/>
          </w:tcPr>
          <w:p w14:paraId="6FFC3C42" w14:textId="77777777" w:rsidR="00507B99" w:rsidRPr="00B77636" w:rsidRDefault="00507B99" w:rsidP="004D5205">
            <w:pPr>
              <w:jc w:val="center"/>
            </w:pPr>
            <w:r w:rsidRPr="00B77636">
              <w:rPr>
                <w:szCs w:val="24"/>
              </w:rPr>
              <w:t>3</w:t>
            </w:r>
            <w:r>
              <w:rPr>
                <w:szCs w:val="24"/>
              </w:rPr>
              <w:t>4</w:t>
            </w:r>
            <w:r w:rsidRPr="00B77636">
              <w:rPr>
                <w:szCs w:val="24"/>
              </w:rPr>
              <w:t>2</w:t>
            </w:r>
          </w:p>
        </w:tc>
      </w:tr>
      <w:tr w:rsidR="00507B99" w14:paraId="44154BB4" w14:textId="77777777" w:rsidTr="00CC630C">
        <w:trPr>
          <w:cantSplit/>
          <w:jc w:val="center"/>
        </w:trPr>
        <w:tc>
          <w:tcPr>
            <w:tcW w:w="1172" w:type="pct"/>
          </w:tcPr>
          <w:p w14:paraId="4065EB0A" w14:textId="77777777" w:rsidR="00507B99" w:rsidRPr="00E968E0" w:rsidRDefault="00507B99" w:rsidP="004D5205">
            <w:r w:rsidRPr="00D245B8">
              <w:rPr>
                <w:szCs w:val="18"/>
              </w:rPr>
              <w:t>Gynecology Oncology</w:t>
            </w:r>
          </w:p>
        </w:tc>
        <w:tc>
          <w:tcPr>
            <w:tcW w:w="936" w:type="pct"/>
          </w:tcPr>
          <w:p w14:paraId="20F6C0A4" w14:textId="77777777" w:rsidR="00507B99" w:rsidRPr="009D6E10" w:rsidRDefault="00507B99" w:rsidP="004D5205">
            <w:pPr>
              <w:jc w:val="center"/>
            </w:pPr>
            <w:r>
              <w:t>9.02%</w:t>
            </w:r>
          </w:p>
        </w:tc>
        <w:tc>
          <w:tcPr>
            <w:tcW w:w="951" w:type="pct"/>
          </w:tcPr>
          <w:p w14:paraId="35491D89" w14:textId="77777777" w:rsidR="00507B99" w:rsidRPr="009D6E10" w:rsidRDefault="00507B99" w:rsidP="004D5205">
            <w:pPr>
              <w:jc w:val="center"/>
            </w:pPr>
            <w:r>
              <w:t>2.71%</w:t>
            </w:r>
          </w:p>
        </w:tc>
        <w:tc>
          <w:tcPr>
            <w:tcW w:w="949" w:type="pct"/>
          </w:tcPr>
          <w:p w14:paraId="50FECEF6" w14:textId="77777777" w:rsidR="00507B99" w:rsidRPr="00B77636" w:rsidRDefault="00507B99" w:rsidP="004D5205">
            <w:pPr>
              <w:jc w:val="center"/>
            </w:pPr>
            <w:r w:rsidRPr="00B77636">
              <w:rPr>
                <w:szCs w:val="24"/>
              </w:rPr>
              <w:t>3,806</w:t>
            </w:r>
          </w:p>
        </w:tc>
        <w:tc>
          <w:tcPr>
            <w:tcW w:w="992" w:type="pct"/>
          </w:tcPr>
          <w:p w14:paraId="5A568410" w14:textId="77777777" w:rsidR="00507B99" w:rsidRPr="00B77636" w:rsidRDefault="00507B99" w:rsidP="004D5205">
            <w:pPr>
              <w:jc w:val="center"/>
            </w:pPr>
            <w:r w:rsidRPr="00B77636">
              <w:rPr>
                <w:szCs w:val="24"/>
              </w:rPr>
              <w:t>103</w:t>
            </w:r>
          </w:p>
        </w:tc>
      </w:tr>
      <w:tr w:rsidR="00507B99" w14:paraId="4C44DFBD" w14:textId="77777777" w:rsidTr="00CC630C">
        <w:trPr>
          <w:cantSplit/>
          <w:jc w:val="center"/>
        </w:trPr>
        <w:tc>
          <w:tcPr>
            <w:tcW w:w="1172" w:type="pct"/>
          </w:tcPr>
          <w:p w14:paraId="000615D5" w14:textId="77777777" w:rsidR="00507B99" w:rsidRPr="00604B59" w:rsidRDefault="00507B99" w:rsidP="004D5205">
            <w:pPr>
              <w:rPr>
                <w:b/>
                <w:bCs/>
              </w:rPr>
            </w:pPr>
            <w:r w:rsidRPr="00D245B8">
              <w:rPr>
                <w:szCs w:val="18"/>
              </w:rPr>
              <w:t>Head and Neck Oncology</w:t>
            </w:r>
          </w:p>
        </w:tc>
        <w:tc>
          <w:tcPr>
            <w:tcW w:w="936" w:type="pct"/>
          </w:tcPr>
          <w:p w14:paraId="04802CE7" w14:textId="77777777" w:rsidR="00507B99" w:rsidRPr="009D6E10" w:rsidRDefault="00507B99" w:rsidP="004D5205">
            <w:pPr>
              <w:jc w:val="center"/>
            </w:pPr>
            <w:r>
              <w:t>24.55%</w:t>
            </w:r>
          </w:p>
        </w:tc>
        <w:tc>
          <w:tcPr>
            <w:tcW w:w="951" w:type="pct"/>
          </w:tcPr>
          <w:p w14:paraId="444746F4" w14:textId="77777777" w:rsidR="00507B99" w:rsidRPr="009D6E10" w:rsidRDefault="00507B99" w:rsidP="004D5205">
            <w:pPr>
              <w:jc w:val="center"/>
            </w:pPr>
            <w:r>
              <w:t>7.37%</w:t>
            </w:r>
          </w:p>
        </w:tc>
        <w:tc>
          <w:tcPr>
            <w:tcW w:w="949" w:type="pct"/>
          </w:tcPr>
          <w:p w14:paraId="7D79C623" w14:textId="77777777" w:rsidR="00507B99" w:rsidRPr="00B77636" w:rsidRDefault="00507B99" w:rsidP="004D5205">
            <w:pPr>
              <w:jc w:val="center"/>
            </w:pPr>
            <w:r w:rsidRPr="00B77636">
              <w:rPr>
                <w:szCs w:val="24"/>
              </w:rPr>
              <w:t>2,759</w:t>
            </w:r>
          </w:p>
        </w:tc>
        <w:tc>
          <w:tcPr>
            <w:tcW w:w="992" w:type="pct"/>
          </w:tcPr>
          <w:p w14:paraId="43B32FFD" w14:textId="77777777" w:rsidR="00507B99" w:rsidRPr="00B77636" w:rsidRDefault="00507B99" w:rsidP="004D5205">
            <w:pPr>
              <w:jc w:val="center"/>
            </w:pPr>
            <w:r w:rsidRPr="00B77636">
              <w:rPr>
                <w:szCs w:val="24"/>
              </w:rPr>
              <w:t>20</w:t>
            </w:r>
            <w:r>
              <w:rPr>
                <w:szCs w:val="24"/>
              </w:rPr>
              <w:t>3</w:t>
            </w:r>
          </w:p>
        </w:tc>
      </w:tr>
      <w:tr w:rsidR="00507B99" w14:paraId="50821388" w14:textId="77777777" w:rsidTr="00CC630C">
        <w:trPr>
          <w:cantSplit/>
          <w:jc w:val="center"/>
        </w:trPr>
        <w:tc>
          <w:tcPr>
            <w:tcW w:w="1172" w:type="pct"/>
          </w:tcPr>
          <w:p w14:paraId="094845E8" w14:textId="77777777" w:rsidR="00507B99" w:rsidRPr="00D245B8" w:rsidRDefault="00507B99" w:rsidP="004D5205">
            <w:pPr>
              <w:rPr>
                <w:szCs w:val="18"/>
              </w:rPr>
            </w:pPr>
            <w:r w:rsidRPr="00D245B8">
              <w:rPr>
                <w:szCs w:val="18"/>
              </w:rPr>
              <w:t>Hematologic Malignancies</w:t>
            </w:r>
            <w:r>
              <w:rPr>
                <w:szCs w:val="18"/>
              </w:rPr>
              <w:t xml:space="preserve"> </w:t>
            </w:r>
          </w:p>
        </w:tc>
        <w:tc>
          <w:tcPr>
            <w:tcW w:w="936" w:type="pct"/>
          </w:tcPr>
          <w:p w14:paraId="34AE8C81" w14:textId="77777777" w:rsidR="00507B99" w:rsidRPr="009D6E10" w:rsidRDefault="00507B99" w:rsidP="004D5205">
            <w:pPr>
              <w:jc w:val="center"/>
            </w:pPr>
            <w:r>
              <w:t>2.89%</w:t>
            </w:r>
          </w:p>
        </w:tc>
        <w:tc>
          <w:tcPr>
            <w:tcW w:w="951" w:type="pct"/>
          </w:tcPr>
          <w:p w14:paraId="275105AF" w14:textId="77777777" w:rsidR="00507B99" w:rsidRPr="009D6E10" w:rsidRDefault="00507B99" w:rsidP="004D5205">
            <w:pPr>
              <w:jc w:val="center"/>
            </w:pPr>
            <w:r>
              <w:t>0.87%</w:t>
            </w:r>
          </w:p>
        </w:tc>
        <w:tc>
          <w:tcPr>
            <w:tcW w:w="949" w:type="pct"/>
          </w:tcPr>
          <w:p w14:paraId="6A53D5BA" w14:textId="4C359A5C" w:rsidR="00507B99" w:rsidRPr="00430E88" w:rsidRDefault="00430E88" w:rsidP="004D5205">
            <w:pPr>
              <w:jc w:val="center"/>
            </w:pPr>
            <w:r w:rsidRPr="00430E88">
              <w:t>15,186</w:t>
            </w:r>
          </w:p>
        </w:tc>
        <w:tc>
          <w:tcPr>
            <w:tcW w:w="992" w:type="pct"/>
          </w:tcPr>
          <w:p w14:paraId="2D3B2187" w14:textId="28005EC2" w:rsidR="00507B99" w:rsidRPr="00B77636" w:rsidRDefault="00507B99" w:rsidP="004D5205">
            <w:pPr>
              <w:jc w:val="center"/>
            </w:pPr>
            <w:r w:rsidRPr="00B77636">
              <w:rPr>
                <w:szCs w:val="24"/>
              </w:rPr>
              <w:t>13</w:t>
            </w:r>
            <w:r w:rsidR="00370520">
              <w:rPr>
                <w:szCs w:val="24"/>
              </w:rPr>
              <w:t>2</w:t>
            </w:r>
          </w:p>
        </w:tc>
      </w:tr>
      <w:tr w:rsidR="00507B99" w14:paraId="2D40EAB7" w14:textId="77777777" w:rsidTr="00CC630C">
        <w:trPr>
          <w:cantSplit/>
          <w:jc w:val="center"/>
        </w:trPr>
        <w:tc>
          <w:tcPr>
            <w:tcW w:w="1172" w:type="pct"/>
          </w:tcPr>
          <w:p w14:paraId="293419EE" w14:textId="77777777" w:rsidR="00507B99" w:rsidRPr="00D245B8" w:rsidRDefault="00507B99" w:rsidP="004D5205">
            <w:pPr>
              <w:rPr>
                <w:szCs w:val="18"/>
              </w:rPr>
            </w:pPr>
            <w:r>
              <w:rPr>
                <w:szCs w:val="18"/>
              </w:rPr>
              <w:t>Hematology Service</w:t>
            </w:r>
          </w:p>
        </w:tc>
        <w:tc>
          <w:tcPr>
            <w:tcW w:w="936" w:type="pct"/>
          </w:tcPr>
          <w:p w14:paraId="4ED38AEA" w14:textId="77777777" w:rsidR="00507B99" w:rsidRPr="009D6E10" w:rsidRDefault="00507B99" w:rsidP="004D5205">
            <w:pPr>
              <w:jc w:val="center"/>
            </w:pPr>
            <w:r>
              <w:t>0.34%</w:t>
            </w:r>
          </w:p>
        </w:tc>
        <w:tc>
          <w:tcPr>
            <w:tcW w:w="951" w:type="pct"/>
          </w:tcPr>
          <w:p w14:paraId="2485097A" w14:textId="77777777" w:rsidR="00507B99" w:rsidRDefault="00507B99" w:rsidP="004D5205">
            <w:pPr>
              <w:jc w:val="center"/>
            </w:pPr>
            <w:r>
              <w:t>0.10%</w:t>
            </w:r>
          </w:p>
        </w:tc>
        <w:tc>
          <w:tcPr>
            <w:tcW w:w="949" w:type="pct"/>
          </w:tcPr>
          <w:p w14:paraId="1EC95853" w14:textId="77777777" w:rsidR="00507B99" w:rsidRPr="00B77636" w:rsidRDefault="00507B99" w:rsidP="004D5205">
            <w:pPr>
              <w:jc w:val="center"/>
              <w:rPr>
                <w:szCs w:val="24"/>
              </w:rPr>
            </w:pPr>
            <w:r>
              <w:rPr>
                <w:szCs w:val="24"/>
              </w:rPr>
              <w:t>2,524</w:t>
            </w:r>
          </w:p>
        </w:tc>
        <w:tc>
          <w:tcPr>
            <w:tcW w:w="992" w:type="pct"/>
          </w:tcPr>
          <w:p w14:paraId="2D4E3B2D" w14:textId="77777777" w:rsidR="00507B99" w:rsidRPr="00B77636" w:rsidRDefault="00507B99" w:rsidP="004D5205">
            <w:pPr>
              <w:jc w:val="center"/>
              <w:rPr>
                <w:szCs w:val="24"/>
              </w:rPr>
            </w:pPr>
            <w:r>
              <w:rPr>
                <w:szCs w:val="24"/>
              </w:rPr>
              <w:t>3</w:t>
            </w:r>
          </w:p>
        </w:tc>
      </w:tr>
      <w:tr w:rsidR="00507B99" w14:paraId="3626813E" w14:textId="77777777" w:rsidTr="00CC630C">
        <w:trPr>
          <w:cantSplit/>
          <w:jc w:val="center"/>
        </w:trPr>
        <w:tc>
          <w:tcPr>
            <w:tcW w:w="1172" w:type="pct"/>
          </w:tcPr>
          <w:p w14:paraId="2E793F41" w14:textId="77777777" w:rsidR="00507B99" w:rsidRPr="00D245B8" w:rsidRDefault="00507B99" w:rsidP="004D5205">
            <w:pPr>
              <w:rPr>
                <w:szCs w:val="18"/>
              </w:rPr>
            </w:pPr>
            <w:r w:rsidRPr="00D245B8">
              <w:rPr>
                <w:szCs w:val="18"/>
              </w:rPr>
              <w:t>Melanoma Center</w:t>
            </w:r>
          </w:p>
        </w:tc>
        <w:tc>
          <w:tcPr>
            <w:tcW w:w="936" w:type="pct"/>
          </w:tcPr>
          <w:p w14:paraId="7C7C731B" w14:textId="77777777" w:rsidR="00507B99" w:rsidRPr="009D6E10" w:rsidRDefault="00507B99" w:rsidP="004D5205">
            <w:pPr>
              <w:jc w:val="center"/>
            </w:pPr>
            <w:r>
              <w:t>5.05%</w:t>
            </w:r>
          </w:p>
        </w:tc>
        <w:tc>
          <w:tcPr>
            <w:tcW w:w="951" w:type="pct"/>
          </w:tcPr>
          <w:p w14:paraId="4D58D27C" w14:textId="77777777" w:rsidR="00507B99" w:rsidRPr="009D6E10" w:rsidRDefault="00507B99" w:rsidP="004D5205">
            <w:pPr>
              <w:jc w:val="center"/>
            </w:pPr>
            <w:r>
              <w:t>1.52%</w:t>
            </w:r>
          </w:p>
        </w:tc>
        <w:tc>
          <w:tcPr>
            <w:tcW w:w="949" w:type="pct"/>
          </w:tcPr>
          <w:p w14:paraId="638FCCAA" w14:textId="77777777" w:rsidR="00507B99" w:rsidRPr="00B77636" w:rsidRDefault="00507B99" w:rsidP="004D5205">
            <w:pPr>
              <w:jc w:val="center"/>
            </w:pPr>
            <w:r w:rsidRPr="00B77636">
              <w:rPr>
                <w:szCs w:val="24"/>
              </w:rPr>
              <w:t>2,232</w:t>
            </w:r>
          </w:p>
        </w:tc>
        <w:tc>
          <w:tcPr>
            <w:tcW w:w="992" w:type="pct"/>
          </w:tcPr>
          <w:p w14:paraId="1EAB8BFF" w14:textId="77777777" w:rsidR="00507B99" w:rsidRPr="00B77636" w:rsidRDefault="00507B99" w:rsidP="004D5205">
            <w:pPr>
              <w:jc w:val="center"/>
            </w:pPr>
            <w:r w:rsidRPr="00B77636">
              <w:rPr>
                <w:szCs w:val="24"/>
              </w:rPr>
              <w:t>34</w:t>
            </w:r>
          </w:p>
        </w:tc>
      </w:tr>
      <w:tr w:rsidR="00507B99" w14:paraId="3671DE04" w14:textId="77777777" w:rsidTr="00CC630C">
        <w:trPr>
          <w:cantSplit/>
          <w:jc w:val="center"/>
        </w:trPr>
        <w:tc>
          <w:tcPr>
            <w:tcW w:w="1172" w:type="pct"/>
          </w:tcPr>
          <w:p w14:paraId="7E38E590" w14:textId="77777777" w:rsidR="00507B99" w:rsidRPr="00D245B8" w:rsidRDefault="00507B99" w:rsidP="004D5205">
            <w:pPr>
              <w:rPr>
                <w:szCs w:val="18"/>
              </w:rPr>
            </w:pPr>
            <w:r w:rsidRPr="00D245B8">
              <w:rPr>
                <w:szCs w:val="18"/>
              </w:rPr>
              <w:t>Neuro-Oncology Center</w:t>
            </w:r>
          </w:p>
        </w:tc>
        <w:tc>
          <w:tcPr>
            <w:tcW w:w="936" w:type="pct"/>
          </w:tcPr>
          <w:p w14:paraId="67CBAE6F" w14:textId="77777777" w:rsidR="00507B99" w:rsidRPr="009D6E10" w:rsidRDefault="00507B99" w:rsidP="004D5205">
            <w:pPr>
              <w:jc w:val="center"/>
            </w:pPr>
            <w:r w:rsidRPr="009D6E10">
              <w:t>3</w:t>
            </w:r>
            <w:r>
              <w:t>0.63%</w:t>
            </w:r>
          </w:p>
        </w:tc>
        <w:tc>
          <w:tcPr>
            <w:tcW w:w="951" w:type="pct"/>
          </w:tcPr>
          <w:p w14:paraId="0BEFD289" w14:textId="77777777" w:rsidR="00507B99" w:rsidRPr="009D6E10" w:rsidRDefault="00507B99" w:rsidP="004D5205">
            <w:pPr>
              <w:jc w:val="center"/>
            </w:pPr>
            <w:r>
              <w:t>9.19%</w:t>
            </w:r>
          </w:p>
        </w:tc>
        <w:tc>
          <w:tcPr>
            <w:tcW w:w="949" w:type="pct"/>
          </w:tcPr>
          <w:p w14:paraId="0A6C8F11" w14:textId="77777777" w:rsidR="00507B99" w:rsidRPr="00B77636" w:rsidRDefault="00507B99" w:rsidP="004D5205">
            <w:pPr>
              <w:jc w:val="center"/>
            </w:pPr>
            <w:r w:rsidRPr="00B77636">
              <w:rPr>
                <w:szCs w:val="24"/>
              </w:rPr>
              <w:t>1,819</w:t>
            </w:r>
          </w:p>
        </w:tc>
        <w:tc>
          <w:tcPr>
            <w:tcW w:w="992" w:type="pct"/>
          </w:tcPr>
          <w:p w14:paraId="01B9229F" w14:textId="77777777" w:rsidR="00507B99" w:rsidRPr="00B77636" w:rsidRDefault="00507B99" w:rsidP="004D5205">
            <w:pPr>
              <w:jc w:val="center"/>
            </w:pPr>
            <w:r w:rsidRPr="00B77636">
              <w:rPr>
                <w:szCs w:val="24"/>
              </w:rPr>
              <w:t>1</w:t>
            </w:r>
            <w:r>
              <w:rPr>
                <w:szCs w:val="24"/>
              </w:rPr>
              <w:t>67</w:t>
            </w:r>
          </w:p>
        </w:tc>
      </w:tr>
      <w:tr w:rsidR="00507B99" w14:paraId="6B0A96D7" w14:textId="77777777" w:rsidTr="00CC630C">
        <w:trPr>
          <w:cantSplit/>
          <w:jc w:val="center"/>
        </w:trPr>
        <w:tc>
          <w:tcPr>
            <w:tcW w:w="1172" w:type="pct"/>
          </w:tcPr>
          <w:p w14:paraId="495F1865" w14:textId="77777777" w:rsidR="00507B99" w:rsidRPr="00D245B8" w:rsidRDefault="00507B99" w:rsidP="004D5205">
            <w:pPr>
              <w:rPr>
                <w:szCs w:val="18"/>
              </w:rPr>
            </w:pPr>
            <w:r w:rsidRPr="00D245B8">
              <w:rPr>
                <w:szCs w:val="18"/>
              </w:rPr>
              <w:t>Sarcoma and Bone Oncology</w:t>
            </w:r>
          </w:p>
        </w:tc>
        <w:tc>
          <w:tcPr>
            <w:tcW w:w="936" w:type="pct"/>
          </w:tcPr>
          <w:p w14:paraId="6037BC79" w14:textId="77777777" w:rsidR="00507B99" w:rsidRPr="009D6E10" w:rsidRDefault="00507B99" w:rsidP="004D5205">
            <w:pPr>
              <w:jc w:val="center"/>
            </w:pPr>
            <w:r>
              <w:t>16.67%</w:t>
            </w:r>
          </w:p>
        </w:tc>
        <w:tc>
          <w:tcPr>
            <w:tcW w:w="951" w:type="pct"/>
          </w:tcPr>
          <w:p w14:paraId="5546495E" w14:textId="77777777" w:rsidR="00507B99" w:rsidRPr="009D6E10" w:rsidRDefault="00507B99" w:rsidP="004D5205">
            <w:pPr>
              <w:jc w:val="center"/>
            </w:pPr>
            <w:r>
              <w:t>5.00%</w:t>
            </w:r>
          </w:p>
        </w:tc>
        <w:tc>
          <w:tcPr>
            <w:tcW w:w="949" w:type="pct"/>
          </w:tcPr>
          <w:p w14:paraId="04798C12" w14:textId="77777777" w:rsidR="00507B99" w:rsidRPr="00B77636" w:rsidRDefault="00507B99" w:rsidP="004D5205">
            <w:pPr>
              <w:jc w:val="center"/>
            </w:pPr>
            <w:r w:rsidRPr="00B77636">
              <w:rPr>
                <w:szCs w:val="24"/>
              </w:rPr>
              <w:t>2,013</w:t>
            </w:r>
          </w:p>
        </w:tc>
        <w:tc>
          <w:tcPr>
            <w:tcW w:w="992" w:type="pct"/>
          </w:tcPr>
          <w:p w14:paraId="45FF37C0" w14:textId="77777777" w:rsidR="00507B99" w:rsidRPr="00B77636" w:rsidRDefault="00507B99" w:rsidP="004D5205">
            <w:pPr>
              <w:jc w:val="center"/>
            </w:pPr>
            <w:r w:rsidRPr="00B77636">
              <w:rPr>
                <w:szCs w:val="24"/>
              </w:rPr>
              <w:t>10</w:t>
            </w:r>
            <w:r>
              <w:rPr>
                <w:szCs w:val="24"/>
              </w:rPr>
              <w:t>1</w:t>
            </w:r>
          </w:p>
        </w:tc>
      </w:tr>
      <w:tr w:rsidR="00507B99" w14:paraId="34691D0D" w14:textId="77777777" w:rsidTr="00CC630C">
        <w:trPr>
          <w:cantSplit/>
          <w:jc w:val="center"/>
        </w:trPr>
        <w:tc>
          <w:tcPr>
            <w:tcW w:w="1172" w:type="pct"/>
          </w:tcPr>
          <w:p w14:paraId="1049AAFF" w14:textId="77777777" w:rsidR="00507B99" w:rsidRPr="00D245B8" w:rsidRDefault="00507B99" w:rsidP="004D5205">
            <w:pPr>
              <w:rPr>
                <w:szCs w:val="18"/>
              </w:rPr>
            </w:pPr>
            <w:r w:rsidRPr="002D2D4F">
              <w:rPr>
                <w:szCs w:val="18"/>
              </w:rPr>
              <w:t>Thoracic Oncology Program</w:t>
            </w:r>
          </w:p>
        </w:tc>
        <w:tc>
          <w:tcPr>
            <w:tcW w:w="936" w:type="pct"/>
          </w:tcPr>
          <w:p w14:paraId="7531B9E5" w14:textId="77777777" w:rsidR="00507B99" w:rsidRPr="009D6E10" w:rsidRDefault="00507B99" w:rsidP="004D5205">
            <w:pPr>
              <w:jc w:val="center"/>
            </w:pPr>
            <w:r>
              <w:t>20.48%</w:t>
            </w:r>
          </w:p>
        </w:tc>
        <w:tc>
          <w:tcPr>
            <w:tcW w:w="951" w:type="pct"/>
          </w:tcPr>
          <w:p w14:paraId="0FB58E6A" w14:textId="77777777" w:rsidR="00507B99" w:rsidRDefault="00507B99" w:rsidP="004D5205">
            <w:pPr>
              <w:jc w:val="center"/>
            </w:pPr>
            <w:r>
              <w:t>6.15%</w:t>
            </w:r>
          </w:p>
        </w:tc>
        <w:tc>
          <w:tcPr>
            <w:tcW w:w="949" w:type="pct"/>
          </w:tcPr>
          <w:p w14:paraId="432534AD" w14:textId="77777777" w:rsidR="00507B99" w:rsidRPr="00B77636" w:rsidRDefault="00507B99" w:rsidP="004D5205">
            <w:pPr>
              <w:jc w:val="center"/>
              <w:rPr>
                <w:szCs w:val="24"/>
              </w:rPr>
            </w:pPr>
            <w:r w:rsidRPr="00B77636">
              <w:rPr>
                <w:szCs w:val="24"/>
              </w:rPr>
              <w:t>3,298</w:t>
            </w:r>
          </w:p>
        </w:tc>
        <w:tc>
          <w:tcPr>
            <w:tcW w:w="992" w:type="pct"/>
          </w:tcPr>
          <w:p w14:paraId="0562A539" w14:textId="77777777" w:rsidR="00507B99" w:rsidRPr="00B77636" w:rsidRDefault="00507B99" w:rsidP="004D5205">
            <w:pPr>
              <w:jc w:val="center"/>
              <w:rPr>
                <w:szCs w:val="24"/>
              </w:rPr>
            </w:pPr>
            <w:r>
              <w:rPr>
                <w:szCs w:val="24"/>
              </w:rPr>
              <w:t>203</w:t>
            </w:r>
          </w:p>
        </w:tc>
      </w:tr>
      <w:tr w:rsidR="00507B99" w14:paraId="5E3C4575" w14:textId="77777777" w:rsidTr="00CC630C">
        <w:trPr>
          <w:cantSplit/>
          <w:jc w:val="center"/>
        </w:trPr>
        <w:tc>
          <w:tcPr>
            <w:tcW w:w="1172" w:type="pct"/>
            <w:tcBorders>
              <w:bottom w:val="single" w:sz="12" w:space="0" w:color="auto"/>
            </w:tcBorders>
          </w:tcPr>
          <w:p w14:paraId="3F8C4F0B" w14:textId="4B9F38DA" w:rsidR="00507B99" w:rsidRPr="00D245B8" w:rsidRDefault="00507B99" w:rsidP="004D5205">
            <w:pPr>
              <w:rPr>
                <w:szCs w:val="18"/>
              </w:rPr>
            </w:pPr>
            <w:r>
              <w:rPr>
                <w:szCs w:val="18"/>
              </w:rPr>
              <w:t>Other</w:t>
            </w:r>
            <w:r w:rsidR="00F62BF0">
              <w:rPr>
                <w:rStyle w:val="FootnoteReference"/>
                <w:szCs w:val="18"/>
              </w:rPr>
              <w:footnoteReference w:customMarkFollows="1" w:id="115"/>
              <w:t>3</w:t>
            </w:r>
          </w:p>
        </w:tc>
        <w:tc>
          <w:tcPr>
            <w:tcW w:w="936" w:type="pct"/>
            <w:tcBorders>
              <w:bottom w:val="single" w:sz="12" w:space="0" w:color="auto"/>
            </w:tcBorders>
          </w:tcPr>
          <w:p w14:paraId="04C1323D" w14:textId="77777777" w:rsidR="00507B99" w:rsidRPr="009D6E10" w:rsidRDefault="00507B99" w:rsidP="004D5205">
            <w:pPr>
              <w:jc w:val="center"/>
            </w:pPr>
            <w:r>
              <w:t>10.13%</w:t>
            </w:r>
          </w:p>
        </w:tc>
        <w:tc>
          <w:tcPr>
            <w:tcW w:w="951" w:type="pct"/>
            <w:tcBorders>
              <w:bottom w:val="single" w:sz="12" w:space="0" w:color="auto"/>
            </w:tcBorders>
          </w:tcPr>
          <w:p w14:paraId="02B10E74" w14:textId="77777777" w:rsidR="00507B99" w:rsidRPr="009D6E10" w:rsidRDefault="00507B99" w:rsidP="004D5205">
            <w:pPr>
              <w:jc w:val="center"/>
            </w:pPr>
            <w:r>
              <w:t>3.04%</w:t>
            </w:r>
          </w:p>
        </w:tc>
        <w:tc>
          <w:tcPr>
            <w:tcW w:w="949" w:type="pct"/>
            <w:tcBorders>
              <w:bottom w:val="single" w:sz="12" w:space="0" w:color="auto"/>
            </w:tcBorders>
          </w:tcPr>
          <w:p w14:paraId="5D8425C5" w14:textId="6B1F6630" w:rsidR="00507B99" w:rsidRPr="00B77636" w:rsidRDefault="00BA5968" w:rsidP="004D5205">
            <w:pPr>
              <w:jc w:val="center"/>
            </w:pPr>
            <w:r>
              <w:rPr>
                <w:szCs w:val="24"/>
              </w:rPr>
              <w:t>6,668</w:t>
            </w:r>
          </w:p>
        </w:tc>
        <w:tc>
          <w:tcPr>
            <w:tcW w:w="992" w:type="pct"/>
            <w:tcBorders>
              <w:bottom w:val="single" w:sz="12" w:space="0" w:color="auto"/>
            </w:tcBorders>
          </w:tcPr>
          <w:p w14:paraId="31A9E829" w14:textId="37D24413" w:rsidR="00507B99" w:rsidRPr="00B77636" w:rsidRDefault="00370520" w:rsidP="004D5205">
            <w:pPr>
              <w:jc w:val="center"/>
            </w:pPr>
            <w:r>
              <w:t>203</w:t>
            </w:r>
          </w:p>
        </w:tc>
      </w:tr>
      <w:tr w:rsidR="00507B99" w14:paraId="2AC057DF" w14:textId="77777777" w:rsidTr="00CC630C">
        <w:trPr>
          <w:cantSplit/>
          <w:jc w:val="center"/>
        </w:trPr>
        <w:tc>
          <w:tcPr>
            <w:tcW w:w="1172" w:type="pct"/>
            <w:tcBorders>
              <w:top w:val="single" w:sz="12" w:space="0" w:color="auto"/>
              <w:left w:val="single" w:sz="12" w:space="0" w:color="auto"/>
              <w:bottom w:val="single" w:sz="12" w:space="0" w:color="auto"/>
            </w:tcBorders>
          </w:tcPr>
          <w:p w14:paraId="49418E2B" w14:textId="77777777" w:rsidR="00507B99" w:rsidRPr="002D2D4F" w:rsidRDefault="00507B99" w:rsidP="004D5205">
            <w:pPr>
              <w:rPr>
                <w:szCs w:val="18"/>
              </w:rPr>
            </w:pPr>
            <w:r w:rsidRPr="00B77636">
              <w:rPr>
                <w:b/>
                <w:bCs/>
                <w:szCs w:val="18"/>
              </w:rPr>
              <w:t>Total</w:t>
            </w:r>
          </w:p>
        </w:tc>
        <w:tc>
          <w:tcPr>
            <w:tcW w:w="936" w:type="pct"/>
            <w:tcBorders>
              <w:top w:val="single" w:sz="12" w:space="0" w:color="auto"/>
              <w:bottom w:val="single" w:sz="12" w:space="0" w:color="auto"/>
            </w:tcBorders>
          </w:tcPr>
          <w:p w14:paraId="72F7DA57" w14:textId="77777777" w:rsidR="00507B99" w:rsidRPr="009D6E10" w:rsidRDefault="00507B99" w:rsidP="004D5205">
            <w:pPr>
              <w:jc w:val="center"/>
            </w:pPr>
            <w:r>
              <w:t>--</w:t>
            </w:r>
          </w:p>
        </w:tc>
        <w:tc>
          <w:tcPr>
            <w:tcW w:w="951" w:type="pct"/>
            <w:tcBorders>
              <w:top w:val="single" w:sz="12" w:space="0" w:color="auto"/>
              <w:bottom w:val="single" w:sz="12" w:space="0" w:color="auto"/>
            </w:tcBorders>
          </w:tcPr>
          <w:p w14:paraId="298029D4" w14:textId="77777777" w:rsidR="00507B99" w:rsidRDefault="00507B99" w:rsidP="004D5205">
            <w:pPr>
              <w:jc w:val="center"/>
            </w:pPr>
            <w:r>
              <w:t>--</w:t>
            </w:r>
          </w:p>
        </w:tc>
        <w:tc>
          <w:tcPr>
            <w:tcW w:w="949" w:type="pct"/>
            <w:tcBorders>
              <w:top w:val="single" w:sz="12" w:space="0" w:color="auto"/>
              <w:bottom w:val="single" w:sz="12" w:space="0" w:color="auto"/>
            </w:tcBorders>
          </w:tcPr>
          <w:p w14:paraId="34D164FC" w14:textId="77777777" w:rsidR="00507B99" w:rsidRPr="00B77636" w:rsidRDefault="00507B99" w:rsidP="004D5205">
            <w:pPr>
              <w:jc w:val="center"/>
              <w:rPr>
                <w:szCs w:val="24"/>
              </w:rPr>
            </w:pPr>
            <w:r>
              <w:t>69,296</w:t>
            </w:r>
          </w:p>
        </w:tc>
        <w:tc>
          <w:tcPr>
            <w:tcW w:w="992" w:type="pct"/>
            <w:tcBorders>
              <w:top w:val="single" w:sz="12" w:space="0" w:color="auto"/>
              <w:bottom w:val="single" w:sz="12" w:space="0" w:color="auto"/>
              <w:right w:val="single" w:sz="12" w:space="0" w:color="auto"/>
            </w:tcBorders>
          </w:tcPr>
          <w:p w14:paraId="601BEF83" w14:textId="0FAE630B" w:rsidR="00507B99" w:rsidRPr="00B77636" w:rsidRDefault="00507B99" w:rsidP="004D5205">
            <w:pPr>
              <w:jc w:val="center"/>
              <w:rPr>
                <w:szCs w:val="24"/>
              </w:rPr>
            </w:pPr>
            <w:r>
              <w:t>2,22</w:t>
            </w:r>
            <w:r w:rsidR="00370520">
              <w:t>8</w:t>
            </w:r>
          </w:p>
        </w:tc>
      </w:tr>
    </w:tbl>
    <w:p w14:paraId="2FF7D357" w14:textId="77777777" w:rsidR="00507B99" w:rsidRDefault="00507B99" w:rsidP="00507B99">
      <w:pPr>
        <w:spacing w:line="259" w:lineRule="auto"/>
        <w:jc w:val="center"/>
        <w:rPr>
          <w:b/>
          <w:bCs/>
          <w:szCs w:val="24"/>
        </w:rPr>
      </w:pPr>
    </w:p>
    <w:p w14:paraId="51737577" w14:textId="77777777" w:rsidR="00507B99" w:rsidRDefault="00507B99" w:rsidP="00507B99">
      <w:pPr>
        <w:spacing w:line="259" w:lineRule="auto"/>
        <w:jc w:val="center"/>
        <w:rPr>
          <w:b/>
          <w:bCs/>
          <w:szCs w:val="24"/>
        </w:rPr>
      </w:pPr>
      <w:r w:rsidRPr="00C05AFD">
        <w:rPr>
          <w:b/>
          <w:bCs/>
          <w:szCs w:val="24"/>
        </w:rPr>
        <w:t xml:space="preserve">Table </w:t>
      </w:r>
      <w:r>
        <w:rPr>
          <w:b/>
          <w:bCs/>
          <w:szCs w:val="24"/>
        </w:rPr>
        <w:t>A-3</w:t>
      </w:r>
    </w:p>
    <w:p w14:paraId="556E2D4C" w14:textId="77777777" w:rsidR="00507B99" w:rsidRDefault="00507B99" w:rsidP="00507B99">
      <w:pPr>
        <w:spacing w:line="259" w:lineRule="auto"/>
        <w:jc w:val="center"/>
        <w:rPr>
          <w:b/>
          <w:bCs/>
          <w:szCs w:val="24"/>
        </w:rPr>
      </w:pPr>
      <w:r>
        <w:rPr>
          <w:b/>
          <w:bCs/>
          <w:szCs w:val="24"/>
        </w:rPr>
        <w:t>LINAC Treatments (Applicant)</w:t>
      </w:r>
    </w:p>
    <w:tbl>
      <w:tblPr>
        <w:tblStyle w:val="TableGrid"/>
        <w:tblW w:w="5000" w:type="pct"/>
        <w:jc w:val="center"/>
        <w:tblLook w:val="04A0" w:firstRow="1" w:lastRow="0" w:firstColumn="1" w:lastColumn="0" w:noHBand="0" w:noVBand="1"/>
      </w:tblPr>
      <w:tblGrid>
        <w:gridCol w:w="5485"/>
        <w:gridCol w:w="3865"/>
      </w:tblGrid>
      <w:tr w:rsidR="00507B99" w:rsidRPr="002E3569" w14:paraId="13B0A474" w14:textId="77777777" w:rsidTr="00CC630C">
        <w:trPr>
          <w:cantSplit/>
          <w:tblHeader/>
          <w:jc w:val="center"/>
        </w:trPr>
        <w:tc>
          <w:tcPr>
            <w:tcW w:w="2933" w:type="pct"/>
          </w:tcPr>
          <w:p w14:paraId="7ECC98FE" w14:textId="77777777" w:rsidR="00507B99" w:rsidRPr="00604B59" w:rsidRDefault="00507B99" w:rsidP="004D5205">
            <w:pPr>
              <w:jc w:val="center"/>
              <w:rPr>
                <w:b/>
                <w:bCs/>
              </w:rPr>
            </w:pPr>
            <w:r w:rsidRPr="00604B59">
              <w:rPr>
                <w:b/>
                <w:bCs/>
              </w:rPr>
              <w:t>Metric</w:t>
            </w:r>
          </w:p>
        </w:tc>
        <w:tc>
          <w:tcPr>
            <w:tcW w:w="2067" w:type="pct"/>
          </w:tcPr>
          <w:p w14:paraId="0A16470E" w14:textId="77777777" w:rsidR="00507B99" w:rsidRPr="00604B59" w:rsidRDefault="00507B99" w:rsidP="004D5205">
            <w:pPr>
              <w:jc w:val="center"/>
              <w:rPr>
                <w:b/>
                <w:bCs/>
              </w:rPr>
            </w:pPr>
            <w:r>
              <w:rPr>
                <w:b/>
                <w:bCs/>
              </w:rPr>
              <w:t>2022</w:t>
            </w:r>
          </w:p>
        </w:tc>
      </w:tr>
      <w:tr w:rsidR="00507B99" w:rsidRPr="00E968E0" w14:paraId="11FE945E" w14:textId="77777777" w:rsidTr="00CC630C">
        <w:trPr>
          <w:cantSplit/>
          <w:jc w:val="center"/>
        </w:trPr>
        <w:tc>
          <w:tcPr>
            <w:tcW w:w="2933" w:type="pct"/>
          </w:tcPr>
          <w:p w14:paraId="7AA1AABD" w14:textId="77777777" w:rsidR="00507B99" w:rsidRPr="00B77636" w:rsidRDefault="00507B99" w:rsidP="004D5205">
            <w:r w:rsidRPr="00B77636">
              <w:t>Total Patients with LINAC Treatment</w:t>
            </w:r>
          </w:p>
        </w:tc>
        <w:tc>
          <w:tcPr>
            <w:tcW w:w="2067" w:type="pct"/>
          </w:tcPr>
          <w:p w14:paraId="27200222" w14:textId="7FE69D16" w:rsidR="00507B99" w:rsidRPr="00B77636" w:rsidRDefault="00507B99" w:rsidP="004D5205">
            <w:pPr>
              <w:jc w:val="center"/>
            </w:pPr>
            <w:r>
              <w:t>2,22</w:t>
            </w:r>
            <w:r w:rsidR="00370520">
              <w:t>8</w:t>
            </w:r>
          </w:p>
        </w:tc>
      </w:tr>
      <w:tr w:rsidR="00507B99" w14:paraId="46444027" w14:textId="77777777" w:rsidTr="00CC630C">
        <w:trPr>
          <w:cantSplit/>
          <w:jc w:val="center"/>
        </w:trPr>
        <w:tc>
          <w:tcPr>
            <w:tcW w:w="2933" w:type="pct"/>
            <w:tcBorders>
              <w:bottom w:val="single" w:sz="12" w:space="0" w:color="auto"/>
            </w:tcBorders>
          </w:tcPr>
          <w:p w14:paraId="6E8E8E99" w14:textId="77777777" w:rsidR="00507B99" w:rsidRPr="00B77636" w:rsidRDefault="00507B99" w:rsidP="004D5205">
            <w:r w:rsidRPr="00B77636">
              <w:t>Sessions per Unique Patient</w:t>
            </w:r>
          </w:p>
        </w:tc>
        <w:tc>
          <w:tcPr>
            <w:tcW w:w="2067" w:type="pct"/>
            <w:tcBorders>
              <w:bottom w:val="single" w:sz="12" w:space="0" w:color="auto"/>
            </w:tcBorders>
          </w:tcPr>
          <w:p w14:paraId="6E01631D" w14:textId="77777777" w:rsidR="00507B99" w:rsidRDefault="00507B99" w:rsidP="004D5205">
            <w:pPr>
              <w:jc w:val="center"/>
            </w:pPr>
            <w:r>
              <w:t>21.3</w:t>
            </w:r>
          </w:p>
        </w:tc>
      </w:tr>
      <w:tr w:rsidR="00507B99" w:rsidRPr="00DF37B9" w14:paraId="68DAB201" w14:textId="77777777" w:rsidTr="00CC630C">
        <w:trPr>
          <w:cantSplit/>
          <w:jc w:val="center"/>
        </w:trPr>
        <w:tc>
          <w:tcPr>
            <w:tcW w:w="2933" w:type="pct"/>
            <w:tcBorders>
              <w:top w:val="single" w:sz="12" w:space="0" w:color="auto"/>
              <w:left w:val="single" w:sz="12" w:space="0" w:color="auto"/>
              <w:bottom w:val="single" w:sz="12" w:space="0" w:color="auto"/>
            </w:tcBorders>
            <w:vAlign w:val="bottom"/>
          </w:tcPr>
          <w:p w14:paraId="435DF24F" w14:textId="77777777" w:rsidR="00507B99" w:rsidRPr="00DF37B9" w:rsidRDefault="00507B99" w:rsidP="004D5205">
            <w:pPr>
              <w:rPr>
                <w:b/>
                <w:bCs/>
              </w:rPr>
            </w:pPr>
            <w:r w:rsidRPr="00DF37B9">
              <w:rPr>
                <w:b/>
                <w:bCs/>
              </w:rPr>
              <w:t xml:space="preserve">Total LINAC Sessions </w:t>
            </w:r>
          </w:p>
        </w:tc>
        <w:tc>
          <w:tcPr>
            <w:tcW w:w="2067" w:type="pct"/>
            <w:tcBorders>
              <w:top w:val="single" w:sz="12" w:space="0" w:color="auto"/>
              <w:bottom w:val="single" w:sz="12" w:space="0" w:color="auto"/>
              <w:right w:val="single" w:sz="12" w:space="0" w:color="auto"/>
            </w:tcBorders>
          </w:tcPr>
          <w:p w14:paraId="062587E3" w14:textId="2C3F6DBB" w:rsidR="00507B99" w:rsidRPr="00DF37B9" w:rsidRDefault="00507B99" w:rsidP="004D5205">
            <w:pPr>
              <w:jc w:val="center"/>
              <w:rPr>
                <w:b/>
                <w:bCs/>
              </w:rPr>
            </w:pPr>
            <w:r>
              <w:t>47,</w:t>
            </w:r>
            <w:r w:rsidR="00BA5968">
              <w:t>456</w:t>
            </w:r>
          </w:p>
        </w:tc>
      </w:tr>
    </w:tbl>
    <w:p w14:paraId="28EBC674" w14:textId="77777777" w:rsidR="00507B99" w:rsidRDefault="00507B99" w:rsidP="00507B99"/>
    <w:sectPr w:rsidR="00507B99" w:rsidSect="00507B9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QAAAD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F9FC" w14:textId="77777777" w:rsidR="006340AD" w:rsidRDefault="006340AD" w:rsidP="002B1E75">
      <w:r>
        <w:separator/>
      </w:r>
    </w:p>
  </w:endnote>
  <w:endnote w:type="continuationSeparator" w:id="0">
    <w:p w14:paraId="658938EF" w14:textId="77777777" w:rsidR="006340AD" w:rsidRDefault="006340AD" w:rsidP="002B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204948"/>
      <w:docPartObj>
        <w:docPartGallery w:val="Page Numbers (Bottom of Page)"/>
        <w:docPartUnique/>
      </w:docPartObj>
    </w:sdtPr>
    <w:sdtEndPr>
      <w:rPr>
        <w:noProof/>
      </w:rPr>
    </w:sdtEndPr>
    <w:sdtContent>
      <w:p w14:paraId="0091B65B" w14:textId="5A24DBE8" w:rsidR="00DA6EAA" w:rsidRDefault="00DA6E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C60E" w14:textId="31014D86" w:rsidR="00DA6EAA" w:rsidRDefault="00DA6EA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40365"/>
      <w:docPartObj>
        <w:docPartGallery w:val="Page Numbers (Bottom of Page)"/>
        <w:docPartUnique/>
      </w:docPartObj>
    </w:sdtPr>
    <w:sdtEndPr>
      <w:rPr>
        <w:noProof/>
      </w:rPr>
    </w:sdtEndPr>
    <w:sdtContent>
      <w:p w14:paraId="0EC5CF1B" w14:textId="6BE6B06A" w:rsidR="003B3C35" w:rsidRDefault="003B3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9EB8" w14:textId="25E0F10D" w:rsidR="00000000" w:rsidRPr="00FE4E12" w:rsidRDefault="00000000" w:rsidP="00FE4E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225985"/>
      <w:docPartObj>
        <w:docPartGallery w:val="Page Numbers (Bottom of Page)"/>
        <w:docPartUnique/>
      </w:docPartObj>
    </w:sdtPr>
    <w:sdtEndPr>
      <w:rPr>
        <w:noProof/>
      </w:rPr>
    </w:sdtEndPr>
    <w:sdtContent>
      <w:p w14:paraId="637EA324" w14:textId="77777777" w:rsidR="00000000" w:rsidRDefault="00F62BF0">
        <w:pPr>
          <w:pStyle w:val="Footer"/>
          <w:jc w:val="center"/>
          <w:rPr>
            <w:noProof/>
          </w:rPr>
        </w:pPr>
        <w:r>
          <w:t>A-</w:t>
        </w: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4A3F" w14:textId="79DCC791" w:rsidR="00000000" w:rsidRPr="00FE4E12" w:rsidRDefault="00000000" w:rsidP="00FE4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60A9" w14:textId="77777777" w:rsidR="006340AD" w:rsidRDefault="006340AD" w:rsidP="002B1E75">
      <w:r>
        <w:separator/>
      </w:r>
    </w:p>
  </w:footnote>
  <w:footnote w:type="continuationSeparator" w:id="0">
    <w:p w14:paraId="05C9940B" w14:textId="77777777" w:rsidR="006340AD" w:rsidRDefault="006340AD" w:rsidP="002B1E75">
      <w:r>
        <w:continuationSeparator/>
      </w:r>
    </w:p>
  </w:footnote>
  <w:footnote w:id="1">
    <w:p w14:paraId="28C6BD6A" w14:textId="5A85C4C4" w:rsidR="00903194" w:rsidRPr="00CC2F2D" w:rsidRDefault="00903194" w:rsidP="00903194">
      <w:pPr>
        <w:pStyle w:val="FootnoteText"/>
        <w:rPr>
          <w:sz w:val="16"/>
          <w:szCs w:val="16"/>
        </w:rPr>
      </w:pPr>
      <w:r w:rsidRPr="00CC2F2D">
        <w:rPr>
          <w:rStyle w:val="FootnoteReference"/>
          <w:sz w:val="16"/>
          <w:szCs w:val="16"/>
        </w:rPr>
        <w:footnoteRef/>
      </w:r>
      <w:r w:rsidRPr="00CC2F2D">
        <w:rPr>
          <w:sz w:val="16"/>
          <w:szCs w:val="16"/>
        </w:rPr>
        <w:t xml:space="preserve"> It is anticipated that the bridge over Pilgrim Road connecting the Facility to BIDMC will be </w:t>
      </w:r>
      <w:r w:rsidR="00863A3C" w:rsidRPr="00CC2F2D">
        <w:rPr>
          <w:sz w:val="16"/>
          <w:szCs w:val="16"/>
        </w:rPr>
        <w:t>maintained and operated by</w:t>
      </w:r>
      <w:r w:rsidRPr="00CC2F2D">
        <w:rPr>
          <w:sz w:val="16"/>
          <w:szCs w:val="16"/>
        </w:rPr>
        <w:t xml:space="preserve"> BIDMC rather than the Applicant and, accordingly, is not included in this Proposed Project.</w:t>
      </w:r>
    </w:p>
  </w:footnote>
  <w:footnote w:id="2">
    <w:p w14:paraId="78D4802B" w14:textId="4D5F88CF" w:rsidR="00EA7085" w:rsidRPr="00CC2F2D" w:rsidRDefault="00EA7085">
      <w:pPr>
        <w:pStyle w:val="FootnoteText"/>
        <w:rPr>
          <w:sz w:val="16"/>
          <w:szCs w:val="16"/>
        </w:rPr>
      </w:pPr>
      <w:r w:rsidRPr="00CC2F2D">
        <w:rPr>
          <w:rStyle w:val="FootnoteReference"/>
          <w:sz w:val="16"/>
          <w:szCs w:val="16"/>
        </w:rPr>
        <w:footnoteRef/>
      </w:r>
      <w:r w:rsidRPr="00CC2F2D">
        <w:rPr>
          <w:sz w:val="16"/>
          <w:szCs w:val="16"/>
        </w:rPr>
        <w:t xml:space="preserve"> </w:t>
      </w:r>
      <w:r w:rsidRPr="00CC2F2D">
        <w:rPr>
          <w:i/>
          <w:iCs/>
          <w:sz w:val="16"/>
          <w:szCs w:val="16"/>
        </w:rPr>
        <w:t>Center for Health Information and Analysis All-Payer Claims Database,</w:t>
      </w:r>
      <w:r w:rsidRPr="00CC2F2D">
        <w:rPr>
          <w:sz w:val="16"/>
          <w:szCs w:val="16"/>
        </w:rPr>
        <w:t xml:space="preserve"> </w:t>
      </w:r>
      <w:r w:rsidRPr="00CC2F2D">
        <w:rPr>
          <w:smallCaps/>
          <w:sz w:val="16"/>
          <w:szCs w:val="16"/>
        </w:rPr>
        <w:t>CHIA</w:t>
      </w:r>
      <w:r w:rsidRPr="00CC2F2D">
        <w:rPr>
          <w:sz w:val="16"/>
          <w:szCs w:val="16"/>
        </w:rPr>
        <w:t xml:space="preserve"> (2022) (sourced by Massachusetts Health Data Consortium).</w:t>
      </w:r>
    </w:p>
  </w:footnote>
  <w:footnote w:id="3">
    <w:p w14:paraId="26A89D58" w14:textId="656C8B22"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hyperlink r:id="rId1" w:history="1">
        <w:r w:rsidRPr="000015FB">
          <w:rPr>
            <w:rStyle w:val="Hyperlink"/>
            <w:i/>
            <w:color w:val="auto"/>
            <w:sz w:val="16"/>
            <w:szCs w:val="16"/>
            <w:u w:val="none"/>
          </w:rPr>
          <w:t>Stats of the State of Mass</w:t>
        </w:r>
      </w:hyperlink>
      <w:r w:rsidRPr="000015FB">
        <w:rPr>
          <w:i/>
          <w:sz w:val="16"/>
          <w:szCs w:val="16"/>
        </w:rPr>
        <w:t>.,</w:t>
      </w:r>
      <w:r w:rsidRPr="000015FB">
        <w:rPr>
          <w:sz w:val="16"/>
          <w:szCs w:val="16"/>
        </w:rPr>
        <w:t xml:space="preserve"> </w:t>
      </w:r>
      <w:proofErr w:type="spellStart"/>
      <w:r w:rsidRPr="00CC2F2D">
        <w:rPr>
          <w:smallCaps/>
          <w:sz w:val="16"/>
          <w:szCs w:val="16"/>
        </w:rPr>
        <w:t>Ctrs</w:t>
      </w:r>
      <w:proofErr w:type="spellEnd"/>
      <w:r w:rsidRPr="00CC2F2D">
        <w:rPr>
          <w:smallCaps/>
          <w:sz w:val="16"/>
          <w:szCs w:val="16"/>
        </w:rPr>
        <w:t xml:space="preserve">. for Disease Control and Prevention </w:t>
      </w:r>
      <w:r w:rsidRPr="00CC2F2D">
        <w:rPr>
          <w:sz w:val="16"/>
          <w:szCs w:val="16"/>
        </w:rPr>
        <w:t>(</w:t>
      </w:r>
      <w:r w:rsidR="00042503" w:rsidRPr="00CC2F2D">
        <w:rPr>
          <w:sz w:val="16"/>
          <w:szCs w:val="16"/>
        </w:rPr>
        <w:t>last visited Oct. 1, 2023</w:t>
      </w:r>
      <w:r w:rsidRPr="00CC2F2D">
        <w:rPr>
          <w:sz w:val="16"/>
          <w:szCs w:val="16"/>
        </w:rPr>
        <w:t xml:space="preserve">), </w:t>
      </w:r>
      <w:hyperlink r:id="rId2" w:history="1">
        <w:r w:rsidR="000015FB" w:rsidRPr="0016662A">
          <w:rPr>
            <w:rStyle w:val="Hyperlink"/>
            <w:sz w:val="16"/>
            <w:szCs w:val="16"/>
          </w:rPr>
          <w:t>https://www.cdc.gov/nchs/pressroom/states/massachusetts/massachusetts.htm</w:t>
        </w:r>
      </w:hyperlink>
      <w:r w:rsidR="000015FB">
        <w:rPr>
          <w:sz w:val="16"/>
          <w:szCs w:val="16"/>
        </w:rPr>
        <w:t xml:space="preserve"> </w:t>
      </w:r>
      <w:r w:rsidRPr="00CC2F2D">
        <w:rPr>
          <w:sz w:val="16"/>
          <w:szCs w:val="16"/>
        </w:rPr>
        <w:t xml:space="preserve">; </w:t>
      </w:r>
      <w:hyperlink r:id="rId3" w:history="1">
        <w:r w:rsidRPr="000015FB">
          <w:rPr>
            <w:rStyle w:val="Hyperlink"/>
            <w:i/>
            <w:iCs/>
            <w:color w:val="auto"/>
            <w:sz w:val="16"/>
            <w:szCs w:val="16"/>
            <w:u w:val="none"/>
          </w:rPr>
          <w:t>Leading Causes of Death</w:t>
        </w:r>
      </w:hyperlink>
      <w:r w:rsidRPr="000015FB">
        <w:rPr>
          <w:sz w:val="16"/>
          <w:szCs w:val="16"/>
        </w:rPr>
        <w:t xml:space="preserve">, </w:t>
      </w:r>
      <w:proofErr w:type="spellStart"/>
      <w:r w:rsidRPr="000015FB">
        <w:rPr>
          <w:smallCaps/>
          <w:sz w:val="16"/>
          <w:szCs w:val="16"/>
        </w:rPr>
        <w:t>Ctrs</w:t>
      </w:r>
      <w:proofErr w:type="spellEnd"/>
      <w:r w:rsidRPr="00CC2F2D">
        <w:rPr>
          <w:smallCaps/>
          <w:sz w:val="16"/>
          <w:szCs w:val="16"/>
        </w:rPr>
        <w:t>. for Disease Control and Prevention (</w:t>
      </w:r>
      <w:r w:rsidR="00042503" w:rsidRPr="00CC2F2D">
        <w:rPr>
          <w:sz w:val="16"/>
          <w:szCs w:val="16"/>
        </w:rPr>
        <w:t>last visited Oct. 1, 2023</w:t>
      </w:r>
      <w:r w:rsidRPr="00CC2F2D">
        <w:rPr>
          <w:sz w:val="16"/>
          <w:szCs w:val="16"/>
        </w:rPr>
        <w:t xml:space="preserve">), </w:t>
      </w:r>
      <w:hyperlink r:id="rId4" w:history="1">
        <w:r w:rsidR="000015FB" w:rsidRPr="0016662A">
          <w:rPr>
            <w:rStyle w:val="Hyperlink"/>
            <w:sz w:val="16"/>
            <w:szCs w:val="16"/>
          </w:rPr>
          <w:t>https://www.cdc.gov/nchs/fastats/leading-causes-of-death.htm</w:t>
        </w:r>
      </w:hyperlink>
      <w:r w:rsidR="000015FB">
        <w:rPr>
          <w:sz w:val="16"/>
          <w:szCs w:val="16"/>
        </w:rPr>
        <w:t xml:space="preserve"> </w:t>
      </w:r>
      <w:r w:rsidRPr="00CC2F2D">
        <w:rPr>
          <w:sz w:val="16"/>
          <w:szCs w:val="16"/>
        </w:rPr>
        <w:t xml:space="preserve">. </w:t>
      </w:r>
    </w:p>
  </w:footnote>
  <w:footnote w:id="4">
    <w:p w14:paraId="2DA90FD0" w14:textId="6ECC06E0"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hyperlink r:id="rId5" w:history="1">
        <w:r w:rsidRPr="002E0723">
          <w:rPr>
            <w:rStyle w:val="Hyperlink"/>
            <w:i/>
            <w:iCs/>
            <w:color w:val="auto"/>
            <w:sz w:val="16"/>
            <w:szCs w:val="16"/>
            <w:u w:val="none"/>
          </w:rPr>
          <w:t>Cancer</w:t>
        </w:r>
      </w:hyperlink>
      <w:r w:rsidRPr="002E0723">
        <w:rPr>
          <w:i/>
          <w:iCs/>
          <w:sz w:val="16"/>
          <w:szCs w:val="16"/>
        </w:rPr>
        <w:t xml:space="preserve">, </w:t>
      </w:r>
      <w:r w:rsidR="00027726" w:rsidRPr="00CC2F2D">
        <w:rPr>
          <w:sz w:val="16"/>
          <w:szCs w:val="16"/>
        </w:rPr>
        <w:t>WHO</w:t>
      </w:r>
      <w:r w:rsidRPr="00CC2F2D">
        <w:rPr>
          <w:sz w:val="16"/>
          <w:szCs w:val="16"/>
        </w:rPr>
        <w:t xml:space="preserve"> (Feb. 2, 2022),</w:t>
      </w:r>
      <w:r w:rsidRPr="00CC2F2D">
        <w:rPr>
          <w:smallCaps/>
          <w:sz w:val="16"/>
          <w:szCs w:val="16"/>
        </w:rPr>
        <w:t xml:space="preserve"> </w:t>
      </w:r>
      <w:hyperlink r:id="rId6" w:history="1">
        <w:r w:rsidR="002E0723" w:rsidRPr="0016662A">
          <w:rPr>
            <w:rStyle w:val="Hyperlink"/>
            <w:sz w:val="16"/>
            <w:szCs w:val="16"/>
          </w:rPr>
          <w:t>https://www.who.int/news-room/fact-sheets/detail/cancer</w:t>
        </w:r>
      </w:hyperlink>
      <w:r w:rsidR="002E0723">
        <w:rPr>
          <w:sz w:val="16"/>
          <w:szCs w:val="16"/>
        </w:rPr>
        <w:t xml:space="preserve"> </w:t>
      </w:r>
      <w:r w:rsidRPr="00CC2F2D">
        <w:rPr>
          <w:sz w:val="16"/>
          <w:szCs w:val="16"/>
        </w:rPr>
        <w:t xml:space="preserve">. </w:t>
      </w:r>
    </w:p>
  </w:footnote>
  <w:footnote w:id="5">
    <w:p w14:paraId="49D0660B" w14:textId="1E0435A2"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hyperlink r:id="rId7" w:history="1">
        <w:r w:rsidRPr="002E0723">
          <w:rPr>
            <w:rStyle w:val="Hyperlink"/>
            <w:i/>
            <w:iCs/>
            <w:color w:val="auto"/>
            <w:sz w:val="16"/>
            <w:szCs w:val="16"/>
            <w:u w:val="none"/>
          </w:rPr>
          <w:t>What is Cancer</w:t>
        </w:r>
      </w:hyperlink>
      <w:r w:rsidRPr="002E0723">
        <w:rPr>
          <w:i/>
          <w:iCs/>
          <w:sz w:val="16"/>
          <w:szCs w:val="16"/>
        </w:rPr>
        <w:t xml:space="preserve">, </w:t>
      </w:r>
      <w:proofErr w:type="spellStart"/>
      <w:r w:rsidRPr="00CC2F2D">
        <w:rPr>
          <w:smallCaps/>
          <w:sz w:val="16"/>
          <w:szCs w:val="16"/>
        </w:rPr>
        <w:t>Nat</w:t>
      </w:r>
      <w:r w:rsidR="002340EA" w:rsidRPr="00CC2F2D">
        <w:rPr>
          <w:smallCaps/>
          <w:sz w:val="16"/>
          <w:szCs w:val="16"/>
        </w:rPr>
        <w:t>’</w:t>
      </w:r>
      <w:r w:rsidRPr="00CC2F2D">
        <w:rPr>
          <w:smallCaps/>
          <w:sz w:val="16"/>
          <w:szCs w:val="16"/>
        </w:rPr>
        <w:t>l</w:t>
      </w:r>
      <w:proofErr w:type="spellEnd"/>
      <w:r w:rsidRPr="00CC2F2D">
        <w:rPr>
          <w:smallCaps/>
          <w:sz w:val="16"/>
          <w:szCs w:val="16"/>
        </w:rPr>
        <w:t>. Cancer Inst. (</w:t>
      </w:r>
      <w:r w:rsidR="00042503" w:rsidRPr="00CC2F2D">
        <w:rPr>
          <w:sz w:val="16"/>
          <w:szCs w:val="16"/>
        </w:rPr>
        <w:t>l</w:t>
      </w:r>
      <w:r w:rsidR="00482111" w:rsidRPr="00CC2F2D">
        <w:rPr>
          <w:sz w:val="16"/>
          <w:szCs w:val="16"/>
        </w:rPr>
        <w:t>ast updated Oct. 11, 2021</w:t>
      </w:r>
      <w:r w:rsidRPr="00CC2F2D">
        <w:rPr>
          <w:sz w:val="16"/>
          <w:szCs w:val="16"/>
        </w:rPr>
        <w:t xml:space="preserve">), </w:t>
      </w:r>
      <w:hyperlink r:id="rId8" w:history="1">
        <w:r w:rsidR="002E0723" w:rsidRPr="0016662A">
          <w:rPr>
            <w:rStyle w:val="Hyperlink"/>
            <w:sz w:val="16"/>
            <w:szCs w:val="16"/>
          </w:rPr>
          <w:t>https://www.cancer.gov/about-cancer/understanding/what-is-cancer</w:t>
        </w:r>
      </w:hyperlink>
      <w:r w:rsidR="002E0723">
        <w:rPr>
          <w:sz w:val="16"/>
          <w:szCs w:val="16"/>
        </w:rPr>
        <w:t xml:space="preserve"> </w:t>
      </w:r>
      <w:r w:rsidRPr="00CC2F2D">
        <w:rPr>
          <w:sz w:val="16"/>
          <w:szCs w:val="16"/>
        </w:rPr>
        <w:t xml:space="preserve">. </w:t>
      </w:r>
    </w:p>
  </w:footnote>
  <w:footnote w:id="6">
    <w:p w14:paraId="5AE798C6" w14:textId="21552EBC"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hyperlink r:id="rId9" w:history="1">
        <w:r w:rsidRPr="002E0723">
          <w:rPr>
            <w:rStyle w:val="Hyperlink"/>
            <w:i/>
            <w:iCs/>
            <w:color w:val="auto"/>
            <w:sz w:val="16"/>
            <w:szCs w:val="16"/>
            <w:u w:val="none"/>
          </w:rPr>
          <w:t>What is Cancer</w:t>
        </w:r>
      </w:hyperlink>
      <w:r w:rsidRPr="002E0723">
        <w:rPr>
          <w:i/>
          <w:iCs/>
          <w:sz w:val="16"/>
          <w:szCs w:val="16"/>
        </w:rPr>
        <w:t xml:space="preserve">, </w:t>
      </w:r>
      <w:r w:rsidRPr="00CC2F2D">
        <w:rPr>
          <w:smallCaps/>
          <w:sz w:val="16"/>
          <w:szCs w:val="16"/>
        </w:rPr>
        <w:t>Am. Cancer Soc</w:t>
      </w:r>
      <w:r w:rsidR="002340EA" w:rsidRPr="00CC2F2D">
        <w:rPr>
          <w:smallCaps/>
          <w:sz w:val="16"/>
          <w:szCs w:val="16"/>
        </w:rPr>
        <w:t>’</w:t>
      </w:r>
      <w:r w:rsidRPr="00CC2F2D">
        <w:rPr>
          <w:smallCaps/>
          <w:sz w:val="16"/>
          <w:szCs w:val="16"/>
        </w:rPr>
        <w:t>y (</w:t>
      </w:r>
      <w:r w:rsidR="00042503" w:rsidRPr="00CC2F2D">
        <w:rPr>
          <w:sz w:val="16"/>
          <w:szCs w:val="16"/>
        </w:rPr>
        <w:t xml:space="preserve">last </w:t>
      </w:r>
      <w:r w:rsidR="00AB2264" w:rsidRPr="00CC2F2D">
        <w:rPr>
          <w:sz w:val="16"/>
          <w:szCs w:val="16"/>
        </w:rPr>
        <w:t>revised</w:t>
      </w:r>
      <w:r w:rsidR="00042503" w:rsidRPr="00CC2F2D">
        <w:rPr>
          <w:sz w:val="16"/>
          <w:szCs w:val="16"/>
        </w:rPr>
        <w:t xml:space="preserve"> </w:t>
      </w:r>
      <w:r w:rsidR="00AB2264" w:rsidRPr="00CC2F2D">
        <w:rPr>
          <w:sz w:val="16"/>
          <w:szCs w:val="16"/>
        </w:rPr>
        <w:t>Feb 14</w:t>
      </w:r>
      <w:r w:rsidR="00042503" w:rsidRPr="00CC2F2D">
        <w:rPr>
          <w:sz w:val="16"/>
          <w:szCs w:val="16"/>
        </w:rPr>
        <w:t>, 202</w:t>
      </w:r>
      <w:r w:rsidR="00AB2264" w:rsidRPr="00CC2F2D">
        <w:rPr>
          <w:sz w:val="16"/>
          <w:szCs w:val="16"/>
        </w:rPr>
        <w:t>2</w:t>
      </w:r>
      <w:r w:rsidRPr="00CC2F2D">
        <w:rPr>
          <w:sz w:val="16"/>
          <w:szCs w:val="16"/>
        </w:rPr>
        <w:t>),</w:t>
      </w:r>
      <w:r w:rsidRPr="00CC2F2D">
        <w:rPr>
          <w:i/>
          <w:iCs/>
          <w:sz w:val="16"/>
          <w:szCs w:val="16"/>
        </w:rPr>
        <w:t xml:space="preserve"> </w:t>
      </w:r>
      <w:hyperlink r:id="rId10" w:history="1">
        <w:r w:rsidR="002E0723" w:rsidRPr="0016662A">
          <w:rPr>
            <w:rStyle w:val="Hyperlink"/>
            <w:sz w:val="16"/>
            <w:szCs w:val="16"/>
          </w:rPr>
          <w:t>https://www.cancer.org/treatment/understanding-your-diagnosis/what-is-cancer.html</w:t>
        </w:r>
      </w:hyperlink>
      <w:r w:rsidR="002E0723">
        <w:rPr>
          <w:sz w:val="16"/>
          <w:szCs w:val="16"/>
        </w:rPr>
        <w:t xml:space="preserve"> </w:t>
      </w:r>
      <w:r w:rsidRPr="00CC2F2D">
        <w:rPr>
          <w:sz w:val="16"/>
          <w:szCs w:val="16"/>
        </w:rPr>
        <w:t xml:space="preserve">. </w:t>
      </w:r>
    </w:p>
  </w:footnote>
  <w:footnote w:id="7">
    <w:p w14:paraId="01DCC989" w14:textId="3B6E2C7D"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hyperlink r:id="rId11" w:history="1">
        <w:r w:rsidR="003D2868" w:rsidRPr="002E0723">
          <w:rPr>
            <w:rStyle w:val="Hyperlink"/>
            <w:i/>
            <w:iCs/>
            <w:color w:val="auto"/>
            <w:sz w:val="16"/>
            <w:szCs w:val="16"/>
            <w:u w:val="none"/>
          </w:rPr>
          <w:t>Chemicals and Cancer</w:t>
        </w:r>
      </w:hyperlink>
      <w:r w:rsidRPr="002E0723">
        <w:rPr>
          <w:i/>
          <w:iCs/>
          <w:sz w:val="16"/>
          <w:szCs w:val="16"/>
        </w:rPr>
        <w:t xml:space="preserve">, </w:t>
      </w:r>
      <w:r w:rsidRPr="00CC2F2D">
        <w:rPr>
          <w:smallCaps/>
          <w:sz w:val="16"/>
          <w:szCs w:val="16"/>
        </w:rPr>
        <w:t>Am. Cancer Soc</w:t>
      </w:r>
      <w:r w:rsidR="002340EA" w:rsidRPr="00CC2F2D">
        <w:rPr>
          <w:smallCaps/>
          <w:sz w:val="16"/>
          <w:szCs w:val="16"/>
        </w:rPr>
        <w:t>’</w:t>
      </w:r>
      <w:r w:rsidRPr="00CC2F2D">
        <w:rPr>
          <w:smallCaps/>
          <w:sz w:val="16"/>
          <w:szCs w:val="16"/>
        </w:rPr>
        <w:t>y. (</w:t>
      </w:r>
      <w:r w:rsidR="00042503" w:rsidRPr="00CC2F2D">
        <w:rPr>
          <w:sz w:val="16"/>
          <w:szCs w:val="16"/>
        </w:rPr>
        <w:t>last visited Oct. 1, 2023</w:t>
      </w:r>
      <w:r w:rsidRPr="00CC2F2D">
        <w:rPr>
          <w:sz w:val="16"/>
          <w:szCs w:val="16"/>
        </w:rPr>
        <w:t>)</w:t>
      </w:r>
      <w:r w:rsidR="003D2868" w:rsidRPr="00CC2F2D">
        <w:rPr>
          <w:sz w:val="16"/>
          <w:szCs w:val="16"/>
        </w:rPr>
        <w:t xml:space="preserve">, </w:t>
      </w:r>
      <w:hyperlink r:id="rId12" w:history="1">
        <w:r w:rsidR="002E0723" w:rsidRPr="0016662A">
          <w:rPr>
            <w:rStyle w:val="Hyperlink"/>
            <w:sz w:val="16"/>
            <w:szCs w:val="16"/>
          </w:rPr>
          <w:t>https://www.cancer.org/cancer/risk-prevention/chemicals.html</w:t>
        </w:r>
      </w:hyperlink>
      <w:r w:rsidR="002E0723">
        <w:rPr>
          <w:sz w:val="16"/>
          <w:szCs w:val="16"/>
        </w:rPr>
        <w:t xml:space="preserve"> </w:t>
      </w:r>
      <w:r w:rsidR="003D2868" w:rsidRPr="00CC2F2D">
        <w:rPr>
          <w:sz w:val="16"/>
          <w:szCs w:val="16"/>
        </w:rPr>
        <w:t>.</w:t>
      </w:r>
      <w:r w:rsidRPr="00CC2F2D">
        <w:rPr>
          <w:sz w:val="16"/>
          <w:szCs w:val="16"/>
        </w:rPr>
        <w:t xml:space="preserve"> </w:t>
      </w:r>
    </w:p>
  </w:footnote>
  <w:footnote w:id="8">
    <w:p w14:paraId="0E2C4BF0" w14:textId="39C6F252" w:rsidR="009C45E7" w:rsidRPr="00CC2F2D" w:rsidRDefault="009C45E7" w:rsidP="009C45E7">
      <w:pPr>
        <w:pStyle w:val="FootnoteText"/>
        <w:rPr>
          <w:b/>
          <w:bCs/>
          <w:sz w:val="16"/>
          <w:szCs w:val="16"/>
        </w:rPr>
      </w:pPr>
      <w:r w:rsidRPr="00CC2F2D">
        <w:rPr>
          <w:rStyle w:val="FootnoteReference"/>
          <w:sz w:val="16"/>
          <w:szCs w:val="16"/>
        </w:rPr>
        <w:footnoteRef/>
      </w:r>
      <w:r w:rsidRPr="00CC2F2D">
        <w:rPr>
          <w:sz w:val="16"/>
          <w:szCs w:val="16"/>
        </w:rPr>
        <w:t xml:space="preserve"> </w:t>
      </w:r>
      <w:hyperlink r:id="rId13" w:history="1">
        <w:r w:rsidR="00AB2264" w:rsidRPr="00EE2B86">
          <w:rPr>
            <w:rStyle w:val="Hyperlink"/>
            <w:i/>
            <w:iCs/>
            <w:color w:val="auto"/>
            <w:sz w:val="16"/>
            <w:szCs w:val="16"/>
            <w:u w:val="none"/>
          </w:rPr>
          <w:t>Age and Cancer Risk</w:t>
        </w:r>
      </w:hyperlink>
      <w:r w:rsidR="00AB2264" w:rsidRPr="00EE2B86">
        <w:rPr>
          <w:sz w:val="16"/>
          <w:szCs w:val="16"/>
        </w:rPr>
        <w:t xml:space="preserve">, </w:t>
      </w:r>
      <w:proofErr w:type="spellStart"/>
      <w:r w:rsidRPr="00CC2F2D">
        <w:rPr>
          <w:sz w:val="16"/>
          <w:szCs w:val="16"/>
        </w:rPr>
        <w:t>N</w:t>
      </w:r>
      <w:r w:rsidRPr="00CC2F2D">
        <w:rPr>
          <w:smallCaps/>
          <w:sz w:val="16"/>
          <w:szCs w:val="16"/>
        </w:rPr>
        <w:t>at</w:t>
      </w:r>
      <w:r w:rsidR="002340EA" w:rsidRPr="00CC2F2D">
        <w:rPr>
          <w:smallCaps/>
          <w:sz w:val="16"/>
          <w:szCs w:val="16"/>
        </w:rPr>
        <w:t>’</w:t>
      </w:r>
      <w:r w:rsidRPr="00CC2F2D">
        <w:rPr>
          <w:smallCaps/>
          <w:sz w:val="16"/>
          <w:szCs w:val="16"/>
        </w:rPr>
        <w:t>l</w:t>
      </w:r>
      <w:proofErr w:type="spellEnd"/>
      <w:r w:rsidRPr="00CC2F2D">
        <w:rPr>
          <w:sz w:val="16"/>
          <w:szCs w:val="16"/>
        </w:rPr>
        <w:t xml:space="preserve"> C</w:t>
      </w:r>
      <w:r w:rsidRPr="00CC2F2D">
        <w:rPr>
          <w:smallCaps/>
          <w:sz w:val="16"/>
          <w:szCs w:val="16"/>
        </w:rPr>
        <w:t>ancer</w:t>
      </w:r>
      <w:r w:rsidRPr="00CC2F2D">
        <w:rPr>
          <w:sz w:val="16"/>
          <w:szCs w:val="16"/>
        </w:rPr>
        <w:t xml:space="preserve"> I</w:t>
      </w:r>
      <w:r w:rsidRPr="00CC2F2D">
        <w:rPr>
          <w:smallCaps/>
          <w:sz w:val="16"/>
          <w:szCs w:val="16"/>
        </w:rPr>
        <w:t>nst</w:t>
      </w:r>
      <w:r w:rsidR="00AB2264" w:rsidRPr="00CC2F2D">
        <w:rPr>
          <w:smallCaps/>
          <w:sz w:val="16"/>
          <w:szCs w:val="16"/>
        </w:rPr>
        <w:t xml:space="preserve"> (</w:t>
      </w:r>
      <w:r w:rsidR="00AB2264" w:rsidRPr="00CC2F2D">
        <w:rPr>
          <w:sz w:val="16"/>
          <w:szCs w:val="16"/>
        </w:rPr>
        <w:t xml:space="preserve">last updated March 5, 2021), </w:t>
      </w:r>
      <w:hyperlink r:id="rId14" w:history="1">
        <w:r w:rsidR="00EE2B86" w:rsidRPr="0016662A">
          <w:rPr>
            <w:rStyle w:val="Hyperlink"/>
            <w:sz w:val="16"/>
            <w:szCs w:val="16"/>
          </w:rPr>
          <w:t>https://www.cancer.gov/about-cancer/causes-prevention/risk/age</w:t>
        </w:r>
      </w:hyperlink>
      <w:r w:rsidR="00EE2B86">
        <w:rPr>
          <w:sz w:val="16"/>
          <w:szCs w:val="16"/>
        </w:rPr>
        <w:t xml:space="preserve"> </w:t>
      </w:r>
      <w:r w:rsidRPr="00CC2F2D">
        <w:rPr>
          <w:sz w:val="16"/>
          <w:szCs w:val="16"/>
        </w:rPr>
        <w:t xml:space="preserve">. </w:t>
      </w:r>
    </w:p>
  </w:footnote>
  <w:footnote w:id="9">
    <w:p w14:paraId="5469EE63" w14:textId="20B564FA"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r w:rsidR="00AB2264" w:rsidRPr="00CC2F2D">
        <w:rPr>
          <w:sz w:val="16"/>
          <w:szCs w:val="16"/>
        </w:rPr>
        <w:t xml:space="preserve">Norman Sharpless, M.D, </w:t>
      </w:r>
      <w:hyperlink r:id="rId15" w:history="1">
        <w:r w:rsidR="00AB2264" w:rsidRPr="0087303D">
          <w:rPr>
            <w:rStyle w:val="Hyperlink"/>
            <w:i/>
            <w:iCs/>
            <w:color w:val="auto"/>
            <w:sz w:val="16"/>
            <w:szCs w:val="16"/>
            <w:u w:val="none"/>
          </w:rPr>
          <w:t xml:space="preserve">The Challenging Landscape of Cancer and Aging: Charting a </w:t>
        </w:r>
        <w:r w:rsidR="00326CD1" w:rsidRPr="0087303D">
          <w:rPr>
            <w:rStyle w:val="Hyperlink"/>
            <w:i/>
            <w:iCs/>
            <w:color w:val="auto"/>
            <w:sz w:val="16"/>
            <w:szCs w:val="16"/>
            <w:u w:val="none"/>
          </w:rPr>
          <w:t>W</w:t>
        </w:r>
        <w:r w:rsidR="00AB2264" w:rsidRPr="0087303D">
          <w:rPr>
            <w:rStyle w:val="Hyperlink"/>
            <w:i/>
            <w:iCs/>
            <w:color w:val="auto"/>
            <w:sz w:val="16"/>
            <w:szCs w:val="16"/>
            <w:u w:val="none"/>
          </w:rPr>
          <w:t>ay Forward</w:t>
        </w:r>
        <w:r w:rsidR="00AB2264" w:rsidRPr="0087303D">
          <w:rPr>
            <w:rStyle w:val="Hyperlink"/>
            <w:color w:val="auto"/>
            <w:sz w:val="16"/>
            <w:szCs w:val="16"/>
            <w:u w:val="none"/>
          </w:rPr>
          <w:t>,</w:t>
        </w:r>
      </w:hyperlink>
      <w:r w:rsidR="00AB2264" w:rsidRPr="0087303D">
        <w:rPr>
          <w:sz w:val="16"/>
          <w:szCs w:val="16"/>
        </w:rPr>
        <w:t xml:space="preserve"> </w:t>
      </w:r>
      <w:proofErr w:type="spellStart"/>
      <w:r w:rsidR="00AB2264" w:rsidRPr="00CC2F2D">
        <w:rPr>
          <w:sz w:val="16"/>
          <w:szCs w:val="16"/>
        </w:rPr>
        <w:t>N</w:t>
      </w:r>
      <w:r w:rsidR="00AB2264" w:rsidRPr="00CC2F2D">
        <w:rPr>
          <w:smallCaps/>
          <w:sz w:val="16"/>
          <w:szCs w:val="16"/>
        </w:rPr>
        <w:t>at</w:t>
      </w:r>
      <w:r w:rsidR="002340EA" w:rsidRPr="00CC2F2D">
        <w:rPr>
          <w:smallCaps/>
          <w:sz w:val="16"/>
          <w:szCs w:val="16"/>
        </w:rPr>
        <w:t>’</w:t>
      </w:r>
      <w:r w:rsidR="00AB2264" w:rsidRPr="00CC2F2D">
        <w:rPr>
          <w:smallCaps/>
          <w:sz w:val="16"/>
          <w:szCs w:val="16"/>
        </w:rPr>
        <w:t>l</w:t>
      </w:r>
      <w:proofErr w:type="spellEnd"/>
      <w:r w:rsidR="00AB2264" w:rsidRPr="00CC2F2D">
        <w:rPr>
          <w:sz w:val="16"/>
          <w:szCs w:val="16"/>
        </w:rPr>
        <w:t xml:space="preserve"> C</w:t>
      </w:r>
      <w:r w:rsidR="00AB2264" w:rsidRPr="00CC2F2D">
        <w:rPr>
          <w:smallCaps/>
          <w:sz w:val="16"/>
          <w:szCs w:val="16"/>
        </w:rPr>
        <w:t>ancer</w:t>
      </w:r>
      <w:r w:rsidR="00AB2264" w:rsidRPr="00CC2F2D">
        <w:rPr>
          <w:sz w:val="16"/>
          <w:szCs w:val="16"/>
        </w:rPr>
        <w:t xml:space="preserve"> I</w:t>
      </w:r>
      <w:r w:rsidR="00AB2264" w:rsidRPr="00CC2F2D">
        <w:rPr>
          <w:smallCaps/>
          <w:sz w:val="16"/>
          <w:szCs w:val="16"/>
        </w:rPr>
        <w:t>nst. (</w:t>
      </w:r>
      <w:r w:rsidR="00AB2264" w:rsidRPr="00CC2F2D">
        <w:rPr>
          <w:sz w:val="16"/>
          <w:szCs w:val="16"/>
        </w:rPr>
        <w:t xml:space="preserve">Jan. 24, 2018), </w:t>
      </w:r>
      <w:hyperlink r:id="rId16" w:history="1">
        <w:r w:rsidR="0087303D" w:rsidRPr="0016662A">
          <w:rPr>
            <w:rStyle w:val="Hyperlink"/>
            <w:sz w:val="16"/>
            <w:szCs w:val="16"/>
          </w:rPr>
          <w:t>https://www.cancer.gov/news-events/cancer-currents-blog/2018/sharpless-aging-cancer-research</w:t>
        </w:r>
      </w:hyperlink>
      <w:r w:rsidR="0087303D">
        <w:rPr>
          <w:sz w:val="16"/>
          <w:szCs w:val="16"/>
        </w:rPr>
        <w:t xml:space="preserve"> </w:t>
      </w:r>
      <w:r w:rsidR="00AB2264" w:rsidRPr="00CC2F2D">
        <w:rPr>
          <w:sz w:val="16"/>
          <w:szCs w:val="16"/>
        </w:rPr>
        <w:t>.</w:t>
      </w:r>
    </w:p>
  </w:footnote>
  <w:footnote w:id="10">
    <w:p w14:paraId="7EEB1F48" w14:textId="2B45877C"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r w:rsidR="00AB2264" w:rsidRPr="00CC2F2D">
        <w:rPr>
          <w:i/>
          <w:iCs/>
          <w:sz w:val="16"/>
          <w:szCs w:val="16"/>
        </w:rPr>
        <w:t>Id</w:t>
      </w:r>
      <w:r w:rsidR="00AB2264" w:rsidRPr="00CC2F2D">
        <w:rPr>
          <w:sz w:val="16"/>
          <w:szCs w:val="16"/>
        </w:rPr>
        <w:t xml:space="preserve">. </w:t>
      </w:r>
    </w:p>
  </w:footnote>
  <w:footnote w:id="11">
    <w:p w14:paraId="1D1C0CC3" w14:textId="7641D0AF"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r w:rsidR="00027726" w:rsidRPr="00CC2F2D">
        <w:rPr>
          <w:smallCaps/>
          <w:sz w:val="16"/>
          <w:szCs w:val="16"/>
        </w:rPr>
        <w:t>Am. Cancer Soc</w:t>
      </w:r>
      <w:r w:rsidR="002340EA" w:rsidRPr="00CC2F2D">
        <w:rPr>
          <w:smallCaps/>
          <w:sz w:val="16"/>
          <w:szCs w:val="16"/>
        </w:rPr>
        <w:t>’</w:t>
      </w:r>
      <w:r w:rsidR="00027726" w:rsidRPr="00CC2F2D">
        <w:rPr>
          <w:smallCaps/>
          <w:sz w:val="16"/>
          <w:szCs w:val="16"/>
        </w:rPr>
        <w:t>y</w:t>
      </w:r>
      <w:r w:rsidR="00BD13F5" w:rsidRPr="00CC2F2D">
        <w:rPr>
          <w:smallCaps/>
          <w:sz w:val="16"/>
          <w:szCs w:val="16"/>
        </w:rPr>
        <w:t xml:space="preserve">, </w:t>
      </w:r>
      <w:r w:rsidR="00BD13F5" w:rsidRPr="00CC2F2D">
        <w:rPr>
          <w:i/>
          <w:iCs/>
          <w:sz w:val="16"/>
          <w:szCs w:val="16"/>
        </w:rPr>
        <w:t xml:space="preserve">supra </w:t>
      </w:r>
      <w:r w:rsidR="00BD13F5" w:rsidRPr="00CC2F2D">
        <w:rPr>
          <w:sz w:val="16"/>
          <w:szCs w:val="16"/>
        </w:rPr>
        <w:t xml:space="preserve">note </w:t>
      </w:r>
      <w:r w:rsidR="00996098">
        <w:rPr>
          <w:sz w:val="16"/>
          <w:szCs w:val="16"/>
        </w:rPr>
        <w:t>7</w:t>
      </w:r>
      <w:r w:rsidR="00BD13F5" w:rsidRPr="00CC2F2D">
        <w:rPr>
          <w:sz w:val="16"/>
          <w:szCs w:val="16"/>
        </w:rPr>
        <w:t xml:space="preserve">. </w:t>
      </w:r>
    </w:p>
  </w:footnote>
  <w:footnote w:id="12">
    <w:p w14:paraId="58225534" w14:textId="3C331009"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r w:rsidR="00027726" w:rsidRPr="00CC2F2D">
        <w:rPr>
          <w:sz w:val="16"/>
          <w:szCs w:val="16"/>
        </w:rPr>
        <w:t>WHO</w:t>
      </w:r>
      <w:r w:rsidRPr="00CC2F2D">
        <w:rPr>
          <w:sz w:val="16"/>
          <w:szCs w:val="16"/>
        </w:rPr>
        <w:t xml:space="preserve">, </w:t>
      </w:r>
      <w:r w:rsidRPr="00CC2F2D">
        <w:rPr>
          <w:i/>
          <w:iCs/>
          <w:sz w:val="16"/>
          <w:szCs w:val="16"/>
        </w:rPr>
        <w:t>supra</w:t>
      </w:r>
      <w:r w:rsidRPr="00CC2F2D">
        <w:rPr>
          <w:sz w:val="16"/>
          <w:szCs w:val="16"/>
        </w:rPr>
        <w:t xml:space="preserve"> note </w:t>
      </w:r>
      <w:r w:rsidR="000C5ACE" w:rsidRPr="00CC2F2D">
        <w:rPr>
          <w:sz w:val="16"/>
          <w:szCs w:val="16"/>
        </w:rPr>
        <w:t>4</w:t>
      </w:r>
      <w:r w:rsidRPr="00CC2F2D">
        <w:rPr>
          <w:sz w:val="16"/>
          <w:szCs w:val="16"/>
        </w:rPr>
        <w:t xml:space="preserve">. </w:t>
      </w:r>
    </w:p>
  </w:footnote>
  <w:footnote w:id="13">
    <w:p w14:paraId="382B86DB" w14:textId="388026A0"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hyperlink r:id="rId17" w:history="1">
        <w:r w:rsidRPr="00AA10F1">
          <w:rPr>
            <w:rStyle w:val="Hyperlink"/>
            <w:i/>
            <w:iCs/>
            <w:color w:val="auto"/>
            <w:sz w:val="16"/>
            <w:szCs w:val="16"/>
            <w:u w:val="none"/>
          </w:rPr>
          <w:t>Common Cancer Types</w:t>
        </w:r>
      </w:hyperlink>
      <w:r w:rsidRPr="00AA10F1">
        <w:rPr>
          <w:i/>
          <w:iCs/>
          <w:sz w:val="16"/>
          <w:szCs w:val="16"/>
        </w:rPr>
        <w:t xml:space="preserve">, </w:t>
      </w:r>
      <w:proofErr w:type="spellStart"/>
      <w:r w:rsidRPr="00CC2F2D">
        <w:rPr>
          <w:smallCaps/>
          <w:sz w:val="16"/>
          <w:szCs w:val="16"/>
        </w:rPr>
        <w:t>Nat</w:t>
      </w:r>
      <w:r w:rsidR="002340EA" w:rsidRPr="00CC2F2D">
        <w:rPr>
          <w:smallCaps/>
          <w:sz w:val="16"/>
          <w:szCs w:val="16"/>
        </w:rPr>
        <w:t>’</w:t>
      </w:r>
      <w:r w:rsidRPr="00CC2F2D">
        <w:rPr>
          <w:smallCaps/>
          <w:sz w:val="16"/>
          <w:szCs w:val="16"/>
        </w:rPr>
        <w:t>l</w:t>
      </w:r>
      <w:proofErr w:type="spellEnd"/>
      <w:r w:rsidRPr="00CC2F2D">
        <w:rPr>
          <w:smallCaps/>
          <w:sz w:val="16"/>
          <w:szCs w:val="16"/>
        </w:rPr>
        <w:t>. Cancer Inst. (</w:t>
      </w:r>
      <w:r w:rsidR="00042503" w:rsidRPr="00CC2F2D">
        <w:rPr>
          <w:sz w:val="16"/>
          <w:szCs w:val="16"/>
        </w:rPr>
        <w:t>last visited Oct. 1, 2023</w:t>
      </w:r>
      <w:r w:rsidRPr="00CC2F2D">
        <w:rPr>
          <w:sz w:val="16"/>
          <w:szCs w:val="16"/>
        </w:rPr>
        <w:t xml:space="preserve">), </w:t>
      </w:r>
      <w:hyperlink r:id="rId18" w:history="1">
        <w:r w:rsidR="00AA10F1" w:rsidRPr="0016662A">
          <w:rPr>
            <w:rStyle w:val="Hyperlink"/>
            <w:sz w:val="16"/>
            <w:szCs w:val="16"/>
          </w:rPr>
          <w:t>https://www.cancer.gov/types/common-cancers</w:t>
        </w:r>
      </w:hyperlink>
      <w:r w:rsidR="00AA10F1">
        <w:rPr>
          <w:sz w:val="16"/>
          <w:szCs w:val="16"/>
        </w:rPr>
        <w:t xml:space="preserve"> </w:t>
      </w:r>
      <w:r w:rsidRPr="00CC2F2D">
        <w:rPr>
          <w:sz w:val="16"/>
          <w:szCs w:val="16"/>
        </w:rPr>
        <w:t>.</w:t>
      </w:r>
    </w:p>
  </w:footnote>
  <w:footnote w:id="14">
    <w:p w14:paraId="43776377" w14:textId="7AADFFB2" w:rsidR="00A71EC0" w:rsidRPr="00CC2F2D" w:rsidRDefault="00A71EC0" w:rsidP="006B061D">
      <w:pPr>
        <w:pStyle w:val="FootnoteText"/>
        <w:rPr>
          <w:sz w:val="16"/>
          <w:szCs w:val="16"/>
        </w:rPr>
      </w:pPr>
      <w:r w:rsidRPr="00CC2F2D">
        <w:rPr>
          <w:rStyle w:val="FootnoteReference"/>
          <w:sz w:val="16"/>
          <w:szCs w:val="16"/>
        </w:rPr>
        <w:footnoteRef/>
      </w:r>
      <w:r w:rsidR="006B061D" w:rsidRPr="00CC2F2D">
        <w:rPr>
          <w:i/>
          <w:iCs/>
          <w:sz w:val="16"/>
          <w:szCs w:val="16"/>
        </w:rPr>
        <w:t xml:space="preserve"> </w:t>
      </w:r>
      <w:hyperlink r:id="rId19" w:history="1">
        <w:r w:rsidR="006B061D" w:rsidRPr="00AA10F1">
          <w:rPr>
            <w:rStyle w:val="Hyperlink"/>
            <w:i/>
            <w:iCs/>
            <w:color w:val="auto"/>
            <w:sz w:val="16"/>
            <w:szCs w:val="16"/>
            <w:u w:val="none"/>
          </w:rPr>
          <w:t>Age Adjusted Cancer Incidence Rates by Cancer Site (2015-2019)</w:t>
        </w:r>
        <w:r w:rsidR="006B061D" w:rsidRPr="00AA10F1">
          <w:rPr>
            <w:rStyle w:val="Hyperlink"/>
            <w:color w:val="auto"/>
            <w:sz w:val="16"/>
            <w:szCs w:val="16"/>
            <w:u w:val="none"/>
          </w:rPr>
          <w:t>,</w:t>
        </w:r>
      </w:hyperlink>
      <w:r w:rsidR="002248D7" w:rsidRPr="00AA10F1">
        <w:rPr>
          <w:sz w:val="16"/>
          <w:szCs w:val="16"/>
        </w:rPr>
        <w:t xml:space="preserve"> </w:t>
      </w:r>
      <w:r w:rsidR="006B061D" w:rsidRPr="00CC2F2D">
        <w:rPr>
          <w:smallCaps/>
          <w:sz w:val="16"/>
          <w:szCs w:val="16"/>
        </w:rPr>
        <w:t>HD Pulse</w:t>
      </w:r>
      <w:r w:rsidRPr="00CC2F2D">
        <w:rPr>
          <w:sz w:val="16"/>
          <w:szCs w:val="16"/>
        </w:rPr>
        <w:t>.</w:t>
      </w:r>
      <w:r w:rsidR="006B061D" w:rsidRPr="00CC2F2D">
        <w:rPr>
          <w:sz w:val="16"/>
          <w:szCs w:val="16"/>
        </w:rPr>
        <w:t xml:space="preserve">(last visited Oct. 12, 2023), </w:t>
      </w:r>
      <w:hyperlink r:id="rId20" w:history="1">
        <w:r w:rsidR="00AA10F1" w:rsidRPr="0016662A">
          <w:rPr>
            <w:rStyle w:val="Hyperlink"/>
            <w:sz w:val="16"/>
            <w:szCs w:val="16"/>
          </w:rPr>
          <w:t>https://hdpulse.nimhd.nih.gov/data-portal/quick-profile/25/incidence</w:t>
        </w:r>
      </w:hyperlink>
      <w:r w:rsidR="00AA10F1">
        <w:rPr>
          <w:sz w:val="16"/>
          <w:szCs w:val="16"/>
        </w:rPr>
        <w:t xml:space="preserve"> </w:t>
      </w:r>
      <w:r w:rsidR="006B061D" w:rsidRPr="00CC2F2D">
        <w:rPr>
          <w:sz w:val="16"/>
          <w:szCs w:val="16"/>
        </w:rPr>
        <w:t xml:space="preserve">. </w:t>
      </w:r>
    </w:p>
  </w:footnote>
  <w:footnote w:id="15">
    <w:p w14:paraId="16741016" w14:textId="62FB8231" w:rsidR="00586138" w:rsidRPr="00CC2F2D" w:rsidRDefault="00586138" w:rsidP="00586138">
      <w:pPr>
        <w:pStyle w:val="FootnoteText"/>
        <w:rPr>
          <w:sz w:val="16"/>
          <w:szCs w:val="16"/>
        </w:rPr>
      </w:pPr>
      <w:r w:rsidRPr="00CC2F2D">
        <w:rPr>
          <w:rStyle w:val="FootnoteReference"/>
          <w:sz w:val="16"/>
          <w:szCs w:val="16"/>
        </w:rPr>
        <w:footnoteRef/>
      </w:r>
      <w:r w:rsidRPr="00CC2F2D">
        <w:rPr>
          <w:sz w:val="16"/>
          <w:szCs w:val="16"/>
        </w:rPr>
        <w:t xml:space="preserve"> </w:t>
      </w:r>
      <w:hyperlink r:id="rId21" w:history="1">
        <w:r w:rsidRPr="00AA10F1">
          <w:rPr>
            <w:rStyle w:val="Hyperlink"/>
            <w:i/>
            <w:color w:val="auto"/>
            <w:sz w:val="16"/>
            <w:szCs w:val="16"/>
            <w:u w:val="none"/>
          </w:rPr>
          <w:t>Cancer Incidence Statewide Reports, 201</w:t>
        </w:r>
        <w:r w:rsidR="00FE17E5" w:rsidRPr="00AA10F1">
          <w:rPr>
            <w:rStyle w:val="Hyperlink"/>
            <w:i/>
            <w:color w:val="auto"/>
            <w:sz w:val="16"/>
            <w:szCs w:val="16"/>
            <w:u w:val="none"/>
          </w:rPr>
          <w:t>5</w:t>
        </w:r>
        <w:r w:rsidRPr="00AA10F1">
          <w:rPr>
            <w:rStyle w:val="Hyperlink"/>
            <w:i/>
            <w:color w:val="auto"/>
            <w:sz w:val="16"/>
            <w:szCs w:val="16"/>
            <w:u w:val="none"/>
          </w:rPr>
          <w:t>-201</w:t>
        </w:r>
        <w:r w:rsidR="00FE17E5" w:rsidRPr="00AA10F1">
          <w:rPr>
            <w:rStyle w:val="Hyperlink"/>
            <w:i/>
            <w:color w:val="auto"/>
            <w:sz w:val="16"/>
            <w:szCs w:val="16"/>
            <w:u w:val="none"/>
          </w:rPr>
          <w:t>9</w:t>
        </w:r>
      </w:hyperlink>
      <w:r w:rsidRPr="00AA10F1">
        <w:rPr>
          <w:sz w:val="16"/>
          <w:szCs w:val="16"/>
        </w:rPr>
        <w:t xml:space="preserve">, </w:t>
      </w:r>
      <w:r w:rsidRPr="00CC2F2D">
        <w:rPr>
          <w:sz w:val="16"/>
          <w:szCs w:val="16"/>
        </w:rPr>
        <w:t>M</w:t>
      </w:r>
      <w:r w:rsidRPr="00CC2F2D">
        <w:rPr>
          <w:smallCaps/>
          <w:sz w:val="16"/>
          <w:szCs w:val="16"/>
        </w:rPr>
        <w:t>ass.gov</w:t>
      </w:r>
      <w:r w:rsidRPr="00CC2F2D">
        <w:rPr>
          <w:sz w:val="16"/>
          <w:szCs w:val="16"/>
        </w:rPr>
        <w:t xml:space="preserve">, </w:t>
      </w:r>
      <w:hyperlink r:id="rId22" w:history="1">
        <w:r w:rsidR="00AA10F1" w:rsidRPr="0016662A">
          <w:rPr>
            <w:rStyle w:val="Hyperlink"/>
            <w:sz w:val="16"/>
            <w:szCs w:val="16"/>
          </w:rPr>
          <w:t>https://www.mass.gov/doc/cancer-incidence-and-mortality-in-massachusetts-2015-2019-statewide-report/download</w:t>
        </w:r>
      </w:hyperlink>
      <w:r w:rsidR="00AA10F1">
        <w:rPr>
          <w:sz w:val="16"/>
          <w:szCs w:val="16"/>
        </w:rPr>
        <w:t xml:space="preserve"> </w:t>
      </w:r>
      <w:r w:rsidRPr="00CC2F2D">
        <w:rPr>
          <w:sz w:val="16"/>
          <w:szCs w:val="16"/>
        </w:rPr>
        <w:t xml:space="preserve"> (</w:t>
      </w:r>
      <w:r w:rsidR="004F27E1" w:rsidRPr="00CC2F2D">
        <w:rPr>
          <w:iCs/>
          <w:sz w:val="16"/>
          <w:szCs w:val="16"/>
        </w:rPr>
        <w:t>September 2023</w:t>
      </w:r>
      <w:r w:rsidRPr="00CC2F2D">
        <w:rPr>
          <w:sz w:val="16"/>
          <w:szCs w:val="16"/>
        </w:rPr>
        <w:t>).</w:t>
      </w:r>
    </w:p>
  </w:footnote>
  <w:footnote w:id="16">
    <w:p w14:paraId="7D99D8AE" w14:textId="77777777" w:rsidR="00586138" w:rsidRPr="00CC2F2D" w:rsidRDefault="00586138" w:rsidP="00586138">
      <w:pPr>
        <w:pStyle w:val="FootnoteText"/>
        <w:rPr>
          <w:sz w:val="16"/>
          <w:szCs w:val="16"/>
        </w:rPr>
      </w:pPr>
      <w:r w:rsidRPr="00CC2F2D">
        <w:rPr>
          <w:rStyle w:val="FootnoteReference"/>
          <w:sz w:val="16"/>
          <w:szCs w:val="16"/>
        </w:rPr>
        <w:footnoteRef/>
      </w:r>
      <w:r w:rsidRPr="00CC2F2D">
        <w:rPr>
          <w:sz w:val="16"/>
          <w:szCs w:val="16"/>
        </w:rPr>
        <w:t xml:space="preserve"> </w:t>
      </w:r>
      <w:r w:rsidRPr="00CC2F2D">
        <w:rPr>
          <w:i/>
          <w:sz w:val="16"/>
          <w:szCs w:val="16"/>
        </w:rPr>
        <w:t>Id.</w:t>
      </w:r>
    </w:p>
  </w:footnote>
  <w:footnote w:id="17">
    <w:p w14:paraId="121A905D" w14:textId="77777777" w:rsidR="00586138" w:rsidRPr="00CC2F2D" w:rsidRDefault="00586138" w:rsidP="00586138">
      <w:pPr>
        <w:pStyle w:val="FootnoteText"/>
        <w:rPr>
          <w:sz w:val="16"/>
          <w:szCs w:val="16"/>
        </w:rPr>
      </w:pPr>
      <w:r w:rsidRPr="00CC2F2D">
        <w:rPr>
          <w:rStyle w:val="FootnoteReference"/>
          <w:sz w:val="16"/>
          <w:szCs w:val="16"/>
        </w:rPr>
        <w:footnoteRef/>
      </w:r>
      <w:r w:rsidRPr="00CC2F2D">
        <w:rPr>
          <w:sz w:val="16"/>
          <w:szCs w:val="16"/>
        </w:rPr>
        <w:t xml:space="preserve"> </w:t>
      </w:r>
      <w:r w:rsidRPr="00CC2F2D">
        <w:rPr>
          <w:i/>
          <w:sz w:val="16"/>
          <w:szCs w:val="16"/>
        </w:rPr>
        <w:t>Id.</w:t>
      </w:r>
    </w:p>
  </w:footnote>
  <w:footnote w:id="18">
    <w:p w14:paraId="71F6E297" w14:textId="77777777" w:rsidR="009C45E7" w:rsidRPr="00CC2F2D" w:rsidRDefault="009C45E7" w:rsidP="009C45E7">
      <w:pPr>
        <w:pStyle w:val="FootnoteText"/>
        <w:rPr>
          <w:sz w:val="16"/>
          <w:szCs w:val="16"/>
        </w:rPr>
      </w:pPr>
      <w:r w:rsidRPr="00CC2F2D">
        <w:rPr>
          <w:rStyle w:val="FootnoteReference"/>
          <w:sz w:val="16"/>
          <w:szCs w:val="16"/>
        </w:rPr>
        <w:footnoteRef/>
      </w:r>
      <w:r w:rsidRPr="00CC2F2D">
        <w:rPr>
          <w:sz w:val="16"/>
          <w:szCs w:val="16"/>
        </w:rPr>
        <w:t xml:space="preserve"> </w:t>
      </w:r>
      <w:bookmarkStart w:id="4" w:name="_Hlk515478944"/>
      <w:r w:rsidRPr="00CC2F2D">
        <w:rPr>
          <w:i/>
          <w:sz w:val="16"/>
          <w:szCs w:val="16"/>
        </w:rPr>
        <w:t>Id.</w:t>
      </w:r>
      <w:bookmarkEnd w:id="4"/>
    </w:p>
  </w:footnote>
  <w:footnote w:id="19">
    <w:p w14:paraId="1D840C9D" w14:textId="4DF788CA" w:rsidR="009C45E7" w:rsidRPr="00CC2F2D" w:rsidRDefault="009C45E7" w:rsidP="009C45E7">
      <w:pPr>
        <w:pStyle w:val="FootnoteText"/>
        <w:rPr>
          <w:color w:val="FF0000"/>
          <w:sz w:val="16"/>
          <w:szCs w:val="16"/>
        </w:rPr>
      </w:pPr>
      <w:r w:rsidRPr="00CC2F2D">
        <w:rPr>
          <w:rStyle w:val="FootnoteReference"/>
          <w:sz w:val="16"/>
          <w:szCs w:val="16"/>
        </w:rPr>
        <w:footnoteRef/>
      </w:r>
      <w:r w:rsidRPr="00CC2F2D">
        <w:rPr>
          <w:sz w:val="16"/>
          <w:szCs w:val="16"/>
        </w:rPr>
        <w:t xml:space="preserve"> </w:t>
      </w:r>
      <w:r w:rsidR="0042618E" w:rsidRPr="00CC2F2D">
        <w:rPr>
          <w:i/>
          <w:iCs/>
          <w:sz w:val="16"/>
          <w:szCs w:val="16"/>
        </w:rPr>
        <w:t>Center for Health Information and Analysis All-Payer Claims Database,</w:t>
      </w:r>
      <w:r w:rsidR="0042618E" w:rsidRPr="00CC2F2D">
        <w:rPr>
          <w:sz w:val="16"/>
          <w:szCs w:val="16"/>
        </w:rPr>
        <w:t xml:space="preserve"> </w:t>
      </w:r>
      <w:r w:rsidR="0042618E" w:rsidRPr="00CC2F2D">
        <w:rPr>
          <w:smallCaps/>
          <w:sz w:val="16"/>
          <w:szCs w:val="16"/>
        </w:rPr>
        <w:t>CHIA</w:t>
      </w:r>
      <w:r w:rsidR="0042618E" w:rsidRPr="00CC2F2D">
        <w:rPr>
          <w:sz w:val="16"/>
          <w:szCs w:val="16"/>
        </w:rPr>
        <w:t xml:space="preserve"> (2022) (sourced by Massachusetts Health Data Consortium).</w:t>
      </w:r>
    </w:p>
  </w:footnote>
  <w:footnote w:id="20">
    <w:p w14:paraId="5CC6713E" w14:textId="3EBE25D8" w:rsidR="00FE19F0" w:rsidRPr="00CC2F2D" w:rsidRDefault="00FE19F0">
      <w:pPr>
        <w:pStyle w:val="FootnoteText"/>
        <w:rPr>
          <w:sz w:val="16"/>
          <w:szCs w:val="16"/>
        </w:rPr>
      </w:pPr>
      <w:r w:rsidRPr="00CC2F2D">
        <w:rPr>
          <w:rStyle w:val="FootnoteReference"/>
          <w:sz w:val="16"/>
          <w:szCs w:val="16"/>
        </w:rPr>
        <w:footnoteRef/>
      </w:r>
      <w:r w:rsidRPr="00CC2F2D">
        <w:rPr>
          <w:sz w:val="16"/>
          <w:szCs w:val="16"/>
        </w:rPr>
        <w:t xml:space="preserve"> </w:t>
      </w:r>
      <w:r w:rsidR="0042618E" w:rsidRPr="00CC2F2D">
        <w:rPr>
          <w:i/>
          <w:iCs/>
          <w:sz w:val="16"/>
          <w:szCs w:val="16"/>
        </w:rPr>
        <w:t>Id.</w:t>
      </w:r>
      <w:r w:rsidR="0042618E" w:rsidRPr="00CC2F2D">
        <w:rPr>
          <w:sz w:val="16"/>
          <w:szCs w:val="16"/>
        </w:rPr>
        <w:t xml:space="preserve"> </w:t>
      </w:r>
    </w:p>
  </w:footnote>
  <w:footnote w:id="21">
    <w:p w14:paraId="082831A3" w14:textId="3592EC3A" w:rsidR="00BD0555" w:rsidRPr="00CC2F2D" w:rsidRDefault="00BD0555">
      <w:pPr>
        <w:pStyle w:val="FootnoteText"/>
        <w:rPr>
          <w:sz w:val="16"/>
          <w:szCs w:val="16"/>
        </w:rPr>
      </w:pPr>
      <w:r w:rsidRPr="00CC2F2D">
        <w:rPr>
          <w:rStyle w:val="FootnoteReference"/>
          <w:sz w:val="16"/>
          <w:szCs w:val="16"/>
        </w:rPr>
        <w:footnoteRef/>
      </w:r>
      <w:r w:rsidRPr="00CC2F2D">
        <w:rPr>
          <w:sz w:val="16"/>
          <w:szCs w:val="16"/>
        </w:rPr>
        <w:t xml:space="preserve"> </w:t>
      </w:r>
      <w:hyperlink r:id="rId23" w:history="1">
        <w:r w:rsidRPr="00F4515F">
          <w:rPr>
            <w:rStyle w:val="Hyperlink"/>
            <w:i/>
            <w:iCs/>
            <w:color w:val="auto"/>
            <w:sz w:val="16"/>
            <w:szCs w:val="16"/>
            <w:u w:val="none"/>
          </w:rPr>
          <w:t>Emergency Department Database (EDD) Reporting</w:t>
        </w:r>
      </w:hyperlink>
      <w:r w:rsidRPr="00F4515F">
        <w:rPr>
          <w:smallCaps/>
          <w:sz w:val="16"/>
          <w:szCs w:val="16"/>
        </w:rPr>
        <w:t xml:space="preserve">, </w:t>
      </w:r>
      <w:r w:rsidRPr="00CC2F2D">
        <w:rPr>
          <w:smallCaps/>
          <w:sz w:val="16"/>
          <w:szCs w:val="16"/>
        </w:rPr>
        <w:t>CHIA (</w:t>
      </w:r>
      <w:r w:rsidRPr="00CC2F2D">
        <w:rPr>
          <w:sz w:val="16"/>
          <w:szCs w:val="16"/>
        </w:rPr>
        <w:t xml:space="preserve">last updated May 25, 2023), </w:t>
      </w:r>
      <w:hyperlink r:id="rId24" w:history="1">
        <w:r w:rsidR="00F4515F" w:rsidRPr="0016662A">
          <w:rPr>
            <w:rStyle w:val="Hyperlink"/>
            <w:sz w:val="16"/>
            <w:szCs w:val="16"/>
          </w:rPr>
          <w:t>https://www.chiamass.gov/emergency-department-database-edd-reporting/</w:t>
        </w:r>
      </w:hyperlink>
      <w:r w:rsidR="00F4515F">
        <w:rPr>
          <w:sz w:val="16"/>
          <w:szCs w:val="16"/>
        </w:rPr>
        <w:t xml:space="preserve"> </w:t>
      </w:r>
      <w:r w:rsidRPr="00CC2F2D">
        <w:rPr>
          <w:sz w:val="16"/>
          <w:szCs w:val="16"/>
        </w:rPr>
        <w:t>.</w:t>
      </w:r>
    </w:p>
  </w:footnote>
  <w:footnote w:id="22">
    <w:p w14:paraId="6EB3CC41" w14:textId="22D7CBF4" w:rsidR="003B22C8" w:rsidRPr="00CC2F2D" w:rsidRDefault="003B22C8">
      <w:pPr>
        <w:pStyle w:val="FootnoteText"/>
        <w:rPr>
          <w:sz w:val="16"/>
          <w:szCs w:val="16"/>
        </w:rPr>
      </w:pPr>
      <w:r w:rsidRPr="00CC2F2D">
        <w:rPr>
          <w:rStyle w:val="FootnoteReference"/>
          <w:sz w:val="16"/>
          <w:szCs w:val="16"/>
        </w:rPr>
        <w:footnoteRef/>
      </w:r>
      <w:r w:rsidRPr="00CC2F2D">
        <w:rPr>
          <w:sz w:val="16"/>
          <w:szCs w:val="16"/>
        </w:rPr>
        <w:t xml:space="preserve"> </w:t>
      </w:r>
      <w:r w:rsidR="00BD0555" w:rsidRPr="00CC2F2D">
        <w:rPr>
          <w:i/>
          <w:iCs/>
          <w:sz w:val="16"/>
          <w:szCs w:val="16"/>
        </w:rPr>
        <w:t>Id</w:t>
      </w:r>
      <w:r w:rsidR="00BD0555" w:rsidRPr="00CC2F2D">
        <w:rPr>
          <w:sz w:val="16"/>
          <w:szCs w:val="16"/>
        </w:rPr>
        <w:t xml:space="preserve">. </w:t>
      </w:r>
    </w:p>
  </w:footnote>
  <w:footnote w:id="23">
    <w:p w14:paraId="5F541795" w14:textId="77777777" w:rsidR="00C05AFD" w:rsidRPr="00CC2F2D" w:rsidRDefault="00C05AFD" w:rsidP="00C05AFD">
      <w:pPr>
        <w:pStyle w:val="FootnoteText"/>
        <w:rPr>
          <w:sz w:val="16"/>
          <w:szCs w:val="16"/>
        </w:rPr>
      </w:pPr>
      <w:r w:rsidRPr="00CC2F2D">
        <w:rPr>
          <w:rStyle w:val="FootnoteReference"/>
          <w:sz w:val="16"/>
          <w:szCs w:val="16"/>
        </w:rPr>
        <w:footnoteRef/>
      </w:r>
      <w:r w:rsidRPr="00CC2F2D">
        <w:rPr>
          <w:sz w:val="16"/>
          <w:szCs w:val="16"/>
        </w:rPr>
        <w:t xml:space="preserve"> </w:t>
      </w:r>
      <w:r w:rsidRPr="00CC2F2D">
        <w:rPr>
          <w:i/>
          <w:iCs/>
          <w:sz w:val="16"/>
          <w:szCs w:val="16"/>
        </w:rPr>
        <w:t>See</w:t>
      </w:r>
      <w:r w:rsidRPr="00CC2F2D">
        <w:rPr>
          <w:sz w:val="16"/>
          <w:szCs w:val="16"/>
        </w:rPr>
        <w:t xml:space="preserve"> Erek S. Majka, MD &amp; N. Seth </w:t>
      </w:r>
      <w:proofErr w:type="spellStart"/>
      <w:r w:rsidRPr="00CC2F2D">
        <w:rPr>
          <w:sz w:val="16"/>
          <w:szCs w:val="16"/>
        </w:rPr>
        <w:t>Trueger</w:t>
      </w:r>
      <w:proofErr w:type="spellEnd"/>
      <w:r w:rsidRPr="00CC2F2D">
        <w:rPr>
          <w:sz w:val="16"/>
          <w:szCs w:val="16"/>
        </w:rPr>
        <w:t xml:space="preserve">, MD, MPH, </w:t>
      </w:r>
      <w:r w:rsidRPr="00CC2F2D">
        <w:rPr>
          <w:i/>
          <w:iCs/>
          <w:sz w:val="16"/>
          <w:szCs w:val="16"/>
        </w:rPr>
        <w:t>Emergency Department Visits Among Patients With Cancer in the US</w:t>
      </w:r>
      <w:r w:rsidRPr="00CC2F2D">
        <w:rPr>
          <w:sz w:val="16"/>
          <w:szCs w:val="16"/>
        </w:rPr>
        <w:t xml:space="preserve">, 6 JAMA </w:t>
      </w:r>
      <w:r w:rsidRPr="00CC2F2D">
        <w:rPr>
          <w:smallCaps/>
          <w:sz w:val="16"/>
          <w:szCs w:val="16"/>
        </w:rPr>
        <w:t xml:space="preserve">Open Network e2253797 (2023). </w:t>
      </w:r>
    </w:p>
  </w:footnote>
  <w:footnote w:id="24">
    <w:p w14:paraId="2E9EB427" w14:textId="0AB4EF4F" w:rsidR="004831C0" w:rsidRPr="00CC2F2D" w:rsidRDefault="004831C0" w:rsidP="004831C0">
      <w:pPr>
        <w:pStyle w:val="FootnoteText"/>
        <w:rPr>
          <w:sz w:val="16"/>
          <w:szCs w:val="16"/>
        </w:rPr>
      </w:pPr>
      <w:r w:rsidRPr="00CC2F2D">
        <w:rPr>
          <w:rStyle w:val="FootnoteReference"/>
          <w:sz w:val="16"/>
          <w:szCs w:val="16"/>
        </w:rPr>
        <w:footnoteRef/>
      </w:r>
      <w:r w:rsidRPr="00CC2F2D">
        <w:rPr>
          <w:sz w:val="16"/>
          <w:szCs w:val="16"/>
        </w:rPr>
        <w:t xml:space="preserve"> Xin Liu et al., </w:t>
      </w:r>
      <w:hyperlink r:id="rId25" w:history="1">
        <w:r w:rsidRPr="004D1C0B">
          <w:rPr>
            <w:rStyle w:val="Hyperlink"/>
            <w:i/>
            <w:iCs/>
            <w:color w:val="auto"/>
            <w:sz w:val="16"/>
            <w:szCs w:val="16"/>
            <w:u w:val="none"/>
          </w:rPr>
          <w:t>Clinical application of MR-Linac in tumor radiotherapy: a systemic review</w:t>
        </w:r>
      </w:hyperlink>
      <w:r w:rsidRPr="004D1C0B">
        <w:rPr>
          <w:sz w:val="16"/>
          <w:szCs w:val="16"/>
        </w:rPr>
        <w:t xml:space="preserve">, 18 </w:t>
      </w:r>
      <w:r w:rsidRPr="00CC2F2D">
        <w:rPr>
          <w:smallCaps/>
          <w:sz w:val="16"/>
          <w:szCs w:val="16"/>
        </w:rPr>
        <w:t xml:space="preserve">Radiation Oncology 52 </w:t>
      </w:r>
      <w:r w:rsidR="00BD13F5" w:rsidRPr="00CC2F2D">
        <w:rPr>
          <w:smallCaps/>
          <w:sz w:val="16"/>
          <w:szCs w:val="16"/>
        </w:rPr>
        <w:t xml:space="preserve">1153, 1186 </w:t>
      </w:r>
      <w:r w:rsidRPr="00CC2F2D">
        <w:rPr>
          <w:smallCaps/>
          <w:sz w:val="16"/>
          <w:szCs w:val="16"/>
        </w:rPr>
        <w:t>(</w:t>
      </w:r>
      <w:r w:rsidRPr="00CC2F2D">
        <w:rPr>
          <w:sz w:val="16"/>
          <w:szCs w:val="16"/>
        </w:rPr>
        <w:t>Mar. 14, 2023),</w:t>
      </w:r>
      <w:r w:rsidRPr="00CC2F2D">
        <w:rPr>
          <w:smallCaps/>
          <w:sz w:val="16"/>
          <w:szCs w:val="16"/>
        </w:rPr>
        <w:t xml:space="preserve"> </w:t>
      </w:r>
      <w:hyperlink r:id="rId26" w:history="1">
        <w:r w:rsidR="004D1C0B" w:rsidRPr="0016662A">
          <w:rPr>
            <w:rStyle w:val="Hyperlink"/>
            <w:sz w:val="16"/>
            <w:szCs w:val="16"/>
          </w:rPr>
          <w:t>https://ro-journal.biomedcentral.com/articles/10.1186/s13014-023-02221-8</w:t>
        </w:r>
      </w:hyperlink>
      <w:r w:rsidR="004D1C0B">
        <w:rPr>
          <w:sz w:val="16"/>
          <w:szCs w:val="16"/>
        </w:rPr>
        <w:t xml:space="preserve"> </w:t>
      </w:r>
      <w:r w:rsidRPr="00CC2F2D">
        <w:rPr>
          <w:sz w:val="16"/>
          <w:szCs w:val="16"/>
        </w:rPr>
        <w:t xml:space="preserve">. </w:t>
      </w:r>
    </w:p>
  </w:footnote>
  <w:footnote w:id="25">
    <w:p w14:paraId="15059A26" w14:textId="6F8C2EDC" w:rsidR="00235AB3" w:rsidRPr="00CC2F2D" w:rsidRDefault="00235AB3" w:rsidP="00235AB3">
      <w:pPr>
        <w:pStyle w:val="FootnoteText"/>
        <w:rPr>
          <w:sz w:val="16"/>
          <w:szCs w:val="16"/>
        </w:rPr>
      </w:pPr>
      <w:r w:rsidRPr="00CC2F2D">
        <w:rPr>
          <w:rStyle w:val="FootnoteReference"/>
          <w:sz w:val="16"/>
          <w:szCs w:val="16"/>
        </w:rPr>
        <w:footnoteRef/>
      </w:r>
      <w:r w:rsidRPr="00CC2F2D">
        <w:rPr>
          <w:sz w:val="16"/>
          <w:szCs w:val="16"/>
        </w:rPr>
        <w:t xml:space="preserve"> Rifat Atun et al., </w:t>
      </w:r>
      <w:hyperlink r:id="rId27" w:history="1">
        <w:r w:rsidRPr="004D1C0B">
          <w:rPr>
            <w:rStyle w:val="Hyperlink"/>
            <w:i/>
            <w:iCs/>
            <w:color w:val="auto"/>
            <w:sz w:val="16"/>
            <w:szCs w:val="16"/>
            <w:u w:val="none"/>
          </w:rPr>
          <w:t>Expanding global access to radiotherapy</w:t>
        </w:r>
        <w:r w:rsidRPr="004D1C0B">
          <w:rPr>
            <w:rStyle w:val="Hyperlink"/>
            <w:color w:val="auto"/>
            <w:sz w:val="16"/>
            <w:szCs w:val="16"/>
            <w:u w:val="none"/>
          </w:rPr>
          <w:t>,</w:t>
        </w:r>
      </w:hyperlink>
      <w:r w:rsidRPr="004D1C0B">
        <w:rPr>
          <w:sz w:val="16"/>
          <w:szCs w:val="16"/>
        </w:rPr>
        <w:t xml:space="preserve"> </w:t>
      </w:r>
      <w:r w:rsidRPr="00CC2F2D">
        <w:rPr>
          <w:sz w:val="16"/>
          <w:szCs w:val="16"/>
        </w:rPr>
        <w:t xml:space="preserve">16 </w:t>
      </w:r>
      <w:r w:rsidRPr="00CC2F2D">
        <w:rPr>
          <w:smallCaps/>
          <w:sz w:val="16"/>
          <w:szCs w:val="16"/>
        </w:rPr>
        <w:t>Lancet Oncology Comm’n 1153, 1153 (</w:t>
      </w:r>
      <w:r w:rsidRPr="00CC2F2D">
        <w:rPr>
          <w:sz w:val="16"/>
          <w:szCs w:val="16"/>
        </w:rPr>
        <w:t xml:space="preserve">2015), </w:t>
      </w:r>
      <w:hyperlink r:id="rId28" w:history="1">
        <w:r w:rsidR="004D1C0B" w:rsidRPr="0016662A">
          <w:rPr>
            <w:rStyle w:val="Hyperlink"/>
            <w:sz w:val="16"/>
            <w:szCs w:val="16"/>
          </w:rPr>
          <w:t>https://www.thelancet.com/journals/lanonc/article/PIIS1470-2045(15)00222-3/fulltext</w:t>
        </w:r>
      </w:hyperlink>
      <w:r w:rsidR="004D1C0B">
        <w:rPr>
          <w:sz w:val="16"/>
          <w:szCs w:val="16"/>
        </w:rPr>
        <w:t xml:space="preserve"> </w:t>
      </w:r>
      <w:r w:rsidRPr="00CC2F2D">
        <w:rPr>
          <w:sz w:val="16"/>
          <w:szCs w:val="16"/>
        </w:rPr>
        <w:t xml:space="preserve">. </w:t>
      </w:r>
    </w:p>
  </w:footnote>
  <w:footnote w:id="26">
    <w:p w14:paraId="12F76838" w14:textId="77777777" w:rsidR="00235AB3" w:rsidRPr="00CC2F2D" w:rsidRDefault="00235AB3" w:rsidP="00235AB3">
      <w:pPr>
        <w:pStyle w:val="FootnoteText"/>
        <w:rPr>
          <w:sz w:val="16"/>
          <w:szCs w:val="16"/>
        </w:rPr>
      </w:pPr>
      <w:r w:rsidRPr="00CC2F2D">
        <w:rPr>
          <w:rStyle w:val="FootnoteReference"/>
          <w:sz w:val="16"/>
          <w:szCs w:val="16"/>
        </w:rPr>
        <w:footnoteRef/>
      </w:r>
      <w:r w:rsidRPr="00CC2F2D">
        <w:rPr>
          <w:sz w:val="16"/>
          <w:szCs w:val="16"/>
        </w:rPr>
        <w:t xml:space="preserve"> Rajamanickam Baskar et al., </w:t>
      </w:r>
      <w:r w:rsidRPr="00CC2F2D">
        <w:rPr>
          <w:i/>
          <w:iCs/>
          <w:sz w:val="16"/>
          <w:szCs w:val="16"/>
        </w:rPr>
        <w:t>Cancer and radiation therapy: current advances and future directions</w:t>
      </w:r>
      <w:r w:rsidRPr="00CC2F2D">
        <w:rPr>
          <w:sz w:val="16"/>
          <w:szCs w:val="16"/>
        </w:rPr>
        <w:t xml:space="preserve">. 9 </w:t>
      </w:r>
      <w:r w:rsidRPr="00CC2F2D">
        <w:rPr>
          <w:smallCaps/>
          <w:sz w:val="16"/>
          <w:szCs w:val="16"/>
        </w:rPr>
        <w:t>Int. J. Med. Science</w:t>
      </w:r>
      <w:r w:rsidRPr="00CC2F2D">
        <w:rPr>
          <w:sz w:val="16"/>
          <w:szCs w:val="16"/>
        </w:rPr>
        <w:t xml:space="preserve"> 193, 193-199 (2012).</w:t>
      </w:r>
    </w:p>
  </w:footnote>
  <w:footnote w:id="27">
    <w:p w14:paraId="3F3D51E6" w14:textId="07387204" w:rsidR="004831C0" w:rsidRPr="00CC2F2D" w:rsidRDefault="004831C0" w:rsidP="004831C0">
      <w:pPr>
        <w:pStyle w:val="FootnoteText"/>
        <w:rPr>
          <w:sz w:val="16"/>
          <w:szCs w:val="16"/>
        </w:rPr>
      </w:pPr>
      <w:r w:rsidRPr="00CC2F2D">
        <w:rPr>
          <w:rStyle w:val="FootnoteReference"/>
          <w:sz w:val="16"/>
          <w:szCs w:val="16"/>
        </w:rPr>
        <w:footnoteRef/>
      </w:r>
      <w:r w:rsidRPr="00CC2F2D">
        <w:rPr>
          <w:sz w:val="16"/>
          <w:szCs w:val="16"/>
        </w:rPr>
        <w:t xml:space="preserve"> </w:t>
      </w:r>
      <w:r w:rsidRPr="00CC2F2D">
        <w:rPr>
          <w:smallCaps/>
          <w:sz w:val="16"/>
          <w:szCs w:val="16"/>
        </w:rPr>
        <w:t>Pankaj K. </w:t>
      </w:r>
      <w:proofErr w:type="spellStart"/>
      <w:r w:rsidRPr="00CC2F2D">
        <w:rPr>
          <w:smallCaps/>
          <w:sz w:val="16"/>
          <w:szCs w:val="16"/>
        </w:rPr>
        <w:t>Agarwalla</w:t>
      </w:r>
      <w:proofErr w:type="spellEnd"/>
      <w:r w:rsidRPr="00CC2F2D">
        <w:rPr>
          <w:smallCaps/>
          <w:sz w:val="16"/>
          <w:szCs w:val="16"/>
        </w:rPr>
        <w:t xml:space="preserve"> et al.,</w:t>
      </w:r>
      <w:r w:rsidRPr="00CC2F2D">
        <w:rPr>
          <w:sz w:val="16"/>
          <w:szCs w:val="16"/>
        </w:rPr>
        <w:t xml:space="preserve"> </w:t>
      </w:r>
      <w:hyperlink r:id="rId29" w:history="1">
        <w:r w:rsidRPr="008166EC">
          <w:rPr>
            <w:rStyle w:val="Hyperlink"/>
            <w:smallCaps/>
            <w:color w:val="auto"/>
            <w:sz w:val="16"/>
            <w:szCs w:val="16"/>
            <w:u w:val="none"/>
          </w:rPr>
          <w:t>Application of Current Radiation Delivery Systems and Radiobiology, Principles of neurological surgery</w:t>
        </w:r>
      </w:hyperlink>
      <w:r w:rsidRPr="008166EC">
        <w:rPr>
          <w:smallCaps/>
          <w:sz w:val="16"/>
          <w:szCs w:val="16"/>
        </w:rPr>
        <w:t xml:space="preserve"> (</w:t>
      </w:r>
      <w:r w:rsidRPr="008166EC">
        <w:rPr>
          <w:sz w:val="16"/>
          <w:szCs w:val="16"/>
        </w:rPr>
        <w:t>4</w:t>
      </w:r>
      <w:r w:rsidRPr="008166EC">
        <w:rPr>
          <w:sz w:val="16"/>
          <w:szCs w:val="16"/>
          <w:vertAlign w:val="superscript"/>
        </w:rPr>
        <w:t>th</w:t>
      </w:r>
      <w:r w:rsidRPr="008166EC">
        <w:rPr>
          <w:sz w:val="16"/>
          <w:szCs w:val="16"/>
        </w:rPr>
        <w:t xml:space="preserve"> </w:t>
      </w:r>
      <w:r w:rsidRPr="00CC2F2D">
        <w:rPr>
          <w:sz w:val="16"/>
          <w:szCs w:val="16"/>
        </w:rPr>
        <w:t xml:space="preserve">ed. 2018), </w:t>
      </w:r>
      <w:hyperlink r:id="rId30" w:history="1">
        <w:r w:rsidR="00577C79" w:rsidRPr="0016662A">
          <w:rPr>
            <w:rStyle w:val="Hyperlink"/>
            <w:sz w:val="16"/>
            <w:szCs w:val="16"/>
          </w:rPr>
          <w:t>https://www.sciencedirect.com/topics/nursing-and-health-professions/linear-accelerator</w:t>
        </w:r>
      </w:hyperlink>
      <w:r w:rsidR="00577C79">
        <w:rPr>
          <w:sz w:val="16"/>
          <w:szCs w:val="16"/>
        </w:rPr>
        <w:t xml:space="preserve"> </w:t>
      </w:r>
      <w:r w:rsidR="002E73B5" w:rsidRPr="00CC2F2D">
        <w:rPr>
          <w:sz w:val="16"/>
          <w:szCs w:val="16"/>
        </w:rPr>
        <w:t>.</w:t>
      </w:r>
    </w:p>
  </w:footnote>
  <w:footnote w:id="28">
    <w:p w14:paraId="2E7BA944" w14:textId="6AAD577C" w:rsidR="004831C0" w:rsidRPr="00CC2F2D" w:rsidRDefault="004831C0" w:rsidP="004831C0">
      <w:pPr>
        <w:pStyle w:val="FootnoteText"/>
        <w:rPr>
          <w:sz w:val="16"/>
          <w:szCs w:val="16"/>
        </w:rPr>
      </w:pPr>
      <w:r w:rsidRPr="00CC2F2D">
        <w:rPr>
          <w:rStyle w:val="FootnoteReference"/>
          <w:sz w:val="16"/>
          <w:szCs w:val="16"/>
        </w:rPr>
        <w:footnoteRef/>
      </w:r>
      <w:r w:rsidRPr="00CC2F2D">
        <w:rPr>
          <w:sz w:val="16"/>
          <w:szCs w:val="16"/>
        </w:rPr>
        <w:t xml:space="preserve"> </w:t>
      </w:r>
      <w:hyperlink r:id="rId31" w:history="1">
        <w:r w:rsidRPr="0033068D">
          <w:rPr>
            <w:rStyle w:val="Hyperlink"/>
            <w:i/>
            <w:iCs/>
            <w:color w:val="auto"/>
            <w:sz w:val="16"/>
            <w:szCs w:val="16"/>
            <w:u w:val="none"/>
          </w:rPr>
          <w:t>Treatment Techniques: Linear Accelerators</w:t>
        </w:r>
      </w:hyperlink>
      <w:r w:rsidRPr="0033068D">
        <w:rPr>
          <w:sz w:val="16"/>
          <w:szCs w:val="16"/>
        </w:rPr>
        <w:t xml:space="preserve">, </w:t>
      </w:r>
      <w:proofErr w:type="spellStart"/>
      <w:r w:rsidRPr="00CC2F2D">
        <w:rPr>
          <w:smallCaps/>
          <w:sz w:val="16"/>
          <w:szCs w:val="16"/>
        </w:rPr>
        <w:t>UFHealth</w:t>
      </w:r>
      <w:proofErr w:type="spellEnd"/>
      <w:r w:rsidRPr="00CC2F2D">
        <w:rPr>
          <w:sz w:val="16"/>
          <w:szCs w:val="16"/>
        </w:rPr>
        <w:t xml:space="preserve"> (</w:t>
      </w:r>
      <w:r w:rsidR="00042503" w:rsidRPr="00CC2F2D">
        <w:rPr>
          <w:sz w:val="16"/>
          <w:szCs w:val="16"/>
        </w:rPr>
        <w:t>last visited Oct. 1, 2023</w:t>
      </w:r>
      <w:r w:rsidRPr="00CC2F2D">
        <w:rPr>
          <w:sz w:val="16"/>
          <w:szCs w:val="16"/>
        </w:rPr>
        <w:t>),</w:t>
      </w:r>
      <w:r w:rsidRPr="00CC2F2D">
        <w:rPr>
          <w:i/>
          <w:iCs/>
          <w:sz w:val="16"/>
          <w:szCs w:val="16"/>
        </w:rPr>
        <w:t xml:space="preserve"> </w:t>
      </w:r>
      <w:hyperlink r:id="rId32" w:history="1">
        <w:r w:rsidR="0033068D" w:rsidRPr="0016662A">
          <w:rPr>
            <w:rStyle w:val="Hyperlink"/>
            <w:sz w:val="16"/>
            <w:szCs w:val="16"/>
          </w:rPr>
          <w:t>https://radonc.med.ufl.edu/patient-care/technologies-and-resources/treatment-techniques/</w:t>
        </w:r>
      </w:hyperlink>
      <w:r w:rsidR="0033068D">
        <w:rPr>
          <w:sz w:val="16"/>
          <w:szCs w:val="16"/>
        </w:rPr>
        <w:t xml:space="preserve"> </w:t>
      </w:r>
      <w:r w:rsidRPr="00CC2F2D">
        <w:rPr>
          <w:sz w:val="16"/>
          <w:szCs w:val="16"/>
        </w:rPr>
        <w:t xml:space="preserve">. </w:t>
      </w:r>
    </w:p>
  </w:footnote>
  <w:footnote w:id="29">
    <w:p w14:paraId="59195ED5" w14:textId="22B9B2C9" w:rsidR="004831C0" w:rsidRPr="00CC2F2D" w:rsidRDefault="004831C0" w:rsidP="004831C0">
      <w:pPr>
        <w:pStyle w:val="FootnoteText"/>
        <w:rPr>
          <w:sz w:val="16"/>
          <w:szCs w:val="16"/>
        </w:rPr>
      </w:pPr>
      <w:r w:rsidRPr="00CC2F2D">
        <w:rPr>
          <w:rStyle w:val="FootnoteReference"/>
          <w:sz w:val="16"/>
          <w:szCs w:val="16"/>
        </w:rPr>
        <w:footnoteRef/>
      </w:r>
      <w:r w:rsidRPr="00CC2F2D">
        <w:rPr>
          <w:sz w:val="16"/>
          <w:szCs w:val="16"/>
        </w:rPr>
        <w:t xml:space="preserve"> Vikki </w:t>
      </w:r>
      <w:proofErr w:type="spellStart"/>
      <w:r w:rsidRPr="00CC2F2D">
        <w:rPr>
          <w:sz w:val="16"/>
          <w:szCs w:val="16"/>
        </w:rPr>
        <w:t>Harmonay</w:t>
      </w:r>
      <w:proofErr w:type="spellEnd"/>
      <w:r w:rsidRPr="00CC2F2D">
        <w:rPr>
          <w:sz w:val="16"/>
          <w:szCs w:val="16"/>
        </w:rPr>
        <w:t xml:space="preserve">, </w:t>
      </w:r>
      <w:hyperlink r:id="rId33" w:history="1">
        <w:r w:rsidRPr="00F26D88">
          <w:rPr>
            <w:rStyle w:val="Hyperlink"/>
            <w:i/>
            <w:iCs/>
            <w:color w:val="auto"/>
            <w:sz w:val="16"/>
            <w:szCs w:val="16"/>
            <w:u w:val="none"/>
          </w:rPr>
          <w:t>The Difference Between a CT Scanner &amp; CT Stimulator</w:t>
        </w:r>
        <w:r w:rsidRPr="00F26D88">
          <w:rPr>
            <w:rStyle w:val="Hyperlink"/>
            <w:color w:val="auto"/>
            <w:sz w:val="16"/>
            <w:szCs w:val="16"/>
            <w:u w:val="none"/>
          </w:rPr>
          <w:t>,</w:t>
        </w:r>
      </w:hyperlink>
      <w:r w:rsidRPr="00F26D88">
        <w:rPr>
          <w:sz w:val="16"/>
          <w:szCs w:val="16"/>
        </w:rPr>
        <w:t xml:space="preserve"> </w:t>
      </w:r>
      <w:r w:rsidRPr="00CC2F2D">
        <w:rPr>
          <w:smallCaps/>
          <w:sz w:val="16"/>
          <w:szCs w:val="16"/>
        </w:rPr>
        <w:t xml:space="preserve">Atlantis Worldwide </w:t>
      </w:r>
      <w:r w:rsidRPr="00CC2F2D">
        <w:rPr>
          <w:sz w:val="16"/>
          <w:szCs w:val="16"/>
        </w:rPr>
        <w:t xml:space="preserve">(Aug. 24, 2022) </w:t>
      </w:r>
      <w:hyperlink r:id="rId34" w:history="1">
        <w:r w:rsidR="00545AE5" w:rsidRPr="0016662A">
          <w:rPr>
            <w:rStyle w:val="Hyperlink"/>
            <w:sz w:val="16"/>
            <w:szCs w:val="16"/>
          </w:rPr>
          <w:t>https://info.atlantisworldwide.com/blog/the-difference-between-a-ct-scanner-ct-simulator</w:t>
        </w:r>
      </w:hyperlink>
      <w:r w:rsidR="00545AE5">
        <w:rPr>
          <w:sz w:val="16"/>
          <w:szCs w:val="16"/>
        </w:rPr>
        <w:t xml:space="preserve"> </w:t>
      </w:r>
      <w:r w:rsidRPr="00CC2F2D">
        <w:rPr>
          <w:sz w:val="16"/>
          <w:szCs w:val="16"/>
        </w:rPr>
        <w:t xml:space="preserve">. </w:t>
      </w:r>
    </w:p>
  </w:footnote>
  <w:footnote w:id="30">
    <w:p w14:paraId="4B34FF41" w14:textId="77777777" w:rsidR="008A4B72" w:rsidRPr="00CC2F2D" w:rsidRDefault="008A4B72" w:rsidP="008A4B72">
      <w:pPr>
        <w:pStyle w:val="FootnoteText"/>
        <w:rPr>
          <w:sz w:val="16"/>
          <w:szCs w:val="16"/>
        </w:rPr>
      </w:pPr>
      <w:r w:rsidRPr="00CC2F2D">
        <w:rPr>
          <w:rStyle w:val="FootnoteReference"/>
          <w:sz w:val="16"/>
          <w:szCs w:val="16"/>
        </w:rPr>
        <w:footnoteRef/>
      </w:r>
      <w:r w:rsidRPr="00CC2F2D">
        <w:rPr>
          <w:sz w:val="16"/>
          <w:szCs w:val="16"/>
        </w:rPr>
        <w:t xml:space="preserve"> This table is based on utilization data for the Applicant’s current licensed beds, as well as an estimate of utilization for patients admitted to BWH-licensed beds under the care of the Applicant’s oncologists derived from the Applicant’s professional claim data. While precise utilization data for all such patients is available to the Applicant as part of its existing collaboration, portions of that data are proprietary to BWH, and the Applicant is restricted from disclosing it in this Application due to confidentiality restrictions.</w:t>
      </w:r>
    </w:p>
  </w:footnote>
  <w:footnote w:id="31">
    <w:p w14:paraId="30BD4F19" w14:textId="32016835" w:rsidR="00EA25E1" w:rsidRPr="00B675C7" w:rsidRDefault="00EA25E1">
      <w:pPr>
        <w:pStyle w:val="FootnoteText"/>
        <w:rPr>
          <w:sz w:val="16"/>
          <w:szCs w:val="16"/>
        </w:rPr>
      </w:pPr>
      <w:r w:rsidRPr="00B675C7">
        <w:rPr>
          <w:rStyle w:val="FootnoteReference"/>
          <w:sz w:val="16"/>
          <w:szCs w:val="16"/>
        </w:rPr>
        <w:footnoteRef/>
      </w:r>
      <w:r w:rsidRPr="00B675C7">
        <w:rPr>
          <w:sz w:val="16"/>
          <w:szCs w:val="16"/>
        </w:rPr>
        <w:t xml:space="preserve"> Age categories may sum to more than 100%, as patients age into different categories during a fiscal year. </w:t>
      </w:r>
    </w:p>
  </w:footnote>
  <w:footnote w:id="32">
    <w:p w14:paraId="63F343E9" w14:textId="7DE92ABA" w:rsidR="00EA25E1" w:rsidRPr="00EA25E1" w:rsidRDefault="00EA25E1">
      <w:pPr>
        <w:pStyle w:val="FootnoteText"/>
        <w:rPr>
          <w:sz w:val="16"/>
          <w:szCs w:val="16"/>
        </w:rPr>
      </w:pPr>
      <w:r w:rsidRPr="00EA25E1">
        <w:rPr>
          <w:rStyle w:val="FootnoteReference"/>
          <w:sz w:val="16"/>
          <w:szCs w:val="16"/>
        </w:rPr>
        <w:footnoteRef/>
      </w:r>
      <w:r w:rsidRPr="00EA25E1">
        <w:rPr>
          <w:sz w:val="16"/>
          <w:szCs w:val="16"/>
        </w:rPr>
        <w:t xml:space="preserve"> Includes only patients 18 or younger seen in adult clinical departments. Excludes patients seen in pediatrics departments. </w:t>
      </w:r>
    </w:p>
  </w:footnote>
  <w:footnote w:id="33">
    <w:p w14:paraId="4B314504" w14:textId="77777777" w:rsidR="008A4B72" w:rsidRPr="00EA25E1" w:rsidRDefault="008A4B72" w:rsidP="008A4B72">
      <w:pPr>
        <w:pStyle w:val="FootnoteText"/>
        <w:rPr>
          <w:sz w:val="16"/>
          <w:szCs w:val="16"/>
        </w:rPr>
      </w:pPr>
      <w:r w:rsidRPr="00EA25E1">
        <w:rPr>
          <w:rStyle w:val="FootnoteReference"/>
          <w:sz w:val="16"/>
          <w:szCs w:val="16"/>
        </w:rPr>
        <w:footnoteRef/>
      </w:r>
      <w:r w:rsidRPr="00EA25E1">
        <w:rPr>
          <w:sz w:val="16"/>
          <w:szCs w:val="16"/>
        </w:rPr>
        <w:t xml:space="preserve"> Given overlapping geographies, percentages will sum to be over 100%.</w:t>
      </w:r>
    </w:p>
  </w:footnote>
  <w:footnote w:id="34">
    <w:p w14:paraId="3C319394" w14:textId="77777777" w:rsidR="00DE5E4D" w:rsidRPr="00CC2F2D" w:rsidRDefault="00DE5E4D" w:rsidP="008A4B72">
      <w:pPr>
        <w:pStyle w:val="FootnoteText"/>
        <w:rPr>
          <w:sz w:val="16"/>
          <w:szCs w:val="16"/>
        </w:rPr>
      </w:pPr>
      <w:r w:rsidRPr="00EA25E1">
        <w:rPr>
          <w:rStyle w:val="FootnoteReference"/>
          <w:sz w:val="16"/>
          <w:szCs w:val="16"/>
        </w:rPr>
        <w:footnoteRef/>
      </w:r>
      <w:r w:rsidRPr="00EA25E1">
        <w:rPr>
          <w:sz w:val="16"/>
          <w:szCs w:val="16"/>
        </w:rPr>
        <w:t xml:space="preserve"> As used herein, “New England” means Connecticut, Maine, New Hampshire, Rhode Island, Vermont, and unless otherwise noted, Massachusetts.</w:t>
      </w:r>
      <w:r w:rsidRPr="00CC2F2D">
        <w:rPr>
          <w:sz w:val="16"/>
          <w:szCs w:val="16"/>
        </w:rPr>
        <w:t xml:space="preserve"> </w:t>
      </w:r>
    </w:p>
  </w:footnote>
  <w:footnote w:id="35">
    <w:p w14:paraId="54F76889" w14:textId="77777777" w:rsidR="00DE5E4D" w:rsidRPr="00CC2F2D" w:rsidRDefault="00DE5E4D" w:rsidP="008A4B72">
      <w:pPr>
        <w:pStyle w:val="FootnoteText"/>
        <w:rPr>
          <w:sz w:val="16"/>
          <w:szCs w:val="16"/>
        </w:rPr>
      </w:pPr>
      <w:r w:rsidRPr="00CC2F2D">
        <w:rPr>
          <w:rStyle w:val="FootnoteReference"/>
          <w:sz w:val="16"/>
          <w:szCs w:val="16"/>
        </w:rPr>
        <w:footnoteRef/>
      </w:r>
      <w:r w:rsidRPr="00CC2F2D">
        <w:rPr>
          <w:sz w:val="16"/>
          <w:szCs w:val="16"/>
        </w:rPr>
        <w:t xml:space="preserve"> These patients include those from New England states, excluding Massachusetts.</w:t>
      </w:r>
    </w:p>
  </w:footnote>
  <w:footnote w:id="36">
    <w:p w14:paraId="32722C75" w14:textId="77777777" w:rsidR="000111E7" w:rsidRPr="00CC2F2D" w:rsidRDefault="000111E7" w:rsidP="000111E7">
      <w:pPr>
        <w:pStyle w:val="FootnoteText"/>
        <w:rPr>
          <w:sz w:val="16"/>
          <w:szCs w:val="16"/>
        </w:rPr>
      </w:pPr>
      <w:r w:rsidRPr="00CC2F2D">
        <w:rPr>
          <w:rStyle w:val="FootnoteReference"/>
          <w:sz w:val="16"/>
          <w:szCs w:val="16"/>
        </w:rPr>
        <w:footnoteRef/>
      </w:r>
      <w:r w:rsidRPr="00CC2F2D">
        <w:rPr>
          <w:sz w:val="16"/>
          <w:szCs w:val="16"/>
        </w:rPr>
        <w:t xml:space="preserve"> These patients include those with a permanent country of residence outside the United States. </w:t>
      </w:r>
    </w:p>
  </w:footnote>
  <w:footnote w:id="37">
    <w:p w14:paraId="4C83801F" w14:textId="4B4AF925" w:rsidR="00090558" w:rsidRPr="00CC2F2D" w:rsidRDefault="00090558" w:rsidP="00B37D52">
      <w:pPr>
        <w:pStyle w:val="FootnoteText"/>
        <w:rPr>
          <w:sz w:val="16"/>
          <w:szCs w:val="16"/>
        </w:rPr>
      </w:pPr>
      <w:r w:rsidRPr="00CC2F2D">
        <w:rPr>
          <w:rStyle w:val="FootnoteReference"/>
          <w:sz w:val="16"/>
          <w:szCs w:val="16"/>
        </w:rPr>
        <w:footnoteRef/>
      </w:r>
      <w:r w:rsidRPr="00CC2F2D">
        <w:rPr>
          <w:sz w:val="16"/>
          <w:szCs w:val="16"/>
        </w:rPr>
        <w:t xml:space="preserve"> </w:t>
      </w:r>
      <w:r w:rsidR="00B37D52" w:rsidRPr="00CC2F2D">
        <w:rPr>
          <w:sz w:val="16"/>
          <w:szCs w:val="16"/>
        </w:rPr>
        <w:t>This table is based on utilization data for the Applicant</w:t>
      </w:r>
      <w:r w:rsidR="002340EA" w:rsidRPr="00CC2F2D">
        <w:rPr>
          <w:sz w:val="16"/>
          <w:szCs w:val="16"/>
        </w:rPr>
        <w:t>’</w:t>
      </w:r>
      <w:r w:rsidR="00B37D52" w:rsidRPr="00CC2F2D">
        <w:rPr>
          <w:sz w:val="16"/>
          <w:szCs w:val="16"/>
        </w:rPr>
        <w:t>s current licensed beds, as well as an estimate of utilization for patients admitted to</w:t>
      </w:r>
      <w:r w:rsidR="00C52281" w:rsidRPr="00CC2F2D">
        <w:rPr>
          <w:sz w:val="16"/>
          <w:szCs w:val="16"/>
        </w:rPr>
        <w:t xml:space="preserve"> </w:t>
      </w:r>
      <w:r w:rsidR="00B37D52" w:rsidRPr="00CC2F2D">
        <w:rPr>
          <w:sz w:val="16"/>
          <w:szCs w:val="16"/>
        </w:rPr>
        <w:t>BWH-licensed beds under the care of the Applicant</w:t>
      </w:r>
      <w:r w:rsidR="002340EA" w:rsidRPr="00CC2F2D">
        <w:rPr>
          <w:sz w:val="16"/>
          <w:szCs w:val="16"/>
        </w:rPr>
        <w:t>’</w:t>
      </w:r>
      <w:r w:rsidR="00B37D52" w:rsidRPr="00CC2F2D">
        <w:rPr>
          <w:sz w:val="16"/>
          <w:szCs w:val="16"/>
        </w:rPr>
        <w:t>s oncologists derived from the Applicant</w:t>
      </w:r>
      <w:r w:rsidR="002340EA" w:rsidRPr="00CC2F2D">
        <w:rPr>
          <w:sz w:val="16"/>
          <w:szCs w:val="16"/>
        </w:rPr>
        <w:t>’</w:t>
      </w:r>
      <w:r w:rsidR="00B37D52" w:rsidRPr="00CC2F2D">
        <w:rPr>
          <w:sz w:val="16"/>
          <w:szCs w:val="16"/>
        </w:rPr>
        <w:t>s professional claim data. While precise</w:t>
      </w:r>
      <w:r w:rsidR="00C52281" w:rsidRPr="00CC2F2D">
        <w:rPr>
          <w:sz w:val="16"/>
          <w:szCs w:val="16"/>
        </w:rPr>
        <w:t xml:space="preserve"> </w:t>
      </w:r>
      <w:r w:rsidR="00B37D52" w:rsidRPr="00CC2F2D">
        <w:rPr>
          <w:sz w:val="16"/>
          <w:szCs w:val="16"/>
        </w:rPr>
        <w:t>utilization</w:t>
      </w:r>
      <w:r w:rsidR="00C52281" w:rsidRPr="00CC2F2D">
        <w:rPr>
          <w:sz w:val="16"/>
          <w:szCs w:val="16"/>
        </w:rPr>
        <w:t xml:space="preserve"> </w:t>
      </w:r>
      <w:r w:rsidR="00B37D52" w:rsidRPr="00CC2F2D">
        <w:rPr>
          <w:sz w:val="16"/>
          <w:szCs w:val="16"/>
        </w:rPr>
        <w:t>data for all such patients is available to the Applicant as part of its existing collaboration, portions of that data are proprietary to</w:t>
      </w:r>
      <w:r w:rsidR="00C52281" w:rsidRPr="00CC2F2D">
        <w:rPr>
          <w:sz w:val="16"/>
          <w:szCs w:val="16"/>
        </w:rPr>
        <w:t xml:space="preserve"> BWH,</w:t>
      </w:r>
      <w:r w:rsidR="00B37D52" w:rsidRPr="00CC2F2D">
        <w:rPr>
          <w:sz w:val="16"/>
          <w:szCs w:val="16"/>
        </w:rPr>
        <w:t xml:space="preserve"> and the</w:t>
      </w:r>
      <w:r w:rsidR="00C52281" w:rsidRPr="00CC2F2D">
        <w:rPr>
          <w:sz w:val="16"/>
          <w:szCs w:val="16"/>
        </w:rPr>
        <w:t xml:space="preserve"> </w:t>
      </w:r>
      <w:r w:rsidR="00B37D52" w:rsidRPr="00CC2F2D">
        <w:rPr>
          <w:sz w:val="16"/>
          <w:szCs w:val="16"/>
        </w:rPr>
        <w:t xml:space="preserve">Applicant is restricted from </w:t>
      </w:r>
      <w:r w:rsidR="007734DC" w:rsidRPr="00CC2F2D">
        <w:rPr>
          <w:sz w:val="16"/>
          <w:szCs w:val="16"/>
        </w:rPr>
        <w:t>disclosing</w:t>
      </w:r>
      <w:r w:rsidR="00B37D52" w:rsidRPr="00CC2F2D">
        <w:rPr>
          <w:sz w:val="16"/>
          <w:szCs w:val="16"/>
        </w:rPr>
        <w:t xml:space="preserve"> it in this Application due to confidentiality restrictions.</w:t>
      </w:r>
    </w:p>
  </w:footnote>
  <w:footnote w:id="38">
    <w:p w14:paraId="1EED3D96" w14:textId="2DC8C2C2" w:rsidR="00A70D12" w:rsidRPr="00CC2F2D" w:rsidRDefault="00A70D12" w:rsidP="005E1CB3">
      <w:pPr>
        <w:pStyle w:val="FootnoteText"/>
        <w:rPr>
          <w:sz w:val="16"/>
          <w:szCs w:val="16"/>
        </w:rPr>
      </w:pPr>
      <w:r w:rsidRPr="00CC2F2D">
        <w:rPr>
          <w:rStyle w:val="FootnoteReference"/>
          <w:sz w:val="16"/>
          <w:szCs w:val="16"/>
        </w:rPr>
        <w:footnoteRef/>
      </w:r>
      <w:r w:rsidRPr="00CC2F2D">
        <w:rPr>
          <w:sz w:val="16"/>
          <w:szCs w:val="16"/>
        </w:rPr>
        <w:t xml:space="preserve"> </w:t>
      </w:r>
      <w:r w:rsidR="00C00808" w:rsidRPr="00CC2F2D">
        <w:rPr>
          <w:sz w:val="16"/>
          <w:szCs w:val="16"/>
        </w:rPr>
        <w:t xml:space="preserve">The data provided in </w:t>
      </w:r>
      <w:r w:rsidR="009B6EF3">
        <w:rPr>
          <w:sz w:val="16"/>
          <w:szCs w:val="16"/>
        </w:rPr>
        <w:t>this table</w:t>
      </w:r>
      <w:r w:rsidR="00C00808" w:rsidRPr="00CC2F2D">
        <w:rPr>
          <w:sz w:val="16"/>
          <w:szCs w:val="16"/>
        </w:rPr>
        <w:t xml:space="preserve"> was gathered using a methodology that looks at the volume of outpatient encounters each patient had by disease center, within each FY, and attributes the disease center where</w:t>
      </w:r>
      <w:r w:rsidR="006404DB" w:rsidRPr="00CC2F2D">
        <w:rPr>
          <w:sz w:val="16"/>
          <w:szCs w:val="16"/>
        </w:rPr>
        <w:t xml:space="preserve"> the</w:t>
      </w:r>
      <w:r w:rsidR="00C00808" w:rsidRPr="00CC2F2D">
        <w:rPr>
          <w:sz w:val="16"/>
          <w:szCs w:val="16"/>
        </w:rPr>
        <w:t xml:space="preserve"> </w:t>
      </w:r>
      <w:r w:rsidR="00576C49" w:rsidRPr="00CC2F2D">
        <w:rPr>
          <w:sz w:val="16"/>
          <w:szCs w:val="16"/>
        </w:rPr>
        <w:t>patient</w:t>
      </w:r>
      <w:r w:rsidR="00C00808" w:rsidRPr="00CC2F2D">
        <w:rPr>
          <w:sz w:val="16"/>
          <w:szCs w:val="16"/>
        </w:rPr>
        <w:t xml:space="preserve"> </w:t>
      </w:r>
      <w:r w:rsidR="00576C49" w:rsidRPr="00CC2F2D">
        <w:rPr>
          <w:sz w:val="16"/>
          <w:szCs w:val="16"/>
        </w:rPr>
        <w:t>was</w:t>
      </w:r>
      <w:r w:rsidR="00C00808" w:rsidRPr="00CC2F2D">
        <w:rPr>
          <w:sz w:val="16"/>
          <w:szCs w:val="16"/>
        </w:rPr>
        <w:t xml:space="preserve"> seen most frequently for that year.</w:t>
      </w:r>
      <w:r w:rsidR="005E1CB3" w:rsidRPr="00CC2F2D">
        <w:rPr>
          <w:sz w:val="16"/>
          <w:szCs w:val="16"/>
        </w:rPr>
        <w:t xml:space="preserve"> As the Proposed Project relates only to adult oncology care, and not to pediatric oncology care, data presented includes only adult patients.</w:t>
      </w:r>
      <w:r w:rsidR="00C52281" w:rsidRPr="00CC2F2D">
        <w:rPr>
          <w:sz w:val="16"/>
          <w:szCs w:val="16"/>
        </w:rPr>
        <w:t xml:space="preserve"> </w:t>
      </w:r>
    </w:p>
  </w:footnote>
  <w:footnote w:id="39">
    <w:p w14:paraId="44331038" w14:textId="3A86F012" w:rsidR="002A4042" w:rsidRPr="002121B4" w:rsidRDefault="002A4042" w:rsidP="002A4042">
      <w:pPr>
        <w:pStyle w:val="FootnoteText"/>
        <w:rPr>
          <w:sz w:val="16"/>
          <w:szCs w:val="16"/>
        </w:rPr>
      </w:pPr>
      <w:r w:rsidRPr="002121B4">
        <w:rPr>
          <w:rStyle w:val="FootnoteReference"/>
          <w:sz w:val="16"/>
          <w:szCs w:val="16"/>
        </w:rPr>
        <w:footnoteRef/>
      </w:r>
      <w:r w:rsidRPr="002121B4">
        <w:rPr>
          <w:sz w:val="16"/>
          <w:szCs w:val="16"/>
        </w:rPr>
        <w:t xml:space="preserve"> Due to limitations on the Applicant’s ability to </w:t>
      </w:r>
      <w:r>
        <w:rPr>
          <w:sz w:val="16"/>
          <w:szCs w:val="16"/>
        </w:rPr>
        <w:t>disclose</w:t>
      </w:r>
      <w:r w:rsidRPr="002121B4">
        <w:rPr>
          <w:sz w:val="16"/>
          <w:szCs w:val="16"/>
        </w:rPr>
        <w:t xml:space="preserve"> BWH data, patients with only an inpatient stay (</w:t>
      </w:r>
      <w:r w:rsidRPr="002121B4">
        <w:rPr>
          <w:i/>
          <w:iCs/>
          <w:sz w:val="16"/>
          <w:szCs w:val="16"/>
        </w:rPr>
        <w:t>i.e.</w:t>
      </w:r>
      <w:r w:rsidRPr="002121B4">
        <w:rPr>
          <w:sz w:val="16"/>
          <w:szCs w:val="16"/>
        </w:rPr>
        <w:t xml:space="preserve">, no additional outpatient treatment provided) are included in the total patient count, but excluded from particular disease centers. Additionally, certain other patients </w:t>
      </w:r>
      <w:r w:rsidR="00D17569">
        <w:rPr>
          <w:sz w:val="16"/>
          <w:szCs w:val="16"/>
        </w:rPr>
        <w:t xml:space="preserve">included in the total but not specific disease centers </w:t>
      </w:r>
      <w:r w:rsidRPr="002121B4">
        <w:rPr>
          <w:sz w:val="16"/>
          <w:szCs w:val="16"/>
        </w:rPr>
        <w:t>are</w:t>
      </w:r>
      <w:r w:rsidR="00D17569">
        <w:rPr>
          <w:sz w:val="16"/>
          <w:szCs w:val="16"/>
        </w:rPr>
        <w:t xml:space="preserve"> either (1)</w:t>
      </w:r>
      <w:r w:rsidRPr="002121B4">
        <w:rPr>
          <w:sz w:val="16"/>
          <w:szCs w:val="16"/>
        </w:rPr>
        <w:t xml:space="preserve"> </w:t>
      </w:r>
      <w:r>
        <w:rPr>
          <w:sz w:val="16"/>
          <w:szCs w:val="16"/>
        </w:rPr>
        <w:t>not assigned to a specific disease center</w:t>
      </w:r>
      <w:r w:rsidR="00D17569">
        <w:rPr>
          <w:sz w:val="16"/>
          <w:szCs w:val="16"/>
        </w:rPr>
        <w:t xml:space="preserve"> or (2) assigned to a disease center with less than 11 unique patients</w:t>
      </w:r>
      <w:r>
        <w:rPr>
          <w:sz w:val="16"/>
          <w:szCs w:val="16"/>
        </w:rPr>
        <w:t>.</w:t>
      </w:r>
      <w:r w:rsidRPr="002121B4">
        <w:rPr>
          <w:sz w:val="16"/>
          <w:szCs w:val="16"/>
        </w:rPr>
        <w:t xml:space="preserve"> </w:t>
      </w:r>
      <w:r>
        <w:rPr>
          <w:sz w:val="16"/>
          <w:szCs w:val="16"/>
        </w:rPr>
        <w:t xml:space="preserve">Total may not sum to disease center counts. </w:t>
      </w:r>
    </w:p>
  </w:footnote>
  <w:footnote w:id="40">
    <w:p w14:paraId="45148534" w14:textId="1F51EC4D" w:rsidR="00B675C7" w:rsidRPr="00CC2F2D" w:rsidRDefault="00B675C7">
      <w:pPr>
        <w:pStyle w:val="FootnoteText"/>
        <w:rPr>
          <w:sz w:val="16"/>
          <w:szCs w:val="16"/>
        </w:rPr>
      </w:pPr>
      <w:r w:rsidRPr="00CC2F2D">
        <w:rPr>
          <w:rStyle w:val="FootnoteReference"/>
          <w:sz w:val="16"/>
          <w:szCs w:val="16"/>
        </w:rPr>
        <w:footnoteRef/>
      </w:r>
      <w:r w:rsidRPr="00CC2F2D">
        <w:rPr>
          <w:sz w:val="16"/>
          <w:szCs w:val="16"/>
        </w:rPr>
        <w:t xml:space="preserve"> “Hematologic Malignancies” is comprised of the following subgroups: Transplant Program, Leukemia, Lymphoma, Multiple Myeloma and Waldenstrom, Ungrouped Hematologic Malignancies. </w:t>
      </w:r>
    </w:p>
  </w:footnote>
  <w:footnote w:id="41">
    <w:p w14:paraId="6BE23B80" w14:textId="6C4BFEB3" w:rsidR="002D2D4F" w:rsidRPr="002121B4" w:rsidRDefault="002D2D4F" w:rsidP="002D2D4F">
      <w:pPr>
        <w:pStyle w:val="FootnoteText"/>
        <w:rPr>
          <w:sz w:val="16"/>
          <w:szCs w:val="16"/>
        </w:rPr>
      </w:pPr>
      <w:r w:rsidRPr="00CC2F2D">
        <w:rPr>
          <w:rStyle w:val="FootnoteReference"/>
          <w:sz w:val="16"/>
          <w:szCs w:val="16"/>
        </w:rPr>
        <w:footnoteRef/>
      </w:r>
      <w:r w:rsidRPr="00CC2F2D">
        <w:rPr>
          <w:sz w:val="16"/>
          <w:szCs w:val="16"/>
        </w:rPr>
        <w:t xml:space="preserve"> The data provided in </w:t>
      </w:r>
      <w:r w:rsidR="009B6EF3">
        <w:rPr>
          <w:sz w:val="16"/>
          <w:szCs w:val="16"/>
        </w:rPr>
        <w:t>this table</w:t>
      </w:r>
      <w:r w:rsidRPr="00CC2F2D">
        <w:rPr>
          <w:sz w:val="16"/>
          <w:szCs w:val="16"/>
        </w:rPr>
        <w:t xml:space="preserve"> </w:t>
      </w:r>
      <w:r w:rsidR="009B6EF3">
        <w:rPr>
          <w:sz w:val="16"/>
          <w:szCs w:val="16"/>
        </w:rPr>
        <w:t>were</w:t>
      </w:r>
      <w:r w:rsidRPr="00CC2F2D">
        <w:rPr>
          <w:sz w:val="16"/>
          <w:szCs w:val="16"/>
        </w:rPr>
        <w:t xml:space="preserve"> gathered using a methodology that looks at the volume of outpatient encounters each patient had by disease center, within each FY, and attributes the disease center where patient was seen most frequently to them for that year. As the Proposed Project relates only to adult oncology care, and not to pediatric oncology care, data presented includes only adult patients. </w:t>
      </w:r>
    </w:p>
  </w:footnote>
  <w:footnote w:id="42">
    <w:p w14:paraId="0BC2DB43" w14:textId="42306699" w:rsidR="002A4042" w:rsidRDefault="002A4042" w:rsidP="002A4042">
      <w:pPr>
        <w:pStyle w:val="FootnoteText"/>
      </w:pPr>
      <w:r w:rsidRPr="002121B4">
        <w:rPr>
          <w:rStyle w:val="FootnoteReference"/>
          <w:sz w:val="16"/>
          <w:szCs w:val="16"/>
        </w:rPr>
        <w:footnoteRef/>
      </w:r>
      <w:r w:rsidRPr="002121B4">
        <w:rPr>
          <w:sz w:val="16"/>
          <w:szCs w:val="16"/>
        </w:rPr>
        <w:t xml:space="preserve"> </w:t>
      </w:r>
      <w:r>
        <w:rPr>
          <w:sz w:val="16"/>
          <w:szCs w:val="16"/>
        </w:rPr>
        <w:t xml:space="preserve">Total may not sum to disease center counts because not all patients are assigned a specific disease center. </w:t>
      </w:r>
    </w:p>
  </w:footnote>
  <w:footnote w:id="43">
    <w:p w14:paraId="7B103035" w14:textId="1B7450F4" w:rsidR="00430E88" w:rsidRPr="00CC2F2D" w:rsidRDefault="00430E88">
      <w:pPr>
        <w:pStyle w:val="FootnoteText"/>
        <w:rPr>
          <w:sz w:val="16"/>
          <w:szCs w:val="16"/>
        </w:rPr>
      </w:pPr>
      <w:r w:rsidRPr="00CC2F2D">
        <w:rPr>
          <w:rStyle w:val="FootnoteReference"/>
          <w:sz w:val="16"/>
          <w:szCs w:val="16"/>
        </w:rPr>
        <w:footnoteRef/>
      </w:r>
      <w:r w:rsidRPr="00CC2F2D">
        <w:rPr>
          <w:sz w:val="16"/>
          <w:szCs w:val="16"/>
        </w:rPr>
        <w:t xml:space="preserve"> “Hematologic Malignancies” is comprised of the following subgroups: Transplant Program, Leukemia, Lymphoma, Multiple Myeloma and Waldenstrom, Ungrouped Hematologic Malignancies.</w:t>
      </w:r>
    </w:p>
  </w:footnote>
  <w:footnote w:id="44">
    <w:p w14:paraId="2C3FC028" w14:textId="386A9CFB" w:rsidR="00B5424A" w:rsidRPr="00CC2F2D" w:rsidRDefault="00B5424A" w:rsidP="00B5424A">
      <w:pPr>
        <w:pStyle w:val="FootnoteText"/>
        <w:rPr>
          <w:sz w:val="16"/>
          <w:szCs w:val="16"/>
        </w:rPr>
      </w:pPr>
      <w:r w:rsidRPr="00CC2F2D">
        <w:rPr>
          <w:rStyle w:val="FootnoteReference"/>
          <w:sz w:val="16"/>
          <w:szCs w:val="16"/>
        </w:rPr>
        <w:footnoteRef/>
      </w:r>
      <w:r w:rsidRPr="00CC2F2D">
        <w:rPr>
          <w:sz w:val="16"/>
          <w:szCs w:val="16"/>
        </w:rPr>
        <w:t xml:space="preserve"> Includes imaging equipment utilization for inpatient patients under the care of the Applicant</w:t>
      </w:r>
      <w:r w:rsidR="002340EA" w:rsidRPr="00CC2F2D">
        <w:rPr>
          <w:sz w:val="16"/>
          <w:szCs w:val="16"/>
        </w:rPr>
        <w:t>’</w:t>
      </w:r>
      <w:r w:rsidRPr="00CC2F2D">
        <w:rPr>
          <w:sz w:val="16"/>
          <w:szCs w:val="16"/>
        </w:rPr>
        <w:t xml:space="preserve">s oncologists </w:t>
      </w:r>
      <w:r w:rsidR="00615B6F" w:rsidRPr="00CC2F2D">
        <w:rPr>
          <w:sz w:val="16"/>
          <w:szCs w:val="16"/>
        </w:rPr>
        <w:t>in the Applicant</w:t>
      </w:r>
      <w:r w:rsidR="002340EA" w:rsidRPr="00CC2F2D">
        <w:rPr>
          <w:sz w:val="16"/>
          <w:szCs w:val="16"/>
        </w:rPr>
        <w:t>’</w:t>
      </w:r>
      <w:r w:rsidR="00615B6F" w:rsidRPr="00CC2F2D">
        <w:rPr>
          <w:sz w:val="16"/>
          <w:szCs w:val="16"/>
        </w:rPr>
        <w:t xml:space="preserve">s licensed beds </w:t>
      </w:r>
      <w:r w:rsidRPr="00CC2F2D">
        <w:rPr>
          <w:sz w:val="16"/>
          <w:szCs w:val="16"/>
        </w:rPr>
        <w:t>(derived in part using imaging order data due to contractual confidentiality restrictions).</w:t>
      </w:r>
    </w:p>
  </w:footnote>
  <w:footnote w:id="45">
    <w:p w14:paraId="0BBFBC96" w14:textId="6950CFE8" w:rsidR="00A70D12" w:rsidRPr="00CC2F2D" w:rsidRDefault="00A70D12" w:rsidP="001D7C1D">
      <w:pPr>
        <w:pStyle w:val="FootnoteText"/>
        <w:rPr>
          <w:sz w:val="16"/>
          <w:szCs w:val="16"/>
        </w:rPr>
      </w:pPr>
      <w:r w:rsidRPr="00CC2F2D">
        <w:rPr>
          <w:rStyle w:val="FootnoteReference"/>
          <w:sz w:val="16"/>
          <w:szCs w:val="16"/>
        </w:rPr>
        <w:footnoteRef/>
      </w:r>
      <w:r w:rsidRPr="00CC2F2D">
        <w:rPr>
          <w:sz w:val="16"/>
          <w:szCs w:val="16"/>
        </w:rPr>
        <w:t xml:space="preserve"> </w:t>
      </w:r>
      <w:r w:rsidR="005C32EF" w:rsidRPr="00CC2F2D">
        <w:rPr>
          <w:sz w:val="16"/>
          <w:szCs w:val="16"/>
        </w:rPr>
        <w:t xml:space="preserve">Patient counts in </w:t>
      </w:r>
      <w:r w:rsidR="009B6EF3">
        <w:rPr>
          <w:sz w:val="16"/>
          <w:szCs w:val="16"/>
        </w:rPr>
        <w:t xml:space="preserve">table </w:t>
      </w:r>
      <w:r w:rsidR="005C32EF" w:rsidRPr="00CC2F2D">
        <w:rPr>
          <w:sz w:val="16"/>
          <w:szCs w:val="16"/>
        </w:rPr>
        <w:t>are attributed to the disease center where patients had the most outpatient encounters during the fiscal year. Estimates may not sum to 100%. Radiation oncology utilization for inpatients under the care of the Applicant</w:t>
      </w:r>
      <w:r w:rsidR="002340EA" w:rsidRPr="00CC2F2D">
        <w:rPr>
          <w:sz w:val="16"/>
          <w:szCs w:val="16"/>
        </w:rPr>
        <w:t>’</w:t>
      </w:r>
      <w:r w:rsidR="005C32EF" w:rsidRPr="00CC2F2D">
        <w:rPr>
          <w:sz w:val="16"/>
          <w:szCs w:val="16"/>
        </w:rPr>
        <w:t>s oncologists is derived from the number of unique patients scheduled for a radiation oncology treatment in the Applicant</w:t>
      </w:r>
      <w:r w:rsidR="002340EA" w:rsidRPr="00CC2F2D">
        <w:rPr>
          <w:sz w:val="16"/>
          <w:szCs w:val="16"/>
        </w:rPr>
        <w:t>’</w:t>
      </w:r>
      <w:r w:rsidR="005C32EF" w:rsidRPr="00CC2F2D">
        <w:rPr>
          <w:sz w:val="16"/>
          <w:szCs w:val="16"/>
        </w:rPr>
        <w:t>s Radiation Oncology department via the Applicant</w:t>
      </w:r>
      <w:r w:rsidR="002340EA" w:rsidRPr="00CC2F2D">
        <w:rPr>
          <w:sz w:val="16"/>
          <w:szCs w:val="16"/>
        </w:rPr>
        <w:t>’</w:t>
      </w:r>
      <w:r w:rsidR="005C32EF" w:rsidRPr="00CC2F2D">
        <w:rPr>
          <w:sz w:val="16"/>
          <w:szCs w:val="16"/>
        </w:rPr>
        <w:t>s electronic health record system.</w:t>
      </w:r>
    </w:p>
  </w:footnote>
  <w:footnote w:id="46">
    <w:p w14:paraId="0AB172F1" w14:textId="6F58D3EE" w:rsidR="002A4042" w:rsidRPr="00DC6D58" w:rsidRDefault="002A4042" w:rsidP="002A4042">
      <w:pPr>
        <w:pStyle w:val="FootnoteText"/>
        <w:rPr>
          <w:sz w:val="16"/>
          <w:szCs w:val="16"/>
        </w:rPr>
      </w:pPr>
      <w:r w:rsidRPr="00DC6D58">
        <w:rPr>
          <w:rStyle w:val="FootnoteReference"/>
          <w:sz w:val="16"/>
          <w:szCs w:val="16"/>
        </w:rPr>
        <w:footnoteRef/>
      </w:r>
      <w:r w:rsidRPr="00DC6D58">
        <w:rPr>
          <w:sz w:val="16"/>
          <w:szCs w:val="16"/>
        </w:rPr>
        <w:t xml:space="preserve"> </w:t>
      </w:r>
      <w:r>
        <w:rPr>
          <w:sz w:val="16"/>
          <w:szCs w:val="16"/>
        </w:rPr>
        <w:t xml:space="preserve">Total may not sum to disease center counts because not all patients are assigned a specific disease center. </w:t>
      </w:r>
    </w:p>
  </w:footnote>
  <w:footnote w:id="47">
    <w:p w14:paraId="71E3A852" w14:textId="674730B5" w:rsidR="00DC6D58" w:rsidRPr="00CC2F2D" w:rsidRDefault="00DC6D58">
      <w:pPr>
        <w:pStyle w:val="FootnoteText"/>
        <w:rPr>
          <w:sz w:val="16"/>
          <w:szCs w:val="16"/>
        </w:rPr>
      </w:pPr>
      <w:r w:rsidRPr="00CC2F2D">
        <w:rPr>
          <w:rStyle w:val="FootnoteReference"/>
          <w:sz w:val="16"/>
          <w:szCs w:val="16"/>
        </w:rPr>
        <w:footnoteRef/>
      </w:r>
      <w:r w:rsidRPr="00CC2F2D">
        <w:rPr>
          <w:sz w:val="16"/>
          <w:szCs w:val="16"/>
        </w:rPr>
        <w:t xml:space="preserve"> “Hematologic Malignancies”</w:t>
      </w:r>
      <w:r>
        <w:rPr>
          <w:sz w:val="16"/>
          <w:szCs w:val="16"/>
        </w:rPr>
        <w:t xml:space="preserve"> is </w:t>
      </w:r>
      <w:r w:rsidRPr="00CC2F2D">
        <w:rPr>
          <w:sz w:val="16"/>
          <w:szCs w:val="16"/>
        </w:rPr>
        <w:t>comprised of the following subgroups: Transplant Program, Leukemia, Lymphoma, Multiple Myeloma and Waldenstrom, Ungrouped Hematologic Malignancies.</w:t>
      </w:r>
    </w:p>
  </w:footnote>
  <w:footnote w:id="48">
    <w:p w14:paraId="107285A4" w14:textId="1EF79F59" w:rsidR="00DC6D58" w:rsidRPr="00CC2F2D" w:rsidRDefault="00DC6D58">
      <w:pPr>
        <w:pStyle w:val="FootnoteText"/>
        <w:rPr>
          <w:sz w:val="16"/>
          <w:szCs w:val="16"/>
        </w:rPr>
      </w:pPr>
      <w:r w:rsidRPr="00CC2F2D">
        <w:rPr>
          <w:rStyle w:val="FootnoteReference"/>
          <w:sz w:val="16"/>
          <w:szCs w:val="16"/>
        </w:rPr>
        <w:footnoteRef/>
      </w:r>
      <w:r w:rsidRPr="00CC2F2D">
        <w:rPr>
          <w:sz w:val="16"/>
          <w:szCs w:val="16"/>
        </w:rPr>
        <w:t xml:space="preserve"> </w:t>
      </w:r>
      <w:r>
        <w:rPr>
          <w:sz w:val="16"/>
          <w:szCs w:val="16"/>
        </w:rPr>
        <w:t>C</w:t>
      </w:r>
      <w:r w:rsidRPr="00CC2F2D">
        <w:rPr>
          <w:sz w:val="16"/>
          <w:szCs w:val="16"/>
        </w:rPr>
        <w:t>omprised of Melanoma Center and Neuro-Oncology Center.</w:t>
      </w:r>
    </w:p>
  </w:footnote>
  <w:footnote w:id="49">
    <w:p w14:paraId="6F58362C" w14:textId="32A4E3D0" w:rsidR="00D451F4" w:rsidRPr="00CC2F2D" w:rsidRDefault="00D451F4">
      <w:pPr>
        <w:pStyle w:val="FootnoteText"/>
        <w:rPr>
          <w:sz w:val="16"/>
          <w:szCs w:val="16"/>
        </w:rPr>
      </w:pPr>
      <w:r w:rsidRPr="00CC2F2D">
        <w:rPr>
          <w:rStyle w:val="FootnoteReference"/>
          <w:sz w:val="16"/>
          <w:szCs w:val="16"/>
        </w:rPr>
        <w:footnoteRef/>
      </w:r>
      <w:r w:rsidRPr="00CC2F2D">
        <w:rPr>
          <w:sz w:val="16"/>
          <w:szCs w:val="16"/>
        </w:rPr>
        <w:t xml:space="preserve"> This table represents the data for the</w:t>
      </w:r>
      <w:r w:rsidR="006363FC" w:rsidRPr="00CC2F2D">
        <w:rPr>
          <w:sz w:val="16"/>
          <w:szCs w:val="16"/>
        </w:rPr>
        <w:t xml:space="preserve"> Longwood Medical Campus</w:t>
      </w:r>
      <w:r w:rsidR="007574A6">
        <w:rPr>
          <w:sz w:val="16"/>
          <w:szCs w:val="16"/>
        </w:rPr>
        <w:t>, inclusive of the Applicant’s Chestnut Hill location</w:t>
      </w:r>
      <w:r w:rsidR="00F91EFD">
        <w:rPr>
          <w:sz w:val="16"/>
          <w:szCs w:val="16"/>
        </w:rPr>
        <w:t>.</w:t>
      </w:r>
    </w:p>
  </w:footnote>
  <w:footnote w:id="50">
    <w:p w14:paraId="1133D0D4" w14:textId="71426D38" w:rsidR="00306963" w:rsidRPr="00CC2F2D" w:rsidRDefault="00306963">
      <w:pPr>
        <w:pStyle w:val="FootnoteText"/>
        <w:rPr>
          <w:sz w:val="16"/>
          <w:szCs w:val="16"/>
        </w:rPr>
      </w:pPr>
      <w:r w:rsidRPr="00CC2F2D">
        <w:rPr>
          <w:rStyle w:val="FootnoteReference"/>
          <w:sz w:val="16"/>
          <w:szCs w:val="16"/>
        </w:rPr>
        <w:footnoteRef/>
      </w:r>
      <w:r w:rsidRPr="00CC2F2D">
        <w:rPr>
          <w:sz w:val="16"/>
          <w:szCs w:val="16"/>
        </w:rPr>
        <w:t xml:space="preserve"> Mark Mather et al., </w:t>
      </w:r>
      <w:hyperlink r:id="rId35" w:history="1">
        <w:r w:rsidRPr="009F7EB1">
          <w:rPr>
            <w:rStyle w:val="Hyperlink"/>
            <w:i/>
            <w:color w:val="auto"/>
            <w:sz w:val="16"/>
            <w:szCs w:val="16"/>
            <w:u w:val="none"/>
          </w:rPr>
          <w:t>Aging in the United States</w:t>
        </w:r>
      </w:hyperlink>
      <w:r w:rsidRPr="009F7EB1">
        <w:rPr>
          <w:i/>
          <w:iCs/>
          <w:sz w:val="16"/>
          <w:szCs w:val="16"/>
        </w:rPr>
        <w:t>,</w:t>
      </w:r>
      <w:r w:rsidRPr="009F7EB1">
        <w:rPr>
          <w:sz w:val="16"/>
          <w:szCs w:val="16"/>
        </w:rPr>
        <w:t xml:space="preserve"> 70</w:t>
      </w:r>
      <w:r w:rsidRPr="009F7EB1">
        <w:rPr>
          <w:i/>
          <w:iCs/>
          <w:sz w:val="16"/>
          <w:szCs w:val="16"/>
        </w:rPr>
        <w:t xml:space="preserve"> </w:t>
      </w:r>
      <w:r w:rsidRPr="00CC2F2D">
        <w:rPr>
          <w:smallCaps/>
          <w:sz w:val="16"/>
          <w:szCs w:val="16"/>
        </w:rPr>
        <w:t xml:space="preserve">Population Bulletin, </w:t>
      </w:r>
      <w:r w:rsidRPr="00CC2F2D">
        <w:rPr>
          <w:sz w:val="16"/>
          <w:szCs w:val="16"/>
        </w:rPr>
        <w:t xml:space="preserve">no. 2, at 3 (2015), </w:t>
      </w:r>
      <w:hyperlink r:id="rId36" w:history="1">
        <w:r w:rsidR="009F7EB1" w:rsidRPr="0016662A">
          <w:rPr>
            <w:rStyle w:val="Hyperlink"/>
            <w:sz w:val="16"/>
            <w:szCs w:val="16"/>
          </w:rPr>
          <w:t>https://www.prb.org/resources/fact-sheet-aging-in-the-united-states/</w:t>
        </w:r>
      </w:hyperlink>
      <w:r w:rsidR="009F7EB1">
        <w:rPr>
          <w:sz w:val="16"/>
          <w:szCs w:val="16"/>
        </w:rPr>
        <w:t xml:space="preserve"> </w:t>
      </w:r>
      <w:r w:rsidRPr="00CC2F2D">
        <w:rPr>
          <w:sz w:val="16"/>
          <w:szCs w:val="16"/>
        </w:rPr>
        <w:t>.</w:t>
      </w:r>
    </w:p>
  </w:footnote>
  <w:footnote w:id="51">
    <w:p w14:paraId="19986318" w14:textId="7A7EFA2D" w:rsidR="00ED7197" w:rsidRPr="00CC2F2D" w:rsidRDefault="00ED7197">
      <w:pPr>
        <w:pStyle w:val="FootnoteText"/>
        <w:rPr>
          <w:sz w:val="16"/>
          <w:szCs w:val="16"/>
        </w:rPr>
      </w:pPr>
      <w:r w:rsidRPr="00CC2F2D">
        <w:rPr>
          <w:rStyle w:val="FootnoteReference"/>
          <w:sz w:val="16"/>
          <w:szCs w:val="16"/>
        </w:rPr>
        <w:footnoteRef/>
      </w:r>
      <w:r w:rsidRPr="00CC2F2D">
        <w:rPr>
          <w:sz w:val="16"/>
          <w:szCs w:val="16"/>
        </w:rPr>
        <w:t xml:space="preserve"> </w:t>
      </w:r>
      <w:r w:rsidR="00306963" w:rsidRPr="00CC2F2D">
        <w:rPr>
          <w:i/>
          <w:iCs/>
          <w:sz w:val="16"/>
          <w:szCs w:val="16"/>
        </w:rPr>
        <w:t>Id</w:t>
      </w:r>
      <w:r w:rsidR="00306963" w:rsidRPr="00CC2F2D">
        <w:rPr>
          <w:sz w:val="16"/>
          <w:szCs w:val="16"/>
        </w:rPr>
        <w:t xml:space="preserve">. </w:t>
      </w:r>
    </w:p>
  </w:footnote>
  <w:footnote w:id="52">
    <w:p w14:paraId="07778C1A" w14:textId="62844942" w:rsidR="00624799" w:rsidRPr="00CC2F2D" w:rsidRDefault="00624799">
      <w:pPr>
        <w:pStyle w:val="FootnoteText"/>
        <w:rPr>
          <w:smallCaps/>
          <w:sz w:val="16"/>
          <w:szCs w:val="16"/>
        </w:rPr>
      </w:pPr>
      <w:r w:rsidRPr="00CC2F2D">
        <w:rPr>
          <w:rStyle w:val="FootnoteReference"/>
          <w:sz w:val="16"/>
          <w:szCs w:val="16"/>
        </w:rPr>
        <w:footnoteRef/>
      </w:r>
      <w:r w:rsidRPr="00CC2F2D">
        <w:rPr>
          <w:sz w:val="16"/>
          <w:szCs w:val="16"/>
        </w:rPr>
        <w:t xml:space="preserve"> </w:t>
      </w:r>
      <w:proofErr w:type="spellStart"/>
      <w:r w:rsidRPr="00CC2F2D">
        <w:rPr>
          <w:smallCaps/>
          <w:sz w:val="16"/>
          <w:szCs w:val="16"/>
        </w:rPr>
        <w:t>Nat</w:t>
      </w:r>
      <w:r w:rsidR="002340EA" w:rsidRPr="00CC2F2D">
        <w:rPr>
          <w:smallCaps/>
          <w:sz w:val="16"/>
          <w:szCs w:val="16"/>
        </w:rPr>
        <w:t>’</w:t>
      </w:r>
      <w:r w:rsidRPr="00CC2F2D">
        <w:rPr>
          <w:smallCaps/>
          <w:sz w:val="16"/>
          <w:szCs w:val="16"/>
        </w:rPr>
        <w:t>l</w:t>
      </w:r>
      <w:proofErr w:type="spellEnd"/>
      <w:r w:rsidRPr="00CC2F2D">
        <w:rPr>
          <w:smallCaps/>
          <w:sz w:val="16"/>
          <w:szCs w:val="16"/>
        </w:rPr>
        <w:t xml:space="preserve"> Cancer Inst.</w:t>
      </w:r>
      <w:r w:rsidR="00AB2264" w:rsidRPr="00CC2F2D">
        <w:rPr>
          <w:sz w:val="16"/>
          <w:szCs w:val="16"/>
        </w:rPr>
        <w:t xml:space="preserve">, </w:t>
      </w:r>
      <w:r w:rsidR="00AB2264" w:rsidRPr="00CC2F2D">
        <w:rPr>
          <w:i/>
          <w:iCs/>
          <w:sz w:val="16"/>
          <w:szCs w:val="16"/>
        </w:rPr>
        <w:t>supra</w:t>
      </w:r>
      <w:r w:rsidR="00AB2264" w:rsidRPr="00CC2F2D">
        <w:rPr>
          <w:sz w:val="16"/>
          <w:szCs w:val="16"/>
        </w:rPr>
        <w:t xml:space="preserve"> note </w:t>
      </w:r>
      <w:r w:rsidR="000C5ACE" w:rsidRPr="00CC2F2D">
        <w:rPr>
          <w:sz w:val="16"/>
          <w:szCs w:val="16"/>
        </w:rPr>
        <w:t>9</w:t>
      </w:r>
      <w:r w:rsidR="00AE2B54" w:rsidRPr="00CC2F2D">
        <w:rPr>
          <w:sz w:val="16"/>
          <w:szCs w:val="16"/>
        </w:rPr>
        <w:t xml:space="preserve">. </w:t>
      </w:r>
    </w:p>
  </w:footnote>
  <w:footnote w:id="53">
    <w:p w14:paraId="68C08600" w14:textId="0ADBDCBC" w:rsidR="008C6338" w:rsidRPr="00CC2F2D" w:rsidRDefault="008C6338">
      <w:pPr>
        <w:pStyle w:val="FootnoteText"/>
        <w:rPr>
          <w:sz w:val="16"/>
          <w:szCs w:val="16"/>
        </w:rPr>
      </w:pPr>
      <w:r w:rsidRPr="00CC2F2D">
        <w:rPr>
          <w:rStyle w:val="FootnoteReference"/>
          <w:sz w:val="16"/>
          <w:szCs w:val="16"/>
        </w:rPr>
        <w:footnoteRef/>
      </w:r>
      <w:r w:rsidR="00AE260E" w:rsidRPr="00CC2F2D">
        <w:rPr>
          <w:sz w:val="16"/>
          <w:szCs w:val="16"/>
        </w:rPr>
        <w:t xml:space="preserve"> Hannah K. Weir et al., </w:t>
      </w:r>
      <w:hyperlink r:id="rId37" w:history="1">
        <w:r w:rsidR="00AE260E" w:rsidRPr="00746DE4">
          <w:rPr>
            <w:rStyle w:val="Hyperlink"/>
            <w:i/>
            <w:iCs/>
            <w:color w:val="auto"/>
            <w:sz w:val="16"/>
            <w:szCs w:val="16"/>
            <w:u w:val="none"/>
          </w:rPr>
          <w:t>Cancer Incidence Projections in the United States Between 2015 and 2050</w:t>
        </w:r>
        <w:r w:rsidR="00AE260E" w:rsidRPr="00746DE4">
          <w:rPr>
            <w:rStyle w:val="Hyperlink"/>
            <w:color w:val="auto"/>
            <w:sz w:val="16"/>
            <w:szCs w:val="16"/>
            <w:u w:val="none"/>
          </w:rPr>
          <w:t>,</w:t>
        </w:r>
      </w:hyperlink>
      <w:r w:rsidR="00AE260E" w:rsidRPr="00746DE4">
        <w:rPr>
          <w:sz w:val="16"/>
          <w:szCs w:val="16"/>
        </w:rPr>
        <w:t xml:space="preserve"> </w:t>
      </w:r>
      <w:r w:rsidR="001D5F8E" w:rsidRPr="00746DE4">
        <w:rPr>
          <w:sz w:val="16"/>
          <w:szCs w:val="16"/>
        </w:rPr>
        <w:t xml:space="preserve">18 </w:t>
      </w:r>
      <w:r w:rsidR="001D5F8E" w:rsidRPr="00CC2F2D">
        <w:rPr>
          <w:smallCaps/>
          <w:sz w:val="16"/>
          <w:szCs w:val="16"/>
        </w:rPr>
        <w:t>Preventing Chronic Disease</w:t>
      </w:r>
      <w:r w:rsidR="001D5F8E" w:rsidRPr="00CC2F2D">
        <w:rPr>
          <w:sz w:val="16"/>
          <w:szCs w:val="16"/>
        </w:rPr>
        <w:t xml:space="preserve"> (2021), </w:t>
      </w:r>
      <w:hyperlink r:id="rId38" w:history="1">
        <w:r w:rsidR="009F7EB1" w:rsidRPr="0016662A">
          <w:rPr>
            <w:rStyle w:val="Hyperlink"/>
            <w:sz w:val="16"/>
            <w:szCs w:val="16"/>
          </w:rPr>
          <w:t>https://www.cdc.gov/pcd/issues/2021/21_0006.htm</w:t>
        </w:r>
      </w:hyperlink>
      <w:r w:rsidR="009F7EB1">
        <w:rPr>
          <w:sz w:val="16"/>
          <w:szCs w:val="16"/>
        </w:rPr>
        <w:t xml:space="preserve"> </w:t>
      </w:r>
      <w:r w:rsidRPr="00CC2F2D">
        <w:rPr>
          <w:sz w:val="16"/>
          <w:szCs w:val="16"/>
        </w:rPr>
        <w:t>.</w:t>
      </w:r>
    </w:p>
  </w:footnote>
  <w:footnote w:id="54">
    <w:p w14:paraId="6BB3610F" w14:textId="4881451D" w:rsidR="00481EF4" w:rsidRPr="00CC2F2D" w:rsidRDefault="00481EF4">
      <w:pPr>
        <w:pStyle w:val="FootnoteText"/>
        <w:rPr>
          <w:sz w:val="16"/>
          <w:szCs w:val="16"/>
        </w:rPr>
      </w:pPr>
      <w:r w:rsidRPr="00CC2F2D">
        <w:rPr>
          <w:rStyle w:val="FootnoteReference"/>
          <w:sz w:val="16"/>
          <w:szCs w:val="16"/>
        </w:rPr>
        <w:footnoteRef/>
      </w:r>
      <w:r w:rsidRPr="00CC2F2D">
        <w:rPr>
          <w:sz w:val="16"/>
          <w:szCs w:val="16"/>
        </w:rPr>
        <w:t xml:space="preserve"> Annika </w:t>
      </w:r>
      <w:proofErr w:type="spellStart"/>
      <w:r w:rsidRPr="00CC2F2D">
        <w:rPr>
          <w:sz w:val="16"/>
          <w:szCs w:val="16"/>
        </w:rPr>
        <w:t>Neklason</w:t>
      </w:r>
      <w:proofErr w:type="spellEnd"/>
      <w:r w:rsidRPr="00CC2F2D">
        <w:rPr>
          <w:sz w:val="16"/>
          <w:szCs w:val="16"/>
        </w:rPr>
        <w:t xml:space="preserve">, </w:t>
      </w:r>
      <w:hyperlink r:id="rId39" w:history="1">
        <w:r w:rsidRPr="000F2759">
          <w:rPr>
            <w:rStyle w:val="Hyperlink"/>
            <w:i/>
            <w:iCs/>
            <w:color w:val="auto"/>
            <w:sz w:val="16"/>
            <w:szCs w:val="16"/>
            <w:u w:val="none"/>
          </w:rPr>
          <w:t>Cancer rates are climbing among young people</w:t>
        </w:r>
      </w:hyperlink>
      <w:r w:rsidRPr="000F2759">
        <w:rPr>
          <w:i/>
          <w:iCs/>
          <w:sz w:val="16"/>
          <w:szCs w:val="16"/>
        </w:rPr>
        <w:t xml:space="preserve">, </w:t>
      </w:r>
      <w:r w:rsidRPr="000F2759">
        <w:rPr>
          <w:smallCaps/>
          <w:sz w:val="16"/>
          <w:szCs w:val="16"/>
        </w:rPr>
        <w:t xml:space="preserve">The </w:t>
      </w:r>
      <w:r w:rsidRPr="00CC2F2D">
        <w:rPr>
          <w:smallCaps/>
          <w:sz w:val="16"/>
          <w:szCs w:val="16"/>
        </w:rPr>
        <w:t>Hill</w:t>
      </w:r>
      <w:r w:rsidRPr="00CC2F2D">
        <w:rPr>
          <w:sz w:val="16"/>
          <w:szCs w:val="16"/>
        </w:rPr>
        <w:t xml:space="preserve"> (June 15, 2023), </w:t>
      </w:r>
      <w:hyperlink r:id="rId40" w:history="1">
        <w:r w:rsidR="000F2759" w:rsidRPr="0016662A">
          <w:rPr>
            <w:rStyle w:val="Hyperlink"/>
            <w:sz w:val="16"/>
            <w:szCs w:val="16"/>
          </w:rPr>
          <w:t>https://thehill.com/policy/healthcare/4041032-cancer-rates-are-climbing-among-young-people-its-not-clear-why</w:t>
        </w:r>
      </w:hyperlink>
      <w:r w:rsidR="000F2759">
        <w:rPr>
          <w:sz w:val="16"/>
          <w:szCs w:val="16"/>
        </w:rPr>
        <w:t xml:space="preserve"> </w:t>
      </w:r>
      <w:r w:rsidRPr="00CC2F2D">
        <w:rPr>
          <w:sz w:val="16"/>
          <w:szCs w:val="16"/>
        </w:rPr>
        <w:t xml:space="preserve">. </w:t>
      </w:r>
    </w:p>
  </w:footnote>
  <w:footnote w:id="55">
    <w:p w14:paraId="4871DF78" w14:textId="051EB905" w:rsidR="00FB6BD7" w:rsidRPr="00CC2F2D" w:rsidRDefault="00FB6BD7">
      <w:pPr>
        <w:pStyle w:val="FootnoteText"/>
        <w:rPr>
          <w:sz w:val="16"/>
          <w:szCs w:val="16"/>
        </w:rPr>
      </w:pPr>
      <w:r w:rsidRPr="00CC2F2D">
        <w:rPr>
          <w:rStyle w:val="FootnoteReference"/>
          <w:sz w:val="16"/>
          <w:szCs w:val="16"/>
        </w:rPr>
        <w:footnoteRef/>
      </w:r>
      <w:r w:rsidRPr="00CC2F2D">
        <w:rPr>
          <w:smallCaps/>
          <w:sz w:val="16"/>
          <w:szCs w:val="16"/>
        </w:rPr>
        <w:t xml:space="preserve"> </w:t>
      </w:r>
      <w:r w:rsidR="00E14BB9" w:rsidRPr="00CC2F2D">
        <w:rPr>
          <w:smallCaps/>
          <w:sz w:val="16"/>
          <w:szCs w:val="16"/>
        </w:rPr>
        <w:t xml:space="preserve">Mohamed A. Kharfan-Dabaja, </w:t>
      </w:r>
      <w:hyperlink r:id="rId41" w:history="1">
        <w:r w:rsidR="00E14BB9" w:rsidRPr="003979A8">
          <w:rPr>
            <w:rStyle w:val="Hyperlink"/>
            <w:smallCaps/>
            <w:color w:val="auto"/>
            <w:sz w:val="16"/>
            <w:szCs w:val="16"/>
            <w:u w:val="none"/>
          </w:rPr>
          <w:t>The Inpatient Unit in a Cancer Center</w:t>
        </w:r>
        <w:r w:rsidR="00564D8D" w:rsidRPr="003979A8">
          <w:rPr>
            <w:rStyle w:val="Hyperlink"/>
            <w:smallCaps/>
            <w:color w:val="auto"/>
            <w:sz w:val="16"/>
            <w:szCs w:val="16"/>
            <w:u w:val="none"/>
          </w:rPr>
          <w:t>,</w:t>
        </w:r>
      </w:hyperlink>
      <w:r w:rsidR="00564D8D" w:rsidRPr="003979A8">
        <w:rPr>
          <w:smallCaps/>
          <w:sz w:val="16"/>
          <w:szCs w:val="16"/>
        </w:rPr>
        <w:t xml:space="preserve"> the Comprehensive </w:t>
      </w:r>
      <w:r w:rsidR="00564D8D" w:rsidRPr="00CC2F2D">
        <w:rPr>
          <w:smallCaps/>
          <w:sz w:val="16"/>
          <w:szCs w:val="16"/>
        </w:rPr>
        <w:t>Cancer Center</w:t>
      </w:r>
      <w:r w:rsidR="00E14BB9" w:rsidRPr="00CC2F2D">
        <w:rPr>
          <w:sz w:val="16"/>
          <w:szCs w:val="16"/>
        </w:rPr>
        <w:t xml:space="preserve"> </w:t>
      </w:r>
      <w:r w:rsidR="00926E3C" w:rsidRPr="00CC2F2D">
        <w:rPr>
          <w:sz w:val="16"/>
          <w:szCs w:val="16"/>
        </w:rPr>
        <w:t xml:space="preserve">16 </w:t>
      </w:r>
      <w:r w:rsidR="00E14BB9" w:rsidRPr="00CC2F2D">
        <w:rPr>
          <w:sz w:val="16"/>
          <w:szCs w:val="16"/>
        </w:rPr>
        <w:t>(</w:t>
      </w:r>
      <w:r w:rsidR="00564D8D" w:rsidRPr="00CC2F2D">
        <w:rPr>
          <w:sz w:val="16"/>
          <w:szCs w:val="16"/>
        </w:rPr>
        <w:t xml:space="preserve">Mahmoud </w:t>
      </w:r>
      <w:proofErr w:type="spellStart"/>
      <w:r w:rsidR="00564D8D" w:rsidRPr="00CC2F2D">
        <w:rPr>
          <w:sz w:val="16"/>
          <w:szCs w:val="16"/>
        </w:rPr>
        <w:t>Aljurf</w:t>
      </w:r>
      <w:proofErr w:type="spellEnd"/>
      <w:r w:rsidR="00564D8D" w:rsidRPr="00CC2F2D">
        <w:rPr>
          <w:sz w:val="16"/>
          <w:szCs w:val="16"/>
        </w:rPr>
        <w:t xml:space="preserve"> et al</w:t>
      </w:r>
      <w:r w:rsidR="00926E3C" w:rsidRPr="00CC2F2D">
        <w:rPr>
          <w:sz w:val="16"/>
          <w:szCs w:val="16"/>
        </w:rPr>
        <w:t xml:space="preserve">., 2021), </w:t>
      </w:r>
      <w:hyperlink r:id="rId42" w:history="1">
        <w:r w:rsidR="003979A8" w:rsidRPr="0016662A">
          <w:rPr>
            <w:rStyle w:val="Hyperlink"/>
            <w:sz w:val="16"/>
            <w:szCs w:val="16"/>
          </w:rPr>
          <w:t>https://link.springer.com/chapter/10.1007/978-3-030-82052-7_3</w:t>
        </w:r>
      </w:hyperlink>
      <w:r w:rsidR="003979A8">
        <w:rPr>
          <w:sz w:val="16"/>
          <w:szCs w:val="16"/>
        </w:rPr>
        <w:t xml:space="preserve"> </w:t>
      </w:r>
      <w:r w:rsidR="00926E3C" w:rsidRPr="00CC2F2D">
        <w:rPr>
          <w:sz w:val="16"/>
          <w:szCs w:val="16"/>
        </w:rPr>
        <w:t>.</w:t>
      </w:r>
    </w:p>
  </w:footnote>
  <w:footnote w:id="56">
    <w:p w14:paraId="3AB86C10" w14:textId="55E7B35A" w:rsidR="00FB6BD7" w:rsidRPr="00CC2F2D" w:rsidRDefault="00FB6BD7">
      <w:pPr>
        <w:pStyle w:val="FootnoteText"/>
        <w:rPr>
          <w:sz w:val="16"/>
          <w:szCs w:val="16"/>
        </w:rPr>
      </w:pPr>
      <w:r w:rsidRPr="00CC2F2D">
        <w:rPr>
          <w:rStyle w:val="FootnoteReference"/>
          <w:sz w:val="16"/>
          <w:szCs w:val="16"/>
        </w:rPr>
        <w:footnoteRef/>
      </w:r>
      <w:r w:rsidRPr="00CC2F2D">
        <w:rPr>
          <w:sz w:val="16"/>
          <w:szCs w:val="16"/>
        </w:rPr>
        <w:t xml:space="preserve"> </w:t>
      </w:r>
      <w:r w:rsidR="00926E3C" w:rsidRPr="00CC2F2D">
        <w:rPr>
          <w:i/>
          <w:iCs/>
          <w:sz w:val="16"/>
          <w:szCs w:val="16"/>
        </w:rPr>
        <w:t>Id</w:t>
      </w:r>
      <w:r w:rsidR="00926E3C" w:rsidRPr="00CC2F2D">
        <w:rPr>
          <w:sz w:val="16"/>
          <w:szCs w:val="16"/>
        </w:rPr>
        <w:t xml:space="preserve">. </w:t>
      </w:r>
    </w:p>
  </w:footnote>
  <w:footnote w:id="57">
    <w:p w14:paraId="691F14E1" w14:textId="20511421" w:rsidR="00D5723A" w:rsidRPr="00CC2F2D" w:rsidRDefault="00D5723A">
      <w:pPr>
        <w:pStyle w:val="FootnoteText"/>
        <w:rPr>
          <w:sz w:val="16"/>
          <w:szCs w:val="16"/>
        </w:rPr>
      </w:pPr>
      <w:r w:rsidRPr="00CC2F2D">
        <w:rPr>
          <w:rStyle w:val="FootnoteReference"/>
          <w:sz w:val="16"/>
          <w:szCs w:val="16"/>
        </w:rPr>
        <w:footnoteRef/>
      </w:r>
      <w:r w:rsidRPr="00CC2F2D">
        <w:rPr>
          <w:sz w:val="16"/>
          <w:szCs w:val="16"/>
        </w:rPr>
        <w:t xml:space="preserve"> </w:t>
      </w:r>
      <w:hyperlink r:id="rId43" w:history="1">
        <w:r w:rsidR="00926E3C" w:rsidRPr="000B5C3A">
          <w:rPr>
            <w:rStyle w:val="Hyperlink"/>
            <w:i/>
            <w:iCs/>
            <w:color w:val="auto"/>
            <w:sz w:val="16"/>
            <w:szCs w:val="16"/>
            <w:u w:val="none"/>
          </w:rPr>
          <w:t>Chemotherapy</w:t>
        </w:r>
      </w:hyperlink>
      <w:r w:rsidR="00926E3C" w:rsidRPr="000B5C3A">
        <w:rPr>
          <w:i/>
          <w:iCs/>
          <w:sz w:val="16"/>
          <w:szCs w:val="16"/>
        </w:rPr>
        <w:t>,</w:t>
      </w:r>
      <w:r w:rsidR="00926E3C" w:rsidRPr="000B5C3A">
        <w:rPr>
          <w:sz w:val="16"/>
          <w:szCs w:val="16"/>
        </w:rPr>
        <w:t xml:space="preserve"> </w:t>
      </w:r>
      <w:r w:rsidR="00926E3C" w:rsidRPr="000B5C3A">
        <w:rPr>
          <w:smallCaps/>
          <w:sz w:val="16"/>
          <w:szCs w:val="16"/>
        </w:rPr>
        <w:t xml:space="preserve">Leukemia </w:t>
      </w:r>
      <w:r w:rsidR="00926E3C" w:rsidRPr="00CC2F2D">
        <w:rPr>
          <w:smallCaps/>
          <w:sz w:val="16"/>
          <w:szCs w:val="16"/>
        </w:rPr>
        <w:t>&amp; Lymphoma Soc</w:t>
      </w:r>
      <w:r w:rsidR="002340EA" w:rsidRPr="00CC2F2D">
        <w:rPr>
          <w:smallCaps/>
          <w:sz w:val="16"/>
          <w:szCs w:val="16"/>
        </w:rPr>
        <w:t>’</w:t>
      </w:r>
      <w:r w:rsidR="00926E3C" w:rsidRPr="00CC2F2D">
        <w:rPr>
          <w:smallCaps/>
          <w:sz w:val="16"/>
          <w:szCs w:val="16"/>
        </w:rPr>
        <w:t>y (</w:t>
      </w:r>
      <w:r w:rsidR="00042503" w:rsidRPr="00CC2F2D">
        <w:rPr>
          <w:sz w:val="16"/>
          <w:szCs w:val="16"/>
        </w:rPr>
        <w:t>last visited Oct. 1, 2023</w:t>
      </w:r>
      <w:r w:rsidR="0012421C" w:rsidRPr="00CC2F2D">
        <w:rPr>
          <w:sz w:val="16"/>
          <w:szCs w:val="16"/>
        </w:rPr>
        <w:t xml:space="preserve">), </w:t>
      </w:r>
      <w:hyperlink r:id="rId44" w:history="1">
        <w:r w:rsidR="000B5C3A" w:rsidRPr="0016662A">
          <w:rPr>
            <w:rStyle w:val="Hyperlink"/>
            <w:sz w:val="16"/>
            <w:szCs w:val="16"/>
          </w:rPr>
          <w:t>https://www.lls.org/leukemia/acute-lymphoblastic-leukemia/treatment/chemotherapy</w:t>
        </w:r>
      </w:hyperlink>
      <w:r w:rsidR="000B5C3A">
        <w:rPr>
          <w:sz w:val="16"/>
          <w:szCs w:val="16"/>
        </w:rPr>
        <w:t xml:space="preserve"> </w:t>
      </w:r>
      <w:r w:rsidR="007C22BA" w:rsidRPr="00CC2F2D">
        <w:rPr>
          <w:sz w:val="16"/>
          <w:szCs w:val="16"/>
        </w:rPr>
        <w:t>.</w:t>
      </w:r>
    </w:p>
  </w:footnote>
  <w:footnote w:id="58">
    <w:p w14:paraId="0055F936" w14:textId="47017CF8" w:rsidR="00D5723A" w:rsidRPr="00CC2F2D" w:rsidRDefault="00D5723A">
      <w:pPr>
        <w:pStyle w:val="FootnoteText"/>
        <w:rPr>
          <w:sz w:val="16"/>
          <w:szCs w:val="16"/>
        </w:rPr>
      </w:pPr>
      <w:r w:rsidRPr="00CC2F2D">
        <w:rPr>
          <w:rStyle w:val="FootnoteReference"/>
          <w:sz w:val="16"/>
          <w:szCs w:val="16"/>
        </w:rPr>
        <w:footnoteRef/>
      </w:r>
      <w:r w:rsidRPr="00CC2F2D">
        <w:rPr>
          <w:sz w:val="16"/>
          <w:szCs w:val="16"/>
        </w:rPr>
        <w:t xml:space="preserve"> </w:t>
      </w:r>
      <w:r w:rsidR="0012421C" w:rsidRPr="00CC2F2D">
        <w:rPr>
          <w:i/>
          <w:iCs/>
          <w:sz w:val="16"/>
          <w:szCs w:val="16"/>
        </w:rPr>
        <w:t>Id</w:t>
      </w:r>
      <w:r w:rsidR="0012421C" w:rsidRPr="00CC2F2D">
        <w:rPr>
          <w:sz w:val="16"/>
          <w:szCs w:val="16"/>
        </w:rPr>
        <w:t xml:space="preserve">. </w:t>
      </w:r>
    </w:p>
  </w:footnote>
  <w:footnote w:id="59">
    <w:p w14:paraId="6CC3CA3B" w14:textId="7BA4E2B3" w:rsidR="008D1AAA" w:rsidRPr="00CC2F2D" w:rsidRDefault="008D1AAA">
      <w:pPr>
        <w:pStyle w:val="FootnoteText"/>
        <w:rPr>
          <w:sz w:val="16"/>
          <w:szCs w:val="16"/>
        </w:rPr>
      </w:pPr>
      <w:r w:rsidRPr="00CC2F2D">
        <w:rPr>
          <w:rStyle w:val="FootnoteReference"/>
          <w:sz w:val="16"/>
          <w:szCs w:val="16"/>
        </w:rPr>
        <w:footnoteRef/>
      </w:r>
      <w:r w:rsidRPr="00CC2F2D">
        <w:rPr>
          <w:sz w:val="16"/>
          <w:szCs w:val="16"/>
        </w:rPr>
        <w:t xml:space="preserve"> </w:t>
      </w:r>
      <w:hyperlink r:id="rId45" w:history="1">
        <w:r w:rsidR="0012421C" w:rsidRPr="000B5C3A">
          <w:rPr>
            <w:rStyle w:val="Hyperlink"/>
            <w:i/>
            <w:iCs/>
            <w:color w:val="auto"/>
            <w:sz w:val="16"/>
            <w:szCs w:val="16"/>
            <w:u w:val="none"/>
          </w:rPr>
          <w:t>C</w:t>
        </w:r>
        <w:r w:rsidR="00CC214E" w:rsidRPr="000B5C3A">
          <w:rPr>
            <w:rStyle w:val="Hyperlink"/>
            <w:i/>
            <w:iCs/>
            <w:color w:val="auto"/>
            <w:sz w:val="16"/>
            <w:szCs w:val="16"/>
            <w:u w:val="none"/>
          </w:rPr>
          <w:t>AR</w:t>
        </w:r>
        <w:r w:rsidR="0012421C" w:rsidRPr="000B5C3A">
          <w:rPr>
            <w:rStyle w:val="Hyperlink"/>
            <w:i/>
            <w:iCs/>
            <w:color w:val="auto"/>
            <w:sz w:val="16"/>
            <w:szCs w:val="16"/>
            <w:u w:val="none"/>
          </w:rPr>
          <w:t xml:space="preserve"> T-Cell Therapy and Its Side Effects,</w:t>
        </w:r>
      </w:hyperlink>
      <w:r w:rsidR="0012421C" w:rsidRPr="000B5C3A">
        <w:rPr>
          <w:i/>
          <w:iCs/>
          <w:sz w:val="16"/>
          <w:szCs w:val="16"/>
        </w:rPr>
        <w:t xml:space="preserve"> </w:t>
      </w:r>
      <w:r w:rsidR="0012421C" w:rsidRPr="000B5C3A">
        <w:rPr>
          <w:smallCaps/>
          <w:sz w:val="16"/>
          <w:szCs w:val="16"/>
        </w:rPr>
        <w:t xml:space="preserve">Am. </w:t>
      </w:r>
      <w:r w:rsidR="0012421C" w:rsidRPr="00CC2F2D">
        <w:rPr>
          <w:smallCaps/>
          <w:sz w:val="16"/>
          <w:szCs w:val="16"/>
        </w:rPr>
        <w:t>Cancer Soc</w:t>
      </w:r>
      <w:r w:rsidR="002340EA" w:rsidRPr="00CC2F2D">
        <w:rPr>
          <w:smallCaps/>
          <w:sz w:val="16"/>
          <w:szCs w:val="16"/>
        </w:rPr>
        <w:t>’</w:t>
      </w:r>
      <w:r w:rsidR="0012421C" w:rsidRPr="00CC2F2D">
        <w:rPr>
          <w:smallCaps/>
          <w:sz w:val="16"/>
          <w:szCs w:val="16"/>
        </w:rPr>
        <w:t>y (</w:t>
      </w:r>
      <w:r w:rsidR="0012421C" w:rsidRPr="00CC2F2D">
        <w:rPr>
          <w:sz w:val="16"/>
          <w:szCs w:val="16"/>
        </w:rPr>
        <w:t xml:space="preserve">last revised Mar. 1, 2022), </w:t>
      </w:r>
      <w:hyperlink r:id="rId46" w:history="1">
        <w:r w:rsidR="000B5C3A" w:rsidRPr="0016662A">
          <w:rPr>
            <w:rStyle w:val="Hyperlink"/>
            <w:sz w:val="16"/>
            <w:szCs w:val="16"/>
          </w:rPr>
          <w:t>https://www.cancer.org/treatment/treatments-and-side-effects/treatment-types/immunotherapy/car-t-cell1.html</w:t>
        </w:r>
      </w:hyperlink>
      <w:r w:rsidR="000B5C3A">
        <w:rPr>
          <w:sz w:val="16"/>
          <w:szCs w:val="16"/>
        </w:rPr>
        <w:t xml:space="preserve"> </w:t>
      </w:r>
      <w:r w:rsidR="00A23798" w:rsidRPr="00CC2F2D">
        <w:rPr>
          <w:sz w:val="16"/>
          <w:szCs w:val="16"/>
        </w:rPr>
        <w:t xml:space="preserve">. </w:t>
      </w:r>
    </w:p>
  </w:footnote>
  <w:footnote w:id="60">
    <w:p w14:paraId="165909A3" w14:textId="3F8D2001" w:rsidR="00FB7480" w:rsidRPr="00FB7480" w:rsidRDefault="00FB7480">
      <w:pPr>
        <w:pStyle w:val="FootnoteText"/>
        <w:rPr>
          <w:sz w:val="16"/>
          <w:szCs w:val="16"/>
        </w:rPr>
      </w:pPr>
      <w:r w:rsidRPr="00FB7480">
        <w:rPr>
          <w:rStyle w:val="FootnoteReference"/>
          <w:sz w:val="16"/>
          <w:szCs w:val="16"/>
        </w:rPr>
        <w:footnoteRef/>
      </w:r>
      <w:r w:rsidRPr="00FB7480">
        <w:rPr>
          <w:sz w:val="16"/>
          <w:szCs w:val="16"/>
        </w:rPr>
        <w:t xml:space="preserve"> Mohamed </w:t>
      </w:r>
      <w:proofErr w:type="spellStart"/>
      <w:r w:rsidRPr="00FB7480">
        <w:rPr>
          <w:sz w:val="16"/>
          <w:szCs w:val="16"/>
        </w:rPr>
        <w:t>Shanshal</w:t>
      </w:r>
      <w:proofErr w:type="spellEnd"/>
      <w:r w:rsidRPr="00FB7480">
        <w:rPr>
          <w:sz w:val="16"/>
          <w:szCs w:val="16"/>
        </w:rPr>
        <w:t xml:space="preserve">, </w:t>
      </w:r>
      <w:r w:rsidRPr="00FB7480">
        <w:rPr>
          <w:i/>
          <w:iCs/>
          <w:sz w:val="16"/>
          <w:szCs w:val="16"/>
        </w:rPr>
        <w:t>T-Cell Engagers in Solid Cancers—Current Landscape and Future Directions</w:t>
      </w:r>
      <w:r w:rsidRPr="00FB7480">
        <w:rPr>
          <w:sz w:val="16"/>
          <w:szCs w:val="16"/>
        </w:rPr>
        <w:t xml:space="preserve">, 15 </w:t>
      </w:r>
      <w:r w:rsidRPr="00FB7480">
        <w:rPr>
          <w:smallCaps/>
          <w:sz w:val="16"/>
          <w:szCs w:val="16"/>
        </w:rPr>
        <w:t>Cancers (Basel)</w:t>
      </w:r>
      <w:r w:rsidRPr="00FB7480">
        <w:rPr>
          <w:sz w:val="16"/>
          <w:szCs w:val="16"/>
        </w:rPr>
        <w:t xml:space="preserve"> 2824 (2023). </w:t>
      </w:r>
    </w:p>
  </w:footnote>
  <w:footnote w:id="61">
    <w:p w14:paraId="0C5697A9" w14:textId="3FC69E06" w:rsidR="008D1AAA" w:rsidRPr="00CC2F2D" w:rsidRDefault="008D1AAA">
      <w:pPr>
        <w:pStyle w:val="FootnoteText"/>
        <w:rPr>
          <w:sz w:val="16"/>
          <w:szCs w:val="16"/>
        </w:rPr>
      </w:pPr>
      <w:r w:rsidRPr="00CC2F2D">
        <w:rPr>
          <w:rStyle w:val="FootnoteReference"/>
          <w:sz w:val="16"/>
          <w:szCs w:val="16"/>
        </w:rPr>
        <w:footnoteRef/>
      </w:r>
      <w:r w:rsidRPr="00CC2F2D">
        <w:rPr>
          <w:sz w:val="16"/>
          <w:szCs w:val="16"/>
        </w:rPr>
        <w:t xml:space="preserve"> </w:t>
      </w:r>
      <w:hyperlink r:id="rId47" w:history="1">
        <w:r w:rsidR="00CC214E" w:rsidRPr="000B5C3A">
          <w:rPr>
            <w:rStyle w:val="Hyperlink"/>
            <w:i/>
            <w:iCs/>
            <w:color w:val="auto"/>
            <w:sz w:val="16"/>
            <w:szCs w:val="16"/>
            <w:u w:val="none"/>
          </w:rPr>
          <w:t>CAR T-Cell Therapy</w:t>
        </w:r>
        <w:r w:rsidR="00CC214E" w:rsidRPr="000B5C3A">
          <w:rPr>
            <w:rStyle w:val="Hyperlink"/>
            <w:color w:val="auto"/>
            <w:sz w:val="16"/>
            <w:szCs w:val="16"/>
            <w:u w:val="none"/>
          </w:rPr>
          <w:t>,</w:t>
        </w:r>
      </w:hyperlink>
      <w:r w:rsidR="00CC214E" w:rsidRPr="000B5C3A">
        <w:rPr>
          <w:sz w:val="16"/>
          <w:szCs w:val="16"/>
        </w:rPr>
        <w:t xml:space="preserve"> </w:t>
      </w:r>
      <w:r w:rsidR="00CC214E" w:rsidRPr="000B5C3A">
        <w:rPr>
          <w:smallCaps/>
          <w:sz w:val="16"/>
          <w:szCs w:val="16"/>
        </w:rPr>
        <w:t xml:space="preserve">Cleveland </w:t>
      </w:r>
      <w:r w:rsidR="00CC214E" w:rsidRPr="00CC2F2D">
        <w:rPr>
          <w:smallCaps/>
          <w:sz w:val="16"/>
          <w:szCs w:val="16"/>
        </w:rPr>
        <w:t>Clinic (</w:t>
      </w:r>
      <w:r w:rsidR="00CC214E" w:rsidRPr="00CC2F2D">
        <w:rPr>
          <w:sz w:val="16"/>
          <w:szCs w:val="16"/>
        </w:rPr>
        <w:t xml:space="preserve">last revised Jan. 19, 2022), </w:t>
      </w:r>
      <w:hyperlink r:id="rId48" w:history="1">
        <w:r w:rsidR="000B5C3A" w:rsidRPr="0016662A">
          <w:rPr>
            <w:rStyle w:val="Hyperlink"/>
            <w:sz w:val="16"/>
            <w:szCs w:val="16"/>
          </w:rPr>
          <w:t>https://my.clevelandclinic.org/health/treatments/17726-car-t-cell-therapy</w:t>
        </w:r>
      </w:hyperlink>
      <w:r w:rsidR="000B5C3A">
        <w:rPr>
          <w:sz w:val="16"/>
          <w:szCs w:val="16"/>
        </w:rPr>
        <w:t xml:space="preserve"> </w:t>
      </w:r>
      <w:r w:rsidR="008A4382" w:rsidRPr="00CC2F2D">
        <w:rPr>
          <w:sz w:val="16"/>
          <w:szCs w:val="16"/>
        </w:rPr>
        <w:t>.</w:t>
      </w:r>
    </w:p>
  </w:footnote>
  <w:footnote w:id="62">
    <w:p w14:paraId="5CFF82F2" w14:textId="00F8BEB9" w:rsidR="00F91EFD" w:rsidRPr="0070042F" w:rsidRDefault="00F91EFD">
      <w:pPr>
        <w:pStyle w:val="FootnoteText"/>
        <w:rPr>
          <w:sz w:val="16"/>
          <w:szCs w:val="16"/>
        </w:rPr>
      </w:pPr>
      <w:r w:rsidRPr="0070042F">
        <w:rPr>
          <w:rStyle w:val="FootnoteReference"/>
          <w:sz w:val="16"/>
          <w:szCs w:val="16"/>
        </w:rPr>
        <w:footnoteRef/>
      </w:r>
      <w:r w:rsidRPr="0070042F">
        <w:rPr>
          <w:sz w:val="16"/>
          <w:szCs w:val="16"/>
        </w:rPr>
        <w:t xml:space="preserve"> </w:t>
      </w:r>
      <w:r w:rsidR="0070042F" w:rsidRPr="0070042F">
        <w:rPr>
          <w:sz w:val="16"/>
          <w:szCs w:val="16"/>
        </w:rPr>
        <w:t xml:space="preserve">Azra </w:t>
      </w:r>
      <w:proofErr w:type="spellStart"/>
      <w:r w:rsidR="0070042F" w:rsidRPr="0070042F">
        <w:rPr>
          <w:sz w:val="16"/>
          <w:szCs w:val="16"/>
        </w:rPr>
        <w:t>Borogovac</w:t>
      </w:r>
      <w:proofErr w:type="spellEnd"/>
      <w:r w:rsidR="0070042F" w:rsidRPr="0070042F">
        <w:rPr>
          <w:sz w:val="16"/>
          <w:szCs w:val="16"/>
        </w:rPr>
        <w:t xml:space="preserve"> et al., </w:t>
      </w:r>
      <w:r w:rsidR="0070042F" w:rsidRPr="0070042F">
        <w:rPr>
          <w:i/>
          <w:iCs/>
          <w:sz w:val="16"/>
          <w:szCs w:val="16"/>
        </w:rPr>
        <w:t>Safety and feasibility of outpatient chimeric antigen receptor (CAR) T-cell therapy: experience from a tertiary care center</w:t>
      </w:r>
      <w:r w:rsidR="0070042F" w:rsidRPr="0070042F">
        <w:rPr>
          <w:sz w:val="16"/>
          <w:szCs w:val="16"/>
        </w:rPr>
        <w:t xml:space="preserve">, 57 </w:t>
      </w:r>
      <w:r w:rsidR="0070042F" w:rsidRPr="0070042F">
        <w:rPr>
          <w:smallCaps/>
          <w:sz w:val="16"/>
          <w:szCs w:val="16"/>
        </w:rPr>
        <w:t>Bone Marrow Transplant</w:t>
      </w:r>
      <w:r w:rsidR="0070042F" w:rsidRPr="0070042F">
        <w:rPr>
          <w:sz w:val="16"/>
          <w:szCs w:val="16"/>
        </w:rPr>
        <w:t xml:space="preserve"> 1025 (2022); Maurice Alexander et al., </w:t>
      </w:r>
      <w:r w:rsidR="0070042F" w:rsidRPr="0070042F">
        <w:rPr>
          <w:i/>
          <w:iCs/>
          <w:sz w:val="16"/>
          <w:szCs w:val="16"/>
        </w:rPr>
        <w:t>Chimeric Antigen Receptor T Cell Therapy: A Comprehensive Review of Clinical Efficacy, Toxicity, and Best Practice for Outpatient Administration</w:t>
      </w:r>
      <w:r w:rsidR="0070042F" w:rsidRPr="0070042F">
        <w:rPr>
          <w:sz w:val="16"/>
          <w:szCs w:val="16"/>
        </w:rPr>
        <w:t xml:space="preserve">, 27 </w:t>
      </w:r>
      <w:r w:rsidR="0070042F" w:rsidRPr="0070042F">
        <w:rPr>
          <w:smallCaps/>
          <w:sz w:val="16"/>
          <w:szCs w:val="16"/>
        </w:rPr>
        <w:t>Transplant Cell Ther</w:t>
      </w:r>
      <w:r w:rsidR="0070042F" w:rsidRPr="0070042F">
        <w:rPr>
          <w:sz w:val="16"/>
          <w:szCs w:val="16"/>
        </w:rPr>
        <w:t xml:space="preserve">. 558 (2021). </w:t>
      </w:r>
    </w:p>
  </w:footnote>
  <w:footnote w:id="63">
    <w:p w14:paraId="0E6B09FF" w14:textId="77777777" w:rsidR="00DC2B7B" w:rsidRPr="00CC2F2D" w:rsidRDefault="00DC2B7B" w:rsidP="00DC2B7B">
      <w:pPr>
        <w:pStyle w:val="FootnoteText"/>
        <w:rPr>
          <w:b/>
          <w:bCs/>
          <w:color w:val="000000" w:themeColor="text1"/>
          <w:sz w:val="16"/>
          <w:szCs w:val="16"/>
        </w:rPr>
      </w:pPr>
      <w:r w:rsidRPr="00CC2F2D">
        <w:rPr>
          <w:rStyle w:val="FootnoteReference"/>
          <w:color w:val="000000" w:themeColor="text1"/>
          <w:sz w:val="16"/>
          <w:szCs w:val="16"/>
        </w:rPr>
        <w:footnoteRef/>
      </w:r>
      <w:r w:rsidRPr="00CC2F2D">
        <w:rPr>
          <w:color w:val="000000" w:themeColor="text1"/>
          <w:sz w:val="16"/>
          <w:szCs w:val="16"/>
        </w:rPr>
        <w:t xml:space="preserve"> This is based on internal data and the Be the Match database.</w:t>
      </w:r>
    </w:p>
  </w:footnote>
  <w:footnote w:id="64">
    <w:p w14:paraId="71F07F82" w14:textId="53B7C158" w:rsidR="00F40E41" w:rsidRPr="00CC2F2D" w:rsidRDefault="00F40E41" w:rsidP="00F40E41">
      <w:pPr>
        <w:pStyle w:val="FootnoteText"/>
        <w:rPr>
          <w:sz w:val="16"/>
          <w:szCs w:val="16"/>
        </w:rPr>
      </w:pPr>
      <w:r w:rsidRPr="00CC2F2D">
        <w:rPr>
          <w:rStyle w:val="FootnoteReference"/>
          <w:sz w:val="16"/>
          <w:szCs w:val="16"/>
        </w:rPr>
        <w:footnoteRef/>
      </w:r>
      <w:r w:rsidRPr="00CC2F2D">
        <w:rPr>
          <w:sz w:val="16"/>
          <w:szCs w:val="16"/>
        </w:rPr>
        <w:t xml:space="preserve"> </w:t>
      </w:r>
      <w:hyperlink r:id="rId49" w:history="1">
        <w:r w:rsidRPr="001522EB">
          <w:rPr>
            <w:rStyle w:val="Hyperlink"/>
            <w:i/>
            <w:iCs/>
            <w:color w:val="auto"/>
            <w:sz w:val="16"/>
            <w:szCs w:val="16"/>
            <w:u w:val="none"/>
          </w:rPr>
          <w:t>Emergency Department Database (EDD) Reporting</w:t>
        </w:r>
        <w:r w:rsidRPr="001522EB">
          <w:rPr>
            <w:rStyle w:val="Hyperlink"/>
            <w:smallCaps/>
            <w:color w:val="auto"/>
            <w:sz w:val="16"/>
            <w:szCs w:val="16"/>
            <w:u w:val="none"/>
          </w:rPr>
          <w:t>,</w:t>
        </w:r>
      </w:hyperlink>
      <w:r w:rsidRPr="001522EB">
        <w:rPr>
          <w:smallCaps/>
          <w:sz w:val="16"/>
          <w:szCs w:val="16"/>
        </w:rPr>
        <w:t xml:space="preserve"> CHIA </w:t>
      </w:r>
      <w:r w:rsidRPr="00CC2F2D">
        <w:rPr>
          <w:smallCaps/>
          <w:sz w:val="16"/>
          <w:szCs w:val="16"/>
        </w:rPr>
        <w:t>(</w:t>
      </w:r>
      <w:r w:rsidRPr="00CC2F2D">
        <w:rPr>
          <w:sz w:val="16"/>
          <w:szCs w:val="16"/>
        </w:rPr>
        <w:t xml:space="preserve">last updated May 25, 2023), </w:t>
      </w:r>
      <w:hyperlink r:id="rId50" w:history="1">
        <w:r w:rsidR="000B5C3A" w:rsidRPr="0016662A">
          <w:rPr>
            <w:rStyle w:val="Hyperlink"/>
            <w:sz w:val="16"/>
            <w:szCs w:val="16"/>
          </w:rPr>
          <w:t>https://www.chiamass.gov/emergency-department-database-edd-reporting/</w:t>
        </w:r>
      </w:hyperlink>
      <w:r w:rsidR="000B5C3A">
        <w:rPr>
          <w:sz w:val="16"/>
          <w:szCs w:val="16"/>
        </w:rPr>
        <w:t xml:space="preserve"> </w:t>
      </w:r>
      <w:r w:rsidRPr="00CC2F2D">
        <w:rPr>
          <w:sz w:val="16"/>
          <w:szCs w:val="16"/>
        </w:rPr>
        <w:t xml:space="preserve">. </w:t>
      </w:r>
    </w:p>
  </w:footnote>
  <w:footnote w:id="65">
    <w:p w14:paraId="0861809C" w14:textId="71ECE8DB" w:rsidR="007F09F7" w:rsidRPr="00CC2F2D" w:rsidRDefault="007F09F7">
      <w:pPr>
        <w:pStyle w:val="FootnoteText"/>
        <w:rPr>
          <w:sz w:val="16"/>
          <w:szCs w:val="16"/>
        </w:rPr>
      </w:pPr>
      <w:r w:rsidRPr="00CC2F2D">
        <w:rPr>
          <w:rStyle w:val="FootnoteReference"/>
          <w:sz w:val="16"/>
          <w:szCs w:val="16"/>
        </w:rPr>
        <w:footnoteRef/>
      </w:r>
      <w:r w:rsidRPr="00CC2F2D">
        <w:rPr>
          <w:sz w:val="16"/>
          <w:szCs w:val="16"/>
        </w:rPr>
        <w:t xml:space="preserve"> Tom Marino, </w:t>
      </w:r>
      <w:hyperlink r:id="rId51" w:history="1">
        <w:r w:rsidRPr="001522EB">
          <w:rPr>
            <w:rStyle w:val="Hyperlink"/>
            <w:i/>
            <w:iCs/>
            <w:color w:val="auto"/>
            <w:sz w:val="16"/>
            <w:szCs w:val="16"/>
            <w:u w:val="none"/>
          </w:rPr>
          <w:t>Study: Over 3 Hours Average Wait Time for ER in Mass.,</w:t>
        </w:r>
      </w:hyperlink>
      <w:r w:rsidRPr="001522EB">
        <w:rPr>
          <w:sz w:val="16"/>
          <w:szCs w:val="16"/>
        </w:rPr>
        <w:t xml:space="preserve"> </w:t>
      </w:r>
      <w:r w:rsidRPr="001522EB">
        <w:rPr>
          <w:smallCaps/>
          <w:sz w:val="16"/>
          <w:szCs w:val="16"/>
        </w:rPr>
        <w:t xml:space="preserve">This </w:t>
      </w:r>
      <w:r w:rsidRPr="00CC2F2D">
        <w:rPr>
          <w:smallCaps/>
          <w:sz w:val="16"/>
          <w:szCs w:val="16"/>
        </w:rPr>
        <w:t>week in Worcester</w:t>
      </w:r>
      <w:r w:rsidRPr="00CC2F2D">
        <w:rPr>
          <w:sz w:val="16"/>
          <w:szCs w:val="16"/>
        </w:rPr>
        <w:t xml:space="preserve"> (Aug. 9, 2023). </w:t>
      </w:r>
      <w:hyperlink r:id="rId52" w:history="1">
        <w:r w:rsidR="001522EB" w:rsidRPr="0016662A">
          <w:rPr>
            <w:rStyle w:val="Hyperlink"/>
            <w:sz w:val="16"/>
            <w:szCs w:val="16"/>
          </w:rPr>
          <w:t>https://thisweekinworcester.com/over-3-hours-wait-time-er-mass</w:t>
        </w:r>
      </w:hyperlink>
      <w:r w:rsidR="001522EB">
        <w:rPr>
          <w:sz w:val="16"/>
          <w:szCs w:val="16"/>
        </w:rPr>
        <w:t xml:space="preserve"> </w:t>
      </w:r>
      <w:r w:rsidRPr="00CC2F2D">
        <w:rPr>
          <w:sz w:val="16"/>
          <w:szCs w:val="16"/>
        </w:rPr>
        <w:t>.</w:t>
      </w:r>
    </w:p>
  </w:footnote>
  <w:footnote w:id="66">
    <w:p w14:paraId="39386F3C" w14:textId="77777777" w:rsidR="00621BF3" w:rsidRPr="00CC2F2D" w:rsidRDefault="00621BF3" w:rsidP="00621BF3">
      <w:pPr>
        <w:pStyle w:val="FootnoteText"/>
        <w:rPr>
          <w:sz w:val="16"/>
          <w:szCs w:val="16"/>
        </w:rPr>
      </w:pPr>
      <w:r w:rsidRPr="00CC2F2D">
        <w:rPr>
          <w:rStyle w:val="FootnoteReference"/>
          <w:sz w:val="16"/>
          <w:szCs w:val="16"/>
        </w:rPr>
        <w:footnoteRef/>
      </w:r>
      <w:r w:rsidRPr="00CC2F2D">
        <w:rPr>
          <w:sz w:val="16"/>
          <w:szCs w:val="16"/>
        </w:rPr>
        <w:t xml:space="preserve"> Anamika Chaudhuri et al., </w:t>
      </w:r>
      <w:r w:rsidRPr="00CC2F2D">
        <w:rPr>
          <w:i/>
          <w:iCs/>
          <w:sz w:val="16"/>
          <w:szCs w:val="16"/>
        </w:rPr>
        <w:t>Impact of an oncology acute care clinic (ACC) in a comprehensive cancer care setting to reduce emergency visits and subsequent hospitalizations: A pilot study</w:t>
      </w:r>
      <w:r w:rsidRPr="00CC2F2D">
        <w:rPr>
          <w:sz w:val="16"/>
          <w:szCs w:val="16"/>
        </w:rPr>
        <w:t xml:space="preserve">, 37 </w:t>
      </w:r>
      <w:r w:rsidRPr="00CC2F2D">
        <w:rPr>
          <w:smallCaps/>
          <w:sz w:val="16"/>
          <w:szCs w:val="16"/>
        </w:rPr>
        <w:t>J. of Clinical Oncology 110</w:t>
      </w:r>
      <w:r w:rsidRPr="00CC2F2D">
        <w:rPr>
          <w:sz w:val="16"/>
          <w:szCs w:val="16"/>
        </w:rPr>
        <w:t> (2019). </w:t>
      </w:r>
    </w:p>
  </w:footnote>
  <w:footnote w:id="67">
    <w:p w14:paraId="73604023" w14:textId="1A3ED86B" w:rsidR="00A8679C" w:rsidRPr="00CC2F2D" w:rsidRDefault="00A8679C">
      <w:pPr>
        <w:pStyle w:val="FootnoteText"/>
        <w:rPr>
          <w:sz w:val="16"/>
          <w:szCs w:val="16"/>
        </w:rPr>
      </w:pPr>
      <w:r w:rsidRPr="00CC2F2D">
        <w:rPr>
          <w:rStyle w:val="FootnoteReference"/>
          <w:sz w:val="16"/>
          <w:szCs w:val="16"/>
        </w:rPr>
        <w:footnoteRef/>
      </w:r>
      <w:r w:rsidRPr="00CC2F2D">
        <w:rPr>
          <w:sz w:val="16"/>
          <w:szCs w:val="16"/>
        </w:rPr>
        <w:t xml:space="preserve"> This time period includes October 2022 through August 2023. </w:t>
      </w:r>
    </w:p>
  </w:footnote>
  <w:footnote w:id="68">
    <w:p w14:paraId="3DDB7062" w14:textId="1EB76E94" w:rsidR="002611F1" w:rsidRPr="00CC2F2D" w:rsidRDefault="002611F1" w:rsidP="002611F1">
      <w:pPr>
        <w:pStyle w:val="FootnoteText"/>
        <w:rPr>
          <w:sz w:val="16"/>
          <w:szCs w:val="16"/>
        </w:rPr>
      </w:pPr>
      <w:r w:rsidRPr="00CC2F2D">
        <w:rPr>
          <w:rStyle w:val="FootnoteReference"/>
          <w:sz w:val="16"/>
          <w:szCs w:val="16"/>
        </w:rPr>
        <w:footnoteRef/>
      </w:r>
      <w:r w:rsidRPr="00CC2F2D">
        <w:rPr>
          <w:sz w:val="16"/>
          <w:szCs w:val="16"/>
        </w:rPr>
        <w:t xml:space="preserve"> Mass. Health &amp; Hosp. Assoc., </w:t>
      </w:r>
      <w:hyperlink r:id="rId53" w:history="1">
        <w:r w:rsidRPr="00F43682">
          <w:rPr>
            <w:rStyle w:val="Hyperlink"/>
            <w:color w:val="auto"/>
            <w:sz w:val="16"/>
            <w:szCs w:val="16"/>
            <w:u w:val="none"/>
          </w:rPr>
          <w:t>A Clogged System: Keeping Patients Moving Through their Care Journey</w:t>
        </w:r>
      </w:hyperlink>
      <w:r w:rsidRPr="00F43682">
        <w:rPr>
          <w:sz w:val="16"/>
          <w:szCs w:val="16"/>
        </w:rPr>
        <w:t xml:space="preserve"> (June </w:t>
      </w:r>
      <w:r w:rsidRPr="00CC2F2D">
        <w:rPr>
          <w:sz w:val="16"/>
          <w:szCs w:val="16"/>
        </w:rPr>
        <w:t xml:space="preserve">2023), </w:t>
      </w:r>
      <w:hyperlink r:id="rId54" w:history="1">
        <w:r w:rsidR="00F43682" w:rsidRPr="0016662A">
          <w:rPr>
            <w:rStyle w:val="Hyperlink"/>
            <w:sz w:val="16"/>
            <w:szCs w:val="16"/>
          </w:rPr>
          <w:t>https://mhalink.informz.net/mhalink/data/images/ACloggedSystemMHAReport.pdf</w:t>
        </w:r>
      </w:hyperlink>
      <w:r w:rsidR="00F43682">
        <w:rPr>
          <w:sz w:val="16"/>
          <w:szCs w:val="16"/>
        </w:rPr>
        <w:t xml:space="preserve"> </w:t>
      </w:r>
      <w:r w:rsidRPr="00CC2F2D">
        <w:rPr>
          <w:sz w:val="16"/>
          <w:szCs w:val="16"/>
        </w:rPr>
        <w:t xml:space="preserve">. </w:t>
      </w:r>
    </w:p>
  </w:footnote>
  <w:footnote w:id="69">
    <w:p w14:paraId="028D30D7" w14:textId="77777777" w:rsidR="00687B04" w:rsidRPr="00CC2F2D" w:rsidRDefault="00687B04" w:rsidP="00687B04">
      <w:pPr>
        <w:pStyle w:val="FootnoteText"/>
        <w:rPr>
          <w:sz w:val="16"/>
          <w:szCs w:val="16"/>
        </w:rPr>
      </w:pPr>
      <w:r w:rsidRPr="00CC2F2D">
        <w:rPr>
          <w:rStyle w:val="FootnoteReference"/>
          <w:sz w:val="16"/>
          <w:szCs w:val="16"/>
        </w:rPr>
        <w:footnoteRef/>
      </w:r>
      <w:r w:rsidRPr="00CC2F2D">
        <w:rPr>
          <w:sz w:val="16"/>
          <w:szCs w:val="16"/>
        </w:rPr>
        <w:t xml:space="preserve"> </w:t>
      </w:r>
      <w:r w:rsidRPr="00CC2F2D">
        <w:rPr>
          <w:i/>
          <w:iCs/>
          <w:sz w:val="16"/>
          <w:szCs w:val="16"/>
        </w:rPr>
        <w:t>Center for Health Information and Analysis All-Payer Claims Database,</w:t>
      </w:r>
      <w:r w:rsidRPr="00CC2F2D">
        <w:rPr>
          <w:sz w:val="16"/>
          <w:szCs w:val="16"/>
        </w:rPr>
        <w:t xml:space="preserve"> </w:t>
      </w:r>
      <w:r w:rsidRPr="00CC2F2D">
        <w:rPr>
          <w:smallCaps/>
          <w:sz w:val="16"/>
          <w:szCs w:val="16"/>
        </w:rPr>
        <w:t>CHIA</w:t>
      </w:r>
      <w:r w:rsidRPr="00CC2F2D">
        <w:rPr>
          <w:sz w:val="16"/>
          <w:szCs w:val="16"/>
        </w:rPr>
        <w:t xml:space="preserve"> (2022) (sourced by Massachusetts Health Data Consortium).</w:t>
      </w:r>
    </w:p>
  </w:footnote>
  <w:footnote w:id="70">
    <w:p w14:paraId="1C359802" w14:textId="5176DF84" w:rsidR="00F34FBD" w:rsidRPr="00CC2F2D" w:rsidRDefault="00F34FBD" w:rsidP="00914E0A">
      <w:pPr>
        <w:pStyle w:val="FootnoteText"/>
        <w:rPr>
          <w:bCs/>
          <w:sz w:val="16"/>
          <w:szCs w:val="16"/>
        </w:rPr>
      </w:pPr>
      <w:r w:rsidRPr="00CC2F2D">
        <w:rPr>
          <w:rStyle w:val="FootnoteReference"/>
          <w:sz w:val="16"/>
          <w:szCs w:val="16"/>
        </w:rPr>
        <w:footnoteRef/>
      </w:r>
      <w:r w:rsidRPr="00CC2F2D">
        <w:rPr>
          <w:sz w:val="16"/>
          <w:szCs w:val="16"/>
        </w:rPr>
        <w:t xml:space="preserve"> P</w:t>
      </w:r>
      <w:r w:rsidRPr="00CC2F2D">
        <w:rPr>
          <w:bCs/>
          <w:sz w:val="16"/>
          <w:szCs w:val="16"/>
        </w:rPr>
        <w:t>atients treated at dedicated cancer centers have higher survival rates at five years and a reduced risk of mortality than those treated at NCI-designated centers, academic medical centers, and other treatment centers.</w:t>
      </w:r>
      <w:r w:rsidR="00914E0A" w:rsidRPr="00CC2F2D">
        <w:rPr>
          <w:bCs/>
          <w:sz w:val="16"/>
          <w:szCs w:val="16"/>
        </w:rPr>
        <w:t xml:space="preserve"> </w:t>
      </w:r>
      <w:r w:rsidR="00145E5C" w:rsidRPr="00CC2F2D">
        <w:rPr>
          <w:bCs/>
          <w:i/>
          <w:iCs/>
          <w:sz w:val="16"/>
          <w:szCs w:val="16"/>
        </w:rPr>
        <w:t>See</w:t>
      </w:r>
      <w:r w:rsidR="00A47CC6" w:rsidRPr="00CC2F2D">
        <w:rPr>
          <w:bCs/>
          <w:i/>
          <w:iCs/>
          <w:sz w:val="16"/>
          <w:szCs w:val="16"/>
        </w:rPr>
        <w:t xml:space="preserve"> </w:t>
      </w:r>
      <w:r w:rsidR="00914E0A" w:rsidRPr="00CC2F2D">
        <w:rPr>
          <w:bCs/>
          <w:sz w:val="16"/>
          <w:szCs w:val="16"/>
        </w:rPr>
        <w:t xml:space="preserve">David Pfister, et al., </w:t>
      </w:r>
      <w:r w:rsidR="00914E0A" w:rsidRPr="00CC2F2D">
        <w:rPr>
          <w:bCs/>
          <w:i/>
          <w:iCs/>
          <w:sz w:val="16"/>
          <w:szCs w:val="16"/>
        </w:rPr>
        <w:t>Risk Adjusting Survival Outcomes in Hospitals That Treat Patients With Cancer Without Information on Cancer Stage</w:t>
      </w:r>
      <w:r w:rsidR="00914E0A" w:rsidRPr="00CC2F2D">
        <w:rPr>
          <w:bCs/>
          <w:sz w:val="16"/>
          <w:szCs w:val="16"/>
        </w:rPr>
        <w:t xml:space="preserve">, 9 </w:t>
      </w:r>
      <w:r w:rsidR="00914E0A" w:rsidRPr="00CC2F2D">
        <w:rPr>
          <w:bCs/>
          <w:smallCaps/>
          <w:sz w:val="16"/>
          <w:szCs w:val="16"/>
        </w:rPr>
        <w:t xml:space="preserve">JAMA </w:t>
      </w:r>
      <w:r w:rsidR="00914E0A" w:rsidRPr="00CC2F2D">
        <w:rPr>
          <w:bCs/>
          <w:sz w:val="16"/>
          <w:szCs w:val="16"/>
        </w:rPr>
        <w:t>ONCOLOGY 1303, 1303-1310 (2015).</w:t>
      </w:r>
    </w:p>
  </w:footnote>
  <w:footnote w:id="71">
    <w:p w14:paraId="0B315D1A" w14:textId="77777777" w:rsidR="00157097" w:rsidRPr="00CC2F2D" w:rsidRDefault="00157097" w:rsidP="00157097">
      <w:pPr>
        <w:pStyle w:val="FootnoteText"/>
        <w:jc w:val="both"/>
        <w:rPr>
          <w:sz w:val="16"/>
          <w:szCs w:val="16"/>
        </w:rPr>
      </w:pPr>
      <w:r w:rsidRPr="00CC2F2D">
        <w:rPr>
          <w:rStyle w:val="FootnoteReference"/>
          <w:sz w:val="16"/>
          <w:szCs w:val="16"/>
        </w:rPr>
        <w:footnoteRef/>
      </w:r>
      <w:r w:rsidRPr="00CC2F2D">
        <w:rPr>
          <w:sz w:val="16"/>
          <w:szCs w:val="16"/>
        </w:rPr>
        <w:t xml:space="preserve"> Laura X. Wang et al., </w:t>
      </w:r>
      <w:r w:rsidRPr="00CC2F2D">
        <w:rPr>
          <w:i/>
          <w:iCs/>
          <w:sz w:val="16"/>
          <w:szCs w:val="16"/>
        </w:rPr>
        <w:t>Health care utilization and steroid-refractory toxicities from immune checkpoint inhibitors</w:t>
      </w:r>
      <w:r w:rsidRPr="00CC2F2D">
        <w:rPr>
          <w:sz w:val="16"/>
          <w:szCs w:val="16"/>
        </w:rPr>
        <w:t xml:space="preserve">, 126 </w:t>
      </w:r>
      <w:r w:rsidRPr="00CC2F2D">
        <w:rPr>
          <w:smallCaps/>
          <w:sz w:val="16"/>
          <w:szCs w:val="16"/>
        </w:rPr>
        <w:t>Cancer</w:t>
      </w:r>
      <w:r w:rsidRPr="00CC2F2D">
        <w:rPr>
          <w:sz w:val="16"/>
          <w:szCs w:val="16"/>
        </w:rPr>
        <w:t xml:space="preserve"> 322, 322-328 (2019); Saby George et al., </w:t>
      </w:r>
      <w:r w:rsidRPr="00CC2F2D">
        <w:rPr>
          <w:i/>
          <w:iCs/>
          <w:sz w:val="16"/>
          <w:szCs w:val="16"/>
        </w:rPr>
        <w:t xml:space="preserve">The Impact of Adverse Events on Health Care Resource Utilization, Costs, and Mortality Among Patients Treated with Immune Checkpoint Inhibitors, </w:t>
      </w:r>
      <w:r w:rsidRPr="00CC2F2D">
        <w:rPr>
          <w:sz w:val="16"/>
          <w:szCs w:val="16"/>
        </w:rPr>
        <w:t xml:space="preserve">26 </w:t>
      </w:r>
      <w:r w:rsidRPr="00CC2F2D">
        <w:rPr>
          <w:smallCaps/>
          <w:sz w:val="16"/>
          <w:szCs w:val="16"/>
        </w:rPr>
        <w:t xml:space="preserve">The Oncologists 1205, 1205-1215 (2021); </w:t>
      </w:r>
      <w:r w:rsidRPr="00CC2F2D">
        <w:rPr>
          <w:sz w:val="16"/>
          <w:szCs w:val="16"/>
        </w:rPr>
        <w:t xml:space="preserve">Mark </w:t>
      </w:r>
      <w:proofErr w:type="spellStart"/>
      <w:r w:rsidRPr="00CC2F2D">
        <w:rPr>
          <w:sz w:val="16"/>
          <w:szCs w:val="16"/>
        </w:rPr>
        <w:t>Kalinch</w:t>
      </w:r>
      <w:proofErr w:type="spellEnd"/>
      <w:r w:rsidRPr="00CC2F2D">
        <w:rPr>
          <w:sz w:val="16"/>
          <w:szCs w:val="16"/>
        </w:rPr>
        <w:t xml:space="preserve"> et al.,</w:t>
      </w:r>
      <w:r w:rsidRPr="00CC2F2D">
        <w:rPr>
          <w:i/>
          <w:iCs/>
          <w:sz w:val="16"/>
          <w:szCs w:val="16"/>
        </w:rPr>
        <w:t xml:space="preserve"> Prediction of severe immune-related adverse events requiring hospital admission in patients on immune checkpoint inhibitors: study of a population level insurance claims database from the USA</w:t>
      </w:r>
      <w:r w:rsidRPr="00CC2F2D">
        <w:rPr>
          <w:sz w:val="16"/>
          <w:szCs w:val="16"/>
        </w:rPr>
        <w:t xml:space="preserve">, 9 </w:t>
      </w:r>
      <w:r w:rsidRPr="00CC2F2D">
        <w:rPr>
          <w:smallCaps/>
          <w:sz w:val="16"/>
          <w:szCs w:val="16"/>
        </w:rPr>
        <w:t xml:space="preserve">J. for Immunotherapy of Cancer (2021). </w:t>
      </w:r>
    </w:p>
  </w:footnote>
  <w:footnote w:id="72">
    <w:p w14:paraId="3C63A7F7" w14:textId="42A4EF18" w:rsidR="004222AA" w:rsidRPr="00CC2F2D" w:rsidRDefault="004222AA">
      <w:pPr>
        <w:pStyle w:val="FootnoteText"/>
        <w:rPr>
          <w:sz w:val="16"/>
          <w:szCs w:val="16"/>
        </w:rPr>
      </w:pPr>
      <w:r w:rsidRPr="00CC2F2D">
        <w:rPr>
          <w:rStyle w:val="FootnoteReference"/>
          <w:sz w:val="16"/>
          <w:szCs w:val="16"/>
        </w:rPr>
        <w:footnoteRef/>
      </w:r>
      <w:r w:rsidRPr="00CC2F2D">
        <w:rPr>
          <w:sz w:val="16"/>
          <w:szCs w:val="16"/>
        </w:rPr>
        <w:t xml:space="preserve"> There are instances under the Applicant’s current operations where patients receive surgeries at BWH and have their inpatient stays managed by the Applicant’s medical oncologist with surgical consultation provided by BWH surgeons. </w:t>
      </w:r>
      <w:r w:rsidR="00235AB3" w:rsidRPr="00CC2F2D">
        <w:rPr>
          <w:sz w:val="16"/>
          <w:szCs w:val="16"/>
        </w:rPr>
        <w:t>However, t</w:t>
      </w:r>
      <w:r w:rsidRPr="00CC2F2D">
        <w:rPr>
          <w:sz w:val="16"/>
          <w:szCs w:val="16"/>
        </w:rPr>
        <w:t xml:space="preserve">he Applicant cannot </w:t>
      </w:r>
      <w:r w:rsidR="00235AB3" w:rsidRPr="00CC2F2D">
        <w:rPr>
          <w:sz w:val="16"/>
          <w:szCs w:val="16"/>
        </w:rPr>
        <w:t xml:space="preserve">disclose data relating to </w:t>
      </w:r>
      <w:r w:rsidRPr="00CC2F2D">
        <w:rPr>
          <w:sz w:val="16"/>
          <w:szCs w:val="16"/>
        </w:rPr>
        <w:t xml:space="preserve">these instances </w:t>
      </w:r>
      <w:r w:rsidR="00235AB3" w:rsidRPr="00CC2F2D">
        <w:rPr>
          <w:sz w:val="16"/>
          <w:szCs w:val="16"/>
        </w:rPr>
        <w:t>due to confidentiality restrictions. I</w:t>
      </w:r>
      <w:r w:rsidRPr="00CC2F2D">
        <w:rPr>
          <w:sz w:val="16"/>
          <w:szCs w:val="16"/>
        </w:rPr>
        <w:t xml:space="preserve">nstead, it has elected to remove all surgical-only cases from its CHIA data-derived data set. </w:t>
      </w:r>
      <w:r w:rsidR="00235AB3" w:rsidRPr="00CC2F2D">
        <w:rPr>
          <w:sz w:val="16"/>
          <w:szCs w:val="16"/>
        </w:rPr>
        <w:t xml:space="preserve">The resulting calculations may ultimately </w:t>
      </w:r>
      <w:r w:rsidRPr="00CC2F2D">
        <w:rPr>
          <w:sz w:val="16"/>
          <w:szCs w:val="16"/>
        </w:rPr>
        <w:t xml:space="preserve">underestimate the Applicant’s overall inpatient bed need. </w:t>
      </w:r>
    </w:p>
  </w:footnote>
  <w:footnote w:id="73">
    <w:p w14:paraId="5853B191" w14:textId="354CED01" w:rsidR="00384412" w:rsidRPr="00CC2F2D" w:rsidRDefault="00384412">
      <w:pPr>
        <w:pStyle w:val="FootnoteText"/>
        <w:rPr>
          <w:sz w:val="16"/>
          <w:szCs w:val="16"/>
        </w:rPr>
      </w:pPr>
      <w:r w:rsidRPr="00CC2F2D">
        <w:rPr>
          <w:rStyle w:val="FootnoteReference"/>
          <w:sz w:val="16"/>
          <w:szCs w:val="16"/>
        </w:rPr>
        <w:footnoteRef/>
      </w:r>
      <w:r w:rsidRPr="00CC2F2D">
        <w:rPr>
          <w:sz w:val="16"/>
          <w:szCs w:val="16"/>
        </w:rPr>
        <w:t xml:space="preserve"> The </w:t>
      </w:r>
      <w:r w:rsidR="00381A08" w:rsidRPr="00CC2F2D">
        <w:rPr>
          <w:sz w:val="16"/>
          <w:szCs w:val="16"/>
        </w:rPr>
        <w:t>level</w:t>
      </w:r>
      <w:r w:rsidRPr="00CC2F2D">
        <w:rPr>
          <w:sz w:val="16"/>
          <w:szCs w:val="16"/>
        </w:rPr>
        <w:t xml:space="preserve"> of </w:t>
      </w:r>
      <w:r w:rsidR="00381A08" w:rsidRPr="00CC2F2D">
        <w:rPr>
          <w:sz w:val="16"/>
          <w:szCs w:val="16"/>
        </w:rPr>
        <w:t xml:space="preserve">patient </w:t>
      </w:r>
      <w:r w:rsidRPr="00CC2F2D">
        <w:rPr>
          <w:sz w:val="16"/>
          <w:szCs w:val="16"/>
        </w:rPr>
        <w:t xml:space="preserve">discharges and the ADC derived from these calculations are consistent with </w:t>
      </w:r>
      <w:r w:rsidR="00381A08" w:rsidRPr="00CC2F2D">
        <w:rPr>
          <w:sz w:val="16"/>
          <w:szCs w:val="16"/>
        </w:rPr>
        <w:t xml:space="preserve">the Applicant’s internal data, which cannot be disclosed due to confidentiality restrictions. </w:t>
      </w:r>
      <w:r w:rsidRPr="00CC2F2D">
        <w:rPr>
          <w:sz w:val="16"/>
          <w:szCs w:val="16"/>
        </w:rPr>
        <w:t xml:space="preserve"> </w:t>
      </w:r>
    </w:p>
  </w:footnote>
  <w:footnote w:id="74">
    <w:p w14:paraId="7AB9D53C" w14:textId="2DC0D231" w:rsidR="00186C1E" w:rsidRPr="00CC2F2D" w:rsidRDefault="00186C1E">
      <w:pPr>
        <w:pStyle w:val="FootnoteText"/>
        <w:rPr>
          <w:sz w:val="16"/>
          <w:szCs w:val="16"/>
        </w:rPr>
      </w:pPr>
      <w:r w:rsidRPr="00CC2F2D">
        <w:rPr>
          <w:rStyle w:val="FootnoteReference"/>
          <w:sz w:val="16"/>
          <w:szCs w:val="16"/>
        </w:rPr>
        <w:footnoteRef/>
      </w:r>
      <w:r w:rsidRPr="00CC2F2D">
        <w:rPr>
          <w:sz w:val="16"/>
          <w:szCs w:val="16"/>
        </w:rPr>
        <w:t xml:space="preserve"> For example, cell therapies inpatients are admitted to beds with po</w:t>
      </w:r>
      <w:r w:rsidR="009E68D4" w:rsidRPr="00CC2F2D">
        <w:rPr>
          <w:sz w:val="16"/>
          <w:szCs w:val="16"/>
        </w:rPr>
        <w:t>sitive pressure and that have the ability to conduct continuous electroencephalogram monitoring. So long as the appropriate physicians were consulting with respect to such patients care (</w:t>
      </w:r>
      <w:r w:rsidR="009E68D4" w:rsidRPr="00CC2F2D">
        <w:rPr>
          <w:i/>
          <w:iCs/>
          <w:sz w:val="16"/>
          <w:szCs w:val="16"/>
        </w:rPr>
        <w:t>e.g.</w:t>
      </w:r>
      <w:r w:rsidR="009E68D4" w:rsidRPr="00CC2F2D">
        <w:rPr>
          <w:sz w:val="16"/>
          <w:szCs w:val="16"/>
        </w:rPr>
        <w:t xml:space="preserve">, a neurologist for patients who require neurological intensive care) such patient could receive </w:t>
      </w:r>
      <w:r w:rsidR="00235AB3" w:rsidRPr="00CC2F2D">
        <w:rPr>
          <w:sz w:val="16"/>
          <w:szCs w:val="16"/>
        </w:rPr>
        <w:t xml:space="preserve">sufficiently intensive </w:t>
      </w:r>
      <w:r w:rsidR="009E68D4" w:rsidRPr="00CC2F2D">
        <w:rPr>
          <w:sz w:val="16"/>
          <w:szCs w:val="16"/>
        </w:rPr>
        <w:t>care without requiring transfer</w:t>
      </w:r>
      <w:r w:rsidR="00235AB3" w:rsidRPr="00CC2F2D">
        <w:rPr>
          <w:sz w:val="16"/>
          <w:szCs w:val="16"/>
        </w:rPr>
        <w:t xml:space="preserve"> to the intensive care unit</w:t>
      </w:r>
      <w:r w:rsidR="009E68D4" w:rsidRPr="00CC2F2D">
        <w:rPr>
          <w:sz w:val="16"/>
          <w:szCs w:val="16"/>
        </w:rPr>
        <w:t xml:space="preserve">. </w:t>
      </w:r>
    </w:p>
  </w:footnote>
  <w:footnote w:id="75">
    <w:p w14:paraId="5C1690C9" w14:textId="0BB2D78F" w:rsidR="00DC3E4C" w:rsidRPr="00CC2F2D" w:rsidRDefault="00DC3E4C">
      <w:pPr>
        <w:pStyle w:val="FootnoteText"/>
        <w:rPr>
          <w:sz w:val="16"/>
          <w:szCs w:val="16"/>
        </w:rPr>
      </w:pPr>
      <w:r w:rsidRPr="00CC2F2D">
        <w:rPr>
          <w:rStyle w:val="FootnoteReference"/>
          <w:sz w:val="16"/>
          <w:szCs w:val="16"/>
        </w:rPr>
        <w:footnoteRef/>
      </w:r>
      <w:r w:rsidRPr="00CC2F2D">
        <w:rPr>
          <w:sz w:val="16"/>
          <w:szCs w:val="16"/>
        </w:rPr>
        <w:t xml:space="preserve"> </w:t>
      </w:r>
      <w:r w:rsidR="00B84375" w:rsidRPr="00CC2F2D">
        <w:rPr>
          <w:sz w:val="16"/>
          <w:szCs w:val="16"/>
        </w:rPr>
        <w:t xml:space="preserve">Timo </w:t>
      </w:r>
      <w:proofErr w:type="spellStart"/>
      <w:r w:rsidR="00B84375" w:rsidRPr="00CC2F2D">
        <w:rPr>
          <w:sz w:val="16"/>
          <w:szCs w:val="16"/>
        </w:rPr>
        <w:t>Latruwe</w:t>
      </w:r>
      <w:proofErr w:type="spellEnd"/>
      <w:r w:rsidR="00B84375" w:rsidRPr="00CC2F2D">
        <w:rPr>
          <w:sz w:val="16"/>
          <w:szCs w:val="16"/>
        </w:rPr>
        <w:t xml:space="preserve">, et al., </w:t>
      </w:r>
      <w:r w:rsidR="00B84375" w:rsidRPr="00CC2F2D">
        <w:rPr>
          <w:i/>
          <w:iCs/>
          <w:sz w:val="16"/>
          <w:szCs w:val="16"/>
        </w:rPr>
        <w:t>A long-term forecasting and simulation model for strategic planning of hospital bed capacity</w:t>
      </w:r>
      <w:r w:rsidR="00B84375" w:rsidRPr="00CC2F2D">
        <w:rPr>
          <w:sz w:val="16"/>
          <w:szCs w:val="16"/>
        </w:rPr>
        <w:t xml:space="preserve">, </w:t>
      </w:r>
      <w:r w:rsidR="00DB5E7D" w:rsidRPr="00CC2F2D">
        <w:rPr>
          <w:sz w:val="16"/>
          <w:szCs w:val="16"/>
        </w:rPr>
        <w:t xml:space="preserve">36 </w:t>
      </w:r>
      <w:r w:rsidR="00B84375" w:rsidRPr="00CC2F2D">
        <w:rPr>
          <w:smallCaps/>
          <w:sz w:val="16"/>
          <w:szCs w:val="16"/>
        </w:rPr>
        <w:t xml:space="preserve">Operations </w:t>
      </w:r>
      <w:proofErr w:type="spellStart"/>
      <w:r w:rsidR="00256EAB" w:rsidRPr="00CC2F2D">
        <w:rPr>
          <w:smallCaps/>
          <w:sz w:val="16"/>
          <w:szCs w:val="16"/>
        </w:rPr>
        <w:t>Rsch</w:t>
      </w:r>
      <w:proofErr w:type="spellEnd"/>
      <w:r w:rsidR="00256EAB" w:rsidRPr="00CC2F2D">
        <w:rPr>
          <w:smallCaps/>
          <w:sz w:val="16"/>
          <w:szCs w:val="16"/>
        </w:rPr>
        <w:t>.</w:t>
      </w:r>
      <w:r w:rsidR="00B84375" w:rsidRPr="00CC2F2D">
        <w:rPr>
          <w:smallCaps/>
          <w:sz w:val="16"/>
          <w:szCs w:val="16"/>
        </w:rPr>
        <w:t xml:space="preserve"> for Health Care</w:t>
      </w:r>
      <w:r w:rsidR="00B84375" w:rsidRPr="00CC2F2D">
        <w:rPr>
          <w:i/>
          <w:iCs/>
          <w:smallCaps/>
          <w:sz w:val="16"/>
          <w:szCs w:val="16"/>
        </w:rPr>
        <w:t xml:space="preserve"> </w:t>
      </w:r>
      <w:r w:rsidR="00DB5E7D" w:rsidRPr="00CC2F2D">
        <w:rPr>
          <w:i/>
          <w:iCs/>
          <w:smallCaps/>
          <w:sz w:val="16"/>
          <w:szCs w:val="16"/>
        </w:rPr>
        <w:t xml:space="preserve"> </w:t>
      </w:r>
      <w:r w:rsidR="00186BF4" w:rsidRPr="00CC2F2D">
        <w:rPr>
          <w:smallCaps/>
          <w:sz w:val="16"/>
          <w:szCs w:val="16"/>
        </w:rPr>
        <w:t xml:space="preserve">100375 </w:t>
      </w:r>
      <w:r w:rsidR="005A34A3" w:rsidRPr="00CC2F2D">
        <w:rPr>
          <w:smallCaps/>
          <w:sz w:val="16"/>
          <w:szCs w:val="16"/>
        </w:rPr>
        <w:t>(</w:t>
      </w:r>
      <w:r w:rsidR="005A34A3" w:rsidRPr="00CC2F2D">
        <w:rPr>
          <w:sz w:val="16"/>
          <w:szCs w:val="16"/>
        </w:rPr>
        <w:t>2023)</w:t>
      </w:r>
      <w:r w:rsidR="00DB5E7D" w:rsidRPr="00CC2F2D">
        <w:rPr>
          <w:sz w:val="16"/>
          <w:szCs w:val="16"/>
        </w:rPr>
        <w:t xml:space="preserve">; David R. Sinclair, MD, </w:t>
      </w:r>
      <w:r w:rsidR="00DB5E7D" w:rsidRPr="00CC2F2D">
        <w:rPr>
          <w:i/>
          <w:iCs/>
          <w:sz w:val="16"/>
          <w:szCs w:val="16"/>
        </w:rPr>
        <w:t>Poisson probability function can help optimize trauma operating room availability</w:t>
      </w:r>
      <w:r w:rsidR="00DB5E7D" w:rsidRPr="00CC2F2D">
        <w:rPr>
          <w:sz w:val="16"/>
          <w:szCs w:val="16"/>
        </w:rPr>
        <w:t xml:space="preserve">, </w:t>
      </w:r>
      <w:r w:rsidR="00186BF4" w:rsidRPr="00CC2F2D">
        <w:rPr>
          <w:sz w:val="16"/>
          <w:szCs w:val="16"/>
        </w:rPr>
        <w:t xml:space="preserve">58 </w:t>
      </w:r>
      <w:r w:rsidR="00DB5E7D" w:rsidRPr="00CC2F2D">
        <w:rPr>
          <w:smallCaps/>
          <w:sz w:val="16"/>
          <w:szCs w:val="16"/>
        </w:rPr>
        <w:t>Can</w:t>
      </w:r>
      <w:r w:rsidR="00186BF4" w:rsidRPr="00CC2F2D">
        <w:rPr>
          <w:smallCaps/>
          <w:sz w:val="16"/>
          <w:szCs w:val="16"/>
        </w:rPr>
        <w:t>.</w:t>
      </w:r>
      <w:r w:rsidR="00DB5E7D" w:rsidRPr="00CC2F2D">
        <w:rPr>
          <w:smallCaps/>
          <w:sz w:val="16"/>
          <w:szCs w:val="16"/>
        </w:rPr>
        <w:t xml:space="preserve"> J. </w:t>
      </w:r>
      <w:proofErr w:type="spellStart"/>
      <w:r w:rsidR="00DB5E7D" w:rsidRPr="00CC2F2D">
        <w:rPr>
          <w:smallCaps/>
          <w:sz w:val="16"/>
          <w:szCs w:val="16"/>
        </w:rPr>
        <w:t>Anesth</w:t>
      </w:r>
      <w:proofErr w:type="spellEnd"/>
      <w:r w:rsidR="00DB5E7D" w:rsidRPr="00CC2F2D">
        <w:rPr>
          <w:smallCaps/>
          <w:sz w:val="16"/>
          <w:szCs w:val="16"/>
        </w:rPr>
        <w:t>.</w:t>
      </w:r>
      <w:r w:rsidR="00DB5E7D" w:rsidRPr="00CC2F2D">
        <w:rPr>
          <w:sz w:val="16"/>
          <w:szCs w:val="16"/>
        </w:rPr>
        <w:t xml:space="preserve"> </w:t>
      </w:r>
      <w:r w:rsidR="00186BF4" w:rsidRPr="00CC2F2D">
        <w:rPr>
          <w:sz w:val="16"/>
          <w:szCs w:val="16"/>
        </w:rPr>
        <w:t xml:space="preserve">342 </w:t>
      </w:r>
      <w:r w:rsidR="00DB5E7D" w:rsidRPr="00CC2F2D">
        <w:rPr>
          <w:sz w:val="16"/>
          <w:szCs w:val="16"/>
        </w:rPr>
        <w:t xml:space="preserve">(2010); Linda V. Green, </w:t>
      </w:r>
      <w:r w:rsidR="00DB5E7D" w:rsidRPr="00CC2F2D">
        <w:rPr>
          <w:i/>
          <w:iCs/>
          <w:sz w:val="16"/>
          <w:szCs w:val="16"/>
        </w:rPr>
        <w:t>How many beds?</w:t>
      </w:r>
      <w:r w:rsidR="00DB5E7D" w:rsidRPr="00CC2F2D">
        <w:rPr>
          <w:sz w:val="16"/>
          <w:szCs w:val="16"/>
        </w:rPr>
        <w:t xml:space="preserve">, 39 </w:t>
      </w:r>
      <w:r w:rsidR="00DB5E7D" w:rsidRPr="00CC2F2D">
        <w:rPr>
          <w:smallCaps/>
          <w:sz w:val="16"/>
          <w:szCs w:val="16"/>
        </w:rPr>
        <w:t>Inquiry 400</w:t>
      </w:r>
      <w:r w:rsidR="00DB5E7D" w:rsidRPr="00CC2F2D">
        <w:rPr>
          <w:sz w:val="16"/>
          <w:szCs w:val="16"/>
        </w:rPr>
        <w:t xml:space="preserve"> (2002).  </w:t>
      </w:r>
    </w:p>
  </w:footnote>
  <w:footnote w:id="76">
    <w:p w14:paraId="6ABE5784" w14:textId="6F913078" w:rsidR="00A45192" w:rsidRPr="00CC2F2D" w:rsidRDefault="00A45192">
      <w:pPr>
        <w:pStyle w:val="FootnoteText"/>
        <w:rPr>
          <w:sz w:val="16"/>
          <w:szCs w:val="16"/>
        </w:rPr>
      </w:pPr>
      <w:r w:rsidRPr="00CC2F2D">
        <w:rPr>
          <w:rStyle w:val="FootnoteReference"/>
          <w:sz w:val="16"/>
          <w:szCs w:val="16"/>
        </w:rPr>
        <w:footnoteRef/>
      </w:r>
      <w:r w:rsidRPr="00CC2F2D">
        <w:rPr>
          <w:sz w:val="16"/>
          <w:szCs w:val="16"/>
        </w:rPr>
        <w:t xml:space="preserve"> For a discussion of the appropriateness of using Poisson distribution to </w:t>
      </w:r>
      <w:r w:rsidR="00CE6171" w:rsidRPr="00CC2F2D">
        <w:rPr>
          <w:sz w:val="16"/>
          <w:szCs w:val="16"/>
        </w:rPr>
        <w:t>project</w:t>
      </w:r>
      <w:r w:rsidRPr="00CC2F2D">
        <w:rPr>
          <w:sz w:val="16"/>
          <w:szCs w:val="16"/>
        </w:rPr>
        <w:t xml:space="preserve"> bed need and </w:t>
      </w:r>
      <w:r w:rsidR="00CE6171" w:rsidRPr="00CC2F2D">
        <w:rPr>
          <w:sz w:val="16"/>
          <w:szCs w:val="16"/>
        </w:rPr>
        <w:t xml:space="preserve">for additional detail on the methodology for deriving such a projection, </w:t>
      </w:r>
      <w:r w:rsidR="00CE6171" w:rsidRPr="00CC2F2D">
        <w:rPr>
          <w:i/>
          <w:iCs/>
          <w:sz w:val="16"/>
          <w:szCs w:val="16"/>
        </w:rPr>
        <w:t>see</w:t>
      </w:r>
      <w:r w:rsidR="00CE6171" w:rsidRPr="00CC2F2D">
        <w:rPr>
          <w:sz w:val="16"/>
          <w:szCs w:val="16"/>
        </w:rPr>
        <w:t xml:space="preserve"> </w:t>
      </w:r>
      <w:r w:rsidR="00186BF4" w:rsidRPr="00CC2F2D">
        <w:rPr>
          <w:sz w:val="16"/>
          <w:szCs w:val="16"/>
        </w:rPr>
        <w:t xml:space="preserve">Timo </w:t>
      </w:r>
      <w:proofErr w:type="spellStart"/>
      <w:r w:rsidR="00186BF4" w:rsidRPr="00CC2F2D">
        <w:rPr>
          <w:sz w:val="16"/>
          <w:szCs w:val="16"/>
        </w:rPr>
        <w:t>Latruwe</w:t>
      </w:r>
      <w:proofErr w:type="spellEnd"/>
      <w:r w:rsidR="00186BF4" w:rsidRPr="00CC2F2D">
        <w:rPr>
          <w:sz w:val="16"/>
          <w:szCs w:val="16"/>
        </w:rPr>
        <w:t xml:space="preserve">, et al., </w:t>
      </w:r>
      <w:r w:rsidR="00186BF4" w:rsidRPr="00CC2F2D">
        <w:rPr>
          <w:i/>
          <w:iCs/>
          <w:sz w:val="16"/>
          <w:szCs w:val="16"/>
        </w:rPr>
        <w:t>A long-term forecasting and simulation model for strategic planning of hospital bed capacity</w:t>
      </w:r>
      <w:r w:rsidR="00186BF4" w:rsidRPr="00CC2F2D">
        <w:rPr>
          <w:sz w:val="16"/>
          <w:szCs w:val="16"/>
        </w:rPr>
        <w:t xml:space="preserve">, 36 </w:t>
      </w:r>
      <w:r w:rsidR="00186BF4" w:rsidRPr="00CC2F2D">
        <w:rPr>
          <w:smallCaps/>
          <w:sz w:val="16"/>
          <w:szCs w:val="16"/>
        </w:rPr>
        <w:t xml:space="preserve">Operations </w:t>
      </w:r>
      <w:proofErr w:type="spellStart"/>
      <w:r w:rsidR="00186BF4" w:rsidRPr="00CC2F2D">
        <w:rPr>
          <w:smallCaps/>
          <w:sz w:val="16"/>
          <w:szCs w:val="16"/>
        </w:rPr>
        <w:t>Rsch</w:t>
      </w:r>
      <w:proofErr w:type="spellEnd"/>
      <w:r w:rsidR="00186BF4" w:rsidRPr="00CC2F2D">
        <w:rPr>
          <w:smallCaps/>
          <w:sz w:val="16"/>
          <w:szCs w:val="16"/>
        </w:rPr>
        <w:t>. for Health Care</w:t>
      </w:r>
      <w:r w:rsidR="00186BF4" w:rsidRPr="00CC2F2D">
        <w:rPr>
          <w:i/>
          <w:iCs/>
          <w:smallCaps/>
          <w:sz w:val="16"/>
          <w:szCs w:val="16"/>
        </w:rPr>
        <w:t xml:space="preserve">  </w:t>
      </w:r>
      <w:r w:rsidR="00186BF4" w:rsidRPr="00CC2F2D">
        <w:rPr>
          <w:smallCaps/>
          <w:sz w:val="16"/>
          <w:szCs w:val="16"/>
        </w:rPr>
        <w:t>100375 (</w:t>
      </w:r>
      <w:r w:rsidR="00186BF4" w:rsidRPr="00CC2F2D">
        <w:rPr>
          <w:sz w:val="16"/>
          <w:szCs w:val="16"/>
        </w:rPr>
        <w:t xml:space="preserve">2023); David R. Sinclair, MD, </w:t>
      </w:r>
      <w:r w:rsidR="00186BF4" w:rsidRPr="00CC2F2D">
        <w:rPr>
          <w:i/>
          <w:iCs/>
          <w:sz w:val="16"/>
          <w:szCs w:val="16"/>
        </w:rPr>
        <w:t>Poisson probability function can help optimize trauma operating room availability</w:t>
      </w:r>
      <w:r w:rsidR="00186BF4" w:rsidRPr="00CC2F2D">
        <w:rPr>
          <w:sz w:val="16"/>
          <w:szCs w:val="16"/>
        </w:rPr>
        <w:t xml:space="preserve">, 58 </w:t>
      </w:r>
      <w:r w:rsidR="00186BF4" w:rsidRPr="00CC2F2D">
        <w:rPr>
          <w:smallCaps/>
          <w:sz w:val="16"/>
          <w:szCs w:val="16"/>
        </w:rPr>
        <w:t xml:space="preserve">Can. J. </w:t>
      </w:r>
      <w:proofErr w:type="spellStart"/>
      <w:r w:rsidR="00186BF4" w:rsidRPr="00CC2F2D">
        <w:rPr>
          <w:smallCaps/>
          <w:sz w:val="16"/>
          <w:szCs w:val="16"/>
        </w:rPr>
        <w:t>Anesth</w:t>
      </w:r>
      <w:proofErr w:type="spellEnd"/>
      <w:r w:rsidR="00186BF4" w:rsidRPr="00CC2F2D">
        <w:rPr>
          <w:smallCaps/>
          <w:sz w:val="16"/>
          <w:szCs w:val="16"/>
        </w:rPr>
        <w:t>.</w:t>
      </w:r>
      <w:r w:rsidR="00186BF4" w:rsidRPr="00CC2F2D">
        <w:rPr>
          <w:sz w:val="16"/>
          <w:szCs w:val="16"/>
        </w:rPr>
        <w:t xml:space="preserve"> 342 (2010); Linda V. Green, </w:t>
      </w:r>
      <w:r w:rsidR="00186BF4" w:rsidRPr="00CC2F2D">
        <w:rPr>
          <w:i/>
          <w:iCs/>
          <w:sz w:val="16"/>
          <w:szCs w:val="16"/>
        </w:rPr>
        <w:t>How many beds?</w:t>
      </w:r>
      <w:r w:rsidR="00186BF4" w:rsidRPr="00CC2F2D">
        <w:rPr>
          <w:sz w:val="16"/>
          <w:szCs w:val="16"/>
        </w:rPr>
        <w:t xml:space="preserve">, 39 </w:t>
      </w:r>
      <w:r w:rsidR="00186BF4" w:rsidRPr="00CC2F2D">
        <w:rPr>
          <w:smallCaps/>
          <w:sz w:val="16"/>
          <w:szCs w:val="16"/>
        </w:rPr>
        <w:t>Inquiry 400</w:t>
      </w:r>
      <w:r w:rsidR="00186BF4" w:rsidRPr="00CC2F2D">
        <w:rPr>
          <w:sz w:val="16"/>
          <w:szCs w:val="16"/>
        </w:rPr>
        <w:t xml:space="preserve"> (2002).  </w:t>
      </w:r>
    </w:p>
  </w:footnote>
  <w:footnote w:id="77">
    <w:p w14:paraId="483221C5" w14:textId="51E60B50" w:rsidR="00E12E77" w:rsidRPr="00CC2F2D" w:rsidRDefault="00E12E77" w:rsidP="00E12E77">
      <w:pPr>
        <w:pStyle w:val="FootnoteText"/>
        <w:rPr>
          <w:sz w:val="16"/>
          <w:szCs w:val="16"/>
        </w:rPr>
      </w:pPr>
      <w:r w:rsidRPr="00CC2F2D">
        <w:rPr>
          <w:rStyle w:val="FootnoteReference"/>
          <w:sz w:val="16"/>
          <w:szCs w:val="16"/>
        </w:rPr>
        <w:footnoteRef/>
      </w:r>
      <w:r w:rsidRPr="00CC2F2D">
        <w:rPr>
          <w:sz w:val="16"/>
          <w:szCs w:val="16"/>
        </w:rPr>
        <w:t xml:space="preserve"> </w:t>
      </w:r>
      <w:r w:rsidR="00A7355C" w:rsidRPr="00CC2F2D">
        <w:rPr>
          <w:sz w:val="16"/>
          <w:szCs w:val="16"/>
        </w:rPr>
        <w:t>This table does not include data for 2020 due to COVID-19. Analysis completed using data obtained from the Massachusetts Health Data Consortium based on CHIA Inpatient Case Mix data and includes patient volumes and days from cancer patients within the Applicant</w:t>
      </w:r>
      <w:r w:rsidR="002340EA" w:rsidRPr="00CC2F2D">
        <w:rPr>
          <w:sz w:val="16"/>
          <w:szCs w:val="16"/>
        </w:rPr>
        <w:t>’</w:t>
      </w:r>
      <w:r w:rsidR="00A7355C" w:rsidRPr="00CC2F2D">
        <w:rPr>
          <w:sz w:val="16"/>
          <w:szCs w:val="16"/>
        </w:rPr>
        <w:t xml:space="preserve">s beds and BWH beds as well as BIDMC cancer patients. Projections through 2032 based on Advisory Board projections for oncology patients in Massachusetts, filtered for Geriatric ages and Young adult age cohort. </w:t>
      </w:r>
    </w:p>
  </w:footnote>
  <w:footnote w:id="78">
    <w:p w14:paraId="6A145A54" w14:textId="5517FEA1" w:rsidR="006946B1" w:rsidRPr="00CC2F2D" w:rsidRDefault="006946B1">
      <w:pPr>
        <w:pStyle w:val="FootnoteText"/>
        <w:rPr>
          <w:sz w:val="16"/>
          <w:szCs w:val="16"/>
        </w:rPr>
      </w:pPr>
      <w:r w:rsidRPr="00CC2F2D">
        <w:rPr>
          <w:rStyle w:val="FootnoteReference"/>
          <w:sz w:val="16"/>
          <w:szCs w:val="16"/>
        </w:rPr>
        <w:footnoteRef/>
      </w:r>
      <w:r w:rsidRPr="00CC2F2D">
        <w:rPr>
          <w:sz w:val="16"/>
          <w:szCs w:val="16"/>
        </w:rPr>
        <w:t xml:space="preserve"> Numbers may not</w:t>
      </w:r>
      <w:r w:rsidR="00A55259" w:rsidRPr="00CC2F2D">
        <w:rPr>
          <w:sz w:val="16"/>
          <w:szCs w:val="16"/>
        </w:rPr>
        <w:t xml:space="preserve"> total due to rounding. </w:t>
      </w:r>
    </w:p>
  </w:footnote>
  <w:footnote w:id="79">
    <w:p w14:paraId="6D97799E" w14:textId="3345F8C1" w:rsidR="00146F91" w:rsidRPr="00CC2F2D" w:rsidRDefault="00146F91">
      <w:pPr>
        <w:pStyle w:val="FootnoteText"/>
        <w:rPr>
          <w:sz w:val="16"/>
          <w:szCs w:val="16"/>
        </w:rPr>
      </w:pPr>
      <w:r w:rsidRPr="00CC2F2D">
        <w:rPr>
          <w:rStyle w:val="FootnoteReference"/>
          <w:sz w:val="16"/>
          <w:szCs w:val="16"/>
        </w:rPr>
        <w:footnoteRef/>
      </w:r>
      <w:r w:rsidRPr="00CC2F2D">
        <w:rPr>
          <w:sz w:val="16"/>
          <w:szCs w:val="16"/>
        </w:rPr>
        <w:t xml:space="preserve"> While precise discharge data for all such patients is available to the Applicant as part of its existing collaboration, portions of that data are proprietary to BWH, and the Applicant is restricted from disclosing it in this Application due to confidentiality restrictions.</w:t>
      </w:r>
    </w:p>
  </w:footnote>
  <w:footnote w:id="80">
    <w:p w14:paraId="60670311" w14:textId="5ADCF4FF" w:rsidR="002C7E70" w:rsidRPr="00CC2F2D" w:rsidRDefault="002C7E70">
      <w:pPr>
        <w:pStyle w:val="FootnoteText"/>
        <w:rPr>
          <w:sz w:val="16"/>
          <w:szCs w:val="16"/>
        </w:rPr>
      </w:pPr>
      <w:r w:rsidRPr="00CC2F2D">
        <w:rPr>
          <w:rStyle w:val="FootnoteReference"/>
          <w:sz w:val="16"/>
          <w:szCs w:val="16"/>
        </w:rPr>
        <w:footnoteRef/>
      </w:r>
      <w:r w:rsidRPr="00CC2F2D">
        <w:rPr>
          <w:sz w:val="16"/>
          <w:szCs w:val="16"/>
        </w:rPr>
        <w:t xml:space="preserve"> </w:t>
      </w:r>
      <w:r w:rsidR="00507044" w:rsidRPr="00CC2F2D">
        <w:rPr>
          <w:bCs/>
          <w:sz w:val="16"/>
          <w:szCs w:val="16"/>
        </w:rPr>
        <w:t xml:space="preserve">ICU ADC was calculated using total 2022 ADC less the portion of ADC attributable to cell therapy and palliative care, as explained above. </w:t>
      </w:r>
    </w:p>
  </w:footnote>
  <w:footnote w:id="81">
    <w:p w14:paraId="77F90839" w14:textId="3AEF6441" w:rsidR="00227813" w:rsidRPr="00CC2F2D" w:rsidRDefault="00227813">
      <w:pPr>
        <w:pStyle w:val="FootnoteText"/>
        <w:rPr>
          <w:sz w:val="16"/>
          <w:szCs w:val="16"/>
        </w:rPr>
      </w:pPr>
      <w:r w:rsidRPr="00CC2F2D">
        <w:rPr>
          <w:rStyle w:val="FootnoteReference"/>
          <w:sz w:val="16"/>
          <w:szCs w:val="16"/>
        </w:rPr>
        <w:footnoteRef/>
      </w:r>
      <w:r w:rsidR="00CC214E" w:rsidRPr="00CC2F2D">
        <w:rPr>
          <w:sz w:val="16"/>
          <w:szCs w:val="16"/>
        </w:rPr>
        <w:t xml:space="preserve"> </w:t>
      </w:r>
      <w:hyperlink r:id="rId55" w:history="1">
        <w:r w:rsidR="00CC214E" w:rsidRPr="00CB3419">
          <w:rPr>
            <w:rStyle w:val="Hyperlink"/>
            <w:i/>
            <w:iCs/>
            <w:color w:val="auto"/>
            <w:sz w:val="16"/>
            <w:szCs w:val="16"/>
            <w:u w:val="none"/>
          </w:rPr>
          <w:t>The City of Hope Orange County Lennar Foundation Cancer Center</w:t>
        </w:r>
      </w:hyperlink>
      <w:r w:rsidR="00CC214E" w:rsidRPr="00CB3419">
        <w:rPr>
          <w:sz w:val="16"/>
          <w:szCs w:val="16"/>
        </w:rPr>
        <w:t xml:space="preserve">, </w:t>
      </w:r>
      <w:r w:rsidR="00CC214E" w:rsidRPr="00CB3419">
        <w:rPr>
          <w:smallCaps/>
          <w:sz w:val="16"/>
          <w:szCs w:val="16"/>
        </w:rPr>
        <w:t xml:space="preserve">City </w:t>
      </w:r>
      <w:r w:rsidR="00CC214E" w:rsidRPr="00CC2F2D">
        <w:rPr>
          <w:smallCaps/>
          <w:sz w:val="16"/>
          <w:szCs w:val="16"/>
        </w:rPr>
        <w:t>of Hope (</w:t>
      </w:r>
      <w:r w:rsidR="00042503" w:rsidRPr="00CC2F2D">
        <w:rPr>
          <w:sz w:val="16"/>
          <w:szCs w:val="16"/>
        </w:rPr>
        <w:t>last visited Oct. 1, 2023</w:t>
      </w:r>
      <w:r w:rsidR="0053387A" w:rsidRPr="00CC2F2D">
        <w:rPr>
          <w:sz w:val="16"/>
          <w:szCs w:val="16"/>
        </w:rPr>
        <w:t>)</w:t>
      </w:r>
      <w:r w:rsidR="00042503" w:rsidRPr="00CC2F2D">
        <w:rPr>
          <w:sz w:val="16"/>
          <w:szCs w:val="16"/>
        </w:rPr>
        <w:t>,</w:t>
      </w:r>
      <w:r w:rsidR="0053387A" w:rsidRPr="00CC2F2D">
        <w:rPr>
          <w:sz w:val="16"/>
          <w:szCs w:val="16"/>
        </w:rPr>
        <w:t xml:space="preserve"> </w:t>
      </w:r>
      <w:hyperlink r:id="rId56" w:history="1">
        <w:r w:rsidR="00CB3419" w:rsidRPr="0016662A">
          <w:rPr>
            <w:rStyle w:val="Hyperlink"/>
            <w:sz w:val="16"/>
            <w:szCs w:val="16"/>
          </w:rPr>
          <w:t>https://www.cityofhope.org/lennar</w:t>
        </w:r>
      </w:hyperlink>
      <w:r w:rsidR="00CB3419">
        <w:rPr>
          <w:sz w:val="16"/>
          <w:szCs w:val="16"/>
        </w:rPr>
        <w:t xml:space="preserve"> </w:t>
      </w:r>
      <w:r w:rsidRPr="00CC2F2D">
        <w:rPr>
          <w:sz w:val="16"/>
          <w:szCs w:val="16"/>
        </w:rPr>
        <w:t xml:space="preserve">; </w:t>
      </w:r>
      <w:r w:rsidR="0053387A" w:rsidRPr="00CC2F2D">
        <w:rPr>
          <w:i/>
          <w:iCs/>
          <w:sz w:val="16"/>
          <w:szCs w:val="16"/>
        </w:rPr>
        <w:t>see</w:t>
      </w:r>
      <w:r w:rsidR="0053387A" w:rsidRPr="00CC2F2D">
        <w:rPr>
          <w:sz w:val="16"/>
          <w:szCs w:val="16"/>
        </w:rPr>
        <w:t xml:space="preserve"> Press Release, Memorial Sloan Kettering Cancer Center, </w:t>
      </w:r>
      <w:hyperlink r:id="rId57" w:history="1">
        <w:r w:rsidR="0053387A" w:rsidRPr="00CB3419">
          <w:rPr>
            <w:rStyle w:val="Hyperlink"/>
            <w:i/>
            <w:iCs/>
            <w:color w:val="auto"/>
            <w:sz w:val="16"/>
            <w:szCs w:val="16"/>
            <w:u w:val="none"/>
          </w:rPr>
          <w:t>Memorial Sloan Kettering Plans New Pavilion to Ensure Greater Access to Care for All People in New York and Beyond</w:t>
        </w:r>
      </w:hyperlink>
      <w:r w:rsidR="0053387A" w:rsidRPr="00CB3419">
        <w:rPr>
          <w:sz w:val="16"/>
          <w:szCs w:val="16"/>
        </w:rPr>
        <w:t xml:space="preserve"> (Mar</w:t>
      </w:r>
      <w:r w:rsidR="0053387A" w:rsidRPr="00CC2F2D">
        <w:rPr>
          <w:sz w:val="16"/>
          <w:szCs w:val="16"/>
        </w:rPr>
        <w:t xml:space="preserve">. 15, 2022), </w:t>
      </w:r>
      <w:hyperlink r:id="rId58" w:history="1">
        <w:r w:rsidR="00CB3419" w:rsidRPr="0016662A">
          <w:rPr>
            <w:rStyle w:val="Hyperlink"/>
            <w:sz w:val="16"/>
            <w:szCs w:val="16"/>
          </w:rPr>
          <w:t>https://www.mskcc.org/news-releases/msk-plans-new-pavilion-ensure-greater-access-care-all-people-new-york-and-beyond</w:t>
        </w:r>
      </w:hyperlink>
      <w:r w:rsidR="00CB3419">
        <w:rPr>
          <w:sz w:val="16"/>
          <w:szCs w:val="16"/>
        </w:rPr>
        <w:t xml:space="preserve"> </w:t>
      </w:r>
      <w:r w:rsidRPr="00CC2F2D">
        <w:rPr>
          <w:sz w:val="16"/>
          <w:szCs w:val="16"/>
        </w:rPr>
        <w:t xml:space="preserve">; </w:t>
      </w:r>
      <w:r w:rsidR="0053387A" w:rsidRPr="00CC2F2D">
        <w:rPr>
          <w:i/>
          <w:iCs/>
          <w:sz w:val="16"/>
          <w:szCs w:val="16"/>
        </w:rPr>
        <w:t>see also</w:t>
      </w:r>
      <w:r w:rsidR="0053387A" w:rsidRPr="00CC2F2D">
        <w:rPr>
          <w:sz w:val="16"/>
          <w:szCs w:val="16"/>
        </w:rPr>
        <w:t xml:space="preserve">, Press Release, Moffitt Cancer Center, </w:t>
      </w:r>
      <w:hyperlink r:id="rId59" w:history="1">
        <w:r w:rsidR="0053387A" w:rsidRPr="00CB3419">
          <w:rPr>
            <w:rStyle w:val="Hyperlink"/>
            <w:i/>
            <w:iCs/>
            <w:color w:val="auto"/>
            <w:sz w:val="16"/>
            <w:szCs w:val="16"/>
            <w:u w:val="none"/>
          </w:rPr>
          <w:t>Moffitt Cancer Center Celebrates Grand Opening of Moffitt McKinley Hospital</w:t>
        </w:r>
        <w:r w:rsidR="0053387A" w:rsidRPr="00CB3419">
          <w:rPr>
            <w:rStyle w:val="Hyperlink"/>
            <w:color w:val="auto"/>
            <w:sz w:val="16"/>
            <w:szCs w:val="16"/>
            <w:u w:val="none"/>
          </w:rPr>
          <w:t xml:space="preserve"> (</w:t>
        </w:r>
      </w:hyperlink>
      <w:r w:rsidR="0053387A" w:rsidRPr="00CB3419">
        <w:rPr>
          <w:sz w:val="16"/>
          <w:szCs w:val="16"/>
        </w:rPr>
        <w:t>Ju</w:t>
      </w:r>
      <w:r w:rsidR="0053387A" w:rsidRPr="00CC2F2D">
        <w:rPr>
          <w:sz w:val="16"/>
          <w:szCs w:val="16"/>
        </w:rPr>
        <w:t xml:space="preserve">ly 21, 2023), </w:t>
      </w:r>
      <w:hyperlink r:id="rId60" w:history="1">
        <w:r w:rsidR="00CB3419" w:rsidRPr="0016662A">
          <w:rPr>
            <w:rStyle w:val="Hyperlink"/>
            <w:sz w:val="16"/>
            <w:szCs w:val="16"/>
          </w:rPr>
          <w:t>https://moffitt.org/give/mckinley-expansion/</w:t>
        </w:r>
      </w:hyperlink>
      <w:r w:rsidR="00CB3419">
        <w:rPr>
          <w:sz w:val="16"/>
          <w:szCs w:val="16"/>
        </w:rPr>
        <w:t xml:space="preserve"> </w:t>
      </w:r>
      <w:r w:rsidR="00E45046" w:rsidRPr="00CC2F2D">
        <w:rPr>
          <w:sz w:val="16"/>
          <w:szCs w:val="16"/>
        </w:rPr>
        <w:t xml:space="preserve">; Ford Sanders &amp; Jeff Bell, </w:t>
      </w:r>
      <w:hyperlink r:id="rId61" w:history="1">
        <w:r w:rsidR="00E45046" w:rsidRPr="00CB3419">
          <w:rPr>
            <w:rStyle w:val="Hyperlink"/>
            <w:i/>
            <w:iCs/>
            <w:color w:val="auto"/>
            <w:sz w:val="16"/>
            <w:szCs w:val="16"/>
            <w:u w:val="none"/>
          </w:rPr>
          <w:t>UT Austin partners with cancer center MD Anderson to build new campus hospital</w:t>
        </w:r>
      </w:hyperlink>
      <w:r w:rsidR="00E45046" w:rsidRPr="00CB3419">
        <w:rPr>
          <w:sz w:val="16"/>
          <w:szCs w:val="16"/>
        </w:rPr>
        <w:t xml:space="preserve">, </w:t>
      </w:r>
      <w:r w:rsidR="00E45046" w:rsidRPr="00CC2F2D">
        <w:rPr>
          <w:smallCaps/>
          <w:sz w:val="16"/>
          <w:szCs w:val="16"/>
        </w:rPr>
        <w:t>KVUE</w:t>
      </w:r>
      <w:r w:rsidR="00E45046" w:rsidRPr="00CC2F2D">
        <w:rPr>
          <w:sz w:val="16"/>
          <w:szCs w:val="16"/>
        </w:rPr>
        <w:t xml:space="preserve"> (Aug. 17, 2023), </w:t>
      </w:r>
      <w:hyperlink r:id="rId62" w:history="1">
        <w:r w:rsidR="00CB3419" w:rsidRPr="0016662A">
          <w:rPr>
            <w:rStyle w:val="Hyperlink"/>
            <w:sz w:val="16"/>
            <w:szCs w:val="16"/>
          </w:rPr>
          <w:t>https://www.kvue.com/article/news/education/university-of-texas/ut-austin-md-anderson-dell-medical-school-hospital/269-b58cc457-1a0e-47b4-8b1c-4e87a202ce67</w:t>
        </w:r>
      </w:hyperlink>
      <w:r w:rsidR="00CB3419">
        <w:rPr>
          <w:sz w:val="16"/>
          <w:szCs w:val="16"/>
        </w:rPr>
        <w:t xml:space="preserve"> </w:t>
      </w:r>
      <w:r w:rsidR="00E45046" w:rsidRPr="00CC2F2D">
        <w:rPr>
          <w:sz w:val="16"/>
          <w:szCs w:val="16"/>
        </w:rPr>
        <w:t xml:space="preserve">. </w:t>
      </w:r>
    </w:p>
  </w:footnote>
  <w:footnote w:id="82">
    <w:p w14:paraId="0813C99D" w14:textId="52922431" w:rsidR="0023625B" w:rsidRPr="00CC2F2D" w:rsidRDefault="0023625B">
      <w:pPr>
        <w:pStyle w:val="FootnoteText"/>
        <w:rPr>
          <w:sz w:val="16"/>
          <w:szCs w:val="16"/>
        </w:rPr>
      </w:pPr>
      <w:r w:rsidRPr="00CC2F2D">
        <w:rPr>
          <w:rStyle w:val="FootnoteReference"/>
          <w:sz w:val="16"/>
          <w:szCs w:val="16"/>
        </w:rPr>
        <w:footnoteRef/>
      </w:r>
      <w:r w:rsidRPr="00CC2F2D">
        <w:rPr>
          <w:sz w:val="16"/>
          <w:szCs w:val="16"/>
        </w:rPr>
        <w:t xml:space="preserve"> </w:t>
      </w:r>
      <w:r w:rsidRPr="00CC2F2D">
        <w:rPr>
          <w:i/>
          <w:iCs/>
          <w:sz w:val="16"/>
          <w:szCs w:val="16"/>
        </w:rPr>
        <w:t>See</w:t>
      </w:r>
      <w:r w:rsidRPr="00CC2F2D">
        <w:rPr>
          <w:sz w:val="16"/>
          <w:szCs w:val="16"/>
        </w:rPr>
        <w:t xml:space="preserve"> Sanders, </w:t>
      </w:r>
      <w:r w:rsidRPr="00CC2F2D">
        <w:rPr>
          <w:i/>
          <w:iCs/>
          <w:sz w:val="16"/>
          <w:szCs w:val="16"/>
        </w:rPr>
        <w:t>supra</w:t>
      </w:r>
      <w:r w:rsidRPr="00CC2F2D">
        <w:rPr>
          <w:sz w:val="16"/>
          <w:szCs w:val="16"/>
        </w:rPr>
        <w:t xml:space="preserve"> note </w:t>
      </w:r>
      <w:r w:rsidR="0070042F">
        <w:rPr>
          <w:sz w:val="16"/>
          <w:szCs w:val="16"/>
        </w:rPr>
        <w:t>8</w:t>
      </w:r>
      <w:r w:rsidR="00FB7480">
        <w:rPr>
          <w:sz w:val="16"/>
          <w:szCs w:val="16"/>
        </w:rPr>
        <w:t>1</w:t>
      </w:r>
      <w:r w:rsidR="00B72DB2" w:rsidRPr="00CC2F2D">
        <w:rPr>
          <w:sz w:val="16"/>
          <w:szCs w:val="16"/>
        </w:rPr>
        <w:t>.</w:t>
      </w:r>
    </w:p>
  </w:footnote>
  <w:footnote w:id="83">
    <w:p w14:paraId="0FA09F9F" w14:textId="185C2134" w:rsidR="00732447" w:rsidRPr="00CC2F2D" w:rsidRDefault="00732447">
      <w:pPr>
        <w:pStyle w:val="FootnoteText"/>
        <w:rPr>
          <w:sz w:val="16"/>
          <w:szCs w:val="16"/>
        </w:rPr>
      </w:pPr>
      <w:r w:rsidRPr="00CC2F2D">
        <w:rPr>
          <w:rStyle w:val="FootnoteReference"/>
          <w:sz w:val="16"/>
          <w:szCs w:val="16"/>
        </w:rPr>
        <w:footnoteRef/>
      </w:r>
      <w:r w:rsidRPr="00CC2F2D">
        <w:rPr>
          <w:sz w:val="16"/>
          <w:szCs w:val="16"/>
        </w:rPr>
        <w:t xml:space="preserve"> </w:t>
      </w:r>
      <w:hyperlink r:id="rId63" w:history="1">
        <w:r w:rsidRPr="0023493B">
          <w:rPr>
            <w:rStyle w:val="Hyperlink"/>
            <w:i/>
            <w:iCs/>
            <w:color w:val="auto"/>
            <w:sz w:val="16"/>
            <w:szCs w:val="16"/>
            <w:u w:val="none"/>
          </w:rPr>
          <w:t>FY22 Quick Facts</w:t>
        </w:r>
        <w:r w:rsidRPr="0023493B">
          <w:rPr>
            <w:rStyle w:val="Hyperlink"/>
            <w:color w:val="auto"/>
            <w:sz w:val="16"/>
            <w:szCs w:val="16"/>
            <w:u w:val="none"/>
          </w:rPr>
          <w:t>,</w:t>
        </w:r>
      </w:hyperlink>
      <w:r w:rsidRPr="0023493B">
        <w:rPr>
          <w:sz w:val="16"/>
          <w:szCs w:val="16"/>
        </w:rPr>
        <w:t xml:space="preserve"> </w:t>
      </w:r>
      <w:r w:rsidRPr="0023493B">
        <w:rPr>
          <w:smallCaps/>
          <w:sz w:val="16"/>
          <w:szCs w:val="16"/>
        </w:rPr>
        <w:t xml:space="preserve">MD </w:t>
      </w:r>
      <w:r w:rsidRPr="00CC2F2D">
        <w:rPr>
          <w:smallCaps/>
          <w:sz w:val="16"/>
          <w:szCs w:val="16"/>
        </w:rPr>
        <w:t>Anderson</w:t>
      </w:r>
      <w:r w:rsidRPr="00CC2F2D">
        <w:rPr>
          <w:sz w:val="16"/>
          <w:szCs w:val="16"/>
        </w:rPr>
        <w:t xml:space="preserve"> (last visited Oct. 11, 2023)</w:t>
      </w:r>
      <w:r w:rsidR="00AA64FB" w:rsidRPr="00CC2F2D">
        <w:rPr>
          <w:sz w:val="16"/>
          <w:szCs w:val="16"/>
        </w:rPr>
        <w:t xml:space="preserve">, </w:t>
      </w:r>
      <w:hyperlink r:id="rId64" w:history="1">
        <w:r w:rsidR="0023493B" w:rsidRPr="0016662A">
          <w:rPr>
            <w:rStyle w:val="Hyperlink"/>
            <w:sz w:val="16"/>
            <w:szCs w:val="16"/>
          </w:rPr>
          <w:t>https://www.mdanderson.org/documents/about-md-anderson/about-us/facts-and-history/quick-facts.pdf</w:t>
        </w:r>
      </w:hyperlink>
      <w:r w:rsidR="0023493B">
        <w:rPr>
          <w:sz w:val="16"/>
          <w:szCs w:val="16"/>
        </w:rPr>
        <w:t xml:space="preserve"> </w:t>
      </w:r>
      <w:r w:rsidR="00AA64FB" w:rsidRPr="00CC2F2D">
        <w:rPr>
          <w:sz w:val="16"/>
          <w:szCs w:val="16"/>
        </w:rPr>
        <w:t xml:space="preserve">. </w:t>
      </w:r>
    </w:p>
  </w:footnote>
  <w:footnote w:id="84">
    <w:p w14:paraId="771FC717" w14:textId="771838EC" w:rsidR="00732447" w:rsidRPr="00CC2F2D" w:rsidRDefault="00732447">
      <w:pPr>
        <w:pStyle w:val="FootnoteText"/>
        <w:rPr>
          <w:sz w:val="16"/>
          <w:szCs w:val="16"/>
        </w:rPr>
      </w:pPr>
      <w:r w:rsidRPr="00CC2F2D">
        <w:rPr>
          <w:rStyle w:val="FootnoteReference"/>
          <w:sz w:val="16"/>
          <w:szCs w:val="16"/>
        </w:rPr>
        <w:footnoteRef/>
      </w:r>
      <w:r w:rsidRPr="00CC2F2D">
        <w:rPr>
          <w:sz w:val="16"/>
          <w:szCs w:val="16"/>
        </w:rPr>
        <w:t xml:space="preserve"> </w:t>
      </w:r>
      <w:hyperlink r:id="rId65" w:history="1">
        <w:r w:rsidRPr="00A53616">
          <w:rPr>
            <w:rStyle w:val="Hyperlink"/>
            <w:i/>
            <w:iCs/>
            <w:color w:val="auto"/>
            <w:sz w:val="16"/>
            <w:szCs w:val="16"/>
            <w:u w:val="none"/>
          </w:rPr>
          <w:t>History and Milestones</w:t>
        </w:r>
      </w:hyperlink>
      <w:r w:rsidRPr="00CC2F2D">
        <w:rPr>
          <w:sz w:val="16"/>
          <w:szCs w:val="16"/>
        </w:rPr>
        <w:t xml:space="preserve">, </w:t>
      </w:r>
      <w:r w:rsidRPr="00CC2F2D">
        <w:rPr>
          <w:smallCaps/>
          <w:sz w:val="16"/>
          <w:szCs w:val="16"/>
        </w:rPr>
        <w:t>Memorial Sloan Kettering Cancer Center</w:t>
      </w:r>
      <w:r w:rsidRPr="00CC2F2D">
        <w:rPr>
          <w:sz w:val="16"/>
          <w:szCs w:val="16"/>
        </w:rPr>
        <w:t xml:space="preserve"> (last visited Oct. 11, 2023)</w:t>
      </w:r>
      <w:r w:rsidR="00AA64FB" w:rsidRPr="00CC2F2D">
        <w:rPr>
          <w:sz w:val="16"/>
          <w:szCs w:val="16"/>
        </w:rPr>
        <w:t xml:space="preserve">, https://www.mskcc.org/about/history-milestones. </w:t>
      </w:r>
    </w:p>
  </w:footnote>
  <w:footnote w:id="85">
    <w:p w14:paraId="11002132" w14:textId="2D9CCD62" w:rsidR="00AA64FB" w:rsidRPr="00CC2F2D" w:rsidRDefault="00AA64FB" w:rsidP="00AA64FB">
      <w:pPr>
        <w:pStyle w:val="FootnoteText"/>
        <w:rPr>
          <w:sz w:val="16"/>
          <w:szCs w:val="16"/>
        </w:rPr>
      </w:pPr>
      <w:r w:rsidRPr="00CC2F2D">
        <w:rPr>
          <w:rStyle w:val="FootnoteReference"/>
          <w:sz w:val="16"/>
          <w:szCs w:val="16"/>
        </w:rPr>
        <w:footnoteRef/>
      </w:r>
      <w:r w:rsidRPr="00CC2F2D">
        <w:rPr>
          <w:sz w:val="16"/>
          <w:szCs w:val="16"/>
        </w:rPr>
        <w:t xml:space="preserve"> </w:t>
      </w:r>
      <w:hyperlink r:id="rId66" w:history="1">
        <w:r w:rsidRPr="00A53616">
          <w:rPr>
            <w:rStyle w:val="Hyperlink"/>
            <w:i/>
            <w:iCs/>
            <w:color w:val="auto"/>
            <w:sz w:val="16"/>
            <w:szCs w:val="16"/>
            <w:u w:val="none"/>
          </w:rPr>
          <w:t>The James Cancer Hospital and Solove Research Institute</w:t>
        </w:r>
        <w:r w:rsidRPr="00A53616">
          <w:rPr>
            <w:rStyle w:val="Hyperlink"/>
            <w:color w:val="auto"/>
            <w:sz w:val="16"/>
            <w:szCs w:val="16"/>
            <w:u w:val="none"/>
          </w:rPr>
          <w:t>,</w:t>
        </w:r>
      </w:hyperlink>
      <w:r w:rsidRPr="00A53616">
        <w:rPr>
          <w:sz w:val="16"/>
          <w:szCs w:val="16"/>
        </w:rPr>
        <w:t xml:space="preserve"> </w:t>
      </w:r>
      <w:r w:rsidR="00CC7C3F" w:rsidRPr="00CC2F2D">
        <w:rPr>
          <w:smallCaps/>
          <w:sz w:val="16"/>
          <w:szCs w:val="16"/>
        </w:rPr>
        <w:t>The James</w:t>
      </w:r>
      <w:r w:rsidR="00CC7C3F" w:rsidRPr="00CC2F2D">
        <w:rPr>
          <w:sz w:val="16"/>
          <w:szCs w:val="16"/>
        </w:rPr>
        <w:t xml:space="preserve"> (last visited Oct. 11, 2023), </w:t>
      </w:r>
      <w:hyperlink r:id="rId67" w:history="1">
        <w:r w:rsidR="00A53616" w:rsidRPr="0016662A">
          <w:rPr>
            <w:rStyle w:val="Hyperlink"/>
            <w:sz w:val="16"/>
            <w:szCs w:val="16"/>
          </w:rPr>
          <w:t>https://cancer.osu.edu/locations/the-james-cancer-hospital-and-solove-research-institute</w:t>
        </w:r>
      </w:hyperlink>
      <w:r w:rsidR="00A53616">
        <w:rPr>
          <w:sz w:val="16"/>
          <w:szCs w:val="16"/>
        </w:rPr>
        <w:t xml:space="preserve"> </w:t>
      </w:r>
      <w:r w:rsidR="00CC7C3F" w:rsidRPr="00CC2F2D">
        <w:rPr>
          <w:sz w:val="16"/>
          <w:szCs w:val="16"/>
        </w:rPr>
        <w:t xml:space="preserve">. </w:t>
      </w:r>
    </w:p>
  </w:footnote>
  <w:footnote w:id="86">
    <w:p w14:paraId="117C8FAD" w14:textId="2C0D2ADA" w:rsidR="00CC7C3F" w:rsidRPr="00CC2F2D" w:rsidRDefault="00CC7C3F">
      <w:pPr>
        <w:pStyle w:val="FootnoteText"/>
        <w:rPr>
          <w:sz w:val="16"/>
          <w:szCs w:val="16"/>
        </w:rPr>
      </w:pPr>
      <w:r w:rsidRPr="00CC2F2D">
        <w:rPr>
          <w:rStyle w:val="FootnoteReference"/>
          <w:sz w:val="16"/>
          <w:szCs w:val="16"/>
        </w:rPr>
        <w:footnoteRef/>
      </w:r>
      <w:r w:rsidRPr="00CC2F2D">
        <w:rPr>
          <w:sz w:val="16"/>
          <w:szCs w:val="16"/>
        </w:rPr>
        <w:t xml:space="preserve"> </w:t>
      </w:r>
      <w:hyperlink r:id="rId68" w:history="1">
        <w:r w:rsidRPr="001B54E1">
          <w:rPr>
            <w:rStyle w:val="Hyperlink"/>
            <w:i/>
            <w:iCs/>
            <w:color w:val="auto"/>
            <w:sz w:val="16"/>
            <w:szCs w:val="16"/>
            <w:u w:val="none"/>
          </w:rPr>
          <w:t>2022 Annual Report</w:t>
        </w:r>
        <w:r w:rsidRPr="001B54E1">
          <w:rPr>
            <w:rStyle w:val="Hyperlink"/>
            <w:color w:val="auto"/>
            <w:sz w:val="16"/>
            <w:szCs w:val="16"/>
            <w:u w:val="none"/>
          </w:rPr>
          <w:t>,</w:t>
        </w:r>
      </w:hyperlink>
      <w:r w:rsidRPr="001B54E1">
        <w:rPr>
          <w:sz w:val="16"/>
          <w:szCs w:val="16"/>
        </w:rPr>
        <w:t xml:space="preserve"> </w:t>
      </w:r>
      <w:r w:rsidRPr="00CC2F2D">
        <w:rPr>
          <w:bCs/>
          <w:smallCaps/>
          <w:sz w:val="16"/>
          <w:szCs w:val="16"/>
        </w:rPr>
        <w:t>Moffitt Cancer Center (</w:t>
      </w:r>
      <w:r w:rsidR="002F47D4" w:rsidRPr="00CC2F2D">
        <w:rPr>
          <w:bCs/>
          <w:sz w:val="16"/>
          <w:szCs w:val="16"/>
        </w:rPr>
        <w:t xml:space="preserve">last visited Oct. 11, 2023), </w:t>
      </w:r>
      <w:hyperlink r:id="rId69" w:history="1">
        <w:r w:rsidR="00A53616" w:rsidRPr="0016662A">
          <w:rPr>
            <w:rStyle w:val="Hyperlink"/>
            <w:bCs/>
            <w:sz w:val="16"/>
            <w:szCs w:val="16"/>
          </w:rPr>
          <w:t>https://www.moffitt.org/contentassets/d49ae52b00f944f589bc060e91c0ce73/annual-report-2022.pdf</w:t>
        </w:r>
      </w:hyperlink>
      <w:r w:rsidR="00A53616">
        <w:rPr>
          <w:bCs/>
          <w:sz w:val="16"/>
          <w:szCs w:val="16"/>
        </w:rPr>
        <w:t xml:space="preserve"> </w:t>
      </w:r>
      <w:r w:rsidR="002F47D4" w:rsidRPr="00CC2F2D">
        <w:rPr>
          <w:bCs/>
          <w:sz w:val="16"/>
          <w:szCs w:val="16"/>
        </w:rPr>
        <w:t xml:space="preserve">. </w:t>
      </w:r>
    </w:p>
  </w:footnote>
  <w:footnote w:id="87">
    <w:p w14:paraId="1D27C740" w14:textId="454B5BD1" w:rsidR="002F47D4" w:rsidRPr="00CC2F2D" w:rsidRDefault="002F47D4">
      <w:pPr>
        <w:pStyle w:val="FootnoteText"/>
        <w:rPr>
          <w:sz w:val="16"/>
          <w:szCs w:val="16"/>
        </w:rPr>
      </w:pPr>
      <w:r w:rsidRPr="00CC2F2D">
        <w:rPr>
          <w:rStyle w:val="FootnoteReference"/>
          <w:sz w:val="16"/>
          <w:szCs w:val="16"/>
        </w:rPr>
        <w:footnoteRef/>
      </w:r>
      <w:hyperlink r:id="rId70" w:history="1">
        <w:r w:rsidRPr="00702B38">
          <w:rPr>
            <w:rStyle w:val="Hyperlink"/>
            <w:i/>
            <w:iCs/>
            <w:color w:val="auto"/>
            <w:sz w:val="16"/>
            <w:szCs w:val="16"/>
            <w:u w:val="none"/>
          </w:rPr>
          <w:t>2021–2023 Implementation Strategy</w:t>
        </w:r>
      </w:hyperlink>
      <w:r w:rsidRPr="00702B38">
        <w:rPr>
          <w:sz w:val="16"/>
          <w:szCs w:val="16"/>
        </w:rPr>
        <w:t xml:space="preserve">, </w:t>
      </w:r>
      <w:r w:rsidRPr="00702B38">
        <w:rPr>
          <w:smallCaps/>
          <w:sz w:val="16"/>
          <w:szCs w:val="16"/>
        </w:rPr>
        <w:t xml:space="preserve">City </w:t>
      </w:r>
      <w:r w:rsidRPr="00CC2F2D">
        <w:rPr>
          <w:smallCaps/>
          <w:sz w:val="16"/>
          <w:szCs w:val="16"/>
        </w:rPr>
        <w:t>of Hope</w:t>
      </w:r>
      <w:r w:rsidR="008179EC" w:rsidRPr="00CC2F2D">
        <w:rPr>
          <w:smallCaps/>
          <w:sz w:val="16"/>
          <w:szCs w:val="16"/>
        </w:rPr>
        <w:t xml:space="preserve"> (</w:t>
      </w:r>
      <w:r w:rsidR="008179EC" w:rsidRPr="00CC2F2D">
        <w:rPr>
          <w:sz w:val="16"/>
          <w:szCs w:val="16"/>
        </w:rPr>
        <w:t xml:space="preserve">last visited Oct. 11, 2023), </w:t>
      </w:r>
      <w:hyperlink r:id="rId71" w:history="1">
        <w:r w:rsidR="008D2413" w:rsidRPr="0016662A">
          <w:rPr>
            <w:rStyle w:val="Hyperlink"/>
            <w:sz w:val="16"/>
            <w:szCs w:val="16"/>
          </w:rPr>
          <w:t>https://www.cityofhope.org/sites/www/files/2022-05/implementation-strategy-2021-2023.pdf</w:t>
        </w:r>
      </w:hyperlink>
      <w:r w:rsidR="008D2413">
        <w:rPr>
          <w:sz w:val="16"/>
          <w:szCs w:val="16"/>
        </w:rPr>
        <w:t xml:space="preserve"> </w:t>
      </w:r>
      <w:r w:rsidR="008179EC" w:rsidRPr="00CC2F2D">
        <w:rPr>
          <w:sz w:val="16"/>
          <w:szCs w:val="16"/>
        </w:rPr>
        <w:t xml:space="preserve">. </w:t>
      </w:r>
    </w:p>
  </w:footnote>
  <w:footnote w:id="88">
    <w:p w14:paraId="3C77CA99" w14:textId="1EBD0F51" w:rsidR="005F17F4" w:rsidRPr="00CC2F2D" w:rsidRDefault="005F17F4">
      <w:pPr>
        <w:pStyle w:val="FootnoteText"/>
        <w:rPr>
          <w:sz w:val="16"/>
          <w:szCs w:val="16"/>
        </w:rPr>
      </w:pPr>
      <w:r w:rsidRPr="00CC2F2D">
        <w:rPr>
          <w:rStyle w:val="FootnoteReference"/>
          <w:sz w:val="16"/>
          <w:szCs w:val="16"/>
        </w:rPr>
        <w:footnoteRef/>
      </w:r>
      <w:r w:rsidRPr="00CC2F2D">
        <w:rPr>
          <w:sz w:val="16"/>
          <w:szCs w:val="16"/>
        </w:rPr>
        <w:t xml:space="preserve"> </w:t>
      </w:r>
      <w:hyperlink r:id="rId72" w:history="1">
        <w:r w:rsidR="007251B7" w:rsidRPr="00702B38">
          <w:rPr>
            <w:rStyle w:val="Hyperlink"/>
            <w:i/>
            <w:iCs/>
            <w:color w:val="auto"/>
            <w:sz w:val="16"/>
            <w:szCs w:val="16"/>
            <w:u w:val="none"/>
          </w:rPr>
          <w:t>MRI for Cancer</w:t>
        </w:r>
      </w:hyperlink>
      <w:r w:rsidR="007251B7" w:rsidRPr="00702B38">
        <w:rPr>
          <w:i/>
          <w:iCs/>
          <w:sz w:val="16"/>
          <w:szCs w:val="16"/>
        </w:rPr>
        <w:t xml:space="preserve">, </w:t>
      </w:r>
      <w:r w:rsidR="007251B7" w:rsidRPr="00CC2F2D">
        <w:rPr>
          <w:smallCaps/>
          <w:sz w:val="16"/>
          <w:szCs w:val="16"/>
        </w:rPr>
        <w:t>Am. Cancer Soc</w:t>
      </w:r>
      <w:r w:rsidR="002340EA" w:rsidRPr="00CC2F2D">
        <w:rPr>
          <w:smallCaps/>
          <w:sz w:val="16"/>
          <w:szCs w:val="16"/>
        </w:rPr>
        <w:t>’</w:t>
      </w:r>
      <w:r w:rsidR="007251B7" w:rsidRPr="00CC2F2D">
        <w:rPr>
          <w:smallCaps/>
          <w:sz w:val="16"/>
          <w:szCs w:val="16"/>
        </w:rPr>
        <w:t>y (</w:t>
      </w:r>
      <w:r w:rsidR="007251B7" w:rsidRPr="00CC2F2D">
        <w:rPr>
          <w:sz w:val="16"/>
          <w:szCs w:val="16"/>
        </w:rPr>
        <w:t xml:space="preserve">last revised May 16, 2019), </w:t>
      </w:r>
      <w:hyperlink r:id="rId73" w:history="1">
        <w:r w:rsidR="00702B38" w:rsidRPr="0016662A">
          <w:rPr>
            <w:rStyle w:val="Hyperlink"/>
            <w:sz w:val="16"/>
            <w:szCs w:val="16"/>
          </w:rPr>
          <w:t>https://www.cancer.org/cancer/diagnosis-staging/tests/imaging-tests/mri-for-cancer.html</w:t>
        </w:r>
      </w:hyperlink>
      <w:r w:rsidR="00702B38">
        <w:rPr>
          <w:sz w:val="16"/>
          <w:szCs w:val="16"/>
        </w:rPr>
        <w:t xml:space="preserve"> </w:t>
      </w:r>
      <w:r w:rsidRPr="00CC2F2D">
        <w:rPr>
          <w:sz w:val="16"/>
          <w:szCs w:val="16"/>
        </w:rPr>
        <w:t>.</w:t>
      </w:r>
    </w:p>
  </w:footnote>
  <w:footnote w:id="89">
    <w:p w14:paraId="4D9ECB9B" w14:textId="759302EE" w:rsidR="00B76C89" w:rsidRPr="00CC2F2D" w:rsidRDefault="00B76C89">
      <w:pPr>
        <w:pStyle w:val="FootnoteText"/>
        <w:rPr>
          <w:i/>
          <w:iCs/>
          <w:sz w:val="16"/>
          <w:szCs w:val="16"/>
        </w:rPr>
      </w:pPr>
      <w:r w:rsidRPr="00CC2F2D">
        <w:rPr>
          <w:rStyle w:val="FootnoteReference"/>
          <w:sz w:val="16"/>
          <w:szCs w:val="16"/>
        </w:rPr>
        <w:footnoteRef/>
      </w:r>
      <w:r w:rsidRPr="00CC2F2D">
        <w:rPr>
          <w:sz w:val="16"/>
          <w:szCs w:val="16"/>
        </w:rPr>
        <w:t xml:space="preserve"> </w:t>
      </w:r>
      <w:r w:rsidR="00F02AE5" w:rsidRPr="00CC2F2D">
        <w:rPr>
          <w:i/>
          <w:iCs/>
          <w:sz w:val="16"/>
          <w:szCs w:val="16"/>
        </w:rPr>
        <w:t>Id.</w:t>
      </w:r>
    </w:p>
  </w:footnote>
  <w:footnote w:id="90">
    <w:p w14:paraId="0ACE5D4E" w14:textId="11432C6B" w:rsidR="00331337" w:rsidRPr="00CC2F2D" w:rsidRDefault="00331337">
      <w:pPr>
        <w:pStyle w:val="FootnoteText"/>
        <w:rPr>
          <w:sz w:val="16"/>
          <w:szCs w:val="16"/>
        </w:rPr>
      </w:pPr>
      <w:r w:rsidRPr="00CC2F2D">
        <w:rPr>
          <w:rStyle w:val="FootnoteReference"/>
          <w:sz w:val="16"/>
          <w:szCs w:val="16"/>
        </w:rPr>
        <w:footnoteRef/>
      </w:r>
      <w:r w:rsidRPr="00CC2F2D">
        <w:rPr>
          <w:sz w:val="16"/>
          <w:szCs w:val="16"/>
        </w:rPr>
        <w:t xml:space="preserve"> Landis K. Griffeth, </w:t>
      </w:r>
      <w:r w:rsidRPr="00CC2F2D">
        <w:rPr>
          <w:i/>
          <w:iCs/>
          <w:sz w:val="16"/>
          <w:szCs w:val="16"/>
        </w:rPr>
        <w:t>Use of PET/CT scanning in cancer patients: technical and practical considerations</w:t>
      </w:r>
      <w:r w:rsidRPr="00CC2F2D">
        <w:rPr>
          <w:sz w:val="16"/>
          <w:szCs w:val="16"/>
        </w:rPr>
        <w:t xml:space="preserve">, 18 </w:t>
      </w:r>
      <w:r w:rsidRPr="00CC2F2D">
        <w:rPr>
          <w:smallCaps/>
          <w:sz w:val="16"/>
          <w:szCs w:val="16"/>
        </w:rPr>
        <w:t>Proceedings (</w:t>
      </w:r>
      <w:r w:rsidR="005F3F5F" w:rsidRPr="00CC2F2D">
        <w:rPr>
          <w:smallCaps/>
          <w:sz w:val="16"/>
          <w:szCs w:val="16"/>
        </w:rPr>
        <w:t>B</w:t>
      </w:r>
      <w:r w:rsidRPr="00CC2F2D">
        <w:rPr>
          <w:smallCaps/>
          <w:sz w:val="16"/>
          <w:szCs w:val="16"/>
        </w:rPr>
        <w:t xml:space="preserve">aylor Uni. Med. </w:t>
      </w:r>
      <w:proofErr w:type="spellStart"/>
      <w:r w:rsidRPr="00CC2F2D">
        <w:rPr>
          <w:smallCaps/>
          <w:sz w:val="16"/>
          <w:szCs w:val="16"/>
        </w:rPr>
        <w:t>Centr</w:t>
      </w:r>
      <w:proofErr w:type="spellEnd"/>
      <w:r w:rsidRPr="00CC2F2D">
        <w:rPr>
          <w:smallCaps/>
          <w:sz w:val="16"/>
          <w:szCs w:val="16"/>
        </w:rPr>
        <w:t xml:space="preserve">) </w:t>
      </w:r>
      <w:r w:rsidRPr="00CC2F2D">
        <w:rPr>
          <w:sz w:val="16"/>
          <w:szCs w:val="16"/>
        </w:rPr>
        <w:t xml:space="preserve">321, 321-330 (2005). </w:t>
      </w:r>
    </w:p>
  </w:footnote>
  <w:footnote w:id="91">
    <w:p w14:paraId="0A5999CB" w14:textId="4ADC3AC9" w:rsidR="00163A1B" w:rsidRPr="00CC2F2D" w:rsidRDefault="00163A1B">
      <w:pPr>
        <w:pStyle w:val="FootnoteText"/>
        <w:rPr>
          <w:sz w:val="16"/>
          <w:szCs w:val="16"/>
        </w:rPr>
      </w:pPr>
      <w:r w:rsidRPr="00CC2F2D">
        <w:rPr>
          <w:rStyle w:val="FootnoteReference"/>
          <w:sz w:val="16"/>
          <w:szCs w:val="16"/>
        </w:rPr>
        <w:footnoteRef/>
      </w:r>
      <w:r w:rsidRPr="00CC2F2D">
        <w:rPr>
          <w:sz w:val="16"/>
          <w:szCs w:val="16"/>
        </w:rPr>
        <w:t xml:space="preserve"> Inpatient throughput assumptions reflect estimates of operational days and hours where the imaging equipment in question is expected to be routinely productive. Applicant understands that, in the inpatient setting, imaging will need to be available outside of normal operating hours. </w:t>
      </w:r>
    </w:p>
  </w:footnote>
  <w:footnote w:id="92">
    <w:p w14:paraId="43563C64" w14:textId="2E2BA91C" w:rsidR="00523734" w:rsidRPr="00CC2F2D" w:rsidRDefault="00523734">
      <w:pPr>
        <w:pStyle w:val="FootnoteText"/>
        <w:rPr>
          <w:sz w:val="16"/>
          <w:szCs w:val="16"/>
        </w:rPr>
      </w:pPr>
      <w:r w:rsidRPr="00CC2F2D">
        <w:rPr>
          <w:rStyle w:val="FootnoteReference"/>
          <w:sz w:val="16"/>
          <w:szCs w:val="16"/>
        </w:rPr>
        <w:footnoteRef/>
      </w:r>
      <w:r w:rsidRPr="00CC2F2D">
        <w:rPr>
          <w:sz w:val="16"/>
          <w:szCs w:val="16"/>
        </w:rPr>
        <w:t xml:space="preserve"> Initial Applicant data on CT scans was produced on an appointment-level basis. The Applicant estimates, based on internal data, that, on average during an appointment, a patient receives approximately 1.6 scans. As such, initial CT appointment-level data was multiplied by 1.6 to produce scan-level data.  </w:t>
      </w:r>
    </w:p>
  </w:footnote>
  <w:footnote w:id="93">
    <w:p w14:paraId="2059E537" w14:textId="69FC4A2B" w:rsidR="00622554" w:rsidRPr="00CC2F2D" w:rsidRDefault="00622554">
      <w:pPr>
        <w:pStyle w:val="FootnoteText"/>
        <w:rPr>
          <w:sz w:val="16"/>
          <w:szCs w:val="16"/>
        </w:rPr>
      </w:pPr>
      <w:r w:rsidRPr="00CC2F2D">
        <w:rPr>
          <w:rStyle w:val="FootnoteReference"/>
          <w:sz w:val="16"/>
          <w:szCs w:val="16"/>
        </w:rPr>
        <w:footnoteRef/>
      </w:r>
      <w:r w:rsidRPr="00CC2F2D">
        <w:rPr>
          <w:sz w:val="16"/>
          <w:szCs w:val="16"/>
        </w:rPr>
        <w:t xml:space="preserve"> </w:t>
      </w:r>
      <w:r w:rsidR="00F91B44" w:rsidRPr="00CC2F2D">
        <w:rPr>
          <w:sz w:val="16"/>
          <w:szCs w:val="16"/>
        </w:rPr>
        <w:t xml:space="preserve">For purposes of calculating need, </w:t>
      </w:r>
      <w:r w:rsidRPr="00CC2F2D">
        <w:rPr>
          <w:sz w:val="16"/>
          <w:szCs w:val="16"/>
        </w:rPr>
        <w:t>“LINAC” refers only to standard linear accelerator machines and does not refer to any type of specialty or modified LINAC (</w:t>
      </w:r>
      <w:r w:rsidRPr="00CC2F2D">
        <w:rPr>
          <w:i/>
          <w:iCs/>
          <w:sz w:val="16"/>
          <w:szCs w:val="16"/>
        </w:rPr>
        <w:t>e.g.</w:t>
      </w:r>
      <w:r w:rsidRPr="00CC2F2D">
        <w:rPr>
          <w:sz w:val="16"/>
          <w:szCs w:val="16"/>
        </w:rPr>
        <w:t>, MRI-guided LINAC or full body LINACs)</w:t>
      </w:r>
      <w:r w:rsidR="00EC228E" w:rsidRPr="00CC2F2D">
        <w:rPr>
          <w:sz w:val="16"/>
          <w:szCs w:val="16"/>
        </w:rPr>
        <w:t>. The Applicant excluded such specialty or modified LINACs from the need calculations in light of confidentiality restrictions on disclosing proprietary BWH information. As such, its overall estimate of LINAC need is likely underestimated</w:t>
      </w:r>
      <w:r w:rsidR="00FB7A4C" w:rsidRPr="00CC2F2D">
        <w:rPr>
          <w:sz w:val="16"/>
          <w:szCs w:val="16"/>
        </w:rPr>
        <w:t xml:space="preserve">. </w:t>
      </w:r>
    </w:p>
  </w:footnote>
  <w:footnote w:id="94">
    <w:p w14:paraId="1D5E7708" w14:textId="3A924C83" w:rsidR="0074593B" w:rsidRPr="00CC2F2D" w:rsidRDefault="0074593B" w:rsidP="0074593B">
      <w:pPr>
        <w:pStyle w:val="FootnoteText"/>
        <w:rPr>
          <w:smallCaps/>
          <w:sz w:val="16"/>
          <w:szCs w:val="16"/>
        </w:rPr>
      </w:pPr>
      <w:r w:rsidRPr="00CC2F2D">
        <w:rPr>
          <w:rStyle w:val="FootnoteReference"/>
          <w:sz w:val="16"/>
          <w:szCs w:val="16"/>
        </w:rPr>
        <w:footnoteRef/>
      </w:r>
      <w:r w:rsidRPr="00CC2F2D">
        <w:rPr>
          <w:sz w:val="16"/>
          <w:szCs w:val="16"/>
        </w:rPr>
        <w:t xml:space="preserve"> Yi-Ju Chen et al., </w:t>
      </w:r>
      <w:r w:rsidRPr="00CC2F2D">
        <w:rPr>
          <w:i/>
          <w:iCs/>
          <w:sz w:val="16"/>
          <w:szCs w:val="16"/>
        </w:rPr>
        <w:t>CAR-TL What Is Next?</w:t>
      </w:r>
      <w:r w:rsidRPr="00CC2F2D">
        <w:rPr>
          <w:sz w:val="16"/>
          <w:szCs w:val="16"/>
        </w:rPr>
        <w:t xml:space="preserve">, 15 </w:t>
      </w:r>
      <w:r w:rsidRPr="00CC2F2D">
        <w:rPr>
          <w:smallCaps/>
          <w:sz w:val="16"/>
          <w:szCs w:val="16"/>
        </w:rPr>
        <w:t xml:space="preserve">Cancers 663 (2023). </w:t>
      </w:r>
    </w:p>
  </w:footnote>
  <w:footnote w:id="95">
    <w:p w14:paraId="4C093995" w14:textId="43987B2A" w:rsidR="0074593B" w:rsidRPr="00CC2F2D" w:rsidRDefault="0074593B" w:rsidP="0074593B">
      <w:pPr>
        <w:pStyle w:val="FootnoteText"/>
        <w:rPr>
          <w:smallCaps/>
          <w:sz w:val="16"/>
          <w:szCs w:val="16"/>
        </w:rPr>
      </w:pPr>
      <w:r w:rsidRPr="00CC2F2D">
        <w:rPr>
          <w:rStyle w:val="FootnoteReference"/>
          <w:sz w:val="16"/>
          <w:szCs w:val="16"/>
        </w:rPr>
        <w:footnoteRef/>
      </w:r>
      <w:r w:rsidRPr="00CC2F2D">
        <w:rPr>
          <w:sz w:val="16"/>
          <w:szCs w:val="16"/>
        </w:rPr>
        <w:t xml:space="preserve"> James E. Frampton, </w:t>
      </w:r>
      <w:proofErr w:type="spellStart"/>
      <w:r w:rsidRPr="00CC2F2D">
        <w:rPr>
          <w:i/>
          <w:iCs/>
          <w:sz w:val="16"/>
          <w:szCs w:val="16"/>
        </w:rPr>
        <w:t>Epcoritamab</w:t>
      </w:r>
      <w:proofErr w:type="spellEnd"/>
      <w:r w:rsidRPr="00CC2F2D">
        <w:rPr>
          <w:i/>
          <w:iCs/>
          <w:sz w:val="16"/>
          <w:szCs w:val="16"/>
        </w:rPr>
        <w:t>: First Approval</w:t>
      </w:r>
      <w:r w:rsidRPr="00CC2F2D">
        <w:rPr>
          <w:sz w:val="16"/>
          <w:szCs w:val="16"/>
        </w:rPr>
        <w:t xml:space="preserve">, </w:t>
      </w:r>
      <w:r w:rsidRPr="00CC2F2D">
        <w:rPr>
          <w:smallCaps/>
          <w:sz w:val="16"/>
          <w:szCs w:val="16"/>
        </w:rPr>
        <w:t>Drugs</w:t>
      </w:r>
      <w:r w:rsidRPr="00CC2F2D">
        <w:rPr>
          <w:sz w:val="16"/>
          <w:szCs w:val="16"/>
        </w:rPr>
        <w:t xml:space="preserve"> (2023); Michael J. Dickinson et al., </w:t>
      </w:r>
      <w:proofErr w:type="spellStart"/>
      <w:r w:rsidRPr="00CC2F2D">
        <w:rPr>
          <w:i/>
          <w:iCs/>
          <w:sz w:val="16"/>
          <w:szCs w:val="16"/>
        </w:rPr>
        <w:t>Glofitamab</w:t>
      </w:r>
      <w:proofErr w:type="spellEnd"/>
      <w:r w:rsidRPr="00CC2F2D">
        <w:rPr>
          <w:i/>
          <w:iCs/>
          <w:sz w:val="16"/>
          <w:szCs w:val="16"/>
        </w:rPr>
        <w:t xml:space="preserve"> for Relapsed or Refractory Diffuse Large B-Cell Lymphoma</w:t>
      </w:r>
      <w:r w:rsidRPr="00CC2F2D">
        <w:rPr>
          <w:sz w:val="16"/>
          <w:szCs w:val="16"/>
        </w:rPr>
        <w:t xml:space="preserve"> 387 </w:t>
      </w:r>
      <w:r w:rsidRPr="00CC2F2D">
        <w:rPr>
          <w:smallCaps/>
          <w:sz w:val="16"/>
          <w:szCs w:val="16"/>
        </w:rPr>
        <w:t xml:space="preserve">New Eng. J. Med. 2220, 2220-2231 (2022); </w:t>
      </w:r>
      <w:r w:rsidRPr="00CC2F2D">
        <w:rPr>
          <w:sz w:val="16"/>
          <w:szCs w:val="16"/>
        </w:rPr>
        <w:t xml:space="preserve">Philippe Moreau, </w:t>
      </w:r>
      <w:proofErr w:type="spellStart"/>
      <w:r w:rsidRPr="00CC2F2D">
        <w:rPr>
          <w:i/>
          <w:iCs/>
          <w:sz w:val="16"/>
          <w:szCs w:val="16"/>
        </w:rPr>
        <w:t>Teclistamab</w:t>
      </w:r>
      <w:proofErr w:type="spellEnd"/>
      <w:r w:rsidRPr="00CC2F2D">
        <w:rPr>
          <w:i/>
          <w:iCs/>
          <w:sz w:val="16"/>
          <w:szCs w:val="16"/>
        </w:rPr>
        <w:t xml:space="preserve"> in Relapsed or Refractory Multiple Myeloma</w:t>
      </w:r>
      <w:r w:rsidRPr="00CC2F2D">
        <w:rPr>
          <w:sz w:val="16"/>
          <w:szCs w:val="16"/>
        </w:rPr>
        <w:t>, 387</w:t>
      </w:r>
      <w:r w:rsidRPr="00CC2F2D">
        <w:rPr>
          <w:smallCaps/>
          <w:sz w:val="16"/>
          <w:szCs w:val="16"/>
        </w:rPr>
        <w:t xml:space="preserve"> New Eng. J. Med. 495, 495-505 (2022);</w:t>
      </w:r>
      <w:r w:rsidRPr="00CC2F2D">
        <w:rPr>
          <w:sz w:val="16"/>
          <w:szCs w:val="16"/>
        </w:rPr>
        <w:t xml:space="preserve"> Hagop Kantarjian et al., </w:t>
      </w:r>
      <w:r w:rsidRPr="00CC2F2D">
        <w:rPr>
          <w:i/>
          <w:iCs/>
          <w:sz w:val="16"/>
          <w:szCs w:val="16"/>
        </w:rPr>
        <w:t>Blinatumomab versus Chemotherapy for Advanced Acute Lymphoblastic Leukemia</w:t>
      </w:r>
      <w:r w:rsidRPr="00CC2F2D">
        <w:rPr>
          <w:sz w:val="16"/>
          <w:szCs w:val="16"/>
        </w:rPr>
        <w:t xml:space="preserve">, 376 </w:t>
      </w:r>
      <w:r w:rsidRPr="00CC2F2D">
        <w:rPr>
          <w:smallCaps/>
          <w:sz w:val="16"/>
          <w:szCs w:val="16"/>
        </w:rPr>
        <w:t>New Eng. J. Med. (2017).</w:t>
      </w:r>
    </w:p>
  </w:footnote>
  <w:footnote w:id="96">
    <w:p w14:paraId="4A66B9E4" w14:textId="77777777" w:rsidR="0074593B" w:rsidRPr="00CC2F2D" w:rsidRDefault="0074593B" w:rsidP="0074593B">
      <w:pPr>
        <w:pStyle w:val="FootnoteText"/>
        <w:rPr>
          <w:sz w:val="16"/>
          <w:szCs w:val="16"/>
        </w:rPr>
      </w:pPr>
      <w:r w:rsidRPr="00CC2F2D">
        <w:rPr>
          <w:rStyle w:val="FootnoteReference"/>
          <w:sz w:val="16"/>
          <w:szCs w:val="16"/>
        </w:rPr>
        <w:footnoteRef/>
      </w:r>
      <w:r w:rsidRPr="00CC2F2D">
        <w:rPr>
          <w:sz w:val="16"/>
          <w:szCs w:val="16"/>
        </w:rPr>
        <w:t xml:space="preserve"> Dustin A. Cobb &amp; Daniel W. Lee, </w:t>
      </w:r>
      <w:r w:rsidRPr="00CC2F2D">
        <w:rPr>
          <w:i/>
          <w:iCs/>
          <w:sz w:val="16"/>
          <w:szCs w:val="16"/>
        </w:rPr>
        <w:t>Cytokine Release Syndrome Biology and Management</w:t>
      </w:r>
      <w:r w:rsidRPr="00CC2F2D">
        <w:rPr>
          <w:sz w:val="16"/>
          <w:szCs w:val="16"/>
        </w:rPr>
        <w:t xml:space="preserve">, 27 </w:t>
      </w:r>
      <w:r w:rsidRPr="00CC2F2D">
        <w:rPr>
          <w:smallCaps/>
          <w:sz w:val="16"/>
          <w:szCs w:val="16"/>
        </w:rPr>
        <w:t xml:space="preserve">Cancer J. </w:t>
      </w:r>
      <w:r w:rsidRPr="00CC2F2D">
        <w:rPr>
          <w:sz w:val="16"/>
          <w:szCs w:val="16"/>
        </w:rPr>
        <w:t xml:space="preserve">119, 119-125 (2021). </w:t>
      </w:r>
    </w:p>
  </w:footnote>
  <w:footnote w:id="97">
    <w:p w14:paraId="70CC359D" w14:textId="2D71A186" w:rsidR="0086352E" w:rsidRPr="00CC2F2D" w:rsidRDefault="0086352E">
      <w:pPr>
        <w:pStyle w:val="FootnoteText"/>
        <w:rPr>
          <w:sz w:val="16"/>
          <w:szCs w:val="16"/>
        </w:rPr>
      </w:pPr>
      <w:r w:rsidRPr="00CC2F2D">
        <w:rPr>
          <w:rStyle w:val="FootnoteReference"/>
          <w:sz w:val="16"/>
          <w:szCs w:val="16"/>
        </w:rPr>
        <w:footnoteRef/>
      </w:r>
      <w:r w:rsidRPr="00CC2F2D">
        <w:rPr>
          <w:sz w:val="16"/>
          <w:szCs w:val="16"/>
        </w:rPr>
        <w:t xml:space="preserve"> Laura Tesler Waldman et al., </w:t>
      </w:r>
      <w:r w:rsidRPr="00CC2F2D">
        <w:rPr>
          <w:i/>
          <w:iCs/>
          <w:sz w:val="16"/>
          <w:szCs w:val="16"/>
        </w:rPr>
        <w:t>A novel community-based delivery model to combat cancer disparities</w:t>
      </w:r>
      <w:r w:rsidRPr="00CC2F2D">
        <w:rPr>
          <w:sz w:val="16"/>
          <w:szCs w:val="16"/>
        </w:rPr>
        <w:t xml:space="preserve">, 1 </w:t>
      </w:r>
      <w:r w:rsidRPr="00CC2F2D">
        <w:rPr>
          <w:smallCaps/>
          <w:sz w:val="16"/>
          <w:szCs w:val="16"/>
        </w:rPr>
        <w:t>healthcare (</w:t>
      </w:r>
      <w:proofErr w:type="spellStart"/>
      <w:r w:rsidRPr="00CC2F2D">
        <w:rPr>
          <w:smallCaps/>
          <w:sz w:val="16"/>
          <w:szCs w:val="16"/>
        </w:rPr>
        <w:t>Amst</w:t>
      </w:r>
      <w:proofErr w:type="spellEnd"/>
      <w:r w:rsidRPr="00CC2F2D">
        <w:rPr>
          <w:smallCaps/>
          <w:sz w:val="16"/>
          <w:szCs w:val="16"/>
        </w:rPr>
        <w:t>)</w:t>
      </w:r>
      <w:r w:rsidRPr="00CC2F2D">
        <w:rPr>
          <w:sz w:val="16"/>
          <w:szCs w:val="16"/>
        </w:rPr>
        <w:t xml:space="preserve"> 123, 123-129 (2013).</w:t>
      </w:r>
    </w:p>
  </w:footnote>
  <w:footnote w:id="98">
    <w:p w14:paraId="553D1764" w14:textId="4FA1633F" w:rsidR="00A61FA3" w:rsidRPr="00CC2F2D" w:rsidRDefault="00A61FA3" w:rsidP="00A61FA3">
      <w:pPr>
        <w:pStyle w:val="FootnoteText"/>
        <w:rPr>
          <w:sz w:val="16"/>
          <w:szCs w:val="16"/>
        </w:rPr>
      </w:pPr>
      <w:r w:rsidRPr="00CC2F2D">
        <w:rPr>
          <w:rStyle w:val="FootnoteReference"/>
          <w:sz w:val="16"/>
          <w:szCs w:val="16"/>
        </w:rPr>
        <w:footnoteRef/>
      </w:r>
      <w:r w:rsidRPr="00CC2F2D">
        <w:rPr>
          <w:sz w:val="16"/>
          <w:szCs w:val="16"/>
        </w:rPr>
        <w:t xml:space="preserve"> Laura Tesler Waldman et al., </w:t>
      </w:r>
      <w:r w:rsidRPr="00CC2F2D">
        <w:rPr>
          <w:i/>
          <w:iCs/>
          <w:sz w:val="16"/>
          <w:szCs w:val="16"/>
        </w:rPr>
        <w:t>Using FastTrack to Implement an Academic Medical Center and Community Health Center Collaborative for Cancer Care Delivery</w:t>
      </w:r>
      <w:r w:rsidRPr="00CC2F2D">
        <w:rPr>
          <w:sz w:val="16"/>
          <w:szCs w:val="16"/>
        </w:rPr>
        <w:t xml:space="preserve">, </w:t>
      </w:r>
      <w:r w:rsidRPr="00CC2F2D">
        <w:rPr>
          <w:smallCaps/>
          <w:sz w:val="16"/>
          <w:szCs w:val="16"/>
        </w:rPr>
        <w:t>healthcare (</w:t>
      </w:r>
      <w:proofErr w:type="spellStart"/>
      <w:r w:rsidRPr="00CC2F2D">
        <w:rPr>
          <w:smallCaps/>
          <w:sz w:val="16"/>
          <w:szCs w:val="16"/>
        </w:rPr>
        <w:t>Amst</w:t>
      </w:r>
      <w:proofErr w:type="spellEnd"/>
      <w:r w:rsidRPr="00CC2F2D">
        <w:rPr>
          <w:smallCaps/>
          <w:sz w:val="16"/>
          <w:szCs w:val="16"/>
        </w:rPr>
        <w:t>)</w:t>
      </w:r>
      <w:r w:rsidRPr="00CC2F2D">
        <w:rPr>
          <w:sz w:val="16"/>
          <w:szCs w:val="16"/>
        </w:rPr>
        <w:t xml:space="preserve"> 130, 130-135 (2013); Huma Q. Rana et al., </w:t>
      </w:r>
      <w:r w:rsidRPr="00CC2F2D">
        <w:rPr>
          <w:i/>
          <w:iCs/>
          <w:sz w:val="16"/>
          <w:szCs w:val="16"/>
        </w:rPr>
        <w:t>A comparison of cancer risk assessment and testing outcomes in patients from underserved vs. tertiary care settings</w:t>
      </w:r>
      <w:r w:rsidRPr="00CC2F2D">
        <w:rPr>
          <w:sz w:val="16"/>
          <w:szCs w:val="16"/>
        </w:rPr>
        <w:t xml:space="preserve"> </w:t>
      </w:r>
      <w:r w:rsidRPr="00CC2F2D">
        <w:rPr>
          <w:smallCaps/>
          <w:sz w:val="16"/>
          <w:szCs w:val="16"/>
        </w:rPr>
        <w:t>9 J. Comm. Genetics</w:t>
      </w:r>
      <w:r w:rsidRPr="00CC2F2D">
        <w:rPr>
          <w:sz w:val="16"/>
          <w:szCs w:val="16"/>
        </w:rPr>
        <w:t xml:space="preserve"> 233, 233-241 (2018);  Leah S. Stockman, </w:t>
      </w:r>
      <w:r w:rsidRPr="00CC2F2D">
        <w:rPr>
          <w:i/>
          <w:iCs/>
          <w:sz w:val="16"/>
          <w:szCs w:val="16"/>
        </w:rPr>
        <w:t>The Colocation Model in Community Cancer Care: A Description of Patient Clinical and Demographic Attributes and Referral Pathways</w:t>
      </w:r>
      <w:r w:rsidRPr="00CC2F2D">
        <w:rPr>
          <w:sz w:val="16"/>
          <w:szCs w:val="16"/>
        </w:rPr>
        <w:t xml:space="preserve">, 19 </w:t>
      </w:r>
      <w:r w:rsidRPr="00CC2F2D">
        <w:rPr>
          <w:smallCaps/>
          <w:sz w:val="16"/>
          <w:szCs w:val="16"/>
        </w:rPr>
        <w:t xml:space="preserve">JCO Oncology Practice </w:t>
      </w:r>
      <w:r w:rsidRPr="00CC2F2D">
        <w:rPr>
          <w:sz w:val="16"/>
          <w:szCs w:val="16"/>
        </w:rPr>
        <w:t>e</w:t>
      </w:r>
      <w:r w:rsidRPr="00CC2F2D">
        <w:rPr>
          <w:smallCaps/>
          <w:sz w:val="16"/>
          <w:szCs w:val="16"/>
        </w:rPr>
        <w:t xml:space="preserve">916, </w:t>
      </w:r>
      <w:r w:rsidRPr="00CC2F2D">
        <w:rPr>
          <w:sz w:val="16"/>
          <w:szCs w:val="16"/>
        </w:rPr>
        <w:t>e916-926 (2023); DF/HCC Community Outreach Supplement, Cancer Center Support Grant NIH/NCI P30 CA006516-51S3. 2017-2020</w:t>
      </w:r>
      <w:r w:rsidR="000D6D0A" w:rsidRPr="00CC2F2D">
        <w:rPr>
          <w:sz w:val="16"/>
          <w:szCs w:val="16"/>
        </w:rPr>
        <w:t>.</w:t>
      </w:r>
    </w:p>
  </w:footnote>
  <w:footnote w:id="99">
    <w:p w14:paraId="23B72BD9" w14:textId="77777777" w:rsidR="00A61FA3" w:rsidRPr="00CC2F2D" w:rsidRDefault="00A61FA3" w:rsidP="00A61FA3">
      <w:pPr>
        <w:pStyle w:val="FootnoteText"/>
        <w:rPr>
          <w:sz w:val="16"/>
          <w:szCs w:val="16"/>
        </w:rPr>
      </w:pPr>
      <w:r w:rsidRPr="00CC2F2D">
        <w:rPr>
          <w:rStyle w:val="FootnoteReference"/>
          <w:sz w:val="16"/>
          <w:szCs w:val="16"/>
        </w:rPr>
        <w:footnoteRef/>
      </w:r>
      <w:r w:rsidRPr="00CC2F2D">
        <w:rPr>
          <w:sz w:val="16"/>
          <w:szCs w:val="16"/>
        </w:rPr>
        <w:t xml:space="preserve"> Harold P. Freeman &amp; Rian L Rodriguez, </w:t>
      </w:r>
      <w:r w:rsidRPr="00CC2F2D">
        <w:rPr>
          <w:i/>
          <w:iCs/>
          <w:sz w:val="16"/>
          <w:szCs w:val="16"/>
        </w:rPr>
        <w:t>The History and Principles of Patient Navigation</w:t>
      </w:r>
      <w:r w:rsidRPr="00CC2F2D">
        <w:rPr>
          <w:sz w:val="16"/>
          <w:szCs w:val="16"/>
        </w:rPr>
        <w:t xml:space="preserve">, 117 </w:t>
      </w:r>
      <w:r w:rsidRPr="00CC2F2D">
        <w:rPr>
          <w:smallCaps/>
          <w:sz w:val="16"/>
          <w:szCs w:val="16"/>
        </w:rPr>
        <w:t xml:space="preserve">Cancer </w:t>
      </w:r>
      <w:r w:rsidRPr="00CC2F2D">
        <w:rPr>
          <w:sz w:val="16"/>
          <w:szCs w:val="16"/>
        </w:rPr>
        <w:t xml:space="preserve">3539, 3539-3542 (2011). </w:t>
      </w:r>
    </w:p>
  </w:footnote>
  <w:footnote w:id="100">
    <w:p w14:paraId="62D82E39" w14:textId="77777777" w:rsidR="00DD4D7B" w:rsidRPr="00CC2F2D" w:rsidRDefault="00DD4D7B" w:rsidP="00DD4D7B">
      <w:pPr>
        <w:pStyle w:val="FootnoteText"/>
        <w:rPr>
          <w:sz w:val="16"/>
          <w:szCs w:val="16"/>
        </w:rPr>
      </w:pPr>
      <w:r w:rsidRPr="00CC2F2D">
        <w:rPr>
          <w:rStyle w:val="FootnoteReference"/>
          <w:sz w:val="16"/>
          <w:szCs w:val="16"/>
        </w:rPr>
        <w:footnoteRef/>
      </w:r>
      <w:r w:rsidRPr="00CC2F2D">
        <w:rPr>
          <w:sz w:val="16"/>
          <w:szCs w:val="16"/>
        </w:rPr>
        <w:t xml:space="preserve"> </w:t>
      </w:r>
      <w:r w:rsidRPr="00CC2F2D">
        <w:rPr>
          <w:i/>
          <w:sz w:val="16"/>
          <w:szCs w:val="16"/>
        </w:rPr>
        <w:t>Id.</w:t>
      </w:r>
    </w:p>
  </w:footnote>
  <w:footnote w:id="101">
    <w:p w14:paraId="1A723BE4" w14:textId="77777777" w:rsidR="00DD4D7B" w:rsidRPr="00CC2F2D" w:rsidRDefault="00DD4D7B" w:rsidP="00DD4D7B">
      <w:pPr>
        <w:pStyle w:val="FootnoteText"/>
        <w:rPr>
          <w:sz w:val="16"/>
          <w:szCs w:val="16"/>
        </w:rPr>
      </w:pPr>
      <w:r w:rsidRPr="00CC2F2D">
        <w:rPr>
          <w:rStyle w:val="FootnoteReference"/>
          <w:sz w:val="16"/>
          <w:szCs w:val="16"/>
        </w:rPr>
        <w:footnoteRef/>
      </w:r>
      <w:r w:rsidRPr="00CC2F2D">
        <w:rPr>
          <w:sz w:val="16"/>
          <w:szCs w:val="16"/>
        </w:rPr>
        <w:t xml:space="preserve"> Kathryn L. Braun et al., </w:t>
      </w:r>
      <w:r w:rsidRPr="00CC2F2D">
        <w:rPr>
          <w:i/>
          <w:sz w:val="16"/>
          <w:szCs w:val="16"/>
        </w:rPr>
        <w:t>Cancer Patient Navigator Tasks across the Cancer Care Continuum</w:t>
      </w:r>
      <w:r w:rsidRPr="00CC2F2D">
        <w:rPr>
          <w:sz w:val="16"/>
          <w:szCs w:val="16"/>
        </w:rPr>
        <w:t xml:space="preserve">, 23 </w:t>
      </w:r>
      <w:r w:rsidRPr="00CC2F2D">
        <w:rPr>
          <w:smallCaps/>
          <w:sz w:val="16"/>
          <w:szCs w:val="16"/>
        </w:rPr>
        <w:t>J. of Health Care for the Poor and Undeserved</w:t>
      </w:r>
      <w:r w:rsidRPr="00CC2F2D">
        <w:rPr>
          <w:sz w:val="16"/>
          <w:szCs w:val="16"/>
        </w:rPr>
        <w:t xml:space="preserve"> 398, 398-413 (2012).</w:t>
      </w:r>
    </w:p>
  </w:footnote>
  <w:footnote w:id="102">
    <w:p w14:paraId="652F565D" w14:textId="7D27CE1E" w:rsidR="00E664C3" w:rsidRPr="00CC2F2D" w:rsidRDefault="00E664C3">
      <w:pPr>
        <w:pStyle w:val="FootnoteText"/>
        <w:rPr>
          <w:b/>
          <w:bCs/>
          <w:sz w:val="16"/>
          <w:szCs w:val="16"/>
        </w:rPr>
      </w:pPr>
      <w:r w:rsidRPr="00CC2F2D">
        <w:rPr>
          <w:rStyle w:val="FootnoteReference"/>
          <w:sz w:val="16"/>
          <w:szCs w:val="16"/>
        </w:rPr>
        <w:footnoteRef/>
      </w:r>
      <w:r w:rsidRPr="00CC2F2D">
        <w:rPr>
          <w:sz w:val="16"/>
          <w:szCs w:val="16"/>
        </w:rPr>
        <w:t xml:space="preserve"> </w:t>
      </w:r>
      <w:hyperlink r:id="rId74" w:history="1">
        <w:r w:rsidR="00A74C2C" w:rsidRPr="00A01828">
          <w:rPr>
            <w:rStyle w:val="Hyperlink"/>
            <w:i/>
            <w:iCs/>
            <w:color w:val="auto"/>
            <w:sz w:val="16"/>
            <w:szCs w:val="16"/>
            <w:u w:val="none"/>
          </w:rPr>
          <w:t>Dana-Farber Becomes In-Network Provider for BMC HealthNet Plan</w:t>
        </w:r>
        <w:r w:rsidR="00A74C2C" w:rsidRPr="00A01828">
          <w:rPr>
            <w:rStyle w:val="Hyperlink"/>
            <w:color w:val="auto"/>
            <w:sz w:val="16"/>
            <w:szCs w:val="16"/>
            <w:u w:val="none"/>
          </w:rPr>
          <w:t>,</w:t>
        </w:r>
      </w:hyperlink>
      <w:r w:rsidR="00A74C2C" w:rsidRPr="00A01828">
        <w:rPr>
          <w:sz w:val="16"/>
          <w:szCs w:val="16"/>
        </w:rPr>
        <w:t xml:space="preserve"> </w:t>
      </w:r>
      <w:r w:rsidR="004E51D3" w:rsidRPr="00A01828">
        <w:rPr>
          <w:smallCaps/>
          <w:sz w:val="16"/>
          <w:szCs w:val="16"/>
        </w:rPr>
        <w:t>Dana</w:t>
      </w:r>
      <w:r w:rsidR="004E51D3" w:rsidRPr="00CC2F2D">
        <w:rPr>
          <w:smallCaps/>
          <w:sz w:val="16"/>
          <w:szCs w:val="16"/>
        </w:rPr>
        <w:t>-Farber Cancer Inst.</w:t>
      </w:r>
      <w:r w:rsidR="004E51D3" w:rsidRPr="00CC2F2D">
        <w:rPr>
          <w:sz w:val="16"/>
          <w:szCs w:val="16"/>
        </w:rPr>
        <w:t xml:space="preserve"> (last updated Mar. 9, 2022), </w:t>
      </w:r>
      <w:hyperlink r:id="rId75" w:history="1">
        <w:r w:rsidR="00A01828" w:rsidRPr="0016662A">
          <w:rPr>
            <w:rStyle w:val="Hyperlink"/>
            <w:sz w:val="16"/>
            <w:szCs w:val="16"/>
          </w:rPr>
          <w:t>https://blog.dana-farber.org/insight/2022/01/dana-farber-becomes-in-network-provider-for-bmc-heathnet-plan/</w:t>
        </w:r>
      </w:hyperlink>
      <w:r w:rsidR="00A01828">
        <w:rPr>
          <w:sz w:val="16"/>
          <w:szCs w:val="16"/>
        </w:rPr>
        <w:t xml:space="preserve"> </w:t>
      </w:r>
      <w:r w:rsidR="004E51D3" w:rsidRPr="00CC2F2D">
        <w:rPr>
          <w:sz w:val="16"/>
          <w:szCs w:val="16"/>
        </w:rPr>
        <w:t xml:space="preserve">. </w:t>
      </w:r>
    </w:p>
  </w:footnote>
  <w:footnote w:id="103">
    <w:p w14:paraId="23A48752" w14:textId="77777777" w:rsidR="009E40D8" w:rsidRPr="00CC2F2D" w:rsidRDefault="009E40D8" w:rsidP="009E40D8">
      <w:pPr>
        <w:pStyle w:val="FootnoteText"/>
        <w:rPr>
          <w:sz w:val="16"/>
          <w:szCs w:val="16"/>
        </w:rPr>
      </w:pPr>
      <w:r w:rsidRPr="00CC2F2D">
        <w:rPr>
          <w:rStyle w:val="FootnoteReference"/>
          <w:sz w:val="16"/>
          <w:szCs w:val="16"/>
        </w:rPr>
        <w:footnoteRef/>
      </w:r>
      <w:r w:rsidRPr="00CC2F2D">
        <w:rPr>
          <w:sz w:val="16"/>
          <w:szCs w:val="16"/>
        </w:rPr>
        <w:t xml:space="preserve"> </w:t>
      </w:r>
      <w:r w:rsidRPr="00CC2F2D">
        <w:rPr>
          <w:sz w:val="16"/>
          <w:szCs w:val="16"/>
          <w:lang w:val="en"/>
        </w:rPr>
        <w:t xml:space="preserve">Jane Zapka et al., </w:t>
      </w:r>
      <w:r w:rsidRPr="00CC2F2D">
        <w:rPr>
          <w:i/>
          <w:sz w:val="16"/>
          <w:szCs w:val="16"/>
          <w:lang w:val="en"/>
        </w:rPr>
        <w:t>Multilevel Factors Affecting Quality: Examples from the Cancer Care Continuum</w:t>
      </w:r>
      <w:r w:rsidRPr="00CC2F2D">
        <w:rPr>
          <w:sz w:val="16"/>
          <w:szCs w:val="16"/>
          <w:lang w:val="en"/>
        </w:rPr>
        <w:t xml:space="preserve">, 2012 </w:t>
      </w:r>
      <w:r w:rsidRPr="00CC2F2D">
        <w:rPr>
          <w:smallCaps/>
          <w:sz w:val="16"/>
          <w:szCs w:val="16"/>
          <w:lang w:val="en"/>
        </w:rPr>
        <w:t>JNCI Monographs</w:t>
      </w:r>
      <w:r w:rsidRPr="00CC2F2D">
        <w:rPr>
          <w:sz w:val="16"/>
          <w:szCs w:val="16"/>
          <w:lang w:val="en"/>
        </w:rPr>
        <w:t xml:space="preserve"> 11, 11-19 (2012).</w:t>
      </w:r>
    </w:p>
  </w:footnote>
  <w:footnote w:id="104">
    <w:p w14:paraId="6DFE5106" w14:textId="77777777" w:rsidR="00652D38" w:rsidRPr="00996098" w:rsidRDefault="00652D38" w:rsidP="00652D38">
      <w:pPr>
        <w:pStyle w:val="FootnoteText"/>
        <w:rPr>
          <w:sz w:val="16"/>
          <w:szCs w:val="16"/>
        </w:rPr>
      </w:pPr>
      <w:r>
        <w:rPr>
          <w:rStyle w:val="FootnoteReference"/>
        </w:rPr>
        <w:footnoteRef/>
      </w:r>
      <w:r>
        <w:t xml:space="preserve"> </w:t>
      </w:r>
      <w:r w:rsidRPr="00996098">
        <w:rPr>
          <w:sz w:val="16"/>
          <w:szCs w:val="16"/>
        </w:rPr>
        <w:t xml:space="preserve">Amir Alishahi Tabriz, MD, PhD, MPH, et al., </w:t>
      </w:r>
      <w:r w:rsidRPr="00996098">
        <w:rPr>
          <w:i/>
          <w:iCs/>
          <w:sz w:val="16"/>
          <w:szCs w:val="16"/>
        </w:rPr>
        <w:t>Trends and Characteristics of Potentially Preventable Emergency Department Visits Among Patients with Cancer in the US</w:t>
      </w:r>
      <w:r>
        <w:rPr>
          <w:sz w:val="16"/>
          <w:szCs w:val="16"/>
        </w:rPr>
        <w:t>,</w:t>
      </w:r>
      <w:r w:rsidRPr="00996098">
        <w:rPr>
          <w:i/>
          <w:iCs/>
          <w:sz w:val="16"/>
          <w:szCs w:val="16"/>
        </w:rPr>
        <w:t xml:space="preserve"> </w:t>
      </w:r>
      <w:r w:rsidRPr="00996098">
        <w:rPr>
          <w:sz w:val="16"/>
          <w:szCs w:val="16"/>
        </w:rPr>
        <w:t xml:space="preserve">6 </w:t>
      </w:r>
      <w:r w:rsidRPr="00996098">
        <w:rPr>
          <w:smallCaps/>
          <w:sz w:val="16"/>
          <w:szCs w:val="16"/>
        </w:rPr>
        <w:t xml:space="preserve">JAMA </w:t>
      </w:r>
      <w:proofErr w:type="spellStart"/>
      <w:r w:rsidRPr="00996098">
        <w:rPr>
          <w:smallCaps/>
          <w:sz w:val="16"/>
          <w:szCs w:val="16"/>
        </w:rPr>
        <w:t>Netw</w:t>
      </w:r>
      <w:proofErr w:type="spellEnd"/>
      <w:r w:rsidRPr="00996098">
        <w:rPr>
          <w:smallCaps/>
          <w:sz w:val="16"/>
          <w:szCs w:val="16"/>
        </w:rPr>
        <w:t xml:space="preserve"> Open  </w:t>
      </w:r>
      <w:r w:rsidRPr="00996098">
        <w:rPr>
          <w:sz w:val="16"/>
          <w:szCs w:val="16"/>
        </w:rPr>
        <w:t>1 (2023).</w:t>
      </w:r>
    </w:p>
  </w:footnote>
  <w:footnote w:id="105">
    <w:p w14:paraId="764129D3" w14:textId="32C0E9CA" w:rsidR="00241CAF" w:rsidRPr="00652D38" w:rsidRDefault="00241CAF">
      <w:pPr>
        <w:pStyle w:val="FootnoteText"/>
        <w:rPr>
          <w:sz w:val="16"/>
          <w:szCs w:val="16"/>
        </w:rPr>
      </w:pPr>
      <w:r>
        <w:rPr>
          <w:rStyle w:val="FootnoteReference"/>
        </w:rPr>
        <w:footnoteRef/>
      </w:r>
      <w:r>
        <w:t xml:space="preserve"> </w:t>
      </w:r>
      <w:r w:rsidR="00652D38">
        <w:rPr>
          <w:i/>
          <w:iCs/>
          <w:sz w:val="16"/>
          <w:szCs w:val="16"/>
        </w:rPr>
        <w:t>Id.</w:t>
      </w:r>
    </w:p>
  </w:footnote>
  <w:footnote w:id="106">
    <w:p w14:paraId="38AEC102" w14:textId="07F380A8" w:rsidR="009A7D84" w:rsidRPr="00CC2F2D" w:rsidRDefault="009A7D84" w:rsidP="009A7D84">
      <w:pPr>
        <w:shd w:val="clear" w:color="auto" w:fill="FFFFFF"/>
        <w:rPr>
          <w:sz w:val="16"/>
          <w:szCs w:val="16"/>
        </w:rPr>
      </w:pPr>
      <w:r w:rsidRPr="00CC2F2D">
        <w:rPr>
          <w:rStyle w:val="FootnoteReference"/>
          <w:sz w:val="16"/>
          <w:szCs w:val="16"/>
        </w:rPr>
        <w:footnoteRef/>
      </w:r>
      <w:r w:rsidRPr="00CC2F2D">
        <w:rPr>
          <w:sz w:val="16"/>
          <w:szCs w:val="16"/>
        </w:rPr>
        <w:t xml:space="preserve"> Chaudhuri et al.,</w:t>
      </w:r>
      <w:r w:rsidRPr="00CC2F2D">
        <w:rPr>
          <w:i/>
          <w:iCs/>
          <w:sz w:val="16"/>
          <w:szCs w:val="16"/>
        </w:rPr>
        <w:t xml:space="preserve"> supra</w:t>
      </w:r>
      <w:r w:rsidRPr="00CC2F2D">
        <w:rPr>
          <w:sz w:val="16"/>
          <w:szCs w:val="16"/>
        </w:rPr>
        <w:t xml:space="preserve"> note </w:t>
      </w:r>
      <w:r>
        <w:rPr>
          <w:sz w:val="16"/>
          <w:szCs w:val="16"/>
        </w:rPr>
        <w:t>6</w:t>
      </w:r>
      <w:r w:rsidR="00FB7480">
        <w:rPr>
          <w:sz w:val="16"/>
          <w:szCs w:val="16"/>
        </w:rPr>
        <w:t>6</w:t>
      </w:r>
      <w:r w:rsidRPr="00CC2F2D">
        <w:rPr>
          <w:sz w:val="16"/>
          <w:szCs w:val="16"/>
        </w:rPr>
        <w:t xml:space="preserve">. </w:t>
      </w:r>
    </w:p>
  </w:footnote>
  <w:footnote w:id="107">
    <w:p w14:paraId="40B7663F" w14:textId="6001B805" w:rsidR="00785733" w:rsidRPr="00CC2F2D" w:rsidRDefault="00785733" w:rsidP="00785733">
      <w:pPr>
        <w:shd w:val="clear" w:color="auto" w:fill="FFFFFF"/>
        <w:rPr>
          <w:sz w:val="16"/>
          <w:szCs w:val="16"/>
        </w:rPr>
      </w:pPr>
      <w:r w:rsidRPr="00CC2F2D">
        <w:rPr>
          <w:rStyle w:val="FootnoteReference"/>
          <w:sz w:val="16"/>
          <w:szCs w:val="16"/>
        </w:rPr>
        <w:footnoteRef/>
      </w:r>
      <w:r w:rsidRPr="00CC2F2D">
        <w:rPr>
          <w:sz w:val="16"/>
          <w:szCs w:val="16"/>
        </w:rPr>
        <w:t xml:space="preserve"> </w:t>
      </w:r>
      <w:r w:rsidR="009A7D84">
        <w:rPr>
          <w:i/>
          <w:iCs/>
          <w:sz w:val="16"/>
          <w:szCs w:val="16"/>
        </w:rPr>
        <w:t>Id.</w:t>
      </w:r>
      <w:r w:rsidR="00A50248" w:rsidRPr="00CC2F2D">
        <w:rPr>
          <w:sz w:val="16"/>
          <w:szCs w:val="16"/>
        </w:rPr>
        <w:t xml:space="preserve"> </w:t>
      </w:r>
    </w:p>
  </w:footnote>
  <w:footnote w:id="108">
    <w:p w14:paraId="327FF8FC" w14:textId="77777777" w:rsidR="00B63864" w:rsidRPr="00CC2F2D" w:rsidRDefault="00B63864" w:rsidP="00B63864">
      <w:pPr>
        <w:pStyle w:val="FootnoteText"/>
        <w:rPr>
          <w:sz w:val="16"/>
          <w:szCs w:val="16"/>
        </w:rPr>
      </w:pPr>
      <w:r w:rsidRPr="00CC2F2D">
        <w:rPr>
          <w:rStyle w:val="FootnoteReference"/>
          <w:sz w:val="16"/>
          <w:szCs w:val="16"/>
        </w:rPr>
        <w:footnoteRef/>
      </w:r>
      <w:r w:rsidRPr="00CC2F2D">
        <w:rPr>
          <w:sz w:val="16"/>
          <w:szCs w:val="16"/>
        </w:rPr>
        <w:t xml:space="preserve"> Gabriel A. Brooks et al., </w:t>
      </w:r>
      <w:r w:rsidRPr="00CC2F2D">
        <w:rPr>
          <w:i/>
          <w:iCs/>
          <w:sz w:val="16"/>
          <w:szCs w:val="16"/>
        </w:rPr>
        <w:t>Acute hospital care is the chief driver of regional spending variation in Medicare patients with advanced cancer</w:t>
      </w:r>
      <w:r w:rsidRPr="00CC2F2D">
        <w:rPr>
          <w:sz w:val="16"/>
          <w:szCs w:val="16"/>
        </w:rPr>
        <w:t xml:space="preserve">, 30 </w:t>
      </w:r>
      <w:r w:rsidRPr="00CC2F2D">
        <w:rPr>
          <w:smallCaps/>
          <w:sz w:val="16"/>
          <w:szCs w:val="16"/>
        </w:rPr>
        <w:t xml:space="preserve">Health </w:t>
      </w:r>
      <w:proofErr w:type="spellStart"/>
      <w:r w:rsidRPr="00CC2F2D">
        <w:rPr>
          <w:smallCaps/>
          <w:sz w:val="16"/>
          <w:szCs w:val="16"/>
        </w:rPr>
        <w:t>Aff</w:t>
      </w:r>
      <w:proofErr w:type="spellEnd"/>
      <w:r w:rsidRPr="00CC2F2D">
        <w:rPr>
          <w:smallCaps/>
          <w:sz w:val="16"/>
          <w:szCs w:val="16"/>
        </w:rPr>
        <w:t xml:space="preserve">. </w:t>
      </w:r>
      <w:r w:rsidRPr="00CC2F2D">
        <w:rPr>
          <w:sz w:val="16"/>
          <w:szCs w:val="16"/>
        </w:rPr>
        <w:t xml:space="preserve">1793, 1793-1800 (2014). </w:t>
      </w:r>
    </w:p>
  </w:footnote>
  <w:footnote w:id="109">
    <w:p w14:paraId="727FAE1D" w14:textId="77777777" w:rsidR="00B63864" w:rsidRPr="00CC2F2D" w:rsidRDefault="00B63864" w:rsidP="00B63864">
      <w:pPr>
        <w:pStyle w:val="FootnoteText"/>
        <w:rPr>
          <w:sz w:val="16"/>
          <w:szCs w:val="16"/>
        </w:rPr>
      </w:pPr>
      <w:r w:rsidRPr="00CC2F2D">
        <w:rPr>
          <w:rStyle w:val="FootnoteReference"/>
          <w:sz w:val="16"/>
          <w:szCs w:val="16"/>
        </w:rPr>
        <w:footnoteRef/>
      </w:r>
      <w:r w:rsidRPr="00CC2F2D">
        <w:rPr>
          <w:sz w:val="16"/>
          <w:szCs w:val="16"/>
        </w:rPr>
        <w:t xml:space="preserve"> Helen Blumen, MD, et al., </w:t>
      </w:r>
      <w:r w:rsidRPr="00CC2F2D">
        <w:rPr>
          <w:i/>
          <w:iCs/>
          <w:sz w:val="16"/>
          <w:szCs w:val="16"/>
        </w:rPr>
        <w:t>Comparison of Treatment Costs for Breast Cancer, by Tumor Stage and Type of Service</w:t>
      </w:r>
      <w:r w:rsidRPr="00CC2F2D">
        <w:rPr>
          <w:sz w:val="16"/>
          <w:szCs w:val="16"/>
        </w:rPr>
        <w:t xml:space="preserve">, 9 </w:t>
      </w:r>
      <w:r w:rsidRPr="00CC2F2D">
        <w:rPr>
          <w:smallCaps/>
          <w:sz w:val="16"/>
          <w:szCs w:val="16"/>
        </w:rPr>
        <w:t xml:space="preserve">Am. Health Drug Benefits </w:t>
      </w:r>
      <w:r w:rsidRPr="00CC2F2D">
        <w:rPr>
          <w:sz w:val="16"/>
          <w:szCs w:val="16"/>
        </w:rPr>
        <w:t xml:space="preserve">23, 23-32 (2016). </w:t>
      </w:r>
    </w:p>
  </w:footnote>
  <w:footnote w:id="110">
    <w:p w14:paraId="44B9CC78" w14:textId="61358335" w:rsidR="00370520" w:rsidRPr="00CD6C65" w:rsidRDefault="00370520" w:rsidP="00370520">
      <w:pPr>
        <w:pStyle w:val="FootnoteText"/>
        <w:rPr>
          <w:sz w:val="16"/>
          <w:szCs w:val="16"/>
        </w:rPr>
      </w:pPr>
      <w:r w:rsidRPr="00CD6C65">
        <w:rPr>
          <w:rStyle w:val="FootnoteReference"/>
          <w:sz w:val="16"/>
          <w:szCs w:val="16"/>
        </w:rPr>
        <w:footnoteRef/>
      </w:r>
      <w:r w:rsidRPr="00CD6C65">
        <w:rPr>
          <w:sz w:val="16"/>
          <w:szCs w:val="16"/>
        </w:rPr>
        <w:t xml:space="preserve"> David Pfister, et al.,</w:t>
      </w:r>
      <w:r w:rsidRPr="00CD6C65">
        <w:rPr>
          <w:i/>
          <w:iCs/>
          <w:sz w:val="16"/>
          <w:szCs w:val="16"/>
        </w:rPr>
        <w:t xml:space="preserve"> supra</w:t>
      </w:r>
      <w:r w:rsidRPr="00CD6C65">
        <w:rPr>
          <w:sz w:val="16"/>
          <w:szCs w:val="16"/>
        </w:rPr>
        <w:t xml:space="preserve"> note </w:t>
      </w:r>
      <w:r w:rsidR="00FB7480">
        <w:rPr>
          <w:sz w:val="16"/>
          <w:szCs w:val="16"/>
        </w:rPr>
        <w:t>70</w:t>
      </w:r>
      <w:r w:rsidRPr="00CD6C65">
        <w:rPr>
          <w:sz w:val="16"/>
          <w:szCs w:val="16"/>
        </w:rPr>
        <w:t xml:space="preserve">. </w:t>
      </w:r>
    </w:p>
  </w:footnote>
  <w:footnote w:id="111">
    <w:p w14:paraId="0C2C3F99" w14:textId="40B7E42B" w:rsidR="001A498F" w:rsidRPr="00CC2F2D" w:rsidRDefault="001A498F">
      <w:pPr>
        <w:pStyle w:val="FootnoteText"/>
        <w:rPr>
          <w:smallCaps/>
          <w:sz w:val="16"/>
          <w:szCs w:val="16"/>
        </w:rPr>
      </w:pPr>
      <w:r w:rsidRPr="00CC2F2D">
        <w:rPr>
          <w:rStyle w:val="FootnoteReference"/>
          <w:sz w:val="16"/>
          <w:szCs w:val="16"/>
        </w:rPr>
        <w:footnoteRef/>
      </w:r>
      <w:r w:rsidRPr="00CC2F2D">
        <w:rPr>
          <w:sz w:val="16"/>
          <w:szCs w:val="16"/>
        </w:rPr>
        <w:t xml:space="preserve"> </w:t>
      </w:r>
      <w:r w:rsidR="007E49B7" w:rsidRPr="00CC2F2D">
        <w:rPr>
          <w:sz w:val="16"/>
          <w:szCs w:val="16"/>
        </w:rPr>
        <w:t xml:space="preserve">Timothy P Hanna, et al., </w:t>
      </w:r>
      <w:r w:rsidR="007E49B7" w:rsidRPr="00CC2F2D">
        <w:rPr>
          <w:i/>
          <w:iCs/>
          <w:sz w:val="16"/>
          <w:szCs w:val="16"/>
        </w:rPr>
        <w:t>Mortality due to cancer treatment delay: systematic review and meta-analysis</w:t>
      </w:r>
      <w:r w:rsidR="007E49B7" w:rsidRPr="00CC2F2D">
        <w:rPr>
          <w:sz w:val="16"/>
          <w:szCs w:val="16"/>
        </w:rPr>
        <w:t xml:space="preserve">, </w:t>
      </w:r>
      <w:r w:rsidR="004B3775" w:rsidRPr="00CC2F2D">
        <w:rPr>
          <w:sz w:val="16"/>
          <w:szCs w:val="16"/>
        </w:rPr>
        <w:t xml:space="preserve">371 </w:t>
      </w:r>
      <w:r w:rsidR="004B3775" w:rsidRPr="00CC2F2D">
        <w:rPr>
          <w:smallCaps/>
          <w:sz w:val="16"/>
          <w:szCs w:val="16"/>
        </w:rPr>
        <w:t xml:space="preserve">Brit. Med. J. </w:t>
      </w:r>
      <w:r w:rsidR="009718A3" w:rsidRPr="00CC2F2D">
        <w:rPr>
          <w:sz w:val="16"/>
          <w:szCs w:val="16"/>
        </w:rPr>
        <w:t>m</w:t>
      </w:r>
      <w:r w:rsidR="009718A3" w:rsidRPr="00CC2F2D">
        <w:rPr>
          <w:smallCaps/>
          <w:sz w:val="16"/>
          <w:szCs w:val="16"/>
        </w:rPr>
        <w:t xml:space="preserve">4087 </w:t>
      </w:r>
      <w:r w:rsidR="004B3775" w:rsidRPr="00CC2F2D">
        <w:rPr>
          <w:smallCaps/>
          <w:sz w:val="16"/>
          <w:szCs w:val="16"/>
        </w:rPr>
        <w:t>(2020)</w:t>
      </w:r>
    </w:p>
  </w:footnote>
  <w:footnote w:id="112">
    <w:p w14:paraId="24B74C36" w14:textId="40E099B2" w:rsidR="009718A3" w:rsidRPr="00CC2F2D" w:rsidRDefault="009718A3">
      <w:pPr>
        <w:pStyle w:val="FootnoteText"/>
        <w:rPr>
          <w:sz w:val="16"/>
          <w:szCs w:val="16"/>
        </w:rPr>
      </w:pPr>
      <w:r w:rsidRPr="00CC2F2D">
        <w:rPr>
          <w:rStyle w:val="FootnoteReference"/>
          <w:sz w:val="16"/>
          <w:szCs w:val="16"/>
        </w:rPr>
        <w:footnoteRef/>
      </w:r>
      <w:r w:rsidRPr="00CC2F2D">
        <w:rPr>
          <w:sz w:val="16"/>
          <w:szCs w:val="16"/>
        </w:rPr>
        <w:t xml:space="preserve"> Adam Singer, et al., </w:t>
      </w:r>
      <w:r w:rsidRPr="00CC2F2D">
        <w:rPr>
          <w:i/>
          <w:iCs/>
          <w:sz w:val="16"/>
          <w:szCs w:val="16"/>
        </w:rPr>
        <w:t>The Association Between Length of Emergency Department Boarding and Mortality</w:t>
      </w:r>
      <w:r w:rsidRPr="00CC2F2D">
        <w:rPr>
          <w:sz w:val="16"/>
          <w:szCs w:val="16"/>
        </w:rPr>
        <w:t xml:space="preserve">, </w:t>
      </w:r>
      <w:r w:rsidRPr="00CC2F2D">
        <w:rPr>
          <w:smallCaps/>
          <w:sz w:val="16"/>
          <w:szCs w:val="16"/>
        </w:rPr>
        <w:t>Acad. Emergency Med.</w:t>
      </w:r>
      <w:r w:rsidRPr="00CC2F2D">
        <w:rPr>
          <w:sz w:val="16"/>
          <w:szCs w:val="16"/>
        </w:rPr>
        <w:t xml:space="preserve"> 1553,</w:t>
      </w:r>
      <w:r w:rsidR="00605A99" w:rsidRPr="00CC2F2D">
        <w:rPr>
          <w:sz w:val="16"/>
          <w:szCs w:val="16"/>
        </w:rPr>
        <w:t xml:space="preserve"> 1324, 1324 – 1329 </w:t>
      </w:r>
      <w:r w:rsidRPr="00CC2F2D">
        <w:rPr>
          <w:sz w:val="16"/>
          <w:szCs w:val="16"/>
        </w:rPr>
        <w:t>(2011)</w:t>
      </w:r>
    </w:p>
  </w:footnote>
  <w:footnote w:id="113">
    <w:p w14:paraId="6A420B33" w14:textId="67F49303" w:rsidR="00507B99" w:rsidRPr="00CC2F2D" w:rsidRDefault="00507B99">
      <w:pPr>
        <w:pStyle w:val="FootnoteText"/>
        <w:rPr>
          <w:sz w:val="16"/>
          <w:szCs w:val="16"/>
        </w:rPr>
      </w:pPr>
      <w:r w:rsidRPr="00CC2F2D">
        <w:rPr>
          <w:rStyle w:val="FootnoteReference"/>
          <w:sz w:val="16"/>
          <w:szCs w:val="16"/>
        </w:rPr>
        <w:t>1</w:t>
      </w:r>
      <w:r w:rsidRPr="00CC2F2D">
        <w:rPr>
          <w:sz w:val="16"/>
          <w:szCs w:val="16"/>
        </w:rPr>
        <w:t xml:space="preserve"> </w:t>
      </w:r>
      <w:r w:rsidR="00F62BF0" w:rsidRPr="00CC2F2D">
        <w:rPr>
          <w:bCs/>
          <w:sz w:val="16"/>
          <w:szCs w:val="16"/>
        </w:rPr>
        <w:t xml:space="preserve">Because a portion of the Applicant’s patients receive LINAC therapy at BWH, the data included in </w:t>
      </w:r>
      <w:r w:rsidR="00F62BF0" w:rsidRPr="00CC2F2D">
        <w:rPr>
          <w:bCs/>
          <w:sz w:val="16"/>
          <w:szCs w:val="16"/>
          <w:u w:val="single"/>
        </w:rPr>
        <w:t xml:space="preserve">Table </w:t>
      </w:r>
      <w:r w:rsidR="009B6EF3">
        <w:rPr>
          <w:bCs/>
          <w:sz w:val="16"/>
          <w:szCs w:val="16"/>
          <w:u w:val="single"/>
        </w:rPr>
        <w:t>8</w:t>
      </w:r>
      <w:r w:rsidR="00F62BF0" w:rsidRPr="00CC2F2D">
        <w:rPr>
          <w:bCs/>
          <w:sz w:val="16"/>
          <w:szCs w:val="16"/>
        </w:rPr>
        <w:t xml:space="preserve"> does not capture the total amount of LINAC therapy provided to the Applicant’s patients and instead shows only the LINAC therapy services provided by the Applicant in its own facilities. As such, </w:t>
      </w:r>
      <w:r w:rsidR="00F62BF0" w:rsidRPr="00CC2F2D">
        <w:rPr>
          <w:bCs/>
          <w:sz w:val="16"/>
          <w:szCs w:val="16"/>
          <w:u w:val="single"/>
        </w:rPr>
        <w:t xml:space="preserve">Table </w:t>
      </w:r>
      <w:r w:rsidR="009B6EF3">
        <w:rPr>
          <w:bCs/>
          <w:sz w:val="16"/>
          <w:szCs w:val="16"/>
          <w:u w:val="single"/>
        </w:rPr>
        <w:t>8</w:t>
      </w:r>
      <w:r w:rsidR="00F62BF0" w:rsidRPr="00CC2F2D">
        <w:rPr>
          <w:b/>
          <w:sz w:val="16"/>
          <w:szCs w:val="16"/>
        </w:rPr>
        <w:t xml:space="preserve"> </w:t>
      </w:r>
      <w:r w:rsidR="00F62BF0" w:rsidRPr="00CC2F2D">
        <w:rPr>
          <w:bCs/>
          <w:sz w:val="16"/>
          <w:szCs w:val="16"/>
        </w:rPr>
        <w:t>does not adequately capture the need for LINAC therapy amongst the Applicant’s patient panel and cannot be relied upon to complete the LINAC need analysis described herein.</w:t>
      </w:r>
    </w:p>
  </w:footnote>
  <w:footnote w:id="114">
    <w:p w14:paraId="348C8467" w14:textId="6D807481" w:rsidR="00507B99" w:rsidRPr="00CC2F2D" w:rsidRDefault="00507B99">
      <w:pPr>
        <w:pStyle w:val="FootnoteText"/>
        <w:rPr>
          <w:sz w:val="16"/>
          <w:szCs w:val="16"/>
        </w:rPr>
      </w:pPr>
      <w:r w:rsidRPr="00CC2F2D">
        <w:rPr>
          <w:rStyle w:val="FootnoteReference"/>
          <w:sz w:val="16"/>
          <w:szCs w:val="16"/>
        </w:rPr>
        <w:t>2</w:t>
      </w:r>
      <w:r w:rsidRPr="00CC2F2D">
        <w:rPr>
          <w:sz w:val="16"/>
          <w:szCs w:val="16"/>
        </w:rPr>
        <w:t xml:space="preserve"> </w:t>
      </w:r>
      <w:r w:rsidR="00F62BF0" w:rsidRPr="00CC2F2D">
        <w:rPr>
          <w:sz w:val="16"/>
          <w:szCs w:val="16"/>
        </w:rPr>
        <w:t>This is due to a number of factors, including that urban academic medical centers provide a significant number of second opinions.</w:t>
      </w:r>
    </w:p>
  </w:footnote>
  <w:footnote w:id="115">
    <w:p w14:paraId="3A0CB672" w14:textId="4EFE95DD" w:rsidR="00F62BF0" w:rsidRPr="00CC2F2D" w:rsidRDefault="00F62BF0">
      <w:pPr>
        <w:pStyle w:val="FootnoteText"/>
        <w:rPr>
          <w:sz w:val="16"/>
          <w:szCs w:val="16"/>
        </w:rPr>
      </w:pPr>
      <w:r w:rsidRPr="00CC2F2D">
        <w:rPr>
          <w:rStyle w:val="FootnoteReference"/>
          <w:sz w:val="16"/>
          <w:szCs w:val="16"/>
        </w:rPr>
        <w:t>3</w:t>
      </w:r>
      <w:r w:rsidRPr="00CC2F2D">
        <w:rPr>
          <w:sz w:val="16"/>
          <w:szCs w:val="16"/>
        </w:rPr>
        <w:t xml:space="preserve"> In addition to the disease centers included in </w:t>
      </w:r>
      <w:r w:rsidRPr="00CC2F2D">
        <w:rPr>
          <w:sz w:val="16"/>
          <w:szCs w:val="16"/>
          <w:u w:val="single"/>
        </w:rPr>
        <w:t xml:space="preserve">Table </w:t>
      </w:r>
      <w:r w:rsidR="009B6EF3">
        <w:rPr>
          <w:sz w:val="16"/>
          <w:szCs w:val="16"/>
          <w:u w:val="single"/>
        </w:rPr>
        <w:t>5</w:t>
      </w:r>
      <w:r w:rsidRPr="00CC2F2D">
        <w:rPr>
          <w:sz w:val="16"/>
          <w:szCs w:val="16"/>
        </w:rPr>
        <w:t xml:space="preserve">, </w:t>
      </w:r>
      <w:r w:rsidRPr="00CC2F2D">
        <w:rPr>
          <w:sz w:val="16"/>
          <w:szCs w:val="16"/>
          <w:u w:val="single"/>
        </w:rPr>
        <w:t>Table A-2</w:t>
      </w:r>
      <w:r w:rsidRPr="00CC2F2D">
        <w:rPr>
          <w:sz w:val="16"/>
          <w:szCs w:val="16"/>
        </w:rPr>
        <w:t xml:space="preserve"> includes an “other” category equal to those 2022 outpatients at SSH and on the Longwood Medical Campus not classified into a particular diseases center. For the Longwood Medical Campus, this number is derived by subtracting the total number of unique outpatients with a disease center classification (as shown in </w:t>
      </w:r>
      <w:r w:rsidRPr="00CC2F2D">
        <w:rPr>
          <w:sz w:val="16"/>
          <w:szCs w:val="16"/>
          <w:u w:val="single"/>
        </w:rPr>
        <w:t xml:space="preserve">Table </w:t>
      </w:r>
      <w:r w:rsidR="009B6EF3">
        <w:rPr>
          <w:sz w:val="16"/>
          <w:szCs w:val="16"/>
          <w:u w:val="single"/>
        </w:rPr>
        <w:t>5</w:t>
      </w:r>
      <w:r w:rsidRPr="00CC2F2D">
        <w:rPr>
          <w:sz w:val="16"/>
          <w:szCs w:val="16"/>
        </w:rPr>
        <w:t xml:space="preserve">) from the total number of unique outpatients overall (as shown in </w:t>
      </w:r>
      <w:r w:rsidRPr="00CC2F2D">
        <w:rPr>
          <w:sz w:val="16"/>
          <w:szCs w:val="16"/>
          <w:u w:val="single"/>
        </w:rPr>
        <w:t xml:space="preserve">Table </w:t>
      </w:r>
      <w:r w:rsidR="009B6EF3">
        <w:rPr>
          <w:sz w:val="16"/>
          <w:szCs w:val="16"/>
          <w:u w:val="single"/>
        </w:rPr>
        <w:t>5</w:t>
      </w:r>
      <w:r w:rsidRPr="00CC2F2D">
        <w:rPr>
          <w:sz w:val="16"/>
          <w:szCs w:val="16"/>
        </w:rPr>
        <w:t>). The “other” category includes patients seen in the survivorship and palliative care programs, as well as multiple other smaller disease centers.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6CC3" w14:textId="7F379C3F" w:rsidR="002B1E75" w:rsidRPr="002B1E75" w:rsidRDefault="002B1E75">
    <w:pPr>
      <w:pStyle w:val="Header"/>
    </w:pPr>
    <w:r w:rsidRPr="002B1E75">
      <w:rPr>
        <w:sz w:val="22"/>
        <w:szCs w:val="18"/>
      </w:rPr>
      <w:t>Dana</w:t>
    </w:r>
    <w:r w:rsidR="0029657B">
      <w:rPr>
        <w:szCs w:val="18"/>
      </w:rPr>
      <w:t>-</w:t>
    </w:r>
    <w:r w:rsidRPr="002B1E75">
      <w:rPr>
        <w:sz w:val="22"/>
        <w:szCs w:val="18"/>
      </w:rPr>
      <w:t>Farber Cancer Institute</w:t>
    </w:r>
    <w:r>
      <w:rPr>
        <w:szCs w:val="18"/>
      </w:rPr>
      <w:t>, Inc.</w:t>
    </w:r>
    <w:r w:rsidRPr="002B1E75">
      <w:rPr>
        <w:sz w:val="22"/>
        <w:szCs w:val="18"/>
      </w:rPr>
      <w:tab/>
    </w:r>
    <w:r w:rsidRPr="002B1E75">
      <w:rPr>
        <w:sz w:val="22"/>
        <w:szCs w:val="18"/>
      </w:rPr>
      <w:tab/>
    </w:r>
    <w:r w:rsidR="00953A96" w:rsidRPr="007F1E7B">
      <w:t>DFCI-23040915-HE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C811" w14:textId="410882A8" w:rsidR="007776F1" w:rsidRPr="009D0A98" w:rsidRDefault="00DA6EAA">
    <w:pPr>
      <w:pStyle w:val="Header"/>
      <w:rPr>
        <w:szCs w:val="24"/>
      </w:rPr>
    </w:pPr>
    <w:r w:rsidRPr="009D0A98">
      <w:rPr>
        <w:szCs w:val="24"/>
      </w:rPr>
      <w:t>Dana-Farber Cancer Institute, Inc.</w:t>
    </w:r>
    <w:r w:rsidRPr="009D0A98">
      <w:rPr>
        <w:szCs w:val="24"/>
      </w:rPr>
      <w:tab/>
    </w:r>
    <w:r w:rsidRPr="009D0A98">
      <w:rPr>
        <w:szCs w:val="24"/>
      </w:rPr>
      <w:tab/>
      <w:t>DFCI-23040915-HE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3812" w14:textId="77777777" w:rsidR="00DD0BD2" w:rsidRPr="009D0A98" w:rsidRDefault="00DD0BD2" w:rsidP="00DD0BD2">
    <w:pPr>
      <w:pStyle w:val="Header"/>
      <w:rPr>
        <w:szCs w:val="24"/>
      </w:rPr>
    </w:pPr>
    <w:bookmarkStart w:id="0" w:name="_Hlk148383160"/>
    <w:r w:rsidRPr="009D0A98">
      <w:rPr>
        <w:szCs w:val="24"/>
      </w:rPr>
      <w:t>Dana-Farber Cancer Institute, Inc.</w:t>
    </w:r>
    <w:r w:rsidRPr="009D0A98">
      <w:rPr>
        <w:szCs w:val="24"/>
      </w:rPr>
      <w:tab/>
    </w:r>
    <w:r w:rsidRPr="009D0A98">
      <w:rPr>
        <w:szCs w:val="24"/>
      </w:rPr>
      <w:tab/>
      <w:t>DFCI-23040915-HE</w:t>
    </w:r>
    <w:bookmarkEnd w:id="0"/>
  </w:p>
  <w:p w14:paraId="673E3109" w14:textId="49BEE21C" w:rsidR="002B1E75" w:rsidRPr="00DD0BD2" w:rsidRDefault="002B1E75" w:rsidP="00DD0B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1901"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81F6" w14:textId="4D9F0E65" w:rsidR="00000000" w:rsidRPr="00507B99" w:rsidRDefault="00000000" w:rsidP="00507B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73F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328097"/>
    <w:multiLevelType w:val="hybridMultilevel"/>
    <w:tmpl w:val="F5CBDE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ABA09448"/>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2B0359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EC6BF5"/>
    <w:multiLevelType w:val="hybridMultilevel"/>
    <w:tmpl w:val="E892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94CFF"/>
    <w:multiLevelType w:val="hybridMultilevel"/>
    <w:tmpl w:val="4D702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1B633E"/>
    <w:multiLevelType w:val="multilevel"/>
    <w:tmpl w:val="23443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86BC6"/>
    <w:multiLevelType w:val="hybridMultilevel"/>
    <w:tmpl w:val="C5D29928"/>
    <w:lvl w:ilvl="0" w:tplc="FB0A6FFC">
      <w:start w:val="1"/>
      <w:numFmt w:val="decimal"/>
      <w:lvlText w:val="%1."/>
      <w:lvlJc w:val="left"/>
      <w:pPr>
        <w:ind w:left="1980" w:hanging="360"/>
      </w:pPr>
    </w:lvl>
    <w:lvl w:ilvl="1" w:tplc="9288D368">
      <w:start w:val="1"/>
      <w:numFmt w:val="decimal"/>
      <w:lvlText w:val="%2."/>
      <w:lvlJc w:val="left"/>
      <w:pPr>
        <w:ind w:left="1980" w:hanging="360"/>
      </w:pPr>
    </w:lvl>
    <w:lvl w:ilvl="2" w:tplc="F63ABFFE">
      <w:start w:val="1"/>
      <w:numFmt w:val="decimal"/>
      <w:lvlText w:val="%3."/>
      <w:lvlJc w:val="left"/>
      <w:pPr>
        <w:ind w:left="1980" w:hanging="360"/>
      </w:pPr>
    </w:lvl>
    <w:lvl w:ilvl="3" w:tplc="160E6D80">
      <w:start w:val="1"/>
      <w:numFmt w:val="decimal"/>
      <w:lvlText w:val="%4."/>
      <w:lvlJc w:val="left"/>
      <w:pPr>
        <w:ind w:left="1980" w:hanging="360"/>
      </w:pPr>
    </w:lvl>
    <w:lvl w:ilvl="4" w:tplc="4F4EF434">
      <w:start w:val="1"/>
      <w:numFmt w:val="decimal"/>
      <w:lvlText w:val="%5."/>
      <w:lvlJc w:val="left"/>
      <w:pPr>
        <w:ind w:left="1980" w:hanging="360"/>
      </w:pPr>
    </w:lvl>
    <w:lvl w:ilvl="5" w:tplc="0D7A5F9A">
      <w:start w:val="1"/>
      <w:numFmt w:val="decimal"/>
      <w:lvlText w:val="%6."/>
      <w:lvlJc w:val="left"/>
      <w:pPr>
        <w:ind w:left="1980" w:hanging="360"/>
      </w:pPr>
    </w:lvl>
    <w:lvl w:ilvl="6" w:tplc="2CC63770">
      <w:start w:val="1"/>
      <w:numFmt w:val="decimal"/>
      <w:lvlText w:val="%7."/>
      <w:lvlJc w:val="left"/>
      <w:pPr>
        <w:ind w:left="1980" w:hanging="360"/>
      </w:pPr>
    </w:lvl>
    <w:lvl w:ilvl="7" w:tplc="4EA205E2">
      <w:start w:val="1"/>
      <w:numFmt w:val="decimal"/>
      <w:lvlText w:val="%8."/>
      <w:lvlJc w:val="left"/>
      <w:pPr>
        <w:ind w:left="1980" w:hanging="360"/>
      </w:pPr>
    </w:lvl>
    <w:lvl w:ilvl="8" w:tplc="E7BA8A30">
      <w:start w:val="1"/>
      <w:numFmt w:val="decimal"/>
      <w:lvlText w:val="%9."/>
      <w:lvlJc w:val="left"/>
      <w:pPr>
        <w:ind w:left="1980" w:hanging="360"/>
      </w:pPr>
    </w:lvl>
  </w:abstractNum>
  <w:abstractNum w:abstractNumId="7" w15:restartNumberingAfterBreak="0">
    <w:nsid w:val="139C699C"/>
    <w:multiLevelType w:val="hybridMultilevel"/>
    <w:tmpl w:val="D38E7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F1A"/>
    <w:multiLevelType w:val="hybridMultilevel"/>
    <w:tmpl w:val="6E646526"/>
    <w:lvl w:ilvl="0" w:tplc="516E6C2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D087B"/>
    <w:multiLevelType w:val="hybridMultilevel"/>
    <w:tmpl w:val="2D6E3D4C"/>
    <w:lvl w:ilvl="0" w:tplc="FB1A9C94">
      <w:start w:val="1"/>
      <w:numFmt w:val="lowerLetter"/>
      <w:lvlText w:val="%1)"/>
      <w:lvlJc w:val="left"/>
      <w:pPr>
        <w:tabs>
          <w:tab w:val="num" w:pos="720"/>
        </w:tabs>
        <w:ind w:left="720" w:hanging="360"/>
      </w:pPr>
    </w:lvl>
    <w:lvl w:ilvl="1" w:tplc="857E9A16">
      <w:start w:val="1"/>
      <w:numFmt w:val="lowerLetter"/>
      <w:lvlText w:val="%2)"/>
      <w:lvlJc w:val="left"/>
      <w:pPr>
        <w:tabs>
          <w:tab w:val="num" w:pos="1440"/>
        </w:tabs>
        <w:ind w:left="1440" w:hanging="360"/>
      </w:pPr>
    </w:lvl>
    <w:lvl w:ilvl="2" w:tplc="E10C1EC4" w:tentative="1">
      <w:start w:val="1"/>
      <w:numFmt w:val="lowerLetter"/>
      <w:lvlText w:val="%3)"/>
      <w:lvlJc w:val="left"/>
      <w:pPr>
        <w:tabs>
          <w:tab w:val="num" w:pos="2160"/>
        </w:tabs>
        <w:ind w:left="2160" w:hanging="360"/>
      </w:pPr>
    </w:lvl>
    <w:lvl w:ilvl="3" w:tplc="C71C1C0A" w:tentative="1">
      <w:start w:val="1"/>
      <w:numFmt w:val="lowerLetter"/>
      <w:lvlText w:val="%4)"/>
      <w:lvlJc w:val="left"/>
      <w:pPr>
        <w:tabs>
          <w:tab w:val="num" w:pos="2880"/>
        </w:tabs>
        <w:ind w:left="2880" w:hanging="360"/>
      </w:pPr>
    </w:lvl>
    <w:lvl w:ilvl="4" w:tplc="28943C2E" w:tentative="1">
      <w:start w:val="1"/>
      <w:numFmt w:val="lowerLetter"/>
      <w:lvlText w:val="%5)"/>
      <w:lvlJc w:val="left"/>
      <w:pPr>
        <w:tabs>
          <w:tab w:val="num" w:pos="3600"/>
        </w:tabs>
        <w:ind w:left="3600" w:hanging="360"/>
      </w:pPr>
    </w:lvl>
    <w:lvl w:ilvl="5" w:tplc="4538DBF2" w:tentative="1">
      <w:start w:val="1"/>
      <w:numFmt w:val="lowerLetter"/>
      <w:lvlText w:val="%6)"/>
      <w:lvlJc w:val="left"/>
      <w:pPr>
        <w:tabs>
          <w:tab w:val="num" w:pos="4320"/>
        </w:tabs>
        <w:ind w:left="4320" w:hanging="360"/>
      </w:pPr>
    </w:lvl>
    <w:lvl w:ilvl="6" w:tplc="5CF80EF6" w:tentative="1">
      <w:start w:val="1"/>
      <w:numFmt w:val="lowerLetter"/>
      <w:lvlText w:val="%7)"/>
      <w:lvlJc w:val="left"/>
      <w:pPr>
        <w:tabs>
          <w:tab w:val="num" w:pos="5040"/>
        </w:tabs>
        <w:ind w:left="5040" w:hanging="360"/>
      </w:pPr>
    </w:lvl>
    <w:lvl w:ilvl="7" w:tplc="68085EFE" w:tentative="1">
      <w:start w:val="1"/>
      <w:numFmt w:val="lowerLetter"/>
      <w:lvlText w:val="%8)"/>
      <w:lvlJc w:val="left"/>
      <w:pPr>
        <w:tabs>
          <w:tab w:val="num" w:pos="5760"/>
        </w:tabs>
        <w:ind w:left="5760" w:hanging="360"/>
      </w:pPr>
    </w:lvl>
    <w:lvl w:ilvl="8" w:tplc="C71E4236" w:tentative="1">
      <w:start w:val="1"/>
      <w:numFmt w:val="lowerLetter"/>
      <w:lvlText w:val="%9)"/>
      <w:lvlJc w:val="left"/>
      <w:pPr>
        <w:tabs>
          <w:tab w:val="num" w:pos="6480"/>
        </w:tabs>
        <w:ind w:left="6480" w:hanging="360"/>
      </w:pPr>
    </w:lvl>
  </w:abstractNum>
  <w:abstractNum w:abstractNumId="10" w15:restartNumberingAfterBreak="0">
    <w:nsid w:val="1EF96DC7"/>
    <w:multiLevelType w:val="hybridMultilevel"/>
    <w:tmpl w:val="5AA0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B55C6"/>
    <w:multiLevelType w:val="hybridMultilevel"/>
    <w:tmpl w:val="5BB47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1581E"/>
    <w:multiLevelType w:val="hybridMultilevel"/>
    <w:tmpl w:val="8620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E0923"/>
    <w:multiLevelType w:val="hybridMultilevel"/>
    <w:tmpl w:val="DC483794"/>
    <w:lvl w:ilvl="0" w:tplc="ED50C352">
      <w:start w:val="3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F279E"/>
    <w:multiLevelType w:val="hybridMultilevel"/>
    <w:tmpl w:val="7A0CB286"/>
    <w:lvl w:ilvl="0" w:tplc="C9D474AC">
      <w:start w:val="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640A7"/>
    <w:multiLevelType w:val="hybridMultilevel"/>
    <w:tmpl w:val="F05A49A0"/>
    <w:lvl w:ilvl="0" w:tplc="05FA9A6C">
      <w:start w:val="1"/>
      <w:numFmt w:val="bullet"/>
      <w:lvlText w:val="•"/>
      <w:lvlJc w:val="left"/>
      <w:pPr>
        <w:tabs>
          <w:tab w:val="num" w:pos="720"/>
        </w:tabs>
        <w:ind w:left="720" w:hanging="360"/>
      </w:pPr>
      <w:rPr>
        <w:rFonts w:ascii="Arial" w:hAnsi="Arial" w:hint="default"/>
      </w:rPr>
    </w:lvl>
    <w:lvl w:ilvl="1" w:tplc="AA806E6A" w:tentative="1">
      <w:start w:val="1"/>
      <w:numFmt w:val="bullet"/>
      <w:lvlText w:val="•"/>
      <w:lvlJc w:val="left"/>
      <w:pPr>
        <w:tabs>
          <w:tab w:val="num" w:pos="1440"/>
        </w:tabs>
        <w:ind w:left="1440" w:hanging="360"/>
      </w:pPr>
      <w:rPr>
        <w:rFonts w:ascii="Arial" w:hAnsi="Arial" w:hint="default"/>
      </w:rPr>
    </w:lvl>
    <w:lvl w:ilvl="2" w:tplc="3DF2FEFE" w:tentative="1">
      <w:start w:val="1"/>
      <w:numFmt w:val="bullet"/>
      <w:lvlText w:val="•"/>
      <w:lvlJc w:val="left"/>
      <w:pPr>
        <w:tabs>
          <w:tab w:val="num" w:pos="2160"/>
        </w:tabs>
        <w:ind w:left="2160" w:hanging="360"/>
      </w:pPr>
      <w:rPr>
        <w:rFonts w:ascii="Arial" w:hAnsi="Arial" w:hint="default"/>
      </w:rPr>
    </w:lvl>
    <w:lvl w:ilvl="3" w:tplc="F4F06092" w:tentative="1">
      <w:start w:val="1"/>
      <w:numFmt w:val="bullet"/>
      <w:lvlText w:val="•"/>
      <w:lvlJc w:val="left"/>
      <w:pPr>
        <w:tabs>
          <w:tab w:val="num" w:pos="2880"/>
        </w:tabs>
        <w:ind w:left="2880" w:hanging="360"/>
      </w:pPr>
      <w:rPr>
        <w:rFonts w:ascii="Arial" w:hAnsi="Arial" w:hint="default"/>
      </w:rPr>
    </w:lvl>
    <w:lvl w:ilvl="4" w:tplc="472E10A8" w:tentative="1">
      <w:start w:val="1"/>
      <w:numFmt w:val="bullet"/>
      <w:lvlText w:val="•"/>
      <w:lvlJc w:val="left"/>
      <w:pPr>
        <w:tabs>
          <w:tab w:val="num" w:pos="3600"/>
        </w:tabs>
        <w:ind w:left="3600" w:hanging="360"/>
      </w:pPr>
      <w:rPr>
        <w:rFonts w:ascii="Arial" w:hAnsi="Arial" w:hint="default"/>
      </w:rPr>
    </w:lvl>
    <w:lvl w:ilvl="5" w:tplc="7294F08E" w:tentative="1">
      <w:start w:val="1"/>
      <w:numFmt w:val="bullet"/>
      <w:lvlText w:val="•"/>
      <w:lvlJc w:val="left"/>
      <w:pPr>
        <w:tabs>
          <w:tab w:val="num" w:pos="4320"/>
        </w:tabs>
        <w:ind w:left="4320" w:hanging="360"/>
      </w:pPr>
      <w:rPr>
        <w:rFonts w:ascii="Arial" w:hAnsi="Arial" w:hint="default"/>
      </w:rPr>
    </w:lvl>
    <w:lvl w:ilvl="6" w:tplc="35D2163A" w:tentative="1">
      <w:start w:val="1"/>
      <w:numFmt w:val="bullet"/>
      <w:lvlText w:val="•"/>
      <w:lvlJc w:val="left"/>
      <w:pPr>
        <w:tabs>
          <w:tab w:val="num" w:pos="5040"/>
        </w:tabs>
        <w:ind w:left="5040" w:hanging="360"/>
      </w:pPr>
      <w:rPr>
        <w:rFonts w:ascii="Arial" w:hAnsi="Arial" w:hint="default"/>
      </w:rPr>
    </w:lvl>
    <w:lvl w:ilvl="7" w:tplc="2054882E" w:tentative="1">
      <w:start w:val="1"/>
      <w:numFmt w:val="bullet"/>
      <w:lvlText w:val="•"/>
      <w:lvlJc w:val="left"/>
      <w:pPr>
        <w:tabs>
          <w:tab w:val="num" w:pos="5760"/>
        </w:tabs>
        <w:ind w:left="5760" w:hanging="360"/>
      </w:pPr>
      <w:rPr>
        <w:rFonts w:ascii="Arial" w:hAnsi="Arial" w:hint="default"/>
      </w:rPr>
    </w:lvl>
    <w:lvl w:ilvl="8" w:tplc="ECC4D1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FF6E3B"/>
    <w:multiLevelType w:val="hybridMultilevel"/>
    <w:tmpl w:val="5524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D26C3"/>
    <w:multiLevelType w:val="hybridMultilevel"/>
    <w:tmpl w:val="7752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918DC"/>
    <w:multiLevelType w:val="hybridMultilevel"/>
    <w:tmpl w:val="AD16B0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5BA23F6"/>
    <w:multiLevelType w:val="hybridMultilevel"/>
    <w:tmpl w:val="E746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3409E"/>
    <w:multiLevelType w:val="hybridMultilevel"/>
    <w:tmpl w:val="D9BEC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E518E"/>
    <w:multiLevelType w:val="hybridMultilevel"/>
    <w:tmpl w:val="C884F756"/>
    <w:lvl w:ilvl="0" w:tplc="19460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58355B"/>
    <w:multiLevelType w:val="hybridMultilevel"/>
    <w:tmpl w:val="3DFB04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3F6FC1"/>
    <w:multiLevelType w:val="hybridMultilevel"/>
    <w:tmpl w:val="D1A07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76F30"/>
    <w:multiLevelType w:val="hybridMultilevel"/>
    <w:tmpl w:val="BADE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43461"/>
    <w:multiLevelType w:val="hybridMultilevel"/>
    <w:tmpl w:val="D1125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3D6ADF"/>
    <w:multiLevelType w:val="hybridMultilevel"/>
    <w:tmpl w:val="5B5E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42674"/>
    <w:multiLevelType w:val="hybridMultilevel"/>
    <w:tmpl w:val="AEF47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376F6"/>
    <w:multiLevelType w:val="multilevel"/>
    <w:tmpl w:val="3FA2B92E"/>
    <w:lvl w:ilvl="0">
      <w:start w:val="1"/>
      <w:numFmt w:val="decimal"/>
      <w:lvlText w:val="%1."/>
      <w:lvlJc w:val="left"/>
      <w:pPr>
        <w:ind w:left="360" w:hanging="360"/>
      </w:pPr>
      <w:rPr>
        <w:rFonts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9" w15:restartNumberingAfterBreak="0">
    <w:nsid w:val="6E1D2C45"/>
    <w:multiLevelType w:val="hybridMultilevel"/>
    <w:tmpl w:val="A406F05C"/>
    <w:lvl w:ilvl="0" w:tplc="595C9E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9316377">
    <w:abstractNumId w:val="8"/>
  </w:num>
  <w:num w:numId="2" w16cid:durableId="764109941">
    <w:abstractNumId w:val="27"/>
  </w:num>
  <w:num w:numId="3" w16cid:durableId="272827117">
    <w:abstractNumId w:val="28"/>
  </w:num>
  <w:num w:numId="4" w16cid:durableId="1516722932">
    <w:abstractNumId w:val="16"/>
  </w:num>
  <w:num w:numId="5" w16cid:durableId="779841585">
    <w:abstractNumId w:val="12"/>
  </w:num>
  <w:num w:numId="6" w16cid:durableId="1264613086">
    <w:abstractNumId w:val="7"/>
  </w:num>
  <w:num w:numId="7" w16cid:durableId="1900361355">
    <w:abstractNumId w:val="23"/>
  </w:num>
  <w:num w:numId="8" w16cid:durableId="1441946358">
    <w:abstractNumId w:val="2"/>
  </w:num>
  <w:num w:numId="9" w16cid:durableId="301927769">
    <w:abstractNumId w:val="5"/>
  </w:num>
  <w:num w:numId="10" w16cid:durableId="567887330">
    <w:abstractNumId w:val="4"/>
  </w:num>
  <w:num w:numId="11" w16cid:durableId="733040447">
    <w:abstractNumId w:val="4"/>
  </w:num>
  <w:num w:numId="12" w16cid:durableId="2972438">
    <w:abstractNumId w:val="3"/>
  </w:num>
  <w:num w:numId="13" w16cid:durableId="1779325562">
    <w:abstractNumId w:val="11"/>
  </w:num>
  <w:num w:numId="14" w16cid:durableId="913011014">
    <w:abstractNumId w:val="22"/>
  </w:num>
  <w:num w:numId="15" w16cid:durableId="1539971529">
    <w:abstractNumId w:val="0"/>
  </w:num>
  <w:num w:numId="16" w16cid:durableId="1201750357">
    <w:abstractNumId w:val="14"/>
  </w:num>
  <w:num w:numId="17" w16cid:durableId="1347487616">
    <w:abstractNumId w:val="20"/>
  </w:num>
  <w:num w:numId="18" w16cid:durableId="721253300">
    <w:abstractNumId w:val="19"/>
  </w:num>
  <w:num w:numId="19" w16cid:durableId="949626143">
    <w:abstractNumId w:val="17"/>
  </w:num>
  <w:num w:numId="20" w16cid:durableId="124812776">
    <w:abstractNumId w:val="25"/>
  </w:num>
  <w:num w:numId="21" w16cid:durableId="1553999725">
    <w:abstractNumId w:val="15"/>
  </w:num>
  <w:num w:numId="22" w16cid:durableId="1446999252">
    <w:abstractNumId w:val="10"/>
  </w:num>
  <w:num w:numId="23" w16cid:durableId="1821845346">
    <w:abstractNumId w:val="6"/>
  </w:num>
  <w:num w:numId="24" w16cid:durableId="222067171">
    <w:abstractNumId w:val="29"/>
  </w:num>
  <w:num w:numId="25" w16cid:durableId="1302417140">
    <w:abstractNumId w:val="9"/>
  </w:num>
  <w:num w:numId="26" w16cid:durableId="121385271">
    <w:abstractNumId w:val="26"/>
  </w:num>
  <w:num w:numId="27" w16cid:durableId="1347752862">
    <w:abstractNumId w:val="24"/>
  </w:num>
  <w:num w:numId="28" w16cid:durableId="1738437991">
    <w:abstractNumId w:val="18"/>
  </w:num>
  <w:num w:numId="29" w16cid:durableId="1937788908">
    <w:abstractNumId w:val="1"/>
  </w:num>
  <w:num w:numId="30" w16cid:durableId="1788423947">
    <w:abstractNumId w:val="13"/>
  </w:num>
  <w:num w:numId="31" w16cid:durableId="7618009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75"/>
    <w:rsid w:val="00000A33"/>
    <w:rsid w:val="00000DC9"/>
    <w:rsid w:val="000015FB"/>
    <w:rsid w:val="00003314"/>
    <w:rsid w:val="00004443"/>
    <w:rsid w:val="0000494C"/>
    <w:rsid w:val="00004AC9"/>
    <w:rsid w:val="00005582"/>
    <w:rsid w:val="00005CA8"/>
    <w:rsid w:val="000067A3"/>
    <w:rsid w:val="00006CA0"/>
    <w:rsid w:val="00006CA5"/>
    <w:rsid w:val="0001017C"/>
    <w:rsid w:val="00010222"/>
    <w:rsid w:val="000111E7"/>
    <w:rsid w:val="00011329"/>
    <w:rsid w:val="00011718"/>
    <w:rsid w:val="00011FBF"/>
    <w:rsid w:val="0001282C"/>
    <w:rsid w:val="00012A6A"/>
    <w:rsid w:val="00015DBE"/>
    <w:rsid w:val="000202A0"/>
    <w:rsid w:val="00021293"/>
    <w:rsid w:val="00021BEA"/>
    <w:rsid w:val="00021F30"/>
    <w:rsid w:val="0002317C"/>
    <w:rsid w:val="000237FD"/>
    <w:rsid w:val="000241B3"/>
    <w:rsid w:val="00024B64"/>
    <w:rsid w:val="00025E7E"/>
    <w:rsid w:val="00027726"/>
    <w:rsid w:val="00030EF3"/>
    <w:rsid w:val="00031D09"/>
    <w:rsid w:val="000322CE"/>
    <w:rsid w:val="0003235B"/>
    <w:rsid w:val="00032B01"/>
    <w:rsid w:val="00035E84"/>
    <w:rsid w:val="00036508"/>
    <w:rsid w:val="000409A8"/>
    <w:rsid w:val="00042503"/>
    <w:rsid w:val="000441E7"/>
    <w:rsid w:val="0004561E"/>
    <w:rsid w:val="00045AB1"/>
    <w:rsid w:val="00047341"/>
    <w:rsid w:val="00051470"/>
    <w:rsid w:val="000515B7"/>
    <w:rsid w:val="00053693"/>
    <w:rsid w:val="00053D06"/>
    <w:rsid w:val="00055FCF"/>
    <w:rsid w:val="000578AF"/>
    <w:rsid w:val="000608D9"/>
    <w:rsid w:val="00060F21"/>
    <w:rsid w:val="000610B4"/>
    <w:rsid w:val="000612A8"/>
    <w:rsid w:val="00063570"/>
    <w:rsid w:val="00064C07"/>
    <w:rsid w:val="0006588E"/>
    <w:rsid w:val="00065DE1"/>
    <w:rsid w:val="00066B26"/>
    <w:rsid w:val="0006727D"/>
    <w:rsid w:val="00071101"/>
    <w:rsid w:val="00071D9E"/>
    <w:rsid w:val="000720BF"/>
    <w:rsid w:val="00074856"/>
    <w:rsid w:val="000749BC"/>
    <w:rsid w:val="00075515"/>
    <w:rsid w:val="00076E47"/>
    <w:rsid w:val="000771D0"/>
    <w:rsid w:val="00077DBE"/>
    <w:rsid w:val="000804AF"/>
    <w:rsid w:val="0008091B"/>
    <w:rsid w:val="00082B52"/>
    <w:rsid w:val="00083B51"/>
    <w:rsid w:val="00083D90"/>
    <w:rsid w:val="00085948"/>
    <w:rsid w:val="0008725D"/>
    <w:rsid w:val="00090558"/>
    <w:rsid w:val="00091B11"/>
    <w:rsid w:val="00092FF8"/>
    <w:rsid w:val="000935FC"/>
    <w:rsid w:val="00093C8F"/>
    <w:rsid w:val="00094E51"/>
    <w:rsid w:val="00095112"/>
    <w:rsid w:val="00095118"/>
    <w:rsid w:val="00095F68"/>
    <w:rsid w:val="000970D7"/>
    <w:rsid w:val="000971D0"/>
    <w:rsid w:val="000977E7"/>
    <w:rsid w:val="00097A6E"/>
    <w:rsid w:val="00097F4E"/>
    <w:rsid w:val="000A0E3B"/>
    <w:rsid w:val="000A1122"/>
    <w:rsid w:val="000A19DA"/>
    <w:rsid w:val="000A29F8"/>
    <w:rsid w:val="000A3398"/>
    <w:rsid w:val="000A354B"/>
    <w:rsid w:val="000A45F0"/>
    <w:rsid w:val="000A5677"/>
    <w:rsid w:val="000B0759"/>
    <w:rsid w:val="000B0800"/>
    <w:rsid w:val="000B112B"/>
    <w:rsid w:val="000B202D"/>
    <w:rsid w:val="000B2DAF"/>
    <w:rsid w:val="000B3764"/>
    <w:rsid w:val="000B4100"/>
    <w:rsid w:val="000B57B6"/>
    <w:rsid w:val="000B5C3A"/>
    <w:rsid w:val="000C0FC1"/>
    <w:rsid w:val="000C223D"/>
    <w:rsid w:val="000C33BA"/>
    <w:rsid w:val="000C3844"/>
    <w:rsid w:val="000C3BD1"/>
    <w:rsid w:val="000C4965"/>
    <w:rsid w:val="000C4B02"/>
    <w:rsid w:val="000C52BD"/>
    <w:rsid w:val="000C5ACE"/>
    <w:rsid w:val="000C6BD4"/>
    <w:rsid w:val="000C7301"/>
    <w:rsid w:val="000D034A"/>
    <w:rsid w:val="000D13AC"/>
    <w:rsid w:val="000D1497"/>
    <w:rsid w:val="000D154D"/>
    <w:rsid w:val="000D2755"/>
    <w:rsid w:val="000D2874"/>
    <w:rsid w:val="000D5566"/>
    <w:rsid w:val="000D5766"/>
    <w:rsid w:val="000D59A6"/>
    <w:rsid w:val="000D5C17"/>
    <w:rsid w:val="000D6D0A"/>
    <w:rsid w:val="000D6DA2"/>
    <w:rsid w:val="000D6EAF"/>
    <w:rsid w:val="000D77BB"/>
    <w:rsid w:val="000E0B08"/>
    <w:rsid w:val="000E1DC8"/>
    <w:rsid w:val="000E1FC6"/>
    <w:rsid w:val="000E26CD"/>
    <w:rsid w:val="000E27B2"/>
    <w:rsid w:val="000E3E8E"/>
    <w:rsid w:val="000E68FD"/>
    <w:rsid w:val="000E7201"/>
    <w:rsid w:val="000E76D2"/>
    <w:rsid w:val="000F0AAA"/>
    <w:rsid w:val="000F2759"/>
    <w:rsid w:val="000F2CA4"/>
    <w:rsid w:val="000F3DEE"/>
    <w:rsid w:val="000F4539"/>
    <w:rsid w:val="000F5C76"/>
    <w:rsid w:val="000F6126"/>
    <w:rsid w:val="000F6B5F"/>
    <w:rsid w:val="000F7D60"/>
    <w:rsid w:val="00100130"/>
    <w:rsid w:val="00100844"/>
    <w:rsid w:val="001019F6"/>
    <w:rsid w:val="00101B80"/>
    <w:rsid w:val="00103B35"/>
    <w:rsid w:val="001042D9"/>
    <w:rsid w:val="00104764"/>
    <w:rsid w:val="00105181"/>
    <w:rsid w:val="00105A88"/>
    <w:rsid w:val="00106220"/>
    <w:rsid w:val="0011033A"/>
    <w:rsid w:val="0011036E"/>
    <w:rsid w:val="00110764"/>
    <w:rsid w:val="00110EF0"/>
    <w:rsid w:val="00111018"/>
    <w:rsid w:val="00112E8E"/>
    <w:rsid w:val="0011376D"/>
    <w:rsid w:val="00114043"/>
    <w:rsid w:val="00115E01"/>
    <w:rsid w:val="00116209"/>
    <w:rsid w:val="0011714F"/>
    <w:rsid w:val="0012056B"/>
    <w:rsid w:val="00120914"/>
    <w:rsid w:val="0012155E"/>
    <w:rsid w:val="00121E52"/>
    <w:rsid w:val="0012232C"/>
    <w:rsid w:val="00122A47"/>
    <w:rsid w:val="00123D56"/>
    <w:rsid w:val="0012421C"/>
    <w:rsid w:val="0012467C"/>
    <w:rsid w:val="0012504A"/>
    <w:rsid w:val="00125733"/>
    <w:rsid w:val="00126959"/>
    <w:rsid w:val="00126E94"/>
    <w:rsid w:val="00131779"/>
    <w:rsid w:val="00132587"/>
    <w:rsid w:val="0013288F"/>
    <w:rsid w:val="00133EEF"/>
    <w:rsid w:val="001342B9"/>
    <w:rsid w:val="00136B2C"/>
    <w:rsid w:val="00136CA3"/>
    <w:rsid w:val="001414A5"/>
    <w:rsid w:val="00145DAE"/>
    <w:rsid w:val="00145E5C"/>
    <w:rsid w:val="00146022"/>
    <w:rsid w:val="00146F91"/>
    <w:rsid w:val="00147BBD"/>
    <w:rsid w:val="001500E4"/>
    <w:rsid w:val="001506AD"/>
    <w:rsid w:val="00150917"/>
    <w:rsid w:val="00150953"/>
    <w:rsid w:val="00150BAE"/>
    <w:rsid w:val="001513F0"/>
    <w:rsid w:val="0015178D"/>
    <w:rsid w:val="001522EB"/>
    <w:rsid w:val="00153FC7"/>
    <w:rsid w:val="001549C6"/>
    <w:rsid w:val="00155A7E"/>
    <w:rsid w:val="00156074"/>
    <w:rsid w:val="001568AE"/>
    <w:rsid w:val="00157097"/>
    <w:rsid w:val="0015709A"/>
    <w:rsid w:val="00157F05"/>
    <w:rsid w:val="0016066E"/>
    <w:rsid w:val="001616DD"/>
    <w:rsid w:val="00163A1B"/>
    <w:rsid w:val="00164476"/>
    <w:rsid w:val="001646CE"/>
    <w:rsid w:val="00164822"/>
    <w:rsid w:val="00164EB1"/>
    <w:rsid w:val="001679C7"/>
    <w:rsid w:val="00167F2E"/>
    <w:rsid w:val="00170C00"/>
    <w:rsid w:val="0017215F"/>
    <w:rsid w:val="00172244"/>
    <w:rsid w:val="001739E5"/>
    <w:rsid w:val="001747F1"/>
    <w:rsid w:val="0017520C"/>
    <w:rsid w:val="00175326"/>
    <w:rsid w:val="001761E4"/>
    <w:rsid w:val="0018111C"/>
    <w:rsid w:val="001820A4"/>
    <w:rsid w:val="001820B6"/>
    <w:rsid w:val="00182A6D"/>
    <w:rsid w:val="00182AA2"/>
    <w:rsid w:val="00183E0F"/>
    <w:rsid w:val="001854B8"/>
    <w:rsid w:val="001857A9"/>
    <w:rsid w:val="00185EE7"/>
    <w:rsid w:val="00186BF4"/>
    <w:rsid w:val="00186C1E"/>
    <w:rsid w:val="0018715C"/>
    <w:rsid w:val="001902E3"/>
    <w:rsid w:val="001905D7"/>
    <w:rsid w:val="00193248"/>
    <w:rsid w:val="00193906"/>
    <w:rsid w:val="00194F98"/>
    <w:rsid w:val="00195FDD"/>
    <w:rsid w:val="001960E2"/>
    <w:rsid w:val="00196985"/>
    <w:rsid w:val="0019719B"/>
    <w:rsid w:val="001A0085"/>
    <w:rsid w:val="001A1051"/>
    <w:rsid w:val="001A152D"/>
    <w:rsid w:val="001A1F0C"/>
    <w:rsid w:val="001A2BB7"/>
    <w:rsid w:val="001A2D40"/>
    <w:rsid w:val="001A498F"/>
    <w:rsid w:val="001A49C0"/>
    <w:rsid w:val="001A4C5D"/>
    <w:rsid w:val="001A568E"/>
    <w:rsid w:val="001A7123"/>
    <w:rsid w:val="001A779D"/>
    <w:rsid w:val="001A7841"/>
    <w:rsid w:val="001A7EED"/>
    <w:rsid w:val="001B10BF"/>
    <w:rsid w:val="001B14DE"/>
    <w:rsid w:val="001B1FD4"/>
    <w:rsid w:val="001B243D"/>
    <w:rsid w:val="001B285C"/>
    <w:rsid w:val="001B33EA"/>
    <w:rsid w:val="001B4292"/>
    <w:rsid w:val="001B4461"/>
    <w:rsid w:val="001B51CD"/>
    <w:rsid w:val="001B54E1"/>
    <w:rsid w:val="001B59C5"/>
    <w:rsid w:val="001B7F48"/>
    <w:rsid w:val="001C1D13"/>
    <w:rsid w:val="001C1D9D"/>
    <w:rsid w:val="001C5287"/>
    <w:rsid w:val="001C52FA"/>
    <w:rsid w:val="001C546F"/>
    <w:rsid w:val="001C5E40"/>
    <w:rsid w:val="001C7514"/>
    <w:rsid w:val="001C7653"/>
    <w:rsid w:val="001C76A4"/>
    <w:rsid w:val="001C7DEC"/>
    <w:rsid w:val="001D34EC"/>
    <w:rsid w:val="001D52D1"/>
    <w:rsid w:val="001D52DB"/>
    <w:rsid w:val="001D5F8E"/>
    <w:rsid w:val="001D6825"/>
    <w:rsid w:val="001D765B"/>
    <w:rsid w:val="001D78BE"/>
    <w:rsid w:val="001D7931"/>
    <w:rsid w:val="001D7C1D"/>
    <w:rsid w:val="001E03BC"/>
    <w:rsid w:val="001E042F"/>
    <w:rsid w:val="001E050F"/>
    <w:rsid w:val="001E143D"/>
    <w:rsid w:val="001E14FE"/>
    <w:rsid w:val="001E218D"/>
    <w:rsid w:val="001E2C9C"/>
    <w:rsid w:val="001E2FA8"/>
    <w:rsid w:val="001E313C"/>
    <w:rsid w:val="001E47F7"/>
    <w:rsid w:val="001E5050"/>
    <w:rsid w:val="001E51F6"/>
    <w:rsid w:val="001E69AD"/>
    <w:rsid w:val="001E7284"/>
    <w:rsid w:val="001F0ADE"/>
    <w:rsid w:val="001F1DB8"/>
    <w:rsid w:val="001F2D4E"/>
    <w:rsid w:val="001F34F2"/>
    <w:rsid w:val="001F4A7E"/>
    <w:rsid w:val="001F62BB"/>
    <w:rsid w:val="001F6C66"/>
    <w:rsid w:val="001F6E10"/>
    <w:rsid w:val="001F7216"/>
    <w:rsid w:val="0020116D"/>
    <w:rsid w:val="00201290"/>
    <w:rsid w:val="002019D6"/>
    <w:rsid w:val="00201D7E"/>
    <w:rsid w:val="0020226B"/>
    <w:rsid w:val="00203B2A"/>
    <w:rsid w:val="002043CE"/>
    <w:rsid w:val="00204A76"/>
    <w:rsid w:val="00205A61"/>
    <w:rsid w:val="00207030"/>
    <w:rsid w:val="0020766F"/>
    <w:rsid w:val="0021002C"/>
    <w:rsid w:val="00210DE8"/>
    <w:rsid w:val="0021216D"/>
    <w:rsid w:val="002121B4"/>
    <w:rsid w:val="00213456"/>
    <w:rsid w:val="0021351E"/>
    <w:rsid w:val="00213708"/>
    <w:rsid w:val="002142D7"/>
    <w:rsid w:val="00215CC0"/>
    <w:rsid w:val="00215EBA"/>
    <w:rsid w:val="00216447"/>
    <w:rsid w:val="00216B6A"/>
    <w:rsid w:val="00217065"/>
    <w:rsid w:val="00222A34"/>
    <w:rsid w:val="002248D7"/>
    <w:rsid w:val="002249A3"/>
    <w:rsid w:val="00225020"/>
    <w:rsid w:val="00225084"/>
    <w:rsid w:val="002254E1"/>
    <w:rsid w:val="00226264"/>
    <w:rsid w:val="00227813"/>
    <w:rsid w:val="0023038B"/>
    <w:rsid w:val="0023044A"/>
    <w:rsid w:val="00230B5A"/>
    <w:rsid w:val="0023167F"/>
    <w:rsid w:val="00232C13"/>
    <w:rsid w:val="00232F99"/>
    <w:rsid w:val="002340EA"/>
    <w:rsid w:val="0023482A"/>
    <w:rsid w:val="0023493B"/>
    <w:rsid w:val="00234C8D"/>
    <w:rsid w:val="00235292"/>
    <w:rsid w:val="00235AB3"/>
    <w:rsid w:val="0023625B"/>
    <w:rsid w:val="00236DF0"/>
    <w:rsid w:val="002378B1"/>
    <w:rsid w:val="00237E06"/>
    <w:rsid w:val="00240733"/>
    <w:rsid w:val="00240738"/>
    <w:rsid w:val="0024190E"/>
    <w:rsid w:val="00241C46"/>
    <w:rsid w:val="00241CAF"/>
    <w:rsid w:val="002430D4"/>
    <w:rsid w:val="0024441A"/>
    <w:rsid w:val="0024498D"/>
    <w:rsid w:val="002463D7"/>
    <w:rsid w:val="002502E2"/>
    <w:rsid w:val="00250465"/>
    <w:rsid w:val="0025071C"/>
    <w:rsid w:val="00250A94"/>
    <w:rsid w:val="00250AD3"/>
    <w:rsid w:val="00251546"/>
    <w:rsid w:val="002523A0"/>
    <w:rsid w:val="002528C0"/>
    <w:rsid w:val="00252984"/>
    <w:rsid w:val="00253894"/>
    <w:rsid w:val="00254A7B"/>
    <w:rsid w:val="0025508E"/>
    <w:rsid w:val="00256BA2"/>
    <w:rsid w:val="00256C4A"/>
    <w:rsid w:val="00256EAB"/>
    <w:rsid w:val="00260337"/>
    <w:rsid w:val="00260538"/>
    <w:rsid w:val="00260A15"/>
    <w:rsid w:val="002611F1"/>
    <w:rsid w:val="00261223"/>
    <w:rsid w:val="002614D3"/>
    <w:rsid w:val="00261A0E"/>
    <w:rsid w:val="0026284E"/>
    <w:rsid w:val="00263566"/>
    <w:rsid w:val="0026389E"/>
    <w:rsid w:val="00265804"/>
    <w:rsid w:val="00267656"/>
    <w:rsid w:val="00270499"/>
    <w:rsid w:val="00271323"/>
    <w:rsid w:val="002744C9"/>
    <w:rsid w:val="00274E89"/>
    <w:rsid w:val="002759C1"/>
    <w:rsid w:val="00277C87"/>
    <w:rsid w:val="00280B8A"/>
    <w:rsid w:val="002814F7"/>
    <w:rsid w:val="00281579"/>
    <w:rsid w:val="00281683"/>
    <w:rsid w:val="002816E5"/>
    <w:rsid w:val="00281A6A"/>
    <w:rsid w:val="0028359E"/>
    <w:rsid w:val="0028510E"/>
    <w:rsid w:val="00290BA2"/>
    <w:rsid w:val="00292144"/>
    <w:rsid w:val="002922BD"/>
    <w:rsid w:val="00292375"/>
    <w:rsid w:val="00292AF5"/>
    <w:rsid w:val="00295E2A"/>
    <w:rsid w:val="0029657B"/>
    <w:rsid w:val="00296BBB"/>
    <w:rsid w:val="00297E61"/>
    <w:rsid w:val="002A112C"/>
    <w:rsid w:val="002A275D"/>
    <w:rsid w:val="002A4042"/>
    <w:rsid w:val="002A445E"/>
    <w:rsid w:val="002A6672"/>
    <w:rsid w:val="002B01F3"/>
    <w:rsid w:val="002B150D"/>
    <w:rsid w:val="002B1882"/>
    <w:rsid w:val="002B1E75"/>
    <w:rsid w:val="002B2005"/>
    <w:rsid w:val="002B487E"/>
    <w:rsid w:val="002B4B44"/>
    <w:rsid w:val="002B4FEE"/>
    <w:rsid w:val="002B5D4B"/>
    <w:rsid w:val="002B61BF"/>
    <w:rsid w:val="002B6A7C"/>
    <w:rsid w:val="002B70E2"/>
    <w:rsid w:val="002C02C0"/>
    <w:rsid w:val="002C1DEB"/>
    <w:rsid w:val="002C3E31"/>
    <w:rsid w:val="002C3E5D"/>
    <w:rsid w:val="002C497C"/>
    <w:rsid w:val="002C4D4D"/>
    <w:rsid w:val="002C5C43"/>
    <w:rsid w:val="002C5F8B"/>
    <w:rsid w:val="002C7D39"/>
    <w:rsid w:val="002C7E70"/>
    <w:rsid w:val="002D0B42"/>
    <w:rsid w:val="002D115B"/>
    <w:rsid w:val="002D2D4F"/>
    <w:rsid w:val="002D338E"/>
    <w:rsid w:val="002D3659"/>
    <w:rsid w:val="002D4713"/>
    <w:rsid w:val="002D4DFC"/>
    <w:rsid w:val="002D5417"/>
    <w:rsid w:val="002D5AC1"/>
    <w:rsid w:val="002D66ED"/>
    <w:rsid w:val="002E0723"/>
    <w:rsid w:val="002E0F02"/>
    <w:rsid w:val="002E264B"/>
    <w:rsid w:val="002E338B"/>
    <w:rsid w:val="002E3569"/>
    <w:rsid w:val="002E400F"/>
    <w:rsid w:val="002E5AD9"/>
    <w:rsid w:val="002E73B5"/>
    <w:rsid w:val="002F1C5D"/>
    <w:rsid w:val="002F34FD"/>
    <w:rsid w:val="002F3E33"/>
    <w:rsid w:val="002F47D4"/>
    <w:rsid w:val="002F57CA"/>
    <w:rsid w:val="002F7AB1"/>
    <w:rsid w:val="00302CED"/>
    <w:rsid w:val="00303669"/>
    <w:rsid w:val="00305ED9"/>
    <w:rsid w:val="00306963"/>
    <w:rsid w:val="00306AE3"/>
    <w:rsid w:val="003070EF"/>
    <w:rsid w:val="00307BFE"/>
    <w:rsid w:val="00310110"/>
    <w:rsid w:val="0031075F"/>
    <w:rsid w:val="00310BA6"/>
    <w:rsid w:val="00310F4A"/>
    <w:rsid w:val="0031157E"/>
    <w:rsid w:val="00311D8E"/>
    <w:rsid w:val="003127C2"/>
    <w:rsid w:val="00312B91"/>
    <w:rsid w:val="00313C13"/>
    <w:rsid w:val="00314E76"/>
    <w:rsid w:val="003201A8"/>
    <w:rsid w:val="00320236"/>
    <w:rsid w:val="00321A3A"/>
    <w:rsid w:val="00322B34"/>
    <w:rsid w:val="00323006"/>
    <w:rsid w:val="00323286"/>
    <w:rsid w:val="003236D1"/>
    <w:rsid w:val="00324469"/>
    <w:rsid w:val="003244AF"/>
    <w:rsid w:val="00326050"/>
    <w:rsid w:val="003262AC"/>
    <w:rsid w:val="00326329"/>
    <w:rsid w:val="003267F9"/>
    <w:rsid w:val="00326C74"/>
    <w:rsid w:val="00326CD1"/>
    <w:rsid w:val="0032702D"/>
    <w:rsid w:val="00327115"/>
    <w:rsid w:val="0033068D"/>
    <w:rsid w:val="00330A57"/>
    <w:rsid w:val="00331337"/>
    <w:rsid w:val="0033151A"/>
    <w:rsid w:val="0033251F"/>
    <w:rsid w:val="0033383A"/>
    <w:rsid w:val="00333A28"/>
    <w:rsid w:val="00335063"/>
    <w:rsid w:val="003350C3"/>
    <w:rsid w:val="00337C31"/>
    <w:rsid w:val="00342493"/>
    <w:rsid w:val="00343861"/>
    <w:rsid w:val="0034393D"/>
    <w:rsid w:val="0035051E"/>
    <w:rsid w:val="00350D5C"/>
    <w:rsid w:val="00351620"/>
    <w:rsid w:val="00352223"/>
    <w:rsid w:val="00355A84"/>
    <w:rsid w:val="00355DC7"/>
    <w:rsid w:val="00355DC8"/>
    <w:rsid w:val="00355F0D"/>
    <w:rsid w:val="00356D5D"/>
    <w:rsid w:val="00356FB2"/>
    <w:rsid w:val="00357BDA"/>
    <w:rsid w:val="00361063"/>
    <w:rsid w:val="00361E56"/>
    <w:rsid w:val="003624D0"/>
    <w:rsid w:val="0036302F"/>
    <w:rsid w:val="00363F94"/>
    <w:rsid w:val="0036481A"/>
    <w:rsid w:val="00365BCD"/>
    <w:rsid w:val="003676B4"/>
    <w:rsid w:val="00367EFC"/>
    <w:rsid w:val="00370520"/>
    <w:rsid w:val="003708B5"/>
    <w:rsid w:val="00371B9F"/>
    <w:rsid w:val="0037201E"/>
    <w:rsid w:val="003724F9"/>
    <w:rsid w:val="00374134"/>
    <w:rsid w:val="00375432"/>
    <w:rsid w:val="00375C9C"/>
    <w:rsid w:val="00377ABA"/>
    <w:rsid w:val="00381A08"/>
    <w:rsid w:val="00382964"/>
    <w:rsid w:val="00382DF0"/>
    <w:rsid w:val="00383414"/>
    <w:rsid w:val="00384412"/>
    <w:rsid w:val="00384B88"/>
    <w:rsid w:val="00385102"/>
    <w:rsid w:val="00385182"/>
    <w:rsid w:val="003862ED"/>
    <w:rsid w:val="00386816"/>
    <w:rsid w:val="0038719F"/>
    <w:rsid w:val="00387DB6"/>
    <w:rsid w:val="003902B4"/>
    <w:rsid w:val="0039133A"/>
    <w:rsid w:val="00391C31"/>
    <w:rsid w:val="00391F33"/>
    <w:rsid w:val="003939A2"/>
    <w:rsid w:val="00394F92"/>
    <w:rsid w:val="00395DA3"/>
    <w:rsid w:val="00395E39"/>
    <w:rsid w:val="003966FD"/>
    <w:rsid w:val="003979A8"/>
    <w:rsid w:val="003A0940"/>
    <w:rsid w:val="003A2133"/>
    <w:rsid w:val="003A2831"/>
    <w:rsid w:val="003A2B8A"/>
    <w:rsid w:val="003A3ED2"/>
    <w:rsid w:val="003A3FB4"/>
    <w:rsid w:val="003A510E"/>
    <w:rsid w:val="003A6C01"/>
    <w:rsid w:val="003A725E"/>
    <w:rsid w:val="003B22C8"/>
    <w:rsid w:val="003B3C35"/>
    <w:rsid w:val="003B47A2"/>
    <w:rsid w:val="003B613E"/>
    <w:rsid w:val="003B7749"/>
    <w:rsid w:val="003C0830"/>
    <w:rsid w:val="003C0E24"/>
    <w:rsid w:val="003C0F34"/>
    <w:rsid w:val="003C1E4C"/>
    <w:rsid w:val="003C264F"/>
    <w:rsid w:val="003C3304"/>
    <w:rsid w:val="003C4F5A"/>
    <w:rsid w:val="003C4FA7"/>
    <w:rsid w:val="003C553A"/>
    <w:rsid w:val="003C5A42"/>
    <w:rsid w:val="003C6ACD"/>
    <w:rsid w:val="003D0169"/>
    <w:rsid w:val="003D2043"/>
    <w:rsid w:val="003D2868"/>
    <w:rsid w:val="003D4DC0"/>
    <w:rsid w:val="003D5BC2"/>
    <w:rsid w:val="003D6698"/>
    <w:rsid w:val="003D6A9B"/>
    <w:rsid w:val="003D7FC8"/>
    <w:rsid w:val="003E0300"/>
    <w:rsid w:val="003E0481"/>
    <w:rsid w:val="003E108D"/>
    <w:rsid w:val="003E1708"/>
    <w:rsid w:val="003E1C82"/>
    <w:rsid w:val="003E3AD6"/>
    <w:rsid w:val="003E420B"/>
    <w:rsid w:val="003E4370"/>
    <w:rsid w:val="003E5FD4"/>
    <w:rsid w:val="003E66A5"/>
    <w:rsid w:val="003F0D2F"/>
    <w:rsid w:val="003F170F"/>
    <w:rsid w:val="003F2395"/>
    <w:rsid w:val="003F333C"/>
    <w:rsid w:val="003F42C1"/>
    <w:rsid w:val="003F4797"/>
    <w:rsid w:val="003F4FFB"/>
    <w:rsid w:val="003F5D64"/>
    <w:rsid w:val="003F6E20"/>
    <w:rsid w:val="00403269"/>
    <w:rsid w:val="00403DBA"/>
    <w:rsid w:val="004047E3"/>
    <w:rsid w:val="00410490"/>
    <w:rsid w:val="004120AE"/>
    <w:rsid w:val="00412E82"/>
    <w:rsid w:val="00413DDE"/>
    <w:rsid w:val="00414E99"/>
    <w:rsid w:val="00417A84"/>
    <w:rsid w:val="0042087E"/>
    <w:rsid w:val="00422268"/>
    <w:rsid w:val="004222AA"/>
    <w:rsid w:val="00423010"/>
    <w:rsid w:val="0042417B"/>
    <w:rsid w:val="00424446"/>
    <w:rsid w:val="00424DDB"/>
    <w:rsid w:val="004256CC"/>
    <w:rsid w:val="00425C5C"/>
    <w:rsid w:val="0042618E"/>
    <w:rsid w:val="004265C9"/>
    <w:rsid w:val="004270B8"/>
    <w:rsid w:val="00430E88"/>
    <w:rsid w:val="004313F6"/>
    <w:rsid w:val="00433CF2"/>
    <w:rsid w:val="004349F1"/>
    <w:rsid w:val="00436807"/>
    <w:rsid w:val="00437613"/>
    <w:rsid w:val="00443DD1"/>
    <w:rsid w:val="0044481B"/>
    <w:rsid w:val="0044493D"/>
    <w:rsid w:val="00446ACA"/>
    <w:rsid w:val="00450B20"/>
    <w:rsid w:val="00452542"/>
    <w:rsid w:val="0045474B"/>
    <w:rsid w:val="00454A50"/>
    <w:rsid w:val="00454FC8"/>
    <w:rsid w:val="00455551"/>
    <w:rsid w:val="00457E61"/>
    <w:rsid w:val="00460FDD"/>
    <w:rsid w:val="004611DE"/>
    <w:rsid w:val="00461EBB"/>
    <w:rsid w:val="004632D2"/>
    <w:rsid w:val="004639CB"/>
    <w:rsid w:val="0046429D"/>
    <w:rsid w:val="004650E6"/>
    <w:rsid w:val="004652D2"/>
    <w:rsid w:val="0046552D"/>
    <w:rsid w:val="00465DBD"/>
    <w:rsid w:val="0047002B"/>
    <w:rsid w:val="00470984"/>
    <w:rsid w:val="00470F43"/>
    <w:rsid w:val="004718C9"/>
    <w:rsid w:val="00471A7A"/>
    <w:rsid w:val="00473633"/>
    <w:rsid w:val="0047495B"/>
    <w:rsid w:val="00474B88"/>
    <w:rsid w:val="0047503F"/>
    <w:rsid w:val="00477A39"/>
    <w:rsid w:val="00481105"/>
    <w:rsid w:val="0048115C"/>
    <w:rsid w:val="00481EF4"/>
    <w:rsid w:val="00482111"/>
    <w:rsid w:val="004831C0"/>
    <w:rsid w:val="00483D37"/>
    <w:rsid w:val="00483FA6"/>
    <w:rsid w:val="00484090"/>
    <w:rsid w:val="0048485E"/>
    <w:rsid w:val="0048602A"/>
    <w:rsid w:val="00486895"/>
    <w:rsid w:val="004876F9"/>
    <w:rsid w:val="00487A84"/>
    <w:rsid w:val="00490779"/>
    <w:rsid w:val="0049156B"/>
    <w:rsid w:val="004920DA"/>
    <w:rsid w:val="00492388"/>
    <w:rsid w:val="004929C0"/>
    <w:rsid w:val="0049424C"/>
    <w:rsid w:val="004952AC"/>
    <w:rsid w:val="0049572F"/>
    <w:rsid w:val="00495EA8"/>
    <w:rsid w:val="00496A8B"/>
    <w:rsid w:val="004A0D99"/>
    <w:rsid w:val="004A12AF"/>
    <w:rsid w:val="004A1F7D"/>
    <w:rsid w:val="004A3952"/>
    <w:rsid w:val="004A441F"/>
    <w:rsid w:val="004A5C87"/>
    <w:rsid w:val="004A7163"/>
    <w:rsid w:val="004B16C2"/>
    <w:rsid w:val="004B1AA5"/>
    <w:rsid w:val="004B2274"/>
    <w:rsid w:val="004B3775"/>
    <w:rsid w:val="004B4CA1"/>
    <w:rsid w:val="004B52B4"/>
    <w:rsid w:val="004B565B"/>
    <w:rsid w:val="004B5E7F"/>
    <w:rsid w:val="004B630E"/>
    <w:rsid w:val="004B69DD"/>
    <w:rsid w:val="004B6A7C"/>
    <w:rsid w:val="004B7918"/>
    <w:rsid w:val="004B7C01"/>
    <w:rsid w:val="004C1CEC"/>
    <w:rsid w:val="004C2E99"/>
    <w:rsid w:val="004C31B0"/>
    <w:rsid w:val="004C339E"/>
    <w:rsid w:val="004C346B"/>
    <w:rsid w:val="004C75BA"/>
    <w:rsid w:val="004C7FC8"/>
    <w:rsid w:val="004D082A"/>
    <w:rsid w:val="004D1C0B"/>
    <w:rsid w:val="004D2817"/>
    <w:rsid w:val="004D34F0"/>
    <w:rsid w:val="004D3FBE"/>
    <w:rsid w:val="004D4B30"/>
    <w:rsid w:val="004D5035"/>
    <w:rsid w:val="004D5CC7"/>
    <w:rsid w:val="004D6A54"/>
    <w:rsid w:val="004D7FA7"/>
    <w:rsid w:val="004E106F"/>
    <w:rsid w:val="004E173B"/>
    <w:rsid w:val="004E1E34"/>
    <w:rsid w:val="004E51D3"/>
    <w:rsid w:val="004F0678"/>
    <w:rsid w:val="004F1002"/>
    <w:rsid w:val="004F27E1"/>
    <w:rsid w:val="004F35E5"/>
    <w:rsid w:val="004F3BEC"/>
    <w:rsid w:val="004F3F99"/>
    <w:rsid w:val="004F737C"/>
    <w:rsid w:val="004F788F"/>
    <w:rsid w:val="00502591"/>
    <w:rsid w:val="005027BF"/>
    <w:rsid w:val="005039A6"/>
    <w:rsid w:val="0050425B"/>
    <w:rsid w:val="00507044"/>
    <w:rsid w:val="005078A4"/>
    <w:rsid w:val="0050793C"/>
    <w:rsid w:val="00507B99"/>
    <w:rsid w:val="00510D30"/>
    <w:rsid w:val="00510D4C"/>
    <w:rsid w:val="00510D51"/>
    <w:rsid w:val="00511761"/>
    <w:rsid w:val="005117C9"/>
    <w:rsid w:val="00511C29"/>
    <w:rsid w:val="005139E4"/>
    <w:rsid w:val="00514D24"/>
    <w:rsid w:val="00516728"/>
    <w:rsid w:val="00516A7B"/>
    <w:rsid w:val="0051777B"/>
    <w:rsid w:val="00521118"/>
    <w:rsid w:val="0052189F"/>
    <w:rsid w:val="00522E98"/>
    <w:rsid w:val="00523734"/>
    <w:rsid w:val="00525382"/>
    <w:rsid w:val="005258D1"/>
    <w:rsid w:val="00525AD5"/>
    <w:rsid w:val="00526AEB"/>
    <w:rsid w:val="005274EE"/>
    <w:rsid w:val="00530487"/>
    <w:rsid w:val="00530B7C"/>
    <w:rsid w:val="005310EE"/>
    <w:rsid w:val="00532E4F"/>
    <w:rsid w:val="0053333C"/>
    <w:rsid w:val="0053387A"/>
    <w:rsid w:val="005340B9"/>
    <w:rsid w:val="00534420"/>
    <w:rsid w:val="005376DB"/>
    <w:rsid w:val="005410C3"/>
    <w:rsid w:val="0054164D"/>
    <w:rsid w:val="005416F6"/>
    <w:rsid w:val="00542268"/>
    <w:rsid w:val="005427FD"/>
    <w:rsid w:val="00542951"/>
    <w:rsid w:val="00542991"/>
    <w:rsid w:val="00545AE5"/>
    <w:rsid w:val="00546891"/>
    <w:rsid w:val="005475F1"/>
    <w:rsid w:val="00550109"/>
    <w:rsid w:val="005507F1"/>
    <w:rsid w:val="00553462"/>
    <w:rsid w:val="00554AA7"/>
    <w:rsid w:val="00557E8D"/>
    <w:rsid w:val="005602AF"/>
    <w:rsid w:val="005610BE"/>
    <w:rsid w:val="00561394"/>
    <w:rsid w:val="0056235A"/>
    <w:rsid w:val="00563C3E"/>
    <w:rsid w:val="00563D3B"/>
    <w:rsid w:val="00563F57"/>
    <w:rsid w:val="0056408F"/>
    <w:rsid w:val="00564D8D"/>
    <w:rsid w:val="0056665B"/>
    <w:rsid w:val="0056697B"/>
    <w:rsid w:val="00566A53"/>
    <w:rsid w:val="0056704E"/>
    <w:rsid w:val="00570002"/>
    <w:rsid w:val="00570E16"/>
    <w:rsid w:val="00572DF7"/>
    <w:rsid w:val="00574A8F"/>
    <w:rsid w:val="00574E9D"/>
    <w:rsid w:val="00575069"/>
    <w:rsid w:val="00576C49"/>
    <w:rsid w:val="00577C79"/>
    <w:rsid w:val="005802D6"/>
    <w:rsid w:val="00580DE1"/>
    <w:rsid w:val="00581EC0"/>
    <w:rsid w:val="005832B1"/>
    <w:rsid w:val="00584956"/>
    <w:rsid w:val="00584E13"/>
    <w:rsid w:val="00585061"/>
    <w:rsid w:val="00585583"/>
    <w:rsid w:val="00585592"/>
    <w:rsid w:val="00585674"/>
    <w:rsid w:val="00586138"/>
    <w:rsid w:val="005864B1"/>
    <w:rsid w:val="00591B25"/>
    <w:rsid w:val="00592ACF"/>
    <w:rsid w:val="0059365B"/>
    <w:rsid w:val="00593BA3"/>
    <w:rsid w:val="00594044"/>
    <w:rsid w:val="005949C7"/>
    <w:rsid w:val="0059584A"/>
    <w:rsid w:val="00595CE3"/>
    <w:rsid w:val="00595D3D"/>
    <w:rsid w:val="005A0560"/>
    <w:rsid w:val="005A0794"/>
    <w:rsid w:val="005A09AD"/>
    <w:rsid w:val="005A34A3"/>
    <w:rsid w:val="005A38E6"/>
    <w:rsid w:val="005A39AC"/>
    <w:rsid w:val="005B22BA"/>
    <w:rsid w:val="005B259E"/>
    <w:rsid w:val="005B69FC"/>
    <w:rsid w:val="005B6CB9"/>
    <w:rsid w:val="005C0EE9"/>
    <w:rsid w:val="005C1729"/>
    <w:rsid w:val="005C2EF2"/>
    <w:rsid w:val="005C32EF"/>
    <w:rsid w:val="005C3764"/>
    <w:rsid w:val="005C3E93"/>
    <w:rsid w:val="005C3F00"/>
    <w:rsid w:val="005C5504"/>
    <w:rsid w:val="005C6676"/>
    <w:rsid w:val="005C67D5"/>
    <w:rsid w:val="005C7764"/>
    <w:rsid w:val="005D009C"/>
    <w:rsid w:val="005D0783"/>
    <w:rsid w:val="005D0CC6"/>
    <w:rsid w:val="005D16AD"/>
    <w:rsid w:val="005D261B"/>
    <w:rsid w:val="005D276B"/>
    <w:rsid w:val="005D3916"/>
    <w:rsid w:val="005D3947"/>
    <w:rsid w:val="005D3A72"/>
    <w:rsid w:val="005D4223"/>
    <w:rsid w:val="005D5366"/>
    <w:rsid w:val="005D5C33"/>
    <w:rsid w:val="005D7CB0"/>
    <w:rsid w:val="005E0BFB"/>
    <w:rsid w:val="005E1466"/>
    <w:rsid w:val="005E1B2F"/>
    <w:rsid w:val="005E1CB3"/>
    <w:rsid w:val="005E21DA"/>
    <w:rsid w:val="005E43AC"/>
    <w:rsid w:val="005E45DF"/>
    <w:rsid w:val="005E4D59"/>
    <w:rsid w:val="005E5172"/>
    <w:rsid w:val="005E607D"/>
    <w:rsid w:val="005E7AE2"/>
    <w:rsid w:val="005F01D8"/>
    <w:rsid w:val="005F1036"/>
    <w:rsid w:val="005F17F4"/>
    <w:rsid w:val="005F39ED"/>
    <w:rsid w:val="005F3A23"/>
    <w:rsid w:val="005F3E68"/>
    <w:rsid w:val="005F3F5F"/>
    <w:rsid w:val="005F4478"/>
    <w:rsid w:val="00600585"/>
    <w:rsid w:val="006024EC"/>
    <w:rsid w:val="00602AFB"/>
    <w:rsid w:val="0060394C"/>
    <w:rsid w:val="00604B59"/>
    <w:rsid w:val="006053CC"/>
    <w:rsid w:val="006054D3"/>
    <w:rsid w:val="00605A99"/>
    <w:rsid w:val="00605D28"/>
    <w:rsid w:val="00607E4D"/>
    <w:rsid w:val="006111E0"/>
    <w:rsid w:val="006122CE"/>
    <w:rsid w:val="00612D1C"/>
    <w:rsid w:val="00613773"/>
    <w:rsid w:val="00613A2A"/>
    <w:rsid w:val="00613D7F"/>
    <w:rsid w:val="00614A36"/>
    <w:rsid w:val="00615B6F"/>
    <w:rsid w:val="0062110F"/>
    <w:rsid w:val="00621123"/>
    <w:rsid w:val="00621BF3"/>
    <w:rsid w:val="00621D15"/>
    <w:rsid w:val="00622554"/>
    <w:rsid w:val="0062289C"/>
    <w:rsid w:val="0062328E"/>
    <w:rsid w:val="00624799"/>
    <w:rsid w:val="00624929"/>
    <w:rsid w:val="0062536D"/>
    <w:rsid w:val="00626F25"/>
    <w:rsid w:val="00627A07"/>
    <w:rsid w:val="00630C09"/>
    <w:rsid w:val="00630E4F"/>
    <w:rsid w:val="006335B6"/>
    <w:rsid w:val="00633AA6"/>
    <w:rsid w:val="00633D14"/>
    <w:rsid w:val="006340AD"/>
    <w:rsid w:val="00634A57"/>
    <w:rsid w:val="006351A3"/>
    <w:rsid w:val="006363B9"/>
    <w:rsid w:val="006363FC"/>
    <w:rsid w:val="006365E3"/>
    <w:rsid w:val="00636766"/>
    <w:rsid w:val="006368CE"/>
    <w:rsid w:val="00637749"/>
    <w:rsid w:val="006404DB"/>
    <w:rsid w:val="006406CD"/>
    <w:rsid w:val="006407F5"/>
    <w:rsid w:val="00640EDD"/>
    <w:rsid w:val="00641FDC"/>
    <w:rsid w:val="006460D5"/>
    <w:rsid w:val="00646441"/>
    <w:rsid w:val="00646F76"/>
    <w:rsid w:val="00647201"/>
    <w:rsid w:val="0064725F"/>
    <w:rsid w:val="00647776"/>
    <w:rsid w:val="00652D38"/>
    <w:rsid w:val="00652E0C"/>
    <w:rsid w:val="0065392F"/>
    <w:rsid w:val="006545DA"/>
    <w:rsid w:val="00656252"/>
    <w:rsid w:val="00657EBB"/>
    <w:rsid w:val="00660608"/>
    <w:rsid w:val="00660807"/>
    <w:rsid w:val="0066101D"/>
    <w:rsid w:val="006615CE"/>
    <w:rsid w:val="00663AF4"/>
    <w:rsid w:val="0066519E"/>
    <w:rsid w:val="0066740F"/>
    <w:rsid w:val="006675CF"/>
    <w:rsid w:val="00670705"/>
    <w:rsid w:val="00671956"/>
    <w:rsid w:val="006719D6"/>
    <w:rsid w:val="00672A69"/>
    <w:rsid w:val="006737C2"/>
    <w:rsid w:val="006745F4"/>
    <w:rsid w:val="00674870"/>
    <w:rsid w:val="006759FA"/>
    <w:rsid w:val="00675E2F"/>
    <w:rsid w:val="006775B0"/>
    <w:rsid w:val="00677FAA"/>
    <w:rsid w:val="00677FB0"/>
    <w:rsid w:val="00681A7F"/>
    <w:rsid w:val="00682895"/>
    <w:rsid w:val="00682DB4"/>
    <w:rsid w:val="00682DC0"/>
    <w:rsid w:val="00682E22"/>
    <w:rsid w:val="006830DA"/>
    <w:rsid w:val="006830DE"/>
    <w:rsid w:val="006836CA"/>
    <w:rsid w:val="006842C3"/>
    <w:rsid w:val="00684422"/>
    <w:rsid w:val="006870AF"/>
    <w:rsid w:val="00687B04"/>
    <w:rsid w:val="006900C1"/>
    <w:rsid w:val="006914F4"/>
    <w:rsid w:val="00691706"/>
    <w:rsid w:val="006920D1"/>
    <w:rsid w:val="006946B1"/>
    <w:rsid w:val="006947FA"/>
    <w:rsid w:val="00696892"/>
    <w:rsid w:val="006A1568"/>
    <w:rsid w:val="006A1EEB"/>
    <w:rsid w:val="006A2642"/>
    <w:rsid w:val="006A2D6D"/>
    <w:rsid w:val="006A3139"/>
    <w:rsid w:val="006A437E"/>
    <w:rsid w:val="006A4808"/>
    <w:rsid w:val="006A481E"/>
    <w:rsid w:val="006A58E5"/>
    <w:rsid w:val="006B04FC"/>
    <w:rsid w:val="006B061D"/>
    <w:rsid w:val="006B0CFF"/>
    <w:rsid w:val="006B22F5"/>
    <w:rsid w:val="006B355D"/>
    <w:rsid w:val="006B3EE2"/>
    <w:rsid w:val="006B4832"/>
    <w:rsid w:val="006B48FB"/>
    <w:rsid w:val="006B60B0"/>
    <w:rsid w:val="006B67E5"/>
    <w:rsid w:val="006C0CCB"/>
    <w:rsid w:val="006C14D8"/>
    <w:rsid w:val="006C2E56"/>
    <w:rsid w:val="006C3B93"/>
    <w:rsid w:val="006C668B"/>
    <w:rsid w:val="006C68E0"/>
    <w:rsid w:val="006C6AA8"/>
    <w:rsid w:val="006C6F12"/>
    <w:rsid w:val="006C7830"/>
    <w:rsid w:val="006D0634"/>
    <w:rsid w:val="006D1A6E"/>
    <w:rsid w:val="006D408C"/>
    <w:rsid w:val="006D430D"/>
    <w:rsid w:val="006D492A"/>
    <w:rsid w:val="006D4F5C"/>
    <w:rsid w:val="006D52DB"/>
    <w:rsid w:val="006D635B"/>
    <w:rsid w:val="006D6413"/>
    <w:rsid w:val="006D6A43"/>
    <w:rsid w:val="006D73DB"/>
    <w:rsid w:val="006E15B2"/>
    <w:rsid w:val="006E2F2C"/>
    <w:rsid w:val="006E3B4E"/>
    <w:rsid w:val="006E746C"/>
    <w:rsid w:val="006E74D8"/>
    <w:rsid w:val="006E7C0D"/>
    <w:rsid w:val="006F1770"/>
    <w:rsid w:val="006F17DE"/>
    <w:rsid w:val="006F1D33"/>
    <w:rsid w:val="006F20CD"/>
    <w:rsid w:val="006F40A9"/>
    <w:rsid w:val="006F5339"/>
    <w:rsid w:val="006F59A5"/>
    <w:rsid w:val="006F71B8"/>
    <w:rsid w:val="0070042F"/>
    <w:rsid w:val="007016CE"/>
    <w:rsid w:val="00701BA1"/>
    <w:rsid w:val="007027F5"/>
    <w:rsid w:val="00702B38"/>
    <w:rsid w:val="00703229"/>
    <w:rsid w:val="00703ABA"/>
    <w:rsid w:val="00705531"/>
    <w:rsid w:val="00706294"/>
    <w:rsid w:val="007078DC"/>
    <w:rsid w:val="0071063A"/>
    <w:rsid w:val="0071196D"/>
    <w:rsid w:val="00712329"/>
    <w:rsid w:val="00712D1E"/>
    <w:rsid w:val="00713ACB"/>
    <w:rsid w:val="0071457C"/>
    <w:rsid w:val="007147E0"/>
    <w:rsid w:val="00715E54"/>
    <w:rsid w:val="00716159"/>
    <w:rsid w:val="00717DE5"/>
    <w:rsid w:val="00721567"/>
    <w:rsid w:val="00722E40"/>
    <w:rsid w:val="007232E7"/>
    <w:rsid w:val="007241D9"/>
    <w:rsid w:val="0072467A"/>
    <w:rsid w:val="007249EE"/>
    <w:rsid w:val="007251B7"/>
    <w:rsid w:val="00725F63"/>
    <w:rsid w:val="00726D55"/>
    <w:rsid w:val="0073035C"/>
    <w:rsid w:val="00730E3B"/>
    <w:rsid w:val="00731395"/>
    <w:rsid w:val="00731AE0"/>
    <w:rsid w:val="00732447"/>
    <w:rsid w:val="007329C8"/>
    <w:rsid w:val="007331AC"/>
    <w:rsid w:val="00733D12"/>
    <w:rsid w:val="007353C8"/>
    <w:rsid w:val="00740241"/>
    <w:rsid w:val="007406A9"/>
    <w:rsid w:val="00740F1E"/>
    <w:rsid w:val="00741C91"/>
    <w:rsid w:val="00741E02"/>
    <w:rsid w:val="0074227C"/>
    <w:rsid w:val="00742449"/>
    <w:rsid w:val="0074483E"/>
    <w:rsid w:val="00744BA5"/>
    <w:rsid w:val="00745385"/>
    <w:rsid w:val="0074593B"/>
    <w:rsid w:val="00745A8E"/>
    <w:rsid w:val="00745EE6"/>
    <w:rsid w:val="00746128"/>
    <w:rsid w:val="00746DE4"/>
    <w:rsid w:val="0075083B"/>
    <w:rsid w:val="00751EA2"/>
    <w:rsid w:val="00751FA0"/>
    <w:rsid w:val="007531A9"/>
    <w:rsid w:val="00753A52"/>
    <w:rsid w:val="00753F75"/>
    <w:rsid w:val="0075623F"/>
    <w:rsid w:val="007562E7"/>
    <w:rsid w:val="007570C5"/>
    <w:rsid w:val="007574A6"/>
    <w:rsid w:val="007574CE"/>
    <w:rsid w:val="0075779D"/>
    <w:rsid w:val="007616B4"/>
    <w:rsid w:val="00762048"/>
    <w:rsid w:val="00762185"/>
    <w:rsid w:val="00762358"/>
    <w:rsid w:val="00762682"/>
    <w:rsid w:val="00762AE0"/>
    <w:rsid w:val="007630AD"/>
    <w:rsid w:val="0076393C"/>
    <w:rsid w:val="00764971"/>
    <w:rsid w:val="00764F5D"/>
    <w:rsid w:val="0076531B"/>
    <w:rsid w:val="00766CFD"/>
    <w:rsid w:val="00766D9D"/>
    <w:rsid w:val="00770C86"/>
    <w:rsid w:val="00770EEE"/>
    <w:rsid w:val="00771942"/>
    <w:rsid w:val="00772478"/>
    <w:rsid w:val="007734DC"/>
    <w:rsid w:val="00775F6B"/>
    <w:rsid w:val="007764C2"/>
    <w:rsid w:val="00776AF1"/>
    <w:rsid w:val="007770F5"/>
    <w:rsid w:val="007776F1"/>
    <w:rsid w:val="00780C41"/>
    <w:rsid w:val="00780D27"/>
    <w:rsid w:val="007821C3"/>
    <w:rsid w:val="00782962"/>
    <w:rsid w:val="007836AA"/>
    <w:rsid w:val="007852DA"/>
    <w:rsid w:val="00785733"/>
    <w:rsid w:val="007861F0"/>
    <w:rsid w:val="0078681A"/>
    <w:rsid w:val="0078687F"/>
    <w:rsid w:val="00786E36"/>
    <w:rsid w:val="00790381"/>
    <w:rsid w:val="00790422"/>
    <w:rsid w:val="007904D3"/>
    <w:rsid w:val="007918AD"/>
    <w:rsid w:val="007922CD"/>
    <w:rsid w:val="0079298B"/>
    <w:rsid w:val="00792CCE"/>
    <w:rsid w:val="0079383E"/>
    <w:rsid w:val="007941F8"/>
    <w:rsid w:val="0079443B"/>
    <w:rsid w:val="007957AA"/>
    <w:rsid w:val="0079633F"/>
    <w:rsid w:val="007972CE"/>
    <w:rsid w:val="007A2E74"/>
    <w:rsid w:val="007A30BC"/>
    <w:rsid w:val="007A30C2"/>
    <w:rsid w:val="007A40DA"/>
    <w:rsid w:val="007A4841"/>
    <w:rsid w:val="007A4893"/>
    <w:rsid w:val="007A5302"/>
    <w:rsid w:val="007A5EE5"/>
    <w:rsid w:val="007A6738"/>
    <w:rsid w:val="007A7F7B"/>
    <w:rsid w:val="007B0351"/>
    <w:rsid w:val="007B0708"/>
    <w:rsid w:val="007B1EE3"/>
    <w:rsid w:val="007B6AE8"/>
    <w:rsid w:val="007C079D"/>
    <w:rsid w:val="007C22A1"/>
    <w:rsid w:val="007C22BA"/>
    <w:rsid w:val="007C3178"/>
    <w:rsid w:val="007C3BB1"/>
    <w:rsid w:val="007C4653"/>
    <w:rsid w:val="007C53A0"/>
    <w:rsid w:val="007C5478"/>
    <w:rsid w:val="007C5602"/>
    <w:rsid w:val="007C625D"/>
    <w:rsid w:val="007C65F6"/>
    <w:rsid w:val="007C6CF2"/>
    <w:rsid w:val="007D1969"/>
    <w:rsid w:val="007D2146"/>
    <w:rsid w:val="007D6CC0"/>
    <w:rsid w:val="007E0A67"/>
    <w:rsid w:val="007E0B28"/>
    <w:rsid w:val="007E37F9"/>
    <w:rsid w:val="007E3CA8"/>
    <w:rsid w:val="007E4277"/>
    <w:rsid w:val="007E49B7"/>
    <w:rsid w:val="007E4CC8"/>
    <w:rsid w:val="007E53F2"/>
    <w:rsid w:val="007F0196"/>
    <w:rsid w:val="007F04D8"/>
    <w:rsid w:val="007F09F7"/>
    <w:rsid w:val="007F2173"/>
    <w:rsid w:val="007F2CFE"/>
    <w:rsid w:val="007F3EB4"/>
    <w:rsid w:val="007F419F"/>
    <w:rsid w:val="007F4E86"/>
    <w:rsid w:val="007F50C1"/>
    <w:rsid w:val="007F5898"/>
    <w:rsid w:val="007F59CC"/>
    <w:rsid w:val="007F70D7"/>
    <w:rsid w:val="00801110"/>
    <w:rsid w:val="00802ADB"/>
    <w:rsid w:val="00804422"/>
    <w:rsid w:val="00805388"/>
    <w:rsid w:val="008063F3"/>
    <w:rsid w:val="0080659C"/>
    <w:rsid w:val="00806C1C"/>
    <w:rsid w:val="00807CD0"/>
    <w:rsid w:val="00810A2E"/>
    <w:rsid w:val="00810E1B"/>
    <w:rsid w:val="00811F30"/>
    <w:rsid w:val="00812187"/>
    <w:rsid w:val="008133CA"/>
    <w:rsid w:val="008148E6"/>
    <w:rsid w:val="00815BF6"/>
    <w:rsid w:val="008164A3"/>
    <w:rsid w:val="008166EC"/>
    <w:rsid w:val="008179EC"/>
    <w:rsid w:val="00820F62"/>
    <w:rsid w:val="00821376"/>
    <w:rsid w:val="00822EC8"/>
    <w:rsid w:val="00823D40"/>
    <w:rsid w:val="008252C8"/>
    <w:rsid w:val="00825D21"/>
    <w:rsid w:val="00826383"/>
    <w:rsid w:val="008263E5"/>
    <w:rsid w:val="00826477"/>
    <w:rsid w:val="008273CE"/>
    <w:rsid w:val="0083039B"/>
    <w:rsid w:val="00830615"/>
    <w:rsid w:val="0083124C"/>
    <w:rsid w:val="008316F3"/>
    <w:rsid w:val="008361D1"/>
    <w:rsid w:val="00836761"/>
    <w:rsid w:val="00836AF4"/>
    <w:rsid w:val="00837166"/>
    <w:rsid w:val="0084015C"/>
    <w:rsid w:val="00840A25"/>
    <w:rsid w:val="00840E12"/>
    <w:rsid w:val="008412B0"/>
    <w:rsid w:val="00842739"/>
    <w:rsid w:val="008455CF"/>
    <w:rsid w:val="00845D25"/>
    <w:rsid w:val="00845F18"/>
    <w:rsid w:val="00846229"/>
    <w:rsid w:val="00847782"/>
    <w:rsid w:val="00853352"/>
    <w:rsid w:val="00853F7E"/>
    <w:rsid w:val="00854213"/>
    <w:rsid w:val="008549F4"/>
    <w:rsid w:val="00856FA6"/>
    <w:rsid w:val="00857070"/>
    <w:rsid w:val="008604FD"/>
    <w:rsid w:val="00861BB7"/>
    <w:rsid w:val="00861EC8"/>
    <w:rsid w:val="00862A77"/>
    <w:rsid w:val="0086352E"/>
    <w:rsid w:val="008636FC"/>
    <w:rsid w:val="00863A3C"/>
    <w:rsid w:val="00866168"/>
    <w:rsid w:val="00866D95"/>
    <w:rsid w:val="00867ACA"/>
    <w:rsid w:val="00870D94"/>
    <w:rsid w:val="0087179C"/>
    <w:rsid w:val="0087228F"/>
    <w:rsid w:val="0087303D"/>
    <w:rsid w:val="00873343"/>
    <w:rsid w:val="00873A06"/>
    <w:rsid w:val="00873F93"/>
    <w:rsid w:val="008757B3"/>
    <w:rsid w:val="008759B4"/>
    <w:rsid w:val="0087742A"/>
    <w:rsid w:val="0088099D"/>
    <w:rsid w:val="008809CE"/>
    <w:rsid w:val="00880BFC"/>
    <w:rsid w:val="008813BA"/>
    <w:rsid w:val="00881E6C"/>
    <w:rsid w:val="008828CB"/>
    <w:rsid w:val="008832C8"/>
    <w:rsid w:val="00886CCD"/>
    <w:rsid w:val="008872E5"/>
    <w:rsid w:val="00891023"/>
    <w:rsid w:val="00891632"/>
    <w:rsid w:val="00893207"/>
    <w:rsid w:val="008934AB"/>
    <w:rsid w:val="00894D28"/>
    <w:rsid w:val="008A0A7D"/>
    <w:rsid w:val="008A0E02"/>
    <w:rsid w:val="008A1148"/>
    <w:rsid w:val="008A1EDA"/>
    <w:rsid w:val="008A263E"/>
    <w:rsid w:val="008A2A9A"/>
    <w:rsid w:val="008A2E76"/>
    <w:rsid w:val="008A4382"/>
    <w:rsid w:val="008A4B72"/>
    <w:rsid w:val="008A61BD"/>
    <w:rsid w:val="008A718F"/>
    <w:rsid w:val="008A725B"/>
    <w:rsid w:val="008A7A5E"/>
    <w:rsid w:val="008A7C13"/>
    <w:rsid w:val="008B13E7"/>
    <w:rsid w:val="008B144E"/>
    <w:rsid w:val="008B1641"/>
    <w:rsid w:val="008B1BD5"/>
    <w:rsid w:val="008B2592"/>
    <w:rsid w:val="008B2D1F"/>
    <w:rsid w:val="008B4D66"/>
    <w:rsid w:val="008B4D96"/>
    <w:rsid w:val="008B53A7"/>
    <w:rsid w:val="008B6AA8"/>
    <w:rsid w:val="008B7B0E"/>
    <w:rsid w:val="008C1096"/>
    <w:rsid w:val="008C13A2"/>
    <w:rsid w:val="008C1590"/>
    <w:rsid w:val="008C1C91"/>
    <w:rsid w:val="008C2F9A"/>
    <w:rsid w:val="008C3E3D"/>
    <w:rsid w:val="008C5E14"/>
    <w:rsid w:val="008C6338"/>
    <w:rsid w:val="008C7339"/>
    <w:rsid w:val="008C7374"/>
    <w:rsid w:val="008D01AB"/>
    <w:rsid w:val="008D06DC"/>
    <w:rsid w:val="008D1AAA"/>
    <w:rsid w:val="008D2413"/>
    <w:rsid w:val="008D39FD"/>
    <w:rsid w:val="008D5DF0"/>
    <w:rsid w:val="008D6910"/>
    <w:rsid w:val="008D7B7D"/>
    <w:rsid w:val="008E07D5"/>
    <w:rsid w:val="008E1AFF"/>
    <w:rsid w:val="008E200E"/>
    <w:rsid w:val="008E2761"/>
    <w:rsid w:val="008E2EC3"/>
    <w:rsid w:val="008E569E"/>
    <w:rsid w:val="008E574C"/>
    <w:rsid w:val="008F1202"/>
    <w:rsid w:val="008F175D"/>
    <w:rsid w:val="008F19EB"/>
    <w:rsid w:val="008F2919"/>
    <w:rsid w:val="008F3384"/>
    <w:rsid w:val="008F46BC"/>
    <w:rsid w:val="008F5485"/>
    <w:rsid w:val="008F7FF6"/>
    <w:rsid w:val="00900632"/>
    <w:rsid w:val="009006E5"/>
    <w:rsid w:val="00900C7D"/>
    <w:rsid w:val="009022F2"/>
    <w:rsid w:val="00902410"/>
    <w:rsid w:val="009025EE"/>
    <w:rsid w:val="00903194"/>
    <w:rsid w:val="00905956"/>
    <w:rsid w:val="00905CCF"/>
    <w:rsid w:val="00905E94"/>
    <w:rsid w:val="00906F14"/>
    <w:rsid w:val="00907564"/>
    <w:rsid w:val="009103DC"/>
    <w:rsid w:val="009110FB"/>
    <w:rsid w:val="00914E0A"/>
    <w:rsid w:val="00914FEE"/>
    <w:rsid w:val="009159F2"/>
    <w:rsid w:val="00915B3A"/>
    <w:rsid w:val="00916633"/>
    <w:rsid w:val="00917CFF"/>
    <w:rsid w:val="00920FAB"/>
    <w:rsid w:val="00921923"/>
    <w:rsid w:val="0092314A"/>
    <w:rsid w:val="00923E16"/>
    <w:rsid w:val="009255B6"/>
    <w:rsid w:val="00926DC8"/>
    <w:rsid w:val="00926E3C"/>
    <w:rsid w:val="009316C8"/>
    <w:rsid w:val="009317D3"/>
    <w:rsid w:val="00932CF1"/>
    <w:rsid w:val="00932EFD"/>
    <w:rsid w:val="0093346E"/>
    <w:rsid w:val="009346A5"/>
    <w:rsid w:val="00934A65"/>
    <w:rsid w:val="009356D9"/>
    <w:rsid w:val="00937C6E"/>
    <w:rsid w:val="009436B7"/>
    <w:rsid w:val="009464C6"/>
    <w:rsid w:val="009503ED"/>
    <w:rsid w:val="00950E54"/>
    <w:rsid w:val="009511C5"/>
    <w:rsid w:val="009514A4"/>
    <w:rsid w:val="00951895"/>
    <w:rsid w:val="00951DD0"/>
    <w:rsid w:val="00953821"/>
    <w:rsid w:val="00953A96"/>
    <w:rsid w:val="00954980"/>
    <w:rsid w:val="00955744"/>
    <w:rsid w:val="00955C02"/>
    <w:rsid w:val="00955CAD"/>
    <w:rsid w:val="0095630B"/>
    <w:rsid w:val="00956361"/>
    <w:rsid w:val="00957831"/>
    <w:rsid w:val="00963B2B"/>
    <w:rsid w:val="00964049"/>
    <w:rsid w:val="0096416D"/>
    <w:rsid w:val="00964912"/>
    <w:rsid w:val="00965C1C"/>
    <w:rsid w:val="00965DDA"/>
    <w:rsid w:val="009672BD"/>
    <w:rsid w:val="0097008A"/>
    <w:rsid w:val="00970BCF"/>
    <w:rsid w:val="0097120E"/>
    <w:rsid w:val="009718A3"/>
    <w:rsid w:val="00973939"/>
    <w:rsid w:val="00975DA2"/>
    <w:rsid w:val="009764A3"/>
    <w:rsid w:val="0097736D"/>
    <w:rsid w:val="009777DB"/>
    <w:rsid w:val="00981440"/>
    <w:rsid w:val="00981B72"/>
    <w:rsid w:val="00981C11"/>
    <w:rsid w:val="00981FF4"/>
    <w:rsid w:val="00982B26"/>
    <w:rsid w:val="009840A8"/>
    <w:rsid w:val="00984612"/>
    <w:rsid w:val="00984896"/>
    <w:rsid w:val="009849D3"/>
    <w:rsid w:val="00986299"/>
    <w:rsid w:val="00986B40"/>
    <w:rsid w:val="00987482"/>
    <w:rsid w:val="00990D13"/>
    <w:rsid w:val="00991121"/>
    <w:rsid w:val="0099159F"/>
    <w:rsid w:val="00991DDC"/>
    <w:rsid w:val="00993222"/>
    <w:rsid w:val="009936DE"/>
    <w:rsid w:val="00993FE9"/>
    <w:rsid w:val="0099405A"/>
    <w:rsid w:val="009954AF"/>
    <w:rsid w:val="00995A98"/>
    <w:rsid w:val="00996098"/>
    <w:rsid w:val="009964C5"/>
    <w:rsid w:val="009969D0"/>
    <w:rsid w:val="00997F90"/>
    <w:rsid w:val="009A1155"/>
    <w:rsid w:val="009A1940"/>
    <w:rsid w:val="009A1D37"/>
    <w:rsid w:val="009A2733"/>
    <w:rsid w:val="009A2DC8"/>
    <w:rsid w:val="009A30AF"/>
    <w:rsid w:val="009A36B5"/>
    <w:rsid w:val="009A40D8"/>
    <w:rsid w:val="009A4A7F"/>
    <w:rsid w:val="009A4E42"/>
    <w:rsid w:val="009A506C"/>
    <w:rsid w:val="009A5CA7"/>
    <w:rsid w:val="009A6B58"/>
    <w:rsid w:val="009A7D03"/>
    <w:rsid w:val="009A7D84"/>
    <w:rsid w:val="009B000A"/>
    <w:rsid w:val="009B0B9E"/>
    <w:rsid w:val="009B1538"/>
    <w:rsid w:val="009B2050"/>
    <w:rsid w:val="009B231A"/>
    <w:rsid w:val="009B2F6A"/>
    <w:rsid w:val="009B50D9"/>
    <w:rsid w:val="009B6EF3"/>
    <w:rsid w:val="009C0526"/>
    <w:rsid w:val="009C0B70"/>
    <w:rsid w:val="009C17D2"/>
    <w:rsid w:val="009C299B"/>
    <w:rsid w:val="009C3555"/>
    <w:rsid w:val="009C3CA2"/>
    <w:rsid w:val="009C45E7"/>
    <w:rsid w:val="009C4903"/>
    <w:rsid w:val="009C55EA"/>
    <w:rsid w:val="009C69B7"/>
    <w:rsid w:val="009C6C3F"/>
    <w:rsid w:val="009C6D13"/>
    <w:rsid w:val="009C6DF6"/>
    <w:rsid w:val="009D0A98"/>
    <w:rsid w:val="009D2A14"/>
    <w:rsid w:val="009D423E"/>
    <w:rsid w:val="009D58B2"/>
    <w:rsid w:val="009D6E10"/>
    <w:rsid w:val="009D779B"/>
    <w:rsid w:val="009E01BE"/>
    <w:rsid w:val="009E16B7"/>
    <w:rsid w:val="009E1B8B"/>
    <w:rsid w:val="009E1EBE"/>
    <w:rsid w:val="009E2FD7"/>
    <w:rsid w:val="009E3145"/>
    <w:rsid w:val="009E3BC9"/>
    <w:rsid w:val="009E40D8"/>
    <w:rsid w:val="009E46D5"/>
    <w:rsid w:val="009E68D4"/>
    <w:rsid w:val="009E6E7E"/>
    <w:rsid w:val="009E76FD"/>
    <w:rsid w:val="009F011C"/>
    <w:rsid w:val="009F1016"/>
    <w:rsid w:val="009F2173"/>
    <w:rsid w:val="009F2609"/>
    <w:rsid w:val="009F5498"/>
    <w:rsid w:val="009F5B3A"/>
    <w:rsid w:val="009F6E56"/>
    <w:rsid w:val="009F7EB1"/>
    <w:rsid w:val="00A00B11"/>
    <w:rsid w:val="00A01828"/>
    <w:rsid w:val="00A0204B"/>
    <w:rsid w:val="00A0216E"/>
    <w:rsid w:val="00A025B7"/>
    <w:rsid w:val="00A04D65"/>
    <w:rsid w:val="00A04F5F"/>
    <w:rsid w:val="00A050EB"/>
    <w:rsid w:val="00A0530C"/>
    <w:rsid w:val="00A06309"/>
    <w:rsid w:val="00A068C2"/>
    <w:rsid w:val="00A06D4C"/>
    <w:rsid w:val="00A07A4D"/>
    <w:rsid w:val="00A11F0B"/>
    <w:rsid w:val="00A1432A"/>
    <w:rsid w:val="00A16364"/>
    <w:rsid w:val="00A1659A"/>
    <w:rsid w:val="00A20083"/>
    <w:rsid w:val="00A23798"/>
    <w:rsid w:val="00A24D6F"/>
    <w:rsid w:val="00A25ECC"/>
    <w:rsid w:val="00A26087"/>
    <w:rsid w:val="00A26D53"/>
    <w:rsid w:val="00A27AC1"/>
    <w:rsid w:val="00A315AD"/>
    <w:rsid w:val="00A31A3C"/>
    <w:rsid w:val="00A3207B"/>
    <w:rsid w:val="00A3298A"/>
    <w:rsid w:val="00A34428"/>
    <w:rsid w:val="00A344D4"/>
    <w:rsid w:val="00A35D92"/>
    <w:rsid w:val="00A378A5"/>
    <w:rsid w:val="00A4093D"/>
    <w:rsid w:val="00A40EFE"/>
    <w:rsid w:val="00A42D58"/>
    <w:rsid w:val="00A42FCA"/>
    <w:rsid w:val="00A42FE1"/>
    <w:rsid w:val="00A430C8"/>
    <w:rsid w:val="00A45192"/>
    <w:rsid w:val="00A4543E"/>
    <w:rsid w:val="00A45C93"/>
    <w:rsid w:val="00A46174"/>
    <w:rsid w:val="00A46950"/>
    <w:rsid w:val="00A477BA"/>
    <w:rsid w:val="00A47946"/>
    <w:rsid w:val="00A47CC6"/>
    <w:rsid w:val="00A501CC"/>
    <w:rsid w:val="00A50248"/>
    <w:rsid w:val="00A51865"/>
    <w:rsid w:val="00A51D6E"/>
    <w:rsid w:val="00A52997"/>
    <w:rsid w:val="00A52D06"/>
    <w:rsid w:val="00A53616"/>
    <w:rsid w:val="00A54749"/>
    <w:rsid w:val="00A55259"/>
    <w:rsid w:val="00A561E0"/>
    <w:rsid w:val="00A60553"/>
    <w:rsid w:val="00A606DE"/>
    <w:rsid w:val="00A6127C"/>
    <w:rsid w:val="00A61FA3"/>
    <w:rsid w:val="00A62B16"/>
    <w:rsid w:val="00A62EDE"/>
    <w:rsid w:val="00A63B2F"/>
    <w:rsid w:val="00A64B3D"/>
    <w:rsid w:val="00A6518C"/>
    <w:rsid w:val="00A70D12"/>
    <w:rsid w:val="00A71EC0"/>
    <w:rsid w:val="00A72DED"/>
    <w:rsid w:val="00A7310A"/>
    <w:rsid w:val="00A7355C"/>
    <w:rsid w:val="00A73EA0"/>
    <w:rsid w:val="00A73ED1"/>
    <w:rsid w:val="00A74C2C"/>
    <w:rsid w:val="00A76023"/>
    <w:rsid w:val="00A76921"/>
    <w:rsid w:val="00A8410D"/>
    <w:rsid w:val="00A84B2B"/>
    <w:rsid w:val="00A84E71"/>
    <w:rsid w:val="00A84E78"/>
    <w:rsid w:val="00A85909"/>
    <w:rsid w:val="00A86331"/>
    <w:rsid w:val="00A86751"/>
    <w:rsid w:val="00A8679C"/>
    <w:rsid w:val="00A87B50"/>
    <w:rsid w:val="00A9042E"/>
    <w:rsid w:val="00A904BD"/>
    <w:rsid w:val="00A958B3"/>
    <w:rsid w:val="00A95A75"/>
    <w:rsid w:val="00A9740F"/>
    <w:rsid w:val="00A97431"/>
    <w:rsid w:val="00AA10F1"/>
    <w:rsid w:val="00AA18F2"/>
    <w:rsid w:val="00AA1EA5"/>
    <w:rsid w:val="00AA2C16"/>
    <w:rsid w:val="00AA62A2"/>
    <w:rsid w:val="00AA633E"/>
    <w:rsid w:val="00AA64FB"/>
    <w:rsid w:val="00AB2264"/>
    <w:rsid w:val="00AB26DE"/>
    <w:rsid w:val="00AB3F6A"/>
    <w:rsid w:val="00AB4B0C"/>
    <w:rsid w:val="00AC2E7F"/>
    <w:rsid w:val="00AC3FD8"/>
    <w:rsid w:val="00AC4DEB"/>
    <w:rsid w:val="00AC5DEC"/>
    <w:rsid w:val="00AC66A3"/>
    <w:rsid w:val="00AC7A6E"/>
    <w:rsid w:val="00AD0358"/>
    <w:rsid w:val="00AD0C0A"/>
    <w:rsid w:val="00AD18DC"/>
    <w:rsid w:val="00AD197C"/>
    <w:rsid w:val="00AD1C0A"/>
    <w:rsid w:val="00AD44BD"/>
    <w:rsid w:val="00AD534A"/>
    <w:rsid w:val="00AD5383"/>
    <w:rsid w:val="00AD6CF7"/>
    <w:rsid w:val="00AD71AA"/>
    <w:rsid w:val="00AD758A"/>
    <w:rsid w:val="00AD7F76"/>
    <w:rsid w:val="00AE1385"/>
    <w:rsid w:val="00AE260E"/>
    <w:rsid w:val="00AE26F5"/>
    <w:rsid w:val="00AE2B54"/>
    <w:rsid w:val="00AE32BA"/>
    <w:rsid w:val="00AE3B99"/>
    <w:rsid w:val="00AE3D20"/>
    <w:rsid w:val="00AE3F9A"/>
    <w:rsid w:val="00AE404B"/>
    <w:rsid w:val="00AE745E"/>
    <w:rsid w:val="00AE772D"/>
    <w:rsid w:val="00AF2BC4"/>
    <w:rsid w:val="00AF36D2"/>
    <w:rsid w:val="00AF3ED6"/>
    <w:rsid w:val="00AF424B"/>
    <w:rsid w:val="00AF454B"/>
    <w:rsid w:val="00AF4F62"/>
    <w:rsid w:val="00AF6390"/>
    <w:rsid w:val="00AF73E6"/>
    <w:rsid w:val="00AF7891"/>
    <w:rsid w:val="00AF78C2"/>
    <w:rsid w:val="00AF7FA8"/>
    <w:rsid w:val="00B001B4"/>
    <w:rsid w:val="00B01C48"/>
    <w:rsid w:val="00B01E02"/>
    <w:rsid w:val="00B01E13"/>
    <w:rsid w:val="00B02FFB"/>
    <w:rsid w:val="00B03DE8"/>
    <w:rsid w:val="00B03E8D"/>
    <w:rsid w:val="00B043B4"/>
    <w:rsid w:val="00B11703"/>
    <w:rsid w:val="00B11E03"/>
    <w:rsid w:val="00B126C0"/>
    <w:rsid w:val="00B1364A"/>
    <w:rsid w:val="00B13AD9"/>
    <w:rsid w:val="00B15537"/>
    <w:rsid w:val="00B1567F"/>
    <w:rsid w:val="00B17405"/>
    <w:rsid w:val="00B206A9"/>
    <w:rsid w:val="00B208AD"/>
    <w:rsid w:val="00B2148B"/>
    <w:rsid w:val="00B22C3D"/>
    <w:rsid w:val="00B23D3B"/>
    <w:rsid w:val="00B2676B"/>
    <w:rsid w:val="00B26BB7"/>
    <w:rsid w:val="00B2700F"/>
    <w:rsid w:val="00B27EA6"/>
    <w:rsid w:val="00B30B5F"/>
    <w:rsid w:val="00B30B6A"/>
    <w:rsid w:val="00B32685"/>
    <w:rsid w:val="00B3270C"/>
    <w:rsid w:val="00B33207"/>
    <w:rsid w:val="00B34C5A"/>
    <w:rsid w:val="00B34CF9"/>
    <w:rsid w:val="00B3599B"/>
    <w:rsid w:val="00B35F8D"/>
    <w:rsid w:val="00B36462"/>
    <w:rsid w:val="00B365B1"/>
    <w:rsid w:val="00B37D52"/>
    <w:rsid w:val="00B41569"/>
    <w:rsid w:val="00B42A0B"/>
    <w:rsid w:val="00B441DF"/>
    <w:rsid w:val="00B45050"/>
    <w:rsid w:val="00B453DB"/>
    <w:rsid w:val="00B50276"/>
    <w:rsid w:val="00B506FD"/>
    <w:rsid w:val="00B52499"/>
    <w:rsid w:val="00B53B5A"/>
    <w:rsid w:val="00B53BF4"/>
    <w:rsid w:val="00B5424A"/>
    <w:rsid w:val="00B543D7"/>
    <w:rsid w:val="00B550F4"/>
    <w:rsid w:val="00B5547E"/>
    <w:rsid w:val="00B55A2E"/>
    <w:rsid w:val="00B56A85"/>
    <w:rsid w:val="00B571EE"/>
    <w:rsid w:val="00B6030A"/>
    <w:rsid w:val="00B6039A"/>
    <w:rsid w:val="00B63864"/>
    <w:rsid w:val="00B6470E"/>
    <w:rsid w:val="00B659C5"/>
    <w:rsid w:val="00B65F4F"/>
    <w:rsid w:val="00B67110"/>
    <w:rsid w:val="00B675C7"/>
    <w:rsid w:val="00B6777D"/>
    <w:rsid w:val="00B70A4F"/>
    <w:rsid w:val="00B71449"/>
    <w:rsid w:val="00B7147B"/>
    <w:rsid w:val="00B72805"/>
    <w:rsid w:val="00B728DC"/>
    <w:rsid w:val="00B72DB2"/>
    <w:rsid w:val="00B73BF0"/>
    <w:rsid w:val="00B73F85"/>
    <w:rsid w:val="00B74CA1"/>
    <w:rsid w:val="00B76BE3"/>
    <w:rsid w:val="00B76C89"/>
    <w:rsid w:val="00B77636"/>
    <w:rsid w:val="00B82EF2"/>
    <w:rsid w:val="00B83905"/>
    <w:rsid w:val="00B83941"/>
    <w:rsid w:val="00B84375"/>
    <w:rsid w:val="00B852A1"/>
    <w:rsid w:val="00B8578A"/>
    <w:rsid w:val="00B859BC"/>
    <w:rsid w:val="00B86017"/>
    <w:rsid w:val="00B9237D"/>
    <w:rsid w:val="00B93081"/>
    <w:rsid w:val="00B931FB"/>
    <w:rsid w:val="00B937FA"/>
    <w:rsid w:val="00B93FB1"/>
    <w:rsid w:val="00B957BF"/>
    <w:rsid w:val="00B975EE"/>
    <w:rsid w:val="00B97D37"/>
    <w:rsid w:val="00BA19E7"/>
    <w:rsid w:val="00BA1A9A"/>
    <w:rsid w:val="00BA1E7A"/>
    <w:rsid w:val="00BA32AA"/>
    <w:rsid w:val="00BA365D"/>
    <w:rsid w:val="00BA48AC"/>
    <w:rsid w:val="00BA522C"/>
    <w:rsid w:val="00BA5514"/>
    <w:rsid w:val="00BA58B5"/>
    <w:rsid w:val="00BA5968"/>
    <w:rsid w:val="00BA5C44"/>
    <w:rsid w:val="00BA644D"/>
    <w:rsid w:val="00BA6F86"/>
    <w:rsid w:val="00BB0CB0"/>
    <w:rsid w:val="00BB2E60"/>
    <w:rsid w:val="00BB50B3"/>
    <w:rsid w:val="00BB5F43"/>
    <w:rsid w:val="00BB6D39"/>
    <w:rsid w:val="00BC1F17"/>
    <w:rsid w:val="00BC28D6"/>
    <w:rsid w:val="00BC476D"/>
    <w:rsid w:val="00BC512F"/>
    <w:rsid w:val="00BC561A"/>
    <w:rsid w:val="00BC5A53"/>
    <w:rsid w:val="00BC6F09"/>
    <w:rsid w:val="00BC7592"/>
    <w:rsid w:val="00BD0555"/>
    <w:rsid w:val="00BD13F5"/>
    <w:rsid w:val="00BD217B"/>
    <w:rsid w:val="00BD2938"/>
    <w:rsid w:val="00BD35EF"/>
    <w:rsid w:val="00BD4736"/>
    <w:rsid w:val="00BE08A9"/>
    <w:rsid w:val="00BE1F02"/>
    <w:rsid w:val="00BE360D"/>
    <w:rsid w:val="00BE3B01"/>
    <w:rsid w:val="00BE78CA"/>
    <w:rsid w:val="00BF00C8"/>
    <w:rsid w:val="00BF01DA"/>
    <w:rsid w:val="00BF135B"/>
    <w:rsid w:val="00BF2A01"/>
    <w:rsid w:val="00BF34F3"/>
    <w:rsid w:val="00BF446D"/>
    <w:rsid w:val="00BF450F"/>
    <w:rsid w:val="00BF4744"/>
    <w:rsid w:val="00BF6D36"/>
    <w:rsid w:val="00C00808"/>
    <w:rsid w:val="00C014C8"/>
    <w:rsid w:val="00C01A5E"/>
    <w:rsid w:val="00C01EA8"/>
    <w:rsid w:val="00C02103"/>
    <w:rsid w:val="00C050CD"/>
    <w:rsid w:val="00C05AFD"/>
    <w:rsid w:val="00C0667D"/>
    <w:rsid w:val="00C06FC6"/>
    <w:rsid w:val="00C07C77"/>
    <w:rsid w:val="00C10B39"/>
    <w:rsid w:val="00C117D7"/>
    <w:rsid w:val="00C11EF8"/>
    <w:rsid w:val="00C1327D"/>
    <w:rsid w:val="00C143CC"/>
    <w:rsid w:val="00C14727"/>
    <w:rsid w:val="00C14999"/>
    <w:rsid w:val="00C16605"/>
    <w:rsid w:val="00C16CCA"/>
    <w:rsid w:val="00C20421"/>
    <w:rsid w:val="00C20DBB"/>
    <w:rsid w:val="00C2108C"/>
    <w:rsid w:val="00C21FCB"/>
    <w:rsid w:val="00C227C5"/>
    <w:rsid w:val="00C22FD4"/>
    <w:rsid w:val="00C23EBE"/>
    <w:rsid w:val="00C24445"/>
    <w:rsid w:val="00C24E58"/>
    <w:rsid w:val="00C25D68"/>
    <w:rsid w:val="00C25E1C"/>
    <w:rsid w:val="00C26031"/>
    <w:rsid w:val="00C26639"/>
    <w:rsid w:val="00C269BB"/>
    <w:rsid w:val="00C26C95"/>
    <w:rsid w:val="00C277B3"/>
    <w:rsid w:val="00C27EDD"/>
    <w:rsid w:val="00C3015E"/>
    <w:rsid w:val="00C30C16"/>
    <w:rsid w:val="00C31467"/>
    <w:rsid w:val="00C3184C"/>
    <w:rsid w:val="00C3225C"/>
    <w:rsid w:val="00C3394B"/>
    <w:rsid w:val="00C33BF7"/>
    <w:rsid w:val="00C3524E"/>
    <w:rsid w:val="00C352E6"/>
    <w:rsid w:val="00C35CFF"/>
    <w:rsid w:val="00C35EC7"/>
    <w:rsid w:val="00C37D42"/>
    <w:rsid w:val="00C40A66"/>
    <w:rsid w:val="00C40B3E"/>
    <w:rsid w:val="00C41AB5"/>
    <w:rsid w:val="00C43181"/>
    <w:rsid w:val="00C4526F"/>
    <w:rsid w:val="00C45D6F"/>
    <w:rsid w:val="00C47DE3"/>
    <w:rsid w:val="00C50785"/>
    <w:rsid w:val="00C509EF"/>
    <w:rsid w:val="00C519C3"/>
    <w:rsid w:val="00C52281"/>
    <w:rsid w:val="00C52379"/>
    <w:rsid w:val="00C52D91"/>
    <w:rsid w:val="00C57A71"/>
    <w:rsid w:val="00C60CA6"/>
    <w:rsid w:val="00C6126E"/>
    <w:rsid w:val="00C61C02"/>
    <w:rsid w:val="00C61E6C"/>
    <w:rsid w:val="00C62355"/>
    <w:rsid w:val="00C63221"/>
    <w:rsid w:val="00C6460B"/>
    <w:rsid w:val="00C64F5F"/>
    <w:rsid w:val="00C663DD"/>
    <w:rsid w:val="00C668C7"/>
    <w:rsid w:val="00C679A9"/>
    <w:rsid w:val="00C67FD8"/>
    <w:rsid w:val="00C71F80"/>
    <w:rsid w:val="00C724CA"/>
    <w:rsid w:val="00C73666"/>
    <w:rsid w:val="00C7367E"/>
    <w:rsid w:val="00C766B6"/>
    <w:rsid w:val="00C800D4"/>
    <w:rsid w:val="00C80E07"/>
    <w:rsid w:val="00C816CF"/>
    <w:rsid w:val="00C81AD6"/>
    <w:rsid w:val="00C81DBB"/>
    <w:rsid w:val="00C83E43"/>
    <w:rsid w:val="00C84243"/>
    <w:rsid w:val="00C86637"/>
    <w:rsid w:val="00C867F3"/>
    <w:rsid w:val="00C87995"/>
    <w:rsid w:val="00C91F33"/>
    <w:rsid w:val="00C93D67"/>
    <w:rsid w:val="00C946E0"/>
    <w:rsid w:val="00C94C79"/>
    <w:rsid w:val="00C96733"/>
    <w:rsid w:val="00C96D47"/>
    <w:rsid w:val="00C96F08"/>
    <w:rsid w:val="00C9777D"/>
    <w:rsid w:val="00C97905"/>
    <w:rsid w:val="00CA021A"/>
    <w:rsid w:val="00CA0DB5"/>
    <w:rsid w:val="00CA30A7"/>
    <w:rsid w:val="00CA3B33"/>
    <w:rsid w:val="00CA3CF4"/>
    <w:rsid w:val="00CA5106"/>
    <w:rsid w:val="00CA6975"/>
    <w:rsid w:val="00CA7565"/>
    <w:rsid w:val="00CA7FBC"/>
    <w:rsid w:val="00CB0BBA"/>
    <w:rsid w:val="00CB1536"/>
    <w:rsid w:val="00CB2D72"/>
    <w:rsid w:val="00CB2F7F"/>
    <w:rsid w:val="00CB3046"/>
    <w:rsid w:val="00CB3419"/>
    <w:rsid w:val="00CB5748"/>
    <w:rsid w:val="00CB5865"/>
    <w:rsid w:val="00CB5D13"/>
    <w:rsid w:val="00CB79EC"/>
    <w:rsid w:val="00CC013A"/>
    <w:rsid w:val="00CC06EC"/>
    <w:rsid w:val="00CC1127"/>
    <w:rsid w:val="00CC1E9F"/>
    <w:rsid w:val="00CC214E"/>
    <w:rsid w:val="00CC29C5"/>
    <w:rsid w:val="00CC2F2D"/>
    <w:rsid w:val="00CC3273"/>
    <w:rsid w:val="00CC3453"/>
    <w:rsid w:val="00CC34B7"/>
    <w:rsid w:val="00CC3552"/>
    <w:rsid w:val="00CC3707"/>
    <w:rsid w:val="00CC46E8"/>
    <w:rsid w:val="00CC4F3A"/>
    <w:rsid w:val="00CC630C"/>
    <w:rsid w:val="00CC63C7"/>
    <w:rsid w:val="00CC7197"/>
    <w:rsid w:val="00CC75AE"/>
    <w:rsid w:val="00CC78DC"/>
    <w:rsid w:val="00CC7C3F"/>
    <w:rsid w:val="00CD18B4"/>
    <w:rsid w:val="00CD32C7"/>
    <w:rsid w:val="00CD344E"/>
    <w:rsid w:val="00CD4962"/>
    <w:rsid w:val="00CD6C65"/>
    <w:rsid w:val="00CD6D23"/>
    <w:rsid w:val="00CD7424"/>
    <w:rsid w:val="00CD757A"/>
    <w:rsid w:val="00CE050C"/>
    <w:rsid w:val="00CE1B56"/>
    <w:rsid w:val="00CE200A"/>
    <w:rsid w:val="00CE3E3C"/>
    <w:rsid w:val="00CE4021"/>
    <w:rsid w:val="00CE47B2"/>
    <w:rsid w:val="00CE4FF5"/>
    <w:rsid w:val="00CE5BB4"/>
    <w:rsid w:val="00CE5D16"/>
    <w:rsid w:val="00CE6171"/>
    <w:rsid w:val="00CE7599"/>
    <w:rsid w:val="00CE7924"/>
    <w:rsid w:val="00CE7C44"/>
    <w:rsid w:val="00CF0694"/>
    <w:rsid w:val="00CF0A0D"/>
    <w:rsid w:val="00CF1502"/>
    <w:rsid w:val="00CF1CAB"/>
    <w:rsid w:val="00CF210C"/>
    <w:rsid w:val="00CF303B"/>
    <w:rsid w:val="00CF32AE"/>
    <w:rsid w:val="00CF345D"/>
    <w:rsid w:val="00CF4B2D"/>
    <w:rsid w:val="00CF57F8"/>
    <w:rsid w:val="00D00816"/>
    <w:rsid w:val="00D010EC"/>
    <w:rsid w:val="00D023D5"/>
    <w:rsid w:val="00D02563"/>
    <w:rsid w:val="00D06B46"/>
    <w:rsid w:val="00D06C87"/>
    <w:rsid w:val="00D07859"/>
    <w:rsid w:val="00D1045C"/>
    <w:rsid w:val="00D10891"/>
    <w:rsid w:val="00D11246"/>
    <w:rsid w:val="00D11ACF"/>
    <w:rsid w:val="00D11BD0"/>
    <w:rsid w:val="00D139B3"/>
    <w:rsid w:val="00D14D2D"/>
    <w:rsid w:val="00D155C0"/>
    <w:rsid w:val="00D157B7"/>
    <w:rsid w:val="00D157C5"/>
    <w:rsid w:val="00D17569"/>
    <w:rsid w:val="00D2111B"/>
    <w:rsid w:val="00D21C19"/>
    <w:rsid w:val="00D2257B"/>
    <w:rsid w:val="00D22708"/>
    <w:rsid w:val="00D244A6"/>
    <w:rsid w:val="00D245B8"/>
    <w:rsid w:val="00D25886"/>
    <w:rsid w:val="00D26188"/>
    <w:rsid w:val="00D26D36"/>
    <w:rsid w:val="00D30526"/>
    <w:rsid w:val="00D315C8"/>
    <w:rsid w:val="00D325CA"/>
    <w:rsid w:val="00D32ADC"/>
    <w:rsid w:val="00D332E2"/>
    <w:rsid w:val="00D33848"/>
    <w:rsid w:val="00D3391E"/>
    <w:rsid w:val="00D33C87"/>
    <w:rsid w:val="00D33E03"/>
    <w:rsid w:val="00D341AC"/>
    <w:rsid w:val="00D35E08"/>
    <w:rsid w:val="00D369AF"/>
    <w:rsid w:val="00D40529"/>
    <w:rsid w:val="00D41C0C"/>
    <w:rsid w:val="00D426B9"/>
    <w:rsid w:val="00D42AFB"/>
    <w:rsid w:val="00D451F4"/>
    <w:rsid w:val="00D45B7B"/>
    <w:rsid w:val="00D460DA"/>
    <w:rsid w:val="00D476B4"/>
    <w:rsid w:val="00D477A0"/>
    <w:rsid w:val="00D54843"/>
    <w:rsid w:val="00D55469"/>
    <w:rsid w:val="00D55A3E"/>
    <w:rsid w:val="00D55BD5"/>
    <w:rsid w:val="00D55C2F"/>
    <w:rsid w:val="00D5723A"/>
    <w:rsid w:val="00D57303"/>
    <w:rsid w:val="00D60C6F"/>
    <w:rsid w:val="00D62DC0"/>
    <w:rsid w:val="00D63000"/>
    <w:rsid w:val="00D630AF"/>
    <w:rsid w:val="00D63306"/>
    <w:rsid w:val="00D64EFA"/>
    <w:rsid w:val="00D65139"/>
    <w:rsid w:val="00D666F3"/>
    <w:rsid w:val="00D675CB"/>
    <w:rsid w:val="00D71392"/>
    <w:rsid w:val="00D7161F"/>
    <w:rsid w:val="00D7272A"/>
    <w:rsid w:val="00D735D4"/>
    <w:rsid w:val="00D76F4C"/>
    <w:rsid w:val="00D76F53"/>
    <w:rsid w:val="00D772E9"/>
    <w:rsid w:val="00D80B28"/>
    <w:rsid w:val="00D82B12"/>
    <w:rsid w:val="00D82D84"/>
    <w:rsid w:val="00D8306F"/>
    <w:rsid w:val="00D83263"/>
    <w:rsid w:val="00D83925"/>
    <w:rsid w:val="00D859C0"/>
    <w:rsid w:val="00D865A5"/>
    <w:rsid w:val="00D8710A"/>
    <w:rsid w:val="00D8750E"/>
    <w:rsid w:val="00D8791F"/>
    <w:rsid w:val="00D87F01"/>
    <w:rsid w:val="00D90063"/>
    <w:rsid w:val="00D91B67"/>
    <w:rsid w:val="00D92164"/>
    <w:rsid w:val="00D95C8C"/>
    <w:rsid w:val="00D972D2"/>
    <w:rsid w:val="00D97476"/>
    <w:rsid w:val="00DA1C0E"/>
    <w:rsid w:val="00DA217A"/>
    <w:rsid w:val="00DA296E"/>
    <w:rsid w:val="00DA32B3"/>
    <w:rsid w:val="00DA3386"/>
    <w:rsid w:val="00DA3B75"/>
    <w:rsid w:val="00DA65CE"/>
    <w:rsid w:val="00DA6EAA"/>
    <w:rsid w:val="00DA7129"/>
    <w:rsid w:val="00DB062A"/>
    <w:rsid w:val="00DB0A0D"/>
    <w:rsid w:val="00DB0BB6"/>
    <w:rsid w:val="00DB3DB6"/>
    <w:rsid w:val="00DB3DFB"/>
    <w:rsid w:val="00DB4032"/>
    <w:rsid w:val="00DB4A56"/>
    <w:rsid w:val="00DB4FB6"/>
    <w:rsid w:val="00DB50EA"/>
    <w:rsid w:val="00DB5E7D"/>
    <w:rsid w:val="00DB6AA8"/>
    <w:rsid w:val="00DB7385"/>
    <w:rsid w:val="00DC0EED"/>
    <w:rsid w:val="00DC1E8D"/>
    <w:rsid w:val="00DC256B"/>
    <w:rsid w:val="00DC2B7B"/>
    <w:rsid w:val="00DC3E4C"/>
    <w:rsid w:val="00DC6D58"/>
    <w:rsid w:val="00DC78AF"/>
    <w:rsid w:val="00DC7CE5"/>
    <w:rsid w:val="00DD0BD2"/>
    <w:rsid w:val="00DD18B5"/>
    <w:rsid w:val="00DD3AC2"/>
    <w:rsid w:val="00DD4D7B"/>
    <w:rsid w:val="00DD4EAF"/>
    <w:rsid w:val="00DD55AA"/>
    <w:rsid w:val="00DD6CBB"/>
    <w:rsid w:val="00DE24DE"/>
    <w:rsid w:val="00DE2870"/>
    <w:rsid w:val="00DE3583"/>
    <w:rsid w:val="00DE58B1"/>
    <w:rsid w:val="00DE58F3"/>
    <w:rsid w:val="00DE5CCD"/>
    <w:rsid w:val="00DE5E4D"/>
    <w:rsid w:val="00DE6B51"/>
    <w:rsid w:val="00DE7829"/>
    <w:rsid w:val="00DE7D0F"/>
    <w:rsid w:val="00DF0076"/>
    <w:rsid w:val="00DF16A1"/>
    <w:rsid w:val="00DF34FE"/>
    <w:rsid w:val="00DF3E86"/>
    <w:rsid w:val="00DF3FFE"/>
    <w:rsid w:val="00DF431D"/>
    <w:rsid w:val="00DF59A1"/>
    <w:rsid w:val="00E00645"/>
    <w:rsid w:val="00E00878"/>
    <w:rsid w:val="00E01079"/>
    <w:rsid w:val="00E017D0"/>
    <w:rsid w:val="00E01FF2"/>
    <w:rsid w:val="00E041E4"/>
    <w:rsid w:val="00E044B9"/>
    <w:rsid w:val="00E044D6"/>
    <w:rsid w:val="00E0784D"/>
    <w:rsid w:val="00E12E77"/>
    <w:rsid w:val="00E13CA7"/>
    <w:rsid w:val="00E13E5C"/>
    <w:rsid w:val="00E141C5"/>
    <w:rsid w:val="00E14342"/>
    <w:rsid w:val="00E14BB9"/>
    <w:rsid w:val="00E1504D"/>
    <w:rsid w:val="00E16D71"/>
    <w:rsid w:val="00E16F66"/>
    <w:rsid w:val="00E17C64"/>
    <w:rsid w:val="00E21510"/>
    <w:rsid w:val="00E21D7D"/>
    <w:rsid w:val="00E22AC1"/>
    <w:rsid w:val="00E23B32"/>
    <w:rsid w:val="00E246A6"/>
    <w:rsid w:val="00E26A73"/>
    <w:rsid w:val="00E26B25"/>
    <w:rsid w:val="00E26FF0"/>
    <w:rsid w:val="00E27360"/>
    <w:rsid w:val="00E27446"/>
    <w:rsid w:val="00E338C6"/>
    <w:rsid w:val="00E33B35"/>
    <w:rsid w:val="00E345F0"/>
    <w:rsid w:val="00E3465C"/>
    <w:rsid w:val="00E347DD"/>
    <w:rsid w:val="00E34D9A"/>
    <w:rsid w:val="00E35745"/>
    <w:rsid w:val="00E35D62"/>
    <w:rsid w:val="00E41C7E"/>
    <w:rsid w:val="00E41D38"/>
    <w:rsid w:val="00E45046"/>
    <w:rsid w:val="00E45F99"/>
    <w:rsid w:val="00E51289"/>
    <w:rsid w:val="00E52863"/>
    <w:rsid w:val="00E5365D"/>
    <w:rsid w:val="00E5501C"/>
    <w:rsid w:val="00E562C8"/>
    <w:rsid w:val="00E566CA"/>
    <w:rsid w:val="00E601AD"/>
    <w:rsid w:val="00E602D9"/>
    <w:rsid w:val="00E60A5C"/>
    <w:rsid w:val="00E60CE1"/>
    <w:rsid w:val="00E618D7"/>
    <w:rsid w:val="00E61C62"/>
    <w:rsid w:val="00E62008"/>
    <w:rsid w:val="00E63EA2"/>
    <w:rsid w:val="00E63F8E"/>
    <w:rsid w:val="00E647AE"/>
    <w:rsid w:val="00E65BA9"/>
    <w:rsid w:val="00E66097"/>
    <w:rsid w:val="00E66145"/>
    <w:rsid w:val="00E664C3"/>
    <w:rsid w:val="00E671ED"/>
    <w:rsid w:val="00E67893"/>
    <w:rsid w:val="00E67A61"/>
    <w:rsid w:val="00E705D7"/>
    <w:rsid w:val="00E72B3F"/>
    <w:rsid w:val="00E72E40"/>
    <w:rsid w:val="00E72EC9"/>
    <w:rsid w:val="00E731CE"/>
    <w:rsid w:val="00E75654"/>
    <w:rsid w:val="00E75DEE"/>
    <w:rsid w:val="00E76599"/>
    <w:rsid w:val="00E7773A"/>
    <w:rsid w:val="00E77A65"/>
    <w:rsid w:val="00E80FB8"/>
    <w:rsid w:val="00E81EB5"/>
    <w:rsid w:val="00E82A0E"/>
    <w:rsid w:val="00E83116"/>
    <w:rsid w:val="00E839B0"/>
    <w:rsid w:val="00E849F9"/>
    <w:rsid w:val="00E8546A"/>
    <w:rsid w:val="00E8584C"/>
    <w:rsid w:val="00E858EB"/>
    <w:rsid w:val="00E87C87"/>
    <w:rsid w:val="00E93BAF"/>
    <w:rsid w:val="00E93EF5"/>
    <w:rsid w:val="00E94438"/>
    <w:rsid w:val="00E94F10"/>
    <w:rsid w:val="00E968E0"/>
    <w:rsid w:val="00E97DFE"/>
    <w:rsid w:val="00EA0C59"/>
    <w:rsid w:val="00EA0D8D"/>
    <w:rsid w:val="00EA25E1"/>
    <w:rsid w:val="00EA4ADA"/>
    <w:rsid w:val="00EA5028"/>
    <w:rsid w:val="00EA64EB"/>
    <w:rsid w:val="00EA7085"/>
    <w:rsid w:val="00EA758E"/>
    <w:rsid w:val="00EB0559"/>
    <w:rsid w:val="00EB21AA"/>
    <w:rsid w:val="00EB29FC"/>
    <w:rsid w:val="00EB346A"/>
    <w:rsid w:val="00EB3AFD"/>
    <w:rsid w:val="00EB44B6"/>
    <w:rsid w:val="00EB4674"/>
    <w:rsid w:val="00EB5394"/>
    <w:rsid w:val="00EB6441"/>
    <w:rsid w:val="00EB7F7B"/>
    <w:rsid w:val="00EC181D"/>
    <w:rsid w:val="00EC228E"/>
    <w:rsid w:val="00EC531A"/>
    <w:rsid w:val="00EC5791"/>
    <w:rsid w:val="00EC70FB"/>
    <w:rsid w:val="00EC750F"/>
    <w:rsid w:val="00EC7697"/>
    <w:rsid w:val="00EC7835"/>
    <w:rsid w:val="00ED10B8"/>
    <w:rsid w:val="00ED2C61"/>
    <w:rsid w:val="00ED3F61"/>
    <w:rsid w:val="00ED597B"/>
    <w:rsid w:val="00ED61EC"/>
    <w:rsid w:val="00ED6589"/>
    <w:rsid w:val="00ED6D5A"/>
    <w:rsid w:val="00ED7197"/>
    <w:rsid w:val="00EE07B3"/>
    <w:rsid w:val="00EE10B3"/>
    <w:rsid w:val="00EE220D"/>
    <w:rsid w:val="00EE2B86"/>
    <w:rsid w:val="00EE3263"/>
    <w:rsid w:val="00EE3EDB"/>
    <w:rsid w:val="00EE3F2B"/>
    <w:rsid w:val="00EE49B1"/>
    <w:rsid w:val="00EE4DFE"/>
    <w:rsid w:val="00EE514A"/>
    <w:rsid w:val="00EE61CD"/>
    <w:rsid w:val="00EE7120"/>
    <w:rsid w:val="00EE7747"/>
    <w:rsid w:val="00EF01E8"/>
    <w:rsid w:val="00EF081A"/>
    <w:rsid w:val="00EF3B72"/>
    <w:rsid w:val="00EF3F54"/>
    <w:rsid w:val="00EF46F9"/>
    <w:rsid w:val="00EF540A"/>
    <w:rsid w:val="00EF744F"/>
    <w:rsid w:val="00F02AE5"/>
    <w:rsid w:val="00F03B3E"/>
    <w:rsid w:val="00F03CAD"/>
    <w:rsid w:val="00F05A52"/>
    <w:rsid w:val="00F068BC"/>
    <w:rsid w:val="00F0764E"/>
    <w:rsid w:val="00F10C4B"/>
    <w:rsid w:val="00F11020"/>
    <w:rsid w:val="00F132B6"/>
    <w:rsid w:val="00F13317"/>
    <w:rsid w:val="00F13EEF"/>
    <w:rsid w:val="00F156AB"/>
    <w:rsid w:val="00F1619A"/>
    <w:rsid w:val="00F1632F"/>
    <w:rsid w:val="00F1725B"/>
    <w:rsid w:val="00F22E6D"/>
    <w:rsid w:val="00F233CF"/>
    <w:rsid w:val="00F235FD"/>
    <w:rsid w:val="00F23C3D"/>
    <w:rsid w:val="00F24360"/>
    <w:rsid w:val="00F24F1E"/>
    <w:rsid w:val="00F25726"/>
    <w:rsid w:val="00F25DC8"/>
    <w:rsid w:val="00F26D88"/>
    <w:rsid w:val="00F26E45"/>
    <w:rsid w:val="00F27295"/>
    <w:rsid w:val="00F30827"/>
    <w:rsid w:val="00F31833"/>
    <w:rsid w:val="00F329BE"/>
    <w:rsid w:val="00F330B1"/>
    <w:rsid w:val="00F34AEA"/>
    <w:rsid w:val="00F34FBD"/>
    <w:rsid w:val="00F36E8E"/>
    <w:rsid w:val="00F36EED"/>
    <w:rsid w:val="00F40695"/>
    <w:rsid w:val="00F40E41"/>
    <w:rsid w:val="00F41293"/>
    <w:rsid w:val="00F42DCB"/>
    <w:rsid w:val="00F4335A"/>
    <w:rsid w:val="00F43682"/>
    <w:rsid w:val="00F44CAF"/>
    <w:rsid w:val="00F44F90"/>
    <w:rsid w:val="00F4515F"/>
    <w:rsid w:val="00F46314"/>
    <w:rsid w:val="00F475B8"/>
    <w:rsid w:val="00F50EE3"/>
    <w:rsid w:val="00F53A02"/>
    <w:rsid w:val="00F55217"/>
    <w:rsid w:val="00F55DF1"/>
    <w:rsid w:val="00F574DF"/>
    <w:rsid w:val="00F60BBD"/>
    <w:rsid w:val="00F627D9"/>
    <w:rsid w:val="00F62BF0"/>
    <w:rsid w:val="00F650BF"/>
    <w:rsid w:val="00F6635C"/>
    <w:rsid w:val="00F66685"/>
    <w:rsid w:val="00F6671F"/>
    <w:rsid w:val="00F67432"/>
    <w:rsid w:val="00F701C0"/>
    <w:rsid w:val="00F707EE"/>
    <w:rsid w:val="00F718D9"/>
    <w:rsid w:val="00F71F29"/>
    <w:rsid w:val="00F721BE"/>
    <w:rsid w:val="00F72375"/>
    <w:rsid w:val="00F7530A"/>
    <w:rsid w:val="00F75A57"/>
    <w:rsid w:val="00F80310"/>
    <w:rsid w:val="00F81E67"/>
    <w:rsid w:val="00F82752"/>
    <w:rsid w:val="00F83444"/>
    <w:rsid w:val="00F840BA"/>
    <w:rsid w:val="00F84982"/>
    <w:rsid w:val="00F84C20"/>
    <w:rsid w:val="00F84E7A"/>
    <w:rsid w:val="00F85F7F"/>
    <w:rsid w:val="00F864A8"/>
    <w:rsid w:val="00F91B44"/>
    <w:rsid w:val="00F91EFD"/>
    <w:rsid w:val="00F92662"/>
    <w:rsid w:val="00F92CDA"/>
    <w:rsid w:val="00F93B2B"/>
    <w:rsid w:val="00F95977"/>
    <w:rsid w:val="00FA0DBA"/>
    <w:rsid w:val="00FA1103"/>
    <w:rsid w:val="00FA1A51"/>
    <w:rsid w:val="00FA2251"/>
    <w:rsid w:val="00FA27E3"/>
    <w:rsid w:val="00FA478F"/>
    <w:rsid w:val="00FA4DBF"/>
    <w:rsid w:val="00FA52E5"/>
    <w:rsid w:val="00FA571D"/>
    <w:rsid w:val="00FB0D00"/>
    <w:rsid w:val="00FB20E1"/>
    <w:rsid w:val="00FB292A"/>
    <w:rsid w:val="00FB2CDC"/>
    <w:rsid w:val="00FB2E9F"/>
    <w:rsid w:val="00FB320A"/>
    <w:rsid w:val="00FB3BCC"/>
    <w:rsid w:val="00FB4ACF"/>
    <w:rsid w:val="00FB4F7C"/>
    <w:rsid w:val="00FB6BD7"/>
    <w:rsid w:val="00FB70A1"/>
    <w:rsid w:val="00FB7480"/>
    <w:rsid w:val="00FB7A4C"/>
    <w:rsid w:val="00FB7F52"/>
    <w:rsid w:val="00FC08CD"/>
    <w:rsid w:val="00FC14CD"/>
    <w:rsid w:val="00FC1C3B"/>
    <w:rsid w:val="00FC1CF7"/>
    <w:rsid w:val="00FC2DF3"/>
    <w:rsid w:val="00FC2EB7"/>
    <w:rsid w:val="00FC302D"/>
    <w:rsid w:val="00FC4AA4"/>
    <w:rsid w:val="00FC587D"/>
    <w:rsid w:val="00FC677C"/>
    <w:rsid w:val="00FC717F"/>
    <w:rsid w:val="00FD1E41"/>
    <w:rsid w:val="00FD2FED"/>
    <w:rsid w:val="00FD315E"/>
    <w:rsid w:val="00FD4668"/>
    <w:rsid w:val="00FD4CDD"/>
    <w:rsid w:val="00FD5016"/>
    <w:rsid w:val="00FD5506"/>
    <w:rsid w:val="00FD70DE"/>
    <w:rsid w:val="00FD771C"/>
    <w:rsid w:val="00FE1378"/>
    <w:rsid w:val="00FE17E5"/>
    <w:rsid w:val="00FE19F0"/>
    <w:rsid w:val="00FE1A42"/>
    <w:rsid w:val="00FE2224"/>
    <w:rsid w:val="00FE28FF"/>
    <w:rsid w:val="00FE2BAF"/>
    <w:rsid w:val="00FE2FEB"/>
    <w:rsid w:val="00FE3E58"/>
    <w:rsid w:val="00FE4DEA"/>
    <w:rsid w:val="00FE4E12"/>
    <w:rsid w:val="00FE53CB"/>
    <w:rsid w:val="00FE567B"/>
    <w:rsid w:val="00FE5FC3"/>
    <w:rsid w:val="00FE7230"/>
    <w:rsid w:val="00FF3EB2"/>
    <w:rsid w:val="00FF40DE"/>
    <w:rsid w:val="00FF4192"/>
    <w:rsid w:val="00FF53CB"/>
    <w:rsid w:val="00FF6731"/>
    <w:rsid w:val="00FF6C37"/>
    <w:rsid w:val="00FF7123"/>
    <w:rsid w:val="00FF7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FA346"/>
  <w15:docId w15:val="{055A9D00-8974-4B1B-A15D-6D2D431C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75"/>
    <w:pPr>
      <w:spacing w:after="0" w:line="240" w:lineRule="auto"/>
    </w:pPr>
    <w:rPr>
      <w:rFonts w:ascii="Times New Roman" w:eastAsia="Calibri" w:hAnsi="Times New Roman" w:cs="Times New Roman"/>
      <w:sz w:val="24"/>
      <w:szCs w:val="20"/>
      <w:lang w:eastAsia="en-US"/>
    </w:rPr>
  </w:style>
  <w:style w:type="paragraph" w:styleId="Heading1">
    <w:name w:val="heading 1"/>
    <w:basedOn w:val="Normal"/>
    <w:next w:val="Normal"/>
    <w:link w:val="Heading1Char"/>
    <w:uiPriority w:val="9"/>
    <w:qFormat/>
    <w:rsid w:val="00DD0B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6C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6C6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D6C6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D6C6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E75"/>
    <w:pPr>
      <w:tabs>
        <w:tab w:val="center" w:pos="4680"/>
        <w:tab w:val="right" w:pos="9360"/>
      </w:tabs>
    </w:pPr>
  </w:style>
  <w:style w:type="character" w:customStyle="1" w:styleId="HeaderChar">
    <w:name w:val="Header Char"/>
    <w:basedOn w:val="DefaultParagraphFont"/>
    <w:link w:val="Header"/>
    <w:uiPriority w:val="99"/>
    <w:rsid w:val="002B1E75"/>
  </w:style>
  <w:style w:type="paragraph" w:styleId="Footer">
    <w:name w:val="footer"/>
    <w:basedOn w:val="Normal"/>
    <w:link w:val="FooterChar"/>
    <w:uiPriority w:val="99"/>
    <w:unhideWhenUsed/>
    <w:rsid w:val="002B1E75"/>
    <w:pPr>
      <w:tabs>
        <w:tab w:val="center" w:pos="4680"/>
        <w:tab w:val="right" w:pos="9360"/>
      </w:tabs>
    </w:pPr>
  </w:style>
  <w:style w:type="character" w:customStyle="1" w:styleId="FooterChar">
    <w:name w:val="Footer Char"/>
    <w:basedOn w:val="DefaultParagraphFont"/>
    <w:link w:val="Footer"/>
    <w:uiPriority w:val="99"/>
    <w:rsid w:val="002B1E75"/>
  </w:style>
  <w:style w:type="paragraph" w:customStyle="1" w:styleId="DocID">
    <w:name w:val="DocID"/>
    <w:basedOn w:val="Normal"/>
    <w:rsid w:val="002B1E75"/>
    <w:rPr>
      <w:sz w:val="16"/>
    </w:rPr>
  </w:style>
  <w:style w:type="paragraph" w:styleId="FootnoteText">
    <w:name w:val="footnote text"/>
    <w:basedOn w:val="Normal"/>
    <w:link w:val="FootnoteTextChar"/>
    <w:uiPriority w:val="99"/>
    <w:unhideWhenUsed/>
    <w:rsid w:val="002B1E75"/>
    <w:rPr>
      <w:sz w:val="20"/>
    </w:rPr>
  </w:style>
  <w:style w:type="character" w:customStyle="1" w:styleId="FootnoteTextChar">
    <w:name w:val="Footnote Text Char"/>
    <w:basedOn w:val="DefaultParagraphFont"/>
    <w:link w:val="FootnoteText"/>
    <w:uiPriority w:val="99"/>
    <w:rsid w:val="002B1E75"/>
    <w:rPr>
      <w:rFonts w:ascii="Times New Roman" w:eastAsia="Calibri" w:hAnsi="Times New Roman" w:cs="Times New Roman"/>
      <w:sz w:val="20"/>
      <w:szCs w:val="20"/>
      <w:lang w:eastAsia="en-US"/>
    </w:rPr>
  </w:style>
  <w:style w:type="character" w:styleId="FootnoteReference">
    <w:name w:val="footnote reference"/>
    <w:basedOn w:val="DefaultParagraphFont"/>
    <w:uiPriority w:val="99"/>
    <w:unhideWhenUsed/>
    <w:rsid w:val="002B1E75"/>
    <w:rPr>
      <w:vertAlign w:val="superscript"/>
    </w:rPr>
  </w:style>
  <w:style w:type="character" w:styleId="CommentReference">
    <w:name w:val="annotation reference"/>
    <w:basedOn w:val="DefaultParagraphFont"/>
    <w:uiPriority w:val="99"/>
    <w:semiHidden/>
    <w:unhideWhenUsed/>
    <w:rsid w:val="002B1E75"/>
    <w:rPr>
      <w:sz w:val="16"/>
      <w:szCs w:val="16"/>
    </w:rPr>
  </w:style>
  <w:style w:type="paragraph" w:styleId="CommentText">
    <w:name w:val="annotation text"/>
    <w:basedOn w:val="Normal"/>
    <w:link w:val="CommentTextChar"/>
    <w:uiPriority w:val="99"/>
    <w:unhideWhenUsed/>
    <w:rsid w:val="002B1E75"/>
    <w:rPr>
      <w:sz w:val="20"/>
    </w:rPr>
  </w:style>
  <w:style w:type="character" w:customStyle="1" w:styleId="CommentTextChar">
    <w:name w:val="Comment Text Char"/>
    <w:basedOn w:val="DefaultParagraphFont"/>
    <w:link w:val="CommentText"/>
    <w:uiPriority w:val="99"/>
    <w:rsid w:val="002B1E75"/>
    <w:rPr>
      <w:rFonts w:ascii="Times New Roman" w:eastAsia="Calibri" w:hAnsi="Times New Roman" w:cs="Times New Roman"/>
      <w:sz w:val="20"/>
      <w:szCs w:val="20"/>
      <w:lang w:eastAsia="en-US"/>
    </w:rPr>
  </w:style>
  <w:style w:type="table" w:styleId="TableGrid">
    <w:name w:val="Table Grid"/>
    <w:basedOn w:val="TableNormal"/>
    <w:uiPriority w:val="39"/>
    <w:rsid w:val="000F5C7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BCSubtitleTOC">
    <w:name w:val="RSBC Subtitle TOC"/>
    <w:basedOn w:val="Normal"/>
    <w:rsid w:val="000F5C76"/>
    <w:pPr>
      <w:keepNext/>
      <w:keepLines/>
      <w:snapToGrid w:val="0"/>
      <w:spacing w:after="240"/>
      <w:jc w:val="center"/>
      <w:outlineLvl w:val="0"/>
    </w:pPr>
    <w:rPr>
      <w:rFonts w:asciiTheme="minorHAnsi" w:hAnsiTheme="minorHAnsi"/>
      <w:b/>
    </w:rPr>
  </w:style>
  <w:style w:type="paragraph" w:customStyle="1" w:styleId="RBNBasicNoSpace">
    <w:name w:val="RBN Basic No Space"/>
    <w:basedOn w:val="Normal"/>
    <w:rsid w:val="000F5C76"/>
  </w:style>
  <w:style w:type="character" w:styleId="Hyperlink">
    <w:name w:val="Hyperlink"/>
    <w:basedOn w:val="DefaultParagraphFont"/>
    <w:uiPriority w:val="99"/>
    <w:unhideWhenUsed/>
    <w:rsid w:val="00C22FD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A7565"/>
    <w:rPr>
      <w:b/>
      <w:bCs/>
    </w:rPr>
  </w:style>
  <w:style w:type="character" w:customStyle="1" w:styleId="CommentSubjectChar">
    <w:name w:val="Comment Subject Char"/>
    <w:basedOn w:val="CommentTextChar"/>
    <w:link w:val="CommentSubject"/>
    <w:uiPriority w:val="99"/>
    <w:semiHidden/>
    <w:rsid w:val="00CA7565"/>
    <w:rPr>
      <w:rFonts w:ascii="Times New Roman" w:eastAsia="Calibri" w:hAnsi="Times New Roman" w:cs="Times New Roman"/>
      <w:b/>
      <w:bCs/>
      <w:sz w:val="20"/>
      <w:szCs w:val="20"/>
      <w:lang w:eastAsia="en-US"/>
    </w:rPr>
  </w:style>
  <w:style w:type="paragraph" w:customStyle="1" w:styleId="RB2Bullets">
    <w:name w:val="RB2 Bullets"/>
    <w:basedOn w:val="Normal"/>
    <w:rsid w:val="00F6671F"/>
    <w:pPr>
      <w:numPr>
        <w:ilvl w:val="1"/>
        <w:numId w:val="3"/>
      </w:numPr>
      <w:spacing w:after="120"/>
    </w:pPr>
  </w:style>
  <w:style w:type="paragraph" w:customStyle="1" w:styleId="RB3Bullets">
    <w:name w:val="RB3 Bullets"/>
    <w:basedOn w:val="Normal"/>
    <w:rsid w:val="00F6671F"/>
    <w:pPr>
      <w:numPr>
        <w:ilvl w:val="2"/>
        <w:numId w:val="3"/>
      </w:numPr>
      <w:spacing w:after="120"/>
    </w:pPr>
  </w:style>
  <w:style w:type="paragraph" w:customStyle="1" w:styleId="RB4Bullets">
    <w:name w:val="RB4 Bullets"/>
    <w:basedOn w:val="Normal"/>
    <w:rsid w:val="00F6671F"/>
    <w:pPr>
      <w:numPr>
        <w:ilvl w:val="3"/>
        <w:numId w:val="3"/>
      </w:numPr>
      <w:spacing w:after="120"/>
    </w:pPr>
  </w:style>
  <w:style w:type="paragraph" w:customStyle="1" w:styleId="RB5Bullets">
    <w:name w:val="RB5 Bullets"/>
    <w:basedOn w:val="Normal"/>
    <w:rsid w:val="00F6671F"/>
    <w:pPr>
      <w:numPr>
        <w:ilvl w:val="4"/>
        <w:numId w:val="3"/>
      </w:numPr>
      <w:spacing w:after="120"/>
    </w:pPr>
  </w:style>
  <w:style w:type="paragraph" w:customStyle="1" w:styleId="RB6Bullets">
    <w:name w:val="RB6 Bullets"/>
    <w:basedOn w:val="Normal"/>
    <w:rsid w:val="00F6671F"/>
    <w:pPr>
      <w:numPr>
        <w:ilvl w:val="5"/>
        <w:numId w:val="3"/>
      </w:numPr>
      <w:spacing w:after="120"/>
    </w:pPr>
  </w:style>
  <w:style w:type="paragraph" w:customStyle="1" w:styleId="RB7Bullets">
    <w:name w:val="RB7 Bullets"/>
    <w:basedOn w:val="Normal"/>
    <w:rsid w:val="00F6671F"/>
    <w:pPr>
      <w:numPr>
        <w:ilvl w:val="6"/>
        <w:numId w:val="3"/>
      </w:numPr>
      <w:spacing w:after="120"/>
    </w:pPr>
  </w:style>
  <w:style w:type="paragraph" w:customStyle="1" w:styleId="RB8Bullets">
    <w:name w:val="RB8 Bullets"/>
    <w:basedOn w:val="Normal"/>
    <w:rsid w:val="00F6671F"/>
    <w:pPr>
      <w:numPr>
        <w:ilvl w:val="7"/>
        <w:numId w:val="3"/>
      </w:numPr>
      <w:spacing w:after="120"/>
    </w:pPr>
  </w:style>
  <w:style w:type="paragraph" w:customStyle="1" w:styleId="RB9Bullets">
    <w:name w:val="RB9 Bullets"/>
    <w:basedOn w:val="Normal"/>
    <w:rsid w:val="00F6671F"/>
    <w:pPr>
      <w:numPr>
        <w:ilvl w:val="8"/>
        <w:numId w:val="3"/>
      </w:numPr>
      <w:spacing w:after="120"/>
    </w:pPr>
  </w:style>
  <w:style w:type="paragraph" w:customStyle="1" w:styleId="RBUBullets">
    <w:name w:val="RBU Bullets"/>
    <w:basedOn w:val="Normal"/>
    <w:link w:val="RBUBulletsChar"/>
    <w:rsid w:val="00F6671F"/>
    <w:pPr>
      <w:spacing w:after="120"/>
      <w:jc w:val="both"/>
    </w:pPr>
  </w:style>
  <w:style w:type="character" w:customStyle="1" w:styleId="RBUBulletsChar">
    <w:name w:val="RBU Bullets Char"/>
    <w:basedOn w:val="DefaultParagraphFont"/>
    <w:link w:val="RBUBullets"/>
    <w:rsid w:val="00F6671F"/>
    <w:rPr>
      <w:rFonts w:ascii="Times New Roman" w:eastAsia="Calibri" w:hAnsi="Times New Roman" w:cs="Times New Roman"/>
      <w:sz w:val="24"/>
      <w:szCs w:val="20"/>
      <w:lang w:eastAsia="en-US"/>
    </w:rPr>
  </w:style>
  <w:style w:type="character" w:styleId="UnresolvedMention">
    <w:name w:val="Unresolved Mention"/>
    <w:basedOn w:val="DefaultParagraphFont"/>
    <w:uiPriority w:val="99"/>
    <w:semiHidden/>
    <w:unhideWhenUsed/>
    <w:rsid w:val="00F701C0"/>
    <w:rPr>
      <w:color w:val="605E5C"/>
      <w:shd w:val="clear" w:color="auto" w:fill="E1DFDD"/>
    </w:rPr>
  </w:style>
  <w:style w:type="paragraph" w:styleId="BodyText">
    <w:name w:val="Body Text"/>
    <w:basedOn w:val="Normal"/>
    <w:link w:val="BodyTextChar"/>
    <w:uiPriority w:val="1"/>
    <w:qFormat/>
    <w:rsid w:val="002254E1"/>
    <w:pPr>
      <w:widowControl w:val="0"/>
      <w:autoSpaceDE w:val="0"/>
      <w:autoSpaceDN w:val="0"/>
    </w:pPr>
    <w:rPr>
      <w:rFonts w:ascii="Calibri" w:hAnsi="Calibri" w:cs="Calibri"/>
      <w:sz w:val="20"/>
    </w:rPr>
  </w:style>
  <w:style w:type="character" w:customStyle="1" w:styleId="BodyTextChar">
    <w:name w:val="Body Text Char"/>
    <w:basedOn w:val="DefaultParagraphFont"/>
    <w:link w:val="BodyText"/>
    <w:uiPriority w:val="1"/>
    <w:rsid w:val="002254E1"/>
    <w:rPr>
      <w:rFonts w:ascii="Calibri" w:eastAsia="Calibri" w:hAnsi="Calibri" w:cs="Calibri"/>
      <w:sz w:val="20"/>
      <w:szCs w:val="20"/>
      <w:lang w:eastAsia="en-US"/>
    </w:rPr>
  </w:style>
  <w:style w:type="paragraph" w:styleId="EndnoteText">
    <w:name w:val="endnote text"/>
    <w:basedOn w:val="Normal"/>
    <w:link w:val="EndnoteTextChar"/>
    <w:uiPriority w:val="99"/>
    <w:semiHidden/>
    <w:unhideWhenUsed/>
    <w:rsid w:val="001A0085"/>
    <w:rPr>
      <w:sz w:val="20"/>
    </w:rPr>
  </w:style>
  <w:style w:type="character" w:customStyle="1" w:styleId="EndnoteTextChar">
    <w:name w:val="Endnote Text Char"/>
    <w:basedOn w:val="DefaultParagraphFont"/>
    <w:link w:val="EndnoteText"/>
    <w:uiPriority w:val="99"/>
    <w:semiHidden/>
    <w:rsid w:val="001A0085"/>
    <w:rPr>
      <w:rFonts w:ascii="Times New Roman" w:eastAsia="Calibri" w:hAnsi="Times New Roman" w:cs="Times New Roman"/>
      <w:sz w:val="20"/>
      <w:szCs w:val="20"/>
      <w:lang w:eastAsia="en-US"/>
    </w:rPr>
  </w:style>
  <w:style w:type="character" w:styleId="EndnoteReference">
    <w:name w:val="endnote reference"/>
    <w:basedOn w:val="DefaultParagraphFont"/>
    <w:uiPriority w:val="99"/>
    <w:semiHidden/>
    <w:unhideWhenUsed/>
    <w:rsid w:val="001A0085"/>
    <w:rPr>
      <w:vertAlign w:val="superscript"/>
    </w:rPr>
  </w:style>
  <w:style w:type="paragraph" w:styleId="ListParagraph">
    <w:name w:val="List Paragraph"/>
    <w:basedOn w:val="Normal"/>
    <w:uiPriority w:val="34"/>
    <w:qFormat/>
    <w:rsid w:val="0092314A"/>
    <w:pPr>
      <w:ind w:left="720"/>
      <w:contextualSpacing/>
    </w:pPr>
  </w:style>
  <w:style w:type="character" w:styleId="FollowedHyperlink">
    <w:name w:val="FollowedHyperlink"/>
    <w:basedOn w:val="DefaultParagraphFont"/>
    <w:uiPriority w:val="99"/>
    <w:semiHidden/>
    <w:unhideWhenUsed/>
    <w:rsid w:val="0053387A"/>
    <w:rPr>
      <w:color w:val="954F72" w:themeColor="followedHyperlink"/>
      <w:u w:val="single"/>
    </w:rPr>
  </w:style>
  <w:style w:type="paragraph" w:styleId="ListBullet">
    <w:name w:val="List Bullet"/>
    <w:basedOn w:val="Normal"/>
    <w:uiPriority w:val="99"/>
    <w:unhideWhenUsed/>
    <w:rsid w:val="00201D7E"/>
    <w:pPr>
      <w:numPr>
        <w:numId w:val="8"/>
      </w:numPr>
      <w:contextualSpacing/>
    </w:pPr>
  </w:style>
  <w:style w:type="paragraph" w:styleId="NormalWeb">
    <w:name w:val="Normal (Web)"/>
    <w:basedOn w:val="Normal"/>
    <w:uiPriority w:val="99"/>
    <w:unhideWhenUsed/>
    <w:rsid w:val="00815BF6"/>
    <w:pPr>
      <w:spacing w:before="100" w:beforeAutospacing="1" w:after="100" w:afterAutospacing="1"/>
    </w:pPr>
    <w:rPr>
      <w:rFonts w:eastAsia="Times New Roman"/>
      <w:szCs w:val="24"/>
      <w:lang w:eastAsia="zh-CN"/>
    </w:rPr>
  </w:style>
  <w:style w:type="character" w:styleId="Emphasis">
    <w:name w:val="Emphasis"/>
    <w:basedOn w:val="DefaultParagraphFont"/>
    <w:uiPriority w:val="20"/>
    <w:qFormat/>
    <w:rsid w:val="006745F4"/>
    <w:rPr>
      <w:i/>
      <w:iCs/>
    </w:rPr>
  </w:style>
  <w:style w:type="character" w:customStyle="1" w:styleId="nlmstring-name">
    <w:name w:val="nlm_string-name"/>
    <w:basedOn w:val="DefaultParagraphFont"/>
    <w:rsid w:val="00785733"/>
  </w:style>
  <w:style w:type="character" w:customStyle="1" w:styleId="journalname">
    <w:name w:val="journalname"/>
    <w:basedOn w:val="DefaultParagraphFont"/>
    <w:rsid w:val="00785733"/>
  </w:style>
  <w:style w:type="character" w:customStyle="1" w:styleId="year">
    <w:name w:val="year"/>
    <w:basedOn w:val="DefaultParagraphFont"/>
    <w:rsid w:val="00785733"/>
  </w:style>
  <w:style w:type="character" w:customStyle="1" w:styleId="volume">
    <w:name w:val="volume"/>
    <w:basedOn w:val="DefaultParagraphFont"/>
    <w:rsid w:val="00785733"/>
  </w:style>
  <w:style w:type="character" w:customStyle="1" w:styleId="issue">
    <w:name w:val="issue"/>
    <w:basedOn w:val="DefaultParagraphFont"/>
    <w:rsid w:val="00785733"/>
  </w:style>
  <w:style w:type="character" w:customStyle="1" w:styleId="page">
    <w:name w:val="page"/>
    <w:basedOn w:val="DefaultParagraphFont"/>
    <w:rsid w:val="00785733"/>
  </w:style>
  <w:style w:type="paragraph" w:styleId="Revision">
    <w:name w:val="Revision"/>
    <w:hidden/>
    <w:uiPriority w:val="99"/>
    <w:semiHidden/>
    <w:rsid w:val="008B6AA8"/>
    <w:pPr>
      <w:spacing w:after="0" w:line="240" w:lineRule="auto"/>
    </w:pPr>
    <w:rPr>
      <w:rFonts w:ascii="Times New Roman" w:eastAsia="Calibri" w:hAnsi="Times New Roman" w:cs="Times New Roman"/>
      <w:sz w:val="24"/>
      <w:szCs w:val="20"/>
      <w:lang w:eastAsia="en-US"/>
    </w:rPr>
  </w:style>
  <w:style w:type="paragraph" w:styleId="TOC1">
    <w:name w:val="toc 1"/>
    <w:basedOn w:val="Normal"/>
    <w:next w:val="Normal"/>
    <w:autoRedefine/>
    <w:uiPriority w:val="39"/>
    <w:unhideWhenUsed/>
    <w:rsid w:val="00DD0BD2"/>
    <w:pPr>
      <w:spacing w:after="100"/>
    </w:pPr>
    <w:rPr>
      <w:b/>
      <w:bCs/>
    </w:rPr>
  </w:style>
  <w:style w:type="paragraph" w:styleId="TOC2">
    <w:name w:val="toc 2"/>
    <w:basedOn w:val="Normal"/>
    <w:next w:val="Normal"/>
    <w:autoRedefine/>
    <w:uiPriority w:val="39"/>
    <w:unhideWhenUsed/>
    <w:rsid w:val="00682E22"/>
    <w:pPr>
      <w:tabs>
        <w:tab w:val="left" w:pos="1260"/>
        <w:tab w:val="left" w:pos="1620"/>
        <w:tab w:val="left" w:pos="1710"/>
        <w:tab w:val="left" w:pos="1800"/>
      </w:tabs>
      <w:spacing w:after="100"/>
      <w:ind w:left="216" w:firstLine="31"/>
      <w:jc w:val="both"/>
    </w:pPr>
    <w:rPr>
      <w:sz w:val="22"/>
      <w:szCs w:val="18"/>
    </w:rPr>
  </w:style>
  <w:style w:type="character" w:customStyle="1" w:styleId="Heading1Char">
    <w:name w:val="Heading 1 Char"/>
    <w:basedOn w:val="DefaultParagraphFont"/>
    <w:link w:val="Heading1"/>
    <w:uiPriority w:val="9"/>
    <w:rsid w:val="00DD0BD2"/>
    <w:rPr>
      <w:rFonts w:asciiTheme="majorHAnsi" w:eastAsiaTheme="majorEastAsia" w:hAnsiTheme="majorHAnsi" w:cstheme="majorBidi"/>
      <w:color w:val="2F5496" w:themeColor="accent1" w:themeShade="BF"/>
      <w:sz w:val="32"/>
      <w:szCs w:val="32"/>
      <w:lang w:eastAsia="en-US"/>
    </w:rPr>
  </w:style>
  <w:style w:type="paragraph" w:styleId="TOCHeading">
    <w:name w:val="TOC Heading"/>
    <w:basedOn w:val="Heading1"/>
    <w:next w:val="Normal"/>
    <w:uiPriority w:val="39"/>
    <w:unhideWhenUsed/>
    <w:qFormat/>
    <w:rsid w:val="00DD0BD2"/>
    <w:pPr>
      <w:spacing w:line="259" w:lineRule="auto"/>
      <w:outlineLvl w:val="9"/>
    </w:pPr>
  </w:style>
  <w:style w:type="character" w:customStyle="1" w:styleId="Heading2Char">
    <w:name w:val="Heading 2 Char"/>
    <w:basedOn w:val="DefaultParagraphFont"/>
    <w:link w:val="Heading2"/>
    <w:uiPriority w:val="9"/>
    <w:rsid w:val="00CD6C65"/>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CD6C6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rsid w:val="00CD6C65"/>
    <w:rPr>
      <w:rFonts w:asciiTheme="majorHAnsi" w:eastAsiaTheme="majorEastAsia" w:hAnsiTheme="majorHAnsi" w:cstheme="majorBidi"/>
      <w:i/>
      <w:iCs/>
      <w:color w:val="2F5496" w:themeColor="accent1" w:themeShade="BF"/>
      <w:sz w:val="24"/>
      <w:szCs w:val="20"/>
      <w:lang w:eastAsia="en-US"/>
    </w:rPr>
  </w:style>
  <w:style w:type="character" w:customStyle="1" w:styleId="Heading5Char">
    <w:name w:val="Heading 5 Char"/>
    <w:basedOn w:val="DefaultParagraphFont"/>
    <w:link w:val="Heading5"/>
    <w:uiPriority w:val="9"/>
    <w:rsid w:val="00CD6C65"/>
    <w:rPr>
      <w:rFonts w:asciiTheme="majorHAnsi" w:eastAsiaTheme="majorEastAsia" w:hAnsiTheme="majorHAnsi" w:cstheme="majorBidi"/>
      <w:color w:val="2F5496" w:themeColor="accent1" w:themeShade="BF"/>
      <w:sz w:val="24"/>
      <w:szCs w:val="20"/>
      <w:lang w:eastAsia="en-US"/>
    </w:rPr>
  </w:style>
  <w:style w:type="paragraph" w:styleId="List">
    <w:name w:val="List"/>
    <w:basedOn w:val="Normal"/>
    <w:uiPriority w:val="99"/>
    <w:unhideWhenUsed/>
    <w:rsid w:val="00CD6C65"/>
    <w:pPr>
      <w:ind w:left="360" w:hanging="360"/>
      <w:contextualSpacing/>
    </w:pPr>
  </w:style>
  <w:style w:type="paragraph" w:styleId="List2">
    <w:name w:val="List 2"/>
    <w:basedOn w:val="Normal"/>
    <w:uiPriority w:val="99"/>
    <w:unhideWhenUsed/>
    <w:rsid w:val="00CD6C65"/>
    <w:pPr>
      <w:ind w:left="720" w:hanging="360"/>
      <w:contextualSpacing/>
    </w:pPr>
  </w:style>
  <w:style w:type="paragraph" w:styleId="List3">
    <w:name w:val="List 3"/>
    <w:basedOn w:val="Normal"/>
    <w:uiPriority w:val="99"/>
    <w:unhideWhenUsed/>
    <w:rsid w:val="00CD6C65"/>
    <w:pPr>
      <w:ind w:left="1080" w:hanging="360"/>
      <w:contextualSpacing/>
    </w:pPr>
  </w:style>
  <w:style w:type="paragraph" w:styleId="Date">
    <w:name w:val="Date"/>
    <w:basedOn w:val="Normal"/>
    <w:next w:val="Normal"/>
    <w:link w:val="DateChar"/>
    <w:uiPriority w:val="99"/>
    <w:unhideWhenUsed/>
    <w:rsid w:val="00CD6C65"/>
  </w:style>
  <w:style w:type="character" w:customStyle="1" w:styleId="DateChar">
    <w:name w:val="Date Char"/>
    <w:basedOn w:val="DefaultParagraphFont"/>
    <w:link w:val="Date"/>
    <w:uiPriority w:val="99"/>
    <w:rsid w:val="00CD6C65"/>
    <w:rPr>
      <w:rFonts w:ascii="Times New Roman" w:eastAsia="Calibri" w:hAnsi="Times New Roman" w:cs="Times New Roman"/>
      <w:sz w:val="24"/>
      <w:szCs w:val="20"/>
      <w:lang w:eastAsia="en-US"/>
    </w:rPr>
  </w:style>
  <w:style w:type="paragraph" w:styleId="ListBullet2">
    <w:name w:val="List Bullet 2"/>
    <w:basedOn w:val="Normal"/>
    <w:uiPriority w:val="99"/>
    <w:unhideWhenUsed/>
    <w:rsid w:val="00CD6C65"/>
    <w:pPr>
      <w:numPr>
        <w:numId w:val="29"/>
      </w:numPr>
      <w:contextualSpacing/>
    </w:pPr>
  </w:style>
  <w:style w:type="paragraph" w:styleId="Title">
    <w:name w:val="Title"/>
    <w:basedOn w:val="Normal"/>
    <w:next w:val="Normal"/>
    <w:link w:val="TitleChar"/>
    <w:uiPriority w:val="10"/>
    <w:qFormat/>
    <w:rsid w:val="00CD6C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C65"/>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CD6C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6C65"/>
    <w:rPr>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5698">
      <w:bodyDiv w:val="1"/>
      <w:marLeft w:val="0"/>
      <w:marRight w:val="0"/>
      <w:marTop w:val="0"/>
      <w:marBottom w:val="0"/>
      <w:divBdr>
        <w:top w:val="none" w:sz="0" w:space="0" w:color="auto"/>
        <w:left w:val="none" w:sz="0" w:space="0" w:color="auto"/>
        <w:bottom w:val="none" w:sz="0" w:space="0" w:color="auto"/>
        <w:right w:val="none" w:sz="0" w:space="0" w:color="auto"/>
      </w:divBdr>
    </w:div>
    <w:div w:id="42601727">
      <w:bodyDiv w:val="1"/>
      <w:marLeft w:val="0"/>
      <w:marRight w:val="0"/>
      <w:marTop w:val="0"/>
      <w:marBottom w:val="0"/>
      <w:divBdr>
        <w:top w:val="none" w:sz="0" w:space="0" w:color="auto"/>
        <w:left w:val="none" w:sz="0" w:space="0" w:color="auto"/>
        <w:bottom w:val="none" w:sz="0" w:space="0" w:color="auto"/>
        <w:right w:val="none" w:sz="0" w:space="0" w:color="auto"/>
      </w:divBdr>
    </w:div>
    <w:div w:id="52431479">
      <w:bodyDiv w:val="1"/>
      <w:marLeft w:val="0"/>
      <w:marRight w:val="0"/>
      <w:marTop w:val="0"/>
      <w:marBottom w:val="0"/>
      <w:divBdr>
        <w:top w:val="none" w:sz="0" w:space="0" w:color="auto"/>
        <w:left w:val="none" w:sz="0" w:space="0" w:color="auto"/>
        <w:bottom w:val="none" w:sz="0" w:space="0" w:color="auto"/>
        <w:right w:val="none" w:sz="0" w:space="0" w:color="auto"/>
      </w:divBdr>
    </w:div>
    <w:div w:id="119997535">
      <w:bodyDiv w:val="1"/>
      <w:marLeft w:val="0"/>
      <w:marRight w:val="0"/>
      <w:marTop w:val="0"/>
      <w:marBottom w:val="0"/>
      <w:divBdr>
        <w:top w:val="none" w:sz="0" w:space="0" w:color="auto"/>
        <w:left w:val="none" w:sz="0" w:space="0" w:color="auto"/>
        <w:bottom w:val="none" w:sz="0" w:space="0" w:color="auto"/>
        <w:right w:val="none" w:sz="0" w:space="0" w:color="auto"/>
      </w:divBdr>
      <w:divsChild>
        <w:div w:id="2036686424">
          <w:marLeft w:val="274"/>
          <w:marRight w:val="0"/>
          <w:marTop w:val="0"/>
          <w:marBottom w:val="0"/>
          <w:divBdr>
            <w:top w:val="none" w:sz="0" w:space="0" w:color="auto"/>
            <w:left w:val="none" w:sz="0" w:space="0" w:color="auto"/>
            <w:bottom w:val="none" w:sz="0" w:space="0" w:color="auto"/>
            <w:right w:val="none" w:sz="0" w:space="0" w:color="auto"/>
          </w:divBdr>
        </w:div>
        <w:div w:id="389577783">
          <w:marLeft w:val="274"/>
          <w:marRight w:val="0"/>
          <w:marTop w:val="0"/>
          <w:marBottom w:val="0"/>
          <w:divBdr>
            <w:top w:val="none" w:sz="0" w:space="0" w:color="auto"/>
            <w:left w:val="none" w:sz="0" w:space="0" w:color="auto"/>
            <w:bottom w:val="none" w:sz="0" w:space="0" w:color="auto"/>
            <w:right w:val="none" w:sz="0" w:space="0" w:color="auto"/>
          </w:divBdr>
        </w:div>
      </w:divsChild>
    </w:div>
    <w:div w:id="186528889">
      <w:bodyDiv w:val="1"/>
      <w:marLeft w:val="0"/>
      <w:marRight w:val="0"/>
      <w:marTop w:val="0"/>
      <w:marBottom w:val="0"/>
      <w:divBdr>
        <w:top w:val="none" w:sz="0" w:space="0" w:color="auto"/>
        <w:left w:val="none" w:sz="0" w:space="0" w:color="auto"/>
        <w:bottom w:val="none" w:sz="0" w:space="0" w:color="auto"/>
        <w:right w:val="none" w:sz="0" w:space="0" w:color="auto"/>
      </w:divBdr>
    </w:div>
    <w:div w:id="191041119">
      <w:bodyDiv w:val="1"/>
      <w:marLeft w:val="0"/>
      <w:marRight w:val="0"/>
      <w:marTop w:val="0"/>
      <w:marBottom w:val="0"/>
      <w:divBdr>
        <w:top w:val="none" w:sz="0" w:space="0" w:color="auto"/>
        <w:left w:val="none" w:sz="0" w:space="0" w:color="auto"/>
        <w:bottom w:val="none" w:sz="0" w:space="0" w:color="auto"/>
        <w:right w:val="none" w:sz="0" w:space="0" w:color="auto"/>
      </w:divBdr>
    </w:div>
    <w:div w:id="192766904">
      <w:bodyDiv w:val="1"/>
      <w:marLeft w:val="0"/>
      <w:marRight w:val="0"/>
      <w:marTop w:val="0"/>
      <w:marBottom w:val="0"/>
      <w:divBdr>
        <w:top w:val="none" w:sz="0" w:space="0" w:color="auto"/>
        <w:left w:val="none" w:sz="0" w:space="0" w:color="auto"/>
        <w:bottom w:val="none" w:sz="0" w:space="0" w:color="auto"/>
        <w:right w:val="none" w:sz="0" w:space="0" w:color="auto"/>
      </w:divBdr>
    </w:div>
    <w:div w:id="238173925">
      <w:bodyDiv w:val="1"/>
      <w:marLeft w:val="0"/>
      <w:marRight w:val="0"/>
      <w:marTop w:val="0"/>
      <w:marBottom w:val="0"/>
      <w:divBdr>
        <w:top w:val="none" w:sz="0" w:space="0" w:color="auto"/>
        <w:left w:val="none" w:sz="0" w:space="0" w:color="auto"/>
        <w:bottom w:val="none" w:sz="0" w:space="0" w:color="auto"/>
        <w:right w:val="none" w:sz="0" w:space="0" w:color="auto"/>
      </w:divBdr>
    </w:div>
    <w:div w:id="250436996">
      <w:bodyDiv w:val="1"/>
      <w:marLeft w:val="0"/>
      <w:marRight w:val="0"/>
      <w:marTop w:val="0"/>
      <w:marBottom w:val="0"/>
      <w:divBdr>
        <w:top w:val="none" w:sz="0" w:space="0" w:color="auto"/>
        <w:left w:val="none" w:sz="0" w:space="0" w:color="auto"/>
        <w:bottom w:val="none" w:sz="0" w:space="0" w:color="auto"/>
        <w:right w:val="none" w:sz="0" w:space="0" w:color="auto"/>
      </w:divBdr>
    </w:div>
    <w:div w:id="273901053">
      <w:bodyDiv w:val="1"/>
      <w:marLeft w:val="0"/>
      <w:marRight w:val="0"/>
      <w:marTop w:val="0"/>
      <w:marBottom w:val="0"/>
      <w:divBdr>
        <w:top w:val="none" w:sz="0" w:space="0" w:color="auto"/>
        <w:left w:val="none" w:sz="0" w:space="0" w:color="auto"/>
        <w:bottom w:val="none" w:sz="0" w:space="0" w:color="auto"/>
        <w:right w:val="none" w:sz="0" w:space="0" w:color="auto"/>
      </w:divBdr>
      <w:divsChild>
        <w:div w:id="250432324">
          <w:marLeft w:val="274"/>
          <w:marRight w:val="0"/>
          <w:marTop w:val="0"/>
          <w:marBottom w:val="0"/>
          <w:divBdr>
            <w:top w:val="none" w:sz="0" w:space="0" w:color="auto"/>
            <w:left w:val="none" w:sz="0" w:space="0" w:color="auto"/>
            <w:bottom w:val="none" w:sz="0" w:space="0" w:color="auto"/>
            <w:right w:val="none" w:sz="0" w:space="0" w:color="auto"/>
          </w:divBdr>
        </w:div>
        <w:div w:id="681393704">
          <w:marLeft w:val="274"/>
          <w:marRight w:val="0"/>
          <w:marTop w:val="0"/>
          <w:marBottom w:val="0"/>
          <w:divBdr>
            <w:top w:val="none" w:sz="0" w:space="0" w:color="auto"/>
            <w:left w:val="none" w:sz="0" w:space="0" w:color="auto"/>
            <w:bottom w:val="none" w:sz="0" w:space="0" w:color="auto"/>
            <w:right w:val="none" w:sz="0" w:space="0" w:color="auto"/>
          </w:divBdr>
        </w:div>
        <w:div w:id="2031294906">
          <w:marLeft w:val="274"/>
          <w:marRight w:val="0"/>
          <w:marTop w:val="0"/>
          <w:marBottom w:val="0"/>
          <w:divBdr>
            <w:top w:val="none" w:sz="0" w:space="0" w:color="auto"/>
            <w:left w:val="none" w:sz="0" w:space="0" w:color="auto"/>
            <w:bottom w:val="none" w:sz="0" w:space="0" w:color="auto"/>
            <w:right w:val="none" w:sz="0" w:space="0" w:color="auto"/>
          </w:divBdr>
        </w:div>
        <w:div w:id="378747056">
          <w:marLeft w:val="274"/>
          <w:marRight w:val="0"/>
          <w:marTop w:val="0"/>
          <w:marBottom w:val="0"/>
          <w:divBdr>
            <w:top w:val="none" w:sz="0" w:space="0" w:color="auto"/>
            <w:left w:val="none" w:sz="0" w:space="0" w:color="auto"/>
            <w:bottom w:val="none" w:sz="0" w:space="0" w:color="auto"/>
            <w:right w:val="none" w:sz="0" w:space="0" w:color="auto"/>
          </w:divBdr>
        </w:div>
        <w:div w:id="1713767856">
          <w:marLeft w:val="274"/>
          <w:marRight w:val="0"/>
          <w:marTop w:val="0"/>
          <w:marBottom w:val="0"/>
          <w:divBdr>
            <w:top w:val="none" w:sz="0" w:space="0" w:color="auto"/>
            <w:left w:val="none" w:sz="0" w:space="0" w:color="auto"/>
            <w:bottom w:val="none" w:sz="0" w:space="0" w:color="auto"/>
            <w:right w:val="none" w:sz="0" w:space="0" w:color="auto"/>
          </w:divBdr>
        </w:div>
      </w:divsChild>
    </w:div>
    <w:div w:id="283972022">
      <w:bodyDiv w:val="1"/>
      <w:marLeft w:val="0"/>
      <w:marRight w:val="0"/>
      <w:marTop w:val="0"/>
      <w:marBottom w:val="0"/>
      <w:divBdr>
        <w:top w:val="none" w:sz="0" w:space="0" w:color="auto"/>
        <w:left w:val="none" w:sz="0" w:space="0" w:color="auto"/>
        <w:bottom w:val="none" w:sz="0" w:space="0" w:color="auto"/>
        <w:right w:val="none" w:sz="0" w:space="0" w:color="auto"/>
      </w:divBdr>
    </w:div>
    <w:div w:id="290480907">
      <w:bodyDiv w:val="1"/>
      <w:marLeft w:val="0"/>
      <w:marRight w:val="0"/>
      <w:marTop w:val="0"/>
      <w:marBottom w:val="0"/>
      <w:divBdr>
        <w:top w:val="none" w:sz="0" w:space="0" w:color="auto"/>
        <w:left w:val="none" w:sz="0" w:space="0" w:color="auto"/>
        <w:bottom w:val="none" w:sz="0" w:space="0" w:color="auto"/>
        <w:right w:val="none" w:sz="0" w:space="0" w:color="auto"/>
      </w:divBdr>
    </w:div>
    <w:div w:id="295382347">
      <w:bodyDiv w:val="1"/>
      <w:marLeft w:val="0"/>
      <w:marRight w:val="0"/>
      <w:marTop w:val="0"/>
      <w:marBottom w:val="0"/>
      <w:divBdr>
        <w:top w:val="none" w:sz="0" w:space="0" w:color="auto"/>
        <w:left w:val="none" w:sz="0" w:space="0" w:color="auto"/>
        <w:bottom w:val="none" w:sz="0" w:space="0" w:color="auto"/>
        <w:right w:val="none" w:sz="0" w:space="0" w:color="auto"/>
      </w:divBdr>
    </w:div>
    <w:div w:id="306475822">
      <w:bodyDiv w:val="1"/>
      <w:marLeft w:val="0"/>
      <w:marRight w:val="0"/>
      <w:marTop w:val="0"/>
      <w:marBottom w:val="0"/>
      <w:divBdr>
        <w:top w:val="none" w:sz="0" w:space="0" w:color="auto"/>
        <w:left w:val="none" w:sz="0" w:space="0" w:color="auto"/>
        <w:bottom w:val="none" w:sz="0" w:space="0" w:color="auto"/>
        <w:right w:val="none" w:sz="0" w:space="0" w:color="auto"/>
      </w:divBdr>
    </w:div>
    <w:div w:id="344946174">
      <w:bodyDiv w:val="1"/>
      <w:marLeft w:val="0"/>
      <w:marRight w:val="0"/>
      <w:marTop w:val="0"/>
      <w:marBottom w:val="0"/>
      <w:divBdr>
        <w:top w:val="none" w:sz="0" w:space="0" w:color="auto"/>
        <w:left w:val="none" w:sz="0" w:space="0" w:color="auto"/>
        <w:bottom w:val="none" w:sz="0" w:space="0" w:color="auto"/>
        <w:right w:val="none" w:sz="0" w:space="0" w:color="auto"/>
      </w:divBdr>
    </w:div>
    <w:div w:id="347023524">
      <w:bodyDiv w:val="1"/>
      <w:marLeft w:val="0"/>
      <w:marRight w:val="0"/>
      <w:marTop w:val="0"/>
      <w:marBottom w:val="0"/>
      <w:divBdr>
        <w:top w:val="none" w:sz="0" w:space="0" w:color="auto"/>
        <w:left w:val="none" w:sz="0" w:space="0" w:color="auto"/>
        <w:bottom w:val="none" w:sz="0" w:space="0" w:color="auto"/>
        <w:right w:val="none" w:sz="0" w:space="0" w:color="auto"/>
      </w:divBdr>
    </w:div>
    <w:div w:id="347607343">
      <w:bodyDiv w:val="1"/>
      <w:marLeft w:val="0"/>
      <w:marRight w:val="0"/>
      <w:marTop w:val="0"/>
      <w:marBottom w:val="0"/>
      <w:divBdr>
        <w:top w:val="none" w:sz="0" w:space="0" w:color="auto"/>
        <w:left w:val="none" w:sz="0" w:space="0" w:color="auto"/>
        <w:bottom w:val="none" w:sz="0" w:space="0" w:color="auto"/>
        <w:right w:val="none" w:sz="0" w:space="0" w:color="auto"/>
      </w:divBdr>
    </w:div>
    <w:div w:id="349990974">
      <w:bodyDiv w:val="1"/>
      <w:marLeft w:val="0"/>
      <w:marRight w:val="0"/>
      <w:marTop w:val="0"/>
      <w:marBottom w:val="0"/>
      <w:divBdr>
        <w:top w:val="none" w:sz="0" w:space="0" w:color="auto"/>
        <w:left w:val="none" w:sz="0" w:space="0" w:color="auto"/>
        <w:bottom w:val="none" w:sz="0" w:space="0" w:color="auto"/>
        <w:right w:val="none" w:sz="0" w:space="0" w:color="auto"/>
      </w:divBdr>
    </w:div>
    <w:div w:id="369037789">
      <w:bodyDiv w:val="1"/>
      <w:marLeft w:val="0"/>
      <w:marRight w:val="0"/>
      <w:marTop w:val="0"/>
      <w:marBottom w:val="0"/>
      <w:divBdr>
        <w:top w:val="none" w:sz="0" w:space="0" w:color="auto"/>
        <w:left w:val="none" w:sz="0" w:space="0" w:color="auto"/>
        <w:bottom w:val="none" w:sz="0" w:space="0" w:color="auto"/>
        <w:right w:val="none" w:sz="0" w:space="0" w:color="auto"/>
      </w:divBdr>
    </w:div>
    <w:div w:id="381104555">
      <w:bodyDiv w:val="1"/>
      <w:marLeft w:val="0"/>
      <w:marRight w:val="0"/>
      <w:marTop w:val="0"/>
      <w:marBottom w:val="0"/>
      <w:divBdr>
        <w:top w:val="none" w:sz="0" w:space="0" w:color="auto"/>
        <w:left w:val="none" w:sz="0" w:space="0" w:color="auto"/>
        <w:bottom w:val="none" w:sz="0" w:space="0" w:color="auto"/>
        <w:right w:val="none" w:sz="0" w:space="0" w:color="auto"/>
      </w:divBdr>
    </w:div>
    <w:div w:id="405537275">
      <w:bodyDiv w:val="1"/>
      <w:marLeft w:val="0"/>
      <w:marRight w:val="0"/>
      <w:marTop w:val="0"/>
      <w:marBottom w:val="0"/>
      <w:divBdr>
        <w:top w:val="none" w:sz="0" w:space="0" w:color="auto"/>
        <w:left w:val="none" w:sz="0" w:space="0" w:color="auto"/>
        <w:bottom w:val="none" w:sz="0" w:space="0" w:color="auto"/>
        <w:right w:val="none" w:sz="0" w:space="0" w:color="auto"/>
      </w:divBdr>
      <w:divsChild>
        <w:div w:id="1368409631">
          <w:marLeft w:val="274"/>
          <w:marRight w:val="0"/>
          <w:marTop w:val="0"/>
          <w:marBottom w:val="0"/>
          <w:divBdr>
            <w:top w:val="none" w:sz="0" w:space="0" w:color="auto"/>
            <w:left w:val="none" w:sz="0" w:space="0" w:color="auto"/>
            <w:bottom w:val="none" w:sz="0" w:space="0" w:color="auto"/>
            <w:right w:val="none" w:sz="0" w:space="0" w:color="auto"/>
          </w:divBdr>
        </w:div>
        <w:div w:id="1525746506">
          <w:marLeft w:val="274"/>
          <w:marRight w:val="0"/>
          <w:marTop w:val="0"/>
          <w:marBottom w:val="0"/>
          <w:divBdr>
            <w:top w:val="none" w:sz="0" w:space="0" w:color="auto"/>
            <w:left w:val="none" w:sz="0" w:space="0" w:color="auto"/>
            <w:bottom w:val="none" w:sz="0" w:space="0" w:color="auto"/>
            <w:right w:val="none" w:sz="0" w:space="0" w:color="auto"/>
          </w:divBdr>
        </w:div>
      </w:divsChild>
    </w:div>
    <w:div w:id="406339969">
      <w:bodyDiv w:val="1"/>
      <w:marLeft w:val="0"/>
      <w:marRight w:val="0"/>
      <w:marTop w:val="0"/>
      <w:marBottom w:val="0"/>
      <w:divBdr>
        <w:top w:val="none" w:sz="0" w:space="0" w:color="auto"/>
        <w:left w:val="none" w:sz="0" w:space="0" w:color="auto"/>
        <w:bottom w:val="none" w:sz="0" w:space="0" w:color="auto"/>
        <w:right w:val="none" w:sz="0" w:space="0" w:color="auto"/>
      </w:divBdr>
    </w:div>
    <w:div w:id="410471554">
      <w:bodyDiv w:val="1"/>
      <w:marLeft w:val="0"/>
      <w:marRight w:val="0"/>
      <w:marTop w:val="0"/>
      <w:marBottom w:val="0"/>
      <w:divBdr>
        <w:top w:val="none" w:sz="0" w:space="0" w:color="auto"/>
        <w:left w:val="none" w:sz="0" w:space="0" w:color="auto"/>
        <w:bottom w:val="none" w:sz="0" w:space="0" w:color="auto"/>
        <w:right w:val="none" w:sz="0" w:space="0" w:color="auto"/>
      </w:divBdr>
    </w:div>
    <w:div w:id="419525349">
      <w:bodyDiv w:val="1"/>
      <w:marLeft w:val="0"/>
      <w:marRight w:val="0"/>
      <w:marTop w:val="0"/>
      <w:marBottom w:val="0"/>
      <w:divBdr>
        <w:top w:val="none" w:sz="0" w:space="0" w:color="auto"/>
        <w:left w:val="none" w:sz="0" w:space="0" w:color="auto"/>
        <w:bottom w:val="none" w:sz="0" w:space="0" w:color="auto"/>
        <w:right w:val="none" w:sz="0" w:space="0" w:color="auto"/>
      </w:divBdr>
    </w:div>
    <w:div w:id="422147575">
      <w:bodyDiv w:val="1"/>
      <w:marLeft w:val="0"/>
      <w:marRight w:val="0"/>
      <w:marTop w:val="0"/>
      <w:marBottom w:val="0"/>
      <w:divBdr>
        <w:top w:val="none" w:sz="0" w:space="0" w:color="auto"/>
        <w:left w:val="none" w:sz="0" w:space="0" w:color="auto"/>
        <w:bottom w:val="none" w:sz="0" w:space="0" w:color="auto"/>
        <w:right w:val="none" w:sz="0" w:space="0" w:color="auto"/>
      </w:divBdr>
    </w:div>
    <w:div w:id="431363336">
      <w:bodyDiv w:val="1"/>
      <w:marLeft w:val="0"/>
      <w:marRight w:val="0"/>
      <w:marTop w:val="0"/>
      <w:marBottom w:val="0"/>
      <w:divBdr>
        <w:top w:val="none" w:sz="0" w:space="0" w:color="auto"/>
        <w:left w:val="none" w:sz="0" w:space="0" w:color="auto"/>
        <w:bottom w:val="none" w:sz="0" w:space="0" w:color="auto"/>
        <w:right w:val="none" w:sz="0" w:space="0" w:color="auto"/>
      </w:divBdr>
    </w:div>
    <w:div w:id="461464854">
      <w:bodyDiv w:val="1"/>
      <w:marLeft w:val="0"/>
      <w:marRight w:val="0"/>
      <w:marTop w:val="0"/>
      <w:marBottom w:val="0"/>
      <w:divBdr>
        <w:top w:val="none" w:sz="0" w:space="0" w:color="auto"/>
        <w:left w:val="none" w:sz="0" w:space="0" w:color="auto"/>
        <w:bottom w:val="none" w:sz="0" w:space="0" w:color="auto"/>
        <w:right w:val="none" w:sz="0" w:space="0" w:color="auto"/>
      </w:divBdr>
    </w:div>
    <w:div w:id="488443856">
      <w:bodyDiv w:val="1"/>
      <w:marLeft w:val="0"/>
      <w:marRight w:val="0"/>
      <w:marTop w:val="0"/>
      <w:marBottom w:val="0"/>
      <w:divBdr>
        <w:top w:val="none" w:sz="0" w:space="0" w:color="auto"/>
        <w:left w:val="none" w:sz="0" w:space="0" w:color="auto"/>
        <w:bottom w:val="none" w:sz="0" w:space="0" w:color="auto"/>
        <w:right w:val="none" w:sz="0" w:space="0" w:color="auto"/>
      </w:divBdr>
    </w:div>
    <w:div w:id="496191306">
      <w:bodyDiv w:val="1"/>
      <w:marLeft w:val="0"/>
      <w:marRight w:val="0"/>
      <w:marTop w:val="0"/>
      <w:marBottom w:val="0"/>
      <w:divBdr>
        <w:top w:val="none" w:sz="0" w:space="0" w:color="auto"/>
        <w:left w:val="none" w:sz="0" w:space="0" w:color="auto"/>
        <w:bottom w:val="none" w:sz="0" w:space="0" w:color="auto"/>
        <w:right w:val="none" w:sz="0" w:space="0" w:color="auto"/>
      </w:divBdr>
    </w:div>
    <w:div w:id="507404750">
      <w:bodyDiv w:val="1"/>
      <w:marLeft w:val="0"/>
      <w:marRight w:val="0"/>
      <w:marTop w:val="0"/>
      <w:marBottom w:val="0"/>
      <w:divBdr>
        <w:top w:val="none" w:sz="0" w:space="0" w:color="auto"/>
        <w:left w:val="none" w:sz="0" w:space="0" w:color="auto"/>
        <w:bottom w:val="none" w:sz="0" w:space="0" w:color="auto"/>
        <w:right w:val="none" w:sz="0" w:space="0" w:color="auto"/>
      </w:divBdr>
    </w:div>
    <w:div w:id="544222077">
      <w:bodyDiv w:val="1"/>
      <w:marLeft w:val="0"/>
      <w:marRight w:val="0"/>
      <w:marTop w:val="0"/>
      <w:marBottom w:val="0"/>
      <w:divBdr>
        <w:top w:val="none" w:sz="0" w:space="0" w:color="auto"/>
        <w:left w:val="none" w:sz="0" w:space="0" w:color="auto"/>
        <w:bottom w:val="none" w:sz="0" w:space="0" w:color="auto"/>
        <w:right w:val="none" w:sz="0" w:space="0" w:color="auto"/>
      </w:divBdr>
    </w:div>
    <w:div w:id="545606572">
      <w:bodyDiv w:val="1"/>
      <w:marLeft w:val="0"/>
      <w:marRight w:val="0"/>
      <w:marTop w:val="0"/>
      <w:marBottom w:val="0"/>
      <w:divBdr>
        <w:top w:val="none" w:sz="0" w:space="0" w:color="auto"/>
        <w:left w:val="none" w:sz="0" w:space="0" w:color="auto"/>
        <w:bottom w:val="none" w:sz="0" w:space="0" w:color="auto"/>
        <w:right w:val="none" w:sz="0" w:space="0" w:color="auto"/>
      </w:divBdr>
    </w:div>
    <w:div w:id="625040062">
      <w:bodyDiv w:val="1"/>
      <w:marLeft w:val="0"/>
      <w:marRight w:val="0"/>
      <w:marTop w:val="0"/>
      <w:marBottom w:val="0"/>
      <w:divBdr>
        <w:top w:val="none" w:sz="0" w:space="0" w:color="auto"/>
        <w:left w:val="none" w:sz="0" w:space="0" w:color="auto"/>
        <w:bottom w:val="none" w:sz="0" w:space="0" w:color="auto"/>
        <w:right w:val="none" w:sz="0" w:space="0" w:color="auto"/>
      </w:divBdr>
    </w:div>
    <w:div w:id="634066964">
      <w:bodyDiv w:val="1"/>
      <w:marLeft w:val="0"/>
      <w:marRight w:val="0"/>
      <w:marTop w:val="0"/>
      <w:marBottom w:val="0"/>
      <w:divBdr>
        <w:top w:val="none" w:sz="0" w:space="0" w:color="auto"/>
        <w:left w:val="none" w:sz="0" w:space="0" w:color="auto"/>
        <w:bottom w:val="none" w:sz="0" w:space="0" w:color="auto"/>
        <w:right w:val="none" w:sz="0" w:space="0" w:color="auto"/>
      </w:divBdr>
    </w:div>
    <w:div w:id="635063974">
      <w:bodyDiv w:val="1"/>
      <w:marLeft w:val="0"/>
      <w:marRight w:val="0"/>
      <w:marTop w:val="0"/>
      <w:marBottom w:val="0"/>
      <w:divBdr>
        <w:top w:val="none" w:sz="0" w:space="0" w:color="auto"/>
        <w:left w:val="none" w:sz="0" w:space="0" w:color="auto"/>
        <w:bottom w:val="none" w:sz="0" w:space="0" w:color="auto"/>
        <w:right w:val="none" w:sz="0" w:space="0" w:color="auto"/>
      </w:divBdr>
    </w:div>
    <w:div w:id="660236442">
      <w:bodyDiv w:val="1"/>
      <w:marLeft w:val="0"/>
      <w:marRight w:val="0"/>
      <w:marTop w:val="0"/>
      <w:marBottom w:val="0"/>
      <w:divBdr>
        <w:top w:val="none" w:sz="0" w:space="0" w:color="auto"/>
        <w:left w:val="none" w:sz="0" w:space="0" w:color="auto"/>
        <w:bottom w:val="none" w:sz="0" w:space="0" w:color="auto"/>
        <w:right w:val="none" w:sz="0" w:space="0" w:color="auto"/>
      </w:divBdr>
      <w:divsChild>
        <w:div w:id="1651011209">
          <w:marLeft w:val="547"/>
          <w:marRight w:val="0"/>
          <w:marTop w:val="180"/>
          <w:marBottom w:val="240"/>
          <w:divBdr>
            <w:top w:val="none" w:sz="0" w:space="0" w:color="auto"/>
            <w:left w:val="none" w:sz="0" w:space="0" w:color="auto"/>
            <w:bottom w:val="none" w:sz="0" w:space="0" w:color="auto"/>
            <w:right w:val="none" w:sz="0" w:space="0" w:color="auto"/>
          </w:divBdr>
        </w:div>
      </w:divsChild>
    </w:div>
    <w:div w:id="690843807">
      <w:bodyDiv w:val="1"/>
      <w:marLeft w:val="0"/>
      <w:marRight w:val="0"/>
      <w:marTop w:val="0"/>
      <w:marBottom w:val="0"/>
      <w:divBdr>
        <w:top w:val="none" w:sz="0" w:space="0" w:color="auto"/>
        <w:left w:val="none" w:sz="0" w:space="0" w:color="auto"/>
        <w:bottom w:val="none" w:sz="0" w:space="0" w:color="auto"/>
        <w:right w:val="none" w:sz="0" w:space="0" w:color="auto"/>
      </w:divBdr>
    </w:div>
    <w:div w:id="691806264">
      <w:bodyDiv w:val="1"/>
      <w:marLeft w:val="0"/>
      <w:marRight w:val="0"/>
      <w:marTop w:val="0"/>
      <w:marBottom w:val="0"/>
      <w:divBdr>
        <w:top w:val="none" w:sz="0" w:space="0" w:color="auto"/>
        <w:left w:val="none" w:sz="0" w:space="0" w:color="auto"/>
        <w:bottom w:val="none" w:sz="0" w:space="0" w:color="auto"/>
        <w:right w:val="none" w:sz="0" w:space="0" w:color="auto"/>
      </w:divBdr>
    </w:div>
    <w:div w:id="707871906">
      <w:bodyDiv w:val="1"/>
      <w:marLeft w:val="0"/>
      <w:marRight w:val="0"/>
      <w:marTop w:val="0"/>
      <w:marBottom w:val="0"/>
      <w:divBdr>
        <w:top w:val="none" w:sz="0" w:space="0" w:color="auto"/>
        <w:left w:val="none" w:sz="0" w:space="0" w:color="auto"/>
        <w:bottom w:val="none" w:sz="0" w:space="0" w:color="auto"/>
        <w:right w:val="none" w:sz="0" w:space="0" w:color="auto"/>
      </w:divBdr>
    </w:div>
    <w:div w:id="742216436">
      <w:bodyDiv w:val="1"/>
      <w:marLeft w:val="0"/>
      <w:marRight w:val="0"/>
      <w:marTop w:val="0"/>
      <w:marBottom w:val="0"/>
      <w:divBdr>
        <w:top w:val="none" w:sz="0" w:space="0" w:color="auto"/>
        <w:left w:val="none" w:sz="0" w:space="0" w:color="auto"/>
        <w:bottom w:val="none" w:sz="0" w:space="0" w:color="auto"/>
        <w:right w:val="none" w:sz="0" w:space="0" w:color="auto"/>
      </w:divBdr>
      <w:divsChild>
        <w:div w:id="1621183878">
          <w:marLeft w:val="274"/>
          <w:marRight w:val="0"/>
          <w:marTop w:val="0"/>
          <w:marBottom w:val="0"/>
          <w:divBdr>
            <w:top w:val="none" w:sz="0" w:space="0" w:color="auto"/>
            <w:left w:val="none" w:sz="0" w:space="0" w:color="auto"/>
            <w:bottom w:val="none" w:sz="0" w:space="0" w:color="auto"/>
            <w:right w:val="none" w:sz="0" w:space="0" w:color="auto"/>
          </w:divBdr>
        </w:div>
      </w:divsChild>
    </w:div>
    <w:div w:id="757482866">
      <w:bodyDiv w:val="1"/>
      <w:marLeft w:val="0"/>
      <w:marRight w:val="0"/>
      <w:marTop w:val="0"/>
      <w:marBottom w:val="0"/>
      <w:divBdr>
        <w:top w:val="none" w:sz="0" w:space="0" w:color="auto"/>
        <w:left w:val="none" w:sz="0" w:space="0" w:color="auto"/>
        <w:bottom w:val="none" w:sz="0" w:space="0" w:color="auto"/>
        <w:right w:val="none" w:sz="0" w:space="0" w:color="auto"/>
      </w:divBdr>
    </w:div>
    <w:div w:id="774328075">
      <w:bodyDiv w:val="1"/>
      <w:marLeft w:val="0"/>
      <w:marRight w:val="0"/>
      <w:marTop w:val="0"/>
      <w:marBottom w:val="0"/>
      <w:divBdr>
        <w:top w:val="none" w:sz="0" w:space="0" w:color="auto"/>
        <w:left w:val="none" w:sz="0" w:space="0" w:color="auto"/>
        <w:bottom w:val="none" w:sz="0" w:space="0" w:color="auto"/>
        <w:right w:val="none" w:sz="0" w:space="0" w:color="auto"/>
      </w:divBdr>
    </w:div>
    <w:div w:id="777022761">
      <w:bodyDiv w:val="1"/>
      <w:marLeft w:val="0"/>
      <w:marRight w:val="0"/>
      <w:marTop w:val="0"/>
      <w:marBottom w:val="0"/>
      <w:divBdr>
        <w:top w:val="none" w:sz="0" w:space="0" w:color="auto"/>
        <w:left w:val="none" w:sz="0" w:space="0" w:color="auto"/>
        <w:bottom w:val="none" w:sz="0" w:space="0" w:color="auto"/>
        <w:right w:val="none" w:sz="0" w:space="0" w:color="auto"/>
      </w:divBdr>
    </w:div>
    <w:div w:id="794756378">
      <w:bodyDiv w:val="1"/>
      <w:marLeft w:val="0"/>
      <w:marRight w:val="0"/>
      <w:marTop w:val="0"/>
      <w:marBottom w:val="0"/>
      <w:divBdr>
        <w:top w:val="none" w:sz="0" w:space="0" w:color="auto"/>
        <w:left w:val="none" w:sz="0" w:space="0" w:color="auto"/>
        <w:bottom w:val="none" w:sz="0" w:space="0" w:color="auto"/>
        <w:right w:val="none" w:sz="0" w:space="0" w:color="auto"/>
      </w:divBdr>
    </w:div>
    <w:div w:id="823353249">
      <w:bodyDiv w:val="1"/>
      <w:marLeft w:val="0"/>
      <w:marRight w:val="0"/>
      <w:marTop w:val="0"/>
      <w:marBottom w:val="0"/>
      <w:divBdr>
        <w:top w:val="none" w:sz="0" w:space="0" w:color="auto"/>
        <w:left w:val="none" w:sz="0" w:space="0" w:color="auto"/>
        <w:bottom w:val="none" w:sz="0" w:space="0" w:color="auto"/>
        <w:right w:val="none" w:sz="0" w:space="0" w:color="auto"/>
      </w:divBdr>
    </w:div>
    <w:div w:id="835194454">
      <w:bodyDiv w:val="1"/>
      <w:marLeft w:val="0"/>
      <w:marRight w:val="0"/>
      <w:marTop w:val="0"/>
      <w:marBottom w:val="0"/>
      <w:divBdr>
        <w:top w:val="none" w:sz="0" w:space="0" w:color="auto"/>
        <w:left w:val="none" w:sz="0" w:space="0" w:color="auto"/>
        <w:bottom w:val="none" w:sz="0" w:space="0" w:color="auto"/>
        <w:right w:val="none" w:sz="0" w:space="0" w:color="auto"/>
      </w:divBdr>
    </w:div>
    <w:div w:id="846167256">
      <w:bodyDiv w:val="1"/>
      <w:marLeft w:val="0"/>
      <w:marRight w:val="0"/>
      <w:marTop w:val="0"/>
      <w:marBottom w:val="0"/>
      <w:divBdr>
        <w:top w:val="none" w:sz="0" w:space="0" w:color="auto"/>
        <w:left w:val="none" w:sz="0" w:space="0" w:color="auto"/>
        <w:bottom w:val="none" w:sz="0" w:space="0" w:color="auto"/>
        <w:right w:val="none" w:sz="0" w:space="0" w:color="auto"/>
      </w:divBdr>
    </w:div>
    <w:div w:id="848521956">
      <w:bodyDiv w:val="1"/>
      <w:marLeft w:val="0"/>
      <w:marRight w:val="0"/>
      <w:marTop w:val="0"/>
      <w:marBottom w:val="0"/>
      <w:divBdr>
        <w:top w:val="none" w:sz="0" w:space="0" w:color="auto"/>
        <w:left w:val="none" w:sz="0" w:space="0" w:color="auto"/>
        <w:bottom w:val="none" w:sz="0" w:space="0" w:color="auto"/>
        <w:right w:val="none" w:sz="0" w:space="0" w:color="auto"/>
      </w:divBdr>
    </w:div>
    <w:div w:id="848711889">
      <w:bodyDiv w:val="1"/>
      <w:marLeft w:val="0"/>
      <w:marRight w:val="0"/>
      <w:marTop w:val="0"/>
      <w:marBottom w:val="0"/>
      <w:divBdr>
        <w:top w:val="none" w:sz="0" w:space="0" w:color="auto"/>
        <w:left w:val="none" w:sz="0" w:space="0" w:color="auto"/>
        <w:bottom w:val="none" w:sz="0" w:space="0" w:color="auto"/>
        <w:right w:val="none" w:sz="0" w:space="0" w:color="auto"/>
      </w:divBdr>
    </w:div>
    <w:div w:id="854273671">
      <w:bodyDiv w:val="1"/>
      <w:marLeft w:val="0"/>
      <w:marRight w:val="0"/>
      <w:marTop w:val="0"/>
      <w:marBottom w:val="0"/>
      <w:divBdr>
        <w:top w:val="none" w:sz="0" w:space="0" w:color="auto"/>
        <w:left w:val="none" w:sz="0" w:space="0" w:color="auto"/>
        <w:bottom w:val="none" w:sz="0" w:space="0" w:color="auto"/>
        <w:right w:val="none" w:sz="0" w:space="0" w:color="auto"/>
      </w:divBdr>
    </w:div>
    <w:div w:id="872351822">
      <w:bodyDiv w:val="1"/>
      <w:marLeft w:val="0"/>
      <w:marRight w:val="0"/>
      <w:marTop w:val="0"/>
      <w:marBottom w:val="0"/>
      <w:divBdr>
        <w:top w:val="none" w:sz="0" w:space="0" w:color="auto"/>
        <w:left w:val="none" w:sz="0" w:space="0" w:color="auto"/>
        <w:bottom w:val="none" w:sz="0" w:space="0" w:color="auto"/>
        <w:right w:val="none" w:sz="0" w:space="0" w:color="auto"/>
      </w:divBdr>
    </w:div>
    <w:div w:id="883753694">
      <w:bodyDiv w:val="1"/>
      <w:marLeft w:val="0"/>
      <w:marRight w:val="0"/>
      <w:marTop w:val="0"/>
      <w:marBottom w:val="0"/>
      <w:divBdr>
        <w:top w:val="none" w:sz="0" w:space="0" w:color="auto"/>
        <w:left w:val="none" w:sz="0" w:space="0" w:color="auto"/>
        <w:bottom w:val="none" w:sz="0" w:space="0" w:color="auto"/>
        <w:right w:val="none" w:sz="0" w:space="0" w:color="auto"/>
      </w:divBdr>
    </w:div>
    <w:div w:id="910114904">
      <w:bodyDiv w:val="1"/>
      <w:marLeft w:val="0"/>
      <w:marRight w:val="0"/>
      <w:marTop w:val="0"/>
      <w:marBottom w:val="0"/>
      <w:divBdr>
        <w:top w:val="none" w:sz="0" w:space="0" w:color="auto"/>
        <w:left w:val="none" w:sz="0" w:space="0" w:color="auto"/>
        <w:bottom w:val="none" w:sz="0" w:space="0" w:color="auto"/>
        <w:right w:val="none" w:sz="0" w:space="0" w:color="auto"/>
      </w:divBdr>
    </w:div>
    <w:div w:id="932398634">
      <w:bodyDiv w:val="1"/>
      <w:marLeft w:val="0"/>
      <w:marRight w:val="0"/>
      <w:marTop w:val="0"/>
      <w:marBottom w:val="0"/>
      <w:divBdr>
        <w:top w:val="none" w:sz="0" w:space="0" w:color="auto"/>
        <w:left w:val="none" w:sz="0" w:space="0" w:color="auto"/>
        <w:bottom w:val="none" w:sz="0" w:space="0" w:color="auto"/>
        <w:right w:val="none" w:sz="0" w:space="0" w:color="auto"/>
      </w:divBdr>
    </w:div>
    <w:div w:id="933588818">
      <w:bodyDiv w:val="1"/>
      <w:marLeft w:val="0"/>
      <w:marRight w:val="0"/>
      <w:marTop w:val="0"/>
      <w:marBottom w:val="0"/>
      <w:divBdr>
        <w:top w:val="none" w:sz="0" w:space="0" w:color="auto"/>
        <w:left w:val="none" w:sz="0" w:space="0" w:color="auto"/>
        <w:bottom w:val="none" w:sz="0" w:space="0" w:color="auto"/>
        <w:right w:val="none" w:sz="0" w:space="0" w:color="auto"/>
      </w:divBdr>
    </w:div>
    <w:div w:id="934097555">
      <w:bodyDiv w:val="1"/>
      <w:marLeft w:val="0"/>
      <w:marRight w:val="0"/>
      <w:marTop w:val="0"/>
      <w:marBottom w:val="0"/>
      <w:divBdr>
        <w:top w:val="none" w:sz="0" w:space="0" w:color="auto"/>
        <w:left w:val="none" w:sz="0" w:space="0" w:color="auto"/>
        <w:bottom w:val="none" w:sz="0" w:space="0" w:color="auto"/>
        <w:right w:val="none" w:sz="0" w:space="0" w:color="auto"/>
      </w:divBdr>
    </w:div>
    <w:div w:id="945507668">
      <w:bodyDiv w:val="1"/>
      <w:marLeft w:val="0"/>
      <w:marRight w:val="0"/>
      <w:marTop w:val="0"/>
      <w:marBottom w:val="0"/>
      <w:divBdr>
        <w:top w:val="none" w:sz="0" w:space="0" w:color="auto"/>
        <w:left w:val="none" w:sz="0" w:space="0" w:color="auto"/>
        <w:bottom w:val="none" w:sz="0" w:space="0" w:color="auto"/>
        <w:right w:val="none" w:sz="0" w:space="0" w:color="auto"/>
      </w:divBdr>
    </w:div>
    <w:div w:id="947471948">
      <w:bodyDiv w:val="1"/>
      <w:marLeft w:val="0"/>
      <w:marRight w:val="0"/>
      <w:marTop w:val="0"/>
      <w:marBottom w:val="0"/>
      <w:divBdr>
        <w:top w:val="none" w:sz="0" w:space="0" w:color="auto"/>
        <w:left w:val="none" w:sz="0" w:space="0" w:color="auto"/>
        <w:bottom w:val="none" w:sz="0" w:space="0" w:color="auto"/>
        <w:right w:val="none" w:sz="0" w:space="0" w:color="auto"/>
      </w:divBdr>
      <w:divsChild>
        <w:div w:id="464349345">
          <w:marLeft w:val="274"/>
          <w:marRight w:val="0"/>
          <w:marTop w:val="0"/>
          <w:marBottom w:val="0"/>
          <w:divBdr>
            <w:top w:val="none" w:sz="0" w:space="0" w:color="auto"/>
            <w:left w:val="none" w:sz="0" w:space="0" w:color="auto"/>
            <w:bottom w:val="none" w:sz="0" w:space="0" w:color="auto"/>
            <w:right w:val="none" w:sz="0" w:space="0" w:color="auto"/>
          </w:divBdr>
        </w:div>
        <w:div w:id="613751157">
          <w:marLeft w:val="274"/>
          <w:marRight w:val="0"/>
          <w:marTop w:val="0"/>
          <w:marBottom w:val="0"/>
          <w:divBdr>
            <w:top w:val="none" w:sz="0" w:space="0" w:color="auto"/>
            <w:left w:val="none" w:sz="0" w:space="0" w:color="auto"/>
            <w:bottom w:val="none" w:sz="0" w:space="0" w:color="auto"/>
            <w:right w:val="none" w:sz="0" w:space="0" w:color="auto"/>
          </w:divBdr>
        </w:div>
        <w:div w:id="516777179">
          <w:marLeft w:val="274"/>
          <w:marRight w:val="0"/>
          <w:marTop w:val="0"/>
          <w:marBottom w:val="0"/>
          <w:divBdr>
            <w:top w:val="none" w:sz="0" w:space="0" w:color="auto"/>
            <w:left w:val="none" w:sz="0" w:space="0" w:color="auto"/>
            <w:bottom w:val="none" w:sz="0" w:space="0" w:color="auto"/>
            <w:right w:val="none" w:sz="0" w:space="0" w:color="auto"/>
          </w:divBdr>
        </w:div>
        <w:div w:id="1511485293">
          <w:marLeft w:val="274"/>
          <w:marRight w:val="0"/>
          <w:marTop w:val="0"/>
          <w:marBottom w:val="0"/>
          <w:divBdr>
            <w:top w:val="none" w:sz="0" w:space="0" w:color="auto"/>
            <w:left w:val="none" w:sz="0" w:space="0" w:color="auto"/>
            <w:bottom w:val="none" w:sz="0" w:space="0" w:color="auto"/>
            <w:right w:val="none" w:sz="0" w:space="0" w:color="auto"/>
          </w:divBdr>
        </w:div>
        <w:div w:id="998656456">
          <w:marLeft w:val="274"/>
          <w:marRight w:val="0"/>
          <w:marTop w:val="0"/>
          <w:marBottom w:val="0"/>
          <w:divBdr>
            <w:top w:val="none" w:sz="0" w:space="0" w:color="auto"/>
            <w:left w:val="none" w:sz="0" w:space="0" w:color="auto"/>
            <w:bottom w:val="none" w:sz="0" w:space="0" w:color="auto"/>
            <w:right w:val="none" w:sz="0" w:space="0" w:color="auto"/>
          </w:divBdr>
        </w:div>
        <w:div w:id="988555744">
          <w:marLeft w:val="274"/>
          <w:marRight w:val="0"/>
          <w:marTop w:val="0"/>
          <w:marBottom w:val="0"/>
          <w:divBdr>
            <w:top w:val="none" w:sz="0" w:space="0" w:color="auto"/>
            <w:left w:val="none" w:sz="0" w:space="0" w:color="auto"/>
            <w:bottom w:val="none" w:sz="0" w:space="0" w:color="auto"/>
            <w:right w:val="none" w:sz="0" w:space="0" w:color="auto"/>
          </w:divBdr>
        </w:div>
        <w:div w:id="448280002">
          <w:marLeft w:val="274"/>
          <w:marRight w:val="0"/>
          <w:marTop w:val="0"/>
          <w:marBottom w:val="0"/>
          <w:divBdr>
            <w:top w:val="none" w:sz="0" w:space="0" w:color="auto"/>
            <w:left w:val="none" w:sz="0" w:space="0" w:color="auto"/>
            <w:bottom w:val="none" w:sz="0" w:space="0" w:color="auto"/>
            <w:right w:val="none" w:sz="0" w:space="0" w:color="auto"/>
          </w:divBdr>
        </w:div>
        <w:div w:id="2116172122">
          <w:marLeft w:val="274"/>
          <w:marRight w:val="0"/>
          <w:marTop w:val="0"/>
          <w:marBottom w:val="0"/>
          <w:divBdr>
            <w:top w:val="none" w:sz="0" w:space="0" w:color="auto"/>
            <w:left w:val="none" w:sz="0" w:space="0" w:color="auto"/>
            <w:bottom w:val="none" w:sz="0" w:space="0" w:color="auto"/>
            <w:right w:val="none" w:sz="0" w:space="0" w:color="auto"/>
          </w:divBdr>
        </w:div>
        <w:div w:id="904611841">
          <w:marLeft w:val="274"/>
          <w:marRight w:val="0"/>
          <w:marTop w:val="0"/>
          <w:marBottom w:val="0"/>
          <w:divBdr>
            <w:top w:val="none" w:sz="0" w:space="0" w:color="auto"/>
            <w:left w:val="none" w:sz="0" w:space="0" w:color="auto"/>
            <w:bottom w:val="none" w:sz="0" w:space="0" w:color="auto"/>
            <w:right w:val="none" w:sz="0" w:space="0" w:color="auto"/>
          </w:divBdr>
        </w:div>
        <w:div w:id="51851183">
          <w:marLeft w:val="274"/>
          <w:marRight w:val="0"/>
          <w:marTop w:val="0"/>
          <w:marBottom w:val="0"/>
          <w:divBdr>
            <w:top w:val="none" w:sz="0" w:space="0" w:color="auto"/>
            <w:left w:val="none" w:sz="0" w:space="0" w:color="auto"/>
            <w:bottom w:val="none" w:sz="0" w:space="0" w:color="auto"/>
            <w:right w:val="none" w:sz="0" w:space="0" w:color="auto"/>
          </w:divBdr>
        </w:div>
        <w:div w:id="1970624057">
          <w:marLeft w:val="274"/>
          <w:marRight w:val="0"/>
          <w:marTop w:val="0"/>
          <w:marBottom w:val="0"/>
          <w:divBdr>
            <w:top w:val="none" w:sz="0" w:space="0" w:color="auto"/>
            <w:left w:val="none" w:sz="0" w:space="0" w:color="auto"/>
            <w:bottom w:val="none" w:sz="0" w:space="0" w:color="auto"/>
            <w:right w:val="none" w:sz="0" w:space="0" w:color="auto"/>
          </w:divBdr>
        </w:div>
      </w:divsChild>
    </w:div>
    <w:div w:id="955326927">
      <w:bodyDiv w:val="1"/>
      <w:marLeft w:val="0"/>
      <w:marRight w:val="0"/>
      <w:marTop w:val="0"/>
      <w:marBottom w:val="0"/>
      <w:divBdr>
        <w:top w:val="none" w:sz="0" w:space="0" w:color="auto"/>
        <w:left w:val="none" w:sz="0" w:space="0" w:color="auto"/>
        <w:bottom w:val="none" w:sz="0" w:space="0" w:color="auto"/>
        <w:right w:val="none" w:sz="0" w:space="0" w:color="auto"/>
      </w:divBdr>
    </w:div>
    <w:div w:id="958609350">
      <w:bodyDiv w:val="1"/>
      <w:marLeft w:val="0"/>
      <w:marRight w:val="0"/>
      <w:marTop w:val="0"/>
      <w:marBottom w:val="0"/>
      <w:divBdr>
        <w:top w:val="none" w:sz="0" w:space="0" w:color="auto"/>
        <w:left w:val="none" w:sz="0" w:space="0" w:color="auto"/>
        <w:bottom w:val="none" w:sz="0" w:space="0" w:color="auto"/>
        <w:right w:val="none" w:sz="0" w:space="0" w:color="auto"/>
      </w:divBdr>
    </w:div>
    <w:div w:id="971253031">
      <w:bodyDiv w:val="1"/>
      <w:marLeft w:val="0"/>
      <w:marRight w:val="0"/>
      <w:marTop w:val="0"/>
      <w:marBottom w:val="0"/>
      <w:divBdr>
        <w:top w:val="none" w:sz="0" w:space="0" w:color="auto"/>
        <w:left w:val="none" w:sz="0" w:space="0" w:color="auto"/>
        <w:bottom w:val="none" w:sz="0" w:space="0" w:color="auto"/>
        <w:right w:val="none" w:sz="0" w:space="0" w:color="auto"/>
      </w:divBdr>
    </w:div>
    <w:div w:id="975843160">
      <w:bodyDiv w:val="1"/>
      <w:marLeft w:val="0"/>
      <w:marRight w:val="0"/>
      <w:marTop w:val="0"/>
      <w:marBottom w:val="0"/>
      <w:divBdr>
        <w:top w:val="none" w:sz="0" w:space="0" w:color="auto"/>
        <w:left w:val="none" w:sz="0" w:space="0" w:color="auto"/>
        <w:bottom w:val="none" w:sz="0" w:space="0" w:color="auto"/>
        <w:right w:val="none" w:sz="0" w:space="0" w:color="auto"/>
      </w:divBdr>
      <w:divsChild>
        <w:div w:id="1089230892">
          <w:marLeft w:val="446"/>
          <w:marRight w:val="0"/>
          <w:marTop w:val="0"/>
          <w:marBottom w:val="0"/>
          <w:divBdr>
            <w:top w:val="none" w:sz="0" w:space="0" w:color="auto"/>
            <w:left w:val="none" w:sz="0" w:space="0" w:color="auto"/>
            <w:bottom w:val="none" w:sz="0" w:space="0" w:color="auto"/>
            <w:right w:val="none" w:sz="0" w:space="0" w:color="auto"/>
          </w:divBdr>
        </w:div>
      </w:divsChild>
    </w:div>
    <w:div w:id="1069500459">
      <w:bodyDiv w:val="1"/>
      <w:marLeft w:val="0"/>
      <w:marRight w:val="0"/>
      <w:marTop w:val="0"/>
      <w:marBottom w:val="0"/>
      <w:divBdr>
        <w:top w:val="none" w:sz="0" w:space="0" w:color="auto"/>
        <w:left w:val="none" w:sz="0" w:space="0" w:color="auto"/>
        <w:bottom w:val="none" w:sz="0" w:space="0" w:color="auto"/>
        <w:right w:val="none" w:sz="0" w:space="0" w:color="auto"/>
      </w:divBdr>
    </w:div>
    <w:div w:id="1076324367">
      <w:bodyDiv w:val="1"/>
      <w:marLeft w:val="0"/>
      <w:marRight w:val="0"/>
      <w:marTop w:val="0"/>
      <w:marBottom w:val="0"/>
      <w:divBdr>
        <w:top w:val="none" w:sz="0" w:space="0" w:color="auto"/>
        <w:left w:val="none" w:sz="0" w:space="0" w:color="auto"/>
        <w:bottom w:val="none" w:sz="0" w:space="0" w:color="auto"/>
        <w:right w:val="none" w:sz="0" w:space="0" w:color="auto"/>
      </w:divBdr>
    </w:div>
    <w:div w:id="1094010910">
      <w:bodyDiv w:val="1"/>
      <w:marLeft w:val="0"/>
      <w:marRight w:val="0"/>
      <w:marTop w:val="0"/>
      <w:marBottom w:val="0"/>
      <w:divBdr>
        <w:top w:val="none" w:sz="0" w:space="0" w:color="auto"/>
        <w:left w:val="none" w:sz="0" w:space="0" w:color="auto"/>
        <w:bottom w:val="none" w:sz="0" w:space="0" w:color="auto"/>
        <w:right w:val="none" w:sz="0" w:space="0" w:color="auto"/>
      </w:divBdr>
    </w:div>
    <w:div w:id="1094789144">
      <w:bodyDiv w:val="1"/>
      <w:marLeft w:val="0"/>
      <w:marRight w:val="0"/>
      <w:marTop w:val="0"/>
      <w:marBottom w:val="0"/>
      <w:divBdr>
        <w:top w:val="none" w:sz="0" w:space="0" w:color="auto"/>
        <w:left w:val="none" w:sz="0" w:space="0" w:color="auto"/>
        <w:bottom w:val="none" w:sz="0" w:space="0" w:color="auto"/>
        <w:right w:val="none" w:sz="0" w:space="0" w:color="auto"/>
      </w:divBdr>
    </w:div>
    <w:div w:id="1100681570">
      <w:bodyDiv w:val="1"/>
      <w:marLeft w:val="0"/>
      <w:marRight w:val="0"/>
      <w:marTop w:val="0"/>
      <w:marBottom w:val="0"/>
      <w:divBdr>
        <w:top w:val="none" w:sz="0" w:space="0" w:color="auto"/>
        <w:left w:val="none" w:sz="0" w:space="0" w:color="auto"/>
        <w:bottom w:val="none" w:sz="0" w:space="0" w:color="auto"/>
        <w:right w:val="none" w:sz="0" w:space="0" w:color="auto"/>
      </w:divBdr>
    </w:div>
    <w:div w:id="1118644565">
      <w:bodyDiv w:val="1"/>
      <w:marLeft w:val="0"/>
      <w:marRight w:val="0"/>
      <w:marTop w:val="0"/>
      <w:marBottom w:val="0"/>
      <w:divBdr>
        <w:top w:val="none" w:sz="0" w:space="0" w:color="auto"/>
        <w:left w:val="none" w:sz="0" w:space="0" w:color="auto"/>
        <w:bottom w:val="none" w:sz="0" w:space="0" w:color="auto"/>
        <w:right w:val="none" w:sz="0" w:space="0" w:color="auto"/>
      </w:divBdr>
    </w:div>
    <w:div w:id="1118909601">
      <w:bodyDiv w:val="1"/>
      <w:marLeft w:val="0"/>
      <w:marRight w:val="0"/>
      <w:marTop w:val="0"/>
      <w:marBottom w:val="0"/>
      <w:divBdr>
        <w:top w:val="none" w:sz="0" w:space="0" w:color="auto"/>
        <w:left w:val="none" w:sz="0" w:space="0" w:color="auto"/>
        <w:bottom w:val="none" w:sz="0" w:space="0" w:color="auto"/>
        <w:right w:val="none" w:sz="0" w:space="0" w:color="auto"/>
      </w:divBdr>
    </w:div>
    <w:div w:id="1129588401">
      <w:bodyDiv w:val="1"/>
      <w:marLeft w:val="0"/>
      <w:marRight w:val="0"/>
      <w:marTop w:val="0"/>
      <w:marBottom w:val="0"/>
      <w:divBdr>
        <w:top w:val="none" w:sz="0" w:space="0" w:color="auto"/>
        <w:left w:val="none" w:sz="0" w:space="0" w:color="auto"/>
        <w:bottom w:val="none" w:sz="0" w:space="0" w:color="auto"/>
        <w:right w:val="none" w:sz="0" w:space="0" w:color="auto"/>
      </w:divBdr>
    </w:div>
    <w:div w:id="1152865849">
      <w:bodyDiv w:val="1"/>
      <w:marLeft w:val="0"/>
      <w:marRight w:val="0"/>
      <w:marTop w:val="0"/>
      <w:marBottom w:val="0"/>
      <w:divBdr>
        <w:top w:val="none" w:sz="0" w:space="0" w:color="auto"/>
        <w:left w:val="none" w:sz="0" w:space="0" w:color="auto"/>
        <w:bottom w:val="none" w:sz="0" w:space="0" w:color="auto"/>
        <w:right w:val="none" w:sz="0" w:space="0" w:color="auto"/>
      </w:divBdr>
    </w:div>
    <w:div w:id="1169517169">
      <w:bodyDiv w:val="1"/>
      <w:marLeft w:val="0"/>
      <w:marRight w:val="0"/>
      <w:marTop w:val="0"/>
      <w:marBottom w:val="0"/>
      <w:divBdr>
        <w:top w:val="none" w:sz="0" w:space="0" w:color="auto"/>
        <w:left w:val="none" w:sz="0" w:space="0" w:color="auto"/>
        <w:bottom w:val="none" w:sz="0" w:space="0" w:color="auto"/>
        <w:right w:val="none" w:sz="0" w:space="0" w:color="auto"/>
      </w:divBdr>
    </w:div>
    <w:div w:id="1180848478">
      <w:bodyDiv w:val="1"/>
      <w:marLeft w:val="0"/>
      <w:marRight w:val="0"/>
      <w:marTop w:val="0"/>
      <w:marBottom w:val="0"/>
      <w:divBdr>
        <w:top w:val="none" w:sz="0" w:space="0" w:color="auto"/>
        <w:left w:val="none" w:sz="0" w:space="0" w:color="auto"/>
        <w:bottom w:val="none" w:sz="0" w:space="0" w:color="auto"/>
        <w:right w:val="none" w:sz="0" w:space="0" w:color="auto"/>
      </w:divBdr>
    </w:div>
    <w:div w:id="1181312800">
      <w:bodyDiv w:val="1"/>
      <w:marLeft w:val="0"/>
      <w:marRight w:val="0"/>
      <w:marTop w:val="0"/>
      <w:marBottom w:val="0"/>
      <w:divBdr>
        <w:top w:val="none" w:sz="0" w:space="0" w:color="auto"/>
        <w:left w:val="none" w:sz="0" w:space="0" w:color="auto"/>
        <w:bottom w:val="none" w:sz="0" w:space="0" w:color="auto"/>
        <w:right w:val="none" w:sz="0" w:space="0" w:color="auto"/>
      </w:divBdr>
    </w:div>
    <w:div w:id="1196894533">
      <w:bodyDiv w:val="1"/>
      <w:marLeft w:val="0"/>
      <w:marRight w:val="0"/>
      <w:marTop w:val="0"/>
      <w:marBottom w:val="0"/>
      <w:divBdr>
        <w:top w:val="none" w:sz="0" w:space="0" w:color="auto"/>
        <w:left w:val="none" w:sz="0" w:space="0" w:color="auto"/>
        <w:bottom w:val="none" w:sz="0" w:space="0" w:color="auto"/>
        <w:right w:val="none" w:sz="0" w:space="0" w:color="auto"/>
      </w:divBdr>
      <w:divsChild>
        <w:div w:id="2106463275">
          <w:marLeft w:val="547"/>
          <w:marRight w:val="0"/>
          <w:marTop w:val="0"/>
          <w:marBottom w:val="240"/>
          <w:divBdr>
            <w:top w:val="none" w:sz="0" w:space="0" w:color="auto"/>
            <w:left w:val="none" w:sz="0" w:space="0" w:color="auto"/>
            <w:bottom w:val="none" w:sz="0" w:space="0" w:color="auto"/>
            <w:right w:val="none" w:sz="0" w:space="0" w:color="auto"/>
          </w:divBdr>
        </w:div>
      </w:divsChild>
    </w:div>
    <w:div w:id="1199974305">
      <w:bodyDiv w:val="1"/>
      <w:marLeft w:val="0"/>
      <w:marRight w:val="0"/>
      <w:marTop w:val="0"/>
      <w:marBottom w:val="0"/>
      <w:divBdr>
        <w:top w:val="none" w:sz="0" w:space="0" w:color="auto"/>
        <w:left w:val="none" w:sz="0" w:space="0" w:color="auto"/>
        <w:bottom w:val="none" w:sz="0" w:space="0" w:color="auto"/>
        <w:right w:val="none" w:sz="0" w:space="0" w:color="auto"/>
      </w:divBdr>
    </w:div>
    <w:div w:id="1223180909">
      <w:bodyDiv w:val="1"/>
      <w:marLeft w:val="0"/>
      <w:marRight w:val="0"/>
      <w:marTop w:val="0"/>
      <w:marBottom w:val="0"/>
      <w:divBdr>
        <w:top w:val="none" w:sz="0" w:space="0" w:color="auto"/>
        <w:left w:val="none" w:sz="0" w:space="0" w:color="auto"/>
        <w:bottom w:val="none" w:sz="0" w:space="0" w:color="auto"/>
        <w:right w:val="none" w:sz="0" w:space="0" w:color="auto"/>
      </w:divBdr>
    </w:div>
    <w:div w:id="1235429066">
      <w:bodyDiv w:val="1"/>
      <w:marLeft w:val="0"/>
      <w:marRight w:val="0"/>
      <w:marTop w:val="0"/>
      <w:marBottom w:val="0"/>
      <w:divBdr>
        <w:top w:val="none" w:sz="0" w:space="0" w:color="auto"/>
        <w:left w:val="none" w:sz="0" w:space="0" w:color="auto"/>
        <w:bottom w:val="none" w:sz="0" w:space="0" w:color="auto"/>
        <w:right w:val="none" w:sz="0" w:space="0" w:color="auto"/>
      </w:divBdr>
    </w:div>
    <w:div w:id="1244795385">
      <w:bodyDiv w:val="1"/>
      <w:marLeft w:val="0"/>
      <w:marRight w:val="0"/>
      <w:marTop w:val="0"/>
      <w:marBottom w:val="0"/>
      <w:divBdr>
        <w:top w:val="none" w:sz="0" w:space="0" w:color="auto"/>
        <w:left w:val="none" w:sz="0" w:space="0" w:color="auto"/>
        <w:bottom w:val="none" w:sz="0" w:space="0" w:color="auto"/>
        <w:right w:val="none" w:sz="0" w:space="0" w:color="auto"/>
      </w:divBdr>
    </w:div>
    <w:div w:id="1246650852">
      <w:bodyDiv w:val="1"/>
      <w:marLeft w:val="0"/>
      <w:marRight w:val="0"/>
      <w:marTop w:val="0"/>
      <w:marBottom w:val="0"/>
      <w:divBdr>
        <w:top w:val="none" w:sz="0" w:space="0" w:color="auto"/>
        <w:left w:val="none" w:sz="0" w:space="0" w:color="auto"/>
        <w:bottom w:val="none" w:sz="0" w:space="0" w:color="auto"/>
        <w:right w:val="none" w:sz="0" w:space="0" w:color="auto"/>
      </w:divBdr>
    </w:div>
    <w:div w:id="1275021308">
      <w:bodyDiv w:val="1"/>
      <w:marLeft w:val="0"/>
      <w:marRight w:val="0"/>
      <w:marTop w:val="0"/>
      <w:marBottom w:val="0"/>
      <w:divBdr>
        <w:top w:val="none" w:sz="0" w:space="0" w:color="auto"/>
        <w:left w:val="none" w:sz="0" w:space="0" w:color="auto"/>
        <w:bottom w:val="none" w:sz="0" w:space="0" w:color="auto"/>
        <w:right w:val="none" w:sz="0" w:space="0" w:color="auto"/>
      </w:divBdr>
    </w:div>
    <w:div w:id="1276865457">
      <w:bodyDiv w:val="1"/>
      <w:marLeft w:val="0"/>
      <w:marRight w:val="0"/>
      <w:marTop w:val="0"/>
      <w:marBottom w:val="0"/>
      <w:divBdr>
        <w:top w:val="none" w:sz="0" w:space="0" w:color="auto"/>
        <w:left w:val="none" w:sz="0" w:space="0" w:color="auto"/>
        <w:bottom w:val="none" w:sz="0" w:space="0" w:color="auto"/>
        <w:right w:val="none" w:sz="0" w:space="0" w:color="auto"/>
      </w:divBdr>
    </w:div>
    <w:div w:id="1299529839">
      <w:bodyDiv w:val="1"/>
      <w:marLeft w:val="0"/>
      <w:marRight w:val="0"/>
      <w:marTop w:val="0"/>
      <w:marBottom w:val="0"/>
      <w:divBdr>
        <w:top w:val="none" w:sz="0" w:space="0" w:color="auto"/>
        <w:left w:val="none" w:sz="0" w:space="0" w:color="auto"/>
        <w:bottom w:val="none" w:sz="0" w:space="0" w:color="auto"/>
        <w:right w:val="none" w:sz="0" w:space="0" w:color="auto"/>
      </w:divBdr>
    </w:div>
    <w:div w:id="1328441788">
      <w:bodyDiv w:val="1"/>
      <w:marLeft w:val="0"/>
      <w:marRight w:val="0"/>
      <w:marTop w:val="0"/>
      <w:marBottom w:val="0"/>
      <w:divBdr>
        <w:top w:val="none" w:sz="0" w:space="0" w:color="auto"/>
        <w:left w:val="none" w:sz="0" w:space="0" w:color="auto"/>
        <w:bottom w:val="none" w:sz="0" w:space="0" w:color="auto"/>
        <w:right w:val="none" w:sz="0" w:space="0" w:color="auto"/>
      </w:divBdr>
    </w:div>
    <w:div w:id="1339843904">
      <w:bodyDiv w:val="1"/>
      <w:marLeft w:val="0"/>
      <w:marRight w:val="0"/>
      <w:marTop w:val="0"/>
      <w:marBottom w:val="0"/>
      <w:divBdr>
        <w:top w:val="none" w:sz="0" w:space="0" w:color="auto"/>
        <w:left w:val="none" w:sz="0" w:space="0" w:color="auto"/>
        <w:bottom w:val="none" w:sz="0" w:space="0" w:color="auto"/>
        <w:right w:val="none" w:sz="0" w:space="0" w:color="auto"/>
      </w:divBdr>
    </w:div>
    <w:div w:id="1368211896">
      <w:bodyDiv w:val="1"/>
      <w:marLeft w:val="0"/>
      <w:marRight w:val="0"/>
      <w:marTop w:val="0"/>
      <w:marBottom w:val="0"/>
      <w:divBdr>
        <w:top w:val="none" w:sz="0" w:space="0" w:color="auto"/>
        <w:left w:val="none" w:sz="0" w:space="0" w:color="auto"/>
        <w:bottom w:val="none" w:sz="0" w:space="0" w:color="auto"/>
        <w:right w:val="none" w:sz="0" w:space="0" w:color="auto"/>
      </w:divBdr>
    </w:div>
    <w:div w:id="1373657055">
      <w:bodyDiv w:val="1"/>
      <w:marLeft w:val="0"/>
      <w:marRight w:val="0"/>
      <w:marTop w:val="0"/>
      <w:marBottom w:val="0"/>
      <w:divBdr>
        <w:top w:val="none" w:sz="0" w:space="0" w:color="auto"/>
        <w:left w:val="none" w:sz="0" w:space="0" w:color="auto"/>
        <w:bottom w:val="none" w:sz="0" w:space="0" w:color="auto"/>
        <w:right w:val="none" w:sz="0" w:space="0" w:color="auto"/>
      </w:divBdr>
    </w:div>
    <w:div w:id="1402605342">
      <w:bodyDiv w:val="1"/>
      <w:marLeft w:val="0"/>
      <w:marRight w:val="0"/>
      <w:marTop w:val="0"/>
      <w:marBottom w:val="0"/>
      <w:divBdr>
        <w:top w:val="none" w:sz="0" w:space="0" w:color="auto"/>
        <w:left w:val="none" w:sz="0" w:space="0" w:color="auto"/>
        <w:bottom w:val="none" w:sz="0" w:space="0" w:color="auto"/>
        <w:right w:val="none" w:sz="0" w:space="0" w:color="auto"/>
      </w:divBdr>
    </w:div>
    <w:div w:id="1406538203">
      <w:bodyDiv w:val="1"/>
      <w:marLeft w:val="0"/>
      <w:marRight w:val="0"/>
      <w:marTop w:val="0"/>
      <w:marBottom w:val="0"/>
      <w:divBdr>
        <w:top w:val="none" w:sz="0" w:space="0" w:color="auto"/>
        <w:left w:val="none" w:sz="0" w:space="0" w:color="auto"/>
        <w:bottom w:val="none" w:sz="0" w:space="0" w:color="auto"/>
        <w:right w:val="none" w:sz="0" w:space="0" w:color="auto"/>
      </w:divBdr>
    </w:div>
    <w:div w:id="1459951298">
      <w:bodyDiv w:val="1"/>
      <w:marLeft w:val="0"/>
      <w:marRight w:val="0"/>
      <w:marTop w:val="0"/>
      <w:marBottom w:val="0"/>
      <w:divBdr>
        <w:top w:val="none" w:sz="0" w:space="0" w:color="auto"/>
        <w:left w:val="none" w:sz="0" w:space="0" w:color="auto"/>
        <w:bottom w:val="none" w:sz="0" w:space="0" w:color="auto"/>
        <w:right w:val="none" w:sz="0" w:space="0" w:color="auto"/>
      </w:divBdr>
    </w:div>
    <w:div w:id="1469281129">
      <w:bodyDiv w:val="1"/>
      <w:marLeft w:val="0"/>
      <w:marRight w:val="0"/>
      <w:marTop w:val="0"/>
      <w:marBottom w:val="0"/>
      <w:divBdr>
        <w:top w:val="none" w:sz="0" w:space="0" w:color="auto"/>
        <w:left w:val="none" w:sz="0" w:space="0" w:color="auto"/>
        <w:bottom w:val="none" w:sz="0" w:space="0" w:color="auto"/>
        <w:right w:val="none" w:sz="0" w:space="0" w:color="auto"/>
      </w:divBdr>
    </w:div>
    <w:div w:id="1486625891">
      <w:bodyDiv w:val="1"/>
      <w:marLeft w:val="0"/>
      <w:marRight w:val="0"/>
      <w:marTop w:val="0"/>
      <w:marBottom w:val="0"/>
      <w:divBdr>
        <w:top w:val="none" w:sz="0" w:space="0" w:color="auto"/>
        <w:left w:val="none" w:sz="0" w:space="0" w:color="auto"/>
        <w:bottom w:val="none" w:sz="0" w:space="0" w:color="auto"/>
        <w:right w:val="none" w:sz="0" w:space="0" w:color="auto"/>
      </w:divBdr>
    </w:div>
    <w:div w:id="1492525810">
      <w:bodyDiv w:val="1"/>
      <w:marLeft w:val="0"/>
      <w:marRight w:val="0"/>
      <w:marTop w:val="0"/>
      <w:marBottom w:val="0"/>
      <w:divBdr>
        <w:top w:val="none" w:sz="0" w:space="0" w:color="auto"/>
        <w:left w:val="none" w:sz="0" w:space="0" w:color="auto"/>
        <w:bottom w:val="none" w:sz="0" w:space="0" w:color="auto"/>
        <w:right w:val="none" w:sz="0" w:space="0" w:color="auto"/>
      </w:divBdr>
    </w:div>
    <w:div w:id="1502743483">
      <w:bodyDiv w:val="1"/>
      <w:marLeft w:val="0"/>
      <w:marRight w:val="0"/>
      <w:marTop w:val="0"/>
      <w:marBottom w:val="0"/>
      <w:divBdr>
        <w:top w:val="none" w:sz="0" w:space="0" w:color="auto"/>
        <w:left w:val="none" w:sz="0" w:space="0" w:color="auto"/>
        <w:bottom w:val="none" w:sz="0" w:space="0" w:color="auto"/>
        <w:right w:val="none" w:sz="0" w:space="0" w:color="auto"/>
      </w:divBdr>
    </w:div>
    <w:div w:id="1506244649">
      <w:bodyDiv w:val="1"/>
      <w:marLeft w:val="0"/>
      <w:marRight w:val="0"/>
      <w:marTop w:val="0"/>
      <w:marBottom w:val="0"/>
      <w:divBdr>
        <w:top w:val="none" w:sz="0" w:space="0" w:color="auto"/>
        <w:left w:val="none" w:sz="0" w:space="0" w:color="auto"/>
        <w:bottom w:val="none" w:sz="0" w:space="0" w:color="auto"/>
        <w:right w:val="none" w:sz="0" w:space="0" w:color="auto"/>
      </w:divBdr>
    </w:div>
    <w:div w:id="1515654683">
      <w:bodyDiv w:val="1"/>
      <w:marLeft w:val="0"/>
      <w:marRight w:val="0"/>
      <w:marTop w:val="0"/>
      <w:marBottom w:val="0"/>
      <w:divBdr>
        <w:top w:val="none" w:sz="0" w:space="0" w:color="auto"/>
        <w:left w:val="none" w:sz="0" w:space="0" w:color="auto"/>
        <w:bottom w:val="none" w:sz="0" w:space="0" w:color="auto"/>
        <w:right w:val="none" w:sz="0" w:space="0" w:color="auto"/>
      </w:divBdr>
    </w:div>
    <w:div w:id="1522015089">
      <w:bodyDiv w:val="1"/>
      <w:marLeft w:val="0"/>
      <w:marRight w:val="0"/>
      <w:marTop w:val="0"/>
      <w:marBottom w:val="0"/>
      <w:divBdr>
        <w:top w:val="none" w:sz="0" w:space="0" w:color="auto"/>
        <w:left w:val="none" w:sz="0" w:space="0" w:color="auto"/>
        <w:bottom w:val="none" w:sz="0" w:space="0" w:color="auto"/>
        <w:right w:val="none" w:sz="0" w:space="0" w:color="auto"/>
      </w:divBdr>
    </w:div>
    <w:div w:id="1525090651">
      <w:bodyDiv w:val="1"/>
      <w:marLeft w:val="0"/>
      <w:marRight w:val="0"/>
      <w:marTop w:val="0"/>
      <w:marBottom w:val="0"/>
      <w:divBdr>
        <w:top w:val="none" w:sz="0" w:space="0" w:color="auto"/>
        <w:left w:val="none" w:sz="0" w:space="0" w:color="auto"/>
        <w:bottom w:val="none" w:sz="0" w:space="0" w:color="auto"/>
        <w:right w:val="none" w:sz="0" w:space="0" w:color="auto"/>
      </w:divBdr>
    </w:div>
    <w:div w:id="1531186320">
      <w:bodyDiv w:val="1"/>
      <w:marLeft w:val="0"/>
      <w:marRight w:val="0"/>
      <w:marTop w:val="0"/>
      <w:marBottom w:val="0"/>
      <w:divBdr>
        <w:top w:val="none" w:sz="0" w:space="0" w:color="auto"/>
        <w:left w:val="none" w:sz="0" w:space="0" w:color="auto"/>
        <w:bottom w:val="none" w:sz="0" w:space="0" w:color="auto"/>
        <w:right w:val="none" w:sz="0" w:space="0" w:color="auto"/>
      </w:divBdr>
    </w:div>
    <w:div w:id="1532572181">
      <w:bodyDiv w:val="1"/>
      <w:marLeft w:val="0"/>
      <w:marRight w:val="0"/>
      <w:marTop w:val="0"/>
      <w:marBottom w:val="0"/>
      <w:divBdr>
        <w:top w:val="none" w:sz="0" w:space="0" w:color="auto"/>
        <w:left w:val="none" w:sz="0" w:space="0" w:color="auto"/>
        <w:bottom w:val="none" w:sz="0" w:space="0" w:color="auto"/>
        <w:right w:val="none" w:sz="0" w:space="0" w:color="auto"/>
      </w:divBdr>
    </w:div>
    <w:div w:id="1540168584">
      <w:bodyDiv w:val="1"/>
      <w:marLeft w:val="0"/>
      <w:marRight w:val="0"/>
      <w:marTop w:val="0"/>
      <w:marBottom w:val="0"/>
      <w:divBdr>
        <w:top w:val="none" w:sz="0" w:space="0" w:color="auto"/>
        <w:left w:val="none" w:sz="0" w:space="0" w:color="auto"/>
        <w:bottom w:val="none" w:sz="0" w:space="0" w:color="auto"/>
        <w:right w:val="none" w:sz="0" w:space="0" w:color="auto"/>
      </w:divBdr>
    </w:div>
    <w:div w:id="1577670857">
      <w:bodyDiv w:val="1"/>
      <w:marLeft w:val="0"/>
      <w:marRight w:val="0"/>
      <w:marTop w:val="0"/>
      <w:marBottom w:val="0"/>
      <w:divBdr>
        <w:top w:val="none" w:sz="0" w:space="0" w:color="auto"/>
        <w:left w:val="none" w:sz="0" w:space="0" w:color="auto"/>
        <w:bottom w:val="none" w:sz="0" w:space="0" w:color="auto"/>
        <w:right w:val="none" w:sz="0" w:space="0" w:color="auto"/>
      </w:divBdr>
      <w:divsChild>
        <w:div w:id="893812664">
          <w:marLeft w:val="274"/>
          <w:marRight w:val="0"/>
          <w:marTop w:val="0"/>
          <w:marBottom w:val="0"/>
          <w:divBdr>
            <w:top w:val="none" w:sz="0" w:space="0" w:color="auto"/>
            <w:left w:val="none" w:sz="0" w:space="0" w:color="auto"/>
            <w:bottom w:val="none" w:sz="0" w:space="0" w:color="auto"/>
            <w:right w:val="none" w:sz="0" w:space="0" w:color="auto"/>
          </w:divBdr>
        </w:div>
      </w:divsChild>
    </w:div>
    <w:div w:id="1583637318">
      <w:bodyDiv w:val="1"/>
      <w:marLeft w:val="0"/>
      <w:marRight w:val="0"/>
      <w:marTop w:val="0"/>
      <w:marBottom w:val="0"/>
      <w:divBdr>
        <w:top w:val="none" w:sz="0" w:space="0" w:color="auto"/>
        <w:left w:val="none" w:sz="0" w:space="0" w:color="auto"/>
        <w:bottom w:val="none" w:sz="0" w:space="0" w:color="auto"/>
        <w:right w:val="none" w:sz="0" w:space="0" w:color="auto"/>
      </w:divBdr>
    </w:div>
    <w:div w:id="1592542660">
      <w:bodyDiv w:val="1"/>
      <w:marLeft w:val="0"/>
      <w:marRight w:val="0"/>
      <w:marTop w:val="0"/>
      <w:marBottom w:val="0"/>
      <w:divBdr>
        <w:top w:val="none" w:sz="0" w:space="0" w:color="auto"/>
        <w:left w:val="none" w:sz="0" w:space="0" w:color="auto"/>
        <w:bottom w:val="none" w:sz="0" w:space="0" w:color="auto"/>
        <w:right w:val="none" w:sz="0" w:space="0" w:color="auto"/>
      </w:divBdr>
    </w:div>
    <w:div w:id="1599093502">
      <w:bodyDiv w:val="1"/>
      <w:marLeft w:val="0"/>
      <w:marRight w:val="0"/>
      <w:marTop w:val="0"/>
      <w:marBottom w:val="0"/>
      <w:divBdr>
        <w:top w:val="none" w:sz="0" w:space="0" w:color="auto"/>
        <w:left w:val="none" w:sz="0" w:space="0" w:color="auto"/>
        <w:bottom w:val="none" w:sz="0" w:space="0" w:color="auto"/>
        <w:right w:val="none" w:sz="0" w:space="0" w:color="auto"/>
      </w:divBdr>
    </w:div>
    <w:div w:id="1617448268">
      <w:bodyDiv w:val="1"/>
      <w:marLeft w:val="0"/>
      <w:marRight w:val="0"/>
      <w:marTop w:val="0"/>
      <w:marBottom w:val="0"/>
      <w:divBdr>
        <w:top w:val="none" w:sz="0" w:space="0" w:color="auto"/>
        <w:left w:val="none" w:sz="0" w:space="0" w:color="auto"/>
        <w:bottom w:val="none" w:sz="0" w:space="0" w:color="auto"/>
        <w:right w:val="none" w:sz="0" w:space="0" w:color="auto"/>
      </w:divBdr>
    </w:div>
    <w:div w:id="1634169636">
      <w:bodyDiv w:val="1"/>
      <w:marLeft w:val="0"/>
      <w:marRight w:val="0"/>
      <w:marTop w:val="0"/>
      <w:marBottom w:val="0"/>
      <w:divBdr>
        <w:top w:val="none" w:sz="0" w:space="0" w:color="auto"/>
        <w:left w:val="none" w:sz="0" w:space="0" w:color="auto"/>
        <w:bottom w:val="none" w:sz="0" w:space="0" w:color="auto"/>
        <w:right w:val="none" w:sz="0" w:space="0" w:color="auto"/>
      </w:divBdr>
    </w:div>
    <w:div w:id="1646542398">
      <w:bodyDiv w:val="1"/>
      <w:marLeft w:val="0"/>
      <w:marRight w:val="0"/>
      <w:marTop w:val="0"/>
      <w:marBottom w:val="0"/>
      <w:divBdr>
        <w:top w:val="none" w:sz="0" w:space="0" w:color="auto"/>
        <w:left w:val="none" w:sz="0" w:space="0" w:color="auto"/>
        <w:bottom w:val="none" w:sz="0" w:space="0" w:color="auto"/>
        <w:right w:val="none" w:sz="0" w:space="0" w:color="auto"/>
      </w:divBdr>
    </w:div>
    <w:div w:id="1647199747">
      <w:bodyDiv w:val="1"/>
      <w:marLeft w:val="0"/>
      <w:marRight w:val="0"/>
      <w:marTop w:val="0"/>
      <w:marBottom w:val="0"/>
      <w:divBdr>
        <w:top w:val="none" w:sz="0" w:space="0" w:color="auto"/>
        <w:left w:val="none" w:sz="0" w:space="0" w:color="auto"/>
        <w:bottom w:val="none" w:sz="0" w:space="0" w:color="auto"/>
        <w:right w:val="none" w:sz="0" w:space="0" w:color="auto"/>
      </w:divBdr>
    </w:div>
    <w:div w:id="1648971288">
      <w:bodyDiv w:val="1"/>
      <w:marLeft w:val="0"/>
      <w:marRight w:val="0"/>
      <w:marTop w:val="0"/>
      <w:marBottom w:val="0"/>
      <w:divBdr>
        <w:top w:val="none" w:sz="0" w:space="0" w:color="auto"/>
        <w:left w:val="none" w:sz="0" w:space="0" w:color="auto"/>
        <w:bottom w:val="none" w:sz="0" w:space="0" w:color="auto"/>
        <w:right w:val="none" w:sz="0" w:space="0" w:color="auto"/>
      </w:divBdr>
    </w:div>
    <w:div w:id="1651052995">
      <w:bodyDiv w:val="1"/>
      <w:marLeft w:val="0"/>
      <w:marRight w:val="0"/>
      <w:marTop w:val="0"/>
      <w:marBottom w:val="0"/>
      <w:divBdr>
        <w:top w:val="none" w:sz="0" w:space="0" w:color="auto"/>
        <w:left w:val="none" w:sz="0" w:space="0" w:color="auto"/>
        <w:bottom w:val="none" w:sz="0" w:space="0" w:color="auto"/>
        <w:right w:val="none" w:sz="0" w:space="0" w:color="auto"/>
      </w:divBdr>
    </w:div>
    <w:div w:id="1678314608">
      <w:bodyDiv w:val="1"/>
      <w:marLeft w:val="0"/>
      <w:marRight w:val="0"/>
      <w:marTop w:val="0"/>
      <w:marBottom w:val="0"/>
      <w:divBdr>
        <w:top w:val="none" w:sz="0" w:space="0" w:color="auto"/>
        <w:left w:val="none" w:sz="0" w:space="0" w:color="auto"/>
        <w:bottom w:val="none" w:sz="0" w:space="0" w:color="auto"/>
        <w:right w:val="none" w:sz="0" w:space="0" w:color="auto"/>
      </w:divBdr>
    </w:div>
    <w:div w:id="1692805317">
      <w:bodyDiv w:val="1"/>
      <w:marLeft w:val="0"/>
      <w:marRight w:val="0"/>
      <w:marTop w:val="0"/>
      <w:marBottom w:val="0"/>
      <w:divBdr>
        <w:top w:val="none" w:sz="0" w:space="0" w:color="auto"/>
        <w:left w:val="none" w:sz="0" w:space="0" w:color="auto"/>
        <w:bottom w:val="none" w:sz="0" w:space="0" w:color="auto"/>
        <w:right w:val="none" w:sz="0" w:space="0" w:color="auto"/>
      </w:divBdr>
    </w:div>
    <w:div w:id="1702512592">
      <w:bodyDiv w:val="1"/>
      <w:marLeft w:val="0"/>
      <w:marRight w:val="0"/>
      <w:marTop w:val="0"/>
      <w:marBottom w:val="0"/>
      <w:divBdr>
        <w:top w:val="none" w:sz="0" w:space="0" w:color="auto"/>
        <w:left w:val="none" w:sz="0" w:space="0" w:color="auto"/>
        <w:bottom w:val="none" w:sz="0" w:space="0" w:color="auto"/>
        <w:right w:val="none" w:sz="0" w:space="0" w:color="auto"/>
      </w:divBdr>
    </w:div>
    <w:div w:id="1710452866">
      <w:bodyDiv w:val="1"/>
      <w:marLeft w:val="0"/>
      <w:marRight w:val="0"/>
      <w:marTop w:val="0"/>
      <w:marBottom w:val="0"/>
      <w:divBdr>
        <w:top w:val="none" w:sz="0" w:space="0" w:color="auto"/>
        <w:left w:val="none" w:sz="0" w:space="0" w:color="auto"/>
        <w:bottom w:val="none" w:sz="0" w:space="0" w:color="auto"/>
        <w:right w:val="none" w:sz="0" w:space="0" w:color="auto"/>
      </w:divBdr>
    </w:div>
    <w:div w:id="1711419829">
      <w:bodyDiv w:val="1"/>
      <w:marLeft w:val="0"/>
      <w:marRight w:val="0"/>
      <w:marTop w:val="0"/>
      <w:marBottom w:val="0"/>
      <w:divBdr>
        <w:top w:val="none" w:sz="0" w:space="0" w:color="auto"/>
        <w:left w:val="none" w:sz="0" w:space="0" w:color="auto"/>
        <w:bottom w:val="none" w:sz="0" w:space="0" w:color="auto"/>
        <w:right w:val="none" w:sz="0" w:space="0" w:color="auto"/>
      </w:divBdr>
    </w:div>
    <w:div w:id="1717509661">
      <w:bodyDiv w:val="1"/>
      <w:marLeft w:val="0"/>
      <w:marRight w:val="0"/>
      <w:marTop w:val="0"/>
      <w:marBottom w:val="0"/>
      <w:divBdr>
        <w:top w:val="none" w:sz="0" w:space="0" w:color="auto"/>
        <w:left w:val="none" w:sz="0" w:space="0" w:color="auto"/>
        <w:bottom w:val="none" w:sz="0" w:space="0" w:color="auto"/>
        <w:right w:val="none" w:sz="0" w:space="0" w:color="auto"/>
      </w:divBdr>
    </w:div>
    <w:div w:id="1732774765">
      <w:bodyDiv w:val="1"/>
      <w:marLeft w:val="0"/>
      <w:marRight w:val="0"/>
      <w:marTop w:val="0"/>
      <w:marBottom w:val="0"/>
      <w:divBdr>
        <w:top w:val="none" w:sz="0" w:space="0" w:color="auto"/>
        <w:left w:val="none" w:sz="0" w:space="0" w:color="auto"/>
        <w:bottom w:val="none" w:sz="0" w:space="0" w:color="auto"/>
        <w:right w:val="none" w:sz="0" w:space="0" w:color="auto"/>
      </w:divBdr>
    </w:div>
    <w:div w:id="1759131808">
      <w:bodyDiv w:val="1"/>
      <w:marLeft w:val="0"/>
      <w:marRight w:val="0"/>
      <w:marTop w:val="0"/>
      <w:marBottom w:val="0"/>
      <w:divBdr>
        <w:top w:val="none" w:sz="0" w:space="0" w:color="auto"/>
        <w:left w:val="none" w:sz="0" w:space="0" w:color="auto"/>
        <w:bottom w:val="none" w:sz="0" w:space="0" w:color="auto"/>
        <w:right w:val="none" w:sz="0" w:space="0" w:color="auto"/>
      </w:divBdr>
    </w:div>
    <w:div w:id="1781219245">
      <w:bodyDiv w:val="1"/>
      <w:marLeft w:val="0"/>
      <w:marRight w:val="0"/>
      <w:marTop w:val="0"/>
      <w:marBottom w:val="0"/>
      <w:divBdr>
        <w:top w:val="none" w:sz="0" w:space="0" w:color="auto"/>
        <w:left w:val="none" w:sz="0" w:space="0" w:color="auto"/>
        <w:bottom w:val="none" w:sz="0" w:space="0" w:color="auto"/>
        <w:right w:val="none" w:sz="0" w:space="0" w:color="auto"/>
      </w:divBdr>
    </w:div>
    <w:div w:id="1804153633">
      <w:bodyDiv w:val="1"/>
      <w:marLeft w:val="0"/>
      <w:marRight w:val="0"/>
      <w:marTop w:val="0"/>
      <w:marBottom w:val="0"/>
      <w:divBdr>
        <w:top w:val="none" w:sz="0" w:space="0" w:color="auto"/>
        <w:left w:val="none" w:sz="0" w:space="0" w:color="auto"/>
        <w:bottom w:val="none" w:sz="0" w:space="0" w:color="auto"/>
        <w:right w:val="none" w:sz="0" w:space="0" w:color="auto"/>
      </w:divBdr>
    </w:div>
    <w:div w:id="1824656661">
      <w:bodyDiv w:val="1"/>
      <w:marLeft w:val="0"/>
      <w:marRight w:val="0"/>
      <w:marTop w:val="0"/>
      <w:marBottom w:val="0"/>
      <w:divBdr>
        <w:top w:val="none" w:sz="0" w:space="0" w:color="auto"/>
        <w:left w:val="none" w:sz="0" w:space="0" w:color="auto"/>
        <w:bottom w:val="none" w:sz="0" w:space="0" w:color="auto"/>
        <w:right w:val="none" w:sz="0" w:space="0" w:color="auto"/>
      </w:divBdr>
    </w:div>
    <w:div w:id="1829637730">
      <w:bodyDiv w:val="1"/>
      <w:marLeft w:val="0"/>
      <w:marRight w:val="0"/>
      <w:marTop w:val="0"/>
      <w:marBottom w:val="0"/>
      <w:divBdr>
        <w:top w:val="none" w:sz="0" w:space="0" w:color="auto"/>
        <w:left w:val="none" w:sz="0" w:space="0" w:color="auto"/>
        <w:bottom w:val="none" w:sz="0" w:space="0" w:color="auto"/>
        <w:right w:val="none" w:sz="0" w:space="0" w:color="auto"/>
      </w:divBdr>
    </w:div>
    <w:div w:id="1833181982">
      <w:bodyDiv w:val="1"/>
      <w:marLeft w:val="0"/>
      <w:marRight w:val="0"/>
      <w:marTop w:val="0"/>
      <w:marBottom w:val="0"/>
      <w:divBdr>
        <w:top w:val="none" w:sz="0" w:space="0" w:color="auto"/>
        <w:left w:val="none" w:sz="0" w:space="0" w:color="auto"/>
        <w:bottom w:val="none" w:sz="0" w:space="0" w:color="auto"/>
        <w:right w:val="none" w:sz="0" w:space="0" w:color="auto"/>
      </w:divBdr>
    </w:div>
    <w:div w:id="1860200059">
      <w:bodyDiv w:val="1"/>
      <w:marLeft w:val="0"/>
      <w:marRight w:val="0"/>
      <w:marTop w:val="0"/>
      <w:marBottom w:val="0"/>
      <w:divBdr>
        <w:top w:val="none" w:sz="0" w:space="0" w:color="auto"/>
        <w:left w:val="none" w:sz="0" w:space="0" w:color="auto"/>
        <w:bottom w:val="none" w:sz="0" w:space="0" w:color="auto"/>
        <w:right w:val="none" w:sz="0" w:space="0" w:color="auto"/>
      </w:divBdr>
    </w:div>
    <w:div w:id="1860313715">
      <w:bodyDiv w:val="1"/>
      <w:marLeft w:val="0"/>
      <w:marRight w:val="0"/>
      <w:marTop w:val="0"/>
      <w:marBottom w:val="0"/>
      <w:divBdr>
        <w:top w:val="none" w:sz="0" w:space="0" w:color="auto"/>
        <w:left w:val="none" w:sz="0" w:space="0" w:color="auto"/>
        <w:bottom w:val="none" w:sz="0" w:space="0" w:color="auto"/>
        <w:right w:val="none" w:sz="0" w:space="0" w:color="auto"/>
      </w:divBdr>
    </w:div>
    <w:div w:id="1889147779">
      <w:bodyDiv w:val="1"/>
      <w:marLeft w:val="0"/>
      <w:marRight w:val="0"/>
      <w:marTop w:val="0"/>
      <w:marBottom w:val="0"/>
      <w:divBdr>
        <w:top w:val="none" w:sz="0" w:space="0" w:color="auto"/>
        <w:left w:val="none" w:sz="0" w:space="0" w:color="auto"/>
        <w:bottom w:val="none" w:sz="0" w:space="0" w:color="auto"/>
        <w:right w:val="none" w:sz="0" w:space="0" w:color="auto"/>
      </w:divBdr>
      <w:divsChild>
        <w:div w:id="1626233628">
          <w:marLeft w:val="0"/>
          <w:marRight w:val="0"/>
          <w:marTop w:val="0"/>
          <w:marBottom w:val="0"/>
          <w:divBdr>
            <w:top w:val="none" w:sz="0" w:space="0" w:color="auto"/>
            <w:left w:val="none" w:sz="0" w:space="0" w:color="auto"/>
            <w:bottom w:val="none" w:sz="0" w:space="0" w:color="auto"/>
            <w:right w:val="none" w:sz="0" w:space="0" w:color="auto"/>
          </w:divBdr>
          <w:divsChild>
            <w:div w:id="1326517330">
              <w:marLeft w:val="0"/>
              <w:marRight w:val="0"/>
              <w:marTop w:val="0"/>
              <w:marBottom w:val="0"/>
              <w:divBdr>
                <w:top w:val="none" w:sz="0" w:space="0" w:color="auto"/>
                <w:left w:val="none" w:sz="0" w:space="0" w:color="auto"/>
                <w:bottom w:val="none" w:sz="0" w:space="0" w:color="auto"/>
                <w:right w:val="none" w:sz="0" w:space="0" w:color="auto"/>
              </w:divBdr>
              <w:divsChild>
                <w:div w:id="2076272695">
                  <w:marLeft w:val="0"/>
                  <w:marRight w:val="0"/>
                  <w:marTop w:val="0"/>
                  <w:marBottom w:val="0"/>
                  <w:divBdr>
                    <w:top w:val="none" w:sz="0" w:space="0" w:color="auto"/>
                    <w:left w:val="none" w:sz="0" w:space="0" w:color="auto"/>
                    <w:bottom w:val="none" w:sz="0" w:space="0" w:color="auto"/>
                    <w:right w:val="none" w:sz="0" w:space="0" w:color="auto"/>
                  </w:divBdr>
                </w:div>
                <w:div w:id="1073048175">
                  <w:marLeft w:val="0"/>
                  <w:marRight w:val="0"/>
                  <w:marTop w:val="0"/>
                  <w:marBottom w:val="0"/>
                  <w:divBdr>
                    <w:top w:val="none" w:sz="0" w:space="0" w:color="auto"/>
                    <w:left w:val="none" w:sz="0" w:space="0" w:color="auto"/>
                    <w:bottom w:val="none" w:sz="0" w:space="0" w:color="auto"/>
                    <w:right w:val="none" w:sz="0" w:space="0" w:color="auto"/>
                  </w:divBdr>
                  <w:divsChild>
                    <w:div w:id="598295752">
                      <w:marLeft w:val="0"/>
                      <w:marRight w:val="0"/>
                      <w:marTop w:val="0"/>
                      <w:marBottom w:val="0"/>
                      <w:divBdr>
                        <w:top w:val="none" w:sz="0" w:space="0" w:color="auto"/>
                        <w:left w:val="none" w:sz="0" w:space="0" w:color="auto"/>
                        <w:bottom w:val="none" w:sz="0" w:space="0" w:color="auto"/>
                        <w:right w:val="none" w:sz="0" w:space="0" w:color="auto"/>
                      </w:divBdr>
                    </w:div>
                    <w:div w:id="950863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5972464">
              <w:marLeft w:val="0"/>
              <w:marRight w:val="0"/>
              <w:marTop w:val="0"/>
              <w:marBottom w:val="0"/>
              <w:divBdr>
                <w:top w:val="none" w:sz="0" w:space="0" w:color="auto"/>
                <w:left w:val="none" w:sz="0" w:space="0" w:color="auto"/>
                <w:bottom w:val="none" w:sz="0" w:space="0" w:color="auto"/>
                <w:right w:val="none" w:sz="0" w:space="0" w:color="auto"/>
              </w:divBdr>
              <w:divsChild>
                <w:div w:id="1091580554">
                  <w:marLeft w:val="0"/>
                  <w:marRight w:val="0"/>
                  <w:marTop w:val="0"/>
                  <w:marBottom w:val="0"/>
                  <w:divBdr>
                    <w:top w:val="none" w:sz="0" w:space="0" w:color="auto"/>
                    <w:left w:val="none" w:sz="0" w:space="0" w:color="auto"/>
                    <w:bottom w:val="none" w:sz="0" w:space="0" w:color="auto"/>
                    <w:right w:val="none" w:sz="0" w:space="0" w:color="auto"/>
                  </w:divBdr>
                  <w:divsChild>
                    <w:div w:id="628317482">
                      <w:marLeft w:val="0"/>
                      <w:marRight w:val="0"/>
                      <w:marTop w:val="0"/>
                      <w:marBottom w:val="0"/>
                      <w:divBdr>
                        <w:top w:val="single" w:sz="6" w:space="12" w:color="D5D5D5"/>
                        <w:left w:val="none" w:sz="0" w:space="0" w:color="auto"/>
                        <w:bottom w:val="none" w:sz="0" w:space="0" w:color="auto"/>
                        <w:right w:val="none" w:sz="0" w:space="0" w:color="auto"/>
                      </w:divBdr>
                    </w:div>
                    <w:div w:id="1668553955">
                      <w:marLeft w:val="0"/>
                      <w:marRight w:val="0"/>
                      <w:marTop w:val="0"/>
                      <w:marBottom w:val="0"/>
                      <w:divBdr>
                        <w:top w:val="none" w:sz="0" w:space="0" w:color="auto"/>
                        <w:left w:val="none" w:sz="0" w:space="0" w:color="auto"/>
                        <w:bottom w:val="none" w:sz="0" w:space="0" w:color="auto"/>
                        <w:right w:val="none" w:sz="0" w:space="0" w:color="auto"/>
                      </w:divBdr>
                      <w:divsChild>
                        <w:div w:id="257713741">
                          <w:marLeft w:val="0"/>
                          <w:marRight w:val="0"/>
                          <w:marTop w:val="0"/>
                          <w:marBottom w:val="0"/>
                          <w:divBdr>
                            <w:top w:val="none" w:sz="0" w:space="0" w:color="auto"/>
                            <w:left w:val="none" w:sz="0" w:space="0" w:color="auto"/>
                            <w:bottom w:val="none" w:sz="0" w:space="0" w:color="auto"/>
                            <w:right w:val="none" w:sz="0" w:space="0" w:color="auto"/>
                          </w:divBdr>
                          <w:divsChild>
                            <w:div w:id="2048527889">
                              <w:marLeft w:val="240"/>
                              <w:marRight w:val="240"/>
                              <w:marTop w:val="0"/>
                              <w:marBottom w:val="0"/>
                              <w:divBdr>
                                <w:top w:val="none" w:sz="0" w:space="0" w:color="auto"/>
                                <w:left w:val="none" w:sz="0" w:space="0" w:color="auto"/>
                                <w:bottom w:val="none" w:sz="0" w:space="0" w:color="auto"/>
                                <w:right w:val="none" w:sz="0" w:space="0" w:color="auto"/>
                              </w:divBdr>
                              <w:divsChild>
                                <w:div w:id="1357660007">
                                  <w:marLeft w:val="0"/>
                                  <w:marRight w:val="0"/>
                                  <w:marTop w:val="0"/>
                                  <w:marBottom w:val="0"/>
                                  <w:divBdr>
                                    <w:top w:val="none" w:sz="0" w:space="0" w:color="auto"/>
                                    <w:left w:val="none" w:sz="0" w:space="0" w:color="auto"/>
                                    <w:bottom w:val="none" w:sz="0" w:space="0" w:color="auto"/>
                                    <w:right w:val="none" w:sz="0" w:space="0" w:color="auto"/>
                                  </w:divBdr>
                                  <w:divsChild>
                                    <w:div w:id="1373381420">
                                      <w:marLeft w:val="0"/>
                                      <w:marRight w:val="0"/>
                                      <w:marTop w:val="0"/>
                                      <w:marBottom w:val="0"/>
                                      <w:divBdr>
                                        <w:top w:val="none" w:sz="0" w:space="0" w:color="auto"/>
                                        <w:left w:val="none" w:sz="0" w:space="0" w:color="auto"/>
                                        <w:bottom w:val="none" w:sz="0" w:space="0" w:color="auto"/>
                                        <w:right w:val="none" w:sz="0" w:space="0" w:color="auto"/>
                                      </w:divBdr>
                                      <w:divsChild>
                                        <w:div w:id="2094425144">
                                          <w:marLeft w:val="0"/>
                                          <w:marRight w:val="0"/>
                                          <w:marTop w:val="0"/>
                                          <w:marBottom w:val="0"/>
                                          <w:divBdr>
                                            <w:top w:val="none" w:sz="0" w:space="0" w:color="auto"/>
                                            <w:left w:val="none" w:sz="0" w:space="0" w:color="auto"/>
                                            <w:bottom w:val="none" w:sz="0" w:space="0" w:color="auto"/>
                                            <w:right w:val="none" w:sz="0" w:space="0" w:color="auto"/>
                                          </w:divBdr>
                                          <w:divsChild>
                                            <w:div w:id="10073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36882">
                              <w:marLeft w:val="240"/>
                              <w:marRight w:val="240"/>
                              <w:marTop w:val="0"/>
                              <w:marBottom w:val="0"/>
                              <w:divBdr>
                                <w:top w:val="none" w:sz="0" w:space="0" w:color="auto"/>
                                <w:left w:val="none" w:sz="0" w:space="0" w:color="auto"/>
                                <w:bottom w:val="none" w:sz="0" w:space="0" w:color="auto"/>
                                <w:right w:val="none" w:sz="0" w:space="0" w:color="auto"/>
                              </w:divBdr>
                              <w:divsChild>
                                <w:div w:id="1806969057">
                                  <w:marLeft w:val="0"/>
                                  <w:marRight w:val="0"/>
                                  <w:marTop w:val="0"/>
                                  <w:marBottom w:val="0"/>
                                  <w:divBdr>
                                    <w:top w:val="none" w:sz="0" w:space="0" w:color="auto"/>
                                    <w:left w:val="none" w:sz="0" w:space="0" w:color="auto"/>
                                    <w:bottom w:val="none" w:sz="0" w:space="0" w:color="auto"/>
                                    <w:right w:val="none" w:sz="0" w:space="0" w:color="auto"/>
                                  </w:divBdr>
                                  <w:divsChild>
                                    <w:div w:id="1026904579">
                                      <w:marLeft w:val="0"/>
                                      <w:marRight w:val="0"/>
                                      <w:marTop w:val="0"/>
                                      <w:marBottom w:val="0"/>
                                      <w:divBdr>
                                        <w:top w:val="none" w:sz="0" w:space="0" w:color="auto"/>
                                        <w:left w:val="none" w:sz="0" w:space="0" w:color="auto"/>
                                        <w:bottom w:val="none" w:sz="0" w:space="0" w:color="auto"/>
                                        <w:right w:val="none" w:sz="0" w:space="0" w:color="auto"/>
                                      </w:divBdr>
                                      <w:divsChild>
                                        <w:div w:id="843742131">
                                          <w:marLeft w:val="0"/>
                                          <w:marRight w:val="0"/>
                                          <w:marTop w:val="0"/>
                                          <w:marBottom w:val="0"/>
                                          <w:divBdr>
                                            <w:top w:val="none" w:sz="0" w:space="0" w:color="auto"/>
                                            <w:left w:val="none" w:sz="0" w:space="0" w:color="auto"/>
                                            <w:bottom w:val="none" w:sz="0" w:space="0" w:color="auto"/>
                                            <w:right w:val="none" w:sz="0" w:space="0" w:color="auto"/>
                                          </w:divBdr>
                                          <w:divsChild>
                                            <w:div w:id="7465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1178">
                              <w:marLeft w:val="240"/>
                              <w:marRight w:val="240"/>
                              <w:marTop w:val="0"/>
                              <w:marBottom w:val="0"/>
                              <w:divBdr>
                                <w:top w:val="none" w:sz="0" w:space="0" w:color="auto"/>
                                <w:left w:val="none" w:sz="0" w:space="0" w:color="auto"/>
                                <w:bottom w:val="none" w:sz="0" w:space="0" w:color="auto"/>
                                <w:right w:val="none" w:sz="0" w:space="0" w:color="auto"/>
                              </w:divBdr>
                              <w:divsChild>
                                <w:div w:id="1934822027">
                                  <w:marLeft w:val="0"/>
                                  <w:marRight w:val="0"/>
                                  <w:marTop w:val="0"/>
                                  <w:marBottom w:val="0"/>
                                  <w:divBdr>
                                    <w:top w:val="none" w:sz="0" w:space="0" w:color="auto"/>
                                    <w:left w:val="none" w:sz="0" w:space="0" w:color="auto"/>
                                    <w:bottom w:val="none" w:sz="0" w:space="0" w:color="auto"/>
                                    <w:right w:val="none" w:sz="0" w:space="0" w:color="auto"/>
                                  </w:divBdr>
                                  <w:divsChild>
                                    <w:div w:id="449979010">
                                      <w:marLeft w:val="0"/>
                                      <w:marRight w:val="0"/>
                                      <w:marTop w:val="0"/>
                                      <w:marBottom w:val="0"/>
                                      <w:divBdr>
                                        <w:top w:val="none" w:sz="0" w:space="0" w:color="auto"/>
                                        <w:left w:val="none" w:sz="0" w:space="0" w:color="auto"/>
                                        <w:bottom w:val="none" w:sz="0" w:space="0" w:color="auto"/>
                                        <w:right w:val="none" w:sz="0" w:space="0" w:color="auto"/>
                                      </w:divBdr>
                                      <w:divsChild>
                                        <w:div w:id="483816844">
                                          <w:marLeft w:val="0"/>
                                          <w:marRight w:val="0"/>
                                          <w:marTop w:val="0"/>
                                          <w:marBottom w:val="0"/>
                                          <w:divBdr>
                                            <w:top w:val="none" w:sz="0" w:space="0" w:color="auto"/>
                                            <w:left w:val="none" w:sz="0" w:space="0" w:color="auto"/>
                                            <w:bottom w:val="none" w:sz="0" w:space="0" w:color="auto"/>
                                            <w:right w:val="none" w:sz="0" w:space="0" w:color="auto"/>
                                          </w:divBdr>
                                          <w:divsChild>
                                            <w:div w:id="1889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82524">
                              <w:marLeft w:val="240"/>
                              <w:marRight w:val="240"/>
                              <w:marTop w:val="0"/>
                              <w:marBottom w:val="0"/>
                              <w:divBdr>
                                <w:top w:val="none" w:sz="0" w:space="0" w:color="auto"/>
                                <w:left w:val="none" w:sz="0" w:space="0" w:color="auto"/>
                                <w:bottom w:val="none" w:sz="0" w:space="0" w:color="auto"/>
                                <w:right w:val="none" w:sz="0" w:space="0" w:color="auto"/>
                              </w:divBdr>
                              <w:divsChild>
                                <w:div w:id="1275479050">
                                  <w:marLeft w:val="0"/>
                                  <w:marRight w:val="0"/>
                                  <w:marTop w:val="0"/>
                                  <w:marBottom w:val="0"/>
                                  <w:divBdr>
                                    <w:top w:val="none" w:sz="0" w:space="0" w:color="auto"/>
                                    <w:left w:val="none" w:sz="0" w:space="0" w:color="auto"/>
                                    <w:bottom w:val="none" w:sz="0" w:space="0" w:color="auto"/>
                                    <w:right w:val="none" w:sz="0" w:space="0" w:color="auto"/>
                                  </w:divBdr>
                                  <w:divsChild>
                                    <w:div w:id="67658374">
                                      <w:marLeft w:val="0"/>
                                      <w:marRight w:val="0"/>
                                      <w:marTop w:val="0"/>
                                      <w:marBottom w:val="0"/>
                                      <w:divBdr>
                                        <w:top w:val="none" w:sz="0" w:space="0" w:color="auto"/>
                                        <w:left w:val="none" w:sz="0" w:space="0" w:color="auto"/>
                                        <w:bottom w:val="none" w:sz="0" w:space="0" w:color="auto"/>
                                        <w:right w:val="none" w:sz="0" w:space="0" w:color="auto"/>
                                      </w:divBdr>
                                      <w:divsChild>
                                        <w:div w:id="283117652">
                                          <w:marLeft w:val="0"/>
                                          <w:marRight w:val="0"/>
                                          <w:marTop w:val="0"/>
                                          <w:marBottom w:val="0"/>
                                          <w:divBdr>
                                            <w:top w:val="none" w:sz="0" w:space="0" w:color="auto"/>
                                            <w:left w:val="none" w:sz="0" w:space="0" w:color="auto"/>
                                            <w:bottom w:val="none" w:sz="0" w:space="0" w:color="auto"/>
                                            <w:right w:val="none" w:sz="0" w:space="0" w:color="auto"/>
                                          </w:divBdr>
                                          <w:divsChild>
                                            <w:div w:id="12288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81190">
                              <w:marLeft w:val="240"/>
                              <w:marRight w:val="240"/>
                              <w:marTop w:val="0"/>
                              <w:marBottom w:val="0"/>
                              <w:divBdr>
                                <w:top w:val="none" w:sz="0" w:space="0" w:color="auto"/>
                                <w:left w:val="none" w:sz="0" w:space="0" w:color="auto"/>
                                <w:bottom w:val="none" w:sz="0" w:space="0" w:color="auto"/>
                                <w:right w:val="none" w:sz="0" w:space="0" w:color="auto"/>
                              </w:divBdr>
                              <w:divsChild>
                                <w:div w:id="1056079271">
                                  <w:marLeft w:val="0"/>
                                  <w:marRight w:val="0"/>
                                  <w:marTop w:val="0"/>
                                  <w:marBottom w:val="0"/>
                                  <w:divBdr>
                                    <w:top w:val="none" w:sz="0" w:space="0" w:color="auto"/>
                                    <w:left w:val="none" w:sz="0" w:space="0" w:color="auto"/>
                                    <w:bottom w:val="none" w:sz="0" w:space="0" w:color="auto"/>
                                    <w:right w:val="none" w:sz="0" w:space="0" w:color="auto"/>
                                  </w:divBdr>
                                  <w:divsChild>
                                    <w:div w:id="1190726902">
                                      <w:marLeft w:val="0"/>
                                      <w:marRight w:val="0"/>
                                      <w:marTop w:val="0"/>
                                      <w:marBottom w:val="0"/>
                                      <w:divBdr>
                                        <w:top w:val="none" w:sz="0" w:space="0" w:color="auto"/>
                                        <w:left w:val="none" w:sz="0" w:space="0" w:color="auto"/>
                                        <w:bottom w:val="none" w:sz="0" w:space="0" w:color="auto"/>
                                        <w:right w:val="none" w:sz="0" w:space="0" w:color="auto"/>
                                      </w:divBdr>
                                      <w:divsChild>
                                        <w:div w:id="934556417">
                                          <w:marLeft w:val="0"/>
                                          <w:marRight w:val="0"/>
                                          <w:marTop w:val="0"/>
                                          <w:marBottom w:val="0"/>
                                          <w:divBdr>
                                            <w:top w:val="none" w:sz="0" w:space="0" w:color="auto"/>
                                            <w:left w:val="none" w:sz="0" w:space="0" w:color="auto"/>
                                            <w:bottom w:val="none" w:sz="0" w:space="0" w:color="auto"/>
                                            <w:right w:val="none" w:sz="0" w:space="0" w:color="auto"/>
                                          </w:divBdr>
                                          <w:divsChild>
                                            <w:div w:id="912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13056">
                              <w:marLeft w:val="240"/>
                              <w:marRight w:val="240"/>
                              <w:marTop w:val="0"/>
                              <w:marBottom w:val="0"/>
                              <w:divBdr>
                                <w:top w:val="none" w:sz="0" w:space="0" w:color="auto"/>
                                <w:left w:val="none" w:sz="0" w:space="0" w:color="auto"/>
                                <w:bottom w:val="none" w:sz="0" w:space="0" w:color="auto"/>
                                <w:right w:val="none" w:sz="0" w:space="0" w:color="auto"/>
                              </w:divBdr>
                              <w:divsChild>
                                <w:div w:id="47461642">
                                  <w:marLeft w:val="0"/>
                                  <w:marRight w:val="0"/>
                                  <w:marTop w:val="0"/>
                                  <w:marBottom w:val="0"/>
                                  <w:divBdr>
                                    <w:top w:val="none" w:sz="0" w:space="0" w:color="auto"/>
                                    <w:left w:val="none" w:sz="0" w:space="0" w:color="auto"/>
                                    <w:bottom w:val="none" w:sz="0" w:space="0" w:color="auto"/>
                                    <w:right w:val="none" w:sz="0" w:space="0" w:color="auto"/>
                                  </w:divBdr>
                                  <w:divsChild>
                                    <w:div w:id="297614187">
                                      <w:marLeft w:val="0"/>
                                      <w:marRight w:val="0"/>
                                      <w:marTop w:val="0"/>
                                      <w:marBottom w:val="0"/>
                                      <w:divBdr>
                                        <w:top w:val="none" w:sz="0" w:space="0" w:color="auto"/>
                                        <w:left w:val="none" w:sz="0" w:space="0" w:color="auto"/>
                                        <w:bottom w:val="none" w:sz="0" w:space="0" w:color="auto"/>
                                        <w:right w:val="none" w:sz="0" w:space="0" w:color="auto"/>
                                      </w:divBdr>
                                      <w:divsChild>
                                        <w:div w:id="36706042">
                                          <w:marLeft w:val="0"/>
                                          <w:marRight w:val="0"/>
                                          <w:marTop w:val="0"/>
                                          <w:marBottom w:val="0"/>
                                          <w:divBdr>
                                            <w:top w:val="none" w:sz="0" w:space="0" w:color="auto"/>
                                            <w:left w:val="none" w:sz="0" w:space="0" w:color="auto"/>
                                            <w:bottom w:val="none" w:sz="0" w:space="0" w:color="auto"/>
                                            <w:right w:val="none" w:sz="0" w:space="0" w:color="auto"/>
                                          </w:divBdr>
                                          <w:divsChild>
                                            <w:div w:id="12060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22629">
                              <w:marLeft w:val="240"/>
                              <w:marRight w:val="240"/>
                              <w:marTop w:val="0"/>
                              <w:marBottom w:val="0"/>
                              <w:divBdr>
                                <w:top w:val="none" w:sz="0" w:space="0" w:color="auto"/>
                                <w:left w:val="none" w:sz="0" w:space="0" w:color="auto"/>
                                <w:bottom w:val="none" w:sz="0" w:space="0" w:color="auto"/>
                                <w:right w:val="none" w:sz="0" w:space="0" w:color="auto"/>
                              </w:divBdr>
                              <w:divsChild>
                                <w:div w:id="1720474836">
                                  <w:marLeft w:val="0"/>
                                  <w:marRight w:val="0"/>
                                  <w:marTop w:val="0"/>
                                  <w:marBottom w:val="0"/>
                                  <w:divBdr>
                                    <w:top w:val="none" w:sz="0" w:space="0" w:color="auto"/>
                                    <w:left w:val="none" w:sz="0" w:space="0" w:color="auto"/>
                                    <w:bottom w:val="none" w:sz="0" w:space="0" w:color="auto"/>
                                    <w:right w:val="none" w:sz="0" w:space="0" w:color="auto"/>
                                  </w:divBdr>
                                  <w:divsChild>
                                    <w:div w:id="1043285763">
                                      <w:marLeft w:val="0"/>
                                      <w:marRight w:val="0"/>
                                      <w:marTop w:val="0"/>
                                      <w:marBottom w:val="0"/>
                                      <w:divBdr>
                                        <w:top w:val="none" w:sz="0" w:space="0" w:color="auto"/>
                                        <w:left w:val="none" w:sz="0" w:space="0" w:color="auto"/>
                                        <w:bottom w:val="none" w:sz="0" w:space="0" w:color="auto"/>
                                        <w:right w:val="none" w:sz="0" w:space="0" w:color="auto"/>
                                      </w:divBdr>
                                      <w:divsChild>
                                        <w:div w:id="976639631">
                                          <w:marLeft w:val="0"/>
                                          <w:marRight w:val="0"/>
                                          <w:marTop w:val="0"/>
                                          <w:marBottom w:val="0"/>
                                          <w:divBdr>
                                            <w:top w:val="none" w:sz="0" w:space="0" w:color="auto"/>
                                            <w:left w:val="none" w:sz="0" w:space="0" w:color="auto"/>
                                            <w:bottom w:val="none" w:sz="0" w:space="0" w:color="auto"/>
                                            <w:right w:val="none" w:sz="0" w:space="0" w:color="auto"/>
                                          </w:divBdr>
                                          <w:divsChild>
                                            <w:div w:id="13058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231298">
                              <w:marLeft w:val="240"/>
                              <w:marRight w:val="240"/>
                              <w:marTop w:val="0"/>
                              <w:marBottom w:val="0"/>
                              <w:divBdr>
                                <w:top w:val="none" w:sz="0" w:space="0" w:color="auto"/>
                                <w:left w:val="none" w:sz="0" w:space="0" w:color="auto"/>
                                <w:bottom w:val="none" w:sz="0" w:space="0" w:color="auto"/>
                                <w:right w:val="none" w:sz="0" w:space="0" w:color="auto"/>
                              </w:divBdr>
                              <w:divsChild>
                                <w:div w:id="193081028">
                                  <w:marLeft w:val="0"/>
                                  <w:marRight w:val="0"/>
                                  <w:marTop w:val="0"/>
                                  <w:marBottom w:val="0"/>
                                  <w:divBdr>
                                    <w:top w:val="none" w:sz="0" w:space="0" w:color="auto"/>
                                    <w:left w:val="none" w:sz="0" w:space="0" w:color="auto"/>
                                    <w:bottom w:val="none" w:sz="0" w:space="0" w:color="auto"/>
                                    <w:right w:val="none" w:sz="0" w:space="0" w:color="auto"/>
                                  </w:divBdr>
                                  <w:divsChild>
                                    <w:div w:id="1805850112">
                                      <w:marLeft w:val="0"/>
                                      <w:marRight w:val="0"/>
                                      <w:marTop w:val="0"/>
                                      <w:marBottom w:val="0"/>
                                      <w:divBdr>
                                        <w:top w:val="none" w:sz="0" w:space="0" w:color="auto"/>
                                        <w:left w:val="none" w:sz="0" w:space="0" w:color="auto"/>
                                        <w:bottom w:val="none" w:sz="0" w:space="0" w:color="auto"/>
                                        <w:right w:val="none" w:sz="0" w:space="0" w:color="auto"/>
                                      </w:divBdr>
                                      <w:divsChild>
                                        <w:div w:id="195580866">
                                          <w:marLeft w:val="0"/>
                                          <w:marRight w:val="0"/>
                                          <w:marTop w:val="0"/>
                                          <w:marBottom w:val="0"/>
                                          <w:divBdr>
                                            <w:top w:val="none" w:sz="0" w:space="0" w:color="auto"/>
                                            <w:left w:val="none" w:sz="0" w:space="0" w:color="auto"/>
                                            <w:bottom w:val="none" w:sz="0" w:space="0" w:color="auto"/>
                                            <w:right w:val="none" w:sz="0" w:space="0" w:color="auto"/>
                                          </w:divBdr>
                                          <w:divsChild>
                                            <w:div w:id="11136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62792">
                              <w:marLeft w:val="240"/>
                              <w:marRight w:val="240"/>
                              <w:marTop w:val="0"/>
                              <w:marBottom w:val="0"/>
                              <w:divBdr>
                                <w:top w:val="none" w:sz="0" w:space="0" w:color="auto"/>
                                <w:left w:val="none" w:sz="0" w:space="0" w:color="auto"/>
                                <w:bottom w:val="none" w:sz="0" w:space="0" w:color="auto"/>
                                <w:right w:val="none" w:sz="0" w:space="0" w:color="auto"/>
                              </w:divBdr>
                              <w:divsChild>
                                <w:div w:id="165174893">
                                  <w:marLeft w:val="0"/>
                                  <w:marRight w:val="0"/>
                                  <w:marTop w:val="0"/>
                                  <w:marBottom w:val="0"/>
                                  <w:divBdr>
                                    <w:top w:val="none" w:sz="0" w:space="0" w:color="auto"/>
                                    <w:left w:val="none" w:sz="0" w:space="0" w:color="auto"/>
                                    <w:bottom w:val="none" w:sz="0" w:space="0" w:color="auto"/>
                                    <w:right w:val="none" w:sz="0" w:space="0" w:color="auto"/>
                                  </w:divBdr>
                                  <w:divsChild>
                                    <w:div w:id="291987419">
                                      <w:marLeft w:val="0"/>
                                      <w:marRight w:val="0"/>
                                      <w:marTop w:val="0"/>
                                      <w:marBottom w:val="0"/>
                                      <w:divBdr>
                                        <w:top w:val="none" w:sz="0" w:space="0" w:color="auto"/>
                                        <w:left w:val="none" w:sz="0" w:space="0" w:color="auto"/>
                                        <w:bottom w:val="none" w:sz="0" w:space="0" w:color="auto"/>
                                        <w:right w:val="none" w:sz="0" w:space="0" w:color="auto"/>
                                      </w:divBdr>
                                      <w:divsChild>
                                        <w:div w:id="565838622">
                                          <w:marLeft w:val="0"/>
                                          <w:marRight w:val="0"/>
                                          <w:marTop w:val="0"/>
                                          <w:marBottom w:val="0"/>
                                          <w:divBdr>
                                            <w:top w:val="none" w:sz="0" w:space="0" w:color="auto"/>
                                            <w:left w:val="none" w:sz="0" w:space="0" w:color="auto"/>
                                            <w:bottom w:val="none" w:sz="0" w:space="0" w:color="auto"/>
                                            <w:right w:val="none" w:sz="0" w:space="0" w:color="auto"/>
                                          </w:divBdr>
                                          <w:divsChild>
                                            <w:div w:id="7246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94541">
          <w:marLeft w:val="0"/>
          <w:marRight w:val="0"/>
          <w:marTop w:val="0"/>
          <w:marBottom w:val="600"/>
          <w:divBdr>
            <w:top w:val="none" w:sz="0" w:space="0" w:color="auto"/>
            <w:left w:val="none" w:sz="0" w:space="0" w:color="auto"/>
            <w:bottom w:val="none" w:sz="0" w:space="0" w:color="auto"/>
            <w:right w:val="none" w:sz="0" w:space="0" w:color="auto"/>
          </w:divBdr>
        </w:div>
      </w:divsChild>
    </w:div>
    <w:div w:id="1901818953">
      <w:bodyDiv w:val="1"/>
      <w:marLeft w:val="0"/>
      <w:marRight w:val="0"/>
      <w:marTop w:val="0"/>
      <w:marBottom w:val="0"/>
      <w:divBdr>
        <w:top w:val="none" w:sz="0" w:space="0" w:color="auto"/>
        <w:left w:val="none" w:sz="0" w:space="0" w:color="auto"/>
        <w:bottom w:val="none" w:sz="0" w:space="0" w:color="auto"/>
        <w:right w:val="none" w:sz="0" w:space="0" w:color="auto"/>
      </w:divBdr>
    </w:div>
    <w:div w:id="1909267679">
      <w:bodyDiv w:val="1"/>
      <w:marLeft w:val="0"/>
      <w:marRight w:val="0"/>
      <w:marTop w:val="0"/>
      <w:marBottom w:val="0"/>
      <w:divBdr>
        <w:top w:val="none" w:sz="0" w:space="0" w:color="auto"/>
        <w:left w:val="none" w:sz="0" w:space="0" w:color="auto"/>
        <w:bottom w:val="none" w:sz="0" w:space="0" w:color="auto"/>
        <w:right w:val="none" w:sz="0" w:space="0" w:color="auto"/>
      </w:divBdr>
    </w:div>
    <w:div w:id="1910461018">
      <w:bodyDiv w:val="1"/>
      <w:marLeft w:val="0"/>
      <w:marRight w:val="0"/>
      <w:marTop w:val="0"/>
      <w:marBottom w:val="0"/>
      <w:divBdr>
        <w:top w:val="none" w:sz="0" w:space="0" w:color="auto"/>
        <w:left w:val="none" w:sz="0" w:space="0" w:color="auto"/>
        <w:bottom w:val="none" w:sz="0" w:space="0" w:color="auto"/>
        <w:right w:val="none" w:sz="0" w:space="0" w:color="auto"/>
      </w:divBdr>
      <w:divsChild>
        <w:div w:id="1578858968">
          <w:marLeft w:val="547"/>
          <w:marRight w:val="0"/>
          <w:marTop w:val="0"/>
          <w:marBottom w:val="0"/>
          <w:divBdr>
            <w:top w:val="none" w:sz="0" w:space="0" w:color="auto"/>
            <w:left w:val="none" w:sz="0" w:space="0" w:color="auto"/>
            <w:bottom w:val="none" w:sz="0" w:space="0" w:color="auto"/>
            <w:right w:val="none" w:sz="0" w:space="0" w:color="auto"/>
          </w:divBdr>
        </w:div>
      </w:divsChild>
    </w:div>
    <w:div w:id="1922564603">
      <w:bodyDiv w:val="1"/>
      <w:marLeft w:val="0"/>
      <w:marRight w:val="0"/>
      <w:marTop w:val="0"/>
      <w:marBottom w:val="0"/>
      <w:divBdr>
        <w:top w:val="none" w:sz="0" w:space="0" w:color="auto"/>
        <w:left w:val="none" w:sz="0" w:space="0" w:color="auto"/>
        <w:bottom w:val="none" w:sz="0" w:space="0" w:color="auto"/>
        <w:right w:val="none" w:sz="0" w:space="0" w:color="auto"/>
      </w:divBdr>
    </w:div>
    <w:div w:id="1922906264">
      <w:bodyDiv w:val="1"/>
      <w:marLeft w:val="0"/>
      <w:marRight w:val="0"/>
      <w:marTop w:val="0"/>
      <w:marBottom w:val="0"/>
      <w:divBdr>
        <w:top w:val="none" w:sz="0" w:space="0" w:color="auto"/>
        <w:left w:val="none" w:sz="0" w:space="0" w:color="auto"/>
        <w:bottom w:val="none" w:sz="0" w:space="0" w:color="auto"/>
        <w:right w:val="none" w:sz="0" w:space="0" w:color="auto"/>
      </w:divBdr>
    </w:div>
    <w:div w:id="1942688716">
      <w:bodyDiv w:val="1"/>
      <w:marLeft w:val="0"/>
      <w:marRight w:val="0"/>
      <w:marTop w:val="0"/>
      <w:marBottom w:val="0"/>
      <w:divBdr>
        <w:top w:val="none" w:sz="0" w:space="0" w:color="auto"/>
        <w:left w:val="none" w:sz="0" w:space="0" w:color="auto"/>
        <w:bottom w:val="none" w:sz="0" w:space="0" w:color="auto"/>
        <w:right w:val="none" w:sz="0" w:space="0" w:color="auto"/>
      </w:divBdr>
    </w:div>
    <w:div w:id="1954744476">
      <w:bodyDiv w:val="1"/>
      <w:marLeft w:val="0"/>
      <w:marRight w:val="0"/>
      <w:marTop w:val="0"/>
      <w:marBottom w:val="0"/>
      <w:divBdr>
        <w:top w:val="none" w:sz="0" w:space="0" w:color="auto"/>
        <w:left w:val="none" w:sz="0" w:space="0" w:color="auto"/>
        <w:bottom w:val="none" w:sz="0" w:space="0" w:color="auto"/>
        <w:right w:val="none" w:sz="0" w:space="0" w:color="auto"/>
      </w:divBdr>
    </w:div>
    <w:div w:id="1968898484">
      <w:bodyDiv w:val="1"/>
      <w:marLeft w:val="0"/>
      <w:marRight w:val="0"/>
      <w:marTop w:val="0"/>
      <w:marBottom w:val="0"/>
      <w:divBdr>
        <w:top w:val="none" w:sz="0" w:space="0" w:color="auto"/>
        <w:left w:val="none" w:sz="0" w:space="0" w:color="auto"/>
        <w:bottom w:val="none" w:sz="0" w:space="0" w:color="auto"/>
        <w:right w:val="none" w:sz="0" w:space="0" w:color="auto"/>
      </w:divBdr>
    </w:div>
    <w:div w:id="1971083923">
      <w:bodyDiv w:val="1"/>
      <w:marLeft w:val="0"/>
      <w:marRight w:val="0"/>
      <w:marTop w:val="0"/>
      <w:marBottom w:val="0"/>
      <w:divBdr>
        <w:top w:val="none" w:sz="0" w:space="0" w:color="auto"/>
        <w:left w:val="none" w:sz="0" w:space="0" w:color="auto"/>
        <w:bottom w:val="none" w:sz="0" w:space="0" w:color="auto"/>
        <w:right w:val="none" w:sz="0" w:space="0" w:color="auto"/>
      </w:divBdr>
    </w:div>
    <w:div w:id="1986543971">
      <w:bodyDiv w:val="1"/>
      <w:marLeft w:val="0"/>
      <w:marRight w:val="0"/>
      <w:marTop w:val="0"/>
      <w:marBottom w:val="0"/>
      <w:divBdr>
        <w:top w:val="none" w:sz="0" w:space="0" w:color="auto"/>
        <w:left w:val="none" w:sz="0" w:space="0" w:color="auto"/>
        <w:bottom w:val="none" w:sz="0" w:space="0" w:color="auto"/>
        <w:right w:val="none" w:sz="0" w:space="0" w:color="auto"/>
      </w:divBdr>
    </w:div>
    <w:div w:id="1989895791">
      <w:bodyDiv w:val="1"/>
      <w:marLeft w:val="0"/>
      <w:marRight w:val="0"/>
      <w:marTop w:val="0"/>
      <w:marBottom w:val="0"/>
      <w:divBdr>
        <w:top w:val="none" w:sz="0" w:space="0" w:color="auto"/>
        <w:left w:val="none" w:sz="0" w:space="0" w:color="auto"/>
        <w:bottom w:val="none" w:sz="0" w:space="0" w:color="auto"/>
        <w:right w:val="none" w:sz="0" w:space="0" w:color="auto"/>
      </w:divBdr>
    </w:div>
    <w:div w:id="2028481321">
      <w:bodyDiv w:val="1"/>
      <w:marLeft w:val="0"/>
      <w:marRight w:val="0"/>
      <w:marTop w:val="0"/>
      <w:marBottom w:val="0"/>
      <w:divBdr>
        <w:top w:val="none" w:sz="0" w:space="0" w:color="auto"/>
        <w:left w:val="none" w:sz="0" w:space="0" w:color="auto"/>
        <w:bottom w:val="none" w:sz="0" w:space="0" w:color="auto"/>
        <w:right w:val="none" w:sz="0" w:space="0" w:color="auto"/>
      </w:divBdr>
      <w:divsChild>
        <w:div w:id="80302629">
          <w:marLeft w:val="274"/>
          <w:marRight w:val="0"/>
          <w:marTop w:val="0"/>
          <w:marBottom w:val="0"/>
          <w:divBdr>
            <w:top w:val="none" w:sz="0" w:space="0" w:color="auto"/>
            <w:left w:val="none" w:sz="0" w:space="0" w:color="auto"/>
            <w:bottom w:val="none" w:sz="0" w:space="0" w:color="auto"/>
            <w:right w:val="none" w:sz="0" w:space="0" w:color="auto"/>
          </w:divBdr>
        </w:div>
        <w:div w:id="270362738">
          <w:marLeft w:val="274"/>
          <w:marRight w:val="0"/>
          <w:marTop w:val="0"/>
          <w:marBottom w:val="0"/>
          <w:divBdr>
            <w:top w:val="none" w:sz="0" w:space="0" w:color="auto"/>
            <w:left w:val="none" w:sz="0" w:space="0" w:color="auto"/>
            <w:bottom w:val="none" w:sz="0" w:space="0" w:color="auto"/>
            <w:right w:val="none" w:sz="0" w:space="0" w:color="auto"/>
          </w:divBdr>
        </w:div>
      </w:divsChild>
    </w:div>
    <w:div w:id="2030403033">
      <w:bodyDiv w:val="1"/>
      <w:marLeft w:val="0"/>
      <w:marRight w:val="0"/>
      <w:marTop w:val="0"/>
      <w:marBottom w:val="0"/>
      <w:divBdr>
        <w:top w:val="none" w:sz="0" w:space="0" w:color="auto"/>
        <w:left w:val="none" w:sz="0" w:space="0" w:color="auto"/>
        <w:bottom w:val="none" w:sz="0" w:space="0" w:color="auto"/>
        <w:right w:val="none" w:sz="0" w:space="0" w:color="auto"/>
      </w:divBdr>
    </w:div>
    <w:div w:id="2037347133">
      <w:bodyDiv w:val="1"/>
      <w:marLeft w:val="0"/>
      <w:marRight w:val="0"/>
      <w:marTop w:val="0"/>
      <w:marBottom w:val="0"/>
      <w:divBdr>
        <w:top w:val="none" w:sz="0" w:space="0" w:color="auto"/>
        <w:left w:val="none" w:sz="0" w:space="0" w:color="auto"/>
        <w:bottom w:val="none" w:sz="0" w:space="0" w:color="auto"/>
        <w:right w:val="none" w:sz="0" w:space="0" w:color="auto"/>
      </w:divBdr>
    </w:div>
    <w:div w:id="2042587463">
      <w:bodyDiv w:val="1"/>
      <w:marLeft w:val="0"/>
      <w:marRight w:val="0"/>
      <w:marTop w:val="0"/>
      <w:marBottom w:val="0"/>
      <w:divBdr>
        <w:top w:val="none" w:sz="0" w:space="0" w:color="auto"/>
        <w:left w:val="none" w:sz="0" w:space="0" w:color="auto"/>
        <w:bottom w:val="none" w:sz="0" w:space="0" w:color="auto"/>
        <w:right w:val="none" w:sz="0" w:space="0" w:color="auto"/>
      </w:divBdr>
    </w:div>
    <w:div w:id="2044017595">
      <w:bodyDiv w:val="1"/>
      <w:marLeft w:val="0"/>
      <w:marRight w:val="0"/>
      <w:marTop w:val="0"/>
      <w:marBottom w:val="0"/>
      <w:divBdr>
        <w:top w:val="none" w:sz="0" w:space="0" w:color="auto"/>
        <w:left w:val="none" w:sz="0" w:space="0" w:color="auto"/>
        <w:bottom w:val="none" w:sz="0" w:space="0" w:color="auto"/>
        <w:right w:val="none" w:sz="0" w:space="0" w:color="auto"/>
      </w:divBdr>
    </w:div>
    <w:div w:id="2055109430">
      <w:bodyDiv w:val="1"/>
      <w:marLeft w:val="0"/>
      <w:marRight w:val="0"/>
      <w:marTop w:val="0"/>
      <w:marBottom w:val="0"/>
      <w:divBdr>
        <w:top w:val="none" w:sz="0" w:space="0" w:color="auto"/>
        <w:left w:val="none" w:sz="0" w:space="0" w:color="auto"/>
        <w:bottom w:val="none" w:sz="0" w:space="0" w:color="auto"/>
        <w:right w:val="none" w:sz="0" w:space="0" w:color="auto"/>
      </w:divBdr>
    </w:div>
    <w:div w:id="2058118003">
      <w:bodyDiv w:val="1"/>
      <w:marLeft w:val="0"/>
      <w:marRight w:val="0"/>
      <w:marTop w:val="0"/>
      <w:marBottom w:val="0"/>
      <w:divBdr>
        <w:top w:val="none" w:sz="0" w:space="0" w:color="auto"/>
        <w:left w:val="none" w:sz="0" w:space="0" w:color="auto"/>
        <w:bottom w:val="none" w:sz="0" w:space="0" w:color="auto"/>
        <w:right w:val="none" w:sz="0" w:space="0" w:color="auto"/>
      </w:divBdr>
    </w:div>
    <w:div w:id="2076007684">
      <w:bodyDiv w:val="1"/>
      <w:marLeft w:val="0"/>
      <w:marRight w:val="0"/>
      <w:marTop w:val="0"/>
      <w:marBottom w:val="0"/>
      <w:divBdr>
        <w:top w:val="none" w:sz="0" w:space="0" w:color="auto"/>
        <w:left w:val="none" w:sz="0" w:space="0" w:color="auto"/>
        <w:bottom w:val="none" w:sz="0" w:space="0" w:color="auto"/>
        <w:right w:val="none" w:sz="0" w:space="0" w:color="auto"/>
      </w:divBdr>
    </w:div>
    <w:div w:id="2078940452">
      <w:bodyDiv w:val="1"/>
      <w:marLeft w:val="0"/>
      <w:marRight w:val="0"/>
      <w:marTop w:val="0"/>
      <w:marBottom w:val="0"/>
      <w:divBdr>
        <w:top w:val="none" w:sz="0" w:space="0" w:color="auto"/>
        <w:left w:val="none" w:sz="0" w:space="0" w:color="auto"/>
        <w:bottom w:val="none" w:sz="0" w:space="0" w:color="auto"/>
        <w:right w:val="none" w:sz="0" w:space="0" w:color="auto"/>
      </w:divBdr>
    </w:div>
    <w:div w:id="2080012516">
      <w:bodyDiv w:val="1"/>
      <w:marLeft w:val="0"/>
      <w:marRight w:val="0"/>
      <w:marTop w:val="0"/>
      <w:marBottom w:val="0"/>
      <w:divBdr>
        <w:top w:val="none" w:sz="0" w:space="0" w:color="auto"/>
        <w:left w:val="none" w:sz="0" w:space="0" w:color="auto"/>
        <w:bottom w:val="none" w:sz="0" w:space="0" w:color="auto"/>
        <w:right w:val="none" w:sz="0" w:space="0" w:color="auto"/>
      </w:divBdr>
    </w:div>
    <w:div w:id="2110661365">
      <w:bodyDiv w:val="1"/>
      <w:marLeft w:val="0"/>
      <w:marRight w:val="0"/>
      <w:marTop w:val="0"/>
      <w:marBottom w:val="0"/>
      <w:divBdr>
        <w:top w:val="none" w:sz="0" w:space="0" w:color="auto"/>
        <w:left w:val="none" w:sz="0" w:space="0" w:color="auto"/>
        <w:bottom w:val="none" w:sz="0" w:space="0" w:color="auto"/>
        <w:right w:val="none" w:sz="0" w:space="0" w:color="auto"/>
      </w:divBdr>
    </w:div>
    <w:div w:id="2112045321">
      <w:bodyDiv w:val="1"/>
      <w:marLeft w:val="0"/>
      <w:marRight w:val="0"/>
      <w:marTop w:val="0"/>
      <w:marBottom w:val="0"/>
      <w:divBdr>
        <w:top w:val="none" w:sz="0" w:space="0" w:color="auto"/>
        <w:left w:val="none" w:sz="0" w:space="0" w:color="auto"/>
        <w:bottom w:val="none" w:sz="0" w:space="0" w:color="auto"/>
        <w:right w:val="none" w:sz="0" w:space="0" w:color="auto"/>
      </w:divBdr>
    </w:div>
    <w:div w:id="2116711689">
      <w:bodyDiv w:val="1"/>
      <w:marLeft w:val="0"/>
      <w:marRight w:val="0"/>
      <w:marTop w:val="0"/>
      <w:marBottom w:val="0"/>
      <w:divBdr>
        <w:top w:val="none" w:sz="0" w:space="0" w:color="auto"/>
        <w:left w:val="none" w:sz="0" w:space="0" w:color="auto"/>
        <w:bottom w:val="none" w:sz="0" w:space="0" w:color="auto"/>
        <w:right w:val="none" w:sz="0" w:space="0" w:color="auto"/>
      </w:divBdr>
    </w:div>
    <w:div w:id="2129160937">
      <w:bodyDiv w:val="1"/>
      <w:marLeft w:val="0"/>
      <w:marRight w:val="0"/>
      <w:marTop w:val="0"/>
      <w:marBottom w:val="0"/>
      <w:divBdr>
        <w:top w:val="none" w:sz="0" w:space="0" w:color="auto"/>
        <w:left w:val="none" w:sz="0" w:space="0" w:color="auto"/>
        <w:bottom w:val="none" w:sz="0" w:space="0" w:color="auto"/>
        <w:right w:val="none" w:sz="0" w:space="0" w:color="auto"/>
      </w:divBdr>
    </w:div>
    <w:div w:id="2134210569">
      <w:bodyDiv w:val="1"/>
      <w:marLeft w:val="0"/>
      <w:marRight w:val="0"/>
      <w:marTop w:val="0"/>
      <w:marBottom w:val="0"/>
      <w:divBdr>
        <w:top w:val="none" w:sz="0" w:space="0" w:color="auto"/>
        <w:left w:val="none" w:sz="0" w:space="0" w:color="auto"/>
        <w:bottom w:val="none" w:sz="0" w:space="0" w:color="auto"/>
        <w:right w:val="none" w:sz="0" w:space="0" w:color="auto"/>
      </w:divBdr>
    </w:div>
    <w:div w:id="2144421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6" Type="http://schemas.openxmlformats.org/officeDocument/2006/relationships/hyperlink" Target="https://ro-journal.biomedcentral.com/articles/10.1186/s13014-023-02221-8" TargetMode="External"/><Relationship Id="rId21" Type="http://schemas.openxmlformats.org/officeDocument/2006/relationships/hyperlink" Target="https://www.mass.gov/doc/cancer-incidence-and-mortality-in-massachusetts-2015-2019-statewide-report/download" TargetMode="External"/><Relationship Id="rId42" Type="http://schemas.openxmlformats.org/officeDocument/2006/relationships/hyperlink" Target="https://link.springer.com/chapter/10.1007/978-3-030-82052-7_3" TargetMode="External"/><Relationship Id="rId47" Type="http://schemas.openxmlformats.org/officeDocument/2006/relationships/hyperlink" Target="https://my.clevelandclinic.org/health/treatments/17726-car-t-cell-therapy%20." TargetMode="External"/><Relationship Id="rId63" Type="http://schemas.openxmlformats.org/officeDocument/2006/relationships/hyperlink" Target="https://www.mdanderson.org/documents/about-md-anderson/about-us/facts-and-history/quick-facts.pdf" TargetMode="External"/><Relationship Id="rId68" Type="http://schemas.openxmlformats.org/officeDocument/2006/relationships/hyperlink" Target="https://www.moffitt.org/contentassets/d49ae52b00f944f589bc060e91c0ce73/annual-report-2022.pdf" TargetMode="External"/><Relationship Id="rId2" Type="http://schemas.openxmlformats.org/officeDocument/2006/relationships/hyperlink" Target="https://www.cdc.gov/nchs/pressroom/states/massachusetts/massachusetts.htm" TargetMode="External"/><Relationship Id="rId16" Type="http://schemas.openxmlformats.org/officeDocument/2006/relationships/hyperlink" Target="https://www.cancer.gov/news-events/cancer-currents-blog/2018/sharpless-aging-cancer-research" TargetMode="External"/><Relationship Id="rId29" Type="http://schemas.openxmlformats.org/officeDocument/2006/relationships/hyperlink" Target="https://www.sciencedirect.com/topics/nursing-and-health-professions/linear-accelerator" TargetMode="External"/><Relationship Id="rId11" Type="http://schemas.openxmlformats.org/officeDocument/2006/relationships/hyperlink" Target="https://www.cancer.org/cancer/risk-prevention/chemicals.html" TargetMode="External"/><Relationship Id="rId24" Type="http://schemas.openxmlformats.org/officeDocument/2006/relationships/hyperlink" Target="https://www.chiamass.gov/emergency-department-database-edd-reporting/" TargetMode="External"/><Relationship Id="rId32" Type="http://schemas.openxmlformats.org/officeDocument/2006/relationships/hyperlink" Target="https://radonc.med.ufl.edu/patient-care/technologies-and-resources/treatment-techniques/" TargetMode="External"/><Relationship Id="rId37" Type="http://schemas.openxmlformats.org/officeDocument/2006/relationships/hyperlink" Target="https://www.cdc.gov/pcd/issues/2021/21_0006.htm" TargetMode="External"/><Relationship Id="rId40" Type="http://schemas.openxmlformats.org/officeDocument/2006/relationships/hyperlink" Target="https://thehill.com/policy/healthcare/4041032-cancer-rates-are-climbing-among-young-people-its-not-clear-why" TargetMode="External"/><Relationship Id="rId45" Type="http://schemas.openxmlformats.org/officeDocument/2006/relationships/hyperlink" Target="https://www.cancer.org/treatment/treatments-and-side-effects/treatment-types/immunotherapy/car-t-cell1.html" TargetMode="External"/><Relationship Id="rId53" Type="http://schemas.openxmlformats.org/officeDocument/2006/relationships/hyperlink" Target="https://mhalink.informz.net/mhalink/data/images/ACloggedSystemMHAReport.pdf" TargetMode="External"/><Relationship Id="rId58" Type="http://schemas.openxmlformats.org/officeDocument/2006/relationships/hyperlink" Target="https://www.mskcc.org/news-releases/msk-plans-new-pavilion-ensure-greater-access-care-all-people-new-york-and-beyond" TargetMode="External"/><Relationship Id="rId66" Type="http://schemas.openxmlformats.org/officeDocument/2006/relationships/hyperlink" Target="https://cancer.osu.edu/locations/the-james-cancer-hospital-and-solove-research-institute" TargetMode="External"/><Relationship Id="rId74" Type="http://schemas.openxmlformats.org/officeDocument/2006/relationships/hyperlink" Target="https://blog.dana-farber.org/insight/2022/01/dana-farber-becomes-in-network-provider-for-bmc-heathnet-plan/" TargetMode="External"/><Relationship Id="rId5" Type="http://schemas.openxmlformats.org/officeDocument/2006/relationships/hyperlink" Target="https://www.who.int/news-room/fact-sheets/detail/cancer" TargetMode="External"/><Relationship Id="rId61" Type="http://schemas.openxmlformats.org/officeDocument/2006/relationships/hyperlink" Target="https://www.kvue.com/article/news/education/university-of-texas/ut-austin-md-anderson-dell-medical-school-hospital/269-b58cc457-1a0e-47b4-8b1c-4e87a202ce67" TargetMode="External"/><Relationship Id="rId19" Type="http://schemas.openxmlformats.org/officeDocument/2006/relationships/hyperlink" Target="https://hdpulse.nimhd.nih.gov/data-portal/quick-profile/25/incidence" TargetMode="External"/><Relationship Id="rId14" Type="http://schemas.openxmlformats.org/officeDocument/2006/relationships/hyperlink" Target="https://www.cancer.gov/about-cancer/causes-prevention/risk/age" TargetMode="External"/><Relationship Id="rId22" Type="http://schemas.openxmlformats.org/officeDocument/2006/relationships/hyperlink" Target="https://www.mass.gov/doc/cancer-incidence-and-mortality-in-massachusetts-2015-2019-statewide-report/download" TargetMode="External"/><Relationship Id="rId27" Type="http://schemas.openxmlformats.org/officeDocument/2006/relationships/hyperlink" Target="https://www.thelancet.com/journals/lanonc/article/PIIS1470-2045(15)00222-3/fulltext" TargetMode="External"/><Relationship Id="rId30" Type="http://schemas.openxmlformats.org/officeDocument/2006/relationships/hyperlink" Target="https://www.sciencedirect.com/topics/nursing-and-health-professions/linear-accelerator" TargetMode="External"/><Relationship Id="rId35" Type="http://schemas.openxmlformats.org/officeDocument/2006/relationships/hyperlink" Target="https://www.prb.org/resources/fact-sheet-aging-in-the-united-states/" TargetMode="External"/><Relationship Id="rId43" Type="http://schemas.openxmlformats.org/officeDocument/2006/relationships/hyperlink" Target="https://www.lls.org/leukemia/acute-lymphoblastic-leukemia/treatment/chemotherapy" TargetMode="External"/><Relationship Id="rId48" Type="http://schemas.openxmlformats.org/officeDocument/2006/relationships/hyperlink" Target="https://my.clevelandclinic.org/health/treatments/17726-car-t-cell-therapy" TargetMode="External"/><Relationship Id="rId56" Type="http://schemas.openxmlformats.org/officeDocument/2006/relationships/hyperlink" Target="https://www.cityofhope.org/lennar" TargetMode="External"/><Relationship Id="rId64" Type="http://schemas.openxmlformats.org/officeDocument/2006/relationships/hyperlink" Target="https://www.mdanderson.org/documents/about-md-anderson/about-us/facts-and-history/quick-facts.pdf" TargetMode="External"/><Relationship Id="rId69" Type="http://schemas.openxmlformats.org/officeDocument/2006/relationships/hyperlink" Target="https://www.moffitt.org/contentassets/d49ae52b00f944f589bc060e91c0ce73/annual-report-2022.pdf" TargetMode="External"/><Relationship Id="rId8" Type="http://schemas.openxmlformats.org/officeDocument/2006/relationships/hyperlink" Target="https://www.cancer.gov/about-cancer/understanding/what-is-cancer" TargetMode="External"/><Relationship Id="rId51" Type="http://schemas.openxmlformats.org/officeDocument/2006/relationships/hyperlink" Target="https://thisweekinworcester.com/over-3-hours-wait-time-er-mass%20." TargetMode="External"/><Relationship Id="rId72" Type="http://schemas.openxmlformats.org/officeDocument/2006/relationships/hyperlink" Target="https://www.cancer.org/cancer/diagnosis-staging/tests/imaging-tests/mri-for-cancer.html" TargetMode="External"/><Relationship Id="rId3" Type="http://schemas.openxmlformats.org/officeDocument/2006/relationships/hyperlink" Target="https://www.cdc.gov/nchs/fastats/leading-causes-of-death.htm" TargetMode="External"/><Relationship Id="rId12" Type="http://schemas.openxmlformats.org/officeDocument/2006/relationships/hyperlink" Target="https://www.cancer.org/cancer/risk-prevention/chemicals.html" TargetMode="External"/><Relationship Id="rId17" Type="http://schemas.openxmlformats.org/officeDocument/2006/relationships/hyperlink" Target="https://www.cancer.gov/types/common-cancers" TargetMode="External"/><Relationship Id="rId25" Type="http://schemas.openxmlformats.org/officeDocument/2006/relationships/hyperlink" Target="https://ro-journal.biomedcentral.com/articles/10.1186/s13014-023-02221-8" TargetMode="External"/><Relationship Id="rId33" Type="http://schemas.openxmlformats.org/officeDocument/2006/relationships/hyperlink" Target="https://info.atlantisworldwide.com/blog/the-difference-between-a-ct-scanner-ct-simulator" TargetMode="External"/><Relationship Id="rId38" Type="http://schemas.openxmlformats.org/officeDocument/2006/relationships/hyperlink" Target="https://www.cdc.gov/pcd/issues/2021/21_0006.htm" TargetMode="External"/><Relationship Id="rId46" Type="http://schemas.openxmlformats.org/officeDocument/2006/relationships/hyperlink" Target="https://www.cancer.org/treatment/treatments-and-side-effects/treatment-types/immunotherapy/car-t-cell1.html" TargetMode="External"/><Relationship Id="rId59" Type="http://schemas.openxmlformats.org/officeDocument/2006/relationships/hyperlink" Target="https://moffitt.org/give/mckinley-expansion/" TargetMode="External"/><Relationship Id="rId67" Type="http://schemas.openxmlformats.org/officeDocument/2006/relationships/hyperlink" Target="https://cancer.osu.edu/locations/the-james-cancer-hospital-and-solove-research-institute" TargetMode="External"/><Relationship Id="rId20" Type="http://schemas.openxmlformats.org/officeDocument/2006/relationships/hyperlink" Target="https://hdpulse.nimhd.nih.gov/data-portal/quick-profile/25/incidence" TargetMode="External"/><Relationship Id="rId41" Type="http://schemas.openxmlformats.org/officeDocument/2006/relationships/hyperlink" Target="https://link.springer.com/chapter/10.1007/978-3-030-82052-7_3" TargetMode="External"/><Relationship Id="rId54" Type="http://schemas.openxmlformats.org/officeDocument/2006/relationships/hyperlink" Target="https://mhalink.informz.net/mhalink/data/images/ACloggedSystemMHAReport.pdf" TargetMode="External"/><Relationship Id="rId62" Type="http://schemas.openxmlformats.org/officeDocument/2006/relationships/hyperlink" Target="https://www.kvue.com/article/news/education/university-of-texas/ut-austin-md-anderson-dell-medical-school-hospital/269-b58cc457-1a0e-47b4-8b1c-4e87a202ce67" TargetMode="External"/><Relationship Id="rId70" Type="http://schemas.openxmlformats.org/officeDocument/2006/relationships/hyperlink" Target="https://www.cityofhope.org/sites/www/files/2022-05/implementation-strategy-2021-2023.pdf" TargetMode="External"/><Relationship Id="rId75" Type="http://schemas.openxmlformats.org/officeDocument/2006/relationships/hyperlink" Target="https://blog.dana-farber.org/insight/2022/01/dana-farber-becomes-in-network-provider-for-bmc-heathnet-plan/" TargetMode="External"/><Relationship Id="rId1" Type="http://schemas.openxmlformats.org/officeDocument/2006/relationships/hyperlink" Target="https://www.cdc.gov/nchs/pressroom/states/massachusetts/massachusetts.htm" TargetMode="External"/><Relationship Id="rId6" Type="http://schemas.openxmlformats.org/officeDocument/2006/relationships/hyperlink" Target="https://www.who.int/news-room/fact-sheets/detail/cancer" TargetMode="External"/><Relationship Id="rId15" Type="http://schemas.openxmlformats.org/officeDocument/2006/relationships/hyperlink" Target="https://www.cancer.gov/news-events/cancer-currents-blog/2018/sharpless-aging-cancer-research" TargetMode="External"/><Relationship Id="rId23" Type="http://schemas.openxmlformats.org/officeDocument/2006/relationships/hyperlink" Target="https://www.chiamass.gov/emergency-department-database-edd-reporting/" TargetMode="External"/><Relationship Id="rId28" Type="http://schemas.openxmlformats.org/officeDocument/2006/relationships/hyperlink" Target="https://www.thelancet.com/journals/lanonc/article/PIIS1470-2045(15)00222-3/fulltext" TargetMode="External"/><Relationship Id="rId36" Type="http://schemas.openxmlformats.org/officeDocument/2006/relationships/hyperlink" Target="https://www.prb.org/resources/fact-sheet-aging-in-the-united-states/" TargetMode="External"/><Relationship Id="rId49" Type="http://schemas.openxmlformats.org/officeDocument/2006/relationships/hyperlink" Target="https://www.chiamass.gov/emergency-department-database-edd-reporting/" TargetMode="External"/><Relationship Id="rId57" Type="http://schemas.openxmlformats.org/officeDocument/2006/relationships/hyperlink" Target="https://www.mskcc.org/news-releases/msk-plans-new-pavilion-ensure-greater-access-care-all-people-new-york-and-beyond" TargetMode="External"/><Relationship Id="rId10" Type="http://schemas.openxmlformats.org/officeDocument/2006/relationships/hyperlink" Target="https://www.cancer.org/treatment/understanding-your-diagnosis/what-is-cancer.html" TargetMode="External"/><Relationship Id="rId31" Type="http://schemas.openxmlformats.org/officeDocument/2006/relationships/hyperlink" Target="https://radonc.med.ufl.edu/patient-care/technologies-and-resources/treatment-techniques/" TargetMode="External"/><Relationship Id="rId44" Type="http://schemas.openxmlformats.org/officeDocument/2006/relationships/hyperlink" Target="https://www.lls.org/leukemia/acute-lymphoblastic-leukemia/treatment/chemotherapy" TargetMode="External"/><Relationship Id="rId52" Type="http://schemas.openxmlformats.org/officeDocument/2006/relationships/hyperlink" Target="https://thisweekinworcester.com/over-3-hours-wait-time-er-mass" TargetMode="External"/><Relationship Id="rId60" Type="http://schemas.openxmlformats.org/officeDocument/2006/relationships/hyperlink" Target="https://moffitt.org/give/mckinley-expansion/" TargetMode="External"/><Relationship Id="rId65" Type="http://schemas.openxmlformats.org/officeDocument/2006/relationships/hyperlink" Target="https://www.mskcc.org/about/history-milestones" TargetMode="External"/><Relationship Id="rId73" Type="http://schemas.openxmlformats.org/officeDocument/2006/relationships/hyperlink" Target="https://www.cancer.org/cancer/diagnosis-staging/tests/imaging-tests/mri-for-cancer.html" TargetMode="External"/><Relationship Id="rId4" Type="http://schemas.openxmlformats.org/officeDocument/2006/relationships/hyperlink" Target="https://www.cdc.gov/nchs/fastats/leading-causes-of-death.htm" TargetMode="External"/><Relationship Id="rId9" Type="http://schemas.openxmlformats.org/officeDocument/2006/relationships/hyperlink" Target="https://www.cancer.org/treatment/understanding-your-diagnosis/what-is-cancer.html" TargetMode="External"/><Relationship Id="rId13" Type="http://schemas.openxmlformats.org/officeDocument/2006/relationships/hyperlink" Target="https://www.cancer.gov/about-cancer/causes-prevention/risk/age" TargetMode="External"/><Relationship Id="rId18" Type="http://schemas.openxmlformats.org/officeDocument/2006/relationships/hyperlink" Target="https://www.cancer.gov/types/common-cancers" TargetMode="External"/><Relationship Id="rId39" Type="http://schemas.openxmlformats.org/officeDocument/2006/relationships/hyperlink" Target="https://thehill.com/policy/healthcare/4041032-cancer-rates-are-climbing-among-young-people-its-not-clear-why" TargetMode="External"/><Relationship Id="rId34" Type="http://schemas.openxmlformats.org/officeDocument/2006/relationships/hyperlink" Target="https://info.atlantisworldwide.com/blog/the-difference-between-a-ct-scanner-ct-simulator" TargetMode="External"/><Relationship Id="rId50" Type="http://schemas.openxmlformats.org/officeDocument/2006/relationships/hyperlink" Target="https://www.chiamass.gov/emergency-department-database-edd-reporting/" TargetMode="External"/><Relationship Id="rId55" Type="http://schemas.openxmlformats.org/officeDocument/2006/relationships/hyperlink" Target="https://www.cityofhope.org/lennar" TargetMode="External"/><Relationship Id="rId7" Type="http://schemas.openxmlformats.org/officeDocument/2006/relationships/hyperlink" Target="https://www.cancer.gov/about-cancer/understanding/what-is-cancer" TargetMode="External"/><Relationship Id="rId71" Type="http://schemas.openxmlformats.org/officeDocument/2006/relationships/hyperlink" Target="https://www.cityofhope.org/sites/www/files/2022-05/implementation-strategy-2021-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56</Pages>
  <Words>19284</Words>
  <Characters>109924</Characters>
  <Application>Microsoft Office Word</Application>
  <DocSecurity>0</DocSecurity>
  <Lines>916</Lines>
  <Paragraphs>257</Paragraphs>
  <ScaleCrop>false</ScaleCrop>
  <Company>Commonwealth of Massachusetts</Company>
  <LinksUpToDate>false</LinksUpToDate>
  <CharactersWithSpaces>128951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54</cp:revision>
  <cp:lastPrinted>1900-01-01T05:00:00Z</cp:lastPrinted>
  <dcterms:created xsi:type="dcterms:W3CDTF">1900-01-01T05:00:00Z</dcterms:created>
  <dcterms:modified xsi:type="dcterms:W3CDTF">2024-01-03T15:50:00Z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GMatter">
    <vt:lpwstr>SFCE-231</vt:lpwstr>
  </property>
</Properties>
</file>