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E09CE" w14:textId="15795DBD" w:rsidR="00700C96" w:rsidRDefault="00700C96" w:rsidP="00700C96">
      <w:bookmarkStart w:id="0" w:name="_GoBack"/>
      <w:bookmarkEnd w:id="0"/>
    </w:p>
    <w:p w14:paraId="448E0AF8" w14:textId="77777777" w:rsidR="00B8389C" w:rsidRDefault="00B8389C" w:rsidP="00657C53"/>
    <w:p w14:paraId="1847A32A" w14:textId="77777777" w:rsidR="00B8389C" w:rsidRDefault="00B8389C" w:rsidP="00657C53"/>
    <w:p w14:paraId="0F4B3849" w14:textId="77777777" w:rsidR="00B8389C" w:rsidRDefault="00B8389C" w:rsidP="00657C53"/>
    <w:p w14:paraId="53BAFA92" w14:textId="77777777" w:rsidR="00B8389C" w:rsidRDefault="00B8389C" w:rsidP="00657C53"/>
    <w:p w14:paraId="472B99C4" w14:textId="76366BBA" w:rsidR="00B8389C" w:rsidRDefault="00B8389C" w:rsidP="00B8389C">
      <w:pPr>
        <w:jc w:val="center"/>
      </w:pPr>
      <w:r>
        <w:t xml:space="preserve">Testimony of Amanda </w:t>
      </w:r>
      <w:proofErr w:type="spellStart"/>
      <w:r>
        <w:t>Mangaser</w:t>
      </w:r>
      <w:proofErr w:type="spellEnd"/>
      <w:r>
        <w:t xml:space="preserve"> Savage</w:t>
      </w:r>
    </w:p>
    <w:p w14:paraId="6EB6CF2A" w14:textId="59446CCD" w:rsidR="00B8389C" w:rsidRDefault="00B8389C" w:rsidP="00B8389C">
      <w:pPr>
        <w:jc w:val="center"/>
      </w:pPr>
      <w:r>
        <w:t>Attorney, Project on Predatory Student Lending</w:t>
      </w:r>
    </w:p>
    <w:p w14:paraId="20CFA6F3" w14:textId="310EDAFA" w:rsidR="00B8389C" w:rsidRDefault="00B8389C" w:rsidP="00B8389C">
      <w:pPr>
        <w:jc w:val="center"/>
      </w:pPr>
      <w:r>
        <w:t>Legal Services Center of Harvard Law School</w:t>
      </w:r>
    </w:p>
    <w:p w14:paraId="21F36EE1" w14:textId="2A95545E" w:rsidR="00B8389C" w:rsidRDefault="000219B3" w:rsidP="00B8389C">
      <w:pPr>
        <w:jc w:val="center"/>
      </w:pPr>
      <w:r>
        <w:t>__________________</w:t>
      </w:r>
    </w:p>
    <w:p w14:paraId="749B1B5E" w14:textId="77777777" w:rsidR="00B8389C" w:rsidRDefault="00B8389C" w:rsidP="00B8389C">
      <w:pPr>
        <w:jc w:val="center"/>
      </w:pPr>
    </w:p>
    <w:p w14:paraId="73F5482C" w14:textId="7E63BF53" w:rsidR="00B8389C" w:rsidRDefault="00B8389C" w:rsidP="00B8389C">
      <w:pPr>
        <w:jc w:val="center"/>
      </w:pPr>
      <w:r>
        <w:t xml:space="preserve">Submitted to the </w:t>
      </w:r>
      <w:r w:rsidR="009E730C">
        <w:t>Massachusetts</w:t>
      </w:r>
      <w:r w:rsidR="00D9444F">
        <w:t xml:space="preserve"> </w:t>
      </w:r>
      <w:r>
        <w:t>Special Commission</w:t>
      </w:r>
      <w:r w:rsidR="000219B3">
        <w:t xml:space="preserve"> on Interstate Reciprocity Agreements</w:t>
      </w:r>
    </w:p>
    <w:p w14:paraId="6643FD28" w14:textId="77777777" w:rsidR="00B8389C" w:rsidRDefault="00B8389C" w:rsidP="00B8389C">
      <w:pPr>
        <w:jc w:val="center"/>
      </w:pPr>
      <w:r>
        <w:t>___________________</w:t>
      </w:r>
    </w:p>
    <w:p w14:paraId="23DEC343" w14:textId="77777777" w:rsidR="00B8389C" w:rsidRDefault="00B8389C" w:rsidP="00B8389C">
      <w:pPr>
        <w:jc w:val="center"/>
      </w:pPr>
    </w:p>
    <w:p w14:paraId="5C5C11D3" w14:textId="1856435E" w:rsidR="000219B3" w:rsidRDefault="000219B3" w:rsidP="00B8389C">
      <w:pPr>
        <w:jc w:val="center"/>
      </w:pPr>
      <w:r>
        <w:t>Regarding Whether the Board of Higher Education Should Be Authorized to Enter into Interstate Reciprocity Agreements</w:t>
      </w:r>
    </w:p>
    <w:p w14:paraId="28350C94" w14:textId="77777777" w:rsidR="000219B3" w:rsidRDefault="000219B3" w:rsidP="000219B3">
      <w:pPr>
        <w:jc w:val="center"/>
      </w:pPr>
      <w:r>
        <w:t>___________________</w:t>
      </w:r>
    </w:p>
    <w:p w14:paraId="6378A232" w14:textId="77777777" w:rsidR="000219B3" w:rsidRDefault="000219B3" w:rsidP="00B8389C">
      <w:pPr>
        <w:jc w:val="center"/>
      </w:pPr>
    </w:p>
    <w:p w14:paraId="36D91D38" w14:textId="09AB4DE2" w:rsidR="00B8389C" w:rsidRDefault="00B8389C" w:rsidP="00B8389C">
      <w:pPr>
        <w:jc w:val="center"/>
      </w:pPr>
      <w:r>
        <w:t>September 14, 2016</w:t>
      </w:r>
    </w:p>
    <w:p w14:paraId="71547D82" w14:textId="77777777" w:rsidR="00700C96" w:rsidRDefault="00700C96" w:rsidP="00700C96"/>
    <w:p w14:paraId="0BD786D6" w14:textId="77777777" w:rsidR="00B8389C" w:rsidRDefault="00B8389C" w:rsidP="00700C96"/>
    <w:p w14:paraId="665C67E7" w14:textId="77777777" w:rsidR="00B8389C" w:rsidRDefault="00B8389C" w:rsidP="00700C96"/>
    <w:p w14:paraId="020AF08C" w14:textId="77777777" w:rsidR="00B8389C" w:rsidRDefault="00B8389C" w:rsidP="00700C96"/>
    <w:p w14:paraId="78BAE659" w14:textId="77777777" w:rsidR="00B8389C" w:rsidRDefault="00B8389C" w:rsidP="00700C96"/>
    <w:p w14:paraId="3523ED14" w14:textId="77777777" w:rsidR="00B8389C" w:rsidRDefault="00B8389C" w:rsidP="00700C96"/>
    <w:p w14:paraId="3E4AF5B4" w14:textId="77777777" w:rsidR="00B8389C" w:rsidRDefault="00B8389C" w:rsidP="00700C96"/>
    <w:p w14:paraId="5CC0C145" w14:textId="77777777" w:rsidR="00B8389C" w:rsidRDefault="00B8389C" w:rsidP="00700C96"/>
    <w:p w14:paraId="69C36DD3" w14:textId="77777777" w:rsidR="00B8389C" w:rsidRDefault="00B8389C" w:rsidP="00700C96"/>
    <w:p w14:paraId="095917DD" w14:textId="77777777" w:rsidR="00B8389C" w:rsidRDefault="00B8389C" w:rsidP="00700C96"/>
    <w:p w14:paraId="39F53574" w14:textId="77777777" w:rsidR="00B8389C" w:rsidRDefault="00B8389C" w:rsidP="00700C96"/>
    <w:p w14:paraId="0F107783" w14:textId="77777777" w:rsidR="00B8389C" w:rsidRDefault="00B8389C" w:rsidP="00700C96"/>
    <w:p w14:paraId="05C5A44D" w14:textId="77777777" w:rsidR="00B8389C" w:rsidRDefault="00B8389C" w:rsidP="00700C96"/>
    <w:p w14:paraId="0A3CCAEF" w14:textId="77777777" w:rsidR="00B8389C" w:rsidRDefault="00B8389C" w:rsidP="00700C96"/>
    <w:p w14:paraId="5941E5B3" w14:textId="77777777" w:rsidR="00B8389C" w:rsidRDefault="00B8389C" w:rsidP="00700C96"/>
    <w:p w14:paraId="5015EAAE" w14:textId="77777777" w:rsidR="00B8389C" w:rsidRDefault="00B8389C" w:rsidP="00700C96"/>
    <w:p w14:paraId="73D8E934" w14:textId="77777777" w:rsidR="00B8389C" w:rsidRDefault="00B8389C" w:rsidP="00700C96"/>
    <w:p w14:paraId="6377617B" w14:textId="77777777" w:rsidR="00B8389C" w:rsidRDefault="00B8389C" w:rsidP="00700C96"/>
    <w:p w14:paraId="75E3939B" w14:textId="77777777" w:rsidR="00B8389C" w:rsidRDefault="00B8389C" w:rsidP="00700C96"/>
    <w:p w14:paraId="36A29F0A" w14:textId="77777777" w:rsidR="00B8389C" w:rsidRDefault="00B8389C" w:rsidP="00700C96"/>
    <w:p w14:paraId="17BC1488" w14:textId="77777777" w:rsidR="00B8389C" w:rsidRDefault="00B8389C" w:rsidP="00700C96"/>
    <w:p w14:paraId="256C6D57" w14:textId="77777777" w:rsidR="00B8389C" w:rsidRDefault="00B8389C" w:rsidP="00700C96"/>
    <w:p w14:paraId="4BAB6478" w14:textId="77777777" w:rsidR="00B8389C" w:rsidRDefault="00B8389C" w:rsidP="00700C96"/>
    <w:p w14:paraId="093A1C79" w14:textId="77777777" w:rsidR="00B8389C" w:rsidRDefault="00B8389C" w:rsidP="00700C96"/>
    <w:p w14:paraId="15630F5F" w14:textId="77777777" w:rsidR="00B8389C" w:rsidRDefault="00B8389C" w:rsidP="00700C96"/>
    <w:p w14:paraId="145178F2" w14:textId="77777777" w:rsidR="00B8389C" w:rsidRDefault="00B8389C" w:rsidP="00700C96"/>
    <w:p w14:paraId="5007804D" w14:textId="77777777" w:rsidR="00B8389C" w:rsidRDefault="00B8389C" w:rsidP="00700C96">
      <w:r>
        <w:lastRenderedPageBreak/>
        <w:t xml:space="preserve">My name is Amanda </w:t>
      </w:r>
      <w:proofErr w:type="spellStart"/>
      <w:r>
        <w:t>Mangaser</w:t>
      </w:r>
      <w:proofErr w:type="spellEnd"/>
      <w:r>
        <w:t xml:space="preserve"> Savage. I am an attorney with the Project on Predatory Student Lending at the Legal Services Center of Harvard Law School. The Legal Services Center provides civil legal services to over 1,200 low-income clients annually, representing families in debt collection lawsuits, bankruptcies, eviction proceedings, domestic relations cases, and cases involving disability and veterans’ benefits.</w:t>
      </w:r>
    </w:p>
    <w:p w14:paraId="71F7EA67" w14:textId="77777777" w:rsidR="00B8389C" w:rsidRDefault="00B8389C" w:rsidP="00700C96"/>
    <w:p w14:paraId="2F633B39" w14:textId="1489307F" w:rsidR="00700C96" w:rsidRDefault="00B8389C" w:rsidP="00700C96">
      <w:pPr>
        <w:rPr>
          <w:szCs w:val="24"/>
        </w:rPr>
      </w:pPr>
      <w:r>
        <w:t xml:space="preserve">The Project on Predatory Student Lending represents low-income student loan borrowers who have been harmed by the predatory practices of for-profit schools, including </w:t>
      </w:r>
      <w:r w:rsidR="001A58FA">
        <w:t>online schools.</w:t>
      </w:r>
      <w:r w:rsidR="001A58FA" w:rsidRPr="001A58FA">
        <w:rPr>
          <w:rFonts w:ascii="Helvetica" w:hAnsi="Helvetica"/>
          <w:color w:val="5A5A5A"/>
          <w:sz w:val="20"/>
          <w:szCs w:val="20"/>
          <w:shd w:val="clear" w:color="auto" w:fill="FFFFFF"/>
        </w:rPr>
        <w:t xml:space="preserve"> </w:t>
      </w:r>
      <w:r w:rsidR="001A58FA" w:rsidRPr="001A58FA">
        <w:t>The Project al</w:t>
      </w:r>
      <w:r w:rsidR="001A58FA">
        <w:t>so brings the experiences of its</w:t>
      </w:r>
      <w:r w:rsidR="001A58FA" w:rsidRPr="001A58FA">
        <w:t xml:space="preserve"> clients to bear on state and </w:t>
      </w:r>
      <w:r w:rsidR="001A58FA">
        <w:t>f</w:t>
      </w:r>
      <w:r w:rsidR="0049706C">
        <w:t xml:space="preserve">ederal higher education policy. </w:t>
      </w:r>
      <w:r w:rsidR="001A58FA">
        <w:t xml:space="preserve">Toby Merrill, the Project’s director, served as a </w:t>
      </w:r>
      <w:r w:rsidR="00700C96">
        <w:rPr>
          <w:szCs w:val="24"/>
        </w:rPr>
        <w:t>negotiator representing legal aid organizations and their clients in the 2014 U.S. Department of Education negotiated rulemaking on state authorization requirements for schools providing distance education.</w:t>
      </w:r>
      <w:r w:rsidR="00700C96">
        <w:rPr>
          <w:rStyle w:val="FootnoteReference"/>
          <w:szCs w:val="24"/>
        </w:rPr>
        <w:footnoteReference w:id="1"/>
      </w:r>
      <w:r w:rsidR="00657C53">
        <w:rPr>
          <w:szCs w:val="24"/>
        </w:rPr>
        <w:t xml:space="preserve"> </w:t>
      </w:r>
    </w:p>
    <w:p w14:paraId="0CE3B3EE" w14:textId="77777777" w:rsidR="00700C96" w:rsidRDefault="00700C96" w:rsidP="00700C96">
      <w:pPr>
        <w:rPr>
          <w:szCs w:val="24"/>
        </w:rPr>
      </w:pPr>
    </w:p>
    <w:p w14:paraId="167A6A1C" w14:textId="4E2B97F7" w:rsidR="00700C96" w:rsidRDefault="001A58FA" w:rsidP="00700C96">
      <w:pPr>
        <w:autoSpaceDE w:val="0"/>
        <w:autoSpaceDN w:val="0"/>
        <w:adjustRightInd w:val="0"/>
        <w:rPr>
          <w:szCs w:val="24"/>
        </w:rPr>
      </w:pPr>
      <w:r>
        <w:rPr>
          <w:szCs w:val="24"/>
        </w:rPr>
        <w:t xml:space="preserve">Through our work on behalf of our </w:t>
      </w:r>
      <w:r w:rsidR="00700C96">
        <w:rPr>
          <w:szCs w:val="24"/>
        </w:rPr>
        <w:t xml:space="preserve">clients and </w:t>
      </w:r>
      <w:r>
        <w:rPr>
          <w:szCs w:val="24"/>
        </w:rPr>
        <w:t xml:space="preserve">community partners, we are </w:t>
      </w:r>
      <w:r w:rsidR="00700C96">
        <w:rPr>
          <w:szCs w:val="24"/>
        </w:rPr>
        <w:t>familiar with the unfair and deceptive methods and practices employed by many for-profit</w:t>
      </w:r>
      <w:r>
        <w:rPr>
          <w:szCs w:val="24"/>
        </w:rPr>
        <w:t xml:space="preserve"> schools</w:t>
      </w:r>
      <w:r w:rsidR="005E6375">
        <w:rPr>
          <w:szCs w:val="24"/>
        </w:rPr>
        <w:t xml:space="preserve">, including </w:t>
      </w:r>
      <w:r w:rsidR="00700C96">
        <w:rPr>
          <w:szCs w:val="24"/>
        </w:rPr>
        <w:t>deceptive advertisements, unrelenting recruiting, the absence of promised academic and career development s</w:t>
      </w:r>
      <w:r w:rsidR="00873428">
        <w:rPr>
          <w:szCs w:val="24"/>
        </w:rPr>
        <w:t>upport, and draconian contracts presented to individuals</w:t>
      </w:r>
      <w:r w:rsidR="0015641A">
        <w:rPr>
          <w:szCs w:val="24"/>
        </w:rPr>
        <w:t xml:space="preserve"> with non</w:t>
      </w:r>
      <w:r w:rsidR="00700C96">
        <w:rPr>
          <w:szCs w:val="24"/>
        </w:rPr>
        <w:t xml:space="preserve">traditional backgrounds or those </w:t>
      </w:r>
      <w:r w:rsidR="00873428">
        <w:rPr>
          <w:szCs w:val="24"/>
        </w:rPr>
        <w:t xml:space="preserve">just barely old enough to sign. </w:t>
      </w:r>
      <w:r w:rsidR="00700C96" w:rsidRPr="00B02795">
        <w:rPr>
          <w:szCs w:val="24"/>
        </w:rPr>
        <w:t>Our clients</w:t>
      </w:r>
      <w:r w:rsidR="00BD250E">
        <w:rPr>
          <w:szCs w:val="24"/>
        </w:rPr>
        <w:t>, some of whom have attended online programs offered by</w:t>
      </w:r>
      <w:r w:rsidR="002A4CB6">
        <w:rPr>
          <w:szCs w:val="24"/>
        </w:rPr>
        <w:t xml:space="preserve"> out-of-state schools in Massachusetts,</w:t>
      </w:r>
      <w:r w:rsidR="00700C96" w:rsidRPr="00B02795">
        <w:rPr>
          <w:szCs w:val="24"/>
        </w:rPr>
        <w:t xml:space="preserve"> </w:t>
      </w:r>
      <w:r w:rsidR="00700C96">
        <w:rPr>
          <w:szCs w:val="24"/>
        </w:rPr>
        <w:t>come to us with crushing and unaffordable student loan debt in the form of federal, private, a</w:t>
      </w:r>
      <w:r w:rsidR="002A4CB6">
        <w:rPr>
          <w:szCs w:val="24"/>
        </w:rPr>
        <w:t>nd institutional student loans.</w:t>
      </w:r>
      <w:r w:rsidR="00700C96">
        <w:rPr>
          <w:szCs w:val="24"/>
        </w:rPr>
        <w:t xml:space="preserve"> Their debt often results from enrollment in programs that they never completed, in service of credentials they never obtain</w:t>
      </w:r>
      <w:r w:rsidR="00873428">
        <w:rPr>
          <w:szCs w:val="24"/>
        </w:rPr>
        <w:t xml:space="preserve">ed. </w:t>
      </w:r>
      <w:proofErr w:type="gramStart"/>
      <w:r w:rsidR="00700C96">
        <w:rPr>
          <w:szCs w:val="24"/>
        </w:rPr>
        <w:t xml:space="preserve">Others complete programs only to find no realistic possibility of obtaining the promised employment opportunities that </w:t>
      </w:r>
      <w:r w:rsidR="00873428">
        <w:rPr>
          <w:szCs w:val="24"/>
        </w:rPr>
        <w:t>induced them to incur the debt.</w:t>
      </w:r>
      <w:proofErr w:type="gramEnd"/>
      <w:r w:rsidR="0042211C">
        <w:rPr>
          <w:szCs w:val="24"/>
        </w:rPr>
        <w:t xml:space="preserve"> </w:t>
      </w:r>
    </w:p>
    <w:p w14:paraId="3ACE526E" w14:textId="77777777" w:rsidR="00700C96" w:rsidRPr="00873428" w:rsidRDefault="00700C96" w:rsidP="00873428">
      <w:pPr>
        <w:keepNext/>
        <w:autoSpaceDE w:val="0"/>
        <w:autoSpaceDN w:val="0"/>
        <w:adjustRightInd w:val="0"/>
        <w:rPr>
          <w:szCs w:val="24"/>
        </w:rPr>
      </w:pPr>
    </w:p>
    <w:p w14:paraId="183D12D7" w14:textId="3EED4759" w:rsidR="00700C96" w:rsidRDefault="00B66E33" w:rsidP="00700C96">
      <w:pPr>
        <w:autoSpaceDE w:val="0"/>
        <w:autoSpaceDN w:val="0"/>
        <w:adjustRightInd w:val="0"/>
        <w:rPr>
          <w:szCs w:val="24"/>
        </w:rPr>
      </w:pPr>
      <w:r>
        <w:rPr>
          <w:szCs w:val="24"/>
        </w:rPr>
        <w:t>For the following reasons, we</w:t>
      </w:r>
      <w:r w:rsidR="00700C96">
        <w:rPr>
          <w:szCs w:val="24"/>
        </w:rPr>
        <w:t xml:space="preserve"> have serious concerns about the proposal to enable </w:t>
      </w:r>
      <w:r w:rsidR="00873428">
        <w:rPr>
          <w:szCs w:val="24"/>
        </w:rPr>
        <w:t xml:space="preserve">the Board of Higher Education </w:t>
      </w:r>
      <w:r w:rsidR="00700C96">
        <w:rPr>
          <w:szCs w:val="24"/>
        </w:rPr>
        <w:t xml:space="preserve">to </w:t>
      </w:r>
      <w:r w:rsidR="00873428">
        <w:rPr>
          <w:szCs w:val="24"/>
        </w:rPr>
        <w:t>enter into</w:t>
      </w:r>
      <w:r w:rsidR="00700C96">
        <w:rPr>
          <w:szCs w:val="24"/>
        </w:rPr>
        <w:t xml:space="preserve"> a</w:t>
      </w:r>
      <w:r>
        <w:rPr>
          <w:szCs w:val="24"/>
        </w:rPr>
        <w:t>n interstate reciprocity agreement.</w:t>
      </w:r>
    </w:p>
    <w:p w14:paraId="7A088384" w14:textId="77777777" w:rsidR="00700C96" w:rsidRDefault="00700C96" w:rsidP="00700C96">
      <w:pPr>
        <w:autoSpaceDE w:val="0"/>
        <w:autoSpaceDN w:val="0"/>
        <w:adjustRightInd w:val="0"/>
        <w:rPr>
          <w:szCs w:val="24"/>
        </w:rPr>
      </w:pPr>
    </w:p>
    <w:p w14:paraId="33AA4EBF" w14:textId="5E755929" w:rsidR="00700C96" w:rsidRDefault="00B66E33" w:rsidP="00B66E33">
      <w:pPr>
        <w:widowControl w:val="0"/>
        <w:autoSpaceDE w:val="0"/>
        <w:autoSpaceDN w:val="0"/>
        <w:adjustRightInd w:val="0"/>
        <w:rPr>
          <w:szCs w:val="24"/>
        </w:rPr>
      </w:pPr>
      <w:r>
        <w:rPr>
          <w:szCs w:val="24"/>
        </w:rPr>
        <w:t>First, a</w:t>
      </w:r>
      <w:r w:rsidR="0015641A">
        <w:rPr>
          <w:szCs w:val="24"/>
        </w:rPr>
        <w:t>lthough this Commission has been tasked with examining and making recommendations to the General Court regarding whether the Board of Higher Education should be authorized to enter into “interstate reciprocity agreements,” only one such agreement currently exists, operating nationall</w:t>
      </w:r>
      <w:r>
        <w:rPr>
          <w:szCs w:val="24"/>
        </w:rPr>
        <w:t xml:space="preserve">y as NC-SARA (SARA). </w:t>
      </w:r>
      <w:r w:rsidR="0015641A">
        <w:rPr>
          <w:szCs w:val="24"/>
        </w:rPr>
        <w:t xml:space="preserve">The purpose of </w:t>
      </w:r>
      <w:r>
        <w:rPr>
          <w:szCs w:val="24"/>
        </w:rPr>
        <w:t>SARA</w:t>
      </w:r>
      <w:r w:rsidR="0015641A">
        <w:rPr>
          <w:szCs w:val="24"/>
        </w:rPr>
        <w:t xml:space="preserve"> is to enable all participating schools in all participating states to offer </w:t>
      </w:r>
      <w:r w:rsidR="00700C96">
        <w:rPr>
          <w:szCs w:val="24"/>
        </w:rPr>
        <w:t xml:space="preserve">distance education—most typically, </w:t>
      </w:r>
      <w:r w:rsidR="003A21A6">
        <w:rPr>
          <w:szCs w:val="24"/>
        </w:rPr>
        <w:t>online programs</w:t>
      </w:r>
      <w:r w:rsidR="00700C96">
        <w:rPr>
          <w:szCs w:val="24"/>
        </w:rPr>
        <w:t>—to students in any other participating state, without submitting to the distant state’s authorizing and oversight procedures. For a state to participate in SARA, it must waive its own requirements, procedures, and standards for the approval of foreign schools providing distance education</w:t>
      </w:r>
      <w:r w:rsidR="003A21A6">
        <w:rPr>
          <w:szCs w:val="24"/>
        </w:rPr>
        <w:t>,</w:t>
      </w:r>
      <w:r w:rsidR="00700C96">
        <w:rPr>
          <w:szCs w:val="24"/>
        </w:rPr>
        <w:t xml:space="preserve"> and instead use SARA’s requirements, procedures, and standards.</w:t>
      </w:r>
      <w:r w:rsidR="00700C96">
        <w:rPr>
          <w:rStyle w:val="FootnoteReference"/>
          <w:szCs w:val="24"/>
        </w:rPr>
        <w:footnoteReference w:id="2"/>
      </w:r>
      <w:r w:rsidR="00700C96">
        <w:rPr>
          <w:szCs w:val="24"/>
        </w:rPr>
        <w:t xml:space="preserve"> Moreover, the state must agree </w:t>
      </w:r>
      <w:r>
        <w:rPr>
          <w:szCs w:val="24"/>
        </w:rPr>
        <w:t>to</w:t>
      </w:r>
      <w:r w:rsidR="00700C96">
        <w:rPr>
          <w:szCs w:val="24"/>
        </w:rPr>
        <w:t xml:space="preserve"> enforce </w:t>
      </w:r>
      <w:r>
        <w:rPr>
          <w:szCs w:val="24"/>
        </w:rPr>
        <w:t>only “general-</w:t>
      </w:r>
      <w:r w:rsidR="00700C96">
        <w:rPr>
          <w:szCs w:val="24"/>
        </w:rPr>
        <w:t>purpose laws” against foreign schools participating in SARA, and not laws that specifically regulate the provision of higher education.</w:t>
      </w:r>
      <w:r w:rsidR="00700C96">
        <w:rPr>
          <w:rStyle w:val="FootnoteReference"/>
          <w:szCs w:val="24"/>
        </w:rPr>
        <w:footnoteReference w:id="3"/>
      </w:r>
    </w:p>
    <w:p w14:paraId="279BCF87" w14:textId="77777777" w:rsidR="00700C96" w:rsidRDefault="00700C96" w:rsidP="00B66E33">
      <w:pPr>
        <w:widowControl w:val="0"/>
        <w:autoSpaceDE w:val="0"/>
        <w:autoSpaceDN w:val="0"/>
        <w:adjustRightInd w:val="0"/>
        <w:rPr>
          <w:szCs w:val="24"/>
        </w:rPr>
      </w:pPr>
    </w:p>
    <w:p w14:paraId="1F75353A" w14:textId="686B5350" w:rsidR="00700C96" w:rsidRDefault="00700C96" w:rsidP="00B66E33">
      <w:pPr>
        <w:widowControl w:val="0"/>
        <w:autoSpaceDE w:val="0"/>
        <w:autoSpaceDN w:val="0"/>
        <w:adjustRightInd w:val="0"/>
        <w:rPr>
          <w:szCs w:val="24"/>
        </w:rPr>
      </w:pPr>
      <w:r>
        <w:rPr>
          <w:szCs w:val="24"/>
        </w:rPr>
        <w:t>Participation in SARA</w:t>
      </w:r>
      <w:r w:rsidR="006B13C4">
        <w:rPr>
          <w:szCs w:val="24"/>
        </w:rPr>
        <w:t xml:space="preserve"> thus</w:t>
      </w:r>
      <w:r>
        <w:rPr>
          <w:szCs w:val="24"/>
        </w:rPr>
        <w:t xml:space="preserve"> threatens to undermine the critical role that states play in the “triad” </w:t>
      </w:r>
      <w:r>
        <w:rPr>
          <w:szCs w:val="24"/>
        </w:rPr>
        <w:lastRenderedPageBreak/>
        <w:t>of higher education oversight.</w:t>
      </w:r>
      <w:r>
        <w:rPr>
          <w:rStyle w:val="FootnoteReference"/>
          <w:szCs w:val="24"/>
        </w:rPr>
        <w:footnoteReference w:id="4"/>
      </w:r>
      <w:r w:rsidR="00B66E33">
        <w:rPr>
          <w:szCs w:val="24"/>
        </w:rPr>
        <w:t xml:space="preserve"> An institution is eligible </w:t>
      </w:r>
      <w:r>
        <w:rPr>
          <w:szCs w:val="24"/>
        </w:rPr>
        <w:t xml:space="preserve">to participate in federal financial aid programs only to the extent that it is authorized by the </w:t>
      </w:r>
      <w:r w:rsidR="00B66E33">
        <w:rPr>
          <w:szCs w:val="24"/>
        </w:rPr>
        <w:t>state in which it is operating.</w:t>
      </w:r>
      <w:r>
        <w:rPr>
          <w:szCs w:val="24"/>
        </w:rPr>
        <w:t xml:space="preserve"> Such state authorization is intended to protect a state’s sovereign prerogative of degree-granting authority.  States are also expected to act in their traditional consumer protection role by revoking or limiting the authorization of institutions of higher education that harm citizens of the state. This role has </w:t>
      </w:r>
      <w:r w:rsidR="00AE6C74">
        <w:rPr>
          <w:szCs w:val="24"/>
        </w:rPr>
        <w:t xml:space="preserve">become increasingly significant </w:t>
      </w:r>
      <w:r>
        <w:rPr>
          <w:szCs w:val="24"/>
        </w:rPr>
        <w:t>as the federal Department of Education has shown time and again that it is not up to the task of policing the predatory for-profit schools that it funds. When a state joins SARA, it must agree to accept a foreign institution’s accreditation as sufficient evidence of quality to approve it to operate</w:t>
      </w:r>
      <w:r>
        <w:rPr>
          <w:rStyle w:val="FootnoteReference"/>
          <w:szCs w:val="24"/>
        </w:rPr>
        <w:footnoteReference w:id="5"/>
      </w:r>
      <w:r>
        <w:rPr>
          <w:szCs w:val="24"/>
        </w:rPr>
        <w:t xml:space="preserve"> and must agree not to enforce any state standards or laws regulating </w:t>
      </w:r>
      <w:r w:rsidR="006B13C4">
        <w:rPr>
          <w:szCs w:val="24"/>
        </w:rPr>
        <w:t>institutions of higher education</w:t>
      </w:r>
      <w:r>
        <w:rPr>
          <w:szCs w:val="24"/>
        </w:rPr>
        <w:t xml:space="preserve"> against SARA schools.</w:t>
      </w:r>
      <w:r>
        <w:rPr>
          <w:rStyle w:val="FootnoteReference"/>
          <w:szCs w:val="24"/>
        </w:rPr>
        <w:footnoteReference w:id="6"/>
      </w:r>
      <w:r>
        <w:rPr>
          <w:szCs w:val="24"/>
        </w:rPr>
        <w:t xml:space="preserve"> These requirements cut the triad from three legs to two</w:t>
      </w:r>
      <w:r w:rsidR="008E654C">
        <w:rPr>
          <w:szCs w:val="24"/>
        </w:rPr>
        <w:t xml:space="preserve"> at a time when more oversight is sorely needed.</w:t>
      </w:r>
      <w:r w:rsidR="00AE6C74">
        <w:rPr>
          <w:szCs w:val="24"/>
        </w:rPr>
        <w:t xml:space="preserve"> </w:t>
      </w:r>
    </w:p>
    <w:p w14:paraId="24BC573C" w14:textId="77777777" w:rsidR="00AE6C74" w:rsidRDefault="00AE6C74" w:rsidP="00B66E33">
      <w:pPr>
        <w:widowControl w:val="0"/>
        <w:autoSpaceDE w:val="0"/>
        <w:autoSpaceDN w:val="0"/>
        <w:adjustRightInd w:val="0"/>
        <w:rPr>
          <w:szCs w:val="24"/>
        </w:rPr>
      </w:pPr>
    </w:p>
    <w:p w14:paraId="78681EF1" w14:textId="53AFD753" w:rsidR="00AE6C74" w:rsidRDefault="00AE6C74" w:rsidP="00AE6C74">
      <w:pPr>
        <w:autoSpaceDE w:val="0"/>
        <w:autoSpaceDN w:val="0"/>
        <w:adjustRightInd w:val="0"/>
        <w:rPr>
          <w:szCs w:val="24"/>
        </w:rPr>
      </w:pPr>
      <w:r>
        <w:rPr>
          <w:szCs w:val="24"/>
        </w:rPr>
        <w:t>Massachusetts students are protected b</w:t>
      </w:r>
      <w:r w:rsidR="005636A4">
        <w:rPr>
          <w:szCs w:val="24"/>
        </w:rPr>
        <w:t xml:space="preserve">y rigorous regulations specific </w:t>
      </w:r>
      <w:r>
        <w:rPr>
          <w:szCs w:val="24"/>
        </w:rPr>
        <w:t xml:space="preserve">to for-profit schools, including </w:t>
      </w:r>
      <w:r w:rsidR="00837730">
        <w:rPr>
          <w:szCs w:val="24"/>
        </w:rPr>
        <w:t>online schools</w:t>
      </w:r>
      <w:r>
        <w:rPr>
          <w:szCs w:val="24"/>
        </w:rPr>
        <w:t>.</w:t>
      </w:r>
      <w:r w:rsidR="008C023B">
        <w:rPr>
          <w:rStyle w:val="FootnoteReference"/>
          <w:szCs w:val="24"/>
        </w:rPr>
        <w:footnoteReference w:id="7"/>
      </w:r>
      <w:r>
        <w:rPr>
          <w:szCs w:val="24"/>
        </w:rPr>
        <w:t xml:space="preserve"> These regulations were enacted by the Massachusetts Attorney General in 2014, in light of extensive evidence of fraud, malfeasance, and harm to Massac</w:t>
      </w:r>
      <w:r w:rsidR="005636A4">
        <w:rPr>
          <w:szCs w:val="24"/>
        </w:rPr>
        <w:t>husetts students and borrowers.</w:t>
      </w:r>
      <w:r w:rsidR="005636A4" w:rsidRPr="005636A4">
        <w:rPr>
          <w:szCs w:val="24"/>
        </w:rPr>
        <w:t xml:space="preserve"> </w:t>
      </w:r>
      <w:r w:rsidR="005636A4">
        <w:rPr>
          <w:szCs w:val="24"/>
        </w:rPr>
        <w:t xml:space="preserve">Under the current SARA, however, the Commonwealth would be required to agree </w:t>
      </w:r>
      <w:r w:rsidR="005636A4" w:rsidRPr="006571A6">
        <w:rPr>
          <w:szCs w:val="24"/>
        </w:rPr>
        <w:t>not to apply</w:t>
      </w:r>
      <w:r w:rsidR="005636A4">
        <w:rPr>
          <w:szCs w:val="24"/>
        </w:rPr>
        <w:t xml:space="preserve"> those regulations to foreign SARA-member institutions providing online education to students in Massachusetts. The Commonwealth’s p</w:t>
      </w:r>
      <w:r>
        <w:rPr>
          <w:szCs w:val="24"/>
        </w:rPr>
        <w:t xml:space="preserve">articipation in SARA </w:t>
      </w:r>
      <w:r w:rsidR="005636A4">
        <w:rPr>
          <w:szCs w:val="24"/>
        </w:rPr>
        <w:t>would thus waive or nullify these</w:t>
      </w:r>
      <w:r>
        <w:rPr>
          <w:szCs w:val="24"/>
        </w:rPr>
        <w:t xml:space="preserve"> important educational and consumer protections</w:t>
      </w:r>
      <w:r w:rsidR="005636A4">
        <w:rPr>
          <w:szCs w:val="24"/>
        </w:rPr>
        <w:t>,</w:t>
      </w:r>
      <w:r>
        <w:rPr>
          <w:szCs w:val="24"/>
        </w:rPr>
        <w:t xml:space="preserve"> to the detrim</w:t>
      </w:r>
      <w:r w:rsidR="005636A4">
        <w:rPr>
          <w:szCs w:val="24"/>
        </w:rPr>
        <w:t xml:space="preserve">ent of Massachusetts residents and </w:t>
      </w:r>
      <w:r>
        <w:rPr>
          <w:szCs w:val="24"/>
        </w:rPr>
        <w:t>for the benefit of</w:t>
      </w:r>
      <w:r w:rsidR="00D9444F">
        <w:rPr>
          <w:szCs w:val="24"/>
        </w:rPr>
        <w:t xml:space="preserve"> out-of-state</w:t>
      </w:r>
      <w:r>
        <w:rPr>
          <w:szCs w:val="24"/>
        </w:rPr>
        <w:t xml:space="preserve"> </w:t>
      </w:r>
      <w:r w:rsidR="005636A4">
        <w:rPr>
          <w:szCs w:val="24"/>
        </w:rPr>
        <w:t xml:space="preserve">institutional providers of online education, </w:t>
      </w:r>
      <w:r>
        <w:rPr>
          <w:szCs w:val="24"/>
        </w:rPr>
        <w:t>many of which have a poor track record of serving and protecting consumers.</w:t>
      </w:r>
      <w:r>
        <w:rPr>
          <w:rStyle w:val="FootnoteReference"/>
          <w:szCs w:val="24"/>
        </w:rPr>
        <w:footnoteReference w:id="8"/>
      </w:r>
      <w:r>
        <w:rPr>
          <w:szCs w:val="24"/>
        </w:rPr>
        <w:t xml:space="preserve"> While we have serious doubts that </w:t>
      </w:r>
      <w:r w:rsidR="005636A4">
        <w:rPr>
          <w:szCs w:val="24"/>
        </w:rPr>
        <w:t>an</w:t>
      </w:r>
      <w:r>
        <w:rPr>
          <w:szCs w:val="24"/>
        </w:rPr>
        <w:t xml:space="preserve"> amendment to General Laws Chapter 15A</w:t>
      </w:r>
      <w:r w:rsidR="005636A4">
        <w:rPr>
          <w:szCs w:val="24"/>
        </w:rPr>
        <w:t>,</w:t>
      </w:r>
      <w:r>
        <w:rPr>
          <w:szCs w:val="24"/>
        </w:rPr>
        <w:t xml:space="preserve"> Section 9 would be sufficient to authorize the Board </w:t>
      </w:r>
      <w:r w:rsidR="005636A4">
        <w:rPr>
          <w:szCs w:val="24"/>
        </w:rPr>
        <w:t xml:space="preserve">of Higher Education to override </w:t>
      </w:r>
      <w:r>
        <w:rPr>
          <w:szCs w:val="24"/>
        </w:rPr>
        <w:t xml:space="preserve">the duly-enacted regulations of the Attorney General, we believe that such an override would be ill-considered and harmful. </w:t>
      </w:r>
    </w:p>
    <w:p w14:paraId="6E87BAF9" w14:textId="77777777" w:rsidR="00700C96" w:rsidRDefault="00700C96" w:rsidP="00700C96">
      <w:pPr>
        <w:autoSpaceDE w:val="0"/>
        <w:autoSpaceDN w:val="0"/>
        <w:adjustRightInd w:val="0"/>
        <w:rPr>
          <w:szCs w:val="24"/>
        </w:rPr>
      </w:pPr>
    </w:p>
    <w:p w14:paraId="35AC3087" w14:textId="4EC4D7F1" w:rsidR="00700C96" w:rsidRDefault="005636A4" w:rsidP="00EF0FA3">
      <w:pPr>
        <w:widowControl w:val="0"/>
        <w:autoSpaceDE w:val="0"/>
        <w:autoSpaceDN w:val="0"/>
        <w:adjustRightInd w:val="0"/>
        <w:rPr>
          <w:szCs w:val="24"/>
        </w:rPr>
      </w:pPr>
      <w:r>
        <w:rPr>
          <w:szCs w:val="24"/>
        </w:rPr>
        <w:t>Furthermore, the Commonwealth’s par</w:t>
      </w:r>
      <w:r w:rsidR="00EF0FA3">
        <w:rPr>
          <w:szCs w:val="24"/>
        </w:rPr>
        <w:t>ticipation in the current SARA w</w:t>
      </w:r>
      <w:r>
        <w:rPr>
          <w:szCs w:val="24"/>
        </w:rPr>
        <w:t xml:space="preserve">ould create a two-tier </w:t>
      </w:r>
      <w:r w:rsidR="00EF0FA3">
        <w:rPr>
          <w:szCs w:val="24"/>
        </w:rPr>
        <w:t>system in which Massachusetts students enrolled in out-of-state online programs would be much more vulnerable than otherwise similarly-situated students in in-state online programs. B</w:t>
      </w:r>
      <w:r w:rsidR="00700C96">
        <w:rPr>
          <w:szCs w:val="24"/>
        </w:rPr>
        <w:t xml:space="preserve">ecause not every institution in </w:t>
      </w:r>
      <w:r w:rsidR="00EF0FA3">
        <w:rPr>
          <w:szCs w:val="24"/>
        </w:rPr>
        <w:t>the Commonwealth would</w:t>
      </w:r>
      <w:r w:rsidR="00700C96">
        <w:rPr>
          <w:szCs w:val="24"/>
        </w:rPr>
        <w:t xml:space="preserve"> </w:t>
      </w:r>
      <w:r>
        <w:rPr>
          <w:szCs w:val="24"/>
        </w:rPr>
        <w:t xml:space="preserve">necessarily join </w:t>
      </w:r>
      <w:r w:rsidR="00EF0FA3">
        <w:rPr>
          <w:szCs w:val="24"/>
        </w:rPr>
        <w:t xml:space="preserve">SARA, students in Massachusetts would </w:t>
      </w:r>
      <w:r w:rsidR="00700C96">
        <w:rPr>
          <w:szCs w:val="24"/>
        </w:rPr>
        <w:t xml:space="preserve">have different rights and protections depending on whether the school they </w:t>
      </w:r>
      <w:r w:rsidR="00EF0FA3">
        <w:rPr>
          <w:szCs w:val="24"/>
        </w:rPr>
        <w:t>chose was participating</w:t>
      </w:r>
      <w:r w:rsidR="00700C96">
        <w:rPr>
          <w:szCs w:val="24"/>
        </w:rPr>
        <w:t>.</w:t>
      </w:r>
      <w:r w:rsidR="00EF0FA3">
        <w:rPr>
          <w:szCs w:val="24"/>
        </w:rPr>
        <w:t xml:space="preserve"> These rights and protections could be extraordinarily disparate, because </w:t>
      </w:r>
      <w:r w:rsidR="00AE6C74">
        <w:rPr>
          <w:szCs w:val="24"/>
        </w:rPr>
        <w:t>f</w:t>
      </w:r>
      <w:r w:rsidR="00700C96">
        <w:rPr>
          <w:szCs w:val="24"/>
        </w:rPr>
        <w:t xml:space="preserve">oreign schools are subject only to the rules of SARA and the rules of their “home” state—allowing for a regulatory race to the bottom by states wishing to attract the revenue of </w:t>
      </w:r>
      <w:r w:rsidR="00FB56FD">
        <w:rPr>
          <w:szCs w:val="24"/>
        </w:rPr>
        <w:t xml:space="preserve">online </w:t>
      </w:r>
      <w:r w:rsidR="00700C96">
        <w:rPr>
          <w:szCs w:val="24"/>
        </w:rPr>
        <w:t>education providers without concern for the opportunities and products offered to students.</w:t>
      </w:r>
      <w:r w:rsidR="00700C96">
        <w:rPr>
          <w:rStyle w:val="FootnoteReference"/>
          <w:szCs w:val="24"/>
        </w:rPr>
        <w:footnoteReference w:id="9"/>
      </w:r>
      <w:r w:rsidR="00EF0FA3">
        <w:rPr>
          <w:szCs w:val="24"/>
        </w:rPr>
        <w:t xml:space="preserve"> </w:t>
      </w:r>
    </w:p>
    <w:p w14:paraId="40F5A9E0" w14:textId="77777777" w:rsidR="00EF0FA3" w:rsidRDefault="00EF0FA3" w:rsidP="00EF0FA3">
      <w:pPr>
        <w:widowControl w:val="0"/>
        <w:autoSpaceDE w:val="0"/>
        <w:autoSpaceDN w:val="0"/>
        <w:adjustRightInd w:val="0"/>
        <w:rPr>
          <w:szCs w:val="24"/>
        </w:rPr>
      </w:pPr>
    </w:p>
    <w:p w14:paraId="2B82BAC9" w14:textId="5FF9FCE1" w:rsidR="00EF0FA3" w:rsidRDefault="00EF0FA3" w:rsidP="00EF0FA3">
      <w:pPr>
        <w:widowControl w:val="0"/>
        <w:autoSpaceDE w:val="0"/>
        <w:autoSpaceDN w:val="0"/>
        <w:adjustRightInd w:val="0"/>
        <w:rPr>
          <w:szCs w:val="24"/>
        </w:rPr>
      </w:pPr>
      <w:r>
        <w:rPr>
          <w:szCs w:val="24"/>
        </w:rPr>
        <w:t xml:space="preserve">Massachusetts students deserve the continued care and attention of the Commonwealth and its </w:t>
      </w:r>
      <w:r>
        <w:rPr>
          <w:szCs w:val="24"/>
        </w:rPr>
        <w:lastRenderedPageBreak/>
        <w:t>agencies to ensure that the higher education offered here continues to be among the best in the world.</w:t>
      </w:r>
      <w:r w:rsidR="00A06478">
        <w:rPr>
          <w:szCs w:val="24"/>
        </w:rPr>
        <w:t xml:space="preserve"> Thus, to the extent that any interstate reciprocity agreement, such as the current SARA, bars the Commonwealth from enforcing its own laws, including consumer protection laws and regulations specific to higher education, Massachusetts should not enter it, nor should it authorize any agency to do so on its behalf.</w:t>
      </w:r>
    </w:p>
    <w:p w14:paraId="72A5DC1B" w14:textId="77777777" w:rsidR="00A06478" w:rsidRDefault="00A06478" w:rsidP="00EF0FA3">
      <w:pPr>
        <w:widowControl w:val="0"/>
        <w:autoSpaceDE w:val="0"/>
        <w:autoSpaceDN w:val="0"/>
        <w:adjustRightInd w:val="0"/>
        <w:rPr>
          <w:szCs w:val="24"/>
        </w:rPr>
      </w:pPr>
    </w:p>
    <w:p w14:paraId="1467345C" w14:textId="5650611F" w:rsidR="00A06478" w:rsidRDefault="00A06478" w:rsidP="00EF0FA3">
      <w:pPr>
        <w:widowControl w:val="0"/>
        <w:autoSpaceDE w:val="0"/>
        <w:autoSpaceDN w:val="0"/>
        <w:adjustRightInd w:val="0"/>
        <w:rPr>
          <w:szCs w:val="24"/>
        </w:rPr>
      </w:pPr>
      <w:r>
        <w:rPr>
          <w:szCs w:val="24"/>
        </w:rPr>
        <w:t xml:space="preserve">Thank you for your consideration of this testimony. If you have any questions or comments, please contact Amanda </w:t>
      </w:r>
      <w:proofErr w:type="spellStart"/>
      <w:r>
        <w:rPr>
          <w:szCs w:val="24"/>
        </w:rPr>
        <w:t>Mangaser</w:t>
      </w:r>
      <w:proofErr w:type="spellEnd"/>
      <w:r>
        <w:rPr>
          <w:szCs w:val="24"/>
        </w:rPr>
        <w:t xml:space="preserve"> Savage at 617-390-2710 or asavage@law.harvard.edu.</w:t>
      </w:r>
    </w:p>
    <w:p w14:paraId="357DA907" w14:textId="77777777" w:rsidR="00657C53" w:rsidRDefault="00657C53"/>
    <w:p w14:paraId="248832C2" w14:textId="697DE498" w:rsidR="00657C53" w:rsidRDefault="00657C53"/>
    <w:sectPr w:rsidR="00657C53" w:rsidSect="00D165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F4EDB" w14:textId="77777777" w:rsidR="008C6EA8" w:rsidRDefault="008C6EA8" w:rsidP="008217E3">
      <w:r>
        <w:separator/>
      </w:r>
    </w:p>
  </w:endnote>
  <w:endnote w:type="continuationSeparator" w:id="0">
    <w:p w14:paraId="64D6E284" w14:textId="77777777" w:rsidR="008C6EA8" w:rsidRDefault="008C6EA8" w:rsidP="0082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B0BA" w14:textId="77777777" w:rsidR="001E6FFD" w:rsidRDefault="001E6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382779"/>
      <w:docPartObj>
        <w:docPartGallery w:val="Page Numbers (Bottom of Page)"/>
        <w:docPartUnique/>
      </w:docPartObj>
    </w:sdtPr>
    <w:sdtEndPr>
      <w:rPr>
        <w:noProof/>
      </w:rPr>
    </w:sdtEndPr>
    <w:sdtContent>
      <w:p w14:paraId="257B2A00" w14:textId="77777777" w:rsidR="00FD3951" w:rsidRDefault="00FD3951">
        <w:pPr>
          <w:pStyle w:val="Footer"/>
          <w:jc w:val="center"/>
        </w:pPr>
        <w:r>
          <w:fldChar w:fldCharType="begin"/>
        </w:r>
        <w:r>
          <w:instrText xml:space="preserve"> PAGE   \* MERGEFORMAT </w:instrText>
        </w:r>
        <w:r>
          <w:fldChar w:fldCharType="separate"/>
        </w:r>
        <w:r w:rsidR="001E6FFD">
          <w:rPr>
            <w:noProof/>
          </w:rPr>
          <w:t>1</w:t>
        </w:r>
        <w:r>
          <w:rPr>
            <w:noProof/>
          </w:rPr>
          <w:fldChar w:fldCharType="end"/>
        </w:r>
      </w:p>
    </w:sdtContent>
  </w:sdt>
  <w:p w14:paraId="0106FDCC" w14:textId="77777777" w:rsidR="00FD3951" w:rsidRDefault="00FD3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D2074" w14:textId="77777777" w:rsidR="001E6FFD" w:rsidRDefault="001E6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727F" w14:textId="77777777" w:rsidR="008C6EA8" w:rsidRDefault="008C6EA8" w:rsidP="008217E3">
      <w:r>
        <w:separator/>
      </w:r>
    </w:p>
  </w:footnote>
  <w:footnote w:type="continuationSeparator" w:id="0">
    <w:p w14:paraId="6A7459F8" w14:textId="77777777" w:rsidR="008C6EA8" w:rsidRDefault="008C6EA8" w:rsidP="008217E3">
      <w:r>
        <w:continuationSeparator/>
      </w:r>
    </w:p>
  </w:footnote>
  <w:footnote w:id="1">
    <w:p w14:paraId="0ED3411F" w14:textId="153312B0" w:rsidR="00FD3951" w:rsidRDefault="00FD3951" w:rsidP="00700C96">
      <w:pPr>
        <w:pStyle w:val="FootnoteText"/>
      </w:pPr>
      <w:r>
        <w:rPr>
          <w:rStyle w:val="FootnoteReference"/>
        </w:rPr>
        <w:footnoteRef/>
      </w:r>
      <w:r>
        <w:t xml:space="preserve"> </w:t>
      </w:r>
      <w:r>
        <w:rPr>
          <w:i/>
        </w:rPr>
        <w:t>See</w:t>
      </w:r>
      <w:r>
        <w:t xml:space="preserve"> Negotiated Rulemaking 2013-2014 Program Integrity &amp; Improvement, </w:t>
      </w:r>
      <w:r w:rsidRPr="00341BB1">
        <w:t>http://</w:t>
      </w:r>
      <w:r>
        <w:t>‌</w:t>
      </w:r>
      <w:r w:rsidRPr="00341BB1">
        <w:t>www2.ed.gov/</w:t>
      </w:r>
      <w:r>
        <w:t>‌</w:t>
      </w:r>
      <w:r w:rsidRPr="00341BB1">
        <w:t>policy/</w:t>
      </w:r>
      <w:r>
        <w:t>‌</w:t>
      </w:r>
      <w:r w:rsidRPr="00341BB1">
        <w:t>highered/</w:t>
      </w:r>
      <w:r>
        <w:t>‌</w:t>
      </w:r>
      <w:r w:rsidRPr="00341BB1">
        <w:t>reg/</w:t>
      </w:r>
      <w:r>
        <w:t>‌</w:t>
      </w:r>
      <w:r w:rsidRPr="00341BB1">
        <w:t>hearulemaking/2012/programintegrity.html</w:t>
      </w:r>
      <w:r>
        <w:t>.</w:t>
      </w:r>
    </w:p>
  </w:footnote>
  <w:footnote w:id="2">
    <w:p w14:paraId="5975FAE8" w14:textId="33298020" w:rsidR="00FD3951" w:rsidRPr="006D7A14" w:rsidRDefault="00FD3951" w:rsidP="00700C96">
      <w:pPr>
        <w:pStyle w:val="FootnoteText"/>
      </w:pPr>
      <w:r>
        <w:rPr>
          <w:rStyle w:val="FootnoteReference"/>
        </w:rPr>
        <w:footnoteRef/>
      </w:r>
      <w:r>
        <w:t xml:space="preserve"> </w:t>
      </w:r>
      <w:r>
        <w:rPr>
          <w:i/>
        </w:rPr>
        <w:t>See</w:t>
      </w:r>
      <w:r>
        <w:t xml:space="preserve"> National Council for State Authorization Reciprocity Agreements (NC-SARA), State Authorization Reciprocity Agreements Policies and Standards [hereinafter SARA Policies and Standards] § 2-5(g) (May 5, 2016), available at </w:t>
      </w:r>
      <w:r w:rsidRPr="00FD3951">
        <w:t>http://nc-sara.org/files/docs/NC-SARA_Policies_Standards.pdf</w:t>
      </w:r>
      <w:r>
        <w:t>.</w:t>
      </w:r>
    </w:p>
  </w:footnote>
  <w:footnote w:id="3">
    <w:p w14:paraId="1E277C69" w14:textId="5FB23A28" w:rsidR="00FD3951" w:rsidRPr="006D7A14" w:rsidRDefault="00FD3951" w:rsidP="00700C96">
      <w:pPr>
        <w:pStyle w:val="FootnoteText"/>
      </w:pPr>
      <w:r>
        <w:rPr>
          <w:rStyle w:val="FootnoteReference"/>
        </w:rPr>
        <w:footnoteRef/>
      </w:r>
      <w:r>
        <w:t xml:space="preserve"> </w:t>
      </w:r>
      <w:r>
        <w:rPr>
          <w:i/>
        </w:rPr>
        <w:t>See</w:t>
      </w:r>
      <w:r>
        <w:t xml:space="preserve"> </w:t>
      </w:r>
      <w:r>
        <w:rPr>
          <w:i/>
        </w:rPr>
        <w:t>id.</w:t>
      </w:r>
      <w:r>
        <w:t xml:space="preserve"> </w:t>
      </w:r>
      <w:proofErr w:type="gramStart"/>
      <w:r>
        <w:t>at</w:t>
      </w:r>
      <w:proofErr w:type="gramEnd"/>
      <w:r>
        <w:t xml:space="preserve"> § 2-5(h).</w:t>
      </w:r>
    </w:p>
  </w:footnote>
  <w:footnote w:id="4">
    <w:p w14:paraId="6BDC91B9" w14:textId="5BC18812" w:rsidR="00FD3951" w:rsidRDefault="00FD3951" w:rsidP="00700C96">
      <w:pPr>
        <w:pStyle w:val="FootnoteText"/>
      </w:pPr>
      <w:r>
        <w:rPr>
          <w:rStyle w:val="FootnoteReference"/>
        </w:rPr>
        <w:footnoteRef/>
      </w:r>
      <w:r>
        <w:t xml:space="preserve"> </w:t>
      </w:r>
      <w:r>
        <w:rPr>
          <w:i/>
        </w:rPr>
        <w:t>See, e.g.</w:t>
      </w:r>
      <w:r>
        <w:t>, A.L. Contreras, College &amp; State: Resources &amp; Philosophies (2013). The triad is completed by the federal government, which oversees the participation of institutions and borrowers in federal student loan programs, and accrediting agencies, trade bodies intended to police minimum standards of institutional and educational quality.</w:t>
      </w:r>
    </w:p>
  </w:footnote>
  <w:footnote w:id="5">
    <w:p w14:paraId="07CF4E49" w14:textId="50AB3C26" w:rsidR="00FD3951" w:rsidRDefault="00FD3951" w:rsidP="00700C96">
      <w:pPr>
        <w:pStyle w:val="FootnoteText"/>
      </w:pPr>
      <w:r>
        <w:rPr>
          <w:rStyle w:val="FootnoteReference"/>
        </w:rPr>
        <w:footnoteRef/>
      </w:r>
      <w:r>
        <w:t xml:space="preserve"> </w:t>
      </w:r>
      <w:r>
        <w:rPr>
          <w:i/>
        </w:rPr>
        <w:t>See</w:t>
      </w:r>
      <w:r>
        <w:t xml:space="preserve"> SARA Policies and Standards, </w:t>
      </w:r>
      <w:r>
        <w:rPr>
          <w:i/>
        </w:rPr>
        <w:t xml:space="preserve">supra </w:t>
      </w:r>
      <w:r>
        <w:t>note 2, at § 2 -5(a).</w:t>
      </w:r>
    </w:p>
  </w:footnote>
  <w:footnote w:id="6">
    <w:p w14:paraId="36FB0589" w14:textId="7606832A" w:rsidR="00FD3951" w:rsidRDefault="00FD3951" w:rsidP="00700C96">
      <w:pPr>
        <w:pStyle w:val="FootnoteText"/>
      </w:pPr>
      <w:r>
        <w:rPr>
          <w:rStyle w:val="FootnoteReference"/>
        </w:rPr>
        <w:footnoteRef/>
      </w:r>
      <w:r>
        <w:t xml:space="preserve"> </w:t>
      </w:r>
      <w:r>
        <w:rPr>
          <w:i/>
        </w:rPr>
        <w:t>See</w:t>
      </w:r>
      <w:r>
        <w:t xml:space="preserve"> </w:t>
      </w:r>
      <w:r>
        <w:rPr>
          <w:i/>
        </w:rPr>
        <w:t>id.</w:t>
      </w:r>
      <w:r>
        <w:t xml:space="preserve"> </w:t>
      </w:r>
      <w:proofErr w:type="gramStart"/>
      <w:r>
        <w:t>at</w:t>
      </w:r>
      <w:proofErr w:type="gramEnd"/>
      <w:r>
        <w:t xml:space="preserve"> § 2-5(h).</w:t>
      </w:r>
    </w:p>
  </w:footnote>
  <w:footnote w:id="7">
    <w:p w14:paraId="16C9D78F" w14:textId="601C016D" w:rsidR="008C023B" w:rsidRDefault="008C023B">
      <w:pPr>
        <w:pStyle w:val="FootnoteText"/>
      </w:pPr>
      <w:r>
        <w:rPr>
          <w:rStyle w:val="FootnoteReference"/>
        </w:rPr>
        <w:footnoteRef/>
      </w:r>
      <w:r>
        <w:t xml:space="preserve"> </w:t>
      </w:r>
      <w:proofErr w:type="gramStart"/>
      <w:r w:rsidRPr="008C023B">
        <w:t xml:space="preserve">940 Code Mass. </w:t>
      </w:r>
      <w:proofErr w:type="spellStart"/>
      <w:r w:rsidRPr="008C023B">
        <w:t>Regs</w:t>
      </w:r>
      <w:proofErr w:type="spellEnd"/>
      <w:r w:rsidRPr="008C023B">
        <w:t>.</w:t>
      </w:r>
      <w:proofErr w:type="gramEnd"/>
      <w:r w:rsidRPr="008C023B">
        <w:t xml:space="preserve"> </w:t>
      </w:r>
      <w:proofErr w:type="gramStart"/>
      <w:r w:rsidRPr="008C023B">
        <w:t>§§ 31.00 (2014)</w:t>
      </w:r>
      <w:r>
        <w:t>.</w:t>
      </w:r>
      <w:proofErr w:type="gramEnd"/>
    </w:p>
  </w:footnote>
  <w:footnote w:id="8">
    <w:p w14:paraId="444025F7" w14:textId="7B2DFC25" w:rsidR="00FD3951" w:rsidRDefault="00FD3951" w:rsidP="00AE6C74">
      <w:pPr>
        <w:pStyle w:val="FootnoteText"/>
      </w:pPr>
      <w:r>
        <w:rPr>
          <w:rStyle w:val="FootnoteReference"/>
        </w:rPr>
        <w:footnoteRef/>
      </w:r>
      <w:r>
        <w:t xml:space="preserve"> </w:t>
      </w:r>
      <w:proofErr w:type="gramStart"/>
      <w:r>
        <w:rPr>
          <w:i/>
        </w:rPr>
        <w:t>See, e.g.</w:t>
      </w:r>
      <w:r>
        <w:t xml:space="preserve">, </w:t>
      </w:r>
      <w:r w:rsidR="009A5BC7">
        <w:t>U.S.</w:t>
      </w:r>
      <w:r w:rsidR="000D52AB">
        <w:t xml:space="preserve"> </w:t>
      </w:r>
      <w:r w:rsidR="009A5BC7">
        <w:t xml:space="preserve">Government </w:t>
      </w:r>
      <w:r w:rsidR="000D52AB">
        <w:t xml:space="preserve">Accountability Office, GAO-12-150, </w:t>
      </w:r>
      <w:r>
        <w:t>Experiences of Undercover Students Enrolled in Online Classes at Se</w:t>
      </w:r>
      <w:r w:rsidR="000D52AB">
        <w:t xml:space="preserve">lected Colleges (Oct. 31, 2011), available at </w:t>
      </w:r>
      <w:r w:rsidR="000D52AB" w:rsidRPr="000D52AB">
        <w:t>http://</w:t>
      </w:r>
      <w:r w:rsidR="000D52AB">
        <w:t>‌</w:t>
      </w:r>
      <w:r w:rsidR="000D52AB" w:rsidRPr="000D52AB">
        <w:t>www.gao.gov/</w:t>
      </w:r>
      <w:r w:rsidR="000D52AB">
        <w:t>‌</w:t>
      </w:r>
      <w:r w:rsidR="000D52AB" w:rsidRPr="000D52AB">
        <w:t>assets/</w:t>
      </w:r>
      <w:r w:rsidR="000D52AB">
        <w:t>‌</w:t>
      </w:r>
      <w:r w:rsidR="000D52AB" w:rsidRPr="000D52AB">
        <w:t>590/</w:t>
      </w:r>
      <w:r w:rsidR="000D52AB">
        <w:t>‌</w:t>
      </w:r>
      <w:r w:rsidR="000D52AB" w:rsidRPr="000D52AB">
        <w:t>586456.pdf</w:t>
      </w:r>
      <w:r w:rsidR="000D52AB">
        <w:t>.</w:t>
      </w:r>
      <w:proofErr w:type="gramEnd"/>
    </w:p>
  </w:footnote>
  <w:footnote w:id="9">
    <w:p w14:paraId="2210CC41" w14:textId="7F8AA3AD" w:rsidR="00FD3951" w:rsidRDefault="00FD3951" w:rsidP="00700C96">
      <w:pPr>
        <w:pStyle w:val="FootnoteText"/>
      </w:pPr>
      <w:r>
        <w:rPr>
          <w:rStyle w:val="FootnoteReference"/>
        </w:rPr>
        <w:footnoteRef/>
      </w:r>
      <w:r>
        <w:t xml:space="preserve"> </w:t>
      </w:r>
      <w:proofErr w:type="gramStart"/>
      <w:r>
        <w:rPr>
          <w:i/>
        </w:rPr>
        <w:t>See, e.g.</w:t>
      </w:r>
      <w:r>
        <w:t xml:space="preserve">, </w:t>
      </w:r>
      <w:proofErr w:type="spellStart"/>
      <w:r>
        <w:t>Lammers</w:t>
      </w:r>
      <w:proofErr w:type="spellEnd"/>
      <w:r>
        <w:t>, University Removes South Dakota Campus References, Associated Press (Mar. 6, 2014), available</w:t>
      </w:r>
      <w:r w:rsidR="000D52AB">
        <w:t xml:space="preserve"> at</w:t>
      </w:r>
      <w:r>
        <w:t xml:space="preserve"> http://www.washingtontimes.com/news/2014/mar/6/virginia-university-removes-sd-campus-references/.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A0837" w14:textId="77777777" w:rsidR="001E6FFD" w:rsidRDefault="001E6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FD482" w14:textId="77777777" w:rsidR="00FD3951" w:rsidRDefault="00FD3951">
    <w:pPr>
      <w:pStyle w:val="Header"/>
    </w:pPr>
    <w:r>
      <w:rPr>
        <w:rFonts w:ascii="CG Times" w:hAnsi="CG Times"/>
        <w:noProof/>
      </w:rPr>
      <mc:AlternateContent>
        <mc:Choice Requires="wps">
          <w:drawing>
            <wp:anchor distT="0" distB="0" distL="114300" distR="114300" simplePos="0" relativeHeight="251662336" behindDoc="0" locked="0" layoutInCell="1" allowOverlap="1" wp14:anchorId="3AC1E6C2" wp14:editId="3BBE7DFD">
              <wp:simplePos x="0" y="0"/>
              <wp:positionH relativeFrom="column">
                <wp:posOffset>878205</wp:posOffset>
              </wp:positionH>
              <wp:positionV relativeFrom="paragraph">
                <wp:posOffset>1558290</wp:posOffset>
              </wp:positionV>
              <wp:extent cx="5417820" cy="26670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E19CF" w14:textId="77777777" w:rsidR="00FD3951" w:rsidRDefault="00FD395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69.15pt;margin-top:122.7pt;width:426.6pt;height:32.6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" stroked="f">
              <v:textbox style="mso-fit-shape-to-text:t">
                <w:txbxContent>
                  <w:p w:rsidR="008217E3" w:rsidRDefault="008217E3"/>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44588" w14:textId="77777777" w:rsidR="00FD3951" w:rsidRPr="008217E3" w:rsidRDefault="00FD3951" w:rsidP="00700C96">
    <w:pPr>
      <w:jc w:val="center"/>
      <w:rPr>
        <w:rFonts w:ascii="CG Times" w:hAnsi="CG Times"/>
        <w:b/>
        <w:sz w:val="28"/>
      </w:rPr>
    </w:pPr>
    <w:r>
      <w:rPr>
        <w:rFonts w:ascii="CG Times" w:hAnsi="CG Times"/>
        <w:b/>
        <w:noProof/>
        <w:sz w:val="28"/>
      </w:rPr>
      <mc:AlternateContent>
        <mc:Choice Requires="wps">
          <w:drawing>
            <wp:anchor distT="0" distB="0" distL="114300" distR="114300" simplePos="0" relativeHeight="251666432" behindDoc="0" locked="0" layoutInCell="1" allowOverlap="1" wp14:anchorId="15F420C3" wp14:editId="5199A81D">
              <wp:simplePos x="0" y="0"/>
              <wp:positionH relativeFrom="column">
                <wp:posOffset>-421640</wp:posOffset>
              </wp:positionH>
              <wp:positionV relativeFrom="paragraph">
                <wp:posOffset>-9525</wp:posOffset>
              </wp:positionV>
              <wp:extent cx="1002665" cy="1057275"/>
              <wp:effectExtent l="0" t="0" r="698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6B2DD" w14:textId="77777777" w:rsidR="00FD3951" w:rsidRDefault="00FD3951" w:rsidP="00700C96">
                          <w:r>
                            <w:rPr>
                              <w:noProof/>
                            </w:rPr>
                            <w:drawing>
                              <wp:inline distT="0" distB="0" distL="0" distR="0" wp14:anchorId="285B1D39" wp14:editId="4A7CD2CC">
                                <wp:extent cx="781050" cy="890916"/>
                                <wp:effectExtent l="19050" t="0" r="0" b="0"/>
                                <wp:docPr id="5" name="Picture 0" descr="lsc circle logo no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c circle logo notext.jpg"/>
                                        <pic:cNvPicPr/>
                                      </pic:nvPicPr>
                                      <pic:blipFill>
                                        <a:blip r:embed="rId1"/>
                                        <a:stretch>
                                          <a:fillRect/>
                                        </a:stretch>
                                      </pic:blipFill>
                                      <pic:spPr>
                                        <a:xfrm>
                                          <a:off x="0" y="0"/>
                                          <a:ext cx="790894" cy="9021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id="_x0000_t202" coordsize="21600,21600" o:spt="202" path="m,l,21600r21600,l21600,xe">
              <v:stroke joinstyle="miter"/>
              <v:path gradientshapeok="t" o:connecttype="rect"/>
            </v:shapetype>
            <v:shape id="Text Box 4" o:spid="_x0000_s1027" type="#_x0000_t202" style="position:absolute;left:0;text-align:left;margin-left:-33.2pt;margin-top:-.75pt;width:78.9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ccgw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" stroked="f">
              <v:textbox>
                <w:txbxContent>
                  <w:p w:rsidR="00700C96" w:rsidRDefault="00700C96" w:rsidP="00700C96">
                    <w:r>
                      <w:rPr>
                        <w:noProof/>
                      </w:rPr>
                      <w:drawing>
                        <wp:inline distT="0" distB="0" distL="0" distR="0" wp14:anchorId="5959B0A6" wp14:editId="60DABB27">
                          <wp:extent cx="781050" cy="890916"/>
                          <wp:effectExtent l="19050" t="0" r="0" b="0"/>
                          <wp:docPr id="5" name="Picture 0" descr="lsc circle logo no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c circle logo notext.jpg"/>
                                  <pic:cNvPicPr/>
                                </pic:nvPicPr>
                                <pic:blipFill>
                                  <a:blip r:embed="rId2"/>
                                  <a:stretch>
                                    <a:fillRect/>
                                  </a:stretch>
                                </pic:blipFill>
                                <pic:spPr>
                                  <a:xfrm>
                                    <a:off x="0" y="0"/>
                                    <a:ext cx="790894" cy="902145"/>
                                  </a:xfrm>
                                  <a:prstGeom prst="rect">
                                    <a:avLst/>
                                  </a:prstGeom>
                                </pic:spPr>
                              </pic:pic>
                            </a:graphicData>
                          </a:graphic>
                        </wp:inline>
                      </w:drawing>
                    </w:r>
                  </w:p>
                </w:txbxContent>
              </v:textbox>
            </v:shape>
          </w:pict>
        </mc:Fallback>
      </mc:AlternateContent>
    </w:r>
    <w:r>
      <w:rPr>
        <w:rFonts w:ascii="CG Times" w:hAnsi="CG Times"/>
        <w:b/>
        <w:smallCaps/>
        <w:sz w:val="28"/>
      </w:rPr>
      <w:t>Legal Services Center of Harvard Law School</w:t>
    </w:r>
  </w:p>
  <w:p w14:paraId="44BC28FD" w14:textId="77777777" w:rsidR="00FD3951" w:rsidRPr="00E86463" w:rsidRDefault="00FD3951" w:rsidP="00700C96">
    <w:pPr>
      <w:jc w:val="center"/>
      <w:rPr>
        <w:rFonts w:ascii="CG Times" w:hAnsi="CG Times"/>
        <w:b/>
        <w:smallCaps/>
        <w:sz w:val="28"/>
      </w:rPr>
    </w:pPr>
    <w:r w:rsidRPr="00E86463">
      <w:rPr>
        <w:rFonts w:ascii="CG Times" w:hAnsi="CG Times"/>
        <w:b/>
        <w:smallCaps/>
        <w:sz w:val="28"/>
      </w:rPr>
      <w:t>C</w:t>
    </w:r>
    <w:r>
      <w:rPr>
        <w:rFonts w:ascii="CG Times" w:hAnsi="CG Times"/>
        <w:b/>
        <w:smallCaps/>
        <w:sz w:val="28"/>
      </w:rPr>
      <w:t>entro</w:t>
    </w:r>
    <w:r w:rsidRPr="00E86463">
      <w:rPr>
        <w:rFonts w:ascii="CG Times" w:hAnsi="CG Times"/>
        <w:b/>
        <w:smallCaps/>
        <w:sz w:val="28"/>
      </w:rPr>
      <w:t xml:space="preserve"> de </w:t>
    </w:r>
    <w:proofErr w:type="spellStart"/>
    <w:r w:rsidRPr="00E86463">
      <w:rPr>
        <w:rFonts w:ascii="CG Times" w:hAnsi="CG Times"/>
        <w:b/>
        <w:smallCaps/>
        <w:sz w:val="28"/>
      </w:rPr>
      <w:t>S</w:t>
    </w:r>
    <w:r>
      <w:rPr>
        <w:rFonts w:ascii="CG Times" w:hAnsi="CG Times"/>
        <w:b/>
        <w:smallCaps/>
        <w:sz w:val="28"/>
      </w:rPr>
      <w:t>ervicios</w:t>
    </w:r>
    <w:proofErr w:type="spellEnd"/>
    <w:r w:rsidRPr="00E86463">
      <w:rPr>
        <w:rFonts w:ascii="CG Times" w:hAnsi="CG Times"/>
        <w:b/>
        <w:smallCaps/>
        <w:sz w:val="28"/>
      </w:rPr>
      <w:t xml:space="preserve"> </w:t>
    </w:r>
    <w:proofErr w:type="spellStart"/>
    <w:r w:rsidRPr="00E86463">
      <w:rPr>
        <w:rFonts w:ascii="CG Times" w:hAnsi="CG Times"/>
        <w:b/>
        <w:smallCaps/>
        <w:sz w:val="28"/>
      </w:rPr>
      <w:t>L</w:t>
    </w:r>
    <w:r>
      <w:rPr>
        <w:rFonts w:ascii="CG Times" w:hAnsi="CG Times"/>
        <w:b/>
        <w:smallCaps/>
        <w:sz w:val="28"/>
      </w:rPr>
      <w:t>egales</w:t>
    </w:r>
    <w:proofErr w:type="spellEnd"/>
  </w:p>
  <w:p w14:paraId="017D3D68" w14:textId="77777777" w:rsidR="00FD3951" w:rsidRPr="008217E3" w:rsidRDefault="00FD3951" w:rsidP="00700C96">
    <w:pPr>
      <w:jc w:val="center"/>
      <w:rPr>
        <w:rFonts w:ascii="CG Times" w:hAnsi="CG Times"/>
      </w:rPr>
    </w:pPr>
    <w:r w:rsidRPr="008217E3">
      <w:rPr>
        <w:rFonts w:ascii="CG Times" w:hAnsi="CG Times"/>
      </w:rPr>
      <w:t>122 Boylston Street</w:t>
    </w:r>
  </w:p>
  <w:p w14:paraId="3CA95F27" w14:textId="77777777" w:rsidR="00FD3951" w:rsidRPr="008217E3" w:rsidRDefault="00FD3951" w:rsidP="00700C96">
    <w:pPr>
      <w:jc w:val="center"/>
      <w:rPr>
        <w:rFonts w:ascii="CG Times" w:hAnsi="CG Times"/>
      </w:rPr>
    </w:pPr>
    <w:r w:rsidRPr="008217E3">
      <w:rPr>
        <w:rFonts w:ascii="CG Times" w:hAnsi="CG Times"/>
      </w:rPr>
      <w:t>Jamaica Plain, Massachusetts 02130-2246</w:t>
    </w:r>
  </w:p>
  <w:p w14:paraId="48B420A1" w14:textId="77777777" w:rsidR="00FD3951" w:rsidRPr="00700C96" w:rsidRDefault="00FD3951" w:rsidP="00700C96">
    <w:pPr>
      <w:jc w:val="center"/>
      <w:rPr>
        <w:rFonts w:ascii="CG Times" w:hAnsi="CG Times"/>
      </w:rPr>
    </w:pPr>
    <w:r>
      <w:rPr>
        <w:rFonts w:ascii="CG Times" w:hAnsi="CG Times"/>
      </w:rPr>
      <w:t xml:space="preserve">TEL: (617) 522-3003 </w:t>
    </w:r>
    <w:r>
      <w:rPr>
        <w:rFonts w:cs="Times New Roman"/>
      </w:rPr>
      <w:t>•</w:t>
    </w:r>
    <w:r>
      <w:rPr>
        <w:rFonts w:ascii="CG Times" w:hAnsi="CG Times"/>
      </w:rPr>
      <w:t xml:space="preserve"> </w:t>
    </w:r>
    <w:r w:rsidRPr="008217E3">
      <w:rPr>
        <w:rFonts w:ascii="CG Times" w:hAnsi="CG Times"/>
      </w:rPr>
      <w:t>FAX: (617) 522-0715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774C2"/>
    <w:multiLevelType w:val="hybridMultilevel"/>
    <w:tmpl w:val="6B865FAA"/>
    <w:lvl w:ilvl="0" w:tplc="8EEC8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96"/>
    <w:rsid w:val="000219B3"/>
    <w:rsid w:val="000778F9"/>
    <w:rsid w:val="000D52AB"/>
    <w:rsid w:val="0015641A"/>
    <w:rsid w:val="001A58FA"/>
    <w:rsid w:val="001E6FFD"/>
    <w:rsid w:val="00243B37"/>
    <w:rsid w:val="002A4CB6"/>
    <w:rsid w:val="002B6A3A"/>
    <w:rsid w:val="002F5D25"/>
    <w:rsid w:val="0030481F"/>
    <w:rsid w:val="003A21A6"/>
    <w:rsid w:val="003C5596"/>
    <w:rsid w:val="00404E48"/>
    <w:rsid w:val="0042211C"/>
    <w:rsid w:val="00451099"/>
    <w:rsid w:val="0049706C"/>
    <w:rsid w:val="00503443"/>
    <w:rsid w:val="00505B59"/>
    <w:rsid w:val="005636A4"/>
    <w:rsid w:val="00575935"/>
    <w:rsid w:val="005B1BA5"/>
    <w:rsid w:val="005E6375"/>
    <w:rsid w:val="00657C53"/>
    <w:rsid w:val="006B13C4"/>
    <w:rsid w:val="006F5C30"/>
    <w:rsid w:val="00700C96"/>
    <w:rsid w:val="00807C95"/>
    <w:rsid w:val="008217E3"/>
    <w:rsid w:val="00837730"/>
    <w:rsid w:val="00873428"/>
    <w:rsid w:val="008C023B"/>
    <w:rsid w:val="008C6EA8"/>
    <w:rsid w:val="008E654C"/>
    <w:rsid w:val="00992766"/>
    <w:rsid w:val="009A5BC7"/>
    <w:rsid w:val="009C5743"/>
    <w:rsid w:val="009E3A8F"/>
    <w:rsid w:val="009E730C"/>
    <w:rsid w:val="00A06478"/>
    <w:rsid w:val="00AE6C74"/>
    <w:rsid w:val="00AE7657"/>
    <w:rsid w:val="00B66E33"/>
    <w:rsid w:val="00B8389C"/>
    <w:rsid w:val="00BD250E"/>
    <w:rsid w:val="00BF2FE3"/>
    <w:rsid w:val="00C411E4"/>
    <w:rsid w:val="00C84344"/>
    <w:rsid w:val="00CF1557"/>
    <w:rsid w:val="00D16517"/>
    <w:rsid w:val="00D63762"/>
    <w:rsid w:val="00D9444F"/>
    <w:rsid w:val="00E245CE"/>
    <w:rsid w:val="00E5301D"/>
    <w:rsid w:val="00E83602"/>
    <w:rsid w:val="00E86463"/>
    <w:rsid w:val="00EF0FA3"/>
    <w:rsid w:val="00F10B08"/>
    <w:rsid w:val="00FB56FD"/>
    <w:rsid w:val="00FD3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C8D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96"/>
    <w:pPr>
      <w:spacing w:after="0" w:line="240" w:lineRule="auto"/>
      <w:contextualSpacing/>
    </w:pPr>
    <w:rPr>
      <w:rFonts w:ascii="Times New Roman" w:eastAsiaTheme="minorHAnsi"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7E3"/>
    <w:pPr>
      <w:tabs>
        <w:tab w:val="center" w:pos="4680"/>
        <w:tab w:val="right" w:pos="9360"/>
      </w:tabs>
    </w:pPr>
  </w:style>
  <w:style w:type="character" w:customStyle="1" w:styleId="HeaderChar">
    <w:name w:val="Header Char"/>
    <w:basedOn w:val="DefaultParagraphFont"/>
    <w:link w:val="Header"/>
    <w:uiPriority w:val="99"/>
    <w:rsid w:val="008217E3"/>
  </w:style>
  <w:style w:type="paragraph" w:styleId="Footer">
    <w:name w:val="footer"/>
    <w:basedOn w:val="Normal"/>
    <w:link w:val="FooterChar"/>
    <w:uiPriority w:val="99"/>
    <w:unhideWhenUsed/>
    <w:rsid w:val="008217E3"/>
    <w:pPr>
      <w:tabs>
        <w:tab w:val="center" w:pos="4680"/>
        <w:tab w:val="right" w:pos="9360"/>
      </w:tabs>
    </w:pPr>
  </w:style>
  <w:style w:type="character" w:customStyle="1" w:styleId="FooterChar">
    <w:name w:val="Footer Char"/>
    <w:basedOn w:val="DefaultParagraphFont"/>
    <w:link w:val="Footer"/>
    <w:uiPriority w:val="99"/>
    <w:rsid w:val="008217E3"/>
  </w:style>
  <w:style w:type="paragraph" w:styleId="BalloonText">
    <w:name w:val="Balloon Text"/>
    <w:basedOn w:val="Normal"/>
    <w:link w:val="BalloonTextChar"/>
    <w:uiPriority w:val="99"/>
    <w:semiHidden/>
    <w:unhideWhenUsed/>
    <w:rsid w:val="008217E3"/>
    <w:rPr>
      <w:rFonts w:ascii="Tahoma" w:hAnsi="Tahoma" w:cs="Tahoma"/>
      <w:sz w:val="16"/>
      <w:szCs w:val="16"/>
    </w:rPr>
  </w:style>
  <w:style w:type="character" w:customStyle="1" w:styleId="BalloonTextChar">
    <w:name w:val="Balloon Text Char"/>
    <w:basedOn w:val="DefaultParagraphFont"/>
    <w:link w:val="BalloonText"/>
    <w:uiPriority w:val="99"/>
    <w:semiHidden/>
    <w:rsid w:val="008217E3"/>
    <w:rPr>
      <w:rFonts w:ascii="Tahoma" w:hAnsi="Tahoma" w:cs="Tahoma"/>
      <w:sz w:val="16"/>
      <w:szCs w:val="16"/>
    </w:rPr>
  </w:style>
  <w:style w:type="paragraph" w:styleId="FootnoteText">
    <w:name w:val="footnote text"/>
    <w:basedOn w:val="Normal"/>
    <w:link w:val="FootnoteTextChar"/>
    <w:uiPriority w:val="99"/>
    <w:semiHidden/>
    <w:unhideWhenUsed/>
    <w:rsid w:val="00700C96"/>
    <w:rPr>
      <w:sz w:val="20"/>
      <w:szCs w:val="20"/>
    </w:rPr>
  </w:style>
  <w:style w:type="character" w:customStyle="1" w:styleId="FootnoteTextChar">
    <w:name w:val="Footnote Text Char"/>
    <w:basedOn w:val="DefaultParagraphFont"/>
    <w:link w:val="FootnoteText"/>
    <w:uiPriority w:val="99"/>
    <w:semiHidden/>
    <w:rsid w:val="00700C9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700C96"/>
    <w:rPr>
      <w:vertAlign w:val="superscript"/>
    </w:rPr>
  </w:style>
  <w:style w:type="paragraph" w:styleId="ListParagraph">
    <w:name w:val="List Paragraph"/>
    <w:basedOn w:val="Normal"/>
    <w:uiPriority w:val="34"/>
    <w:qFormat/>
    <w:rsid w:val="00700C96"/>
    <w:pPr>
      <w:ind w:left="720"/>
    </w:pPr>
  </w:style>
  <w:style w:type="character" w:customStyle="1" w:styleId="apple-converted-space">
    <w:name w:val="apple-converted-space"/>
    <w:basedOn w:val="DefaultParagraphFont"/>
    <w:rsid w:val="00156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96"/>
    <w:pPr>
      <w:spacing w:after="0" w:line="240" w:lineRule="auto"/>
      <w:contextualSpacing/>
    </w:pPr>
    <w:rPr>
      <w:rFonts w:ascii="Times New Roman" w:eastAsiaTheme="minorHAnsi"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7E3"/>
    <w:pPr>
      <w:tabs>
        <w:tab w:val="center" w:pos="4680"/>
        <w:tab w:val="right" w:pos="9360"/>
      </w:tabs>
    </w:pPr>
  </w:style>
  <w:style w:type="character" w:customStyle="1" w:styleId="HeaderChar">
    <w:name w:val="Header Char"/>
    <w:basedOn w:val="DefaultParagraphFont"/>
    <w:link w:val="Header"/>
    <w:uiPriority w:val="99"/>
    <w:rsid w:val="008217E3"/>
  </w:style>
  <w:style w:type="paragraph" w:styleId="Footer">
    <w:name w:val="footer"/>
    <w:basedOn w:val="Normal"/>
    <w:link w:val="FooterChar"/>
    <w:uiPriority w:val="99"/>
    <w:unhideWhenUsed/>
    <w:rsid w:val="008217E3"/>
    <w:pPr>
      <w:tabs>
        <w:tab w:val="center" w:pos="4680"/>
        <w:tab w:val="right" w:pos="9360"/>
      </w:tabs>
    </w:pPr>
  </w:style>
  <w:style w:type="character" w:customStyle="1" w:styleId="FooterChar">
    <w:name w:val="Footer Char"/>
    <w:basedOn w:val="DefaultParagraphFont"/>
    <w:link w:val="Footer"/>
    <w:uiPriority w:val="99"/>
    <w:rsid w:val="008217E3"/>
  </w:style>
  <w:style w:type="paragraph" w:styleId="BalloonText">
    <w:name w:val="Balloon Text"/>
    <w:basedOn w:val="Normal"/>
    <w:link w:val="BalloonTextChar"/>
    <w:uiPriority w:val="99"/>
    <w:semiHidden/>
    <w:unhideWhenUsed/>
    <w:rsid w:val="008217E3"/>
    <w:rPr>
      <w:rFonts w:ascii="Tahoma" w:hAnsi="Tahoma" w:cs="Tahoma"/>
      <w:sz w:val="16"/>
      <w:szCs w:val="16"/>
    </w:rPr>
  </w:style>
  <w:style w:type="character" w:customStyle="1" w:styleId="BalloonTextChar">
    <w:name w:val="Balloon Text Char"/>
    <w:basedOn w:val="DefaultParagraphFont"/>
    <w:link w:val="BalloonText"/>
    <w:uiPriority w:val="99"/>
    <w:semiHidden/>
    <w:rsid w:val="008217E3"/>
    <w:rPr>
      <w:rFonts w:ascii="Tahoma" w:hAnsi="Tahoma" w:cs="Tahoma"/>
      <w:sz w:val="16"/>
      <w:szCs w:val="16"/>
    </w:rPr>
  </w:style>
  <w:style w:type="paragraph" w:styleId="FootnoteText">
    <w:name w:val="footnote text"/>
    <w:basedOn w:val="Normal"/>
    <w:link w:val="FootnoteTextChar"/>
    <w:uiPriority w:val="99"/>
    <w:semiHidden/>
    <w:unhideWhenUsed/>
    <w:rsid w:val="00700C96"/>
    <w:rPr>
      <w:sz w:val="20"/>
      <w:szCs w:val="20"/>
    </w:rPr>
  </w:style>
  <w:style w:type="character" w:customStyle="1" w:styleId="FootnoteTextChar">
    <w:name w:val="Footnote Text Char"/>
    <w:basedOn w:val="DefaultParagraphFont"/>
    <w:link w:val="FootnoteText"/>
    <w:uiPriority w:val="99"/>
    <w:semiHidden/>
    <w:rsid w:val="00700C9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700C96"/>
    <w:rPr>
      <w:vertAlign w:val="superscript"/>
    </w:rPr>
  </w:style>
  <w:style w:type="paragraph" w:styleId="ListParagraph">
    <w:name w:val="List Paragraph"/>
    <w:basedOn w:val="Normal"/>
    <w:uiPriority w:val="34"/>
    <w:qFormat/>
    <w:rsid w:val="00700C96"/>
    <w:pPr>
      <w:ind w:left="720"/>
    </w:pPr>
  </w:style>
  <w:style w:type="character" w:customStyle="1" w:styleId="apple-converted-space">
    <w:name w:val="apple-converted-space"/>
    <w:basedOn w:val="DefaultParagraphFont"/>
    <w:rsid w:val="00156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2016-09-16T21:14:00Z</dcterms:created>
  <dcterms:modified xsi:type="dcterms:W3CDTF">2016-09-16T21:14:00Z</dcterms:modified>
  <revision>1</revision>
</coreProperties>
</file>