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AFC5E" w14:textId="02D8AE6C" w:rsidR="005B7511" w:rsidRPr="008B6841" w:rsidRDefault="005B7511" w:rsidP="0069389E">
      <w:pPr>
        <w:pStyle w:val="FACE-H1-Title"/>
        <w:spacing w:before="0"/>
        <w:rPr>
          <w:rFonts w:asciiTheme="minorHAnsi" w:hAnsiTheme="minorHAnsi" w:cstheme="minorHAnsi"/>
          <w:color w:val="auto"/>
          <w:sz w:val="32"/>
          <w:szCs w:val="32"/>
        </w:rPr>
      </w:pPr>
      <w:r>
        <w:rPr>
          <w:rFonts w:asciiTheme="minorHAnsi" w:hAnsiTheme="minorHAnsi"/>
          <w:color w:val="auto"/>
          <w:sz w:val="32"/>
        </w:rPr>
        <w:t>Programa FACE del Estado de Massachusetts</w:t>
      </w:r>
    </w:p>
    <w:p w14:paraId="4DA80CCC" w14:textId="3EEC0D5D" w:rsidR="005B7511" w:rsidRPr="008B6841" w:rsidRDefault="005B7511" w:rsidP="0069389E">
      <w:pPr>
        <w:pStyle w:val="FACE-H1-Title"/>
        <w:spacing w:before="0"/>
        <w:rPr>
          <w:rFonts w:asciiTheme="minorHAnsi" w:hAnsiTheme="minorHAnsi" w:cstheme="minorHAnsi"/>
          <w:color w:val="auto"/>
          <w:sz w:val="32"/>
          <w:szCs w:val="32"/>
        </w:rPr>
      </w:pPr>
      <w:r>
        <w:rPr>
          <w:rFonts w:asciiTheme="minorHAnsi" w:hAnsiTheme="minorHAnsi"/>
          <w:color w:val="auto"/>
          <w:sz w:val="32"/>
        </w:rPr>
        <w:t>Evaluación de accidentes mortales y control</w:t>
      </w:r>
      <w:r w:rsidR="005065A8">
        <w:rPr>
          <w:rFonts w:asciiTheme="minorHAnsi" w:hAnsiTheme="minorHAnsi"/>
          <w:color w:val="auto"/>
          <w:sz w:val="32"/>
        </w:rPr>
        <w:t xml:space="preserve"> </w:t>
      </w:r>
      <w:r w:rsidR="005065A8">
        <w:rPr>
          <w:rFonts w:asciiTheme="minorHAnsi" w:hAnsiTheme="minorHAnsi"/>
          <w:color w:val="auto"/>
          <w:sz w:val="32"/>
          <w:szCs w:val="32"/>
        </w:rPr>
        <w:t>(Fatality Assessment &amp; Control Evaluation)</w:t>
      </w:r>
    </w:p>
    <w:p w14:paraId="12E3FDA3" w14:textId="4F8616E1" w:rsidR="0069389E" w:rsidRPr="008B6841" w:rsidRDefault="0069389E" w:rsidP="0069389E">
      <w:pPr>
        <w:pStyle w:val="FACE-H1-Title"/>
        <w:spacing w:before="0"/>
        <w:rPr>
          <w:rFonts w:asciiTheme="minorHAnsi" w:hAnsiTheme="minorHAnsi" w:cstheme="minorHAnsi"/>
          <w:color w:val="auto"/>
          <w:sz w:val="32"/>
          <w:szCs w:val="32"/>
        </w:rPr>
      </w:pPr>
    </w:p>
    <w:p w14:paraId="69FE1009" w14:textId="77777777" w:rsidR="008B6841" w:rsidRDefault="0069389E" w:rsidP="0069389E">
      <w:pPr>
        <w:pStyle w:val="FACE-H1-Title"/>
        <w:spacing w:before="0"/>
        <w:rPr>
          <w:rFonts w:asciiTheme="minorHAnsi" w:hAnsiTheme="minorHAnsi" w:cstheme="minorHAnsi"/>
          <w:color w:val="auto"/>
          <w:sz w:val="32"/>
          <w:szCs w:val="32"/>
        </w:rPr>
      </w:pPr>
      <w:r>
        <w:rPr>
          <w:rFonts w:asciiTheme="minorHAnsi" w:hAnsiTheme="minorHAnsi"/>
          <w:color w:val="auto"/>
          <w:sz w:val="32"/>
        </w:rPr>
        <w:t>Alerta de seguridad</w:t>
      </w:r>
    </w:p>
    <w:p w14:paraId="66288636" w14:textId="324A5DD2" w:rsidR="0069389E" w:rsidRPr="008B6841" w:rsidRDefault="0069389E" w:rsidP="0069389E">
      <w:pPr>
        <w:pStyle w:val="FACE-H1-Title"/>
        <w:spacing w:before="0"/>
        <w:rPr>
          <w:rFonts w:asciiTheme="minorHAnsi" w:hAnsiTheme="minorHAnsi" w:cstheme="minorHAnsi"/>
          <w:color w:val="auto"/>
          <w:sz w:val="32"/>
          <w:szCs w:val="32"/>
        </w:rPr>
      </w:pPr>
      <w:r>
        <w:rPr>
          <w:rFonts w:asciiTheme="minorHAnsi" w:hAnsiTheme="minorHAnsi"/>
          <w:color w:val="auto"/>
          <w:sz w:val="32"/>
        </w:rPr>
        <w:t>Ayudar a los empleadores a prevenir muertes en el lugar de trabajo</w:t>
      </w:r>
    </w:p>
    <w:p w14:paraId="4B9A871B" w14:textId="023DF586" w:rsidR="0069389E" w:rsidRPr="008B6841" w:rsidRDefault="0069389E" w:rsidP="0069389E">
      <w:pPr>
        <w:pStyle w:val="FACE-H1-Title"/>
        <w:spacing w:before="0"/>
        <w:rPr>
          <w:rFonts w:asciiTheme="minorHAnsi" w:hAnsiTheme="minorHAnsi" w:cstheme="minorHAnsi"/>
          <w:color w:val="auto"/>
          <w:sz w:val="32"/>
          <w:szCs w:val="32"/>
        </w:rPr>
      </w:pPr>
    </w:p>
    <w:p w14:paraId="2D181054" w14:textId="77777777" w:rsidR="00FC64DD" w:rsidRPr="008B6841" w:rsidRDefault="00FC64DD" w:rsidP="00FC64DD">
      <w:pPr>
        <w:rPr>
          <w:rFonts w:cstheme="minorHAnsi"/>
        </w:rPr>
      </w:pPr>
      <w:r>
        <w:rPr>
          <w:rStyle w:val="cf01"/>
          <w:rFonts w:asciiTheme="minorHAnsi" w:hAnsiTheme="minorHAnsi"/>
          <w:sz w:val="24"/>
        </w:rPr>
        <w:t>Los objetivos de esta Alerta de seguridad son: 1) destacar una fatalidad ocupacional reciente; 2) identificar formas en que se pudo haber evitado este incidente específico; y 3) proporcionar orientación más amplia sobre cómo prevenir incidentes similares.</w:t>
      </w:r>
    </w:p>
    <w:p w14:paraId="1E00C509" w14:textId="77777777" w:rsidR="0069389E" w:rsidRPr="008B6841" w:rsidRDefault="0069389E" w:rsidP="0069389E">
      <w:pPr>
        <w:pStyle w:val="FACE-H1-Title"/>
        <w:spacing w:before="0"/>
        <w:rPr>
          <w:rFonts w:asciiTheme="minorHAnsi" w:hAnsiTheme="minorHAnsi" w:cstheme="minorHAnsi"/>
          <w:color w:val="auto"/>
          <w:sz w:val="32"/>
          <w:szCs w:val="32"/>
        </w:rPr>
      </w:pPr>
    </w:p>
    <w:p w14:paraId="3DB0E966" w14:textId="514874F0" w:rsidR="00141E33" w:rsidRPr="008B6841" w:rsidRDefault="005B7511" w:rsidP="0069389E">
      <w:pPr>
        <w:pStyle w:val="FACE-H1-Title"/>
        <w:spacing w:before="0"/>
        <w:rPr>
          <w:rFonts w:asciiTheme="minorHAnsi" w:hAnsiTheme="minorHAnsi" w:cstheme="minorHAnsi"/>
          <w:color w:val="auto"/>
          <w:sz w:val="52"/>
          <w:szCs w:val="52"/>
        </w:rPr>
      </w:pPr>
      <w:r>
        <w:rPr>
          <w:rFonts w:asciiTheme="minorHAnsi" w:hAnsiTheme="minorHAnsi"/>
          <w:color w:val="auto"/>
          <w:sz w:val="52"/>
        </w:rPr>
        <w:t>Propietario de empresa aplastado por una minicargadora mientras realizaba tareas de mantenimiento</w:t>
      </w:r>
    </w:p>
    <w:p w14:paraId="25B15407" w14:textId="77777777" w:rsidR="00FC64DD" w:rsidRPr="008B6841" w:rsidRDefault="00FC64DD" w:rsidP="0069389E">
      <w:pPr>
        <w:pStyle w:val="FACE-H1-Title"/>
        <w:spacing w:before="0"/>
        <w:rPr>
          <w:rFonts w:asciiTheme="minorHAnsi" w:hAnsiTheme="minorHAnsi" w:cstheme="minorHAnsi"/>
          <w:color w:val="auto"/>
          <w:sz w:val="28"/>
          <w:szCs w:val="28"/>
        </w:rPr>
      </w:pPr>
    </w:p>
    <w:p w14:paraId="46F6CE56" w14:textId="239E6870" w:rsidR="00141E33" w:rsidRPr="003628D0" w:rsidRDefault="00141E33" w:rsidP="0069389E">
      <w:pPr>
        <w:pStyle w:val="FACE-H1-Title"/>
        <w:spacing w:before="0"/>
        <w:rPr>
          <w:rFonts w:asciiTheme="minorHAnsi" w:hAnsiTheme="minorHAnsi" w:cstheme="minorHAnsi"/>
          <w:color w:val="auto"/>
          <w:sz w:val="24"/>
          <w:szCs w:val="24"/>
        </w:rPr>
      </w:pPr>
      <w:r>
        <w:rPr>
          <w:rFonts w:asciiTheme="minorHAnsi" w:hAnsiTheme="minorHAnsi"/>
          <w:color w:val="auto"/>
          <w:sz w:val="24"/>
        </w:rPr>
        <w:t>¿QUÉ SUCEDIÓ?</w:t>
      </w:r>
    </w:p>
    <w:p w14:paraId="67AE2345" w14:textId="2779FB04" w:rsidR="00141E33" w:rsidRPr="003628D0" w:rsidRDefault="0014066F" w:rsidP="0069389E">
      <w:pPr>
        <w:rPr>
          <w:rFonts w:cstheme="minorHAnsi"/>
        </w:rPr>
      </w:pPr>
      <w:r>
        <w:t>El 14 de octubre de 2022, el propietario de una empresa de jardinería y árboles de 51 años estaba realizando tareas de mantenimiento en una minicargadora en un garaje. Trabajaba solo y estaba cambiando las ruedas por orugas para quitar la nieve en la temporada de invierno. La minicargadora no estaba bien sujeta: estaba apoyada sobre dos tablas de madera y un gato de dos toneladas. La minicargadora se inclinó inesperadamente y cayó, aplastando al propietario. Los bomberos y el personal médico lo sacaron de abajo de la minicargadora y lo declararon muerto en el lugar de los hechos.</w:t>
      </w:r>
    </w:p>
    <w:p w14:paraId="0D9F98EE" w14:textId="72FE6A8A" w:rsidR="0014066F" w:rsidRDefault="0014066F" w:rsidP="0069389E">
      <w:pPr>
        <w:rPr>
          <w:rFonts w:cstheme="minorHAnsi"/>
        </w:rPr>
      </w:pPr>
    </w:p>
    <w:p w14:paraId="254A2ED7" w14:textId="66CCE076" w:rsidR="003F4C24" w:rsidRPr="003F4C24" w:rsidRDefault="003F4C24" w:rsidP="0069389E">
      <w:pPr>
        <w:rPr>
          <w:rFonts w:cstheme="minorHAnsi"/>
          <w:sz w:val="22"/>
          <w:szCs w:val="22"/>
        </w:rPr>
      </w:pPr>
      <w:r>
        <w:rPr>
          <w:sz w:val="22"/>
        </w:rPr>
        <w:t xml:space="preserve">(Hay una imagen de una minicargadora amarilla) </w:t>
      </w:r>
    </w:p>
    <w:p w14:paraId="03709875" w14:textId="77777777" w:rsidR="003F4C24" w:rsidRPr="003628D0" w:rsidRDefault="003F4C24" w:rsidP="0069389E">
      <w:pPr>
        <w:rPr>
          <w:rFonts w:cstheme="minorHAnsi"/>
        </w:rPr>
      </w:pPr>
    </w:p>
    <w:p w14:paraId="1E8BFC83" w14:textId="1DA91F8D" w:rsidR="00141E33" w:rsidRPr="003628D0" w:rsidRDefault="00141E33" w:rsidP="0069389E">
      <w:pPr>
        <w:rPr>
          <w:rFonts w:cstheme="minorHAnsi"/>
          <w:b/>
          <w:bCs/>
        </w:rPr>
      </w:pPr>
      <w:r>
        <w:rPr>
          <w:b/>
        </w:rPr>
        <w:t>¿CÓMO SE PUDO HABER PREVENIDO ESTE INCIDENTE?</w:t>
      </w:r>
    </w:p>
    <w:p w14:paraId="4A1654AF" w14:textId="6316733C" w:rsidR="007E18D2" w:rsidRPr="008B6841" w:rsidRDefault="007E18D2" w:rsidP="007E18D2">
      <w:pPr>
        <w:numPr>
          <w:ilvl w:val="0"/>
          <w:numId w:val="5"/>
        </w:numPr>
        <w:spacing w:line="259" w:lineRule="auto"/>
        <w:rPr>
          <w:rFonts w:cstheme="minorHAnsi"/>
          <w:b/>
          <w:bCs/>
        </w:rPr>
      </w:pPr>
      <w:r>
        <w:rPr>
          <w:b/>
        </w:rPr>
        <w:t xml:space="preserve">Sujete correctamente las minicargadoras: </w:t>
      </w:r>
      <w:r w:rsidR="00F33E2F">
        <w:t>a</w:t>
      </w:r>
      <w:r>
        <w:t>segúrese de que los trabajadores sujetan correctamente las minicargadoras cuando las elevan para realizar tareas de mantenimiento. Consulte el manual y siga las instrucciones de los gatos.</w:t>
      </w:r>
    </w:p>
    <w:p w14:paraId="55BB9B4F" w14:textId="5FF25D71" w:rsidR="007E18D2" w:rsidRPr="008B6841" w:rsidRDefault="007E18D2" w:rsidP="007E18D2">
      <w:pPr>
        <w:numPr>
          <w:ilvl w:val="0"/>
          <w:numId w:val="5"/>
        </w:numPr>
        <w:spacing w:line="259" w:lineRule="auto"/>
        <w:rPr>
          <w:rFonts w:cstheme="minorHAnsi"/>
          <w:b/>
          <w:bCs/>
        </w:rPr>
      </w:pPr>
      <w:r>
        <w:rPr>
          <w:b/>
        </w:rPr>
        <w:t xml:space="preserve">Trabaje con otras personas: </w:t>
      </w:r>
      <w:r w:rsidR="00F33E2F">
        <w:t>a</w:t>
      </w:r>
      <w:r>
        <w:t>segúrese de que se asignan al menos dos personas a las tareas de elevación y descenso de las minicargadoras.</w:t>
      </w:r>
    </w:p>
    <w:p w14:paraId="4270FE11" w14:textId="77777777" w:rsidR="007E18D2" w:rsidRPr="008B6841" w:rsidRDefault="007E18D2" w:rsidP="0069389E">
      <w:pPr>
        <w:rPr>
          <w:rFonts w:cstheme="minorHAnsi"/>
          <w:sz w:val="22"/>
          <w:szCs w:val="22"/>
        </w:rPr>
      </w:pPr>
    </w:p>
    <w:p w14:paraId="2A7E915F" w14:textId="77777777" w:rsidR="00151E0D" w:rsidRPr="008B6841" w:rsidRDefault="00151E0D" w:rsidP="00151E0D">
      <w:pPr>
        <w:rPr>
          <w:rFonts w:cstheme="minorHAnsi"/>
          <w:b/>
          <w:bCs/>
        </w:rPr>
      </w:pPr>
      <w:r>
        <w:rPr>
          <w:b/>
        </w:rPr>
        <w:t>¿CÓMO PUEDEN LOS EMPLEADORES PREVENIR OTROS TIPOS DE INCIDENTES CON MINICARGADORAS?</w:t>
      </w:r>
    </w:p>
    <w:p w14:paraId="549BA395" w14:textId="77777777" w:rsidR="00151E0D" w:rsidRPr="008B6841" w:rsidRDefault="00151E0D" w:rsidP="00151E0D">
      <w:pPr>
        <w:numPr>
          <w:ilvl w:val="0"/>
          <w:numId w:val="6"/>
        </w:numPr>
        <w:spacing w:line="259" w:lineRule="auto"/>
        <w:rPr>
          <w:rFonts w:cstheme="minorHAnsi"/>
          <w:b/>
          <w:bCs/>
        </w:rPr>
      </w:pPr>
      <w:r>
        <w:rPr>
          <w:b/>
        </w:rPr>
        <w:t>Asegúrese de que los empleados sigan los procedimientos de mantenimiento adecuados según las pautas del fabricante.</w:t>
      </w:r>
    </w:p>
    <w:p w14:paraId="71DF5C33" w14:textId="77777777" w:rsidR="00151E0D" w:rsidRPr="008B6841" w:rsidRDefault="00151E0D" w:rsidP="00151E0D">
      <w:pPr>
        <w:numPr>
          <w:ilvl w:val="1"/>
          <w:numId w:val="6"/>
        </w:numPr>
        <w:spacing w:line="259" w:lineRule="auto"/>
        <w:rPr>
          <w:rFonts w:cstheme="minorHAnsi"/>
        </w:rPr>
      </w:pPr>
      <w:r>
        <w:lastRenderedPageBreak/>
        <w:t>Asigne por lo menos dos personas para trabajar en tareas que impliquen levantar y bajar equipos de minicargadoras.</w:t>
      </w:r>
    </w:p>
    <w:p w14:paraId="20E0FEE6" w14:textId="77777777" w:rsidR="00151E0D" w:rsidRPr="008B6841" w:rsidRDefault="00151E0D" w:rsidP="00151E0D">
      <w:pPr>
        <w:numPr>
          <w:ilvl w:val="1"/>
          <w:numId w:val="6"/>
        </w:numPr>
        <w:spacing w:line="259" w:lineRule="auto"/>
        <w:rPr>
          <w:rFonts w:cstheme="minorHAnsi"/>
        </w:rPr>
      </w:pPr>
      <w:r>
        <w:t>Coloque los soportes de la manera correcta al levantar las minicargadoras para darles servicio. Aconseje a los empleados que consulten con su supervisor si no están seguros.</w:t>
      </w:r>
    </w:p>
    <w:p w14:paraId="729F8675" w14:textId="77777777" w:rsidR="00151E0D" w:rsidRPr="008B6841" w:rsidRDefault="00151E0D" w:rsidP="00151E0D">
      <w:pPr>
        <w:numPr>
          <w:ilvl w:val="1"/>
          <w:numId w:val="6"/>
        </w:numPr>
        <w:spacing w:line="259" w:lineRule="auto"/>
        <w:rPr>
          <w:rFonts w:cstheme="minorHAnsi"/>
        </w:rPr>
      </w:pPr>
      <w:r>
        <w:t>Nunca realice tareas de servicio debajo de un cucharón elevado, y asegúrese de que los dispositivos de apoyo estén en su lugar.</w:t>
      </w:r>
    </w:p>
    <w:p w14:paraId="6CF62C97" w14:textId="77777777" w:rsidR="00151E0D" w:rsidRPr="008B6841" w:rsidRDefault="00151E0D" w:rsidP="00151E0D">
      <w:pPr>
        <w:numPr>
          <w:ilvl w:val="1"/>
          <w:numId w:val="6"/>
        </w:numPr>
        <w:spacing w:line="259" w:lineRule="auto"/>
        <w:rPr>
          <w:rFonts w:cstheme="minorHAnsi"/>
        </w:rPr>
      </w:pPr>
      <w:r>
        <w:t>Nunca trabaje en la máquina con el motor en marcha a menos que lo indique el manual del operador.</w:t>
      </w:r>
    </w:p>
    <w:p w14:paraId="3B1980E3" w14:textId="77777777" w:rsidR="00151E0D" w:rsidRPr="008B6841" w:rsidRDefault="00151E0D" w:rsidP="00151E0D">
      <w:pPr>
        <w:ind w:left="1170"/>
        <w:rPr>
          <w:rFonts w:cstheme="minorHAnsi"/>
        </w:rPr>
      </w:pPr>
    </w:p>
    <w:p w14:paraId="5C724AD2" w14:textId="77777777" w:rsidR="00151E0D" w:rsidRPr="008B6841" w:rsidRDefault="00151E0D" w:rsidP="00151E0D">
      <w:pPr>
        <w:numPr>
          <w:ilvl w:val="0"/>
          <w:numId w:val="6"/>
        </w:numPr>
        <w:spacing w:line="259" w:lineRule="auto"/>
        <w:rPr>
          <w:rFonts w:cstheme="minorHAnsi"/>
          <w:b/>
          <w:bCs/>
        </w:rPr>
      </w:pPr>
      <w:r>
        <w:rPr>
          <w:b/>
        </w:rPr>
        <w:t>Inspeccione la minicargadora antes de empezar a trabajar.</w:t>
      </w:r>
    </w:p>
    <w:p w14:paraId="27AD49A2" w14:textId="77777777" w:rsidR="00151E0D" w:rsidRPr="008B6841" w:rsidRDefault="00151E0D" w:rsidP="00151E0D">
      <w:pPr>
        <w:numPr>
          <w:ilvl w:val="1"/>
          <w:numId w:val="6"/>
        </w:numPr>
        <w:spacing w:line="259" w:lineRule="auto"/>
        <w:rPr>
          <w:rFonts w:cstheme="minorHAnsi"/>
          <w:b/>
          <w:bCs/>
        </w:rPr>
      </w:pPr>
      <w:r>
        <w:t>Cree y siga una lista de verificación previa al arranque: inspeccione los neumáticos, la cabina y las pantallas laterales, los cinturones y la barra de seguridad, las manijas, los escalones, los accesorios, los espejos, las bocinas, las alarmas y verifique si hay fugas de líquidos.</w:t>
      </w:r>
    </w:p>
    <w:p w14:paraId="3DEEA28B" w14:textId="77777777" w:rsidR="00151E0D" w:rsidRPr="008B6841" w:rsidRDefault="00151E0D" w:rsidP="00151E0D">
      <w:pPr>
        <w:ind w:left="1170"/>
        <w:rPr>
          <w:rFonts w:cstheme="minorHAnsi"/>
        </w:rPr>
      </w:pPr>
    </w:p>
    <w:p w14:paraId="06DE8E68" w14:textId="77777777" w:rsidR="00151E0D" w:rsidRPr="008B6841" w:rsidRDefault="00151E0D" w:rsidP="00151E0D">
      <w:pPr>
        <w:pStyle w:val="ListParagraph"/>
        <w:numPr>
          <w:ilvl w:val="0"/>
          <w:numId w:val="6"/>
        </w:numPr>
        <w:spacing w:line="259" w:lineRule="auto"/>
        <w:contextualSpacing w:val="0"/>
        <w:rPr>
          <w:rFonts w:cstheme="minorHAnsi"/>
          <w:b/>
          <w:bCs/>
        </w:rPr>
      </w:pPr>
      <w:r>
        <w:rPr>
          <w:b/>
        </w:rPr>
        <w:t>Inspeccione y mantenga periódicamente los dispositivos de seguridad en las minicargadoras.</w:t>
      </w:r>
    </w:p>
    <w:p w14:paraId="2309F271" w14:textId="7C0B3043" w:rsidR="00151E0D" w:rsidRPr="008B6841" w:rsidRDefault="00151E0D" w:rsidP="00151E0D">
      <w:pPr>
        <w:pStyle w:val="ListParagraph"/>
        <w:numPr>
          <w:ilvl w:val="1"/>
          <w:numId w:val="6"/>
        </w:numPr>
        <w:spacing w:line="259" w:lineRule="auto"/>
        <w:contextualSpacing w:val="0"/>
        <w:rPr>
          <w:rFonts w:cstheme="minorHAnsi"/>
        </w:rPr>
      </w:pPr>
      <w:r>
        <w:t>Los dispositivos de seguridad incluyen interbloqueos de control, cinturones de seguridad, barras de sujeción, pantallas laterales, sistemas de protección antivuelcos y estructuras de protección contra la caída de objetos.</w:t>
      </w:r>
    </w:p>
    <w:p w14:paraId="4FA6978A" w14:textId="77777777" w:rsidR="00151E0D" w:rsidRPr="008B6841" w:rsidRDefault="00151E0D" w:rsidP="00151E0D">
      <w:pPr>
        <w:rPr>
          <w:rFonts w:cstheme="minorHAnsi"/>
        </w:rPr>
      </w:pPr>
    </w:p>
    <w:p w14:paraId="451075B4" w14:textId="77777777" w:rsidR="00151E0D" w:rsidRPr="008B6841" w:rsidRDefault="00151E0D" w:rsidP="00151E0D">
      <w:pPr>
        <w:numPr>
          <w:ilvl w:val="0"/>
          <w:numId w:val="7"/>
        </w:numPr>
        <w:spacing w:line="259" w:lineRule="auto"/>
        <w:rPr>
          <w:rFonts w:cstheme="minorHAnsi"/>
        </w:rPr>
      </w:pPr>
      <w:r>
        <w:rPr>
          <w:b/>
        </w:rPr>
        <w:t xml:space="preserve">Recuerde a los empleados que informen a su supervisor sobre cualquier equipo de seguridad faltante o dañado y que nunca modifiquen ni omitan el uso de dispositivos de seguridad.  </w:t>
      </w:r>
      <w:r>
        <w:rPr>
          <w:b/>
        </w:rPr>
        <w:br/>
      </w:r>
    </w:p>
    <w:p w14:paraId="23805BCD" w14:textId="77777777" w:rsidR="00151E0D" w:rsidRPr="008B6841" w:rsidRDefault="00151E0D" w:rsidP="00151E0D">
      <w:pPr>
        <w:numPr>
          <w:ilvl w:val="0"/>
          <w:numId w:val="7"/>
        </w:numPr>
        <w:spacing w:line="259" w:lineRule="auto"/>
        <w:rPr>
          <w:rFonts w:cstheme="minorHAnsi"/>
        </w:rPr>
      </w:pPr>
      <w:r>
        <w:rPr>
          <w:b/>
        </w:rPr>
        <w:t>Enfatice la importancia de seguir procedimientos operativos seguros según las pautas del fabricante.</w:t>
      </w:r>
    </w:p>
    <w:p w14:paraId="0E4E800C" w14:textId="77777777" w:rsidR="00151E0D" w:rsidRPr="008B6841" w:rsidRDefault="00151E0D" w:rsidP="00151E0D">
      <w:pPr>
        <w:numPr>
          <w:ilvl w:val="1"/>
          <w:numId w:val="7"/>
        </w:numPr>
        <w:spacing w:line="259" w:lineRule="auto"/>
        <w:rPr>
          <w:rFonts w:cstheme="minorHAnsi"/>
        </w:rPr>
      </w:pPr>
      <w:r>
        <w:t>Nunca lleve pasajeros.</w:t>
      </w:r>
    </w:p>
    <w:p w14:paraId="74930527" w14:textId="77777777" w:rsidR="00151E0D" w:rsidRPr="008B6841" w:rsidRDefault="00151E0D" w:rsidP="00151E0D">
      <w:pPr>
        <w:numPr>
          <w:ilvl w:val="1"/>
          <w:numId w:val="7"/>
        </w:numPr>
        <w:spacing w:line="259" w:lineRule="auto"/>
        <w:rPr>
          <w:rFonts w:cstheme="minorHAnsi"/>
        </w:rPr>
      </w:pPr>
      <w:r>
        <w:t>No exceda la capacidad de carga recomendada por el fabricante.</w:t>
      </w:r>
    </w:p>
    <w:p w14:paraId="47399D3B" w14:textId="77777777" w:rsidR="00151E0D" w:rsidRPr="008B6841" w:rsidRDefault="00151E0D" w:rsidP="00151E0D">
      <w:pPr>
        <w:numPr>
          <w:ilvl w:val="1"/>
          <w:numId w:val="7"/>
        </w:numPr>
        <w:spacing w:line="259" w:lineRule="auto"/>
        <w:rPr>
          <w:rFonts w:cstheme="minorHAnsi"/>
        </w:rPr>
      </w:pPr>
      <w:r>
        <w:t>Entre y salga de la cabina de forma segura.</w:t>
      </w:r>
    </w:p>
    <w:p w14:paraId="0851C837" w14:textId="77777777" w:rsidR="00151E0D" w:rsidRPr="008B6841" w:rsidRDefault="00151E0D" w:rsidP="00151E0D">
      <w:pPr>
        <w:numPr>
          <w:ilvl w:val="1"/>
          <w:numId w:val="7"/>
        </w:numPr>
        <w:spacing w:line="259" w:lineRule="auto"/>
        <w:rPr>
          <w:rFonts w:cstheme="minorHAnsi"/>
        </w:rPr>
      </w:pPr>
      <w:r>
        <w:t>Nunca utilice los controles de pie o mano como escalones o asideros.</w:t>
      </w:r>
    </w:p>
    <w:p w14:paraId="447A890C" w14:textId="77777777" w:rsidR="00151E0D" w:rsidRPr="008B6841" w:rsidRDefault="00151E0D" w:rsidP="00151E0D">
      <w:pPr>
        <w:numPr>
          <w:ilvl w:val="1"/>
          <w:numId w:val="7"/>
        </w:numPr>
        <w:spacing w:line="259" w:lineRule="auto"/>
        <w:rPr>
          <w:rFonts w:cstheme="minorHAnsi"/>
        </w:rPr>
      </w:pPr>
      <w:r>
        <w:t>Respete los mensajes de seguridad y las etiquetas de señalización/advertencia de la minicargadora.</w:t>
      </w:r>
    </w:p>
    <w:p w14:paraId="2BE86B80" w14:textId="77777777" w:rsidR="00151E0D" w:rsidRPr="008B6841" w:rsidRDefault="00151E0D" w:rsidP="00151E0D">
      <w:pPr>
        <w:ind w:left="1440"/>
        <w:rPr>
          <w:rFonts w:cstheme="minorHAnsi"/>
        </w:rPr>
      </w:pPr>
    </w:p>
    <w:p w14:paraId="0E70D4AF" w14:textId="77777777" w:rsidR="00151E0D" w:rsidRPr="008B6841" w:rsidRDefault="00151E0D" w:rsidP="00151E0D">
      <w:pPr>
        <w:numPr>
          <w:ilvl w:val="0"/>
          <w:numId w:val="7"/>
        </w:numPr>
        <w:spacing w:line="259" w:lineRule="auto"/>
        <w:rPr>
          <w:rFonts w:cstheme="minorHAnsi"/>
        </w:rPr>
      </w:pPr>
      <w:r>
        <w:rPr>
          <w:b/>
        </w:rPr>
        <w:t>Proporcione formación a los trabajadores y operadores sobre el uso y mantenimiento seguros de las minicargadoras y asegúrese de que los operadores tengan la licencia adecuada.</w:t>
      </w:r>
    </w:p>
    <w:p w14:paraId="1F355495" w14:textId="469970E1" w:rsidR="00925517" w:rsidRPr="008B6841" w:rsidRDefault="00925517" w:rsidP="0069389E">
      <w:pPr>
        <w:rPr>
          <w:rFonts w:cstheme="minorHAnsi"/>
        </w:rPr>
      </w:pPr>
    </w:p>
    <w:p w14:paraId="5ECC1596" w14:textId="203A9899" w:rsidR="00887A68" w:rsidRPr="008B6841" w:rsidRDefault="00887A68" w:rsidP="00887A68">
      <w:pPr>
        <w:spacing w:line="256" w:lineRule="auto"/>
        <w:rPr>
          <w:rFonts w:eastAsia="Calibri" w:cstheme="minorHAnsi"/>
          <w:b/>
          <w:bCs/>
          <w:color w:val="000000" w:themeColor="text1"/>
          <w:sz w:val="32"/>
          <w:szCs w:val="32"/>
        </w:rPr>
      </w:pPr>
      <w:r>
        <w:rPr>
          <w:b/>
          <w:color w:val="000000" w:themeColor="text1"/>
          <w:sz w:val="32"/>
        </w:rPr>
        <w:t>MÁS INFORMACIÓN</w:t>
      </w:r>
    </w:p>
    <w:p w14:paraId="3D08391E" w14:textId="77777777" w:rsidR="005372F3" w:rsidRPr="008B6841" w:rsidRDefault="005372F3" w:rsidP="005372F3">
      <w:pPr>
        <w:spacing w:line="256" w:lineRule="auto"/>
        <w:rPr>
          <w:rFonts w:eastAsia="Calibri" w:cstheme="minorHAnsi"/>
          <w:b/>
          <w:bCs/>
          <w:color w:val="000000" w:themeColor="text1"/>
        </w:rPr>
      </w:pPr>
      <w:r>
        <w:rPr>
          <w:b/>
          <w:color w:val="000000" w:themeColor="text1"/>
        </w:rPr>
        <w:t>Recursos nacionales:</w:t>
      </w:r>
    </w:p>
    <w:p w14:paraId="7F83FE9A" w14:textId="77777777" w:rsidR="005372F3" w:rsidRPr="0060455F" w:rsidRDefault="00000000" w:rsidP="005372F3">
      <w:pPr>
        <w:pStyle w:val="ListParagraph"/>
        <w:numPr>
          <w:ilvl w:val="0"/>
          <w:numId w:val="8"/>
        </w:numPr>
        <w:spacing w:line="256" w:lineRule="auto"/>
        <w:rPr>
          <w:rFonts w:eastAsia="Calibri" w:cstheme="minorHAnsi"/>
          <w:color w:val="000000" w:themeColor="text1"/>
        </w:rPr>
      </w:pPr>
      <w:hyperlink r:id="rId5" w:history="1">
        <w:r w:rsidR="00C55D03" w:rsidRPr="0060455F">
          <w:rPr>
            <w:rStyle w:val="Hyperlink"/>
            <w:rFonts w:cstheme="minorHAnsi"/>
            <w:sz w:val="24"/>
          </w:rPr>
          <w:t>Informe de incidentes con minicargadoras FACE de 2014 (CDC)</w:t>
        </w:r>
      </w:hyperlink>
    </w:p>
    <w:p w14:paraId="05CB4E76" w14:textId="77777777" w:rsidR="005372F3" w:rsidRPr="0060455F" w:rsidRDefault="00000000" w:rsidP="005372F3">
      <w:pPr>
        <w:pStyle w:val="ListParagraph"/>
        <w:numPr>
          <w:ilvl w:val="0"/>
          <w:numId w:val="8"/>
        </w:numPr>
        <w:spacing w:line="256" w:lineRule="auto"/>
        <w:rPr>
          <w:rFonts w:eastAsia="Calibri" w:cstheme="minorHAnsi"/>
          <w:color w:val="000000" w:themeColor="text1"/>
        </w:rPr>
      </w:pPr>
      <w:hyperlink r:id="rId6" w:history="1">
        <w:r w:rsidR="00C55D03" w:rsidRPr="0060455F">
          <w:rPr>
            <w:rStyle w:val="Hyperlink"/>
            <w:rFonts w:cstheme="minorHAnsi"/>
            <w:sz w:val="24"/>
          </w:rPr>
          <w:t>Alerta de NIOSH:</w:t>
        </w:r>
      </w:hyperlink>
      <w:hyperlink r:id="rId7" w:history="1">
        <w:r w:rsidR="00C55D03" w:rsidRPr="0060455F">
          <w:rPr>
            <w:rStyle w:val="Hyperlink"/>
            <w:rFonts w:cstheme="minorHAnsi"/>
            <w:sz w:val="24"/>
          </w:rPr>
          <w:t xml:space="preserve"> prevención de lesiones y muertes por minicargadoras (CDC)</w:t>
        </w:r>
      </w:hyperlink>
    </w:p>
    <w:p w14:paraId="638DC9B9" w14:textId="77777777" w:rsidR="005372F3" w:rsidRPr="0060455F" w:rsidRDefault="00000000" w:rsidP="005372F3">
      <w:pPr>
        <w:pStyle w:val="ListParagraph"/>
        <w:numPr>
          <w:ilvl w:val="0"/>
          <w:numId w:val="8"/>
        </w:numPr>
        <w:spacing w:line="256" w:lineRule="auto"/>
        <w:rPr>
          <w:rFonts w:eastAsia="Calibri" w:cstheme="minorHAnsi"/>
          <w:color w:val="000000" w:themeColor="text1"/>
        </w:rPr>
      </w:pPr>
      <w:hyperlink r:id="rId8" w:history="1">
        <w:r w:rsidR="00C55D03" w:rsidRPr="0060455F">
          <w:rPr>
            <w:rStyle w:val="Hyperlink"/>
            <w:rFonts w:cstheme="minorHAnsi"/>
            <w:sz w:val="24"/>
          </w:rPr>
          <w:t>Seguridad de las minicargadoras (OSHA)</w:t>
        </w:r>
      </w:hyperlink>
    </w:p>
    <w:p w14:paraId="5180BBA3" w14:textId="77777777" w:rsidR="005372F3" w:rsidRPr="0060455F" w:rsidRDefault="005372F3" w:rsidP="005372F3">
      <w:pPr>
        <w:spacing w:line="256" w:lineRule="auto"/>
        <w:rPr>
          <w:rFonts w:eastAsia="Calibri" w:cstheme="minorHAnsi"/>
          <w:b/>
          <w:bCs/>
          <w:color w:val="000000" w:themeColor="text1"/>
        </w:rPr>
      </w:pPr>
    </w:p>
    <w:p w14:paraId="52AB389A" w14:textId="77777777" w:rsidR="005372F3" w:rsidRPr="0060455F" w:rsidRDefault="005372F3" w:rsidP="005372F3">
      <w:pPr>
        <w:spacing w:line="256" w:lineRule="auto"/>
        <w:rPr>
          <w:rFonts w:eastAsia="Calibri" w:cstheme="minorHAnsi"/>
          <w:b/>
          <w:bCs/>
          <w:color w:val="000000" w:themeColor="text1"/>
        </w:rPr>
      </w:pPr>
      <w:r w:rsidRPr="0060455F">
        <w:rPr>
          <w:rFonts w:cstheme="minorHAnsi"/>
          <w:b/>
          <w:color w:val="000000" w:themeColor="text1"/>
        </w:rPr>
        <w:t xml:space="preserve">Si necesita ayuda para iniciar un programa de salud y seguridad, busque recursos del Departamento de Normas Laborales de Massachusetts: </w:t>
      </w:r>
    </w:p>
    <w:p w14:paraId="0DA7445D" w14:textId="77777777" w:rsidR="005372F3" w:rsidRPr="0060455F" w:rsidRDefault="00000000" w:rsidP="005372F3">
      <w:pPr>
        <w:spacing w:line="256" w:lineRule="auto"/>
        <w:rPr>
          <w:rFonts w:eastAsia="Calibri" w:cstheme="minorHAnsi"/>
          <w:color w:val="0000FF"/>
        </w:rPr>
      </w:pPr>
      <w:hyperlink r:id="rId9" w:history="1">
        <w:r w:rsidR="00C55D03" w:rsidRPr="0060455F">
          <w:rPr>
            <w:rStyle w:val="Hyperlink"/>
            <w:rFonts w:cstheme="minorHAnsi"/>
            <w:sz w:val="24"/>
          </w:rPr>
          <w:t>Programa de consulta en el lugar de trabajo (mass.gov)</w:t>
        </w:r>
      </w:hyperlink>
    </w:p>
    <w:p w14:paraId="02FCF323" w14:textId="77777777" w:rsidR="005372F3" w:rsidRPr="008B6841" w:rsidRDefault="005372F3" w:rsidP="00887A68">
      <w:pPr>
        <w:spacing w:line="256" w:lineRule="auto"/>
        <w:rPr>
          <w:rFonts w:eastAsia="Calibri" w:cstheme="minorHAnsi"/>
          <w:b/>
          <w:bCs/>
          <w:color w:val="000000" w:themeColor="text1"/>
          <w:sz w:val="32"/>
          <w:szCs w:val="32"/>
        </w:rPr>
      </w:pPr>
    </w:p>
    <w:p w14:paraId="0B5D0828" w14:textId="37A43E23" w:rsidR="00141E33" w:rsidRPr="00D3276A" w:rsidRDefault="008B6841" w:rsidP="00D3276A">
      <w:pPr>
        <w:pStyle w:val="Footer"/>
        <w:rPr>
          <w:rFonts w:cstheme="minorHAnsi"/>
          <w:i/>
          <w:iCs/>
          <w:sz w:val="20"/>
          <w:szCs w:val="20"/>
        </w:rPr>
      </w:pPr>
      <w:r>
        <w:rPr>
          <w:i/>
          <w:sz w:val="20"/>
        </w:rPr>
        <w:t>Esta narrativa se desarrolló para alertar a los empleadores sobre un incidente trágico. Desarrollado por el programa de Evaluación y Control de Fatalidades del Estado de MA (FACE, Fatality Assessment and Control Evaluation) en el Programa de Vigilancia de Salud Ocupacional (OHSP, Occupational Health Surveillance Program) del Departamento de Salud Pública de MA. El programa FACE cuenta con el apoyo de una subvención del Instituto Nacional de Seguridad y Salud Ocupacional (NIOSH). Para obtener más información, visite</w:t>
      </w:r>
      <w:hyperlink r:id="rId10" w:history="1">
        <w:r>
          <w:rPr>
            <w:rStyle w:val="Hyperlink"/>
            <w:i/>
            <w:sz w:val="20"/>
          </w:rPr>
          <w:t xml:space="preserve"> </w:t>
        </w:r>
      </w:hyperlink>
      <w:hyperlink r:id="rId11" w:history="1">
        <w:r>
          <w:rPr>
            <w:rStyle w:val="Hyperlink"/>
            <w:i/>
            <w:sz w:val="20"/>
          </w:rPr>
          <w:t>www.mass.gov/fatal-work-related-injuries</w:t>
        </w:r>
      </w:hyperlink>
      <w:r>
        <w:rPr>
          <w:i/>
          <w:sz w:val="20"/>
        </w:rPr>
        <w:t xml:space="preserve">. Envíe un correo electrónico a </w:t>
      </w:r>
      <w:hyperlink r:id="rId12" w:history="1">
        <w:r>
          <w:rPr>
            <w:rStyle w:val="Hyperlink"/>
            <w:i/>
            <w:sz w:val="20"/>
          </w:rPr>
          <w:t>MA.FACE@mass.gov</w:t>
        </w:r>
      </w:hyperlink>
      <w:r>
        <w:rPr>
          <w:i/>
          <w:sz w:val="20"/>
        </w:rPr>
        <w:t xml:space="preserve"> si tiene alguna pregunta.</w:t>
      </w:r>
    </w:p>
    <w:sectPr w:rsidR="00141E33" w:rsidRPr="00D327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7DF6"/>
    <w:multiLevelType w:val="hybridMultilevel"/>
    <w:tmpl w:val="4688305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2260A6"/>
    <w:multiLevelType w:val="hybridMultilevel"/>
    <w:tmpl w:val="90605BC4"/>
    <w:lvl w:ilvl="0" w:tplc="17EE57C6">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35336B"/>
    <w:multiLevelType w:val="hybridMultilevel"/>
    <w:tmpl w:val="85349642"/>
    <w:lvl w:ilvl="0" w:tplc="08BC8A2E">
      <w:start w:val="1"/>
      <w:numFmt w:val="bullet"/>
      <w:lvlText w:val="●"/>
      <w:lvlJc w:val="left"/>
      <w:pPr>
        <w:tabs>
          <w:tab w:val="num" w:pos="720"/>
        </w:tabs>
        <w:ind w:left="720" w:hanging="360"/>
      </w:pPr>
      <w:rPr>
        <w:rFonts w:ascii="Calibri" w:hAnsi="Calibri" w:hint="default"/>
      </w:rPr>
    </w:lvl>
    <w:lvl w:ilvl="1" w:tplc="AC16646C" w:tentative="1">
      <w:start w:val="1"/>
      <w:numFmt w:val="bullet"/>
      <w:lvlText w:val="●"/>
      <w:lvlJc w:val="left"/>
      <w:pPr>
        <w:tabs>
          <w:tab w:val="num" w:pos="1440"/>
        </w:tabs>
        <w:ind w:left="1440" w:hanging="360"/>
      </w:pPr>
      <w:rPr>
        <w:rFonts w:ascii="Calibri" w:hAnsi="Calibri" w:hint="default"/>
      </w:rPr>
    </w:lvl>
    <w:lvl w:ilvl="2" w:tplc="F95CC7D4" w:tentative="1">
      <w:start w:val="1"/>
      <w:numFmt w:val="bullet"/>
      <w:lvlText w:val="●"/>
      <w:lvlJc w:val="left"/>
      <w:pPr>
        <w:tabs>
          <w:tab w:val="num" w:pos="2160"/>
        </w:tabs>
        <w:ind w:left="2160" w:hanging="360"/>
      </w:pPr>
      <w:rPr>
        <w:rFonts w:ascii="Calibri" w:hAnsi="Calibri" w:hint="default"/>
      </w:rPr>
    </w:lvl>
    <w:lvl w:ilvl="3" w:tplc="85F6957A" w:tentative="1">
      <w:start w:val="1"/>
      <w:numFmt w:val="bullet"/>
      <w:lvlText w:val="●"/>
      <w:lvlJc w:val="left"/>
      <w:pPr>
        <w:tabs>
          <w:tab w:val="num" w:pos="2880"/>
        </w:tabs>
        <w:ind w:left="2880" w:hanging="360"/>
      </w:pPr>
      <w:rPr>
        <w:rFonts w:ascii="Calibri" w:hAnsi="Calibri" w:hint="default"/>
      </w:rPr>
    </w:lvl>
    <w:lvl w:ilvl="4" w:tplc="E6807692" w:tentative="1">
      <w:start w:val="1"/>
      <w:numFmt w:val="bullet"/>
      <w:lvlText w:val="●"/>
      <w:lvlJc w:val="left"/>
      <w:pPr>
        <w:tabs>
          <w:tab w:val="num" w:pos="3600"/>
        </w:tabs>
        <w:ind w:left="3600" w:hanging="360"/>
      </w:pPr>
      <w:rPr>
        <w:rFonts w:ascii="Calibri" w:hAnsi="Calibri" w:hint="default"/>
      </w:rPr>
    </w:lvl>
    <w:lvl w:ilvl="5" w:tplc="1E7854BE" w:tentative="1">
      <w:start w:val="1"/>
      <w:numFmt w:val="bullet"/>
      <w:lvlText w:val="●"/>
      <w:lvlJc w:val="left"/>
      <w:pPr>
        <w:tabs>
          <w:tab w:val="num" w:pos="4320"/>
        </w:tabs>
        <w:ind w:left="4320" w:hanging="360"/>
      </w:pPr>
      <w:rPr>
        <w:rFonts w:ascii="Calibri" w:hAnsi="Calibri" w:hint="default"/>
      </w:rPr>
    </w:lvl>
    <w:lvl w:ilvl="6" w:tplc="910CE4F8" w:tentative="1">
      <w:start w:val="1"/>
      <w:numFmt w:val="bullet"/>
      <w:lvlText w:val="●"/>
      <w:lvlJc w:val="left"/>
      <w:pPr>
        <w:tabs>
          <w:tab w:val="num" w:pos="5040"/>
        </w:tabs>
        <w:ind w:left="5040" w:hanging="360"/>
      </w:pPr>
      <w:rPr>
        <w:rFonts w:ascii="Calibri" w:hAnsi="Calibri" w:hint="default"/>
      </w:rPr>
    </w:lvl>
    <w:lvl w:ilvl="7" w:tplc="B9F0B988" w:tentative="1">
      <w:start w:val="1"/>
      <w:numFmt w:val="bullet"/>
      <w:lvlText w:val="●"/>
      <w:lvlJc w:val="left"/>
      <w:pPr>
        <w:tabs>
          <w:tab w:val="num" w:pos="5760"/>
        </w:tabs>
        <w:ind w:left="5760" w:hanging="360"/>
      </w:pPr>
      <w:rPr>
        <w:rFonts w:ascii="Calibri" w:hAnsi="Calibri" w:hint="default"/>
      </w:rPr>
    </w:lvl>
    <w:lvl w:ilvl="8" w:tplc="330E0578"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4E7E0BE7"/>
    <w:multiLevelType w:val="hybridMultilevel"/>
    <w:tmpl w:val="C2C222F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C775FBB"/>
    <w:multiLevelType w:val="hybridMultilevel"/>
    <w:tmpl w:val="4AFE5252"/>
    <w:lvl w:ilvl="0" w:tplc="9E34CABC">
      <w:start w:val="4"/>
      <w:numFmt w:val="decimal"/>
      <w:lvlText w:val="%1."/>
      <w:lvlJc w:val="left"/>
      <w:pPr>
        <w:tabs>
          <w:tab w:val="num" w:pos="720"/>
        </w:tabs>
        <w:ind w:left="720" w:hanging="360"/>
      </w:pPr>
      <w:rPr>
        <w:b/>
        <w:bCs/>
      </w:rPr>
    </w:lvl>
    <w:lvl w:ilvl="1" w:tplc="986CFB7C">
      <w:numFmt w:val="bullet"/>
      <w:lvlText w:val=""/>
      <w:lvlJc w:val="left"/>
      <w:pPr>
        <w:tabs>
          <w:tab w:val="num" w:pos="1170"/>
        </w:tabs>
        <w:ind w:left="1170" w:hanging="360"/>
      </w:pPr>
      <w:rPr>
        <w:rFonts w:ascii="Wingdings 3" w:hAnsi="Wingdings 3" w:hint="default"/>
        <w:color w:val="auto"/>
        <w:sz w:val="16"/>
        <w:szCs w:val="16"/>
      </w:rPr>
    </w:lvl>
    <w:lvl w:ilvl="2" w:tplc="A56EDAC8" w:tentative="1">
      <w:start w:val="1"/>
      <w:numFmt w:val="decimal"/>
      <w:lvlText w:val="%3."/>
      <w:lvlJc w:val="left"/>
      <w:pPr>
        <w:tabs>
          <w:tab w:val="num" w:pos="2160"/>
        </w:tabs>
        <w:ind w:left="2160" w:hanging="360"/>
      </w:pPr>
    </w:lvl>
    <w:lvl w:ilvl="3" w:tplc="D8A6D0EE" w:tentative="1">
      <w:start w:val="1"/>
      <w:numFmt w:val="decimal"/>
      <w:lvlText w:val="%4."/>
      <w:lvlJc w:val="left"/>
      <w:pPr>
        <w:tabs>
          <w:tab w:val="num" w:pos="2880"/>
        </w:tabs>
        <w:ind w:left="2880" w:hanging="360"/>
      </w:pPr>
    </w:lvl>
    <w:lvl w:ilvl="4" w:tplc="D97265D6" w:tentative="1">
      <w:start w:val="1"/>
      <w:numFmt w:val="decimal"/>
      <w:lvlText w:val="%5."/>
      <w:lvlJc w:val="left"/>
      <w:pPr>
        <w:tabs>
          <w:tab w:val="num" w:pos="3600"/>
        </w:tabs>
        <w:ind w:left="3600" w:hanging="360"/>
      </w:pPr>
    </w:lvl>
    <w:lvl w:ilvl="5" w:tplc="244A87B2" w:tentative="1">
      <w:start w:val="1"/>
      <w:numFmt w:val="decimal"/>
      <w:lvlText w:val="%6."/>
      <w:lvlJc w:val="left"/>
      <w:pPr>
        <w:tabs>
          <w:tab w:val="num" w:pos="4320"/>
        </w:tabs>
        <w:ind w:left="4320" w:hanging="360"/>
      </w:pPr>
    </w:lvl>
    <w:lvl w:ilvl="6" w:tplc="391A0908" w:tentative="1">
      <w:start w:val="1"/>
      <w:numFmt w:val="decimal"/>
      <w:lvlText w:val="%7."/>
      <w:lvlJc w:val="left"/>
      <w:pPr>
        <w:tabs>
          <w:tab w:val="num" w:pos="5040"/>
        </w:tabs>
        <w:ind w:left="5040" w:hanging="360"/>
      </w:pPr>
    </w:lvl>
    <w:lvl w:ilvl="7" w:tplc="ECDC408A" w:tentative="1">
      <w:start w:val="1"/>
      <w:numFmt w:val="decimal"/>
      <w:lvlText w:val="%8."/>
      <w:lvlJc w:val="left"/>
      <w:pPr>
        <w:tabs>
          <w:tab w:val="num" w:pos="5760"/>
        </w:tabs>
        <w:ind w:left="5760" w:hanging="360"/>
      </w:pPr>
    </w:lvl>
    <w:lvl w:ilvl="8" w:tplc="739466D0" w:tentative="1">
      <w:start w:val="1"/>
      <w:numFmt w:val="decimal"/>
      <w:lvlText w:val="%9."/>
      <w:lvlJc w:val="left"/>
      <w:pPr>
        <w:tabs>
          <w:tab w:val="num" w:pos="6480"/>
        </w:tabs>
        <w:ind w:left="6480" w:hanging="360"/>
      </w:pPr>
    </w:lvl>
  </w:abstractNum>
  <w:abstractNum w:abstractNumId="5" w15:restartNumberingAfterBreak="0">
    <w:nsid w:val="7000070B"/>
    <w:multiLevelType w:val="hybridMultilevel"/>
    <w:tmpl w:val="48E00CF4"/>
    <w:lvl w:ilvl="0" w:tplc="75ACE3EE">
      <w:start w:val="1"/>
      <w:numFmt w:val="decimal"/>
      <w:lvlText w:val="%1."/>
      <w:lvlJc w:val="left"/>
      <w:pPr>
        <w:tabs>
          <w:tab w:val="num" w:pos="720"/>
        </w:tabs>
        <w:ind w:left="720" w:hanging="360"/>
      </w:pPr>
      <w:rPr>
        <w:b/>
        <w:bCs/>
      </w:rPr>
    </w:lvl>
    <w:lvl w:ilvl="1" w:tplc="50E6EF12">
      <w:numFmt w:val="bullet"/>
      <w:lvlText w:val=""/>
      <w:lvlJc w:val="left"/>
      <w:pPr>
        <w:tabs>
          <w:tab w:val="num" w:pos="1170"/>
        </w:tabs>
        <w:ind w:left="1170" w:hanging="360"/>
      </w:pPr>
      <w:rPr>
        <w:rFonts w:ascii="Wingdings 3" w:hAnsi="Wingdings 3" w:hint="default"/>
        <w:color w:val="auto"/>
        <w:sz w:val="16"/>
        <w:szCs w:val="16"/>
      </w:rPr>
    </w:lvl>
    <w:lvl w:ilvl="2" w:tplc="E9DADBCE" w:tentative="1">
      <w:start w:val="1"/>
      <w:numFmt w:val="decimal"/>
      <w:lvlText w:val="%3."/>
      <w:lvlJc w:val="left"/>
      <w:pPr>
        <w:tabs>
          <w:tab w:val="num" w:pos="2160"/>
        </w:tabs>
        <w:ind w:left="2160" w:hanging="360"/>
      </w:pPr>
    </w:lvl>
    <w:lvl w:ilvl="3" w:tplc="2AE02ABE" w:tentative="1">
      <w:start w:val="1"/>
      <w:numFmt w:val="decimal"/>
      <w:lvlText w:val="%4."/>
      <w:lvlJc w:val="left"/>
      <w:pPr>
        <w:tabs>
          <w:tab w:val="num" w:pos="2880"/>
        </w:tabs>
        <w:ind w:left="2880" w:hanging="360"/>
      </w:pPr>
    </w:lvl>
    <w:lvl w:ilvl="4" w:tplc="1576D33E" w:tentative="1">
      <w:start w:val="1"/>
      <w:numFmt w:val="decimal"/>
      <w:lvlText w:val="%5."/>
      <w:lvlJc w:val="left"/>
      <w:pPr>
        <w:tabs>
          <w:tab w:val="num" w:pos="3600"/>
        </w:tabs>
        <w:ind w:left="3600" w:hanging="360"/>
      </w:pPr>
    </w:lvl>
    <w:lvl w:ilvl="5" w:tplc="92AAEA96" w:tentative="1">
      <w:start w:val="1"/>
      <w:numFmt w:val="decimal"/>
      <w:lvlText w:val="%6."/>
      <w:lvlJc w:val="left"/>
      <w:pPr>
        <w:tabs>
          <w:tab w:val="num" w:pos="4320"/>
        </w:tabs>
        <w:ind w:left="4320" w:hanging="360"/>
      </w:pPr>
    </w:lvl>
    <w:lvl w:ilvl="6" w:tplc="27F439DA" w:tentative="1">
      <w:start w:val="1"/>
      <w:numFmt w:val="decimal"/>
      <w:lvlText w:val="%7."/>
      <w:lvlJc w:val="left"/>
      <w:pPr>
        <w:tabs>
          <w:tab w:val="num" w:pos="5040"/>
        </w:tabs>
        <w:ind w:left="5040" w:hanging="360"/>
      </w:pPr>
    </w:lvl>
    <w:lvl w:ilvl="7" w:tplc="CD1E7654" w:tentative="1">
      <w:start w:val="1"/>
      <w:numFmt w:val="decimal"/>
      <w:lvlText w:val="%8."/>
      <w:lvlJc w:val="left"/>
      <w:pPr>
        <w:tabs>
          <w:tab w:val="num" w:pos="5760"/>
        </w:tabs>
        <w:ind w:left="5760" w:hanging="360"/>
      </w:pPr>
    </w:lvl>
    <w:lvl w:ilvl="8" w:tplc="E81C0D7A" w:tentative="1">
      <w:start w:val="1"/>
      <w:numFmt w:val="decimal"/>
      <w:lvlText w:val="%9."/>
      <w:lvlJc w:val="left"/>
      <w:pPr>
        <w:tabs>
          <w:tab w:val="num" w:pos="6480"/>
        </w:tabs>
        <w:ind w:left="6480" w:hanging="360"/>
      </w:pPr>
    </w:lvl>
  </w:abstractNum>
  <w:abstractNum w:abstractNumId="6" w15:restartNumberingAfterBreak="0">
    <w:nsid w:val="70203CCB"/>
    <w:multiLevelType w:val="hybridMultilevel"/>
    <w:tmpl w:val="DDD86BC4"/>
    <w:lvl w:ilvl="0" w:tplc="0409000F">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D66825"/>
    <w:multiLevelType w:val="hybridMultilevel"/>
    <w:tmpl w:val="729A2182"/>
    <w:lvl w:ilvl="0" w:tplc="FF48F946">
      <w:start w:val="1"/>
      <w:numFmt w:val="bullet"/>
      <w:lvlText w:val=""/>
      <w:lvlJc w:val="left"/>
      <w:pPr>
        <w:tabs>
          <w:tab w:val="num" w:pos="720"/>
        </w:tabs>
        <w:ind w:left="720" w:hanging="360"/>
      </w:pPr>
      <w:rPr>
        <w:rFonts w:ascii="Wingdings 3" w:hAnsi="Wingdings 3" w:hint="default"/>
        <w:color w:val="auto"/>
        <w:sz w:val="16"/>
        <w:szCs w:val="16"/>
      </w:rPr>
    </w:lvl>
    <w:lvl w:ilvl="1" w:tplc="F9F23B74" w:tentative="1">
      <w:start w:val="1"/>
      <w:numFmt w:val="bullet"/>
      <w:lvlText w:val=""/>
      <w:lvlJc w:val="left"/>
      <w:pPr>
        <w:tabs>
          <w:tab w:val="num" w:pos="1440"/>
        </w:tabs>
        <w:ind w:left="1440" w:hanging="360"/>
      </w:pPr>
      <w:rPr>
        <w:rFonts w:ascii="Wingdings 3" w:hAnsi="Wingdings 3" w:hint="default"/>
      </w:rPr>
    </w:lvl>
    <w:lvl w:ilvl="2" w:tplc="2034F0AC" w:tentative="1">
      <w:start w:val="1"/>
      <w:numFmt w:val="bullet"/>
      <w:lvlText w:val=""/>
      <w:lvlJc w:val="left"/>
      <w:pPr>
        <w:tabs>
          <w:tab w:val="num" w:pos="2160"/>
        </w:tabs>
        <w:ind w:left="2160" w:hanging="360"/>
      </w:pPr>
      <w:rPr>
        <w:rFonts w:ascii="Wingdings 3" w:hAnsi="Wingdings 3" w:hint="default"/>
      </w:rPr>
    </w:lvl>
    <w:lvl w:ilvl="3" w:tplc="8DA8CC4C" w:tentative="1">
      <w:start w:val="1"/>
      <w:numFmt w:val="bullet"/>
      <w:lvlText w:val=""/>
      <w:lvlJc w:val="left"/>
      <w:pPr>
        <w:tabs>
          <w:tab w:val="num" w:pos="2880"/>
        </w:tabs>
        <w:ind w:left="2880" w:hanging="360"/>
      </w:pPr>
      <w:rPr>
        <w:rFonts w:ascii="Wingdings 3" w:hAnsi="Wingdings 3" w:hint="default"/>
      </w:rPr>
    </w:lvl>
    <w:lvl w:ilvl="4" w:tplc="3EDC0200" w:tentative="1">
      <w:start w:val="1"/>
      <w:numFmt w:val="bullet"/>
      <w:lvlText w:val=""/>
      <w:lvlJc w:val="left"/>
      <w:pPr>
        <w:tabs>
          <w:tab w:val="num" w:pos="3600"/>
        </w:tabs>
        <w:ind w:left="3600" w:hanging="360"/>
      </w:pPr>
      <w:rPr>
        <w:rFonts w:ascii="Wingdings 3" w:hAnsi="Wingdings 3" w:hint="default"/>
      </w:rPr>
    </w:lvl>
    <w:lvl w:ilvl="5" w:tplc="3410C6DA" w:tentative="1">
      <w:start w:val="1"/>
      <w:numFmt w:val="bullet"/>
      <w:lvlText w:val=""/>
      <w:lvlJc w:val="left"/>
      <w:pPr>
        <w:tabs>
          <w:tab w:val="num" w:pos="4320"/>
        </w:tabs>
        <w:ind w:left="4320" w:hanging="360"/>
      </w:pPr>
      <w:rPr>
        <w:rFonts w:ascii="Wingdings 3" w:hAnsi="Wingdings 3" w:hint="default"/>
      </w:rPr>
    </w:lvl>
    <w:lvl w:ilvl="6" w:tplc="2C087ACE" w:tentative="1">
      <w:start w:val="1"/>
      <w:numFmt w:val="bullet"/>
      <w:lvlText w:val=""/>
      <w:lvlJc w:val="left"/>
      <w:pPr>
        <w:tabs>
          <w:tab w:val="num" w:pos="5040"/>
        </w:tabs>
        <w:ind w:left="5040" w:hanging="360"/>
      </w:pPr>
      <w:rPr>
        <w:rFonts w:ascii="Wingdings 3" w:hAnsi="Wingdings 3" w:hint="default"/>
      </w:rPr>
    </w:lvl>
    <w:lvl w:ilvl="7" w:tplc="C67ABDDE" w:tentative="1">
      <w:start w:val="1"/>
      <w:numFmt w:val="bullet"/>
      <w:lvlText w:val=""/>
      <w:lvlJc w:val="left"/>
      <w:pPr>
        <w:tabs>
          <w:tab w:val="num" w:pos="5760"/>
        </w:tabs>
        <w:ind w:left="5760" w:hanging="360"/>
      </w:pPr>
      <w:rPr>
        <w:rFonts w:ascii="Wingdings 3" w:hAnsi="Wingdings 3" w:hint="default"/>
      </w:rPr>
    </w:lvl>
    <w:lvl w:ilvl="8" w:tplc="63BA36AC" w:tentative="1">
      <w:start w:val="1"/>
      <w:numFmt w:val="bullet"/>
      <w:lvlText w:val=""/>
      <w:lvlJc w:val="left"/>
      <w:pPr>
        <w:tabs>
          <w:tab w:val="num" w:pos="6480"/>
        </w:tabs>
        <w:ind w:left="6480" w:hanging="360"/>
      </w:pPr>
      <w:rPr>
        <w:rFonts w:ascii="Wingdings 3" w:hAnsi="Wingdings 3" w:hint="default"/>
      </w:rPr>
    </w:lvl>
  </w:abstractNum>
  <w:num w:numId="1" w16cid:durableId="673993017">
    <w:abstractNumId w:val="1"/>
  </w:num>
  <w:num w:numId="2" w16cid:durableId="173230441">
    <w:abstractNumId w:val="3"/>
  </w:num>
  <w:num w:numId="3" w16cid:durableId="1153570615">
    <w:abstractNumId w:val="6"/>
  </w:num>
  <w:num w:numId="4" w16cid:durableId="759376516">
    <w:abstractNumId w:val="0"/>
  </w:num>
  <w:num w:numId="5" w16cid:durableId="1545210500">
    <w:abstractNumId w:val="7"/>
  </w:num>
  <w:num w:numId="6" w16cid:durableId="1669364685">
    <w:abstractNumId w:val="5"/>
  </w:num>
  <w:num w:numId="7" w16cid:durableId="1976717646">
    <w:abstractNumId w:val="4"/>
  </w:num>
  <w:num w:numId="8" w16cid:durableId="19855047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E33"/>
    <w:rsid w:val="0002494B"/>
    <w:rsid w:val="0014066F"/>
    <w:rsid w:val="00141E33"/>
    <w:rsid w:val="00151E0D"/>
    <w:rsid w:val="003628D0"/>
    <w:rsid w:val="00392B01"/>
    <w:rsid w:val="003F4C24"/>
    <w:rsid w:val="004516AD"/>
    <w:rsid w:val="005065A8"/>
    <w:rsid w:val="00506D61"/>
    <w:rsid w:val="005372F3"/>
    <w:rsid w:val="005558C1"/>
    <w:rsid w:val="005B7511"/>
    <w:rsid w:val="005F60BC"/>
    <w:rsid w:val="0060455F"/>
    <w:rsid w:val="00681FF1"/>
    <w:rsid w:val="0069389E"/>
    <w:rsid w:val="007E18D2"/>
    <w:rsid w:val="007E2ECE"/>
    <w:rsid w:val="00887A68"/>
    <w:rsid w:val="008B6841"/>
    <w:rsid w:val="00925517"/>
    <w:rsid w:val="009C60C4"/>
    <w:rsid w:val="00C55D03"/>
    <w:rsid w:val="00D3276A"/>
    <w:rsid w:val="00E97EFF"/>
    <w:rsid w:val="00F33E2F"/>
    <w:rsid w:val="00FA78DF"/>
    <w:rsid w:val="00FC64DD"/>
    <w:rsid w:val="00FD7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72895"/>
  <w15:chartTrackingRefBased/>
  <w15:docId w15:val="{E37C8241-3AE1-4A35-B041-68E62B3F6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E33"/>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141E3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CE-H1-Title">
    <w:name w:val="FACE-H1-Title"/>
    <w:basedOn w:val="Heading1"/>
    <w:qFormat/>
    <w:rsid w:val="00141E33"/>
    <w:pPr>
      <w:tabs>
        <w:tab w:val="right" w:leader="underscore" w:pos="6750"/>
      </w:tabs>
      <w:spacing w:before="100"/>
    </w:pPr>
    <w:rPr>
      <w:rFonts w:ascii="Calibri" w:eastAsia="Calibri" w:hAnsi="Calibri" w:cs="Arial"/>
      <w:b/>
      <w:bCs/>
      <w:color w:val="0072B8"/>
      <w:sz w:val="36"/>
      <w:szCs w:val="36"/>
    </w:rPr>
  </w:style>
  <w:style w:type="paragraph" w:styleId="ListParagraph">
    <w:name w:val="List Paragraph"/>
    <w:basedOn w:val="Normal"/>
    <w:uiPriority w:val="34"/>
    <w:qFormat/>
    <w:rsid w:val="00141E33"/>
    <w:pPr>
      <w:ind w:left="720"/>
      <w:contextualSpacing/>
    </w:pPr>
  </w:style>
  <w:style w:type="character" w:customStyle="1" w:styleId="Heading1Char">
    <w:name w:val="Heading 1 Char"/>
    <w:basedOn w:val="DefaultParagraphFont"/>
    <w:link w:val="Heading1"/>
    <w:uiPriority w:val="9"/>
    <w:rsid w:val="00141E33"/>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qFormat/>
    <w:rsid w:val="00141E33"/>
    <w:rPr>
      <w:rFonts w:asciiTheme="minorHAnsi" w:hAnsiTheme="minorHAnsi"/>
      <w:color w:val="0000FF"/>
      <w:sz w:val="22"/>
      <w:u w:val="single"/>
    </w:rPr>
  </w:style>
  <w:style w:type="paragraph" w:styleId="Footer">
    <w:name w:val="footer"/>
    <w:basedOn w:val="Normal"/>
    <w:link w:val="FooterChar"/>
    <w:uiPriority w:val="99"/>
    <w:unhideWhenUsed/>
    <w:rsid w:val="00141E33"/>
    <w:pPr>
      <w:tabs>
        <w:tab w:val="center" w:pos="4680"/>
        <w:tab w:val="right" w:pos="9360"/>
      </w:tabs>
    </w:pPr>
  </w:style>
  <w:style w:type="character" w:customStyle="1" w:styleId="FooterChar">
    <w:name w:val="Footer Char"/>
    <w:basedOn w:val="DefaultParagraphFont"/>
    <w:link w:val="Footer"/>
    <w:uiPriority w:val="99"/>
    <w:rsid w:val="00141E33"/>
    <w:rPr>
      <w:kern w:val="0"/>
      <w:sz w:val="24"/>
      <w:szCs w:val="24"/>
      <w14:ligatures w14:val="none"/>
    </w:rPr>
  </w:style>
  <w:style w:type="character" w:customStyle="1" w:styleId="cf01">
    <w:name w:val="cf01"/>
    <w:basedOn w:val="DefaultParagraphFont"/>
    <w:rsid w:val="00FC64D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ha.gov/sites/default/files/2019-03/skid_steer_loader_safety.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dc.gov/niosh/docs/2011-128/pdfs/2011-128.pdf?id=10.26616/NIOSHPUB2011128" TargetMode="External"/><Relationship Id="rId12" Type="http://schemas.openxmlformats.org/officeDocument/2006/relationships/hyperlink" Target="mailto:MA.FACE@mas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dc.gov/niosh/docs/2011-128/pdfs/2011-128.pdf?id=10.26616/NIOSHPUB2011128" TargetMode="External"/><Relationship Id="rId11" Type="http://schemas.openxmlformats.org/officeDocument/2006/relationships/hyperlink" Target="http://www.mass.gov/fatal-work-related-injuries" TargetMode="External"/><Relationship Id="rId5" Type="http://schemas.openxmlformats.org/officeDocument/2006/relationships/hyperlink" Target="https://www.cdc.gov/niosh/face/stateface/ma/12MA024.html" TargetMode="External"/><Relationship Id="rId10" Type="http://schemas.openxmlformats.org/officeDocument/2006/relationships/hyperlink" Target="http://www.mass.gov/fatal-work-related-injuries" TargetMode="External"/><Relationship Id="rId4" Type="http://schemas.openxmlformats.org/officeDocument/2006/relationships/webSettings" Target="webSettings.xml"/><Relationship Id="rId9" Type="http://schemas.openxmlformats.org/officeDocument/2006/relationships/hyperlink" Target="https://www.mass.gov/on-site-consultation-progr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832</Words>
  <Characters>4577</Characters>
  <Application>Microsoft Office Word</Application>
  <DocSecurity>0</DocSecurity>
  <Lines>111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Yiu, Sarah (DPH)</dc:creator>
  <cp:keywords/>
  <dc:description/>
  <cp:lastModifiedBy>Eisen, Julie (DPH)</cp:lastModifiedBy>
  <cp:revision>9</cp:revision>
  <dcterms:created xsi:type="dcterms:W3CDTF">2023-09-26T14:22:00Z</dcterms:created>
  <dcterms:modified xsi:type="dcterms:W3CDTF">2024-01-09T23:15:00Z</dcterms:modified>
</cp:coreProperties>
</file>