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3B38"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Section</w:t>
      </w:r>
    </w:p>
    <w:p w14:paraId="11908360" w14:textId="77777777" w:rsidR="00270557" w:rsidRPr="005265EF" w:rsidRDefault="00270557">
      <w:pPr>
        <w:suppressAutoHyphens/>
        <w:rPr>
          <w:rFonts w:ascii="Times New Roman" w:hAnsi="Times New Roman"/>
          <w:spacing w:val="-3"/>
          <w:sz w:val="22"/>
          <w:szCs w:val="22"/>
        </w:rPr>
      </w:pPr>
    </w:p>
    <w:p w14:paraId="700CBDE9"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19.01:  General Provisions</w:t>
      </w:r>
    </w:p>
    <w:p w14:paraId="33DE81CA"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19.02:  Definitions</w:t>
      </w:r>
    </w:p>
    <w:p w14:paraId="7A25FCD1"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19.03:  Rate Provisions </w:t>
      </w:r>
    </w:p>
    <w:p w14:paraId="1E60E759"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19.04: </w:t>
      </w:r>
      <w:r w:rsidRPr="005265EF">
        <w:rPr>
          <w:rFonts w:ascii="Times New Roman" w:hAnsi="Times New Roman"/>
          <w:spacing w:val="-3"/>
          <w:sz w:val="22"/>
          <w:szCs w:val="22"/>
        </w:rPr>
        <w:tab/>
      </w:r>
      <w:r>
        <w:rPr>
          <w:rFonts w:ascii="Times New Roman" w:hAnsi="Times New Roman"/>
          <w:spacing w:val="-3"/>
          <w:sz w:val="22"/>
          <w:szCs w:val="22"/>
        </w:rPr>
        <w:t xml:space="preserve"> </w:t>
      </w:r>
      <w:r w:rsidRPr="005265EF">
        <w:rPr>
          <w:rFonts w:ascii="Times New Roman" w:hAnsi="Times New Roman"/>
          <w:spacing w:val="-3"/>
          <w:sz w:val="22"/>
          <w:szCs w:val="22"/>
        </w:rPr>
        <w:t>Filing and Reporting Requirements</w:t>
      </w:r>
    </w:p>
    <w:p w14:paraId="0697F9E8"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rPr>
        <w:t>4</w:t>
      </w:r>
      <w:r w:rsidRPr="005265EF">
        <w:rPr>
          <w:rFonts w:ascii="Times New Roman" w:hAnsi="Times New Roman"/>
          <w:spacing w:val="-3"/>
          <w:sz w:val="22"/>
          <w:szCs w:val="22"/>
        </w:rPr>
        <w:t xml:space="preserve">19.05:  Severability </w:t>
      </w:r>
    </w:p>
    <w:p w14:paraId="0F5AF215" w14:textId="77777777" w:rsidR="00270557" w:rsidRPr="005265EF" w:rsidRDefault="00270557">
      <w:pPr>
        <w:suppressAutoHyphens/>
        <w:rPr>
          <w:rFonts w:ascii="Times New Roman" w:hAnsi="Times New Roman"/>
          <w:spacing w:val="-3"/>
          <w:sz w:val="22"/>
          <w:szCs w:val="22"/>
          <w:u w:val="single"/>
        </w:rPr>
      </w:pPr>
    </w:p>
    <w:p w14:paraId="2F05B6F8"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19.01:  General Provisions</w:t>
      </w:r>
    </w:p>
    <w:p w14:paraId="0949096F" w14:textId="77777777" w:rsidR="00270557" w:rsidRPr="005265EF" w:rsidRDefault="00270557">
      <w:pPr>
        <w:suppressAutoHyphens/>
        <w:rPr>
          <w:rFonts w:ascii="Times New Roman" w:hAnsi="Times New Roman"/>
          <w:spacing w:val="-3"/>
          <w:sz w:val="22"/>
          <w:szCs w:val="22"/>
        </w:rPr>
      </w:pPr>
    </w:p>
    <w:p w14:paraId="51FBA9C9" w14:textId="77777777" w:rsidR="00270557" w:rsidRDefault="00270557">
      <w:pPr>
        <w:ind w:left="720"/>
        <w:rPr>
          <w:rFonts w:ascii="Times New Roman" w:hAnsi="Times New Roman"/>
          <w:sz w:val="22"/>
        </w:rPr>
      </w:pPr>
      <w:r w:rsidRPr="005265EF">
        <w:rPr>
          <w:rFonts w:ascii="Times New Roman" w:hAnsi="Times New Roman"/>
          <w:spacing w:val="-3"/>
          <w:sz w:val="22"/>
          <w:szCs w:val="22"/>
        </w:rPr>
        <w:t>(1)</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Scope</w:t>
      </w:r>
      <w:r w:rsidRPr="005265EF">
        <w:rPr>
          <w:rFonts w:ascii="Times New Roman" w:hAnsi="Times New Roman"/>
          <w:spacing w:val="-3"/>
          <w:sz w:val="22"/>
          <w:szCs w:val="22"/>
        </w:rPr>
        <w:t xml:space="preserve">. </w:t>
      </w:r>
      <w:r w:rsidR="003931A8">
        <w:rPr>
          <w:rFonts w:ascii="Times New Roman" w:hAnsi="Times New Roman"/>
          <w:spacing w:val="-3"/>
          <w:sz w:val="22"/>
          <w:szCs w:val="22"/>
        </w:rPr>
        <w:t xml:space="preserve"> </w:t>
      </w:r>
      <w:r w:rsidRPr="005265EF">
        <w:rPr>
          <w:rFonts w:ascii="Times New Roman" w:hAnsi="Times New Roman"/>
          <w:spacing w:val="-3"/>
          <w:sz w:val="22"/>
          <w:szCs w:val="22"/>
        </w:rPr>
        <w:t>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governs the payment rates</w:t>
      </w:r>
      <w:r w:rsidR="006A3404">
        <w:rPr>
          <w:rFonts w:ascii="Times New Roman" w:hAnsi="Times New Roman"/>
          <w:spacing w:val="-3"/>
          <w:sz w:val="22"/>
          <w:szCs w:val="22"/>
        </w:rPr>
        <w:t xml:space="preserve"> </w:t>
      </w:r>
      <w:r w:rsidRPr="005265EF">
        <w:rPr>
          <w:rFonts w:ascii="Times New Roman" w:hAnsi="Times New Roman"/>
          <w:spacing w:val="-3"/>
          <w:sz w:val="22"/>
          <w:szCs w:val="22"/>
        </w:rPr>
        <w:t xml:space="preserve">for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purchased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Supported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provide </w:t>
      </w:r>
      <w:r w:rsidRPr="005265EF">
        <w:rPr>
          <w:rFonts w:ascii="Times New Roman" w:hAnsi="Times New Roman"/>
          <w:sz w:val="22"/>
          <w:szCs w:val="24"/>
        </w:rPr>
        <w:t xml:space="preserve">individual and group employment in the community for </w:t>
      </w:r>
      <w:r w:rsidR="003931A8">
        <w:rPr>
          <w:rFonts w:ascii="Times New Roman" w:hAnsi="Times New Roman"/>
          <w:sz w:val="22"/>
          <w:szCs w:val="24"/>
        </w:rPr>
        <w:t>c</w:t>
      </w:r>
      <w:r w:rsidRPr="005265EF">
        <w:rPr>
          <w:rFonts w:ascii="Times New Roman" w:hAnsi="Times New Roman"/>
          <w:sz w:val="22"/>
          <w:szCs w:val="24"/>
        </w:rPr>
        <w:t>lients that require provider support and/or supervision.</w:t>
      </w:r>
      <w:r w:rsidRPr="005265EF">
        <w:rPr>
          <w:rFonts w:ascii="Times New Roman" w:hAnsi="Times New Roman"/>
          <w:sz w:val="22"/>
        </w:rPr>
        <w:t xml:space="preserve"> </w:t>
      </w:r>
    </w:p>
    <w:p w14:paraId="3EAD6248" w14:textId="77777777" w:rsidR="006A3404" w:rsidRDefault="006A3404">
      <w:pPr>
        <w:ind w:left="720"/>
        <w:rPr>
          <w:rFonts w:ascii="Times New Roman" w:hAnsi="Times New Roman"/>
          <w:szCs w:val="24"/>
        </w:rPr>
      </w:pPr>
    </w:p>
    <w:p w14:paraId="1CA02AF7" w14:textId="10BD821E" w:rsidR="006A3404" w:rsidRPr="005E7C1C" w:rsidRDefault="006A3404">
      <w:pPr>
        <w:ind w:left="720"/>
        <w:rPr>
          <w:rFonts w:ascii="Times New Roman" w:hAnsi="Times New Roman"/>
          <w:sz w:val="22"/>
          <w:szCs w:val="22"/>
        </w:rPr>
      </w:pPr>
      <w:r w:rsidRPr="005E7C1C">
        <w:rPr>
          <w:rFonts w:ascii="Times New Roman" w:hAnsi="Times New Roman"/>
          <w:sz w:val="22"/>
          <w:szCs w:val="22"/>
        </w:rPr>
        <w:t xml:space="preserve">(2)  </w:t>
      </w:r>
      <w:r w:rsidR="00B83380">
        <w:rPr>
          <w:rFonts w:ascii="Times New Roman" w:hAnsi="Times New Roman"/>
          <w:sz w:val="22"/>
          <w:szCs w:val="22"/>
          <w:u w:val="single"/>
        </w:rPr>
        <w:t>Applicable</w:t>
      </w:r>
      <w:r w:rsidR="00B83380" w:rsidRPr="005E7C1C">
        <w:rPr>
          <w:rFonts w:ascii="Times New Roman" w:hAnsi="Times New Roman"/>
          <w:sz w:val="22"/>
          <w:szCs w:val="22"/>
          <w:u w:val="single"/>
        </w:rPr>
        <w:t xml:space="preserve"> </w:t>
      </w:r>
      <w:r w:rsidRPr="005E7C1C">
        <w:rPr>
          <w:rFonts w:ascii="Times New Roman" w:hAnsi="Times New Roman"/>
          <w:sz w:val="22"/>
          <w:szCs w:val="22"/>
          <w:u w:val="single"/>
        </w:rPr>
        <w:t>Date</w:t>
      </w:r>
      <w:r w:rsidR="00B83380">
        <w:rPr>
          <w:rFonts w:ascii="Times New Roman" w:hAnsi="Times New Roman"/>
          <w:sz w:val="22"/>
          <w:szCs w:val="22"/>
          <w:u w:val="single"/>
        </w:rPr>
        <w:t>s of Service</w:t>
      </w:r>
      <w:r w:rsidRPr="005E7C1C">
        <w:rPr>
          <w:rFonts w:ascii="Times New Roman" w:hAnsi="Times New Roman"/>
          <w:sz w:val="22"/>
          <w:szCs w:val="22"/>
        </w:rPr>
        <w:t xml:space="preserve">.  </w:t>
      </w:r>
      <w:r w:rsidR="00146B4A">
        <w:rPr>
          <w:rFonts w:ascii="Times New Roman" w:hAnsi="Times New Roman"/>
          <w:spacing w:val="-3"/>
          <w:sz w:val="22"/>
          <w:szCs w:val="22"/>
        </w:rPr>
        <w:t xml:space="preserve">The rates </w:t>
      </w:r>
      <w:r w:rsidR="00B83380">
        <w:rPr>
          <w:rFonts w:ascii="Times New Roman" w:hAnsi="Times New Roman"/>
          <w:spacing w:val="-3"/>
          <w:sz w:val="22"/>
          <w:szCs w:val="22"/>
        </w:rPr>
        <w:t xml:space="preserve">contained in </w:t>
      </w:r>
      <w:r w:rsidR="00146B4A">
        <w:rPr>
          <w:rFonts w:ascii="Times New Roman" w:hAnsi="Times New Roman"/>
          <w:spacing w:val="-3"/>
          <w:sz w:val="22"/>
          <w:szCs w:val="22"/>
        </w:rPr>
        <w:t xml:space="preserve">101 CMR 419.00 </w:t>
      </w:r>
      <w:r w:rsidR="00B83380">
        <w:rPr>
          <w:rFonts w:ascii="Times New Roman" w:hAnsi="Times New Roman"/>
          <w:spacing w:val="-3"/>
          <w:sz w:val="22"/>
          <w:szCs w:val="22"/>
        </w:rPr>
        <w:t>a</w:t>
      </w:r>
      <w:r w:rsidR="00450AD3">
        <w:rPr>
          <w:rFonts w:ascii="Times New Roman" w:hAnsi="Times New Roman"/>
          <w:spacing w:val="-3"/>
          <w:sz w:val="22"/>
          <w:szCs w:val="22"/>
        </w:rPr>
        <w:t>pply for dates of service</w:t>
      </w:r>
      <w:r w:rsidR="00146B4A">
        <w:rPr>
          <w:rFonts w:ascii="Times New Roman" w:hAnsi="Times New Roman"/>
          <w:spacing w:val="-3"/>
          <w:sz w:val="22"/>
          <w:szCs w:val="22"/>
        </w:rPr>
        <w:t xml:space="preserve"> provided </w:t>
      </w:r>
      <w:r w:rsidR="00450AD3">
        <w:rPr>
          <w:rFonts w:ascii="Times New Roman" w:hAnsi="Times New Roman"/>
          <w:spacing w:val="-3"/>
          <w:sz w:val="22"/>
          <w:szCs w:val="22"/>
        </w:rPr>
        <w:t xml:space="preserve">on or after </w:t>
      </w:r>
      <w:r w:rsidR="00D8049B">
        <w:rPr>
          <w:rFonts w:ascii="Times New Roman" w:hAnsi="Times New Roman"/>
          <w:spacing w:val="-3"/>
          <w:sz w:val="22"/>
          <w:szCs w:val="22"/>
        </w:rPr>
        <w:t>July 1, 202</w:t>
      </w:r>
      <w:r w:rsidR="009D2E13">
        <w:rPr>
          <w:rFonts w:ascii="Times New Roman" w:hAnsi="Times New Roman"/>
          <w:spacing w:val="-3"/>
          <w:sz w:val="22"/>
          <w:szCs w:val="22"/>
        </w:rPr>
        <w:t>5</w:t>
      </w:r>
      <w:r w:rsidR="00146B4A">
        <w:rPr>
          <w:rFonts w:ascii="Times New Roman" w:hAnsi="Times New Roman"/>
          <w:spacing w:val="-3"/>
          <w:sz w:val="22"/>
          <w:szCs w:val="22"/>
        </w:rPr>
        <w:t>.</w:t>
      </w:r>
    </w:p>
    <w:p w14:paraId="479D1228" w14:textId="77777777" w:rsidR="00270557" w:rsidRPr="005265EF" w:rsidRDefault="00270557">
      <w:pPr>
        <w:suppressAutoHyphens/>
        <w:rPr>
          <w:rFonts w:ascii="Times New Roman" w:hAnsi="Times New Roman"/>
          <w:spacing w:val="-3"/>
          <w:sz w:val="22"/>
          <w:szCs w:val="22"/>
        </w:rPr>
      </w:pPr>
    </w:p>
    <w:p w14:paraId="6FCE6CDC"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w:t>
      </w:r>
      <w:r w:rsidR="006A3404">
        <w:rPr>
          <w:rFonts w:ascii="Times New Roman" w:hAnsi="Times New Roman"/>
          <w:spacing w:val="-3"/>
          <w:sz w:val="22"/>
          <w:szCs w:val="22"/>
        </w:rPr>
        <w:t>3</w:t>
      </w:r>
      <w:r w:rsidRPr="005265EF">
        <w:rPr>
          <w:rFonts w:ascii="Times New Roman" w:hAnsi="Times New Roman"/>
          <w:spacing w:val="-3"/>
          <w:sz w:val="22"/>
          <w:szCs w:val="22"/>
        </w:rPr>
        <w:t>)</w:t>
      </w:r>
      <w:r w:rsidR="003931A8">
        <w:rPr>
          <w:rFonts w:ascii="Times New Roman" w:hAnsi="Times New Roman"/>
          <w:spacing w:val="-3"/>
          <w:sz w:val="22"/>
          <w:szCs w:val="22"/>
        </w:rPr>
        <w:t xml:space="preserve"> </w:t>
      </w:r>
      <w:r w:rsidRPr="005265EF">
        <w:rPr>
          <w:rFonts w:ascii="Times New Roman" w:hAnsi="Times New Roman"/>
          <w:spacing w:val="-3"/>
          <w:sz w:val="22"/>
          <w:szCs w:val="22"/>
        </w:rPr>
        <w:t xml:space="preserve"> </w:t>
      </w:r>
      <w:r w:rsidRPr="005265EF">
        <w:rPr>
          <w:rFonts w:ascii="Times New Roman" w:hAnsi="Times New Roman"/>
          <w:spacing w:val="-3"/>
          <w:sz w:val="22"/>
          <w:szCs w:val="22"/>
          <w:u w:val="single"/>
        </w:rPr>
        <w:t>Disclaimer of Authorization of Services</w:t>
      </w:r>
      <w:r w:rsidRPr="005265EF">
        <w:rPr>
          <w:rFonts w:ascii="Times New Roman" w:hAnsi="Times New Roman"/>
          <w:spacing w:val="-3"/>
          <w:sz w:val="22"/>
          <w:szCs w:val="22"/>
        </w:rPr>
        <w:t>.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is neither authorization for nor approval of the services for which rates are determined pursuant to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 xml:space="preserve">19.00. Governmental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nits that purchase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are responsible for the definition, authorization, and approval of services extended to </w:t>
      </w:r>
      <w:r w:rsidR="003931A8">
        <w:rPr>
          <w:rFonts w:ascii="Times New Roman" w:hAnsi="Times New Roman"/>
          <w:spacing w:val="-3"/>
          <w:sz w:val="22"/>
          <w:szCs w:val="22"/>
        </w:rPr>
        <w:t>c</w:t>
      </w:r>
      <w:r w:rsidRPr="005265EF">
        <w:rPr>
          <w:rFonts w:ascii="Times New Roman" w:hAnsi="Times New Roman"/>
          <w:spacing w:val="-3"/>
          <w:sz w:val="22"/>
          <w:szCs w:val="22"/>
        </w:rPr>
        <w:t>lients.</w:t>
      </w:r>
    </w:p>
    <w:p w14:paraId="5D331614" w14:textId="77777777" w:rsidR="00270557" w:rsidRPr="005265EF" w:rsidRDefault="00270557">
      <w:pPr>
        <w:suppressAutoHyphens/>
        <w:rPr>
          <w:rFonts w:ascii="Times New Roman" w:hAnsi="Times New Roman"/>
          <w:spacing w:val="-3"/>
          <w:sz w:val="22"/>
          <w:szCs w:val="22"/>
        </w:rPr>
      </w:pPr>
    </w:p>
    <w:p w14:paraId="0BE2D54F"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w:t>
      </w:r>
      <w:r w:rsidR="006A3404">
        <w:rPr>
          <w:rFonts w:ascii="Times New Roman" w:hAnsi="Times New Roman"/>
          <w:spacing w:val="-3"/>
          <w:sz w:val="22"/>
          <w:szCs w:val="22"/>
        </w:rPr>
        <w:t>4</w:t>
      </w:r>
      <w:r w:rsidRPr="005265EF">
        <w:rPr>
          <w:rFonts w:ascii="Times New Roman" w:hAnsi="Times New Roman"/>
          <w:spacing w:val="-3"/>
          <w:sz w:val="22"/>
          <w:szCs w:val="22"/>
        </w:rPr>
        <w:t>)</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Administrative Bulletins</w:t>
      </w:r>
      <w:r w:rsidRPr="005265EF">
        <w:rPr>
          <w:rFonts w:ascii="Times New Roman" w:hAnsi="Times New Roman"/>
          <w:spacing w:val="-3"/>
          <w:sz w:val="22"/>
          <w:szCs w:val="22"/>
        </w:rPr>
        <w:t xml:space="preserve">.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may issue administrative bulletins to clarify its policy on substantive provisions of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w:t>
      </w:r>
    </w:p>
    <w:p w14:paraId="181DFB96" w14:textId="77777777" w:rsidR="00270557" w:rsidRPr="005265EF" w:rsidRDefault="00270557" w:rsidP="00116B41">
      <w:pPr>
        <w:suppressAutoHyphens/>
        <w:ind w:left="720" w:hanging="720"/>
        <w:rPr>
          <w:rFonts w:ascii="Times New Roman" w:hAnsi="Times New Roman"/>
          <w:spacing w:val="-3"/>
          <w:sz w:val="22"/>
          <w:szCs w:val="22"/>
        </w:rPr>
      </w:pPr>
      <w:r w:rsidRPr="005265EF">
        <w:rPr>
          <w:rFonts w:ascii="Times New Roman" w:hAnsi="Times New Roman"/>
          <w:spacing w:val="-3"/>
          <w:sz w:val="22"/>
          <w:szCs w:val="22"/>
        </w:rPr>
        <w:tab/>
      </w:r>
    </w:p>
    <w:p w14:paraId="514972B2" w14:textId="77777777" w:rsidR="00270557" w:rsidRPr="005265EF" w:rsidRDefault="00270557">
      <w:pPr>
        <w:suppressAutoHyphens/>
        <w:rPr>
          <w:rFonts w:ascii="Times New Roman" w:hAnsi="Times New Roman"/>
          <w:spacing w:val="-3"/>
          <w:sz w:val="22"/>
          <w:szCs w:val="22"/>
          <w:u w:val="single"/>
        </w:rPr>
      </w:pPr>
      <w:r>
        <w:rPr>
          <w:rFonts w:ascii="Times New Roman" w:hAnsi="Times New Roman"/>
          <w:spacing w:val="-3"/>
          <w:sz w:val="22"/>
          <w:szCs w:val="22"/>
          <w:u w:val="single"/>
        </w:rPr>
        <w:t>4</w:t>
      </w:r>
      <w:r w:rsidRPr="005265EF">
        <w:rPr>
          <w:rFonts w:ascii="Times New Roman" w:hAnsi="Times New Roman"/>
          <w:spacing w:val="-3"/>
          <w:sz w:val="22"/>
          <w:szCs w:val="22"/>
          <w:u w:val="single"/>
        </w:rPr>
        <w:t>19.02:  Definitions</w:t>
      </w:r>
    </w:p>
    <w:p w14:paraId="09C20244" w14:textId="77777777" w:rsidR="00270557" w:rsidRPr="005265EF" w:rsidRDefault="00270557">
      <w:pPr>
        <w:suppressAutoHyphens/>
        <w:rPr>
          <w:rFonts w:ascii="Times New Roman" w:hAnsi="Times New Roman"/>
          <w:spacing w:val="-3"/>
          <w:sz w:val="22"/>
          <w:szCs w:val="22"/>
          <w:u w:val="single"/>
        </w:rPr>
      </w:pPr>
    </w:p>
    <w:p w14:paraId="72DD97E2" w14:textId="77777777" w:rsidR="00270557" w:rsidRPr="005265EF" w:rsidRDefault="00057D9B" w:rsidP="00116B41">
      <w:pPr>
        <w:suppressAutoHyphens/>
        <w:ind w:left="720"/>
        <w:rPr>
          <w:rFonts w:ascii="Times New Roman" w:hAnsi="Times New Roman"/>
          <w:spacing w:val="-3"/>
          <w:sz w:val="22"/>
          <w:szCs w:val="22"/>
        </w:rPr>
      </w:pPr>
      <w:r w:rsidRPr="00116B41">
        <w:rPr>
          <w:rFonts w:ascii="Times New Roman" w:hAnsi="Times New Roman"/>
          <w:spacing w:val="-3"/>
          <w:sz w:val="22"/>
          <w:szCs w:val="22"/>
        </w:rPr>
        <w:t xml:space="preserve">     </w:t>
      </w:r>
      <w:r w:rsidR="00270557" w:rsidRPr="005265EF">
        <w:rPr>
          <w:rFonts w:ascii="Times New Roman" w:hAnsi="Times New Roman"/>
          <w:spacing w:val="-3"/>
          <w:sz w:val="22"/>
          <w:szCs w:val="22"/>
        </w:rPr>
        <w:t>As used in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19.00, unless the context requires otherwise, terms have the meanings in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19.02.</w:t>
      </w:r>
    </w:p>
    <w:p w14:paraId="3A18A73F" w14:textId="77777777" w:rsidR="00270557" w:rsidRDefault="00270557">
      <w:pPr>
        <w:suppressAutoHyphens/>
        <w:rPr>
          <w:rFonts w:ascii="Times New Roman" w:hAnsi="Times New Roman"/>
          <w:spacing w:val="-3"/>
          <w:sz w:val="22"/>
          <w:szCs w:val="22"/>
          <w:u w:val="single"/>
        </w:rPr>
      </w:pPr>
    </w:p>
    <w:p w14:paraId="5ED4F653"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Client</w:t>
      </w:r>
      <w:r w:rsidRPr="005265EF">
        <w:rPr>
          <w:rFonts w:ascii="Times New Roman" w:hAnsi="Times New Roman"/>
          <w:spacing w:val="-3"/>
          <w:sz w:val="22"/>
          <w:szCs w:val="22"/>
        </w:rPr>
        <w:t xml:space="preserve">.  A person </w:t>
      </w:r>
      <w:r w:rsidR="003931A8">
        <w:rPr>
          <w:rFonts w:ascii="Times New Roman" w:hAnsi="Times New Roman"/>
          <w:spacing w:val="-3"/>
          <w:sz w:val="22"/>
          <w:szCs w:val="22"/>
        </w:rPr>
        <w:t>who</w:t>
      </w:r>
      <w:r w:rsidR="003931A8"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receives </w:t>
      </w:r>
      <w:r w:rsidR="006A3404">
        <w:rPr>
          <w:rFonts w:ascii="Times New Roman" w:hAnsi="Times New Roman"/>
          <w:spacing w:val="-3"/>
          <w:sz w:val="22"/>
          <w:szCs w:val="22"/>
        </w:rPr>
        <w:t>s</w:t>
      </w:r>
      <w:r w:rsidRPr="005265EF">
        <w:rPr>
          <w:rFonts w:ascii="Times New Roman" w:hAnsi="Times New Roman"/>
          <w:spacing w:val="-3"/>
          <w:sz w:val="22"/>
          <w:szCs w:val="22"/>
        </w:rPr>
        <w:t xml:space="preserve">upported </w:t>
      </w:r>
      <w:r w:rsidR="006A3404">
        <w:rPr>
          <w:rFonts w:ascii="Times New Roman" w:hAnsi="Times New Roman"/>
          <w:spacing w:val="-3"/>
          <w:sz w:val="22"/>
          <w:szCs w:val="22"/>
        </w:rPr>
        <w:t>e</w:t>
      </w:r>
      <w:r w:rsidRPr="005265EF">
        <w:rPr>
          <w:rFonts w:ascii="Times New Roman" w:hAnsi="Times New Roman"/>
          <w:spacing w:val="-3"/>
          <w:sz w:val="22"/>
          <w:szCs w:val="22"/>
        </w:rPr>
        <w:t xml:space="preserve">mployment </w:t>
      </w:r>
      <w:r w:rsidR="006A3404">
        <w:rPr>
          <w:rFonts w:ascii="Times New Roman" w:hAnsi="Times New Roman"/>
          <w:spacing w:val="-3"/>
          <w:sz w:val="22"/>
          <w:szCs w:val="22"/>
        </w:rPr>
        <w:t>s</w:t>
      </w:r>
      <w:r w:rsidRPr="005265EF">
        <w:rPr>
          <w:rFonts w:ascii="Times New Roman" w:hAnsi="Times New Roman"/>
          <w:spacing w:val="-3"/>
          <w:sz w:val="22"/>
          <w:szCs w:val="22"/>
        </w:rPr>
        <w:t xml:space="preserve">ervices purchased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w:t>
      </w:r>
    </w:p>
    <w:p w14:paraId="2AFAB136" w14:textId="77777777" w:rsidR="00270557" w:rsidRPr="005265EF" w:rsidRDefault="00270557" w:rsidP="003931A8">
      <w:pPr>
        <w:suppressAutoHyphens/>
        <w:ind w:left="720"/>
        <w:rPr>
          <w:rFonts w:ascii="Times New Roman" w:hAnsi="Times New Roman"/>
          <w:i/>
          <w:spacing w:val="-3"/>
          <w:sz w:val="22"/>
          <w:szCs w:val="22"/>
          <w:u w:val="single"/>
        </w:rPr>
      </w:pPr>
    </w:p>
    <w:p w14:paraId="6E6D1D09"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Cost Report</w:t>
      </w:r>
      <w:r w:rsidRPr="005265EF">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6A1184">
        <w:rPr>
          <w:rFonts w:ascii="Times New Roman" w:hAnsi="Times New Roman"/>
          <w:spacing w:val="-3"/>
          <w:sz w:val="22"/>
          <w:szCs w:val="22"/>
        </w:rPr>
        <w:t>is</w:t>
      </w:r>
      <w:r w:rsidR="006A1184" w:rsidRPr="005265EF">
        <w:rPr>
          <w:rFonts w:ascii="Times New Roman" w:hAnsi="Times New Roman"/>
          <w:spacing w:val="-3"/>
          <w:sz w:val="22"/>
          <w:szCs w:val="22"/>
        </w:rPr>
        <w:t xml:space="preserve"> </w:t>
      </w:r>
      <w:r w:rsidRPr="005265EF">
        <w:rPr>
          <w:rFonts w:ascii="Times New Roman" w:hAnsi="Times New Roman"/>
          <w:spacing w:val="-3"/>
          <w:sz w:val="22"/>
          <w:szCs w:val="22"/>
        </w:rPr>
        <w:t>used when required.</w:t>
      </w:r>
    </w:p>
    <w:p w14:paraId="6AFFD9DA" w14:textId="77777777" w:rsidR="00270557" w:rsidRDefault="00270557" w:rsidP="003931A8">
      <w:pPr>
        <w:suppressAutoHyphens/>
        <w:ind w:left="720"/>
        <w:rPr>
          <w:rFonts w:ascii="Times New Roman" w:hAnsi="Times New Roman"/>
          <w:spacing w:val="-3"/>
          <w:sz w:val="22"/>
          <w:szCs w:val="22"/>
          <w:u w:val="single"/>
        </w:rPr>
      </w:pPr>
    </w:p>
    <w:p w14:paraId="74557C80"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Enhanced Staffing Rates for Higher Intensity Clients</w:t>
      </w:r>
      <w:r>
        <w:rPr>
          <w:rFonts w:ascii="Times New Roman" w:hAnsi="Times New Roman"/>
          <w:spacing w:val="-3"/>
          <w:sz w:val="22"/>
          <w:szCs w:val="22"/>
        </w:rPr>
        <w:t xml:space="preserve">. </w:t>
      </w:r>
      <w:r w:rsidR="003931A8">
        <w:rPr>
          <w:rFonts w:ascii="Times New Roman" w:hAnsi="Times New Roman"/>
          <w:spacing w:val="-3"/>
          <w:sz w:val="22"/>
          <w:szCs w:val="22"/>
        </w:rPr>
        <w:t xml:space="preserve"> </w:t>
      </w:r>
      <w:r>
        <w:rPr>
          <w:rFonts w:ascii="Times New Roman" w:hAnsi="Times New Roman"/>
          <w:spacing w:val="-3"/>
          <w:sz w:val="22"/>
          <w:szCs w:val="22"/>
        </w:rPr>
        <w:t xml:space="preserve">These rates allow, under certain circumstances and based on assessed need, the targeted provision of </w:t>
      </w:r>
      <w:r w:rsidR="00B878FC">
        <w:rPr>
          <w:rFonts w:ascii="Times New Roman" w:hAnsi="Times New Roman"/>
          <w:spacing w:val="-3"/>
          <w:sz w:val="22"/>
          <w:szCs w:val="22"/>
        </w:rPr>
        <w:t>one</w:t>
      </w:r>
      <w:r>
        <w:rPr>
          <w:rFonts w:ascii="Times New Roman" w:hAnsi="Times New Roman"/>
          <w:spacing w:val="-3"/>
          <w:sz w:val="22"/>
          <w:szCs w:val="22"/>
        </w:rPr>
        <w:t>-to-</w:t>
      </w:r>
      <w:r w:rsidR="00B878FC">
        <w:rPr>
          <w:rFonts w:ascii="Times New Roman" w:hAnsi="Times New Roman"/>
          <w:spacing w:val="-3"/>
          <w:sz w:val="22"/>
          <w:szCs w:val="22"/>
        </w:rPr>
        <w:t>one</w:t>
      </w:r>
      <w:r>
        <w:rPr>
          <w:rFonts w:ascii="Times New Roman" w:hAnsi="Times New Roman"/>
          <w:spacing w:val="-3"/>
          <w:sz w:val="22"/>
          <w:szCs w:val="22"/>
        </w:rPr>
        <w:t xml:space="preserve"> or </w:t>
      </w:r>
      <w:r w:rsidR="00B878FC">
        <w:rPr>
          <w:rFonts w:ascii="Times New Roman" w:hAnsi="Times New Roman"/>
          <w:spacing w:val="-3"/>
          <w:sz w:val="22"/>
          <w:szCs w:val="22"/>
        </w:rPr>
        <w:t>one</w:t>
      </w:r>
      <w:r>
        <w:rPr>
          <w:rFonts w:ascii="Times New Roman" w:hAnsi="Times New Roman"/>
          <w:spacing w:val="-3"/>
          <w:sz w:val="22"/>
          <w:szCs w:val="22"/>
        </w:rPr>
        <w:t>-to-</w:t>
      </w:r>
      <w:r w:rsidR="00B878FC">
        <w:rPr>
          <w:rFonts w:ascii="Times New Roman" w:hAnsi="Times New Roman"/>
          <w:spacing w:val="-3"/>
          <w:sz w:val="22"/>
          <w:szCs w:val="22"/>
        </w:rPr>
        <w:t>three</w:t>
      </w:r>
      <w:r>
        <w:rPr>
          <w:rFonts w:ascii="Times New Roman" w:hAnsi="Times New Roman"/>
          <w:spacing w:val="-3"/>
          <w:sz w:val="22"/>
          <w:szCs w:val="22"/>
        </w:rPr>
        <w:t xml:space="preserve"> staffing ratio supports to individual program participants who require more staffing than the base rate provides in </w:t>
      </w:r>
      <w:r w:rsidR="006A3404">
        <w:rPr>
          <w:rFonts w:ascii="Times New Roman" w:hAnsi="Times New Roman"/>
          <w:spacing w:val="-3"/>
          <w:sz w:val="22"/>
          <w:szCs w:val="22"/>
        </w:rPr>
        <w:t>g</w:t>
      </w:r>
      <w:r>
        <w:rPr>
          <w:rFonts w:ascii="Times New Roman" w:hAnsi="Times New Roman"/>
          <w:spacing w:val="-3"/>
          <w:sz w:val="22"/>
          <w:szCs w:val="22"/>
        </w:rPr>
        <w:t xml:space="preserve">roup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These rates are </w:t>
      </w:r>
      <w:r w:rsidRPr="00116B41">
        <w:rPr>
          <w:rFonts w:ascii="Times New Roman" w:hAnsi="Times New Roman"/>
          <w:spacing w:val="-3"/>
          <w:sz w:val="22"/>
          <w:szCs w:val="22"/>
        </w:rPr>
        <w:t>not</w:t>
      </w:r>
      <w:r>
        <w:rPr>
          <w:rFonts w:ascii="Times New Roman" w:hAnsi="Times New Roman"/>
          <w:spacing w:val="-3"/>
          <w:sz w:val="22"/>
          <w:szCs w:val="22"/>
        </w:rPr>
        <w:t xml:space="preserve"> intended to be used to address typical program need fluctuations.</w:t>
      </w:r>
    </w:p>
    <w:p w14:paraId="0E962188" w14:textId="77777777" w:rsidR="00270557" w:rsidRDefault="00270557" w:rsidP="003931A8">
      <w:pPr>
        <w:suppressAutoHyphens/>
        <w:ind w:left="720"/>
        <w:rPr>
          <w:rFonts w:ascii="Times New Roman" w:hAnsi="Times New Roman"/>
          <w:spacing w:val="-3"/>
          <w:sz w:val="22"/>
          <w:szCs w:val="22"/>
          <w:u w:val="single"/>
        </w:rPr>
      </w:pPr>
    </w:p>
    <w:p w14:paraId="30910898" w14:textId="77777777" w:rsidR="00270557" w:rsidRPr="006F3B8E" w:rsidRDefault="00270557" w:rsidP="003931A8">
      <w:pPr>
        <w:suppressAutoHyphens/>
        <w:ind w:left="720"/>
        <w:rPr>
          <w:rFonts w:ascii="Times New Roman" w:hAnsi="Times New Roman"/>
          <w:spacing w:val="-3"/>
          <w:sz w:val="22"/>
          <w:szCs w:val="22"/>
          <w:u w:val="single"/>
        </w:rPr>
      </w:pPr>
      <w:r w:rsidRPr="00D41D98">
        <w:rPr>
          <w:rFonts w:ascii="Times New Roman" w:hAnsi="Times New Roman"/>
          <w:spacing w:val="-3"/>
          <w:sz w:val="22"/>
          <w:szCs w:val="22"/>
          <w:u w:val="single"/>
        </w:rPr>
        <w:t>EOHHS</w:t>
      </w:r>
      <w:r w:rsidRPr="00116B41">
        <w:rPr>
          <w:rFonts w:ascii="Times New Roman" w:hAnsi="Times New Roman"/>
          <w:spacing w:val="-3"/>
          <w:sz w:val="22"/>
          <w:szCs w:val="22"/>
        </w:rPr>
        <w:t>.</w:t>
      </w:r>
      <w:r w:rsidRPr="00085928">
        <w:rPr>
          <w:rFonts w:ascii="Times New Roman" w:hAnsi="Times New Roman"/>
          <w:spacing w:val="-3"/>
          <w:sz w:val="22"/>
          <w:szCs w:val="22"/>
        </w:rPr>
        <w:t xml:space="preserve">  The Executive Office of Health and Human Services established under M.G.L. c. 6A.</w:t>
      </w:r>
    </w:p>
    <w:p w14:paraId="47036CCF" w14:textId="77777777" w:rsidR="00270557" w:rsidRPr="005265EF" w:rsidRDefault="00270557" w:rsidP="003931A8">
      <w:pPr>
        <w:suppressAutoHyphens/>
        <w:ind w:left="720"/>
        <w:rPr>
          <w:rFonts w:ascii="Times New Roman" w:hAnsi="Times New Roman"/>
          <w:spacing w:val="-3"/>
          <w:sz w:val="22"/>
          <w:szCs w:val="22"/>
          <w:u w:val="single"/>
        </w:rPr>
      </w:pPr>
    </w:p>
    <w:p w14:paraId="697226E0" w14:textId="77777777"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Governmental Unit</w:t>
      </w:r>
      <w:r w:rsidRPr="005265EF">
        <w:rPr>
          <w:rFonts w:ascii="Times New Roman" w:hAnsi="Times New Roman"/>
          <w:spacing w:val="-3"/>
          <w:sz w:val="22"/>
          <w:szCs w:val="22"/>
        </w:rPr>
        <w:t>.  The Commonwealth, any board, commission, department, division, or agency of the Commonwealth and any political subdivision of the Commonwealth.</w:t>
      </w:r>
    </w:p>
    <w:p w14:paraId="5B4A4BDF" w14:textId="77777777" w:rsidR="00270557" w:rsidRPr="005265EF" w:rsidRDefault="00270557" w:rsidP="003931A8">
      <w:pPr>
        <w:suppressAutoHyphens/>
        <w:ind w:left="720"/>
        <w:rPr>
          <w:rFonts w:ascii="Times New Roman" w:hAnsi="Times New Roman"/>
          <w:spacing w:val="-3"/>
          <w:sz w:val="22"/>
          <w:szCs w:val="22"/>
        </w:rPr>
      </w:pPr>
    </w:p>
    <w:p w14:paraId="4C4D8473" w14:textId="77777777" w:rsidR="00270557" w:rsidRPr="005265EF" w:rsidRDefault="00270557" w:rsidP="003931A8">
      <w:pPr>
        <w:suppressAutoHyphens/>
        <w:ind w:left="720"/>
        <w:rPr>
          <w:rFonts w:ascii="Times New Roman" w:hAnsi="Times New Roman"/>
          <w:sz w:val="22"/>
          <w:szCs w:val="22"/>
        </w:rPr>
      </w:pPr>
      <w:r w:rsidRPr="005265EF">
        <w:rPr>
          <w:rFonts w:ascii="Times New Roman" w:hAnsi="Times New Roman"/>
          <w:sz w:val="22"/>
          <w:szCs w:val="22"/>
          <w:u w:val="single"/>
        </w:rPr>
        <w:lastRenderedPageBreak/>
        <w:t>Group Supported Employment</w:t>
      </w:r>
      <w:r w:rsidRPr="005265EF">
        <w:rPr>
          <w:rFonts w:ascii="Times New Roman" w:hAnsi="Times New Roman"/>
          <w:sz w:val="22"/>
          <w:u w:val="single"/>
        </w:rPr>
        <w:t xml:space="preserve"> Services</w:t>
      </w:r>
      <w:r w:rsidRPr="005265EF">
        <w:rPr>
          <w:rFonts w:ascii="Times New Roman" w:hAnsi="Times New Roman"/>
          <w:sz w:val="22"/>
        </w:rPr>
        <w:t xml:space="preserve">. </w:t>
      </w:r>
      <w:r w:rsidR="003931A8">
        <w:rPr>
          <w:rFonts w:ascii="Times New Roman" w:hAnsi="Times New Roman"/>
          <w:sz w:val="22"/>
        </w:rPr>
        <w:t xml:space="preserve"> </w:t>
      </w:r>
      <w:r w:rsidRPr="00EA1D71">
        <w:rPr>
          <w:rFonts w:ascii="Times New Roman" w:hAnsi="Times New Roman"/>
          <w:sz w:val="22"/>
        </w:rPr>
        <w:t>Supports</w:t>
      </w:r>
      <w:r w:rsidRPr="00D41D98">
        <w:rPr>
          <w:rFonts w:ascii="Times New Roman" w:hAnsi="Times New Roman"/>
          <w:b/>
          <w:sz w:val="22"/>
        </w:rPr>
        <w:t xml:space="preserve"> </w:t>
      </w:r>
      <w:r w:rsidRPr="005265EF">
        <w:rPr>
          <w:rFonts w:ascii="Times New Roman" w:hAnsi="Times New Roman"/>
          <w:bCs/>
          <w:sz w:val="22"/>
          <w:szCs w:val="22"/>
        </w:rPr>
        <w:t xml:space="preserve">provided to a </w:t>
      </w:r>
      <w:r>
        <w:rPr>
          <w:rFonts w:ascii="Times New Roman" w:hAnsi="Times New Roman"/>
          <w:bCs/>
          <w:sz w:val="22"/>
          <w:szCs w:val="22"/>
        </w:rPr>
        <w:t xml:space="preserve">small </w:t>
      </w:r>
      <w:r w:rsidRPr="005265EF">
        <w:rPr>
          <w:rFonts w:ascii="Times New Roman" w:hAnsi="Times New Roman"/>
          <w:bCs/>
          <w:sz w:val="22"/>
          <w:szCs w:val="22"/>
        </w:rPr>
        <w:t xml:space="preserve">group of </w:t>
      </w:r>
      <w:r w:rsidR="003931A8">
        <w:rPr>
          <w:rFonts w:ascii="Times New Roman" w:hAnsi="Times New Roman"/>
          <w:bCs/>
          <w:sz w:val="22"/>
          <w:szCs w:val="22"/>
        </w:rPr>
        <w:t>c</w:t>
      </w:r>
      <w:r w:rsidRPr="005265EF">
        <w:rPr>
          <w:rFonts w:ascii="Times New Roman" w:hAnsi="Times New Roman"/>
          <w:bCs/>
          <w:sz w:val="22"/>
          <w:szCs w:val="22"/>
        </w:rPr>
        <w:t xml:space="preserve">lients working in </w:t>
      </w:r>
      <w:r w:rsidRPr="005265EF">
        <w:rPr>
          <w:rFonts w:ascii="Times New Roman" w:hAnsi="Times New Roman"/>
          <w:sz w:val="22"/>
        </w:rPr>
        <w:t xml:space="preserve">a competitive environment, usually not at </w:t>
      </w:r>
      <w:r w:rsidRPr="005265EF">
        <w:rPr>
          <w:rFonts w:ascii="Times New Roman" w:hAnsi="Times New Roman"/>
          <w:bCs/>
          <w:sz w:val="22"/>
          <w:szCs w:val="22"/>
        </w:rPr>
        <w:t>the provider</w:t>
      </w:r>
      <w:r w:rsidRPr="005265EF">
        <w:rPr>
          <w:rFonts w:ascii="Times New Roman" w:hAnsi="Times New Roman"/>
          <w:sz w:val="22"/>
        </w:rPr>
        <w:t xml:space="preserve"> site</w:t>
      </w:r>
      <w:r w:rsidRPr="005265EF">
        <w:rPr>
          <w:rFonts w:ascii="Times New Roman" w:hAnsi="Times New Roman"/>
          <w:bCs/>
          <w:sz w:val="22"/>
          <w:szCs w:val="22"/>
        </w:rPr>
        <w:t xml:space="preserve">. The </w:t>
      </w:r>
      <w:r w:rsidR="003931A8">
        <w:rPr>
          <w:rFonts w:ascii="Times New Roman" w:hAnsi="Times New Roman"/>
          <w:bCs/>
          <w:sz w:val="22"/>
          <w:szCs w:val="22"/>
        </w:rPr>
        <w:t>c</w:t>
      </w:r>
      <w:r w:rsidRPr="005265EF">
        <w:rPr>
          <w:rFonts w:ascii="Times New Roman" w:hAnsi="Times New Roman"/>
          <w:bCs/>
          <w:sz w:val="22"/>
          <w:szCs w:val="22"/>
        </w:rPr>
        <w:t xml:space="preserve">lients are usually employees of the provider agency and are </w:t>
      </w:r>
      <w:r>
        <w:rPr>
          <w:rFonts w:ascii="Times New Roman" w:hAnsi="Times New Roman"/>
          <w:bCs/>
          <w:sz w:val="22"/>
          <w:szCs w:val="22"/>
        </w:rPr>
        <w:t xml:space="preserve">often </w:t>
      </w:r>
      <w:r w:rsidRPr="005265EF">
        <w:rPr>
          <w:rFonts w:ascii="Times New Roman" w:hAnsi="Times New Roman"/>
          <w:bCs/>
          <w:sz w:val="22"/>
          <w:szCs w:val="22"/>
        </w:rPr>
        <w:t>paid and receive benefits from that provider. These services emphasize work in integrated environments and may include small groups in industry (also called enclaves), mobile work crews, and provider-run businesses.</w:t>
      </w:r>
    </w:p>
    <w:p w14:paraId="54DF12D5" w14:textId="77777777" w:rsidR="00270557" w:rsidRDefault="00270557" w:rsidP="003931A8">
      <w:pPr>
        <w:suppressAutoHyphens/>
        <w:ind w:left="720"/>
        <w:rPr>
          <w:rFonts w:ascii="Times New Roman" w:hAnsi="Times New Roman"/>
          <w:spacing w:val="-3"/>
          <w:sz w:val="22"/>
          <w:szCs w:val="22"/>
          <w:u w:val="single"/>
        </w:rPr>
      </w:pPr>
    </w:p>
    <w:p w14:paraId="0CE2542B"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High</w:t>
      </w:r>
      <w:r w:rsidR="00B878FC">
        <w:rPr>
          <w:rFonts w:ascii="Times New Roman" w:hAnsi="Times New Roman"/>
          <w:spacing w:val="-3"/>
          <w:sz w:val="22"/>
          <w:szCs w:val="22"/>
          <w:u w:val="single"/>
        </w:rPr>
        <w:t>-i</w:t>
      </w:r>
      <w:r w:rsidRPr="00D41D98">
        <w:rPr>
          <w:rFonts w:ascii="Times New Roman" w:hAnsi="Times New Roman"/>
          <w:spacing w:val="-3"/>
          <w:sz w:val="22"/>
          <w:szCs w:val="22"/>
          <w:u w:val="single"/>
        </w:rPr>
        <w:t>ntensity/Specialized Program Rates</w:t>
      </w:r>
      <w:r>
        <w:rPr>
          <w:rFonts w:ascii="Times New Roman" w:hAnsi="Times New Roman"/>
          <w:spacing w:val="-3"/>
          <w:sz w:val="22"/>
          <w:szCs w:val="22"/>
        </w:rPr>
        <w:t xml:space="preserve">. </w:t>
      </w:r>
      <w:r w:rsidR="003931A8">
        <w:rPr>
          <w:rFonts w:ascii="Times New Roman" w:hAnsi="Times New Roman"/>
          <w:spacing w:val="-3"/>
          <w:sz w:val="22"/>
          <w:szCs w:val="22"/>
        </w:rPr>
        <w:t xml:space="preserve"> </w:t>
      </w:r>
      <w:r>
        <w:rPr>
          <w:rFonts w:ascii="Times New Roman" w:hAnsi="Times New Roman"/>
          <w:spacing w:val="-3"/>
          <w:sz w:val="22"/>
          <w:szCs w:val="22"/>
        </w:rPr>
        <w:t xml:space="preserve">These rates </w:t>
      </w:r>
      <w:r w:rsidR="003931A8">
        <w:rPr>
          <w:rFonts w:ascii="Times New Roman" w:hAnsi="Times New Roman"/>
          <w:spacing w:val="-3"/>
          <w:sz w:val="22"/>
          <w:szCs w:val="22"/>
        </w:rPr>
        <w:t>are</w:t>
      </w:r>
      <w:r>
        <w:rPr>
          <w:rFonts w:ascii="Times New Roman" w:hAnsi="Times New Roman"/>
          <w:spacing w:val="-3"/>
          <w:sz w:val="22"/>
          <w:szCs w:val="22"/>
        </w:rPr>
        <w:t xml:space="preserve"> restricted in use for exceptional purposes for certain high-intensity programs supporting specialty populations receiving </w:t>
      </w:r>
      <w:r w:rsidR="006A3404">
        <w:rPr>
          <w:rFonts w:ascii="Times New Roman" w:hAnsi="Times New Roman"/>
          <w:spacing w:val="-3"/>
          <w:sz w:val="22"/>
          <w:szCs w:val="22"/>
        </w:rPr>
        <w:t>g</w:t>
      </w:r>
      <w:r>
        <w:rPr>
          <w:rFonts w:ascii="Times New Roman" w:hAnsi="Times New Roman"/>
          <w:spacing w:val="-3"/>
          <w:sz w:val="22"/>
          <w:szCs w:val="22"/>
        </w:rPr>
        <w:t xml:space="preserve">roup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These rates apply </w:t>
      </w:r>
      <w:r w:rsidR="003931A8">
        <w:rPr>
          <w:rFonts w:ascii="Times New Roman" w:hAnsi="Times New Roman"/>
          <w:spacing w:val="-3"/>
          <w:sz w:val="22"/>
          <w:szCs w:val="22"/>
        </w:rPr>
        <w:t xml:space="preserve">only </w:t>
      </w:r>
      <w:r>
        <w:rPr>
          <w:rFonts w:ascii="Times New Roman" w:hAnsi="Times New Roman"/>
          <w:spacing w:val="-3"/>
          <w:sz w:val="22"/>
          <w:szCs w:val="22"/>
        </w:rPr>
        <w:t xml:space="preserve">in cases in which it is determined that programs require significant additional supervisory resources, staff with higher skill levels and qualifications, increased staffing ratios, and specialized consulting and/or clinical supports. Examples may include programs supporting individuals with forensic involvement or serious behavioral issues. </w:t>
      </w:r>
    </w:p>
    <w:p w14:paraId="61C3A07A" w14:textId="77777777" w:rsidR="00AD68F4" w:rsidRDefault="00AD68F4" w:rsidP="003931A8">
      <w:pPr>
        <w:suppressAutoHyphens/>
        <w:ind w:left="720"/>
        <w:rPr>
          <w:rFonts w:ascii="Times New Roman" w:hAnsi="Times New Roman"/>
          <w:spacing w:val="-3"/>
          <w:sz w:val="22"/>
          <w:szCs w:val="22"/>
        </w:rPr>
      </w:pPr>
    </w:p>
    <w:p w14:paraId="28F064A1" w14:textId="77777777" w:rsidR="00270557" w:rsidRPr="005265EF" w:rsidRDefault="00270557" w:rsidP="003931A8">
      <w:pPr>
        <w:suppressAutoHyphens/>
        <w:ind w:left="720"/>
        <w:rPr>
          <w:rFonts w:ascii="Times New Roman" w:hAnsi="Times New Roman"/>
          <w:sz w:val="22"/>
        </w:rPr>
      </w:pPr>
      <w:r w:rsidRPr="005265EF">
        <w:rPr>
          <w:rFonts w:ascii="Times New Roman" w:hAnsi="Times New Roman"/>
          <w:spacing w:val="-3"/>
          <w:sz w:val="22"/>
          <w:szCs w:val="22"/>
          <w:u w:val="single"/>
        </w:rPr>
        <w:t>Individual Supported Employment Services</w:t>
      </w:r>
      <w:r w:rsidRPr="00085928">
        <w:rPr>
          <w:rFonts w:ascii="Times New Roman" w:hAnsi="Times New Roman"/>
          <w:spacing w:val="-3"/>
          <w:sz w:val="22"/>
          <w:szCs w:val="22"/>
        </w:rPr>
        <w:t xml:space="preserve">. </w:t>
      </w:r>
      <w:r w:rsidRPr="005265EF">
        <w:rPr>
          <w:rFonts w:ascii="Times New Roman" w:hAnsi="Times New Roman"/>
          <w:spacing w:val="-3"/>
          <w:sz w:val="22"/>
          <w:szCs w:val="22"/>
        </w:rPr>
        <w:t xml:space="preserve"> Support</w:t>
      </w:r>
      <w:r>
        <w:rPr>
          <w:rFonts w:ascii="Times New Roman" w:hAnsi="Times New Roman"/>
          <w:spacing w:val="-3"/>
          <w:sz w:val="22"/>
          <w:szCs w:val="22"/>
        </w:rPr>
        <w:t>s</w:t>
      </w:r>
      <w:r w:rsidRPr="005265EF">
        <w:rPr>
          <w:rFonts w:ascii="Times New Roman" w:hAnsi="Times New Roman"/>
          <w:spacing w:val="-3"/>
          <w:sz w:val="22"/>
          <w:szCs w:val="22"/>
        </w:rPr>
        <w:t xml:space="preserve"> provided to a </w:t>
      </w:r>
      <w:r w:rsidR="003931A8">
        <w:rPr>
          <w:rFonts w:ascii="Times New Roman" w:hAnsi="Times New Roman"/>
          <w:spacing w:val="-3"/>
          <w:sz w:val="22"/>
          <w:szCs w:val="22"/>
        </w:rPr>
        <w:t>c</w:t>
      </w:r>
      <w:r w:rsidRPr="005265EF">
        <w:rPr>
          <w:rFonts w:ascii="Times New Roman" w:hAnsi="Times New Roman"/>
          <w:spacing w:val="-3"/>
          <w:sz w:val="22"/>
          <w:szCs w:val="22"/>
        </w:rPr>
        <w:t xml:space="preserve">lient on a one-to-one basis to assist the </w:t>
      </w:r>
      <w:r w:rsidR="003931A8">
        <w:rPr>
          <w:rFonts w:ascii="Times New Roman" w:hAnsi="Times New Roman"/>
          <w:spacing w:val="-3"/>
          <w:sz w:val="22"/>
          <w:szCs w:val="22"/>
        </w:rPr>
        <w:t>c</w:t>
      </w:r>
      <w:r w:rsidRPr="005265EF">
        <w:rPr>
          <w:rFonts w:ascii="Times New Roman" w:hAnsi="Times New Roman"/>
          <w:spacing w:val="-3"/>
          <w:sz w:val="22"/>
          <w:szCs w:val="22"/>
        </w:rPr>
        <w:t xml:space="preserve">lient to </w:t>
      </w:r>
      <w:r w:rsidRPr="005265EF">
        <w:rPr>
          <w:rFonts w:ascii="Times New Roman" w:hAnsi="Times New Roman"/>
          <w:bCs/>
          <w:sz w:val="22"/>
          <w:szCs w:val="22"/>
        </w:rPr>
        <w:t xml:space="preserve">obtain and maintain a job at a business in the community. The </w:t>
      </w:r>
      <w:r w:rsidR="003931A8">
        <w:rPr>
          <w:rFonts w:ascii="Times New Roman" w:hAnsi="Times New Roman"/>
          <w:bCs/>
          <w:sz w:val="22"/>
          <w:szCs w:val="22"/>
        </w:rPr>
        <w:t>c</w:t>
      </w:r>
      <w:r w:rsidRPr="005265EF">
        <w:rPr>
          <w:rFonts w:ascii="Times New Roman" w:hAnsi="Times New Roman"/>
          <w:bCs/>
          <w:sz w:val="22"/>
          <w:szCs w:val="22"/>
        </w:rPr>
        <w:t>lient is</w:t>
      </w:r>
      <w:r>
        <w:rPr>
          <w:rFonts w:ascii="Times New Roman" w:hAnsi="Times New Roman"/>
          <w:bCs/>
          <w:sz w:val="22"/>
          <w:szCs w:val="22"/>
        </w:rPr>
        <w:t xml:space="preserve"> hired and</w:t>
      </w:r>
      <w:r w:rsidRPr="005265EF">
        <w:rPr>
          <w:rFonts w:ascii="Times New Roman" w:hAnsi="Times New Roman"/>
          <w:bCs/>
          <w:sz w:val="22"/>
          <w:szCs w:val="22"/>
        </w:rPr>
        <w:t xml:space="preserve"> paid by the employer at competitive wages. These services may include assessment, career planning, skills training, job development and placement, job coaching at the job site, and ongoing supportive services to assist the </w:t>
      </w:r>
      <w:r w:rsidR="003931A8">
        <w:rPr>
          <w:rFonts w:ascii="Times New Roman" w:hAnsi="Times New Roman"/>
          <w:bCs/>
          <w:sz w:val="22"/>
          <w:szCs w:val="22"/>
        </w:rPr>
        <w:t>c</w:t>
      </w:r>
      <w:r w:rsidRPr="005265EF">
        <w:rPr>
          <w:rFonts w:ascii="Times New Roman" w:hAnsi="Times New Roman"/>
          <w:bCs/>
          <w:sz w:val="22"/>
          <w:szCs w:val="22"/>
        </w:rPr>
        <w:t xml:space="preserve">lient to successfully maintain employment. </w:t>
      </w:r>
    </w:p>
    <w:p w14:paraId="29513514" w14:textId="77777777" w:rsidR="00270557" w:rsidRPr="005265EF" w:rsidRDefault="00270557" w:rsidP="003931A8">
      <w:pPr>
        <w:suppressAutoHyphens/>
        <w:ind w:left="720"/>
        <w:rPr>
          <w:rFonts w:ascii="Times New Roman" w:hAnsi="Times New Roman"/>
          <w:spacing w:val="-3"/>
          <w:sz w:val="22"/>
        </w:rPr>
      </w:pPr>
    </w:p>
    <w:p w14:paraId="2B6E09C6" w14:textId="223E92EB" w:rsidR="00270557" w:rsidRPr="005265EF"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Provider</w:t>
      </w:r>
      <w:r w:rsidRPr="005265EF">
        <w:rPr>
          <w:rFonts w:ascii="Times New Roman" w:hAnsi="Times New Roman"/>
          <w:spacing w:val="-3"/>
          <w:sz w:val="22"/>
          <w:szCs w:val="22"/>
        </w:rPr>
        <w:t>.  Any individual, group, partnership, trust, corporation</w:t>
      </w:r>
      <w:r w:rsidR="006A3404">
        <w:rPr>
          <w:rFonts w:ascii="Times New Roman" w:hAnsi="Times New Roman"/>
          <w:spacing w:val="-3"/>
          <w:sz w:val="22"/>
          <w:szCs w:val="22"/>
        </w:rPr>
        <w:t>,</w:t>
      </w:r>
      <w:r w:rsidRPr="005265EF">
        <w:rPr>
          <w:rFonts w:ascii="Times New Roman" w:hAnsi="Times New Roman"/>
          <w:spacing w:val="-3"/>
          <w:sz w:val="22"/>
          <w:szCs w:val="22"/>
        </w:rPr>
        <w:t xml:space="preserve"> or other legal entity that offers services for purchase by a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and that meets the conditions of purchase or licensure that have been adopted by a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 </w:t>
      </w:r>
    </w:p>
    <w:p w14:paraId="3779ABAD" w14:textId="77777777" w:rsidR="00270557" w:rsidRPr="005265EF" w:rsidRDefault="00270557" w:rsidP="003931A8">
      <w:pPr>
        <w:suppressAutoHyphens/>
        <w:ind w:left="720"/>
        <w:rPr>
          <w:rFonts w:ascii="Times New Roman" w:hAnsi="Times New Roman"/>
          <w:spacing w:val="-3"/>
          <w:sz w:val="22"/>
          <w:szCs w:val="22"/>
        </w:rPr>
      </w:pPr>
    </w:p>
    <w:p w14:paraId="51BBCEE8" w14:textId="77777777" w:rsidR="00270557" w:rsidRDefault="00270557" w:rsidP="003931A8">
      <w:pPr>
        <w:suppressAutoHyphens/>
        <w:ind w:left="720"/>
        <w:rPr>
          <w:rFonts w:ascii="Times New Roman" w:hAnsi="Times New Roman"/>
          <w:spacing w:val="-3"/>
          <w:sz w:val="22"/>
          <w:szCs w:val="22"/>
        </w:rPr>
      </w:pPr>
      <w:r w:rsidRPr="005265EF">
        <w:rPr>
          <w:rFonts w:ascii="Times New Roman" w:hAnsi="Times New Roman"/>
          <w:spacing w:val="-3"/>
          <w:sz w:val="22"/>
          <w:szCs w:val="22"/>
          <w:u w:val="single"/>
        </w:rPr>
        <w:t>Reporting Year</w:t>
      </w:r>
      <w:r w:rsidRPr="005265EF">
        <w:rPr>
          <w:rFonts w:ascii="Times New Roman" w:hAnsi="Times New Roman"/>
          <w:spacing w:val="-3"/>
          <w:sz w:val="22"/>
          <w:szCs w:val="22"/>
        </w:rPr>
        <w:t xml:space="preserve">.  The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rovider's fiscal year for which costs incurred are reported to the Operational Services Division on the Uniform Financial Statements and Independent Auditor's Report (UFR).  </w:t>
      </w:r>
    </w:p>
    <w:p w14:paraId="5FBAFA65" w14:textId="77777777" w:rsidR="00270557" w:rsidRPr="005265EF" w:rsidRDefault="00270557" w:rsidP="003931A8">
      <w:pPr>
        <w:suppressAutoHyphens/>
        <w:ind w:left="720"/>
        <w:rPr>
          <w:rFonts w:ascii="Times New Roman" w:hAnsi="Times New Roman"/>
          <w:spacing w:val="-3"/>
          <w:sz w:val="22"/>
          <w:szCs w:val="22"/>
        </w:rPr>
      </w:pPr>
    </w:p>
    <w:p w14:paraId="2324E336" w14:textId="77777777" w:rsidR="00270557" w:rsidRDefault="00270557" w:rsidP="003931A8">
      <w:pPr>
        <w:suppressAutoHyphens/>
        <w:ind w:left="720"/>
        <w:rPr>
          <w:rFonts w:ascii="Times New Roman" w:hAnsi="Times New Roman"/>
          <w:sz w:val="22"/>
          <w:szCs w:val="24"/>
        </w:rPr>
      </w:pPr>
      <w:r w:rsidRPr="005265EF">
        <w:rPr>
          <w:rFonts w:ascii="Times New Roman" w:hAnsi="Times New Roman"/>
          <w:spacing w:val="-3"/>
          <w:sz w:val="22"/>
          <w:szCs w:val="22"/>
          <w:u w:val="single"/>
        </w:rPr>
        <w:t>Supported Employment Services</w:t>
      </w:r>
      <w:r w:rsidRPr="005265EF">
        <w:rPr>
          <w:rFonts w:ascii="Times New Roman" w:hAnsi="Times New Roman"/>
          <w:spacing w:val="-3"/>
          <w:sz w:val="22"/>
          <w:szCs w:val="22"/>
        </w:rPr>
        <w:t xml:space="preserve">. </w:t>
      </w:r>
      <w:r w:rsidR="003931A8">
        <w:rPr>
          <w:rFonts w:ascii="Times New Roman" w:hAnsi="Times New Roman"/>
          <w:spacing w:val="-3"/>
          <w:sz w:val="22"/>
          <w:szCs w:val="22"/>
        </w:rPr>
        <w:t xml:space="preserve"> </w:t>
      </w:r>
      <w:r w:rsidRPr="005265EF">
        <w:rPr>
          <w:rFonts w:ascii="Times New Roman" w:hAnsi="Times New Roman"/>
          <w:sz w:val="22"/>
          <w:szCs w:val="24"/>
        </w:rPr>
        <w:t xml:space="preserve">Services that provide </w:t>
      </w:r>
      <w:r>
        <w:rPr>
          <w:rFonts w:ascii="Times New Roman" w:hAnsi="Times New Roman"/>
          <w:sz w:val="22"/>
          <w:szCs w:val="24"/>
        </w:rPr>
        <w:t xml:space="preserve">assistance to </w:t>
      </w:r>
      <w:r w:rsidRPr="005265EF">
        <w:rPr>
          <w:rFonts w:ascii="Times New Roman" w:hAnsi="Times New Roman"/>
          <w:sz w:val="22"/>
          <w:szCs w:val="24"/>
        </w:rPr>
        <w:t>individual</w:t>
      </w:r>
      <w:r>
        <w:rPr>
          <w:rFonts w:ascii="Times New Roman" w:hAnsi="Times New Roman"/>
          <w:sz w:val="22"/>
          <w:szCs w:val="24"/>
        </w:rPr>
        <w:t xml:space="preserve">s or groups of individuals to help them prepare for, acquire, and maintain integrated employment </w:t>
      </w:r>
      <w:r w:rsidRPr="005265EF">
        <w:rPr>
          <w:rFonts w:ascii="Times New Roman" w:hAnsi="Times New Roman"/>
          <w:sz w:val="22"/>
          <w:szCs w:val="24"/>
        </w:rPr>
        <w:t>in the community</w:t>
      </w:r>
      <w:r>
        <w:rPr>
          <w:rFonts w:ascii="Times New Roman" w:hAnsi="Times New Roman"/>
          <w:sz w:val="22"/>
          <w:szCs w:val="24"/>
        </w:rPr>
        <w:t xml:space="preserve"> </w:t>
      </w:r>
      <w:r w:rsidRPr="005265EF">
        <w:rPr>
          <w:rFonts w:ascii="Times New Roman" w:hAnsi="Times New Roman"/>
          <w:sz w:val="22"/>
          <w:szCs w:val="24"/>
        </w:rPr>
        <w:t xml:space="preserve">for </w:t>
      </w:r>
      <w:r w:rsidR="003931A8">
        <w:rPr>
          <w:rFonts w:ascii="Times New Roman" w:hAnsi="Times New Roman"/>
          <w:sz w:val="22"/>
          <w:szCs w:val="24"/>
        </w:rPr>
        <w:t>c</w:t>
      </w:r>
      <w:r w:rsidRPr="005265EF">
        <w:rPr>
          <w:rFonts w:ascii="Times New Roman" w:hAnsi="Times New Roman"/>
          <w:sz w:val="22"/>
          <w:szCs w:val="24"/>
        </w:rPr>
        <w:t>lients that require provider support and/or supervision.</w:t>
      </w:r>
    </w:p>
    <w:p w14:paraId="592D6562" w14:textId="77777777" w:rsidR="00270557" w:rsidRPr="005265EF" w:rsidRDefault="00270557" w:rsidP="003931A8">
      <w:pPr>
        <w:suppressAutoHyphens/>
        <w:ind w:left="720"/>
        <w:rPr>
          <w:rFonts w:ascii="Times New Roman" w:hAnsi="Times New Roman"/>
          <w:spacing w:val="-3"/>
          <w:sz w:val="22"/>
          <w:szCs w:val="22"/>
          <w:u w:val="single"/>
        </w:rPr>
      </w:pPr>
    </w:p>
    <w:p w14:paraId="3D97477B" w14:textId="77777777" w:rsidR="00270557" w:rsidRDefault="00270557" w:rsidP="003931A8">
      <w:pPr>
        <w:suppressAutoHyphens/>
        <w:ind w:left="720"/>
        <w:rPr>
          <w:rFonts w:ascii="Times New Roman" w:hAnsi="Times New Roman"/>
          <w:spacing w:val="-3"/>
          <w:sz w:val="22"/>
          <w:szCs w:val="22"/>
        </w:rPr>
      </w:pPr>
      <w:r w:rsidRPr="00D41D98">
        <w:rPr>
          <w:rFonts w:ascii="Times New Roman" w:hAnsi="Times New Roman"/>
          <w:spacing w:val="-3"/>
          <w:sz w:val="22"/>
          <w:szCs w:val="22"/>
          <w:u w:val="single"/>
        </w:rPr>
        <w:t>Transportation to Individual Job Sites</w:t>
      </w:r>
      <w:r w:rsidRPr="00085928">
        <w:rPr>
          <w:rFonts w:ascii="Times New Roman" w:hAnsi="Times New Roman"/>
          <w:spacing w:val="-3"/>
          <w:sz w:val="22"/>
          <w:szCs w:val="22"/>
        </w:rPr>
        <w:t>.</w:t>
      </w:r>
      <w:r w:rsidR="003931A8">
        <w:rPr>
          <w:rFonts w:ascii="Times New Roman" w:hAnsi="Times New Roman"/>
          <w:spacing w:val="-3"/>
          <w:sz w:val="22"/>
          <w:szCs w:val="22"/>
        </w:rPr>
        <w:t xml:space="preserve"> </w:t>
      </w:r>
      <w:r w:rsidRPr="00085928">
        <w:rPr>
          <w:rFonts w:ascii="Times New Roman" w:hAnsi="Times New Roman"/>
          <w:spacing w:val="-3"/>
          <w:sz w:val="22"/>
          <w:szCs w:val="22"/>
        </w:rPr>
        <w:t xml:space="preserve"> </w:t>
      </w:r>
      <w:r>
        <w:rPr>
          <w:rFonts w:ascii="Times New Roman" w:hAnsi="Times New Roman"/>
          <w:spacing w:val="-3"/>
          <w:sz w:val="22"/>
          <w:szCs w:val="22"/>
        </w:rPr>
        <w:t xml:space="preserve">This service applies to individuals in </w:t>
      </w:r>
      <w:r w:rsidR="006A3404">
        <w:rPr>
          <w:rFonts w:ascii="Times New Roman" w:hAnsi="Times New Roman"/>
          <w:spacing w:val="-3"/>
          <w:sz w:val="22"/>
          <w:szCs w:val="22"/>
        </w:rPr>
        <w:t>i</w:t>
      </w:r>
      <w:r>
        <w:rPr>
          <w:rFonts w:ascii="Times New Roman" w:hAnsi="Times New Roman"/>
          <w:spacing w:val="-3"/>
          <w:sz w:val="22"/>
          <w:szCs w:val="22"/>
        </w:rPr>
        <w:t xml:space="preserve">ndividual </w:t>
      </w:r>
      <w:r w:rsidR="006A3404">
        <w:rPr>
          <w:rFonts w:ascii="Times New Roman" w:hAnsi="Times New Roman"/>
          <w:spacing w:val="-3"/>
          <w:sz w:val="22"/>
          <w:szCs w:val="22"/>
        </w:rPr>
        <w:t>s</w:t>
      </w:r>
      <w:r>
        <w:rPr>
          <w:rFonts w:ascii="Times New Roman" w:hAnsi="Times New Roman"/>
          <w:spacing w:val="-3"/>
          <w:sz w:val="22"/>
          <w:szCs w:val="22"/>
        </w:rPr>
        <w:t xml:space="preserve">upported </w:t>
      </w:r>
      <w:r w:rsidR="006A3404">
        <w:rPr>
          <w:rFonts w:ascii="Times New Roman" w:hAnsi="Times New Roman"/>
          <w:spacing w:val="-3"/>
          <w:sz w:val="22"/>
          <w:szCs w:val="22"/>
        </w:rPr>
        <w:t>e</w:t>
      </w:r>
      <w:r>
        <w:rPr>
          <w:rFonts w:ascii="Times New Roman" w:hAnsi="Times New Roman"/>
          <w:spacing w:val="-3"/>
          <w:sz w:val="22"/>
          <w:szCs w:val="22"/>
        </w:rPr>
        <w:t xml:space="preserve">mployment </w:t>
      </w:r>
      <w:r w:rsidR="006A3404">
        <w:rPr>
          <w:rFonts w:ascii="Times New Roman" w:hAnsi="Times New Roman"/>
          <w:spacing w:val="-3"/>
          <w:sz w:val="22"/>
          <w:szCs w:val="22"/>
        </w:rPr>
        <w:t>s</w:t>
      </w:r>
      <w:r>
        <w:rPr>
          <w:rFonts w:ascii="Times New Roman" w:hAnsi="Times New Roman"/>
          <w:spacing w:val="-3"/>
          <w:sz w:val="22"/>
          <w:szCs w:val="22"/>
        </w:rPr>
        <w:t xml:space="preserve">ervices who are working at a business in the community and require </w:t>
      </w:r>
      <w:r w:rsidRPr="00116B41">
        <w:rPr>
          <w:rFonts w:ascii="Times New Roman" w:hAnsi="Times New Roman"/>
          <w:spacing w:val="-3"/>
          <w:sz w:val="22"/>
          <w:szCs w:val="22"/>
        </w:rPr>
        <w:t>ongoing</w:t>
      </w:r>
      <w:r w:rsidRPr="00013FEF">
        <w:rPr>
          <w:rFonts w:ascii="Times New Roman" w:hAnsi="Times New Roman"/>
          <w:spacing w:val="-3"/>
          <w:sz w:val="22"/>
          <w:szCs w:val="22"/>
        </w:rPr>
        <w:t xml:space="preserve"> </w:t>
      </w:r>
      <w:r>
        <w:rPr>
          <w:rFonts w:ascii="Times New Roman" w:hAnsi="Times New Roman"/>
          <w:spacing w:val="-3"/>
          <w:sz w:val="22"/>
          <w:szCs w:val="22"/>
        </w:rPr>
        <w:t xml:space="preserve">rides/transportation from the provider to their job to maintain their employment, and are not able to transport themselves to and from work successfully. This service </w:t>
      </w:r>
      <w:r w:rsidR="003931A8">
        <w:rPr>
          <w:rFonts w:ascii="Times New Roman" w:hAnsi="Times New Roman"/>
          <w:spacing w:val="-3"/>
          <w:sz w:val="22"/>
          <w:szCs w:val="22"/>
        </w:rPr>
        <w:t xml:space="preserve">must </w:t>
      </w:r>
      <w:r>
        <w:rPr>
          <w:rFonts w:ascii="Times New Roman" w:hAnsi="Times New Roman"/>
          <w:spacing w:val="-3"/>
          <w:sz w:val="22"/>
          <w:szCs w:val="22"/>
        </w:rPr>
        <w:t xml:space="preserve">be used </w:t>
      </w:r>
      <w:r w:rsidR="00B557D6">
        <w:rPr>
          <w:rFonts w:ascii="Times New Roman" w:hAnsi="Times New Roman"/>
          <w:spacing w:val="-3"/>
          <w:sz w:val="22"/>
          <w:szCs w:val="22"/>
        </w:rPr>
        <w:t xml:space="preserve">only </w:t>
      </w:r>
      <w:r>
        <w:rPr>
          <w:rFonts w:ascii="Times New Roman" w:hAnsi="Times New Roman"/>
          <w:spacing w:val="-3"/>
          <w:sz w:val="22"/>
          <w:szCs w:val="22"/>
        </w:rPr>
        <w:t>after all other public, para-transit</w:t>
      </w:r>
      <w:r w:rsidR="0062215C">
        <w:rPr>
          <w:rFonts w:ascii="Times New Roman" w:hAnsi="Times New Roman"/>
          <w:spacing w:val="-3"/>
          <w:sz w:val="22"/>
          <w:szCs w:val="22"/>
        </w:rPr>
        <w:t>,</w:t>
      </w:r>
      <w:r>
        <w:rPr>
          <w:rFonts w:ascii="Times New Roman" w:hAnsi="Times New Roman"/>
          <w:spacing w:val="-3"/>
          <w:sz w:val="22"/>
          <w:szCs w:val="22"/>
        </w:rPr>
        <w:t xml:space="preserve"> and private transportation options have been pursued.</w:t>
      </w:r>
    </w:p>
    <w:p w14:paraId="6F9DFC38" w14:textId="77777777" w:rsidR="00D9599C" w:rsidRDefault="00D9599C" w:rsidP="003931A8">
      <w:pPr>
        <w:suppressAutoHyphens/>
        <w:ind w:left="720"/>
        <w:rPr>
          <w:rFonts w:ascii="Times New Roman" w:hAnsi="Times New Roman"/>
          <w:spacing w:val="-3"/>
          <w:sz w:val="22"/>
          <w:szCs w:val="22"/>
        </w:rPr>
      </w:pPr>
    </w:p>
    <w:p w14:paraId="6143BE07"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19.03:  Rate Provisions</w:t>
      </w:r>
    </w:p>
    <w:p w14:paraId="7EDDEF3A" w14:textId="77777777" w:rsidR="00270557" w:rsidRPr="005265EF" w:rsidRDefault="00270557">
      <w:pPr>
        <w:suppressAutoHyphens/>
        <w:rPr>
          <w:rFonts w:ascii="Times New Roman" w:hAnsi="Times New Roman"/>
          <w:spacing w:val="-3"/>
          <w:sz w:val="22"/>
          <w:szCs w:val="22"/>
        </w:rPr>
      </w:pPr>
    </w:p>
    <w:p w14:paraId="232F785C"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(1) </w:t>
      </w:r>
      <w:r w:rsidR="003931A8">
        <w:rPr>
          <w:rFonts w:ascii="Times New Roman" w:hAnsi="Times New Roman"/>
          <w:spacing w:val="-3"/>
          <w:sz w:val="22"/>
          <w:szCs w:val="22"/>
        </w:rPr>
        <w:t xml:space="preserve"> </w:t>
      </w:r>
      <w:r w:rsidRPr="005265EF">
        <w:rPr>
          <w:rFonts w:ascii="Times New Roman" w:hAnsi="Times New Roman"/>
          <w:spacing w:val="-3"/>
          <w:sz w:val="22"/>
          <w:szCs w:val="22"/>
          <w:u w:val="single"/>
        </w:rPr>
        <w:t xml:space="preserve">Services </w:t>
      </w:r>
      <w:r w:rsidR="00057D9B">
        <w:rPr>
          <w:rFonts w:ascii="Times New Roman" w:hAnsi="Times New Roman"/>
          <w:spacing w:val="-3"/>
          <w:sz w:val="22"/>
          <w:szCs w:val="22"/>
          <w:u w:val="single"/>
        </w:rPr>
        <w:t>I</w:t>
      </w:r>
      <w:r w:rsidRPr="005265EF">
        <w:rPr>
          <w:rFonts w:ascii="Times New Roman" w:hAnsi="Times New Roman"/>
          <w:spacing w:val="-3"/>
          <w:sz w:val="22"/>
          <w:szCs w:val="22"/>
          <w:u w:val="single"/>
        </w:rPr>
        <w:t>ncluded in the Rate</w:t>
      </w:r>
      <w:r w:rsidRPr="005265EF">
        <w:rPr>
          <w:rFonts w:ascii="Times New Roman" w:hAnsi="Times New Roman"/>
          <w:spacing w:val="-3"/>
          <w:sz w:val="22"/>
          <w:szCs w:val="22"/>
        </w:rPr>
        <w:t>.  The approved rate include</w:t>
      </w:r>
      <w:r w:rsidR="003931A8">
        <w:rPr>
          <w:rFonts w:ascii="Times New Roman" w:hAnsi="Times New Roman"/>
          <w:spacing w:val="-3"/>
          <w:sz w:val="22"/>
          <w:szCs w:val="22"/>
        </w:rPr>
        <w:t>s</w:t>
      </w:r>
      <w:r w:rsidRPr="005265EF">
        <w:rPr>
          <w:rFonts w:ascii="Times New Roman" w:hAnsi="Times New Roman"/>
          <w:spacing w:val="-3"/>
          <w:sz w:val="22"/>
          <w:szCs w:val="22"/>
        </w:rPr>
        <w:t xml:space="preserve"> payment for all care and services that are part of the program of services of a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as explicitly set forth in the terms of the purchase agreement between the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and the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nit(s).</w:t>
      </w:r>
    </w:p>
    <w:p w14:paraId="6F2937A9" w14:textId="77777777" w:rsidR="00270557" w:rsidRPr="005265EF" w:rsidRDefault="00270557">
      <w:pPr>
        <w:suppressAutoHyphens/>
        <w:ind w:left="720"/>
        <w:rPr>
          <w:rFonts w:ascii="Times New Roman" w:hAnsi="Times New Roman"/>
          <w:spacing w:val="-3"/>
          <w:sz w:val="22"/>
          <w:szCs w:val="22"/>
        </w:rPr>
      </w:pPr>
    </w:p>
    <w:p w14:paraId="1B495139"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(2) </w:t>
      </w:r>
      <w:r w:rsidR="003931A8">
        <w:rPr>
          <w:rFonts w:ascii="Times New Roman" w:hAnsi="Times New Roman"/>
          <w:spacing w:val="-3"/>
          <w:sz w:val="22"/>
          <w:szCs w:val="22"/>
        </w:rPr>
        <w:t xml:space="preserve"> </w:t>
      </w:r>
      <w:r w:rsidRPr="005265EF">
        <w:rPr>
          <w:rFonts w:ascii="Times New Roman" w:hAnsi="Times New Roman"/>
          <w:spacing w:val="-3"/>
          <w:sz w:val="22"/>
          <w:szCs w:val="22"/>
          <w:u w:val="single"/>
        </w:rPr>
        <w:t>Reimbursement as Full Payment</w:t>
      </w:r>
      <w:r w:rsidRPr="005265EF">
        <w:rPr>
          <w:rFonts w:ascii="Times New Roman" w:hAnsi="Times New Roman"/>
          <w:spacing w:val="-3"/>
          <w:sz w:val="22"/>
          <w:szCs w:val="22"/>
        </w:rPr>
        <w:t xml:space="preserve">.  Each </w:t>
      </w:r>
      <w:r w:rsidR="003931A8">
        <w:rPr>
          <w:rFonts w:ascii="Times New Roman" w:hAnsi="Times New Roman"/>
          <w:spacing w:val="-3"/>
          <w:sz w:val="22"/>
          <w:szCs w:val="22"/>
        </w:rPr>
        <w:t>p</w:t>
      </w:r>
      <w:r w:rsidRPr="005265EF">
        <w:rPr>
          <w:rFonts w:ascii="Times New Roman" w:hAnsi="Times New Roman"/>
          <w:spacing w:val="-3"/>
          <w:sz w:val="22"/>
          <w:szCs w:val="22"/>
        </w:rPr>
        <w:t xml:space="preserve">rovider </w:t>
      </w:r>
      <w:r w:rsidR="003931A8">
        <w:rPr>
          <w:rFonts w:ascii="Times New Roman" w:hAnsi="Times New Roman"/>
          <w:spacing w:val="-3"/>
          <w:sz w:val="22"/>
          <w:szCs w:val="22"/>
        </w:rPr>
        <w:t>must</w:t>
      </w:r>
      <w:r w:rsidRPr="005265EF">
        <w:rPr>
          <w:rFonts w:ascii="Times New Roman" w:hAnsi="Times New Roman"/>
          <w:spacing w:val="-3"/>
          <w:sz w:val="22"/>
          <w:szCs w:val="22"/>
        </w:rPr>
        <w:t xml:space="preserve">, as a condition of acceptance of payment made by any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 xml:space="preserve">nits for services rendered, accept the approved program rate as full payment and discharge of all obligations for the services rendered. Payment from any other </w:t>
      </w:r>
      <w:r w:rsidRPr="005265EF">
        <w:rPr>
          <w:rFonts w:ascii="Times New Roman" w:hAnsi="Times New Roman"/>
          <w:spacing w:val="-3"/>
          <w:sz w:val="22"/>
          <w:szCs w:val="22"/>
        </w:rPr>
        <w:lastRenderedPageBreak/>
        <w:t xml:space="preserve">source </w:t>
      </w:r>
      <w:r w:rsidR="0062215C">
        <w:rPr>
          <w:rFonts w:ascii="Times New Roman" w:hAnsi="Times New Roman"/>
          <w:spacing w:val="-3"/>
          <w:sz w:val="22"/>
          <w:szCs w:val="22"/>
        </w:rPr>
        <w:t>will</w:t>
      </w:r>
      <w:r w:rsidR="0062215C"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be used to offset the amount of the purchasing </w:t>
      </w:r>
      <w:r w:rsidR="00BF5DC7">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BF5DC7">
        <w:rPr>
          <w:rFonts w:ascii="Times New Roman" w:hAnsi="Times New Roman"/>
          <w:spacing w:val="-3"/>
          <w:sz w:val="22"/>
          <w:szCs w:val="22"/>
        </w:rPr>
        <w:t>u</w:t>
      </w:r>
      <w:r w:rsidRPr="005265EF">
        <w:rPr>
          <w:rFonts w:ascii="Times New Roman" w:hAnsi="Times New Roman"/>
          <w:spacing w:val="-3"/>
          <w:sz w:val="22"/>
          <w:szCs w:val="22"/>
        </w:rPr>
        <w:t>nit's obligation for services rendered to the publicly assisted client.</w:t>
      </w:r>
    </w:p>
    <w:p w14:paraId="66BDB0E0" w14:textId="77777777" w:rsidR="00270557" w:rsidRPr="005265EF" w:rsidRDefault="00270557">
      <w:pPr>
        <w:suppressAutoHyphens/>
        <w:ind w:left="720"/>
        <w:rPr>
          <w:rFonts w:ascii="Times New Roman" w:hAnsi="Times New Roman"/>
          <w:spacing w:val="-3"/>
          <w:sz w:val="22"/>
          <w:szCs w:val="22"/>
        </w:rPr>
      </w:pPr>
    </w:p>
    <w:p w14:paraId="163771EC" w14:textId="37443056" w:rsidR="00270557"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(3)</w:t>
      </w:r>
      <w:r w:rsidR="003931A8">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Payment Limitations</w:t>
      </w:r>
      <w:r w:rsidRPr="005265EF">
        <w:rPr>
          <w:rFonts w:ascii="Times New Roman" w:hAnsi="Times New Roman"/>
          <w:spacing w:val="-3"/>
          <w:sz w:val="22"/>
          <w:szCs w:val="22"/>
        </w:rPr>
        <w:t xml:space="preserve">.  No purchasing </w:t>
      </w:r>
      <w:r w:rsidR="003931A8">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931A8">
        <w:rPr>
          <w:rFonts w:ascii="Times New Roman" w:hAnsi="Times New Roman"/>
          <w:spacing w:val="-3"/>
          <w:sz w:val="22"/>
          <w:szCs w:val="22"/>
        </w:rPr>
        <w:t>u</w:t>
      </w:r>
      <w:r w:rsidRPr="005265EF">
        <w:rPr>
          <w:rFonts w:ascii="Times New Roman" w:hAnsi="Times New Roman"/>
          <w:spacing w:val="-3"/>
          <w:sz w:val="22"/>
          <w:szCs w:val="22"/>
        </w:rPr>
        <w:t>nit may pay less than or more than the approved program rate except as authorized by 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19.03(2).</w:t>
      </w:r>
    </w:p>
    <w:p w14:paraId="4DFF22D1" w14:textId="4FE78205" w:rsidR="004F1CEE" w:rsidRDefault="004F1CEE">
      <w:pPr>
        <w:suppressAutoHyphens/>
        <w:ind w:left="720"/>
        <w:rPr>
          <w:rFonts w:ascii="Times New Roman" w:hAnsi="Times New Roman"/>
          <w:spacing w:val="-3"/>
          <w:sz w:val="22"/>
          <w:szCs w:val="22"/>
        </w:rPr>
      </w:pPr>
    </w:p>
    <w:p w14:paraId="7F73C856" w14:textId="6F4C2729" w:rsidR="004F1CEE" w:rsidRPr="005265EF" w:rsidRDefault="004F1CEE">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w:t>
      </w:r>
      <w:r w:rsidR="00005C73">
        <w:rPr>
          <w:rFonts w:ascii="Times New Roman" w:hAnsi="Times New Roman"/>
          <w:bCs/>
          <w:sz w:val="22"/>
          <w:szCs w:val="22"/>
        </w:rPr>
        <w:t xml:space="preserve"> </w:t>
      </w:r>
      <w:r w:rsidRPr="00A51696">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26645">
        <w:rPr>
          <w:rFonts w:ascii="Times New Roman" w:hAnsi="Times New Roman"/>
          <w:spacing w:val="-2"/>
          <w:sz w:val="22"/>
          <w:szCs w:val="22"/>
        </w:rPr>
        <w:t>.</w:t>
      </w:r>
      <w:r w:rsidRPr="00A26645">
        <w:rPr>
          <w:rFonts w:ascii="Times New Roman" w:hAnsi="Times New Roman"/>
          <w:spacing w:val="3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26645">
        <w:rPr>
          <w:rFonts w:ascii="Times New Roman" w:hAnsi="Times New Roman"/>
          <w:spacing w:val="-10"/>
          <w:sz w:val="22"/>
          <w:szCs w:val="22"/>
        </w:rPr>
        <w:t xml:space="preserve"> It must be demonstrated</w:t>
      </w:r>
      <w:r w:rsidRPr="00A26645">
        <w:rPr>
          <w:rFonts w:ascii="Times New Roman" w:hAnsi="Times New Roman"/>
          <w:spacing w:val="-11"/>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0"/>
          <w:sz w:val="22"/>
          <w:szCs w:val="22"/>
        </w:rPr>
        <w:t xml:space="preserve"> </w:t>
      </w:r>
      <w:r w:rsidRPr="00A26645">
        <w:rPr>
          <w:rFonts w:ascii="Times New Roman" w:hAnsi="Times New Roman"/>
          <w:spacing w:val="-3"/>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cost</w:t>
      </w:r>
      <w:r w:rsidRPr="00A26645">
        <w:rPr>
          <w:rFonts w:ascii="Times New Roman" w:hAnsi="Times New Roman"/>
          <w:spacing w:val="-10"/>
          <w:sz w:val="22"/>
          <w:szCs w:val="22"/>
        </w:rPr>
        <w:t xml:space="preserve"> </w:t>
      </w:r>
      <w:r w:rsidRPr="00A26645">
        <w:rPr>
          <w:rFonts w:ascii="Times New Roman" w:hAnsi="Times New Roman"/>
          <w:spacing w:val="-2"/>
          <w:sz w:val="22"/>
          <w:szCs w:val="22"/>
        </w:rPr>
        <w:t>increases</w:t>
      </w:r>
      <w:r w:rsidRPr="00A26645">
        <w:rPr>
          <w:rFonts w:ascii="Times New Roman" w:hAnsi="Times New Roman"/>
          <w:spacing w:val="-11"/>
          <w:sz w:val="22"/>
          <w:szCs w:val="22"/>
        </w:rPr>
        <w:t xml:space="preserve"> </w:t>
      </w:r>
      <w:r w:rsidRPr="00A26645">
        <w:rPr>
          <w:rFonts w:ascii="Times New Roman" w:hAnsi="Times New Roman"/>
          <w:spacing w:val="-3"/>
          <w:sz w:val="22"/>
          <w:szCs w:val="22"/>
        </w:rPr>
        <w:t>gravely</w:t>
      </w:r>
      <w:r w:rsidRPr="00A26645">
        <w:rPr>
          <w:rFonts w:ascii="Times New Roman" w:hAnsi="Times New Roman"/>
          <w:spacing w:val="-9"/>
          <w:sz w:val="22"/>
          <w:szCs w:val="22"/>
        </w:rPr>
        <w:t xml:space="preserve"> </w:t>
      </w:r>
      <w:r w:rsidRPr="00A26645">
        <w:rPr>
          <w:rFonts w:ascii="Times New Roman" w:hAnsi="Times New Roman"/>
          <w:spacing w:val="-3"/>
          <w:sz w:val="22"/>
          <w:szCs w:val="22"/>
        </w:rPr>
        <w:t>threaten</w:t>
      </w:r>
      <w:r w:rsidRPr="00A26645">
        <w:rPr>
          <w:rFonts w:ascii="Times New Roman" w:hAnsi="Times New Roman"/>
          <w:spacing w:val="-10"/>
          <w:sz w:val="22"/>
          <w:szCs w:val="22"/>
        </w:rPr>
        <w:t xml:space="preserve"> </w:t>
      </w:r>
      <w:r w:rsidRPr="00A26645">
        <w:rPr>
          <w:rFonts w:ascii="Times New Roman" w:hAnsi="Times New Roman"/>
          <w:spacing w:val="-1"/>
          <w:sz w:val="22"/>
          <w:szCs w:val="22"/>
        </w:rPr>
        <w:t>the</w:t>
      </w:r>
      <w:r w:rsidRPr="00A26645">
        <w:rPr>
          <w:rFonts w:ascii="Times New Roman" w:hAnsi="Times New Roman"/>
          <w:spacing w:val="-10"/>
          <w:sz w:val="22"/>
          <w:szCs w:val="22"/>
        </w:rPr>
        <w:t xml:space="preserve"> </w:t>
      </w:r>
      <w:r w:rsidRPr="00A26645">
        <w:rPr>
          <w:rFonts w:ascii="Times New Roman" w:hAnsi="Times New Roman"/>
          <w:spacing w:val="-3"/>
          <w:sz w:val="22"/>
          <w:szCs w:val="22"/>
        </w:rPr>
        <w:t>stability</w:t>
      </w:r>
      <w:r w:rsidRPr="00A26645">
        <w:rPr>
          <w:rFonts w:ascii="Times New Roman" w:hAnsi="Times New Roman"/>
          <w:spacing w:val="-9"/>
          <w:sz w:val="22"/>
          <w:szCs w:val="22"/>
        </w:rPr>
        <w:t xml:space="preserve"> of </w:t>
      </w:r>
      <w:r w:rsidRPr="00A26645">
        <w:rPr>
          <w:rFonts w:ascii="Times New Roman" w:hAnsi="Times New Roman"/>
          <w:spacing w:val="-3"/>
          <w:sz w:val="22"/>
          <w:szCs w:val="22"/>
        </w:rPr>
        <w:t>service</w:t>
      </w:r>
      <w:r w:rsidRPr="00A26645">
        <w:rPr>
          <w:rFonts w:ascii="Times New Roman" w:hAnsi="Times New Roman"/>
          <w:spacing w:val="-10"/>
          <w:sz w:val="22"/>
          <w:szCs w:val="22"/>
        </w:rPr>
        <w:t xml:space="preserve"> </w:t>
      </w:r>
      <w:r w:rsidRPr="00A26645">
        <w:rPr>
          <w:rFonts w:ascii="Times New Roman" w:hAnsi="Times New Roman"/>
          <w:spacing w:val="-2"/>
          <w:sz w:val="22"/>
          <w:szCs w:val="22"/>
        </w:rPr>
        <w:t>provision</w:t>
      </w:r>
      <w:r w:rsidRPr="00A26645">
        <w:rPr>
          <w:rFonts w:ascii="Times New Roman" w:hAnsi="Times New Roman"/>
          <w:spacing w:val="-10"/>
          <w:sz w:val="22"/>
          <w:szCs w:val="22"/>
        </w:rPr>
        <w:t xml:space="preserve"> </w:t>
      </w:r>
      <w:r w:rsidRPr="00A26645">
        <w:rPr>
          <w:rFonts w:ascii="Times New Roman" w:hAnsi="Times New Roman"/>
          <w:spacing w:val="-2"/>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9"/>
          <w:sz w:val="22"/>
          <w:szCs w:val="22"/>
        </w:rPr>
        <w:t xml:space="preserve"> </w:t>
      </w:r>
      <w:r w:rsidRPr="00A26645">
        <w:rPr>
          <w:rFonts w:ascii="Times New Roman" w:hAnsi="Times New Roman"/>
          <w:spacing w:val="-2"/>
          <w:sz w:val="22"/>
          <w:szCs w:val="22"/>
        </w:rPr>
        <w:t>client</w:t>
      </w:r>
      <w:r w:rsidRPr="00A26645">
        <w:rPr>
          <w:rFonts w:ascii="Times New Roman" w:hAnsi="Times New Roman"/>
          <w:spacing w:val="-10"/>
          <w:sz w:val="22"/>
          <w:szCs w:val="22"/>
        </w:rPr>
        <w:t xml:space="preserve"> </w:t>
      </w:r>
      <w:r w:rsidRPr="00A26645">
        <w:rPr>
          <w:rFonts w:ascii="Times New Roman" w:hAnsi="Times New Roman"/>
          <w:spacing w:val="-1"/>
          <w:sz w:val="22"/>
          <w:szCs w:val="22"/>
        </w:rPr>
        <w:t>or</w:t>
      </w:r>
      <w:r w:rsidRPr="00A26645">
        <w:rPr>
          <w:rFonts w:ascii="Times New Roman" w:hAnsi="Times New Roman"/>
          <w:spacing w:val="-9"/>
          <w:sz w:val="22"/>
          <w:szCs w:val="22"/>
        </w:rPr>
        <w:t xml:space="preserve"> </w:t>
      </w:r>
      <w:r w:rsidRPr="00A26645">
        <w:rPr>
          <w:rFonts w:ascii="Times New Roman" w:hAnsi="Times New Roman"/>
          <w:spacing w:val="-2"/>
          <w:sz w:val="22"/>
          <w:szCs w:val="22"/>
        </w:rPr>
        <w:t>consumer</w:t>
      </w:r>
      <w:r w:rsidRPr="00A26645">
        <w:rPr>
          <w:rFonts w:ascii="Times New Roman" w:hAnsi="Times New Roman"/>
          <w:spacing w:val="-11"/>
          <w:sz w:val="22"/>
          <w:szCs w:val="22"/>
        </w:rPr>
        <w:t xml:space="preserve"> </w:t>
      </w:r>
      <w:r w:rsidRPr="00A26645">
        <w:rPr>
          <w:rFonts w:ascii="Times New Roman" w:hAnsi="Times New Roman"/>
          <w:spacing w:val="-2"/>
          <w:sz w:val="22"/>
          <w:szCs w:val="22"/>
        </w:rPr>
        <w:t>access</w:t>
      </w:r>
      <w:r w:rsidRPr="00A26645">
        <w:rPr>
          <w:rFonts w:ascii="Times New Roman" w:hAnsi="Times New Roman"/>
          <w:spacing w:val="-9"/>
          <w:sz w:val="22"/>
          <w:szCs w:val="22"/>
        </w:rPr>
        <w:t xml:space="preserve"> </w:t>
      </w:r>
      <w:r w:rsidRPr="00A26645">
        <w:rPr>
          <w:rFonts w:ascii="Times New Roman" w:hAnsi="Times New Roman"/>
          <w:spacing w:val="-1"/>
          <w:sz w:val="22"/>
          <w:szCs w:val="22"/>
        </w:rPr>
        <w:t>to</w:t>
      </w:r>
      <w:r w:rsidRPr="00A26645">
        <w:rPr>
          <w:rFonts w:ascii="Times New Roman" w:hAnsi="Times New Roman"/>
          <w:spacing w:val="-9"/>
          <w:sz w:val="22"/>
          <w:szCs w:val="22"/>
        </w:rPr>
        <w:t xml:space="preserve"> </w:t>
      </w:r>
      <w:r w:rsidRPr="00A26645">
        <w:rPr>
          <w:rFonts w:ascii="Times New Roman" w:hAnsi="Times New Roman"/>
          <w:spacing w:val="-2"/>
          <w:sz w:val="22"/>
          <w:szCs w:val="22"/>
        </w:rPr>
        <w:t>necessary</w:t>
      </w:r>
      <w:r w:rsidRPr="00A26645">
        <w:rPr>
          <w:rFonts w:ascii="Times New Roman" w:hAnsi="Times New Roman"/>
          <w:spacing w:val="-9"/>
          <w:sz w:val="22"/>
          <w:szCs w:val="22"/>
        </w:rPr>
        <w:t xml:space="preserve"> </w:t>
      </w:r>
      <w:r w:rsidRPr="00A26645">
        <w:rPr>
          <w:rFonts w:ascii="Times New Roman" w:hAnsi="Times New Roman"/>
          <w:spacing w:val="-2"/>
          <w:sz w:val="22"/>
          <w:szCs w:val="22"/>
        </w:rPr>
        <w:t>services</w:t>
      </w:r>
      <w:r w:rsidRPr="00A26645">
        <w:rPr>
          <w:rFonts w:ascii="Times New Roman" w:hAnsi="Times New Roman"/>
          <w:spacing w:val="-9"/>
          <w:sz w:val="22"/>
          <w:szCs w:val="22"/>
        </w:rPr>
        <w:t xml:space="preserve"> </w:t>
      </w:r>
      <w:r w:rsidRPr="00A26645">
        <w:rPr>
          <w:rFonts w:ascii="Times New Roman" w:hAnsi="Times New Roman"/>
          <w:spacing w:val="-1"/>
          <w:sz w:val="22"/>
          <w:szCs w:val="22"/>
        </w:rPr>
        <w:t>is</w:t>
      </w:r>
      <w:r w:rsidRPr="00A26645">
        <w:rPr>
          <w:rFonts w:ascii="Times New Roman" w:hAnsi="Times New Roman"/>
          <w:spacing w:val="-10"/>
          <w:sz w:val="22"/>
          <w:szCs w:val="22"/>
        </w:rPr>
        <w:t xml:space="preserve"> </w:t>
      </w:r>
      <w:r w:rsidRPr="00A26645">
        <w:rPr>
          <w:rFonts w:ascii="Times New Roman" w:hAnsi="Times New Roman"/>
          <w:spacing w:val="-1"/>
          <w:sz w:val="22"/>
          <w:szCs w:val="22"/>
        </w:rPr>
        <w:t>at</w:t>
      </w:r>
      <w:r w:rsidRPr="00A26645">
        <w:rPr>
          <w:rFonts w:ascii="Times New Roman" w:hAnsi="Times New Roman"/>
          <w:spacing w:val="-9"/>
          <w:sz w:val="22"/>
          <w:szCs w:val="22"/>
        </w:rPr>
        <w:t xml:space="preserve"> </w:t>
      </w:r>
      <w:r w:rsidRPr="00A26645">
        <w:rPr>
          <w:rFonts w:ascii="Times New Roman" w:hAnsi="Times New Roman"/>
          <w:spacing w:val="-2"/>
          <w:sz w:val="22"/>
          <w:szCs w:val="22"/>
        </w:rPr>
        <w:t>risk.</w:t>
      </w:r>
      <w:r w:rsidRPr="00A26645">
        <w:rPr>
          <w:rFonts w:ascii="Times New Roman" w:hAnsi="Times New Roman"/>
          <w:spacing w:val="-3"/>
          <w:sz w:val="22"/>
          <w:szCs w:val="22"/>
        </w:rPr>
        <w:t xml:space="preserve"> </w:t>
      </w:r>
      <w:r w:rsidRPr="00A26645">
        <w:rPr>
          <w:rFonts w:ascii="Times New Roman" w:hAnsi="Times New Roman"/>
          <w:spacing w:val="-2"/>
          <w:sz w:val="22"/>
          <w:szCs w:val="22"/>
        </w:rPr>
        <w:t>The</w:t>
      </w:r>
      <w:r w:rsidRPr="00A26645">
        <w:rPr>
          <w:rFonts w:ascii="Times New Roman" w:hAnsi="Times New Roman"/>
          <w:spacing w:val="34"/>
          <w:sz w:val="22"/>
          <w:szCs w:val="22"/>
        </w:rPr>
        <w:t xml:space="preserve"> </w:t>
      </w:r>
      <w:r w:rsidRPr="00A26645">
        <w:rPr>
          <w:rFonts w:ascii="Times New Roman" w:hAnsi="Times New Roman"/>
          <w:spacing w:val="-3"/>
          <w:sz w:val="22"/>
          <w:szCs w:val="22"/>
        </w:rPr>
        <w:t>purchasing</w:t>
      </w:r>
      <w:r w:rsidRPr="00A26645">
        <w:rPr>
          <w:rFonts w:ascii="Times New Roman" w:hAnsi="Times New Roman"/>
          <w:spacing w:val="-12"/>
          <w:sz w:val="22"/>
          <w:szCs w:val="22"/>
        </w:rPr>
        <w:t xml:space="preserve"> </w:t>
      </w:r>
      <w:r w:rsidRPr="00A26645">
        <w:rPr>
          <w:rFonts w:ascii="Times New Roman" w:hAnsi="Times New Roman"/>
          <w:spacing w:val="-3"/>
          <w:sz w:val="22"/>
          <w:szCs w:val="22"/>
        </w:rPr>
        <w:t>governmental</w:t>
      </w:r>
      <w:r w:rsidRPr="00A26645">
        <w:rPr>
          <w:rFonts w:ascii="Times New Roman" w:hAnsi="Times New Roman"/>
          <w:spacing w:val="-11"/>
          <w:sz w:val="22"/>
          <w:szCs w:val="22"/>
        </w:rPr>
        <w:t xml:space="preserve"> </w:t>
      </w:r>
      <w:r w:rsidRPr="00A26645">
        <w:rPr>
          <w:rFonts w:ascii="Times New Roman" w:hAnsi="Times New Roman"/>
          <w:spacing w:val="-3"/>
          <w:sz w:val="22"/>
          <w:szCs w:val="22"/>
        </w:rPr>
        <w:t>unit</w:t>
      </w:r>
      <w:r w:rsidRPr="00A26645">
        <w:rPr>
          <w:rFonts w:ascii="Times New Roman" w:hAnsi="Times New Roman"/>
          <w:spacing w:val="-10"/>
          <w:sz w:val="22"/>
          <w:szCs w:val="22"/>
        </w:rPr>
        <w:t xml:space="preserve"> </w:t>
      </w:r>
      <w:r w:rsidRPr="00A26645">
        <w:rPr>
          <w:rFonts w:ascii="Times New Roman" w:hAnsi="Times New Roman"/>
          <w:spacing w:val="-2"/>
          <w:sz w:val="22"/>
          <w:szCs w:val="22"/>
        </w:rPr>
        <w:t>will</w:t>
      </w:r>
      <w:r w:rsidRPr="00A26645">
        <w:rPr>
          <w:rFonts w:ascii="Times New Roman" w:hAnsi="Times New Roman"/>
          <w:spacing w:val="-11"/>
          <w:sz w:val="22"/>
          <w:szCs w:val="22"/>
        </w:rPr>
        <w:t xml:space="preserve"> </w:t>
      </w:r>
      <w:r w:rsidRPr="00A26645">
        <w:rPr>
          <w:rFonts w:ascii="Times New Roman" w:hAnsi="Times New Roman"/>
          <w:spacing w:val="-2"/>
          <w:sz w:val="22"/>
          <w:szCs w:val="22"/>
        </w:rPr>
        <w:t>evaluate</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2"/>
          <w:sz w:val="22"/>
          <w:szCs w:val="22"/>
        </w:rPr>
        <w:t xml:space="preserve"> </w:t>
      </w:r>
      <w:r w:rsidRPr="00A26645">
        <w:rPr>
          <w:rFonts w:ascii="Times New Roman" w:hAnsi="Times New Roman"/>
          <w:spacing w:val="-2"/>
          <w:sz w:val="22"/>
          <w:szCs w:val="22"/>
        </w:rPr>
        <w:t>need</w:t>
      </w:r>
      <w:r w:rsidRPr="00A26645">
        <w:rPr>
          <w:rFonts w:ascii="Times New Roman" w:hAnsi="Times New Roman"/>
          <w:spacing w:val="-10"/>
          <w:sz w:val="22"/>
          <w:szCs w:val="22"/>
        </w:rPr>
        <w:t xml:space="preserve"> </w:t>
      </w:r>
      <w:r w:rsidRPr="00A26645">
        <w:rPr>
          <w:rFonts w:ascii="Times New Roman" w:hAnsi="Times New Roman"/>
          <w:spacing w:val="-2"/>
          <w:sz w:val="22"/>
          <w:szCs w:val="22"/>
        </w:rPr>
        <w:t>for</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administrative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adjustment, determine whether</w:t>
      </w:r>
      <w:r w:rsidRPr="00A26645">
        <w:rPr>
          <w:rFonts w:ascii="Times New Roman" w:hAnsi="Times New Roman"/>
          <w:spacing w:val="-10"/>
          <w:sz w:val="22"/>
          <w:szCs w:val="22"/>
        </w:rPr>
        <w:t xml:space="preserve"> </w:t>
      </w:r>
      <w:r w:rsidRPr="00A26645">
        <w:rPr>
          <w:rFonts w:ascii="Times New Roman" w:hAnsi="Times New Roman"/>
          <w:spacing w:val="-3"/>
          <w:sz w:val="22"/>
          <w:szCs w:val="22"/>
        </w:rPr>
        <w:t>funding</w:t>
      </w:r>
      <w:r w:rsidRPr="00A26645">
        <w:rPr>
          <w:rFonts w:ascii="Times New Roman" w:hAnsi="Times New Roman"/>
          <w:spacing w:val="-10"/>
          <w:sz w:val="22"/>
          <w:szCs w:val="22"/>
        </w:rPr>
        <w:t xml:space="preserve"> </w:t>
      </w:r>
      <w:r w:rsidRPr="00A26645">
        <w:rPr>
          <w:rFonts w:ascii="Times New Roman" w:hAnsi="Times New Roman"/>
          <w:spacing w:val="-2"/>
          <w:sz w:val="22"/>
          <w:szCs w:val="22"/>
        </w:rPr>
        <w:t>is</w:t>
      </w:r>
      <w:r w:rsidRPr="00A26645">
        <w:rPr>
          <w:rFonts w:ascii="Times New Roman" w:hAnsi="Times New Roman"/>
          <w:spacing w:val="-10"/>
          <w:sz w:val="22"/>
          <w:szCs w:val="22"/>
        </w:rPr>
        <w:t xml:space="preserve"> </w:t>
      </w:r>
      <w:r w:rsidRPr="00A26645">
        <w:rPr>
          <w:rFonts w:ascii="Times New Roman" w:hAnsi="Times New Roman"/>
          <w:spacing w:val="-3"/>
          <w:sz w:val="22"/>
          <w:szCs w:val="22"/>
        </w:rPr>
        <w:t>available,</w:t>
      </w:r>
      <w:r w:rsidRPr="00A26645">
        <w:rPr>
          <w:rFonts w:ascii="Times New Roman" w:hAnsi="Times New Roman"/>
          <w:spacing w:val="-10"/>
          <w:sz w:val="22"/>
          <w:szCs w:val="22"/>
        </w:rPr>
        <w:t xml:space="preserve"> </w:t>
      </w:r>
      <w:r w:rsidRPr="00A26645">
        <w:rPr>
          <w:rFonts w:ascii="Times New Roman" w:hAnsi="Times New Roman"/>
          <w:spacing w:val="-2"/>
          <w:sz w:val="22"/>
          <w:szCs w:val="22"/>
        </w:rPr>
        <w:t>and</w:t>
      </w:r>
      <w:r w:rsidRPr="00A26645">
        <w:rPr>
          <w:rFonts w:ascii="Times New Roman" w:hAnsi="Times New Roman"/>
          <w:spacing w:val="-11"/>
          <w:sz w:val="22"/>
          <w:szCs w:val="22"/>
        </w:rPr>
        <w:t xml:space="preserve"> </w:t>
      </w:r>
      <w:r w:rsidRPr="00A26645">
        <w:rPr>
          <w:rFonts w:ascii="Times New Roman" w:hAnsi="Times New Roman"/>
          <w:spacing w:val="-2"/>
          <w:sz w:val="22"/>
          <w:szCs w:val="22"/>
        </w:rPr>
        <w:t>convey</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1"/>
          <w:sz w:val="22"/>
          <w:szCs w:val="22"/>
        </w:rPr>
        <w:t xml:space="preserve"> </w:t>
      </w:r>
      <w:r w:rsidRPr="00A26645">
        <w:rPr>
          <w:rFonts w:ascii="Times New Roman" w:hAnsi="Times New Roman"/>
          <w:spacing w:val="-2"/>
          <w:sz w:val="22"/>
          <w:szCs w:val="22"/>
        </w:rPr>
        <w:t>information</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EOHHS</w:t>
      </w:r>
      <w:r w:rsidRPr="00A26645">
        <w:rPr>
          <w:rFonts w:ascii="Times New Roman" w:hAnsi="Times New Roman"/>
          <w:spacing w:val="-10"/>
          <w:sz w:val="22"/>
          <w:szCs w:val="22"/>
        </w:rPr>
        <w:t xml:space="preserve"> for </w:t>
      </w:r>
      <w:r w:rsidRPr="00A26645">
        <w:rPr>
          <w:rFonts w:ascii="Times New Roman" w:hAnsi="Times New Roman"/>
          <w:spacing w:val="-2"/>
          <w:sz w:val="22"/>
          <w:szCs w:val="22"/>
        </w:rPr>
        <w:t>review</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determine</w:t>
      </w:r>
      <w:r w:rsidRPr="00A26645">
        <w:rPr>
          <w:rFonts w:ascii="Times New Roman" w:hAnsi="Times New Roman"/>
          <w:spacing w:val="-10"/>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2"/>
          <w:sz w:val="22"/>
          <w:szCs w:val="22"/>
        </w:rPr>
        <w:t>amount</w:t>
      </w:r>
      <w:r w:rsidRPr="00A26645">
        <w:rPr>
          <w:rFonts w:ascii="Times New Roman" w:hAnsi="Times New Roman"/>
          <w:spacing w:val="-11"/>
          <w:sz w:val="22"/>
          <w:szCs w:val="22"/>
        </w:rPr>
        <w:t xml:space="preserve"> </w:t>
      </w:r>
      <w:r w:rsidRPr="00A26645">
        <w:rPr>
          <w:rFonts w:ascii="Times New Roman" w:hAnsi="Times New Roman"/>
          <w:spacing w:val="-1"/>
          <w:sz w:val="22"/>
          <w:szCs w:val="22"/>
        </w:rPr>
        <w:t>of</w:t>
      </w:r>
      <w:r w:rsidRPr="00A26645">
        <w:rPr>
          <w:rFonts w:ascii="Times New Roman" w:hAnsi="Times New Roman"/>
          <w:spacing w:val="-8"/>
          <w:sz w:val="22"/>
          <w:szCs w:val="22"/>
        </w:rPr>
        <w:t xml:space="preserve"> </w:t>
      </w:r>
      <w:r w:rsidRPr="00A26645">
        <w:rPr>
          <w:rFonts w:ascii="Times New Roman" w:hAnsi="Times New Roman"/>
          <w:spacing w:val="-2"/>
          <w:sz w:val="22"/>
          <w:szCs w:val="22"/>
        </w:rPr>
        <w:t>any</w:t>
      </w:r>
      <w:r w:rsidRPr="00A26645">
        <w:rPr>
          <w:rFonts w:ascii="Times New Roman" w:hAnsi="Times New Roman"/>
          <w:spacing w:val="-9"/>
          <w:sz w:val="22"/>
          <w:szCs w:val="22"/>
        </w:rPr>
        <w:t xml:space="preserve"> </w:t>
      </w:r>
      <w:r w:rsidRPr="00A26645">
        <w:rPr>
          <w:rFonts w:ascii="Times New Roman" w:hAnsi="Times New Roman"/>
          <w:spacing w:val="-2"/>
          <w:sz w:val="22"/>
          <w:szCs w:val="22"/>
        </w:rPr>
        <w:t>adjustment</w:t>
      </w:r>
      <w:r w:rsidR="00821581">
        <w:rPr>
          <w:rFonts w:ascii="Times New Roman" w:hAnsi="Times New Roman"/>
          <w:spacing w:val="-2"/>
          <w:sz w:val="22"/>
          <w:szCs w:val="22"/>
        </w:rPr>
        <w:t>.</w:t>
      </w:r>
    </w:p>
    <w:p w14:paraId="681A1777"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 xml:space="preserve"> </w:t>
      </w:r>
    </w:p>
    <w:p w14:paraId="4C031AEE" w14:textId="0CE40A03" w:rsidR="00270557" w:rsidRDefault="00270557">
      <w:pPr>
        <w:suppressAutoHyphens/>
        <w:ind w:left="720"/>
        <w:rPr>
          <w:rFonts w:ascii="Times New Roman" w:hAnsi="Times New Roman"/>
          <w:sz w:val="22"/>
          <w:szCs w:val="22"/>
        </w:rPr>
      </w:pPr>
      <w:r w:rsidRPr="005265EF">
        <w:rPr>
          <w:rFonts w:ascii="Times New Roman" w:hAnsi="Times New Roman"/>
          <w:sz w:val="22"/>
          <w:szCs w:val="22"/>
        </w:rPr>
        <w:t>(</w:t>
      </w:r>
      <w:r w:rsidR="004F1CEE">
        <w:rPr>
          <w:rFonts w:ascii="Times New Roman" w:hAnsi="Times New Roman"/>
          <w:sz w:val="22"/>
          <w:szCs w:val="22"/>
        </w:rPr>
        <w:t>5</w:t>
      </w:r>
      <w:r w:rsidRPr="005265EF">
        <w:rPr>
          <w:rFonts w:ascii="Times New Roman" w:hAnsi="Times New Roman"/>
          <w:sz w:val="22"/>
          <w:szCs w:val="22"/>
        </w:rPr>
        <w:t>)</w:t>
      </w:r>
      <w:r w:rsidR="003931A8">
        <w:rPr>
          <w:rFonts w:ascii="Times New Roman" w:hAnsi="Times New Roman"/>
          <w:sz w:val="22"/>
          <w:szCs w:val="22"/>
        </w:rPr>
        <w:t xml:space="preserve"> </w:t>
      </w:r>
      <w:r w:rsidRPr="005265EF">
        <w:rPr>
          <w:rFonts w:ascii="Times New Roman" w:hAnsi="Times New Roman"/>
          <w:sz w:val="22"/>
          <w:szCs w:val="22"/>
        </w:rPr>
        <w:t xml:space="preserve"> </w:t>
      </w:r>
      <w:r w:rsidRPr="005265EF">
        <w:rPr>
          <w:rFonts w:ascii="Times New Roman" w:hAnsi="Times New Roman"/>
          <w:sz w:val="22"/>
          <w:szCs w:val="22"/>
          <w:u w:val="single"/>
        </w:rPr>
        <w:t>Approved Rates</w:t>
      </w:r>
      <w:r w:rsidRPr="005265EF">
        <w:rPr>
          <w:rFonts w:ascii="Times New Roman" w:hAnsi="Times New Roman"/>
          <w:sz w:val="22"/>
          <w:szCs w:val="22"/>
        </w:rPr>
        <w:t>.</w:t>
      </w:r>
      <w:r w:rsidR="003931A8">
        <w:rPr>
          <w:rFonts w:ascii="Times New Roman" w:hAnsi="Times New Roman"/>
          <w:sz w:val="22"/>
          <w:szCs w:val="22"/>
        </w:rPr>
        <w:t xml:space="preserve"> </w:t>
      </w:r>
      <w:r w:rsidRPr="005265EF">
        <w:rPr>
          <w:rFonts w:ascii="Times New Roman" w:hAnsi="Times New Roman"/>
          <w:sz w:val="22"/>
          <w:szCs w:val="22"/>
        </w:rPr>
        <w:t xml:space="preserve"> The approved rate </w:t>
      </w:r>
      <w:r w:rsidR="003176A5">
        <w:rPr>
          <w:rFonts w:ascii="Times New Roman" w:hAnsi="Times New Roman"/>
          <w:sz w:val="22"/>
          <w:szCs w:val="22"/>
        </w:rPr>
        <w:t>is</w:t>
      </w:r>
      <w:r w:rsidRPr="005265EF">
        <w:rPr>
          <w:rFonts w:ascii="Times New Roman" w:hAnsi="Times New Roman"/>
          <w:sz w:val="22"/>
          <w:szCs w:val="22"/>
        </w:rPr>
        <w:t xml:space="preserve"> the lower of the </w:t>
      </w:r>
      <w:r w:rsidR="003176A5">
        <w:rPr>
          <w:rFonts w:ascii="Times New Roman" w:hAnsi="Times New Roman"/>
          <w:sz w:val="22"/>
          <w:szCs w:val="22"/>
        </w:rPr>
        <w:t>p</w:t>
      </w:r>
      <w:r w:rsidRPr="005265EF">
        <w:rPr>
          <w:rFonts w:ascii="Times New Roman" w:hAnsi="Times New Roman"/>
          <w:sz w:val="22"/>
          <w:szCs w:val="22"/>
        </w:rPr>
        <w:t>rovider’s charge or amount accepted as payment from another payer or the rate listed</w:t>
      </w:r>
      <w:r w:rsidR="00226F2D">
        <w:rPr>
          <w:rFonts w:ascii="Times New Roman" w:hAnsi="Times New Roman"/>
          <w:sz w:val="22"/>
          <w:szCs w:val="22"/>
        </w:rPr>
        <w:t xml:space="preserve"> </w:t>
      </w:r>
      <w:r w:rsidR="003A54A6">
        <w:rPr>
          <w:rFonts w:ascii="Times New Roman" w:hAnsi="Times New Roman"/>
          <w:sz w:val="22"/>
          <w:szCs w:val="22"/>
        </w:rPr>
        <w:t>in 101 CMR 419.03(</w:t>
      </w:r>
      <w:r w:rsidR="004F1CEE">
        <w:rPr>
          <w:rFonts w:ascii="Times New Roman" w:hAnsi="Times New Roman"/>
          <w:sz w:val="22"/>
          <w:szCs w:val="22"/>
        </w:rPr>
        <w:t>5</w:t>
      </w:r>
      <w:r w:rsidR="003A54A6">
        <w:rPr>
          <w:rFonts w:ascii="Times New Roman" w:hAnsi="Times New Roman"/>
          <w:sz w:val="22"/>
          <w:szCs w:val="22"/>
        </w:rPr>
        <w:t>)</w:t>
      </w:r>
      <w:r w:rsidRPr="005265EF">
        <w:rPr>
          <w:rFonts w:ascii="Times New Roman" w:hAnsi="Times New Roman"/>
          <w:sz w:val="22"/>
          <w:szCs w:val="22"/>
        </w:rPr>
        <w:t xml:space="preserve">. Providers must bill for services </w:t>
      </w:r>
      <w:r w:rsidR="000D567B">
        <w:rPr>
          <w:rFonts w:ascii="Times New Roman" w:hAnsi="Times New Roman"/>
          <w:sz w:val="22"/>
          <w:szCs w:val="22"/>
        </w:rPr>
        <w:t>in</w:t>
      </w:r>
      <w:r w:rsidR="000D567B" w:rsidRPr="005265EF">
        <w:rPr>
          <w:rFonts w:ascii="Times New Roman" w:hAnsi="Times New Roman"/>
          <w:sz w:val="22"/>
          <w:szCs w:val="22"/>
        </w:rPr>
        <w:t xml:space="preserve"> </w:t>
      </w:r>
      <w:r w:rsidRPr="005265EF">
        <w:rPr>
          <w:rFonts w:ascii="Times New Roman" w:hAnsi="Times New Roman"/>
          <w:sz w:val="22"/>
          <w:szCs w:val="22"/>
        </w:rPr>
        <w:t>15</w:t>
      </w:r>
      <w:r w:rsidR="006A3404">
        <w:rPr>
          <w:rFonts w:ascii="Times New Roman" w:hAnsi="Times New Roman"/>
          <w:sz w:val="22"/>
          <w:szCs w:val="22"/>
        </w:rPr>
        <w:t>-</w:t>
      </w:r>
      <w:r w:rsidRPr="005265EF">
        <w:rPr>
          <w:rFonts w:ascii="Times New Roman" w:hAnsi="Times New Roman"/>
          <w:sz w:val="22"/>
          <w:szCs w:val="22"/>
        </w:rPr>
        <w:t>minute unit</w:t>
      </w:r>
      <w:r w:rsidR="006A3404">
        <w:rPr>
          <w:rFonts w:ascii="Times New Roman" w:hAnsi="Times New Roman"/>
          <w:sz w:val="22"/>
          <w:szCs w:val="22"/>
        </w:rPr>
        <w:t>s</w:t>
      </w:r>
      <w:r w:rsidRPr="005265EF">
        <w:rPr>
          <w:rFonts w:ascii="Times New Roman" w:hAnsi="Times New Roman"/>
          <w:sz w:val="22"/>
          <w:szCs w:val="22"/>
        </w:rPr>
        <w:t xml:space="preserve">.  </w:t>
      </w:r>
    </w:p>
    <w:p w14:paraId="2E2CE91D" w14:textId="48B22852" w:rsidR="00146B4A" w:rsidRDefault="00146B4A" w:rsidP="00146B4A">
      <w:pPr>
        <w:suppressAutoHyphens/>
        <w:ind w:left="1080"/>
        <w:rPr>
          <w:rFonts w:ascii="Times New Roman" w:hAnsi="Times New Roman"/>
          <w:spacing w:val="-3"/>
          <w:sz w:val="22"/>
          <w:szCs w:val="22"/>
        </w:rPr>
      </w:pPr>
    </w:p>
    <w:tbl>
      <w:tblPr>
        <w:tblW w:w="89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8"/>
        <w:gridCol w:w="3086"/>
      </w:tblGrid>
      <w:tr w:rsidR="00146B4A" w:rsidRPr="005265EF" w14:paraId="50E486C1" w14:textId="77777777" w:rsidTr="004634B2">
        <w:trPr>
          <w:trHeight w:val="300"/>
        </w:trPr>
        <w:tc>
          <w:tcPr>
            <w:tcW w:w="5888" w:type="dxa"/>
            <w:noWrap/>
            <w:vAlign w:val="center"/>
          </w:tcPr>
          <w:p w14:paraId="3D02FB93" w14:textId="77777777" w:rsidR="00146B4A" w:rsidRPr="005265EF" w:rsidRDefault="00146B4A" w:rsidP="004634B2">
            <w:pPr>
              <w:ind w:left="70"/>
              <w:rPr>
                <w:rFonts w:ascii="Times New Roman" w:hAnsi="Times New Roman"/>
                <w:b/>
                <w:bCs/>
                <w:color w:val="000000"/>
                <w:szCs w:val="22"/>
              </w:rPr>
            </w:pPr>
            <w:r w:rsidRPr="005265EF">
              <w:rPr>
                <w:rFonts w:ascii="Times New Roman" w:hAnsi="Times New Roman"/>
                <w:b/>
                <w:bCs/>
                <w:color w:val="000000"/>
                <w:sz w:val="22"/>
                <w:szCs w:val="22"/>
              </w:rPr>
              <w:t>Base Service</w:t>
            </w:r>
          </w:p>
        </w:tc>
        <w:tc>
          <w:tcPr>
            <w:tcW w:w="3086" w:type="dxa"/>
            <w:noWrap/>
            <w:vAlign w:val="center"/>
          </w:tcPr>
          <w:p w14:paraId="03AE4D9F" w14:textId="13A1E27F" w:rsidR="00146B4A" w:rsidRPr="005265EF" w:rsidRDefault="00146B4A" w:rsidP="00C022EF">
            <w:pPr>
              <w:tabs>
                <w:tab w:val="left" w:pos="2798"/>
                <w:tab w:val="left" w:pos="3038"/>
              </w:tabs>
              <w:ind w:left="246" w:right="72"/>
              <w:jc w:val="center"/>
              <w:rPr>
                <w:rFonts w:ascii="Times New Roman" w:hAnsi="Times New Roman"/>
                <w:b/>
                <w:bCs/>
                <w:color w:val="000000"/>
                <w:szCs w:val="22"/>
              </w:rPr>
            </w:pPr>
            <w:r w:rsidRPr="005265EF">
              <w:rPr>
                <w:rFonts w:ascii="Times New Roman" w:hAnsi="Times New Roman"/>
                <w:b/>
                <w:bCs/>
                <w:color w:val="000000"/>
                <w:sz w:val="22"/>
                <w:szCs w:val="22"/>
              </w:rPr>
              <w:t>Rate (</w:t>
            </w:r>
            <w:r w:rsidRPr="005265EF">
              <w:rPr>
                <w:rFonts w:ascii="Times New Roman" w:hAnsi="Times New Roman"/>
                <w:b/>
                <w:bCs/>
                <w:color w:val="000000"/>
                <w:sz w:val="22"/>
                <w:szCs w:val="18"/>
              </w:rPr>
              <w:t>15 min</w:t>
            </w:r>
            <w:r>
              <w:rPr>
                <w:rFonts w:ascii="Times New Roman" w:hAnsi="Times New Roman"/>
                <w:b/>
                <w:bCs/>
                <w:color w:val="000000"/>
                <w:sz w:val="22"/>
                <w:szCs w:val="18"/>
              </w:rPr>
              <w:t>s</w:t>
            </w:r>
            <w:r w:rsidRPr="005265EF">
              <w:rPr>
                <w:rFonts w:ascii="Times New Roman" w:hAnsi="Times New Roman"/>
                <w:b/>
                <w:bCs/>
                <w:color w:val="000000"/>
                <w:sz w:val="22"/>
                <w:szCs w:val="18"/>
              </w:rPr>
              <w:t>)</w:t>
            </w:r>
            <w:r w:rsidR="000D567B">
              <w:rPr>
                <w:rFonts w:ascii="Times New Roman" w:hAnsi="Times New Roman"/>
                <w:b/>
                <w:bCs/>
                <w:color w:val="000000"/>
                <w:sz w:val="22"/>
                <w:szCs w:val="18"/>
              </w:rPr>
              <w:t xml:space="preserve"> </w:t>
            </w:r>
            <w:r>
              <w:rPr>
                <w:rFonts w:ascii="Times New Roman" w:hAnsi="Times New Roman"/>
                <w:b/>
                <w:bCs/>
                <w:color w:val="000000"/>
                <w:sz w:val="22"/>
                <w:szCs w:val="18"/>
              </w:rPr>
              <w:t>p</w:t>
            </w:r>
            <w:r w:rsidRPr="005265EF">
              <w:rPr>
                <w:rFonts w:ascii="Times New Roman" w:hAnsi="Times New Roman"/>
                <w:b/>
                <w:bCs/>
                <w:color w:val="000000"/>
                <w:sz w:val="22"/>
                <w:szCs w:val="18"/>
              </w:rPr>
              <w:t>er Client</w:t>
            </w:r>
          </w:p>
        </w:tc>
      </w:tr>
      <w:tr w:rsidR="00146B4A" w:rsidRPr="005265EF" w14:paraId="4A136BA4" w14:textId="77777777" w:rsidTr="004634B2">
        <w:trPr>
          <w:trHeight w:val="302"/>
        </w:trPr>
        <w:tc>
          <w:tcPr>
            <w:tcW w:w="5888" w:type="dxa"/>
            <w:vAlign w:val="center"/>
          </w:tcPr>
          <w:p w14:paraId="645B4241" w14:textId="52D8B5E6" w:rsidR="00146B4A" w:rsidRPr="005265EF" w:rsidRDefault="00146B4A" w:rsidP="00E0549F">
            <w:pPr>
              <w:ind w:left="72"/>
              <w:rPr>
                <w:rFonts w:ascii="Times New Roman" w:hAnsi="Times New Roman"/>
                <w:color w:val="000000"/>
                <w:szCs w:val="22"/>
              </w:rPr>
            </w:pPr>
            <w:r w:rsidRPr="005265EF">
              <w:rPr>
                <w:rFonts w:ascii="Times New Roman" w:hAnsi="Times New Roman"/>
                <w:color w:val="000000"/>
                <w:sz w:val="22"/>
                <w:szCs w:val="22"/>
              </w:rPr>
              <w:t xml:space="preserve">Individual Supported Employment </w:t>
            </w:r>
            <w:r w:rsidR="00CC2FFA">
              <w:rPr>
                <w:rFonts w:ascii="Times New Roman" w:hAnsi="Times New Roman"/>
                <w:color w:val="000000"/>
                <w:sz w:val="22"/>
                <w:szCs w:val="22"/>
              </w:rPr>
              <w:t>(</w:t>
            </w:r>
            <w:r>
              <w:rPr>
                <w:rFonts w:ascii="Times New Roman" w:hAnsi="Times New Roman"/>
                <w:color w:val="000000"/>
                <w:sz w:val="22"/>
                <w:szCs w:val="22"/>
              </w:rPr>
              <w:t>$</w:t>
            </w:r>
            <w:r w:rsidR="00A938F7">
              <w:rPr>
                <w:rFonts w:ascii="Times New Roman" w:hAnsi="Times New Roman"/>
                <w:color w:val="000000"/>
                <w:sz w:val="22"/>
                <w:szCs w:val="22"/>
              </w:rPr>
              <w:t>80.24</w:t>
            </w:r>
            <w:r w:rsidRPr="005265EF">
              <w:rPr>
                <w:rFonts w:ascii="Times New Roman" w:hAnsi="Times New Roman"/>
                <w:color w:val="000000"/>
                <w:sz w:val="22"/>
                <w:szCs w:val="22"/>
              </w:rPr>
              <w:t xml:space="preserve"> hourly)</w:t>
            </w:r>
          </w:p>
        </w:tc>
        <w:tc>
          <w:tcPr>
            <w:tcW w:w="3086" w:type="dxa"/>
            <w:noWrap/>
            <w:vAlign w:val="center"/>
          </w:tcPr>
          <w:p w14:paraId="504A3656" w14:textId="17B1AC00" w:rsidR="00043F98" w:rsidRDefault="00146B4A" w:rsidP="00E0549F">
            <w:pPr>
              <w:tabs>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9D2E13">
              <w:rPr>
                <w:rFonts w:ascii="Times New Roman" w:hAnsi="Times New Roman"/>
                <w:color w:val="000000"/>
                <w:sz w:val="22"/>
                <w:szCs w:val="22"/>
              </w:rPr>
              <w:t>20.06</w:t>
            </w:r>
          </w:p>
        </w:tc>
      </w:tr>
      <w:tr w:rsidR="00043F98" w:rsidRPr="005265EF" w14:paraId="1AAA8024" w14:textId="77777777" w:rsidTr="004634B2">
        <w:trPr>
          <w:trHeight w:val="302"/>
        </w:trPr>
        <w:tc>
          <w:tcPr>
            <w:tcW w:w="5888" w:type="dxa"/>
            <w:vAlign w:val="center"/>
          </w:tcPr>
          <w:p w14:paraId="4EE6A7D2" w14:textId="7002FC5D" w:rsidR="00043F98" w:rsidRPr="005265EF" w:rsidRDefault="00043F98" w:rsidP="00E0549F">
            <w:pPr>
              <w:ind w:left="72"/>
              <w:rPr>
                <w:rFonts w:ascii="Times New Roman" w:hAnsi="Times New Roman"/>
                <w:color w:val="000000"/>
                <w:szCs w:val="22"/>
              </w:rPr>
            </w:pPr>
            <w:r>
              <w:rPr>
                <w:rFonts w:ascii="Times New Roman" w:hAnsi="Times New Roman"/>
                <w:color w:val="000000"/>
                <w:sz w:val="22"/>
                <w:szCs w:val="22"/>
              </w:rPr>
              <w:t xml:space="preserve">Ongoing </w:t>
            </w:r>
            <w:r w:rsidRPr="005265EF">
              <w:rPr>
                <w:rFonts w:ascii="Times New Roman" w:hAnsi="Times New Roman"/>
                <w:color w:val="000000"/>
                <w:sz w:val="22"/>
                <w:szCs w:val="22"/>
              </w:rPr>
              <w:t xml:space="preserve">Individual Supported Employment </w:t>
            </w:r>
            <w:r>
              <w:rPr>
                <w:rFonts w:ascii="Times New Roman" w:hAnsi="Times New Roman"/>
                <w:color w:val="000000"/>
                <w:sz w:val="22"/>
                <w:szCs w:val="22"/>
              </w:rPr>
              <w:t>($</w:t>
            </w:r>
            <w:r w:rsidRPr="005265EF">
              <w:rPr>
                <w:rFonts w:ascii="Times New Roman" w:hAnsi="Times New Roman"/>
                <w:color w:val="000000"/>
                <w:sz w:val="22"/>
                <w:szCs w:val="22"/>
              </w:rPr>
              <w:t xml:space="preserve"> </w:t>
            </w:r>
            <w:r w:rsidR="00A938F7">
              <w:rPr>
                <w:rFonts w:ascii="Times New Roman" w:hAnsi="Times New Roman"/>
                <w:color w:val="000000"/>
                <w:sz w:val="22"/>
                <w:szCs w:val="22"/>
              </w:rPr>
              <w:t xml:space="preserve">60.12 </w:t>
            </w:r>
            <w:r w:rsidRPr="005265EF">
              <w:rPr>
                <w:rFonts w:ascii="Times New Roman" w:hAnsi="Times New Roman"/>
                <w:color w:val="000000"/>
                <w:sz w:val="22"/>
                <w:szCs w:val="22"/>
              </w:rPr>
              <w:t>hourly)</w:t>
            </w:r>
          </w:p>
        </w:tc>
        <w:tc>
          <w:tcPr>
            <w:tcW w:w="3086" w:type="dxa"/>
            <w:noWrap/>
            <w:vAlign w:val="center"/>
          </w:tcPr>
          <w:p w14:paraId="708ADF6E" w14:textId="1B89454D" w:rsidR="00043F98" w:rsidRDefault="00043F98" w:rsidP="00E0549F">
            <w:pPr>
              <w:tabs>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9D2E13">
              <w:rPr>
                <w:rFonts w:ascii="Times New Roman" w:hAnsi="Times New Roman"/>
                <w:color w:val="000000"/>
                <w:sz w:val="22"/>
                <w:szCs w:val="22"/>
              </w:rPr>
              <w:t>15.03</w:t>
            </w:r>
          </w:p>
        </w:tc>
      </w:tr>
      <w:tr w:rsidR="00043F98" w:rsidRPr="005265EF" w14:paraId="01589A10" w14:textId="77777777" w:rsidTr="004634B2">
        <w:trPr>
          <w:trHeight w:val="302"/>
        </w:trPr>
        <w:tc>
          <w:tcPr>
            <w:tcW w:w="5888" w:type="dxa"/>
            <w:vAlign w:val="center"/>
          </w:tcPr>
          <w:p w14:paraId="1A029E40" w14:textId="7F6A2FA9" w:rsidR="00043F98" w:rsidRPr="005265EF" w:rsidRDefault="00043F98" w:rsidP="00E0549F">
            <w:pPr>
              <w:ind w:left="72"/>
              <w:rPr>
                <w:rFonts w:ascii="Times New Roman" w:hAnsi="Times New Roman"/>
                <w:color w:val="000000"/>
                <w:szCs w:val="22"/>
              </w:rPr>
            </w:pPr>
            <w:r w:rsidRPr="005265EF">
              <w:rPr>
                <w:rFonts w:ascii="Times New Roman" w:hAnsi="Times New Roman"/>
                <w:color w:val="000000"/>
                <w:sz w:val="22"/>
                <w:szCs w:val="22"/>
              </w:rPr>
              <w:t>Group Supported Employment ($</w:t>
            </w:r>
            <w:r w:rsidR="00A938F7">
              <w:rPr>
                <w:rFonts w:ascii="Times New Roman" w:hAnsi="Times New Roman"/>
                <w:color w:val="000000"/>
                <w:sz w:val="22"/>
                <w:szCs w:val="22"/>
              </w:rPr>
              <w:t xml:space="preserve"> 26.44</w:t>
            </w:r>
            <w:r w:rsidRPr="005265EF">
              <w:rPr>
                <w:rFonts w:ascii="Times New Roman" w:hAnsi="Times New Roman"/>
                <w:color w:val="000000"/>
                <w:sz w:val="22"/>
                <w:szCs w:val="22"/>
              </w:rPr>
              <w:t xml:space="preserve"> hourly) </w:t>
            </w:r>
          </w:p>
        </w:tc>
        <w:tc>
          <w:tcPr>
            <w:tcW w:w="3086" w:type="dxa"/>
            <w:noWrap/>
            <w:vAlign w:val="center"/>
          </w:tcPr>
          <w:p w14:paraId="717DC76D" w14:textId="25E46AD1" w:rsidR="00043F98" w:rsidRDefault="00043F98" w:rsidP="00E0549F">
            <w:pPr>
              <w:tabs>
                <w:tab w:val="left" w:pos="1898"/>
                <w:tab w:val="left" w:pos="3038"/>
              </w:tabs>
              <w:ind w:left="246"/>
              <w:jc w:val="center"/>
              <w:rPr>
                <w:rFonts w:ascii="Times New Roman" w:hAnsi="Times New Roman"/>
                <w:color w:val="000000"/>
                <w:szCs w:val="22"/>
              </w:rPr>
            </w:pPr>
            <w:r w:rsidRPr="005265EF">
              <w:rPr>
                <w:rFonts w:ascii="Times New Roman" w:hAnsi="Times New Roman"/>
                <w:color w:val="000000"/>
                <w:sz w:val="22"/>
                <w:szCs w:val="22"/>
              </w:rPr>
              <w:t>$</w:t>
            </w:r>
            <w:r w:rsidR="009D2E13">
              <w:rPr>
                <w:rFonts w:ascii="Times New Roman" w:hAnsi="Times New Roman"/>
                <w:color w:val="000000"/>
                <w:sz w:val="22"/>
                <w:szCs w:val="22"/>
              </w:rPr>
              <w:t>6.61</w:t>
            </w:r>
          </w:p>
        </w:tc>
      </w:tr>
      <w:tr w:rsidR="00043F98" w:rsidRPr="005265EF" w14:paraId="04F1CAB7" w14:textId="77777777" w:rsidTr="004634B2">
        <w:trPr>
          <w:trHeight w:val="300"/>
        </w:trPr>
        <w:tc>
          <w:tcPr>
            <w:tcW w:w="5888" w:type="dxa"/>
            <w:vAlign w:val="center"/>
          </w:tcPr>
          <w:p w14:paraId="3F1AF5DC" w14:textId="77777777" w:rsidR="00043F98" w:rsidRPr="005265EF" w:rsidRDefault="00043F98" w:rsidP="00C022EF">
            <w:pPr>
              <w:ind w:left="162"/>
              <w:rPr>
                <w:rFonts w:ascii="Times New Roman" w:hAnsi="Times New Roman"/>
                <w:color w:val="000000"/>
                <w:szCs w:val="22"/>
              </w:rPr>
            </w:pPr>
          </w:p>
        </w:tc>
        <w:tc>
          <w:tcPr>
            <w:tcW w:w="3086" w:type="dxa"/>
            <w:noWrap/>
            <w:vAlign w:val="center"/>
          </w:tcPr>
          <w:p w14:paraId="0856CC8C" w14:textId="77777777" w:rsidR="00043F98" w:rsidRDefault="00043F98" w:rsidP="00C022EF">
            <w:pPr>
              <w:ind w:left="246"/>
              <w:jc w:val="center"/>
              <w:rPr>
                <w:rFonts w:ascii="Times New Roman" w:hAnsi="Times New Roman"/>
                <w:color w:val="000000"/>
                <w:szCs w:val="22"/>
              </w:rPr>
            </w:pPr>
          </w:p>
        </w:tc>
      </w:tr>
      <w:tr w:rsidR="00043F98" w:rsidRPr="005265EF" w14:paraId="19074DC2" w14:textId="77777777" w:rsidTr="004634B2">
        <w:tblPrEx>
          <w:tblCellMar>
            <w:left w:w="0" w:type="dxa"/>
            <w:right w:w="0" w:type="dxa"/>
          </w:tblCellMar>
        </w:tblPrEx>
        <w:trPr>
          <w:trHeight w:val="300"/>
        </w:trPr>
        <w:tc>
          <w:tcPr>
            <w:tcW w:w="5888" w:type="dxa"/>
            <w:noWrap/>
            <w:vAlign w:val="center"/>
          </w:tcPr>
          <w:p w14:paraId="4AFA7644" w14:textId="77777777" w:rsidR="00043F98" w:rsidRPr="005265EF" w:rsidRDefault="00043F98" w:rsidP="00C022EF">
            <w:pPr>
              <w:ind w:left="162"/>
              <w:rPr>
                <w:rFonts w:ascii="Times New Roman" w:hAnsi="Times New Roman"/>
                <w:color w:val="000000"/>
                <w:szCs w:val="22"/>
              </w:rPr>
            </w:pPr>
            <w:r>
              <w:rPr>
                <w:rFonts w:ascii="Times New Roman" w:hAnsi="Times New Roman"/>
                <w:b/>
                <w:bCs/>
                <w:color w:val="000000"/>
                <w:sz w:val="22"/>
                <w:szCs w:val="22"/>
              </w:rPr>
              <w:t>High-intensity</w:t>
            </w:r>
            <w:r w:rsidRPr="005265EF">
              <w:rPr>
                <w:rFonts w:ascii="Times New Roman" w:hAnsi="Times New Roman"/>
                <w:b/>
                <w:bCs/>
                <w:color w:val="000000"/>
                <w:sz w:val="22"/>
                <w:szCs w:val="22"/>
              </w:rPr>
              <w:t xml:space="preserve"> Service</w:t>
            </w:r>
            <w:r>
              <w:rPr>
                <w:rFonts w:ascii="Times New Roman" w:hAnsi="Times New Roman"/>
                <w:b/>
                <w:bCs/>
                <w:color w:val="000000"/>
                <w:sz w:val="22"/>
                <w:szCs w:val="22"/>
              </w:rPr>
              <w:t>/Specialized Program Rates</w:t>
            </w:r>
          </w:p>
        </w:tc>
        <w:tc>
          <w:tcPr>
            <w:tcW w:w="3086" w:type="dxa"/>
            <w:noWrap/>
            <w:vAlign w:val="center"/>
          </w:tcPr>
          <w:p w14:paraId="3258F04B" w14:textId="587F45A1" w:rsidR="00043F98" w:rsidRPr="005265EF" w:rsidRDefault="00043F98" w:rsidP="00C022EF">
            <w:pPr>
              <w:ind w:left="246"/>
              <w:jc w:val="center"/>
              <w:rPr>
                <w:rFonts w:ascii="Times New Roman" w:hAnsi="Times New Roman"/>
                <w:color w:val="000000"/>
                <w:szCs w:val="22"/>
              </w:rPr>
            </w:pPr>
            <w:r w:rsidRPr="005265EF">
              <w:rPr>
                <w:rFonts w:ascii="Times New Roman" w:hAnsi="Times New Roman"/>
                <w:b/>
                <w:bCs/>
                <w:color w:val="000000"/>
                <w:sz w:val="22"/>
                <w:szCs w:val="22"/>
              </w:rPr>
              <w:t>Rate (</w:t>
            </w:r>
            <w:r w:rsidRPr="005265EF">
              <w:rPr>
                <w:rFonts w:ascii="Times New Roman" w:hAnsi="Times New Roman"/>
                <w:b/>
                <w:bCs/>
                <w:color w:val="000000"/>
                <w:sz w:val="22"/>
                <w:szCs w:val="18"/>
              </w:rPr>
              <w:t>15 min</w:t>
            </w:r>
            <w:r>
              <w:rPr>
                <w:rFonts w:ascii="Times New Roman" w:hAnsi="Times New Roman"/>
                <w:b/>
                <w:bCs/>
                <w:color w:val="000000"/>
                <w:sz w:val="22"/>
                <w:szCs w:val="18"/>
              </w:rPr>
              <w:t>s</w:t>
            </w:r>
            <w:r w:rsidRPr="005265EF">
              <w:rPr>
                <w:rFonts w:ascii="Times New Roman" w:hAnsi="Times New Roman"/>
                <w:b/>
                <w:bCs/>
                <w:color w:val="000000"/>
                <w:sz w:val="22"/>
                <w:szCs w:val="18"/>
              </w:rPr>
              <w:t>)</w:t>
            </w:r>
            <w:r w:rsidR="002F7C89">
              <w:rPr>
                <w:rFonts w:ascii="Times New Roman" w:hAnsi="Times New Roman"/>
                <w:b/>
                <w:bCs/>
                <w:color w:val="000000"/>
                <w:sz w:val="22"/>
                <w:szCs w:val="18"/>
              </w:rPr>
              <w:t xml:space="preserve"> </w:t>
            </w:r>
            <w:r>
              <w:rPr>
                <w:rFonts w:ascii="Times New Roman" w:hAnsi="Times New Roman"/>
                <w:b/>
                <w:bCs/>
                <w:color w:val="000000"/>
                <w:sz w:val="22"/>
                <w:szCs w:val="18"/>
              </w:rPr>
              <w:t>p</w:t>
            </w:r>
            <w:r w:rsidRPr="005265EF">
              <w:rPr>
                <w:rFonts w:ascii="Times New Roman" w:hAnsi="Times New Roman"/>
                <w:b/>
                <w:bCs/>
                <w:color w:val="000000"/>
                <w:sz w:val="22"/>
                <w:szCs w:val="18"/>
              </w:rPr>
              <w:t>er Client</w:t>
            </w:r>
          </w:p>
        </w:tc>
      </w:tr>
      <w:tr w:rsidR="00043F98" w:rsidRPr="005265EF" w14:paraId="47EFA724" w14:textId="77777777" w:rsidTr="004634B2">
        <w:tblPrEx>
          <w:tblCellMar>
            <w:left w:w="0" w:type="dxa"/>
            <w:right w:w="0" w:type="dxa"/>
          </w:tblCellMar>
        </w:tblPrEx>
        <w:trPr>
          <w:trHeight w:val="300"/>
        </w:trPr>
        <w:tc>
          <w:tcPr>
            <w:tcW w:w="5888" w:type="dxa"/>
            <w:vAlign w:val="center"/>
          </w:tcPr>
          <w:p w14:paraId="488A1180" w14:textId="4BBF20AE" w:rsidR="00043F98" w:rsidRPr="005265EF" w:rsidRDefault="00043F98" w:rsidP="00420BB0">
            <w:pPr>
              <w:ind w:left="162"/>
              <w:rPr>
                <w:rFonts w:ascii="Times New Roman" w:hAnsi="Times New Roman"/>
                <w:color w:val="000000"/>
                <w:szCs w:val="22"/>
              </w:rPr>
            </w:pPr>
            <w:r>
              <w:rPr>
                <w:rFonts w:ascii="Times New Roman" w:hAnsi="Times New Roman"/>
                <w:color w:val="000000"/>
                <w:sz w:val="22"/>
                <w:szCs w:val="22"/>
              </w:rPr>
              <w:t xml:space="preserve">High-intensity </w:t>
            </w:r>
            <w:r w:rsidRPr="005265EF">
              <w:rPr>
                <w:rFonts w:ascii="Times New Roman" w:hAnsi="Times New Roman"/>
                <w:color w:val="000000"/>
                <w:sz w:val="22"/>
                <w:szCs w:val="22"/>
              </w:rPr>
              <w:t>Group Supported Employment</w:t>
            </w:r>
            <w:r>
              <w:rPr>
                <w:rFonts w:ascii="Times New Roman" w:hAnsi="Times New Roman"/>
                <w:color w:val="000000"/>
                <w:sz w:val="22"/>
                <w:szCs w:val="22"/>
              </w:rPr>
              <w:t xml:space="preserve"> ($</w:t>
            </w:r>
            <w:r w:rsidR="00A938F7">
              <w:rPr>
                <w:rFonts w:ascii="Times New Roman" w:hAnsi="Times New Roman"/>
                <w:color w:val="000000"/>
                <w:sz w:val="22"/>
                <w:szCs w:val="22"/>
              </w:rPr>
              <w:t xml:space="preserve">34.64 </w:t>
            </w:r>
            <w:r>
              <w:rPr>
                <w:rFonts w:ascii="Times New Roman" w:hAnsi="Times New Roman"/>
                <w:color w:val="000000"/>
                <w:sz w:val="22"/>
                <w:szCs w:val="22"/>
              </w:rPr>
              <w:t>hourly)</w:t>
            </w:r>
          </w:p>
        </w:tc>
        <w:tc>
          <w:tcPr>
            <w:tcW w:w="3086" w:type="dxa"/>
            <w:noWrap/>
            <w:vAlign w:val="center"/>
          </w:tcPr>
          <w:p w14:paraId="73CE2F0B" w14:textId="331C7CE1" w:rsidR="00043F98" w:rsidRPr="005265EF" w:rsidRDefault="00043F98" w:rsidP="00420BB0">
            <w:pPr>
              <w:ind w:left="246"/>
              <w:jc w:val="center"/>
              <w:rPr>
                <w:rFonts w:ascii="Times New Roman" w:hAnsi="Times New Roman"/>
                <w:color w:val="000000"/>
                <w:szCs w:val="22"/>
              </w:rPr>
            </w:pPr>
            <w:r>
              <w:rPr>
                <w:rFonts w:ascii="Times New Roman" w:hAnsi="Times New Roman"/>
                <w:color w:val="000000"/>
                <w:sz w:val="22"/>
                <w:szCs w:val="22"/>
              </w:rPr>
              <w:t>$</w:t>
            </w:r>
            <w:r w:rsidR="009D2E13">
              <w:rPr>
                <w:rFonts w:ascii="Times New Roman" w:hAnsi="Times New Roman"/>
                <w:color w:val="000000"/>
                <w:sz w:val="22"/>
                <w:szCs w:val="22"/>
              </w:rPr>
              <w:t>8.66</w:t>
            </w:r>
          </w:p>
        </w:tc>
      </w:tr>
      <w:tr w:rsidR="00166C81" w:rsidRPr="005265EF" w14:paraId="0BD65453" w14:textId="77777777" w:rsidTr="004634B2">
        <w:tblPrEx>
          <w:tblCellMar>
            <w:left w:w="0" w:type="dxa"/>
            <w:right w:w="0" w:type="dxa"/>
          </w:tblCellMar>
        </w:tblPrEx>
        <w:trPr>
          <w:trHeight w:val="300"/>
        </w:trPr>
        <w:tc>
          <w:tcPr>
            <w:tcW w:w="5888" w:type="dxa"/>
            <w:vAlign w:val="center"/>
          </w:tcPr>
          <w:p w14:paraId="6D020DF0" w14:textId="77777777" w:rsidR="00166C81" w:rsidRDefault="00166C81" w:rsidP="00C022EF">
            <w:pPr>
              <w:ind w:left="162"/>
              <w:rPr>
                <w:rFonts w:ascii="Times New Roman" w:hAnsi="Times New Roman"/>
                <w:color w:val="000000"/>
                <w:sz w:val="22"/>
                <w:szCs w:val="22"/>
              </w:rPr>
            </w:pPr>
          </w:p>
        </w:tc>
        <w:tc>
          <w:tcPr>
            <w:tcW w:w="3086" w:type="dxa"/>
            <w:noWrap/>
            <w:vAlign w:val="center"/>
          </w:tcPr>
          <w:p w14:paraId="02DDA382" w14:textId="77777777" w:rsidR="00166C81" w:rsidRDefault="00166C81" w:rsidP="00C022EF">
            <w:pPr>
              <w:ind w:left="246"/>
              <w:jc w:val="center"/>
              <w:rPr>
                <w:rFonts w:ascii="Times New Roman" w:hAnsi="Times New Roman"/>
                <w:color w:val="000000"/>
                <w:sz w:val="22"/>
                <w:szCs w:val="22"/>
              </w:rPr>
            </w:pPr>
          </w:p>
        </w:tc>
      </w:tr>
      <w:tr w:rsidR="00043F98" w:rsidRPr="005265EF" w14:paraId="06782ED2" w14:textId="77777777" w:rsidTr="004634B2">
        <w:trPr>
          <w:trHeight w:val="285"/>
        </w:trPr>
        <w:tc>
          <w:tcPr>
            <w:tcW w:w="5888" w:type="dxa"/>
            <w:vAlign w:val="center"/>
          </w:tcPr>
          <w:p w14:paraId="2890AD03" w14:textId="77777777" w:rsidR="00043F98" w:rsidRPr="005265EF" w:rsidRDefault="00043F98" w:rsidP="00C022EF">
            <w:pPr>
              <w:ind w:left="72"/>
              <w:rPr>
                <w:rFonts w:ascii="Times New Roman" w:hAnsi="Times New Roman"/>
                <w:b/>
                <w:bCs/>
                <w:color w:val="000000"/>
                <w:szCs w:val="22"/>
              </w:rPr>
            </w:pPr>
            <w:r w:rsidRPr="005265EF">
              <w:rPr>
                <w:rFonts w:ascii="Times New Roman" w:hAnsi="Times New Roman"/>
                <w:b/>
                <w:bCs/>
                <w:color w:val="000000"/>
                <w:sz w:val="22"/>
                <w:szCs w:val="22"/>
              </w:rPr>
              <w:t>Add-</w:t>
            </w:r>
            <w:r>
              <w:rPr>
                <w:rFonts w:ascii="Times New Roman" w:hAnsi="Times New Roman"/>
                <w:b/>
                <w:bCs/>
                <w:color w:val="000000"/>
                <w:sz w:val="22"/>
                <w:szCs w:val="22"/>
              </w:rPr>
              <w:t>o</w:t>
            </w:r>
            <w:r w:rsidRPr="005265EF">
              <w:rPr>
                <w:rFonts w:ascii="Times New Roman" w:hAnsi="Times New Roman"/>
                <w:b/>
                <w:bCs/>
                <w:color w:val="000000"/>
                <w:sz w:val="22"/>
                <w:szCs w:val="22"/>
              </w:rPr>
              <w:t>n Services</w:t>
            </w:r>
          </w:p>
        </w:tc>
        <w:tc>
          <w:tcPr>
            <w:tcW w:w="3086" w:type="dxa"/>
            <w:noWrap/>
            <w:vAlign w:val="center"/>
          </w:tcPr>
          <w:p w14:paraId="3AF28F82" w14:textId="259F0B41" w:rsidR="00043F98" w:rsidRPr="00116B41" w:rsidRDefault="00043F98" w:rsidP="00C022EF">
            <w:pPr>
              <w:ind w:left="246"/>
              <w:jc w:val="center"/>
              <w:rPr>
                <w:rFonts w:ascii="Times New Roman" w:hAnsi="Times New Roman"/>
                <w:b/>
                <w:bCs/>
                <w:color w:val="000000"/>
                <w:sz w:val="22"/>
                <w:szCs w:val="22"/>
              </w:rPr>
            </w:pPr>
            <w:r w:rsidRPr="00BF5DC7">
              <w:rPr>
                <w:rFonts w:ascii="Times New Roman" w:hAnsi="Times New Roman"/>
                <w:b/>
                <w:bCs/>
                <w:color w:val="000000"/>
                <w:sz w:val="22"/>
                <w:szCs w:val="22"/>
              </w:rPr>
              <w:t xml:space="preserve">Rate </w:t>
            </w:r>
            <w:r>
              <w:rPr>
                <w:rFonts w:ascii="Times New Roman" w:hAnsi="Times New Roman"/>
                <w:b/>
                <w:bCs/>
                <w:color w:val="000000"/>
                <w:sz w:val="22"/>
                <w:szCs w:val="22"/>
              </w:rPr>
              <w:t>(15 mins)</w:t>
            </w:r>
            <w:r w:rsidR="002F7C89">
              <w:rPr>
                <w:rFonts w:ascii="Times New Roman" w:hAnsi="Times New Roman"/>
                <w:b/>
                <w:bCs/>
                <w:color w:val="000000"/>
                <w:sz w:val="22"/>
                <w:szCs w:val="22"/>
              </w:rPr>
              <w:t xml:space="preserve"> </w:t>
            </w:r>
            <w:r>
              <w:rPr>
                <w:rFonts w:ascii="Times New Roman" w:hAnsi="Times New Roman"/>
                <w:b/>
                <w:bCs/>
                <w:color w:val="000000"/>
                <w:sz w:val="22"/>
                <w:szCs w:val="22"/>
              </w:rPr>
              <w:t>p</w:t>
            </w:r>
            <w:r w:rsidRPr="00116B41">
              <w:rPr>
                <w:rFonts w:ascii="Times New Roman" w:hAnsi="Times New Roman"/>
                <w:b/>
                <w:bCs/>
                <w:color w:val="000000"/>
                <w:sz w:val="22"/>
                <w:szCs w:val="22"/>
              </w:rPr>
              <w:t>er Client</w:t>
            </w:r>
          </w:p>
        </w:tc>
      </w:tr>
      <w:tr w:rsidR="00043F98" w:rsidRPr="005265EF" w14:paraId="2D931546" w14:textId="77777777" w:rsidTr="004634B2">
        <w:trPr>
          <w:trHeight w:val="300"/>
        </w:trPr>
        <w:tc>
          <w:tcPr>
            <w:tcW w:w="5888" w:type="dxa"/>
            <w:noWrap/>
            <w:vAlign w:val="center"/>
          </w:tcPr>
          <w:p w14:paraId="26774A12" w14:textId="071CE292" w:rsidR="00043F98" w:rsidRPr="005265EF" w:rsidRDefault="00043F98" w:rsidP="00420BB0">
            <w:pPr>
              <w:ind w:left="72"/>
              <w:rPr>
                <w:rFonts w:ascii="Times New Roman" w:hAnsi="Times New Roman"/>
                <w:color w:val="000000"/>
                <w:szCs w:val="22"/>
              </w:rPr>
            </w:pPr>
            <w:r w:rsidRPr="005265EF">
              <w:rPr>
                <w:rFonts w:ascii="Times New Roman" w:hAnsi="Times New Roman"/>
                <w:color w:val="000000"/>
                <w:sz w:val="22"/>
                <w:szCs w:val="22"/>
              </w:rPr>
              <w:t xml:space="preserve">Direct Care </w:t>
            </w:r>
            <w:r>
              <w:rPr>
                <w:rFonts w:ascii="Times New Roman" w:hAnsi="Times New Roman"/>
                <w:color w:val="000000"/>
                <w:sz w:val="22"/>
                <w:szCs w:val="22"/>
              </w:rPr>
              <w:t>($</w:t>
            </w:r>
            <w:r w:rsidR="00A938F7">
              <w:rPr>
                <w:rFonts w:ascii="Times New Roman" w:hAnsi="Times New Roman"/>
                <w:color w:val="000000"/>
                <w:sz w:val="22"/>
                <w:szCs w:val="22"/>
              </w:rPr>
              <w:t xml:space="preserve">28.60 </w:t>
            </w:r>
            <w:r>
              <w:rPr>
                <w:rFonts w:ascii="Times New Roman" w:hAnsi="Times New Roman"/>
                <w:color w:val="000000"/>
                <w:sz w:val="22"/>
                <w:szCs w:val="22"/>
              </w:rPr>
              <w:t>hourly)</w:t>
            </w:r>
          </w:p>
        </w:tc>
        <w:tc>
          <w:tcPr>
            <w:tcW w:w="3086" w:type="dxa"/>
            <w:noWrap/>
            <w:vAlign w:val="center"/>
          </w:tcPr>
          <w:p w14:paraId="366A783A" w14:textId="7606FC0D" w:rsidR="00043F98" w:rsidRDefault="00043F98" w:rsidP="00420BB0">
            <w:pPr>
              <w:ind w:left="246"/>
              <w:jc w:val="center"/>
              <w:rPr>
                <w:rFonts w:ascii="Times New Roman" w:hAnsi="Times New Roman"/>
                <w:color w:val="000000"/>
                <w:szCs w:val="22"/>
              </w:rPr>
            </w:pPr>
            <w:r w:rsidRPr="005265EF">
              <w:rPr>
                <w:rFonts w:ascii="Times New Roman" w:hAnsi="Times New Roman"/>
                <w:color w:val="000000"/>
                <w:sz w:val="22"/>
                <w:szCs w:val="22"/>
              </w:rPr>
              <w:t>$</w:t>
            </w:r>
            <w:r w:rsidR="009D2E13">
              <w:rPr>
                <w:rFonts w:ascii="Times New Roman" w:hAnsi="Times New Roman"/>
                <w:color w:val="000000"/>
                <w:sz w:val="22"/>
                <w:szCs w:val="22"/>
              </w:rPr>
              <w:t>7.15</w:t>
            </w:r>
          </w:p>
        </w:tc>
      </w:tr>
      <w:tr w:rsidR="00043F98" w:rsidRPr="005265EF" w14:paraId="071CED53" w14:textId="77777777" w:rsidTr="004634B2">
        <w:trPr>
          <w:trHeight w:val="300"/>
        </w:trPr>
        <w:tc>
          <w:tcPr>
            <w:tcW w:w="5888" w:type="dxa"/>
            <w:noWrap/>
            <w:vAlign w:val="center"/>
          </w:tcPr>
          <w:p w14:paraId="7EA3EDDA" w14:textId="7BC7E1CF" w:rsidR="00043F98" w:rsidRPr="005265EF" w:rsidRDefault="00043F98" w:rsidP="00420BB0">
            <w:pPr>
              <w:ind w:left="72"/>
              <w:rPr>
                <w:rFonts w:ascii="Times New Roman" w:hAnsi="Times New Roman"/>
                <w:color w:val="000000"/>
                <w:szCs w:val="22"/>
              </w:rPr>
            </w:pPr>
            <w:r w:rsidRPr="005265EF">
              <w:rPr>
                <w:rFonts w:ascii="Times New Roman" w:hAnsi="Times New Roman"/>
                <w:color w:val="000000"/>
                <w:sz w:val="22"/>
                <w:szCs w:val="22"/>
              </w:rPr>
              <w:t>Direct Care</w:t>
            </w:r>
            <w:r>
              <w:rPr>
                <w:rFonts w:ascii="Times New Roman" w:hAnsi="Times New Roman"/>
                <w:color w:val="000000"/>
                <w:sz w:val="22"/>
                <w:szCs w:val="22"/>
              </w:rPr>
              <w:t xml:space="preserve"> III ($</w:t>
            </w:r>
            <w:r w:rsidR="00A938F7">
              <w:rPr>
                <w:rFonts w:ascii="Times New Roman" w:hAnsi="Times New Roman"/>
                <w:color w:val="000000"/>
                <w:sz w:val="22"/>
                <w:szCs w:val="22"/>
              </w:rPr>
              <w:t>37.16</w:t>
            </w:r>
            <w:r>
              <w:rPr>
                <w:rFonts w:ascii="Times New Roman" w:hAnsi="Times New Roman"/>
                <w:color w:val="000000"/>
                <w:sz w:val="22"/>
                <w:szCs w:val="22"/>
              </w:rPr>
              <w:t xml:space="preserve"> hourly)</w:t>
            </w:r>
          </w:p>
        </w:tc>
        <w:tc>
          <w:tcPr>
            <w:tcW w:w="3086" w:type="dxa"/>
            <w:noWrap/>
            <w:vAlign w:val="center"/>
          </w:tcPr>
          <w:p w14:paraId="71E8B2B6" w14:textId="21E4E6C0" w:rsidR="00043F98" w:rsidRDefault="00043F98" w:rsidP="00420BB0">
            <w:pPr>
              <w:ind w:left="246"/>
              <w:jc w:val="center"/>
              <w:rPr>
                <w:rFonts w:ascii="Times New Roman" w:hAnsi="Times New Roman"/>
                <w:color w:val="000000"/>
                <w:szCs w:val="22"/>
              </w:rPr>
            </w:pPr>
            <w:r w:rsidRPr="005265EF">
              <w:rPr>
                <w:rFonts w:ascii="Times New Roman" w:hAnsi="Times New Roman"/>
                <w:color w:val="000000"/>
                <w:sz w:val="22"/>
                <w:szCs w:val="22"/>
              </w:rPr>
              <w:t>$</w:t>
            </w:r>
            <w:r w:rsidR="009D2E13">
              <w:rPr>
                <w:rFonts w:ascii="Times New Roman" w:hAnsi="Times New Roman"/>
                <w:color w:val="000000"/>
                <w:sz w:val="22"/>
                <w:szCs w:val="22"/>
              </w:rPr>
              <w:t>9.29</w:t>
            </w:r>
          </w:p>
        </w:tc>
      </w:tr>
      <w:tr w:rsidR="00166C81" w:rsidRPr="005265EF" w14:paraId="48D06E11" w14:textId="77777777" w:rsidTr="004634B2">
        <w:trPr>
          <w:trHeight w:val="300"/>
        </w:trPr>
        <w:tc>
          <w:tcPr>
            <w:tcW w:w="5888" w:type="dxa"/>
            <w:noWrap/>
            <w:vAlign w:val="center"/>
          </w:tcPr>
          <w:p w14:paraId="2A1F8396" w14:textId="77777777" w:rsidR="00166C81" w:rsidRPr="005265EF" w:rsidDel="00043F98" w:rsidRDefault="00166C81" w:rsidP="00C022EF">
            <w:pPr>
              <w:ind w:left="72"/>
              <w:rPr>
                <w:rFonts w:ascii="Times New Roman" w:hAnsi="Times New Roman"/>
                <w:color w:val="000000"/>
                <w:sz w:val="22"/>
                <w:szCs w:val="22"/>
              </w:rPr>
            </w:pPr>
          </w:p>
        </w:tc>
        <w:tc>
          <w:tcPr>
            <w:tcW w:w="3086" w:type="dxa"/>
            <w:noWrap/>
            <w:vAlign w:val="center"/>
          </w:tcPr>
          <w:p w14:paraId="1607EB09" w14:textId="77777777" w:rsidR="00166C81" w:rsidRPr="005265EF" w:rsidRDefault="00166C81" w:rsidP="00C022EF">
            <w:pPr>
              <w:ind w:left="246"/>
              <w:jc w:val="center"/>
              <w:rPr>
                <w:rFonts w:ascii="Times New Roman" w:hAnsi="Times New Roman"/>
                <w:color w:val="000000"/>
                <w:sz w:val="22"/>
                <w:szCs w:val="22"/>
              </w:rPr>
            </w:pPr>
          </w:p>
        </w:tc>
      </w:tr>
      <w:tr w:rsidR="00166C81" w:rsidRPr="005265EF" w14:paraId="54A412ED" w14:textId="77777777" w:rsidTr="004634B2">
        <w:trPr>
          <w:trHeight w:val="300"/>
        </w:trPr>
        <w:tc>
          <w:tcPr>
            <w:tcW w:w="5888" w:type="dxa"/>
            <w:noWrap/>
            <w:vAlign w:val="center"/>
          </w:tcPr>
          <w:p w14:paraId="3F17449E" w14:textId="78E17ED0" w:rsidR="00166C81" w:rsidRPr="005265EF" w:rsidDel="00043F98" w:rsidRDefault="00166C81" w:rsidP="00C022EF">
            <w:pPr>
              <w:ind w:left="72"/>
              <w:rPr>
                <w:rFonts w:ascii="Times New Roman" w:hAnsi="Times New Roman"/>
                <w:color w:val="000000"/>
                <w:sz w:val="22"/>
                <w:szCs w:val="22"/>
              </w:rPr>
            </w:pPr>
            <w:r>
              <w:rPr>
                <w:rFonts w:ascii="Times New Roman" w:hAnsi="Times New Roman"/>
                <w:b/>
                <w:bCs/>
                <w:color w:val="000000"/>
                <w:sz w:val="22"/>
                <w:szCs w:val="22"/>
              </w:rPr>
              <w:t>Transportation to Individual Job Sites</w:t>
            </w:r>
          </w:p>
        </w:tc>
        <w:tc>
          <w:tcPr>
            <w:tcW w:w="3086" w:type="dxa"/>
            <w:noWrap/>
            <w:vAlign w:val="center"/>
          </w:tcPr>
          <w:p w14:paraId="7AB03311" w14:textId="34A65C93" w:rsidR="00166C81" w:rsidRPr="005265EF" w:rsidRDefault="00166C81" w:rsidP="00C022EF">
            <w:pPr>
              <w:ind w:left="246"/>
              <w:jc w:val="center"/>
              <w:rPr>
                <w:rFonts w:ascii="Times New Roman" w:hAnsi="Times New Roman"/>
                <w:color w:val="000000"/>
                <w:sz w:val="22"/>
                <w:szCs w:val="22"/>
              </w:rPr>
            </w:pPr>
            <w:r>
              <w:rPr>
                <w:rFonts w:ascii="Times New Roman" w:hAnsi="Times New Roman"/>
                <w:b/>
                <w:bCs/>
                <w:color w:val="000000"/>
                <w:sz w:val="22"/>
                <w:szCs w:val="22"/>
              </w:rPr>
              <w:t>Rate (15 mins) per Client</w:t>
            </w:r>
          </w:p>
        </w:tc>
      </w:tr>
      <w:tr w:rsidR="00166C81" w:rsidRPr="005265EF" w14:paraId="58A667BC" w14:textId="77777777" w:rsidTr="004634B2">
        <w:trPr>
          <w:trHeight w:val="300"/>
        </w:trPr>
        <w:tc>
          <w:tcPr>
            <w:tcW w:w="5888" w:type="dxa"/>
            <w:noWrap/>
            <w:vAlign w:val="center"/>
          </w:tcPr>
          <w:p w14:paraId="0BF4ED2C" w14:textId="5AE17158" w:rsidR="00166C81" w:rsidRPr="005265EF" w:rsidDel="00043F98" w:rsidRDefault="00166C81" w:rsidP="00586F2D">
            <w:pPr>
              <w:ind w:left="72"/>
              <w:rPr>
                <w:rFonts w:ascii="Times New Roman" w:hAnsi="Times New Roman"/>
                <w:color w:val="000000"/>
                <w:sz w:val="22"/>
                <w:szCs w:val="22"/>
              </w:rPr>
            </w:pPr>
            <w:r>
              <w:rPr>
                <w:rFonts w:ascii="Times New Roman" w:hAnsi="Times New Roman"/>
                <w:bCs/>
                <w:color w:val="000000"/>
                <w:sz w:val="22"/>
                <w:szCs w:val="22"/>
              </w:rPr>
              <w:t>Travel to and from ISE job sites up to one hour ($</w:t>
            </w:r>
            <w:r w:rsidR="00A938F7">
              <w:rPr>
                <w:rFonts w:ascii="Times New Roman" w:hAnsi="Times New Roman"/>
                <w:bCs/>
                <w:color w:val="000000"/>
                <w:sz w:val="22"/>
                <w:szCs w:val="22"/>
              </w:rPr>
              <w:t>38.96</w:t>
            </w:r>
            <w:r>
              <w:rPr>
                <w:rFonts w:ascii="Times New Roman" w:hAnsi="Times New Roman"/>
                <w:bCs/>
                <w:color w:val="000000"/>
                <w:sz w:val="22"/>
                <w:szCs w:val="22"/>
              </w:rPr>
              <w:t xml:space="preserve"> hourly)</w:t>
            </w:r>
          </w:p>
        </w:tc>
        <w:tc>
          <w:tcPr>
            <w:tcW w:w="3086" w:type="dxa"/>
            <w:noWrap/>
            <w:vAlign w:val="center"/>
          </w:tcPr>
          <w:p w14:paraId="4E3B6BE1" w14:textId="701FFE6C" w:rsidR="00166C81" w:rsidRPr="005265EF" w:rsidRDefault="00166C81" w:rsidP="00586F2D">
            <w:pPr>
              <w:ind w:left="246"/>
              <w:jc w:val="center"/>
              <w:rPr>
                <w:rFonts w:ascii="Times New Roman" w:hAnsi="Times New Roman"/>
                <w:color w:val="000000"/>
                <w:sz w:val="22"/>
                <w:szCs w:val="22"/>
              </w:rPr>
            </w:pPr>
            <w:r w:rsidRPr="003D452A">
              <w:rPr>
                <w:rFonts w:ascii="Times New Roman" w:hAnsi="Times New Roman"/>
                <w:color w:val="000000"/>
                <w:sz w:val="22"/>
                <w:szCs w:val="22"/>
              </w:rPr>
              <w:t>$</w:t>
            </w:r>
            <w:r w:rsidR="009D2E13">
              <w:rPr>
                <w:rFonts w:ascii="Times New Roman" w:hAnsi="Times New Roman"/>
                <w:color w:val="000000"/>
                <w:sz w:val="22"/>
                <w:szCs w:val="22"/>
              </w:rPr>
              <w:t>9.74</w:t>
            </w:r>
          </w:p>
        </w:tc>
      </w:tr>
      <w:tr w:rsidR="00166C81" w:rsidRPr="005265EF" w14:paraId="67067F5B" w14:textId="77777777" w:rsidTr="004634B2">
        <w:trPr>
          <w:trHeight w:val="300"/>
        </w:trPr>
        <w:tc>
          <w:tcPr>
            <w:tcW w:w="5888" w:type="dxa"/>
            <w:noWrap/>
          </w:tcPr>
          <w:p w14:paraId="4E301691" w14:textId="77777777" w:rsidR="00166C81" w:rsidRPr="005265EF" w:rsidDel="00043F98" w:rsidRDefault="00166C81" w:rsidP="00C022EF">
            <w:pPr>
              <w:ind w:left="72"/>
              <w:rPr>
                <w:rFonts w:ascii="Times New Roman" w:hAnsi="Times New Roman"/>
                <w:color w:val="000000"/>
                <w:sz w:val="22"/>
                <w:szCs w:val="22"/>
              </w:rPr>
            </w:pPr>
          </w:p>
        </w:tc>
        <w:tc>
          <w:tcPr>
            <w:tcW w:w="3086" w:type="dxa"/>
            <w:noWrap/>
            <w:vAlign w:val="center"/>
          </w:tcPr>
          <w:p w14:paraId="25DE94FD" w14:textId="77777777" w:rsidR="00166C81" w:rsidRPr="005265EF" w:rsidRDefault="00166C81" w:rsidP="00C022EF">
            <w:pPr>
              <w:ind w:left="246"/>
              <w:jc w:val="center"/>
              <w:rPr>
                <w:rFonts w:ascii="Times New Roman" w:hAnsi="Times New Roman"/>
                <w:color w:val="000000"/>
                <w:sz w:val="22"/>
                <w:szCs w:val="22"/>
              </w:rPr>
            </w:pPr>
          </w:p>
        </w:tc>
      </w:tr>
      <w:tr w:rsidR="00166C81" w:rsidRPr="005265EF" w14:paraId="5021C620" w14:textId="77777777" w:rsidTr="004634B2">
        <w:trPr>
          <w:trHeight w:val="300"/>
        </w:trPr>
        <w:tc>
          <w:tcPr>
            <w:tcW w:w="5888" w:type="dxa"/>
            <w:noWrap/>
            <w:vAlign w:val="center"/>
          </w:tcPr>
          <w:p w14:paraId="72E1F714" w14:textId="77777777" w:rsidR="00DE5E60" w:rsidRDefault="00166C81" w:rsidP="00C022EF">
            <w:pPr>
              <w:ind w:left="72"/>
              <w:rPr>
                <w:rFonts w:ascii="Times New Roman" w:hAnsi="Times New Roman"/>
                <w:b/>
                <w:bCs/>
                <w:color w:val="000000"/>
                <w:sz w:val="22"/>
                <w:szCs w:val="22"/>
              </w:rPr>
            </w:pPr>
            <w:r>
              <w:rPr>
                <w:rFonts w:ascii="Times New Roman" w:hAnsi="Times New Roman"/>
                <w:b/>
                <w:bCs/>
                <w:color w:val="000000"/>
                <w:sz w:val="22"/>
                <w:szCs w:val="22"/>
              </w:rPr>
              <w:t>Enhanced Staffing for Higher Intensity Clients</w:t>
            </w:r>
          </w:p>
          <w:p w14:paraId="6538CBB7" w14:textId="61D0B140" w:rsidR="00166C81" w:rsidRPr="005265EF" w:rsidDel="00043F98" w:rsidRDefault="00166C81" w:rsidP="00C022EF">
            <w:pPr>
              <w:ind w:left="72"/>
              <w:rPr>
                <w:rFonts w:ascii="Times New Roman" w:hAnsi="Times New Roman"/>
                <w:color w:val="000000"/>
                <w:sz w:val="22"/>
                <w:szCs w:val="22"/>
              </w:rPr>
            </w:pPr>
            <w:r>
              <w:rPr>
                <w:rFonts w:ascii="Times New Roman" w:hAnsi="Times New Roman"/>
                <w:b/>
                <w:bCs/>
                <w:color w:val="000000"/>
                <w:sz w:val="22"/>
                <w:szCs w:val="22"/>
              </w:rPr>
              <w:t>(Combined Add-on and Base Service Rates)</w:t>
            </w:r>
          </w:p>
        </w:tc>
        <w:tc>
          <w:tcPr>
            <w:tcW w:w="3086" w:type="dxa"/>
            <w:noWrap/>
            <w:vAlign w:val="center"/>
          </w:tcPr>
          <w:p w14:paraId="4EEC08FE" w14:textId="30969F0C" w:rsidR="00166C81" w:rsidRPr="005265EF" w:rsidRDefault="00166C81" w:rsidP="00C022EF">
            <w:pPr>
              <w:ind w:left="246"/>
              <w:jc w:val="center"/>
              <w:rPr>
                <w:rFonts w:ascii="Times New Roman" w:hAnsi="Times New Roman"/>
                <w:color w:val="000000"/>
                <w:sz w:val="22"/>
                <w:szCs w:val="22"/>
              </w:rPr>
            </w:pPr>
            <w:r>
              <w:rPr>
                <w:rFonts w:ascii="Times New Roman" w:hAnsi="Times New Roman"/>
                <w:b/>
                <w:bCs/>
                <w:color w:val="000000"/>
                <w:sz w:val="22"/>
                <w:szCs w:val="22"/>
              </w:rPr>
              <w:t>Rate (15 mins) per Client</w:t>
            </w:r>
          </w:p>
        </w:tc>
      </w:tr>
      <w:tr w:rsidR="00166C81" w:rsidRPr="005265EF" w14:paraId="1F214BAB" w14:textId="77777777" w:rsidTr="004634B2">
        <w:trPr>
          <w:trHeight w:val="300"/>
        </w:trPr>
        <w:tc>
          <w:tcPr>
            <w:tcW w:w="5888" w:type="dxa"/>
            <w:noWrap/>
            <w:vAlign w:val="center"/>
          </w:tcPr>
          <w:p w14:paraId="4947742A" w14:textId="71FA4B28" w:rsidR="00166C81" w:rsidRDefault="00166C81" w:rsidP="0055168E">
            <w:pPr>
              <w:ind w:left="72"/>
              <w:rPr>
                <w:rFonts w:ascii="Times New Roman" w:hAnsi="Times New Roman"/>
                <w:b/>
                <w:bCs/>
                <w:color w:val="000000"/>
                <w:sz w:val="22"/>
                <w:szCs w:val="22"/>
              </w:rPr>
            </w:pPr>
            <w:r>
              <w:rPr>
                <w:rFonts w:ascii="Times New Roman" w:hAnsi="Times New Roman"/>
                <w:spacing w:val="-3"/>
                <w:sz w:val="22"/>
                <w:szCs w:val="22"/>
              </w:rPr>
              <w:t>1:1 Group Supported Employment ($</w:t>
            </w:r>
            <w:r w:rsidR="00A938F7">
              <w:rPr>
                <w:rFonts w:ascii="Times New Roman" w:hAnsi="Times New Roman"/>
                <w:spacing w:val="-3"/>
                <w:sz w:val="22"/>
                <w:szCs w:val="22"/>
              </w:rPr>
              <w:t>55.04</w:t>
            </w:r>
            <w:r>
              <w:rPr>
                <w:rFonts w:ascii="Times New Roman" w:hAnsi="Times New Roman"/>
                <w:spacing w:val="-3"/>
                <w:sz w:val="22"/>
                <w:szCs w:val="22"/>
              </w:rPr>
              <w:t xml:space="preserve"> hourly)</w:t>
            </w:r>
          </w:p>
        </w:tc>
        <w:tc>
          <w:tcPr>
            <w:tcW w:w="3086" w:type="dxa"/>
            <w:noWrap/>
            <w:vAlign w:val="center"/>
          </w:tcPr>
          <w:p w14:paraId="55404EF1" w14:textId="7AE9F22E" w:rsidR="00166C81" w:rsidRPr="005265EF" w:rsidRDefault="00166C81" w:rsidP="0055168E">
            <w:pPr>
              <w:ind w:left="246"/>
              <w:jc w:val="center"/>
              <w:rPr>
                <w:rFonts w:ascii="Times New Roman" w:hAnsi="Times New Roman"/>
                <w:color w:val="000000"/>
                <w:sz w:val="22"/>
                <w:szCs w:val="22"/>
              </w:rPr>
            </w:pPr>
            <w:r>
              <w:rPr>
                <w:rFonts w:ascii="Times New Roman" w:hAnsi="Times New Roman"/>
                <w:spacing w:val="-3"/>
                <w:sz w:val="22"/>
                <w:szCs w:val="22"/>
              </w:rPr>
              <w:t>$</w:t>
            </w:r>
            <w:r w:rsidR="009D2E13">
              <w:rPr>
                <w:rFonts w:ascii="Times New Roman" w:hAnsi="Times New Roman"/>
                <w:spacing w:val="-3"/>
                <w:sz w:val="22"/>
                <w:szCs w:val="22"/>
              </w:rPr>
              <w:t>13.76</w:t>
            </w:r>
          </w:p>
        </w:tc>
      </w:tr>
      <w:tr w:rsidR="00166C81" w:rsidRPr="005265EF" w14:paraId="20CE07BD" w14:textId="77777777" w:rsidTr="004634B2">
        <w:trPr>
          <w:trHeight w:val="300"/>
        </w:trPr>
        <w:tc>
          <w:tcPr>
            <w:tcW w:w="5888" w:type="dxa"/>
            <w:noWrap/>
            <w:vAlign w:val="center"/>
          </w:tcPr>
          <w:p w14:paraId="23DAA9E4" w14:textId="2D4FD0AF" w:rsidR="00166C81" w:rsidRDefault="00166C81" w:rsidP="0055168E">
            <w:pPr>
              <w:ind w:left="72"/>
              <w:rPr>
                <w:rFonts w:ascii="Times New Roman" w:hAnsi="Times New Roman"/>
                <w:b/>
                <w:bCs/>
                <w:color w:val="000000"/>
                <w:sz w:val="22"/>
                <w:szCs w:val="22"/>
              </w:rPr>
            </w:pPr>
            <w:r>
              <w:rPr>
                <w:rFonts w:ascii="Times New Roman" w:hAnsi="Times New Roman"/>
                <w:spacing w:val="-3"/>
                <w:sz w:val="22"/>
                <w:szCs w:val="22"/>
              </w:rPr>
              <w:t>1:3 Group Supported Employment ($</w:t>
            </w:r>
            <w:r w:rsidR="00A938F7">
              <w:rPr>
                <w:rFonts w:ascii="Times New Roman" w:hAnsi="Times New Roman"/>
                <w:spacing w:val="-3"/>
                <w:sz w:val="22"/>
                <w:szCs w:val="22"/>
              </w:rPr>
              <w:t>35.96</w:t>
            </w:r>
            <w:r>
              <w:rPr>
                <w:rFonts w:ascii="Times New Roman" w:hAnsi="Times New Roman"/>
                <w:spacing w:val="-3"/>
                <w:sz w:val="22"/>
                <w:szCs w:val="22"/>
              </w:rPr>
              <w:t xml:space="preserve"> hourly)</w:t>
            </w:r>
          </w:p>
        </w:tc>
        <w:tc>
          <w:tcPr>
            <w:tcW w:w="3086" w:type="dxa"/>
            <w:noWrap/>
            <w:vAlign w:val="center"/>
          </w:tcPr>
          <w:p w14:paraId="16B45FDB" w14:textId="72F98698" w:rsidR="00166C81" w:rsidRPr="005265EF" w:rsidRDefault="00166C81" w:rsidP="0055168E">
            <w:pPr>
              <w:ind w:left="246"/>
              <w:jc w:val="center"/>
              <w:rPr>
                <w:rFonts w:ascii="Times New Roman" w:hAnsi="Times New Roman"/>
                <w:color w:val="000000"/>
                <w:sz w:val="22"/>
                <w:szCs w:val="22"/>
              </w:rPr>
            </w:pPr>
            <w:r>
              <w:rPr>
                <w:rFonts w:ascii="Times New Roman" w:hAnsi="Times New Roman"/>
                <w:spacing w:val="-3"/>
                <w:sz w:val="22"/>
                <w:szCs w:val="22"/>
              </w:rPr>
              <w:t>$</w:t>
            </w:r>
            <w:r w:rsidR="009D2E13">
              <w:rPr>
                <w:rFonts w:ascii="Times New Roman" w:hAnsi="Times New Roman"/>
                <w:spacing w:val="-3"/>
                <w:sz w:val="22"/>
                <w:szCs w:val="22"/>
              </w:rPr>
              <w:t>8.99</w:t>
            </w:r>
          </w:p>
        </w:tc>
      </w:tr>
    </w:tbl>
    <w:p w14:paraId="0B242304" w14:textId="77777777" w:rsidR="00146B4A" w:rsidRDefault="00146B4A">
      <w:pPr>
        <w:suppressAutoHyphens/>
        <w:ind w:left="720"/>
        <w:rPr>
          <w:rFonts w:ascii="Times New Roman" w:hAnsi="Times New Roman"/>
          <w:sz w:val="22"/>
          <w:szCs w:val="22"/>
        </w:rPr>
      </w:pPr>
    </w:p>
    <w:p w14:paraId="74AE61E6" w14:textId="77777777" w:rsidR="004361A9" w:rsidRDefault="004361A9">
      <w:pPr>
        <w:rPr>
          <w:rFonts w:ascii="Times New Roman" w:hAnsi="Times New Roman"/>
          <w:spacing w:val="-3"/>
          <w:sz w:val="22"/>
          <w:szCs w:val="22"/>
          <w:u w:val="single"/>
        </w:rPr>
      </w:pPr>
      <w:r>
        <w:rPr>
          <w:rFonts w:ascii="Times New Roman" w:hAnsi="Times New Roman"/>
          <w:spacing w:val="-3"/>
          <w:sz w:val="22"/>
          <w:szCs w:val="22"/>
          <w:u w:val="single"/>
        </w:rPr>
        <w:br w:type="page"/>
      </w:r>
    </w:p>
    <w:p w14:paraId="4876BAB0" w14:textId="5A0E610F"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lastRenderedPageBreak/>
        <w:t>4</w:t>
      </w:r>
      <w:r w:rsidRPr="005265EF">
        <w:rPr>
          <w:rFonts w:ascii="Times New Roman" w:hAnsi="Times New Roman"/>
          <w:spacing w:val="-3"/>
          <w:sz w:val="22"/>
          <w:szCs w:val="22"/>
          <w:u w:val="single"/>
        </w:rPr>
        <w:t>19.04:  Filing and Reporting Requirements</w:t>
      </w:r>
    </w:p>
    <w:p w14:paraId="0DE4C975" w14:textId="77777777" w:rsidR="00270557" w:rsidRPr="005265EF" w:rsidRDefault="00270557">
      <w:pPr>
        <w:suppressAutoHyphens/>
        <w:rPr>
          <w:rFonts w:ascii="Times New Roman" w:hAnsi="Times New Roman"/>
          <w:spacing w:val="-3"/>
          <w:sz w:val="22"/>
          <w:szCs w:val="22"/>
        </w:rPr>
      </w:pPr>
    </w:p>
    <w:p w14:paraId="1D1146FA"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(1) </w:t>
      </w:r>
      <w:r w:rsidR="003176A5">
        <w:rPr>
          <w:rFonts w:ascii="Times New Roman" w:hAnsi="Times New Roman"/>
          <w:spacing w:val="-3"/>
          <w:sz w:val="22"/>
          <w:szCs w:val="22"/>
        </w:rPr>
        <w:t xml:space="preserve"> </w:t>
      </w:r>
      <w:r w:rsidRPr="005265EF">
        <w:rPr>
          <w:rFonts w:ascii="Times New Roman" w:hAnsi="Times New Roman"/>
          <w:spacing w:val="-3"/>
          <w:sz w:val="22"/>
          <w:szCs w:val="22"/>
          <w:u w:val="single"/>
        </w:rPr>
        <w:t>General Provisions</w:t>
      </w:r>
      <w:r w:rsidRPr="005265EF">
        <w:rPr>
          <w:rFonts w:ascii="Times New Roman" w:hAnsi="Times New Roman"/>
          <w:spacing w:val="-3"/>
          <w:sz w:val="22"/>
          <w:szCs w:val="22"/>
        </w:rPr>
        <w:t>.</w:t>
      </w:r>
    </w:p>
    <w:p w14:paraId="3ADCA483" w14:textId="7B11332F"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(a)</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Accurate Data</w:t>
      </w:r>
      <w:r w:rsidRPr="005265EF">
        <w:rPr>
          <w:rFonts w:ascii="Times New Roman" w:hAnsi="Times New Roman"/>
          <w:spacing w:val="-3"/>
          <w:sz w:val="22"/>
          <w:szCs w:val="22"/>
        </w:rPr>
        <w:t xml:space="preserve">.  All reports, schedules, additional information, books, and records that are filed or made available to </w:t>
      </w:r>
      <w:r w:rsidR="003176A5">
        <w:rPr>
          <w:rFonts w:ascii="Times New Roman" w:hAnsi="Times New Roman"/>
          <w:spacing w:val="-3"/>
          <w:sz w:val="22"/>
          <w:szCs w:val="22"/>
        </w:rPr>
        <w:t>EOHHS must</w:t>
      </w:r>
      <w:r w:rsidRPr="005265EF">
        <w:rPr>
          <w:rFonts w:ascii="Times New Roman" w:hAnsi="Times New Roman"/>
          <w:spacing w:val="-3"/>
          <w:sz w:val="22"/>
          <w:szCs w:val="22"/>
        </w:rPr>
        <w:t xml:space="preserve"> be certified under pains and penalties of perjury as true, correct</w:t>
      </w:r>
      <w:r w:rsidR="003176A5">
        <w:rPr>
          <w:rFonts w:ascii="Times New Roman" w:hAnsi="Times New Roman"/>
          <w:spacing w:val="-3"/>
          <w:sz w:val="22"/>
          <w:szCs w:val="22"/>
        </w:rPr>
        <w:t>,</w:t>
      </w:r>
      <w:r w:rsidRPr="005265EF">
        <w:rPr>
          <w:rFonts w:ascii="Times New Roman" w:hAnsi="Times New Roman"/>
          <w:spacing w:val="-3"/>
          <w:sz w:val="22"/>
          <w:szCs w:val="22"/>
        </w:rPr>
        <w:t xml:space="preserve"> and accurate by the </w:t>
      </w:r>
      <w:r w:rsidR="005343AD">
        <w:rPr>
          <w:rFonts w:ascii="Times New Roman" w:hAnsi="Times New Roman"/>
          <w:spacing w:val="-3"/>
          <w:sz w:val="22"/>
          <w:szCs w:val="22"/>
        </w:rPr>
        <w:t>e</w:t>
      </w:r>
      <w:r w:rsidRPr="005265EF">
        <w:rPr>
          <w:rFonts w:ascii="Times New Roman" w:hAnsi="Times New Roman"/>
          <w:spacing w:val="-3"/>
          <w:sz w:val="22"/>
          <w:szCs w:val="22"/>
        </w:rPr>
        <w:t xml:space="preserve">xecutive </w:t>
      </w:r>
      <w:r w:rsidR="005343AD">
        <w:rPr>
          <w:rFonts w:ascii="Times New Roman" w:hAnsi="Times New Roman"/>
          <w:spacing w:val="-3"/>
          <w:sz w:val="22"/>
          <w:szCs w:val="22"/>
        </w:rPr>
        <w:t>d</w:t>
      </w:r>
      <w:r w:rsidRPr="005265EF">
        <w:rPr>
          <w:rFonts w:ascii="Times New Roman" w:hAnsi="Times New Roman"/>
          <w:spacing w:val="-3"/>
          <w:sz w:val="22"/>
          <w:szCs w:val="22"/>
        </w:rPr>
        <w:t xml:space="preserve">irector or </w:t>
      </w:r>
      <w:r w:rsidR="005343AD">
        <w:rPr>
          <w:rFonts w:ascii="Times New Roman" w:hAnsi="Times New Roman"/>
          <w:spacing w:val="-3"/>
          <w:sz w:val="22"/>
          <w:szCs w:val="22"/>
        </w:rPr>
        <w:t>c</w:t>
      </w:r>
      <w:r w:rsidRPr="005265EF">
        <w:rPr>
          <w:rFonts w:ascii="Times New Roman" w:hAnsi="Times New Roman"/>
          <w:spacing w:val="-3"/>
          <w:sz w:val="22"/>
          <w:szCs w:val="22"/>
        </w:rPr>
        <w:t xml:space="preserve">hief </w:t>
      </w:r>
      <w:r w:rsidR="005343AD">
        <w:rPr>
          <w:rFonts w:ascii="Times New Roman" w:hAnsi="Times New Roman"/>
          <w:spacing w:val="-3"/>
          <w:sz w:val="22"/>
          <w:szCs w:val="22"/>
        </w:rPr>
        <w:t>f</w:t>
      </w:r>
      <w:r w:rsidRPr="005265EF">
        <w:rPr>
          <w:rFonts w:ascii="Times New Roman" w:hAnsi="Times New Roman"/>
          <w:spacing w:val="-3"/>
          <w:sz w:val="22"/>
          <w:szCs w:val="22"/>
        </w:rPr>
        <w:t xml:space="preserve">inancial </w:t>
      </w:r>
      <w:r w:rsidR="005343AD">
        <w:rPr>
          <w:rFonts w:ascii="Times New Roman" w:hAnsi="Times New Roman"/>
          <w:spacing w:val="-3"/>
          <w:sz w:val="22"/>
          <w:szCs w:val="22"/>
        </w:rPr>
        <w:t>o</w:t>
      </w:r>
      <w:r w:rsidRPr="005265EF">
        <w:rPr>
          <w:rFonts w:ascii="Times New Roman" w:hAnsi="Times New Roman"/>
          <w:spacing w:val="-3"/>
          <w:sz w:val="22"/>
          <w:szCs w:val="22"/>
        </w:rPr>
        <w:t xml:space="preserve">fficer of the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w:t>
      </w:r>
    </w:p>
    <w:p w14:paraId="3D9FF834"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(b)</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Examination of Records</w:t>
      </w:r>
      <w:r w:rsidRPr="005265EF">
        <w:rPr>
          <w:rFonts w:ascii="Times New Roman" w:hAnsi="Times New Roman"/>
          <w:spacing w:val="-3"/>
          <w:sz w:val="22"/>
          <w:szCs w:val="22"/>
        </w:rPr>
        <w:t xml:space="preserve">.  Each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w:t>
      </w:r>
      <w:r w:rsidR="003176A5">
        <w:rPr>
          <w:rFonts w:ascii="Times New Roman" w:hAnsi="Times New Roman"/>
          <w:spacing w:val="-3"/>
          <w:sz w:val="22"/>
          <w:szCs w:val="22"/>
        </w:rPr>
        <w:t>must</w:t>
      </w:r>
      <w:r w:rsidR="003176A5"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make available to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or </w:t>
      </w:r>
      <w:r w:rsidR="003176A5">
        <w:rPr>
          <w:rFonts w:ascii="Times New Roman" w:hAnsi="Times New Roman"/>
          <w:spacing w:val="-3"/>
          <w:sz w:val="22"/>
          <w:szCs w:val="22"/>
        </w:rPr>
        <w:t xml:space="preserve">the </w:t>
      </w:r>
      <w:r w:rsidRPr="005265EF">
        <w:rPr>
          <w:rFonts w:ascii="Times New Roman" w:hAnsi="Times New Roman"/>
          <w:spacing w:val="-3"/>
          <w:sz w:val="22"/>
          <w:szCs w:val="22"/>
        </w:rPr>
        <w:t xml:space="preserve">purchasing </w:t>
      </w:r>
      <w:r w:rsidR="003176A5">
        <w:rPr>
          <w:rFonts w:ascii="Times New Roman" w:hAnsi="Times New Roman"/>
          <w:spacing w:val="-3"/>
          <w:sz w:val="22"/>
          <w:szCs w:val="22"/>
        </w:rPr>
        <w:t>g</w:t>
      </w:r>
      <w:r w:rsidRPr="005265EF">
        <w:rPr>
          <w:rFonts w:ascii="Times New Roman" w:hAnsi="Times New Roman"/>
          <w:spacing w:val="-3"/>
          <w:sz w:val="22"/>
          <w:szCs w:val="22"/>
        </w:rPr>
        <w:t xml:space="preserve">overnmental </w:t>
      </w:r>
      <w:r w:rsidR="003176A5">
        <w:rPr>
          <w:rFonts w:ascii="Times New Roman" w:hAnsi="Times New Roman"/>
          <w:spacing w:val="-3"/>
          <w:sz w:val="22"/>
          <w:szCs w:val="22"/>
        </w:rPr>
        <w:t>u</w:t>
      </w:r>
      <w:r w:rsidRPr="005265EF">
        <w:rPr>
          <w:rFonts w:ascii="Times New Roman" w:hAnsi="Times New Roman"/>
          <w:spacing w:val="-3"/>
          <w:sz w:val="22"/>
          <w:szCs w:val="22"/>
        </w:rPr>
        <w:t xml:space="preserve">nit upon request all records relating to its reported costs, including costs of any entity related by common ownership or control.  </w:t>
      </w:r>
    </w:p>
    <w:p w14:paraId="3C2767AF" w14:textId="1E3917DD" w:rsidR="00B44448" w:rsidRDefault="00270557" w:rsidP="004634B2">
      <w:pPr>
        <w:suppressAutoHyphens/>
        <w:ind w:left="720"/>
        <w:rPr>
          <w:rFonts w:ascii="Times New Roman" w:hAnsi="Times New Roman"/>
          <w:spacing w:val="-3"/>
          <w:sz w:val="22"/>
          <w:szCs w:val="22"/>
        </w:rPr>
      </w:pPr>
      <w:r w:rsidRPr="005265EF">
        <w:rPr>
          <w:rFonts w:ascii="Times New Roman" w:hAnsi="Times New Roman"/>
          <w:spacing w:val="-3"/>
          <w:sz w:val="22"/>
          <w:szCs w:val="22"/>
        </w:rPr>
        <w:t xml:space="preserve"> </w:t>
      </w:r>
    </w:p>
    <w:p w14:paraId="03B2A624" w14:textId="43AC182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(2)</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Required Reports</w:t>
      </w:r>
      <w:r w:rsidRPr="005265EF">
        <w:rPr>
          <w:rFonts w:ascii="Times New Roman" w:hAnsi="Times New Roman"/>
          <w:spacing w:val="-3"/>
          <w:sz w:val="22"/>
          <w:szCs w:val="22"/>
        </w:rPr>
        <w:t>.</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Each </w:t>
      </w:r>
      <w:r w:rsidR="003176A5">
        <w:rPr>
          <w:rFonts w:ascii="Times New Roman" w:hAnsi="Times New Roman"/>
          <w:spacing w:val="-3"/>
          <w:sz w:val="22"/>
          <w:szCs w:val="22"/>
        </w:rPr>
        <w:t>p</w:t>
      </w:r>
      <w:r w:rsidRPr="005265EF">
        <w:rPr>
          <w:rFonts w:ascii="Times New Roman" w:hAnsi="Times New Roman"/>
          <w:spacing w:val="-3"/>
          <w:sz w:val="22"/>
          <w:szCs w:val="22"/>
        </w:rPr>
        <w:t>rovider must file</w:t>
      </w:r>
    </w:p>
    <w:p w14:paraId="779C59E3"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(a)</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 annual Uniform Financial Statement</w:t>
      </w:r>
      <w:r w:rsidR="00CC2FFA">
        <w:rPr>
          <w:rFonts w:ascii="Times New Roman" w:hAnsi="Times New Roman"/>
          <w:spacing w:val="-3"/>
          <w:sz w:val="22"/>
          <w:szCs w:val="22"/>
        </w:rPr>
        <w:t>s</w:t>
      </w:r>
      <w:r w:rsidRPr="005265EF">
        <w:rPr>
          <w:rFonts w:ascii="Times New Roman" w:hAnsi="Times New Roman"/>
          <w:spacing w:val="-3"/>
          <w:sz w:val="22"/>
          <w:szCs w:val="22"/>
        </w:rPr>
        <w:t xml:space="preserve"> and Independent Auditor's </w:t>
      </w:r>
      <w:r w:rsidR="00B878FC">
        <w:rPr>
          <w:rFonts w:ascii="Times New Roman" w:hAnsi="Times New Roman"/>
          <w:spacing w:val="-3"/>
          <w:sz w:val="22"/>
          <w:szCs w:val="22"/>
        </w:rPr>
        <w:t>R</w:t>
      </w:r>
      <w:r w:rsidRPr="005265EF">
        <w:rPr>
          <w:rFonts w:ascii="Times New Roman" w:hAnsi="Times New Roman"/>
          <w:spacing w:val="-3"/>
          <w:sz w:val="22"/>
          <w:szCs w:val="22"/>
        </w:rPr>
        <w:t>eport completed in accordance with the filing requirements of 808 CMR 1.00</w:t>
      </w:r>
      <w:r w:rsidR="003176A5">
        <w:rPr>
          <w:rFonts w:ascii="Times New Roman" w:hAnsi="Times New Roman"/>
          <w:spacing w:val="-3"/>
          <w:sz w:val="22"/>
          <w:szCs w:val="22"/>
        </w:rPr>
        <w:t xml:space="preserve">:  </w:t>
      </w:r>
      <w:r w:rsidR="007C7BE1" w:rsidRPr="00116B41">
        <w:rPr>
          <w:rFonts w:ascii="Times New Roman" w:hAnsi="Times New Roman"/>
          <w:i/>
          <w:spacing w:val="-3"/>
          <w:sz w:val="22"/>
          <w:szCs w:val="22"/>
        </w:rPr>
        <w:t>Compliance, Reporting and Auditing for Human and Social Services</w:t>
      </w:r>
      <w:r w:rsidRPr="005265EF">
        <w:rPr>
          <w:rFonts w:ascii="Times New Roman" w:hAnsi="Times New Roman"/>
          <w:spacing w:val="-3"/>
          <w:sz w:val="22"/>
          <w:szCs w:val="22"/>
        </w:rPr>
        <w:t xml:space="preserve">; </w:t>
      </w:r>
    </w:p>
    <w:p w14:paraId="44315D1D"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(b)</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any </w:t>
      </w:r>
      <w:r w:rsidR="003176A5">
        <w:rPr>
          <w:rFonts w:ascii="Times New Roman" w:hAnsi="Times New Roman"/>
          <w:spacing w:val="-3"/>
          <w:sz w:val="22"/>
          <w:szCs w:val="22"/>
        </w:rPr>
        <w:t>c</w:t>
      </w:r>
      <w:r w:rsidRPr="005265EF">
        <w:rPr>
          <w:rFonts w:ascii="Times New Roman" w:hAnsi="Times New Roman"/>
          <w:spacing w:val="-3"/>
          <w:sz w:val="22"/>
          <w:szCs w:val="22"/>
        </w:rPr>
        <w:t xml:space="preserve">ost </w:t>
      </w:r>
      <w:r w:rsidR="003176A5">
        <w:rPr>
          <w:rFonts w:ascii="Times New Roman" w:hAnsi="Times New Roman"/>
          <w:spacing w:val="-3"/>
          <w:sz w:val="22"/>
          <w:szCs w:val="22"/>
        </w:rPr>
        <w:t>r</w:t>
      </w:r>
      <w:r w:rsidRPr="005265EF">
        <w:rPr>
          <w:rFonts w:ascii="Times New Roman" w:hAnsi="Times New Roman"/>
          <w:spacing w:val="-3"/>
          <w:sz w:val="22"/>
          <w:szCs w:val="22"/>
        </w:rPr>
        <w:t xml:space="preserve">eport supplemental schedule as issued by </w:t>
      </w:r>
      <w:r w:rsidR="003176A5">
        <w:rPr>
          <w:rFonts w:ascii="Times New Roman" w:hAnsi="Times New Roman"/>
          <w:spacing w:val="-3"/>
          <w:sz w:val="22"/>
          <w:szCs w:val="22"/>
        </w:rPr>
        <w:t>EOHHS</w:t>
      </w:r>
      <w:r w:rsidRPr="005265EF">
        <w:rPr>
          <w:rFonts w:ascii="Times New Roman" w:hAnsi="Times New Roman"/>
          <w:spacing w:val="-3"/>
          <w:sz w:val="22"/>
          <w:szCs w:val="22"/>
        </w:rPr>
        <w:t>; and</w:t>
      </w:r>
    </w:p>
    <w:p w14:paraId="34CE00EB" w14:textId="77777777" w:rsidR="00270557" w:rsidRPr="005265EF" w:rsidRDefault="00270557" w:rsidP="003176A5">
      <w:pPr>
        <w:suppressAutoHyphens/>
        <w:ind w:left="1080"/>
        <w:rPr>
          <w:rFonts w:ascii="Times New Roman" w:hAnsi="Times New Roman"/>
          <w:spacing w:val="-3"/>
          <w:sz w:val="22"/>
          <w:szCs w:val="22"/>
        </w:rPr>
      </w:pPr>
      <w:r w:rsidRPr="005265EF">
        <w:rPr>
          <w:rFonts w:ascii="Times New Roman" w:hAnsi="Times New Roman"/>
          <w:spacing w:val="-3"/>
          <w:sz w:val="22"/>
          <w:szCs w:val="22"/>
        </w:rPr>
        <w:t>(c)</w:t>
      </w:r>
      <w:r w:rsidR="003176A5">
        <w:rPr>
          <w:rFonts w:ascii="Times New Roman" w:hAnsi="Times New Roman"/>
          <w:spacing w:val="-3"/>
          <w:sz w:val="22"/>
          <w:szCs w:val="22"/>
        </w:rPr>
        <w:t xml:space="preserve"> </w:t>
      </w:r>
      <w:r w:rsidRPr="005265EF">
        <w:rPr>
          <w:rFonts w:ascii="Times New Roman" w:hAnsi="Times New Roman"/>
          <w:spacing w:val="-3"/>
          <w:sz w:val="22"/>
          <w:szCs w:val="22"/>
        </w:rPr>
        <w:t xml:space="preserve"> any additional information requested by </w:t>
      </w:r>
      <w:r w:rsidR="003176A5">
        <w:rPr>
          <w:rFonts w:ascii="Times New Roman" w:hAnsi="Times New Roman"/>
          <w:spacing w:val="-3"/>
          <w:sz w:val="22"/>
          <w:szCs w:val="22"/>
        </w:rPr>
        <w:t>EOHHS</w:t>
      </w:r>
      <w:r w:rsidRPr="005265EF">
        <w:rPr>
          <w:rFonts w:ascii="Times New Roman" w:hAnsi="Times New Roman"/>
          <w:spacing w:val="-3"/>
          <w:sz w:val="22"/>
          <w:szCs w:val="22"/>
        </w:rPr>
        <w:t xml:space="preserve"> within 21 days of a written request. </w:t>
      </w:r>
    </w:p>
    <w:p w14:paraId="5E0619FA" w14:textId="77777777" w:rsidR="00270557" w:rsidRPr="005265EF" w:rsidRDefault="00270557">
      <w:pPr>
        <w:suppressAutoHyphens/>
        <w:ind w:left="720"/>
        <w:rPr>
          <w:rFonts w:ascii="Times New Roman" w:hAnsi="Times New Roman"/>
          <w:spacing w:val="-3"/>
          <w:sz w:val="22"/>
          <w:szCs w:val="22"/>
        </w:rPr>
      </w:pPr>
    </w:p>
    <w:p w14:paraId="2B1F6729" w14:textId="77777777" w:rsidR="00270557" w:rsidRPr="005265EF" w:rsidRDefault="00270557">
      <w:pPr>
        <w:suppressAutoHyphens/>
        <w:ind w:left="720"/>
        <w:rPr>
          <w:rFonts w:ascii="Times New Roman" w:hAnsi="Times New Roman"/>
          <w:spacing w:val="-3"/>
          <w:sz w:val="22"/>
          <w:szCs w:val="22"/>
        </w:rPr>
      </w:pPr>
      <w:r w:rsidRPr="005265EF">
        <w:rPr>
          <w:rFonts w:ascii="Times New Roman" w:hAnsi="Times New Roman"/>
          <w:spacing w:val="-3"/>
          <w:sz w:val="22"/>
          <w:szCs w:val="22"/>
        </w:rPr>
        <w:t>(3)</w:t>
      </w:r>
      <w:r w:rsidR="003176A5">
        <w:rPr>
          <w:rFonts w:ascii="Times New Roman" w:hAnsi="Times New Roman"/>
          <w:spacing w:val="-3"/>
          <w:sz w:val="22"/>
          <w:szCs w:val="22"/>
        </w:rPr>
        <w:t xml:space="preserve"> </w:t>
      </w:r>
      <w:r w:rsidRPr="005265EF">
        <w:rPr>
          <w:rFonts w:ascii="Times New Roman" w:hAnsi="Times New Roman"/>
          <w:spacing w:val="-3"/>
          <w:sz w:val="22"/>
          <w:szCs w:val="22"/>
        </w:rPr>
        <w:t> </w:t>
      </w:r>
      <w:r w:rsidRPr="005265EF">
        <w:rPr>
          <w:rFonts w:ascii="Times New Roman" w:hAnsi="Times New Roman"/>
          <w:spacing w:val="-3"/>
          <w:sz w:val="22"/>
          <w:szCs w:val="22"/>
          <w:u w:val="single"/>
        </w:rPr>
        <w:t>Penalt</w:t>
      </w:r>
      <w:r w:rsidR="006A3404">
        <w:rPr>
          <w:rFonts w:ascii="Times New Roman" w:hAnsi="Times New Roman"/>
          <w:spacing w:val="-3"/>
          <w:sz w:val="22"/>
          <w:szCs w:val="22"/>
          <w:u w:val="single"/>
        </w:rPr>
        <w:t>y for Noncompliance</w:t>
      </w:r>
      <w:r w:rsidRPr="005265EF">
        <w:rPr>
          <w:rFonts w:ascii="Times New Roman" w:hAnsi="Times New Roman"/>
          <w:spacing w:val="-3"/>
          <w:sz w:val="22"/>
          <w:szCs w:val="22"/>
        </w:rPr>
        <w:t xml:space="preserve">. </w:t>
      </w:r>
      <w:r w:rsidR="003176A5">
        <w:rPr>
          <w:rFonts w:ascii="Times New Roman" w:hAnsi="Times New Roman"/>
          <w:spacing w:val="-3"/>
          <w:sz w:val="22"/>
          <w:szCs w:val="22"/>
        </w:rPr>
        <w:t xml:space="preserve"> </w:t>
      </w:r>
      <w:r w:rsidR="009B7479">
        <w:rPr>
          <w:rFonts w:ascii="Times New Roman" w:hAnsi="Times New Roman"/>
          <w:spacing w:val="-3"/>
          <w:sz w:val="22"/>
          <w:szCs w:val="22"/>
        </w:rPr>
        <w:t>The purchasing governmental unit</w:t>
      </w:r>
      <w:r w:rsidR="009B7479" w:rsidRPr="005265EF">
        <w:rPr>
          <w:rFonts w:ascii="Times New Roman" w:hAnsi="Times New Roman"/>
          <w:spacing w:val="-3"/>
          <w:sz w:val="22"/>
          <w:szCs w:val="22"/>
        </w:rPr>
        <w:t xml:space="preserve"> </w:t>
      </w:r>
      <w:r w:rsidRPr="005265EF">
        <w:rPr>
          <w:rFonts w:ascii="Times New Roman" w:hAnsi="Times New Roman"/>
          <w:spacing w:val="-3"/>
          <w:sz w:val="22"/>
          <w:szCs w:val="22"/>
        </w:rPr>
        <w:t xml:space="preserve">may </w:t>
      </w:r>
      <w:r w:rsidR="00A37F3A">
        <w:rPr>
          <w:rFonts w:ascii="Times New Roman" w:hAnsi="Times New Roman"/>
          <w:spacing w:val="-3"/>
          <w:sz w:val="22"/>
          <w:szCs w:val="22"/>
        </w:rPr>
        <w:t>impose a penalty in the amount of up to</w:t>
      </w:r>
      <w:r w:rsidRPr="005265EF">
        <w:rPr>
          <w:rFonts w:ascii="Times New Roman" w:hAnsi="Times New Roman"/>
          <w:spacing w:val="-3"/>
          <w:sz w:val="22"/>
          <w:szCs w:val="22"/>
        </w:rPr>
        <w:t xml:space="preserve"> 15% </w:t>
      </w:r>
      <w:r w:rsidR="00A37F3A">
        <w:rPr>
          <w:rFonts w:ascii="Times New Roman" w:hAnsi="Times New Roman"/>
          <w:spacing w:val="-3"/>
          <w:sz w:val="22"/>
          <w:szCs w:val="22"/>
        </w:rPr>
        <w:t>of its payments to</w:t>
      </w:r>
      <w:r w:rsidRPr="005265EF">
        <w:rPr>
          <w:rFonts w:ascii="Times New Roman" w:hAnsi="Times New Roman"/>
          <w:spacing w:val="-3"/>
          <w:sz w:val="22"/>
          <w:szCs w:val="22"/>
        </w:rPr>
        <w:t xml:space="preserve"> any </w:t>
      </w:r>
      <w:r w:rsidR="003176A5">
        <w:rPr>
          <w:rFonts w:ascii="Times New Roman" w:hAnsi="Times New Roman"/>
          <w:spacing w:val="-3"/>
          <w:sz w:val="22"/>
          <w:szCs w:val="22"/>
        </w:rPr>
        <w:t>p</w:t>
      </w:r>
      <w:r w:rsidRPr="005265EF">
        <w:rPr>
          <w:rFonts w:ascii="Times New Roman" w:hAnsi="Times New Roman"/>
          <w:spacing w:val="-3"/>
          <w:sz w:val="22"/>
          <w:szCs w:val="22"/>
        </w:rPr>
        <w:t>rovider that fails to submit required information</w:t>
      </w:r>
      <w:r w:rsidR="009B7479">
        <w:rPr>
          <w:rFonts w:ascii="Times New Roman" w:hAnsi="Times New Roman"/>
          <w:spacing w:val="-3"/>
          <w:sz w:val="22"/>
          <w:szCs w:val="22"/>
        </w:rPr>
        <w:t>. The purchasing governmental unit</w:t>
      </w:r>
      <w:r w:rsidRPr="005265EF">
        <w:rPr>
          <w:rFonts w:ascii="Times New Roman" w:hAnsi="Times New Roman"/>
          <w:spacing w:val="-3"/>
          <w:sz w:val="22"/>
          <w:szCs w:val="22"/>
        </w:rPr>
        <w:t xml:space="preserve"> will notify the </w:t>
      </w:r>
      <w:r w:rsidR="003176A5">
        <w:rPr>
          <w:rFonts w:ascii="Times New Roman" w:hAnsi="Times New Roman"/>
          <w:spacing w:val="-3"/>
          <w:sz w:val="22"/>
          <w:szCs w:val="22"/>
        </w:rPr>
        <w:t>p</w:t>
      </w:r>
      <w:r w:rsidRPr="005265EF">
        <w:rPr>
          <w:rFonts w:ascii="Times New Roman" w:hAnsi="Times New Roman"/>
          <w:spacing w:val="-3"/>
          <w:sz w:val="22"/>
          <w:szCs w:val="22"/>
        </w:rPr>
        <w:t xml:space="preserve">rovider in advance of its intention to impose a </w:t>
      </w:r>
      <w:r w:rsidR="00A37F3A">
        <w:rPr>
          <w:rFonts w:ascii="Times New Roman" w:hAnsi="Times New Roman"/>
          <w:spacing w:val="-3"/>
          <w:sz w:val="22"/>
          <w:szCs w:val="22"/>
        </w:rPr>
        <w:t xml:space="preserve">penalty under </w:t>
      </w:r>
      <w:r w:rsidR="00CC2FFA">
        <w:rPr>
          <w:rFonts w:ascii="Times New Roman" w:hAnsi="Times New Roman"/>
          <w:spacing w:val="-3"/>
          <w:sz w:val="22"/>
          <w:szCs w:val="22"/>
        </w:rPr>
        <w:t>101 CMR 419.04(3)</w:t>
      </w:r>
      <w:r w:rsidR="009B7479">
        <w:rPr>
          <w:rFonts w:ascii="Times New Roman" w:hAnsi="Times New Roman"/>
          <w:spacing w:val="-3"/>
          <w:sz w:val="22"/>
          <w:szCs w:val="22"/>
        </w:rPr>
        <w:t>.</w:t>
      </w:r>
    </w:p>
    <w:p w14:paraId="6EC5537A" w14:textId="77777777" w:rsidR="009B7479" w:rsidRDefault="009B7479">
      <w:pPr>
        <w:suppressAutoHyphens/>
        <w:rPr>
          <w:rFonts w:ascii="Times New Roman" w:hAnsi="Times New Roman"/>
          <w:spacing w:val="-3"/>
          <w:sz w:val="22"/>
          <w:szCs w:val="22"/>
          <w:u w:val="single"/>
        </w:rPr>
      </w:pPr>
    </w:p>
    <w:p w14:paraId="23206961" w14:textId="77777777" w:rsidR="00270557" w:rsidRPr="005265EF" w:rsidRDefault="00270557">
      <w:pPr>
        <w:suppressAutoHyphens/>
        <w:rPr>
          <w:rFonts w:ascii="Times New Roman" w:hAnsi="Times New Roman"/>
          <w:spacing w:val="-3"/>
          <w:sz w:val="22"/>
          <w:szCs w:val="22"/>
        </w:rPr>
      </w:pPr>
      <w:r>
        <w:rPr>
          <w:rFonts w:ascii="Times New Roman" w:hAnsi="Times New Roman"/>
          <w:spacing w:val="-3"/>
          <w:sz w:val="22"/>
          <w:szCs w:val="22"/>
          <w:u w:val="single"/>
        </w:rPr>
        <w:t>4</w:t>
      </w:r>
      <w:r w:rsidRPr="005265EF">
        <w:rPr>
          <w:rFonts w:ascii="Times New Roman" w:hAnsi="Times New Roman"/>
          <w:spacing w:val="-3"/>
          <w:sz w:val="22"/>
          <w:szCs w:val="22"/>
          <w:u w:val="single"/>
        </w:rPr>
        <w:t>19.05:  Severability</w:t>
      </w:r>
    </w:p>
    <w:p w14:paraId="2D778408" w14:textId="77777777" w:rsidR="00270557" w:rsidRPr="005265EF" w:rsidRDefault="00270557">
      <w:pPr>
        <w:suppressAutoHyphens/>
        <w:rPr>
          <w:rFonts w:ascii="Times New Roman" w:hAnsi="Times New Roman"/>
          <w:spacing w:val="-3"/>
          <w:sz w:val="22"/>
          <w:szCs w:val="22"/>
        </w:rPr>
      </w:pPr>
    </w:p>
    <w:p w14:paraId="5D10FFEB" w14:textId="05F738CC" w:rsidR="00270557" w:rsidRPr="005265EF" w:rsidRDefault="003176A5" w:rsidP="00116B41">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270557" w:rsidRPr="005265EF">
        <w:rPr>
          <w:rFonts w:ascii="Times New Roman" w:hAnsi="Times New Roman"/>
          <w:spacing w:val="-3"/>
          <w:sz w:val="22"/>
          <w:szCs w:val="22"/>
        </w:rPr>
        <w:t>The provisions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19.00 are severable. If any provision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 xml:space="preserve">19.00 or application of </w:t>
      </w:r>
      <w:r w:rsidR="00410B3A">
        <w:rPr>
          <w:rFonts w:ascii="Times New Roman" w:hAnsi="Times New Roman"/>
          <w:spacing w:val="-3"/>
          <w:sz w:val="22"/>
          <w:szCs w:val="22"/>
        </w:rPr>
        <w:t>any</w:t>
      </w:r>
      <w:r w:rsidR="00410B3A" w:rsidRPr="005265EF">
        <w:rPr>
          <w:rFonts w:ascii="Times New Roman" w:hAnsi="Times New Roman"/>
          <w:spacing w:val="-3"/>
          <w:sz w:val="22"/>
          <w:szCs w:val="22"/>
        </w:rPr>
        <w:t xml:space="preserve"> </w:t>
      </w:r>
      <w:r w:rsidR="00270557" w:rsidRPr="005265EF">
        <w:rPr>
          <w:rFonts w:ascii="Times New Roman" w:hAnsi="Times New Roman"/>
          <w:spacing w:val="-3"/>
          <w:sz w:val="22"/>
          <w:szCs w:val="22"/>
        </w:rPr>
        <w:t>provision to an</w:t>
      </w:r>
      <w:r w:rsidR="007512FB">
        <w:rPr>
          <w:rFonts w:ascii="Times New Roman" w:hAnsi="Times New Roman"/>
          <w:spacing w:val="-3"/>
          <w:sz w:val="22"/>
          <w:szCs w:val="22"/>
        </w:rPr>
        <w:t xml:space="preserve"> </w:t>
      </w:r>
      <w:r w:rsidR="003500A9">
        <w:rPr>
          <w:rFonts w:ascii="Times New Roman" w:hAnsi="Times New Roman"/>
          <w:spacing w:val="-3"/>
          <w:sz w:val="22"/>
          <w:szCs w:val="22"/>
        </w:rPr>
        <w:t xml:space="preserve">applicable </w:t>
      </w:r>
      <w:r w:rsidR="00E84AA1">
        <w:rPr>
          <w:rFonts w:ascii="Times New Roman" w:hAnsi="Times New Roman"/>
          <w:spacing w:val="-3"/>
          <w:sz w:val="22"/>
          <w:szCs w:val="22"/>
        </w:rPr>
        <w:t>individual, entity, or circumstance</w:t>
      </w:r>
      <w:r w:rsidR="00270557" w:rsidRPr="005265EF">
        <w:rPr>
          <w:rFonts w:ascii="Times New Roman" w:hAnsi="Times New Roman"/>
          <w:spacing w:val="-3"/>
          <w:sz w:val="22"/>
          <w:szCs w:val="22"/>
        </w:rPr>
        <w:t xml:space="preserve"> is held invalid or unconstitutional, </w:t>
      </w:r>
      <w:r w:rsidR="00E84AA1">
        <w:rPr>
          <w:rFonts w:ascii="Times New Roman" w:hAnsi="Times New Roman"/>
          <w:spacing w:val="-3"/>
          <w:sz w:val="22"/>
          <w:szCs w:val="22"/>
        </w:rPr>
        <w:t>that holding</w:t>
      </w:r>
      <w:r w:rsidR="00270557" w:rsidRPr="005265EF">
        <w:rPr>
          <w:rFonts w:ascii="Times New Roman" w:hAnsi="Times New Roman"/>
          <w:spacing w:val="-3"/>
          <w:sz w:val="22"/>
          <w:szCs w:val="22"/>
        </w:rPr>
        <w:t xml:space="preserve"> will not </w:t>
      </w:r>
      <w:r w:rsidR="00E84AA1">
        <w:rPr>
          <w:rFonts w:ascii="Times New Roman" w:hAnsi="Times New Roman"/>
          <w:spacing w:val="-3"/>
          <w:sz w:val="22"/>
          <w:szCs w:val="22"/>
        </w:rPr>
        <w:t xml:space="preserve">be construed to </w:t>
      </w:r>
      <w:r w:rsidR="00270557" w:rsidRPr="005265EF">
        <w:rPr>
          <w:rFonts w:ascii="Times New Roman" w:hAnsi="Times New Roman"/>
          <w:spacing w:val="-3"/>
          <w:sz w:val="22"/>
          <w:szCs w:val="22"/>
        </w:rPr>
        <w:t>affect the validity or constitutionality of any remaining provisions of 1</w:t>
      </w:r>
      <w:r w:rsidR="00270557">
        <w:rPr>
          <w:rFonts w:ascii="Times New Roman" w:hAnsi="Times New Roman"/>
          <w:spacing w:val="-3"/>
          <w:sz w:val="22"/>
          <w:szCs w:val="22"/>
        </w:rPr>
        <w:t>0</w:t>
      </w:r>
      <w:r w:rsidR="00270557" w:rsidRPr="005265EF">
        <w:rPr>
          <w:rFonts w:ascii="Times New Roman" w:hAnsi="Times New Roman"/>
          <w:spacing w:val="-3"/>
          <w:sz w:val="22"/>
          <w:szCs w:val="22"/>
        </w:rPr>
        <w:t xml:space="preserve">1 CMR </w:t>
      </w:r>
      <w:r w:rsidR="00270557">
        <w:rPr>
          <w:rFonts w:ascii="Times New Roman" w:hAnsi="Times New Roman"/>
          <w:spacing w:val="-3"/>
          <w:sz w:val="22"/>
          <w:szCs w:val="22"/>
        </w:rPr>
        <w:t>4</w:t>
      </w:r>
      <w:r w:rsidR="00270557" w:rsidRPr="005265EF">
        <w:rPr>
          <w:rFonts w:ascii="Times New Roman" w:hAnsi="Times New Roman"/>
          <w:spacing w:val="-3"/>
          <w:sz w:val="22"/>
          <w:szCs w:val="22"/>
        </w:rPr>
        <w:t xml:space="preserve">19.00 or application of </w:t>
      </w:r>
      <w:r w:rsidR="00E84AA1">
        <w:rPr>
          <w:rFonts w:ascii="Times New Roman" w:hAnsi="Times New Roman"/>
          <w:spacing w:val="-3"/>
          <w:sz w:val="22"/>
          <w:szCs w:val="22"/>
        </w:rPr>
        <w:t>those</w:t>
      </w:r>
      <w:r w:rsidR="00E84AA1" w:rsidRPr="005265EF">
        <w:rPr>
          <w:rFonts w:ascii="Times New Roman" w:hAnsi="Times New Roman"/>
          <w:spacing w:val="-3"/>
          <w:sz w:val="22"/>
          <w:szCs w:val="22"/>
        </w:rPr>
        <w:t xml:space="preserve"> </w:t>
      </w:r>
      <w:r w:rsidR="00270557" w:rsidRPr="005265EF">
        <w:rPr>
          <w:rFonts w:ascii="Times New Roman" w:hAnsi="Times New Roman"/>
          <w:spacing w:val="-3"/>
          <w:sz w:val="22"/>
          <w:szCs w:val="22"/>
        </w:rPr>
        <w:t xml:space="preserve">provisions to </w:t>
      </w:r>
      <w:r w:rsidR="0090727A">
        <w:rPr>
          <w:rFonts w:ascii="Times New Roman" w:hAnsi="Times New Roman"/>
          <w:spacing w:val="-3"/>
          <w:sz w:val="22"/>
          <w:szCs w:val="22"/>
        </w:rPr>
        <w:t>applicable individuals, entities, or circumstances</w:t>
      </w:r>
      <w:r w:rsidR="00270557" w:rsidRPr="005265EF">
        <w:rPr>
          <w:rFonts w:ascii="Times New Roman" w:hAnsi="Times New Roman"/>
          <w:spacing w:val="-3"/>
          <w:sz w:val="22"/>
          <w:szCs w:val="22"/>
        </w:rPr>
        <w:t>.</w:t>
      </w:r>
    </w:p>
    <w:p w14:paraId="7036D27B" w14:textId="77777777" w:rsidR="00270557" w:rsidRDefault="00270557">
      <w:pPr>
        <w:suppressAutoHyphens/>
        <w:rPr>
          <w:rFonts w:ascii="Times New Roman" w:hAnsi="Times New Roman"/>
          <w:spacing w:val="-3"/>
          <w:sz w:val="22"/>
          <w:szCs w:val="22"/>
        </w:rPr>
      </w:pPr>
    </w:p>
    <w:p w14:paraId="0235990C" w14:textId="77777777" w:rsidR="003176A5" w:rsidRPr="005265EF" w:rsidRDefault="003176A5">
      <w:pPr>
        <w:suppressAutoHyphens/>
        <w:rPr>
          <w:rFonts w:ascii="Times New Roman" w:hAnsi="Times New Roman"/>
          <w:spacing w:val="-3"/>
          <w:sz w:val="22"/>
          <w:szCs w:val="22"/>
        </w:rPr>
      </w:pPr>
    </w:p>
    <w:p w14:paraId="5D3D0540" w14:textId="77777777" w:rsidR="00270557" w:rsidRPr="005265EF" w:rsidRDefault="00270557">
      <w:pPr>
        <w:suppressAutoHyphens/>
        <w:rPr>
          <w:rFonts w:ascii="Times New Roman" w:hAnsi="Times New Roman"/>
          <w:spacing w:val="-3"/>
          <w:sz w:val="22"/>
          <w:szCs w:val="22"/>
        </w:rPr>
      </w:pPr>
      <w:r w:rsidRPr="005265EF">
        <w:rPr>
          <w:rFonts w:ascii="Times New Roman" w:hAnsi="Times New Roman"/>
          <w:spacing w:val="-3"/>
          <w:sz w:val="22"/>
          <w:szCs w:val="22"/>
        </w:rPr>
        <w:t>REGULATORY AUTHORITY</w:t>
      </w:r>
    </w:p>
    <w:p w14:paraId="08FF4252" w14:textId="77777777" w:rsidR="00270557" w:rsidRPr="005265EF" w:rsidRDefault="00270557">
      <w:pPr>
        <w:suppressAutoHyphens/>
        <w:rPr>
          <w:rFonts w:ascii="Times New Roman" w:hAnsi="Times New Roman"/>
          <w:spacing w:val="-3"/>
          <w:sz w:val="22"/>
          <w:szCs w:val="22"/>
        </w:rPr>
      </w:pPr>
    </w:p>
    <w:p w14:paraId="439FF4A4" w14:textId="77777777" w:rsidR="00270557" w:rsidRDefault="00270557" w:rsidP="00116B41">
      <w:pPr>
        <w:suppressAutoHyphens/>
        <w:ind w:left="720"/>
        <w:rPr>
          <w:rFonts w:ascii="Times New Roman" w:hAnsi="Times New Roman"/>
          <w:spacing w:val="-3"/>
          <w:sz w:val="22"/>
          <w:szCs w:val="22"/>
        </w:rPr>
      </w:pPr>
      <w:r w:rsidRPr="005265EF">
        <w:rPr>
          <w:rFonts w:ascii="Times New Roman" w:hAnsi="Times New Roman"/>
          <w:spacing w:val="-3"/>
          <w:sz w:val="22"/>
          <w:szCs w:val="22"/>
        </w:rPr>
        <w:t>1</w:t>
      </w:r>
      <w:r>
        <w:rPr>
          <w:rFonts w:ascii="Times New Roman" w:hAnsi="Times New Roman"/>
          <w:spacing w:val="-3"/>
          <w:sz w:val="22"/>
          <w:szCs w:val="22"/>
        </w:rPr>
        <w:t>0</w:t>
      </w:r>
      <w:r w:rsidRPr="005265EF">
        <w:rPr>
          <w:rFonts w:ascii="Times New Roman" w:hAnsi="Times New Roman"/>
          <w:spacing w:val="-3"/>
          <w:sz w:val="22"/>
          <w:szCs w:val="22"/>
        </w:rPr>
        <w:t xml:space="preserve">1 CMR </w:t>
      </w:r>
      <w:r>
        <w:rPr>
          <w:rFonts w:ascii="Times New Roman" w:hAnsi="Times New Roman"/>
          <w:spacing w:val="-3"/>
          <w:sz w:val="22"/>
          <w:szCs w:val="22"/>
        </w:rPr>
        <w:t>4</w:t>
      </w:r>
      <w:r w:rsidRPr="005265EF">
        <w:rPr>
          <w:rFonts w:ascii="Times New Roman" w:hAnsi="Times New Roman"/>
          <w:spacing w:val="-3"/>
          <w:sz w:val="22"/>
          <w:szCs w:val="22"/>
        </w:rPr>
        <w:t>19.00:  M.G.L. c</w:t>
      </w:r>
      <w:r>
        <w:rPr>
          <w:rFonts w:ascii="Times New Roman" w:hAnsi="Times New Roman"/>
          <w:spacing w:val="-3"/>
          <w:sz w:val="22"/>
          <w:szCs w:val="22"/>
        </w:rPr>
        <w:t>.</w:t>
      </w:r>
      <w:r w:rsidRPr="005265EF">
        <w:rPr>
          <w:rFonts w:ascii="Times New Roman" w:hAnsi="Times New Roman"/>
          <w:spacing w:val="-3"/>
          <w:sz w:val="22"/>
          <w:szCs w:val="22"/>
        </w:rPr>
        <w:t xml:space="preserve"> 118</w:t>
      </w:r>
      <w:r>
        <w:rPr>
          <w:rFonts w:ascii="Times New Roman" w:hAnsi="Times New Roman"/>
          <w:spacing w:val="-3"/>
          <w:sz w:val="22"/>
          <w:szCs w:val="22"/>
        </w:rPr>
        <w:t>E</w:t>
      </w:r>
      <w:r w:rsidR="00A2396F">
        <w:rPr>
          <w:rFonts w:ascii="Times New Roman" w:hAnsi="Times New Roman"/>
          <w:spacing w:val="-3"/>
          <w:sz w:val="22"/>
          <w:szCs w:val="22"/>
        </w:rPr>
        <w:t>.</w:t>
      </w:r>
      <w:r>
        <w:rPr>
          <w:rFonts w:ascii="Times New Roman" w:hAnsi="Times New Roman"/>
          <w:spacing w:val="-3"/>
          <w:sz w:val="22"/>
          <w:szCs w:val="22"/>
        </w:rPr>
        <w:t xml:space="preserve"> </w:t>
      </w:r>
    </w:p>
    <w:sectPr w:rsidR="00270557" w:rsidSect="00116B4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6A94" w14:textId="77777777" w:rsidR="00D10B56" w:rsidRDefault="00D10B56">
      <w:pPr>
        <w:spacing w:line="20" w:lineRule="exact"/>
      </w:pPr>
    </w:p>
  </w:endnote>
  <w:endnote w:type="continuationSeparator" w:id="0">
    <w:p w14:paraId="32BFF83D" w14:textId="77777777" w:rsidR="00D10B56" w:rsidRDefault="00D10B56">
      <w:r>
        <w:t xml:space="preserve"> </w:t>
      </w:r>
    </w:p>
  </w:endnote>
  <w:endnote w:type="continuationNotice" w:id="1">
    <w:p w14:paraId="519563E7" w14:textId="77777777" w:rsidR="00D10B56" w:rsidRDefault="00D10B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8DF3" w14:textId="77777777" w:rsidR="00A43141" w:rsidRDefault="00A43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467F" w14:textId="77777777" w:rsidR="00270557" w:rsidRDefault="00270557">
    <w:pPr>
      <w:spacing w:before="140" w:line="100" w:lineRule="exact"/>
      <w:rPr>
        <w:sz w:val="10"/>
      </w:rPr>
    </w:pPr>
  </w:p>
  <w:p w14:paraId="3DA03C0C" w14:textId="77777777" w:rsidR="00270557" w:rsidRDefault="00270557">
    <w:pPr>
      <w:suppressAutoHyphens/>
      <w:jc w:val="both"/>
    </w:pPr>
  </w:p>
  <w:p w14:paraId="472C5DE5" w14:textId="77777777" w:rsidR="00270557" w:rsidRDefault="00073038">
    <w:r>
      <w:rPr>
        <w:noProof/>
      </w:rPr>
      <mc:AlternateContent>
        <mc:Choice Requires="wps">
          <w:drawing>
            <wp:anchor distT="0" distB="0" distL="114300" distR="114300" simplePos="0" relativeHeight="251657728" behindDoc="0" locked="0" layoutInCell="0" allowOverlap="1" wp14:anchorId="798367A5" wp14:editId="412C126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CB2E85" w14:textId="77777777" w:rsidR="00270557" w:rsidRPr="005E7C1C" w:rsidRDefault="00270557">
                          <w:pPr>
                            <w:tabs>
                              <w:tab w:val="center" w:pos="4680"/>
                              <w:tab w:val="right" w:pos="9360"/>
                            </w:tabs>
                            <w:rPr>
                              <w:rFonts w:ascii="Times New Roman" w:hAnsi="Times New Roman"/>
                              <w:spacing w:val="-3"/>
                              <w:sz w:val="22"/>
                              <w:szCs w:val="22"/>
                            </w:rPr>
                          </w:pPr>
                          <w:r>
                            <w:tab/>
                          </w:r>
                          <w:r w:rsidRPr="005E7C1C">
                            <w:rPr>
                              <w:rFonts w:ascii="Times New Roman" w:hAnsi="Times New Roman"/>
                              <w:spacing w:val="-3"/>
                              <w:sz w:val="22"/>
                              <w:szCs w:val="22"/>
                            </w:rPr>
                            <w:fldChar w:fldCharType="begin"/>
                          </w:r>
                          <w:r w:rsidRPr="005E7C1C">
                            <w:rPr>
                              <w:rFonts w:ascii="Times New Roman" w:hAnsi="Times New Roman"/>
                              <w:spacing w:val="-3"/>
                              <w:sz w:val="22"/>
                              <w:szCs w:val="22"/>
                            </w:rPr>
                            <w:instrText>page \* arabic</w:instrText>
                          </w:r>
                          <w:r w:rsidRPr="005E7C1C">
                            <w:rPr>
                              <w:rFonts w:ascii="Times New Roman" w:hAnsi="Times New Roman"/>
                              <w:spacing w:val="-3"/>
                              <w:sz w:val="22"/>
                              <w:szCs w:val="22"/>
                            </w:rPr>
                            <w:fldChar w:fldCharType="separate"/>
                          </w:r>
                          <w:r w:rsidR="0054365C">
                            <w:rPr>
                              <w:rFonts w:ascii="Times New Roman" w:hAnsi="Times New Roman"/>
                              <w:noProof/>
                              <w:spacing w:val="-3"/>
                              <w:sz w:val="22"/>
                              <w:szCs w:val="22"/>
                            </w:rPr>
                            <w:t>1</w:t>
                          </w:r>
                          <w:r w:rsidRPr="005E7C1C">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67A5"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52CB2E85" w14:textId="77777777" w:rsidR="00270557" w:rsidRPr="005E7C1C" w:rsidRDefault="00270557">
                    <w:pPr>
                      <w:tabs>
                        <w:tab w:val="center" w:pos="4680"/>
                        <w:tab w:val="right" w:pos="9360"/>
                      </w:tabs>
                      <w:rPr>
                        <w:rFonts w:ascii="Times New Roman" w:hAnsi="Times New Roman"/>
                        <w:spacing w:val="-3"/>
                        <w:sz w:val="22"/>
                        <w:szCs w:val="22"/>
                      </w:rPr>
                    </w:pPr>
                    <w:r>
                      <w:tab/>
                    </w:r>
                    <w:r w:rsidRPr="005E7C1C">
                      <w:rPr>
                        <w:rFonts w:ascii="Times New Roman" w:hAnsi="Times New Roman"/>
                        <w:spacing w:val="-3"/>
                        <w:sz w:val="22"/>
                        <w:szCs w:val="22"/>
                      </w:rPr>
                      <w:fldChar w:fldCharType="begin"/>
                    </w:r>
                    <w:r w:rsidRPr="005E7C1C">
                      <w:rPr>
                        <w:rFonts w:ascii="Times New Roman" w:hAnsi="Times New Roman"/>
                        <w:spacing w:val="-3"/>
                        <w:sz w:val="22"/>
                        <w:szCs w:val="22"/>
                      </w:rPr>
                      <w:instrText>page \* arabic</w:instrText>
                    </w:r>
                    <w:r w:rsidRPr="005E7C1C">
                      <w:rPr>
                        <w:rFonts w:ascii="Times New Roman" w:hAnsi="Times New Roman"/>
                        <w:spacing w:val="-3"/>
                        <w:sz w:val="22"/>
                        <w:szCs w:val="22"/>
                      </w:rPr>
                      <w:fldChar w:fldCharType="separate"/>
                    </w:r>
                    <w:r w:rsidR="0054365C">
                      <w:rPr>
                        <w:rFonts w:ascii="Times New Roman" w:hAnsi="Times New Roman"/>
                        <w:noProof/>
                        <w:spacing w:val="-3"/>
                        <w:sz w:val="22"/>
                        <w:szCs w:val="22"/>
                      </w:rPr>
                      <w:t>1</w:t>
                    </w:r>
                    <w:r w:rsidRPr="005E7C1C">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B671" w14:textId="77777777" w:rsidR="00A43141" w:rsidRDefault="00A4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CDB7" w14:textId="77777777" w:rsidR="00D10B56" w:rsidRDefault="00D10B56">
      <w:r>
        <w:separator/>
      </w:r>
    </w:p>
  </w:footnote>
  <w:footnote w:type="continuationSeparator" w:id="0">
    <w:p w14:paraId="0C2A0725" w14:textId="77777777" w:rsidR="00D10B56" w:rsidRDefault="00D10B56">
      <w:r>
        <w:continuationSeparator/>
      </w:r>
    </w:p>
  </w:footnote>
  <w:footnote w:type="continuationNotice" w:id="1">
    <w:p w14:paraId="753FF63E" w14:textId="77777777" w:rsidR="00D10B56" w:rsidRDefault="00D10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6961" w14:textId="77777777" w:rsidR="00A43141" w:rsidRDefault="00A4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9EC9" w14:textId="5A8AC78E" w:rsidR="0062215C" w:rsidRDefault="004F1CEE">
    <w:pPr>
      <w:pStyle w:val="Header"/>
      <w:jc w:val="right"/>
      <w:rPr>
        <w:rFonts w:ascii="Times New Roman" w:hAnsi="Times New Roman"/>
        <w:sz w:val="22"/>
        <w:szCs w:val="22"/>
      </w:rPr>
    </w:pPr>
    <w:r>
      <w:rPr>
        <w:rFonts w:ascii="Times New Roman" w:hAnsi="Times New Roman"/>
        <w:sz w:val="22"/>
        <w:szCs w:val="22"/>
      </w:rPr>
      <w:t xml:space="preserve">Proposed </w:t>
    </w:r>
    <w:r w:rsidR="00821581">
      <w:rPr>
        <w:rFonts w:ascii="Times New Roman" w:hAnsi="Times New Roman"/>
        <w:sz w:val="22"/>
        <w:szCs w:val="22"/>
      </w:rPr>
      <w:t>Regulation</w:t>
    </w:r>
  </w:p>
  <w:p w14:paraId="01F243D0" w14:textId="5BDA774A" w:rsidR="00050D23" w:rsidRPr="00A37F3A" w:rsidRDefault="007156B7">
    <w:pPr>
      <w:pStyle w:val="Header"/>
      <w:jc w:val="right"/>
      <w:rPr>
        <w:rFonts w:ascii="Times New Roman" w:hAnsi="Times New Roman"/>
        <w:sz w:val="22"/>
        <w:szCs w:val="22"/>
      </w:rPr>
    </w:pPr>
    <w:r>
      <w:rPr>
        <w:rFonts w:ascii="Times New Roman" w:hAnsi="Times New Roman"/>
        <w:sz w:val="22"/>
        <w:szCs w:val="22"/>
      </w:rPr>
      <w:t xml:space="preserve">Date Filed:  </w:t>
    </w:r>
    <w:r w:rsidR="003776B2">
      <w:rPr>
        <w:rFonts w:ascii="Times New Roman" w:hAnsi="Times New Roman"/>
        <w:sz w:val="22"/>
        <w:szCs w:val="22"/>
      </w:rPr>
      <w:t xml:space="preserve">June </w:t>
    </w:r>
    <w:r w:rsidR="00A43141">
      <w:rPr>
        <w:rFonts w:ascii="Times New Roman" w:hAnsi="Times New Roman"/>
        <w:sz w:val="22"/>
        <w:szCs w:val="22"/>
      </w:rPr>
      <w:t>18</w:t>
    </w:r>
    <w:r w:rsidR="003776B2">
      <w:rPr>
        <w:rFonts w:ascii="Times New Roman" w:hAnsi="Times New Roman"/>
        <w:sz w:val="22"/>
        <w:szCs w:val="22"/>
      </w:rPr>
      <w:t>, 2025</w:t>
    </w:r>
  </w:p>
  <w:p w14:paraId="46203E48" w14:textId="77777777" w:rsidR="0062215C" w:rsidRDefault="0062215C">
    <w:pPr>
      <w:pStyle w:val="Header"/>
      <w:jc w:val="right"/>
      <w:rPr>
        <w:rFonts w:ascii="Times New Roman" w:hAnsi="Times New Roman"/>
      </w:rPr>
    </w:pPr>
  </w:p>
  <w:p w14:paraId="5E022114" w14:textId="77777777" w:rsidR="00270557" w:rsidRPr="00497987" w:rsidRDefault="00270557" w:rsidP="00497987">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12BBF3B4" w14:textId="77777777" w:rsidR="00270557" w:rsidRDefault="00270557">
    <w:pPr>
      <w:pStyle w:val="Header"/>
      <w:jc w:val="right"/>
      <w:rPr>
        <w:rFonts w:ascii="Times New Roman" w:hAnsi="Times New Roman"/>
      </w:rPr>
    </w:pPr>
  </w:p>
  <w:p w14:paraId="4F810865" w14:textId="77777777" w:rsidR="00270557" w:rsidRDefault="00270557">
    <w:pPr>
      <w:pStyle w:val="Header"/>
      <w:jc w:val="center"/>
      <w:rPr>
        <w:rFonts w:ascii="Times New Roman" w:hAnsi="Times New Roman"/>
        <w:sz w:val="22"/>
        <w:szCs w:val="22"/>
      </w:rPr>
    </w:pPr>
    <w:r>
      <w:rPr>
        <w:rFonts w:ascii="Times New Roman" w:hAnsi="Times New Roman"/>
        <w:sz w:val="22"/>
        <w:szCs w:val="22"/>
      </w:rPr>
      <w:t xml:space="preserve">101 CMR 419.00: </w:t>
    </w:r>
    <w:r w:rsidR="003931A8">
      <w:rPr>
        <w:rFonts w:ascii="Times New Roman" w:hAnsi="Times New Roman"/>
        <w:sz w:val="22"/>
        <w:szCs w:val="22"/>
      </w:rPr>
      <w:t xml:space="preserve"> </w:t>
    </w:r>
    <w:r>
      <w:rPr>
        <w:rFonts w:ascii="Times New Roman" w:hAnsi="Times New Roman"/>
        <w:sz w:val="22"/>
        <w:szCs w:val="22"/>
      </w:rPr>
      <w:t>RATES FOR SUPPORTED EMPLOYMENT SERVICES</w:t>
    </w:r>
  </w:p>
  <w:p w14:paraId="242BF9E3" w14:textId="77777777" w:rsidR="00270557" w:rsidRDefault="002705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253A" w14:textId="77777777" w:rsidR="00A43141" w:rsidRDefault="00A4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40251327">
    <w:abstractNumId w:val="2"/>
  </w:num>
  <w:num w:numId="2" w16cid:durableId="1857578180">
    <w:abstractNumId w:val="8"/>
  </w:num>
  <w:num w:numId="3" w16cid:durableId="64423605">
    <w:abstractNumId w:val="6"/>
  </w:num>
  <w:num w:numId="4" w16cid:durableId="72355443">
    <w:abstractNumId w:val="1"/>
  </w:num>
  <w:num w:numId="5" w16cid:durableId="458114534">
    <w:abstractNumId w:val="5"/>
  </w:num>
  <w:num w:numId="6" w16cid:durableId="1096169560">
    <w:abstractNumId w:val="4"/>
  </w:num>
  <w:num w:numId="7" w16cid:durableId="10178488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24462">
    <w:abstractNumId w:val="3"/>
  </w:num>
  <w:num w:numId="9" w16cid:durableId="136731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2"/>
    <w:rsid w:val="00001C10"/>
    <w:rsid w:val="00005C73"/>
    <w:rsid w:val="00013FEF"/>
    <w:rsid w:val="00042513"/>
    <w:rsid w:val="00043F98"/>
    <w:rsid w:val="00050D23"/>
    <w:rsid w:val="000530FA"/>
    <w:rsid w:val="00057D9B"/>
    <w:rsid w:val="00070DC2"/>
    <w:rsid w:val="00073038"/>
    <w:rsid w:val="00085928"/>
    <w:rsid w:val="000877E2"/>
    <w:rsid w:val="00091C33"/>
    <w:rsid w:val="000A3413"/>
    <w:rsid w:val="000C51E8"/>
    <w:rsid w:val="000D567B"/>
    <w:rsid w:val="000D6E31"/>
    <w:rsid w:val="000E3FFF"/>
    <w:rsid w:val="000F10C3"/>
    <w:rsid w:val="00116B41"/>
    <w:rsid w:val="00142571"/>
    <w:rsid w:val="00146B4A"/>
    <w:rsid w:val="00160FF8"/>
    <w:rsid w:val="00161329"/>
    <w:rsid w:val="00166C81"/>
    <w:rsid w:val="001840E5"/>
    <w:rsid w:val="00187893"/>
    <w:rsid w:val="001962E6"/>
    <w:rsid w:val="001C69AC"/>
    <w:rsid w:val="001C7938"/>
    <w:rsid w:val="001D0B21"/>
    <w:rsid w:val="001F05A1"/>
    <w:rsid w:val="001F11AC"/>
    <w:rsid w:val="001F5054"/>
    <w:rsid w:val="001F7BE8"/>
    <w:rsid w:val="002064CF"/>
    <w:rsid w:val="002161C9"/>
    <w:rsid w:val="00221BD3"/>
    <w:rsid w:val="00226F2D"/>
    <w:rsid w:val="00246E2E"/>
    <w:rsid w:val="00246FB4"/>
    <w:rsid w:val="002547C0"/>
    <w:rsid w:val="00270557"/>
    <w:rsid w:val="00276D4B"/>
    <w:rsid w:val="00281A3B"/>
    <w:rsid w:val="00281C09"/>
    <w:rsid w:val="00281C81"/>
    <w:rsid w:val="002875DF"/>
    <w:rsid w:val="00292A40"/>
    <w:rsid w:val="002947C9"/>
    <w:rsid w:val="002A5A62"/>
    <w:rsid w:val="002C1167"/>
    <w:rsid w:val="002D26C9"/>
    <w:rsid w:val="002F7C89"/>
    <w:rsid w:val="0031374D"/>
    <w:rsid w:val="00315717"/>
    <w:rsid w:val="003176A5"/>
    <w:rsid w:val="003207F9"/>
    <w:rsid w:val="00323DF5"/>
    <w:rsid w:val="00334D3E"/>
    <w:rsid w:val="003500A9"/>
    <w:rsid w:val="003776B2"/>
    <w:rsid w:val="003830ED"/>
    <w:rsid w:val="003859F8"/>
    <w:rsid w:val="00386CDA"/>
    <w:rsid w:val="0038773D"/>
    <w:rsid w:val="003930CA"/>
    <w:rsid w:val="003931A8"/>
    <w:rsid w:val="003942EF"/>
    <w:rsid w:val="003A54A6"/>
    <w:rsid w:val="003B5547"/>
    <w:rsid w:val="003B6BD1"/>
    <w:rsid w:val="003C729B"/>
    <w:rsid w:val="003D452A"/>
    <w:rsid w:val="003E0E44"/>
    <w:rsid w:val="003E2FF6"/>
    <w:rsid w:val="003F062B"/>
    <w:rsid w:val="003F4748"/>
    <w:rsid w:val="00403C62"/>
    <w:rsid w:val="00405184"/>
    <w:rsid w:val="00410B3A"/>
    <w:rsid w:val="004172BD"/>
    <w:rsid w:val="00420BB0"/>
    <w:rsid w:val="00430502"/>
    <w:rsid w:val="004361A9"/>
    <w:rsid w:val="00450AD3"/>
    <w:rsid w:val="00453809"/>
    <w:rsid w:val="00455E35"/>
    <w:rsid w:val="004610D9"/>
    <w:rsid w:val="004630F8"/>
    <w:rsid w:val="004634B2"/>
    <w:rsid w:val="00463B8A"/>
    <w:rsid w:val="0046742F"/>
    <w:rsid w:val="004749CB"/>
    <w:rsid w:val="00497987"/>
    <w:rsid w:val="004A5726"/>
    <w:rsid w:val="004A7A86"/>
    <w:rsid w:val="004B2F7B"/>
    <w:rsid w:val="004B32B0"/>
    <w:rsid w:val="004C2A87"/>
    <w:rsid w:val="004D2282"/>
    <w:rsid w:val="004D63DB"/>
    <w:rsid w:val="004E716E"/>
    <w:rsid w:val="004F1CEE"/>
    <w:rsid w:val="005265EF"/>
    <w:rsid w:val="005343AD"/>
    <w:rsid w:val="0054365C"/>
    <w:rsid w:val="0055168E"/>
    <w:rsid w:val="00565413"/>
    <w:rsid w:val="00584FB5"/>
    <w:rsid w:val="00586F2D"/>
    <w:rsid w:val="005A38A6"/>
    <w:rsid w:val="005C0584"/>
    <w:rsid w:val="005D04C0"/>
    <w:rsid w:val="005D2CBE"/>
    <w:rsid w:val="005D300D"/>
    <w:rsid w:val="005D6367"/>
    <w:rsid w:val="005E7C1C"/>
    <w:rsid w:val="005F0772"/>
    <w:rsid w:val="005F098B"/>
    <w:rsid w:val="00605A4E"/>
    <w:rsid w:val="00606F7F"/>
    <w:rsid w:val="00611DAC"/>
    <w:rsid w:val="00612CD4"/>
    <w:rsid w:val="00613361"/>
    <w:rsid w:val="00614E83"/>
    <w:rsid w:val="0062215C"/>
    <w:rsid w:val="00630D43"/>
    <w:rsid w:val="00637CDC"/>
    <w:rsid w:val="00647235"/>
    <w:rsid w:val="00654E1B"/>
    <w:rsid w:val="00663670"/>
    <w:rsid w:val="00671E99"/>
    <w:rsid w:val="00680971"/>
    <w:rsid w:val="00686C58"/>
    <w:rsid w:val="00692A21"/>
    <w:rsid w:val="006940A3"/>
    <w:rsid w:val="006A1184"/>
    <w:rsid w:val="006A3404"/>
    <w:rsid w:val="006A4D55"/>
    <w:rsid w:val="006B6946"/>
    <w:rsid w:val="006C1E3D"/>
    <w:rsid w:val="006D4108"/>
    <w:rsid w:val="006E53E6"/>
    <w:rsid w:val="006F28EE"/>
    <w:rsid w:val="006F3B8E"/>
    <w:rsid w:val="00702933"/>
    <w:rsid w:val="007125F4"/>
    <w:rsid w:val="007156B7"/>
    <w:rsid w:val="00715B67"/>
    <w:rsid w:val="00723484"/>
    <w:rsid w:val="0072546F"/>
    <w:rsid w:val="0072771B"/>
    <w:rsid w:val="00732089"/>
    <w:rsid w:val="00747726"/>
    <w:rsid w:val="007512FB"/>
    <w:rsid w:val="00755F95"/>
    <w:rsid w:val="00757340"/>
    <w:rsid w:val="00757A57"/>
    <w:rsid w:val="00761A37"/>
    <w:rsid w:val="007645F1"/>
    <w:rsid w:val="00781053"/>
    <w:rsid w:val="00786525"/>
    <w:rsid w:val="00791790"/>
    <w:rsid w:val="0079329D"/>
    <w:rsid w:val="007A0D38"/>
    <w:rsid w:val="007A1E2C"/>
    <w:rsid w:val="007A266D"/>
    <w:rsid w:val="007B3DD7"/>
    <w:rsid w:val="007B7AEE"/>
    <w:rsid w:val="007C216B"/>
    <w:rsid w:val="007C2F92"/>
    <w:rsid w:val="007C7BE1"/>
    <w:rsid w:val="007D4D0B"/>
    <w:rsid w:val="007D7F8B"/>
    <w:rsid w:val="007F0118"/>
    <w:rsid w:val="007F47AB"/>
    <w:rsid w:val="007F5486"/>
    <w:rsid w:val="00801567"/>
    <w:rsid w:val="0080338D"/>
    <w:rsid w:val="00804F33"/>
    <w:rsid w:val="008069B9"/>
    <w:rsid w:val="0081039A"/>
    <w:rsid w:val="00815BE2"/>
    <w:rsid w:val="0082033B"/>
    <w:rsid w:val="00820A8F"/>
    <w:rsid w:val="00821581"/>
    <w:rsid w:val="00823794"/>
    <w:rsid w:val="00833EA6"/>
    <w:rsid w:val="0083463D"/>
    <w:rsid w:val="00840145"/>
    <w:rsid w:val="008410E8"/>
    <w:rsid w:val="00841BFD"/>
    <w:rsid w:val="0085110C"/>
    <w:rsid w:val="00863816"/>
    <w:rsid w:val="00866A98"/>
    <w:rsid w:val="00872C33"/>
    <w:rsid w:val="008828C1"/>
    <w:rsid w:val="008903A6"/>
    <w:rsid w:val="008A19F6"/>
    <w:rsid w:val="008B12F7"/>
    <w:rsid w:val="008B1308"/>
    <w:rsid w:val="008D6CBF"/>
    <w:rsid w:val="008F730D"/>
    <w:rsid w:val="009070C9"/>
    <w:rsid w:val="0090727A"/>
    <w:rsid w:val="00911D5A"/>
    <w:rsid w:val="00926AAB"/>
    <w:rsid w:val="00927534"/>
    <w:rsid w:val="00935D63"/>
    <w:rsid w:val="00945EC1"/>
    <w:rsid w:val="009626EF"/>
    <w:rsid w:val="00965B7A"/>
    <w:rsid w:val="00974A91"/>
    <w:rsid w:val="00976138"/>
    <w:rsid w:val="00982314"/>
    <w:rsid w:val="00985B8C"/>
    <w:rsid w:val="009876D5"/>
    <w:rsid w:val="009A265C"/>
    <w:rsid w:val="009A3D20"/>
    <w:rsid w:val="009A7F18"/>
    <w:rsid w:val="009B7479"/>
    <w:rsid w:val="009C00B5"/>
    <w:rsid w:val="009C47E9"/>
    <w:rsid w:val="009D2D8F"/>
    <w:rsid w:val="009D2E13"/>
    <w:rsid w:val="009F68EC"/>
    <w:rsid w:val="00A0716A"/>
    <w:rsid w:val="00A16A86"/>
    <w:rsid w:val="00A2396F"/>
    <w:rsid w:val="00A343F2"/>
    <w:rsid w:val="00A37B96"/>
    <w:rsid w:val="00A37F3A"/>
    <w:rsid w:val="00A43141"/>
    <w:rsid w:val="00A53D4B"/>
    <w:rsid w:val="00A72D96"/>
    <w:rsid w:val="00A74370"/>
    <w:rsid w:val="00A75120"/>
    <w:rsid w:val="00A85A9B"/>
    <w:rsid w:val="00A87024"/>
    <w:rsid w:val="00A91E2C"/>
    <w:rsid w:val="00A91E44"/>
    <w:rsid w:val="00A938F7"/>
    <w:rsid w:val="00AC0FE6"/>
    <w:rsid w:val="00AC4FD0"/>
    <w:rsid w:val="00AD235F"/>
    <w:rsid w:val="00AD68F4"/>
    <w:rsid w:val="00AD6A70"/>
    <w:rsid w:val="00AD7663"/>
    <w:rsid w:val="00AE34A4"/>
    <w:rsid w:val="00AE525A"/>
    <w:rsid w:val="00AF17BE"/>
    <w:rsid w:val="00AF542E"/>
    <w:rsid w:val="00B03BCB"/>
    <w:rsid w:val="00B04EC8"/>
    <w:rsid w:val="00B44448"/>
    <w:rsid w:val="00B44D01"/>
    <w:rsid w:val="00B54B5C"/>
    <w:rsid w:val="00B557D6"/>
    <w:rsid w:val="00B6747C"/>
    <w:rsid w:val="00B7589F"/>
    <w:rsid w:val="00B80D7C"/>
    <w:rsid w:val="00B83380"/>
    <w:rsid w:val="00B84AA9"/>
    <w:rsid w:val="00B878FC"/>
    <w:rsid w:val="00B90CC7"/>
    <w:rsid w:val="00B90D1F"/>
    <w:rsid w:val="00BA6B2E"/>
    <w:rsid w:val="00BA7F60"/>
    <w:rsid w:val="00BB1B0E"/>
    <w:rsid w:val="00BC1D7C"/>
    <w:rsid w:val="00BD130B"/>
    <w:rsid w:val="00BF5DC7"/>
    <w:rsid w:val="00BF79E7"/>
    <w:rsid w:val="00C022EF"/>
    <w:rsid w:val="00C030C3"/>
    <w:rsid w:val="00C129BF"/>
    <w:rsid w:val="00C20DAD"/>
    <w:rsid w:val="00C25E9E"/>
    <w:rsid w:val="00C31410"/>
    <w:rsid w:val="00C33558"/>
    <w:rsid w:val="00C33D6A"/>
    <w:rsid w:val="00C4190A"/>
    <w:rsid w:val="00C47584"/>
    <w:rsid w:val="00C52490"/>
    <w:rsid w:val="00C56D83"/>
    <w:rsid w:val="00C72F77"/>
    <w:rsid w:val="00C86864"/>
    <w:rsid w:val="00C875EB"/>
    <w:rsid w:val="00C87B7C"/>
    <w:rsid w:val="00CA42DE"/>
    <w:rsid w:val="00CA502A"/>
    <w:rsid w:val="00CC2FFA"/>
    <w:rsid w:val="00CC3C81"/>
    <w:rsid w:val="00CE38DB"/>
    <w:rsid w:val="00CE4367"/>
    <w:rsid w:val="00CE60FD"/>
    <w:rsid w:val="00CE734B"/>
    <w:rsid w:val="00D10B56"/>
    <w:rsid w:val="00D122FE"/>
    <w:rsid w:val="00D2248E"/>
    <w:rsid w:val="00D41D98"/>
    <w:rsid w:val="00D55F83"/>
    <w:rsid w:val="00D56359"/>
    <w:rsid w:val="00D64A3A"/>
    <w:rsid w:val="00D8049B"/>
    <w:rsid w:val="00D806CD"/>
    <w:rsid w:val="00D84F99"/>
    <w:rsid w:val="00D8500A"/>
    <w:rsid w:val="00D90B9F"/>
    <w:rsid w:val="00D9599C"/>
    <w:rsid w:val="00D97C38"/>
    <w:rsid w:val="00DA356D"/>
    <w:rsid w:val="00DC4312"/>
    <w:rsid w:val="00DD1493"/>
    <w:rsid w:val="00DD20EA"/>
    <w:rsid w:val="00DE128F"/>
    <w:rsid w:val="00DE24B0"/>
    <w:rsid w:val="00DE29F1"/>
    <w:rsid w:val="00DE38F0"/>
    <w:rsid w:val="00DE551A"/>
    <w:rsid w:val="00DE5E60"/>
    <w:rsid w:val="00DE5FFE"/>
    <w:rsid w:val="00DE7010"/>
    <w:rsid w:val="00DF0E34"/>
    <w:rsid w:val="00DF21D9"/>
    <w:rsid w:val="00DF4423"/>
    <w:rsid w:val="00DF565A"/>
    <w:rsid w:val="00E0549F"/>
    <w:rsid w:val="00E064B3"/>
    <w:rsid w:val="00E14712"/>
    <w:rsid w:val="00E65AAD"/>
    <w:rsid w:val="00E67E10"/>
    <w:rsid w:val="00E77252"/>
    <w:rsid w:val="00E80748"/>
    <w:rsid w:val="00E84AA1"/>
    <w:rsid w:val="00E91C5B"/>
    <w:rsid w:val="00E94E56"/>
    <w:rsid w:val="00EA1D71"/>
    <w:rsid w:val="00EA7947"/>
    <w:rsid w:val="00ED1323"/>
    <w:rsid w:val="00ED526C"/>
    <w:rsid w:val="00F02C03"/>
    <w:rsid w:val="00F06036"/>
    <w:rsid w:val="00F16DFB"/>
    <w:rsid w:val="00F33AAC"/>
    <w:rsid w:val="00F343B9"/>
    <w:rsid w:val="00F6076E"/>
    <w:rsid w:val="00F6112A"/>
    <w:rsid w:val="00F63B36"/>
    <w:rsid w:val="00F7396C"/>
    <w:rsid w:val="00F751C9"/>
    <w:rsid w:val="00F860B7"/>
    <w:rsid w:val="00FB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B0505"/>
  <w15:docId w15:val="{216EEFC0-E5EF-4225-9BA7-CE3E6359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AA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65AAD"/>
    <w:pPr>
      <w:tabs>
        <w:tab w:val="left" w:leader="dot" w:pos="9000"/>
        <w:tab w:val="right" w:pos="9360"/>
      </w:tabs>
      <w:suppressAutoHyphens/>
      <w:spacing w:before="480"/>
      <w:ind w:left="720" w:right="720" w:hanging="720"/>
    </w:pPr>
  </w:style>
  <w:style w:type="paragraph" w:styleId="TOC2">
    <w:name w:val="toc 2"/>
    <w:basedOn w:val="Normal"/>
    <w:next w:val="Normal"/>
    <w:semiHidden/>
    <w:rsid w:val="00E65AAD"/>
    <w:pPr>
      <w:tabs>
        <w:tab w:val="left" w:leader="dot" w:pos="9000"/>
        <w:tab w:val="right" w:pos="9360"/>
      </w:tabs>
      <w:suppressAutoHyphens/>
      <w:ind w:left="1440" w:right="720" w:hanging="720"/>
    </w:pPr>
  </w:style>
  <w:style w:type="paragraph" w:styleId="TOC3">
    <w:name w:val="toc 3"/>
    <w:basedOn w:val="Normal"/>
    <w:next w:val="Normal"/>
    <w:semiHidden/>
    <w:rsid w:val="00E65AAD"/>
    <w:pPr>
      <w:tabs>
        <w:tab w:val="left" w:leader="dot" w:pos="9000"/>
        <w:tab w:val="right" w:pos="9360"/>
      </w:tabs>
      <w:suppressAutoHyphens/>
      <w:ind w:left="2160" w:right="720" w:hanging="720"/>
    </w:pPr>
  </w:style>
  <w:style w:type="paragraph" w:styleId="TOC4">
    <w:name w:val="toc 4"/>
    <w:basedOn w:val="Normal"/>
    <w:next w:val="Normal"/>
    <w:semiHidden/>
    <w:rsid w:val="00E65AAD"/>
    <w:pPr>
      <w:tabs>
        <w:tab w:val="left" w:leader="dot" w:pos="9000"/>
        <w:tab w:val="right" w:pos="9360"/>
      </w:tabs>
      <w:suppressAutoHyphens/>
      <w:ind w:left="2880" w:right="720" w:hanging="720"/>
    </w:pPr>
  </w:style>
  <w:style w:type="paragraph" w:styleId="TOC5">
    <w:name w:val="toc 5"/>
    <w:basedOn w:val="Normal"/>
    <w:next w:val="Normal"/>
    <w:semiHidden/>
    <w:rsid w:val="00E65AAD"/>
    <w:pPr>
      <w:tabs>
        <w:tab w:val="left" w:leader="dot" w:pos="9000"/>
        <w:tab w:val="right" w:pos="9360"/>
      </w:tabs>
      <w:suppressAutoHyphens/>
      <w:ind w:left="3600" w:right="720" w:hanging="720"/>
    </w:pPr>
  </w:style>
  <w:style w:type="paragraph" w:styleId="TOC6">
    <w:name w:val="toc 6"/>
    <w:basedOn w:val="Normal"/>
    <w:next w:val="Normal"/>
    <w:semiHidden/>
    <w:rsid w:val="00E65AAD"/>
    <w:pPr>
      <w:tabs>
        <w:tab w:val="left" w:pos="9000"/>
        <w:tab w:val="right" w:pos="9360"/>
      </w:tabs>
      <w:suppressAutoHyphens/>
      <w:ind w:left="720" w:hanging="720"/>
    </w:pPr>
  </w:style>
  <w:style w:type="paragraph" w:styleId="TOC7">
    <w:name w:val="toc 7"/>
    <w:basedOn w:val="Normal"/>
    <w:next w:val="Normal"/>
    <w:semiHidden/>
    <w:rsid w:val="00E65AAD"/>
    <w:pPr>
      <w:suppressAutoHyphens/>
      <w:ind w:left="720" w:hanging="720"/>
    </w:pPr>
  </w:style>
  <w:style w:type="paragraph" w:styleId="TOC8">
    <w:name w:val="toc 8"/>
    <w:basedOn w:val="Normal"/>
    <w:next w:val="Normal"/>
    <w:semiHidden/>
    <w:rsid w:val="00E65AAD"/>
    <w:pPr>
      <w:tabs>
        <w:tab w:val="left" w:pos="9000"/>
        <w:tab w:val="right" w:pos="9360"/>
      </w:tabs>
      <w:suppressAutoHyphens/>
      <w:ind w:left="720" w:hanging="720"/>
    </w:pPr>
  </w:style>
  <w:style w:type="paragraph" w:styleId="TOC9">
    <w:name w:val="toc 9"/>
    <w:basedOn w:val="Normal"/>
    <w:next w:val="Normal"/>
    <w:semiHidden/>
    <w:rsid w:val="00E65AAD"/>
    <w:pPr>
      <w:tabs>
        <w:tab w:val="left" w:leader="dot" w:pos="9000"/>
        <w:tab w:val="right" w:pos="9360"/>
      </w:tabs>
      <w:suppressAutoHyphens/>
      <w:ind w:left="720" w:hanging="720"/>
    </w:pPr>
  </w:style>
  <w:style w:type="paragraph" w:styleId="Index1">
    <w:name w:val="index 1"/>
    <w:basedOn w:val="Normal"/>
    <w:next w:val="Normal"/>
    <w:semiHidden/>
    <w:rsid w:val="00E65AAD"/>
    <w:pPr>
      <w:tabs>
        <w:tab w:val="left" w:leader="dot" w:pos="9000"/>
        <w:tab w:val="right" w:pos="9360"/>
      </w:tabs>
      <w:suppressAutoHyphens/>
      <w:ind w:left="1440" w:right="720" w:hanging="1440"/>
    </w:pPr>
  </w:style>
  <w:style w:type="paragraph" w:styleId="Index2">
    <w:name w:val="index 2"/>
    <w:basedOn w:val="Normal"/>
    <w:next w:val="Normal"/>
    <w:semiHidden/>
    <w:rsid w:val="00E65AAD"/>
    <w:pPr>
      <w:tabs>
        <w:tab w:val="left" w:leader="dot" w:pos="9000"/>
        <w:tab w:val="right" w:pos="9360"/>
      </w:tabs>
      <w:suppressAutoHyphens/>
      <w:ind w:left="1440" w:right="720" w:hanging="720"/>
    </w:pPr>
  </w:style>
  <w:style w:type="paragraph" w:styleId="TOAHeading">
    <w:name w:val="toa heading"/>
    <w:basedOn w:val="Normal"/>
    <w:next w:val="Normal"/>
    <w:semiHidden/>
    <w:rsid w:val="00E65AAD"/>
    <w:pPr>
      <w:tabs>
        <w:tab w:val="left" w:pos="9000"/>
        <w:tab w:val="right" w:pos="9360"/>
      </w:tabs>
      <w:suppressAutoHyphens/>
    </w:pPr>
  </w:style>
  <w:style w:type="paragraph" w:styleId="Caption">
    <w:name w:val="caption"/>
    <w:basedOn w:val="Normal"/>
    <w:next w:val="Normal"/>
    <w:qFormat/>
    <w:rsid w:val="00E65AAD"/>
  </w:style>
  <w:style w:type="character" w:customStyle="1" w:styleId="EquationCaption">
    <w:name w:val="_Equation Caption"/>
    <w:rsid w:val="00E65AAD"/>
  </w:style>
  <w:style w:type="paragraph" w:styleId="BalloonText">
    <w:name w:val="Balloon Text"/>
    <w:basedOn w:val="Normal"/>
    <w:link w:val="BalloonTextChar"/>
    <w:semiHidden/>
    <w:rsid w:val="00E65AAD"/>
    <w:rPr>
      <w:rFonts w:ascii="Tahoma" w:hAnsi="Tahoma" w:cs="Tahoma"/>
      <w:sz w:val="16"/>
      <w:szCs w:val="16"/>
    </w:rPr>
  </w:style>
  <w:style w:type="character" w:customStyle="1" w:styleId="BalloonTextChar">
    <w:name w:val="Balloon Text Char"/>
    <w:link w:val="BalloonText"/>
    <w:semiHidden/>
    <w:locked/>
    <w:rsid w:val="00B6747C"/>
    <w:rPr>
      <w:rFonts w:cs="Times New Roman"/>
      <w:sz w:val="2"/>
    </w:rPr>
  </w:style>
  <w:style w:type="paragraph" w:styleId="Header">
    <w:name w:val="header"/>
    <w:basedOn w:val="Normal"/>
    <w:link w:val="HeaderChar"/>
    <w:semiHidden/>
    <w:rsid w:val="00E65AAD"/>
    <w:pPr>
      <w:tabs>
        <w:tab w:val="center" w:pos="4320"/>
        <w:tab w:val="right" w:pos="8640"/>
      </w:tabs>
    </w:pPr>
  </w:style>
  <w:style w:type="character" w:customStyle="1" w:styleId="HeaderChar">
    <w:name w:val="Header Char"/>
    <w:link w:val="Header"/>
    <w:semiHidden/>
    <w:locked/>
    <w:rsid w:val="00B6747C"/>
    <w:rPr>
      <w:rFonts w:ascii="Courier New" w:hAnsi="Courier New" w:cs="Times New Roman"/>
      <w:sz w:val="20"/>
      <w:szCs w:val="20"/>
    </w:rPr>
  </w:style>
  <w:style w:type="paragraph" w:styleId="Footer">
    <w:name w:val="footer"/>
    <w:basedOn w:val="Normal"/>
    <w:link w:val="FooterChar"/>
    <w:semiHidden/>
    <w:rsid w:val="00E65AAD"/>
    <w:pPr>
      <w:tabs>
        <w:tab w:val="center" w:pos="4320"/>
        <w:tab w:val="right" w:pos="8640"/>
      </w:tabs>
    </w:pPr>
  </w:style>
  <w:style w:type="character" w:customStyle="1" w:styleId="FooterChar">
    <w:name w:val="Footer Char"/>
    <w:link w:val="Footer"/>
    <w:semiHidden/>
    <w:locked/>
    <w:rsid w:val="00B6747C"/>
    <w:rPr>
      <w:rFonts w:ascii="Courier New" w:hAnsi="Courier New" w:cs="Times New Roman"/>
      <w:sz w:val="20"/>
      <w:szCs w:val="20"/>
    </w:rPr>
  </w:style>
  <w:style w:type="character" w:styleId="CommentReference">
    <w:name w:val="annotation reference"/>
    <w:semiHidden/>
    <w:rsid w:val="00E65AAD"/>
    <w:rPr>
      <w:rFonts w:cs="Times New Roman"/>
      <w:sz w:val="16"/>
    </w:rPr>
  </w:style>
  <w:style w:type="paragraph" w:styleId="CommentText">
    <w:name w:val="annotation text"/>
    <w:basedOn w:val="Normal"/>
    <w:link w:val="CommentTextChar"/>
    <w:semiHidden/>
    <w:rsid w:val="00E65AAD"/>
    <w:rPr>
      <w:sz w:val="20"/>
    </w:rPr>
  </w:style>
  <w:style w:type="character" w:customStyle="1" w:styleId="CommentTextChar">
    <w:name w:val="Comment Text Char"/>
    <w:link w:val="CommentText"/>
    <w:semiHidden/>
    <w:locked/>
    <w:rsid w:val="00B6747C"/>
    <w:rPr>
      <w:rFonts w:ascii="Courier New" w:hAnsi="Courier New" w:cs="Times New Roman"/>
      <w:sz w:val="20"/>
      <w:szCs w:val="20"/>
    </w:rPr>
  </w:style>
  <w:style w:type="paragraph" w:styleId="CommentSubject">
    <w:name w:val="annotation subject"/>
    <w:basedOn w:val="CommentText"/>
    <w:next w:val="CommentText"/>
    <w:link w:val="CommentSubjectChar"/>
    <w:semiHidden/>
    <w:rsid w:val="00E65AAD"/>
    <w:rPr>
      <w:b/>
      <w:bCs/>
    </w:rPr>
  </w:style>
  <w:style w:type="character" w:customStyle="1" w:styleId="CommentSubjectChar">
    <w:name w:val="Comment Subject Char"/>
    <w:link w:val="CommentSubject"/>
    <w:semiHidden/>
    <w:locked/>
    <w:rsid w:val="00B6747C"/>
    <w:rPr>
      <w:rFonts w:ascii="Courier New" w:hAnsi="Courier New" w:cs="Times New Roman"/>
      <w:b/>
      <w:bCs/>
      <w:sz w:val="20"/>
      <w:szCs w:val="20"/>
    </w:rPr>
  </w:style>
  <w:style w:type="paragraph" w:styleId="PlainText">
    <w:name w:val="Plain Text"/>
    <w:basedOn w:val="Normal"/>
    <w:link w:val="PlainTextChar"/>
    <w:semiHidden/>
    <w:rsid w:val="002D26C9"/>
    <w:rPr>
      <w:rFonts w:ascii="Arial" w:hAnsi="Arial"/>
      <w:szCs w:val="24"/>
    </w:rPr>
  </w:style>
  <w:style w:type="character" w:customStyle="1" w:styleId="PlainTextChar">
    <w:name w:val="Plain Text Char"/>
    <w:link w:val="PlainText"/>
    <w:semiHidden/>
    <w:locked/>
    <w:rsid w:val="002D26C9"/>
    <w:rPr>
      <w:rFonts w:ascii="Arial" w:hAnsi="Arial" w:cs="Times New Roman"/>
      <w:sz w:val="24"/>
    </w:rPr>
  </w:style>
  <w:style w:type="paragraph" w:styleId="BodyText">
    <w:name w:val="Body Text"/>
    <w:basedOn w:val="Normal"/>
    <w:link w:val="BodyTextChar"/>
    <w:semiHidden/>
    <w:rsid w:val="00E65AAD"/>
    <w:pPr>
      <w:tabs>
        <w:tab w:val="left" w:pos="720"/>
      </w:tabs>
    </w:pPr>
    <w:rPr>
      <w:rFonts w:ascii="Times New Roman" w:hAnsi="Times New Roman"/>
    </w:rPr>
  </w:style>
  <w:style w:type="character" w:customStyle="1" w:styleId="BodyTextChar">
    <w:name w:val="Body Text Char"/>
    <w:link w:val="BodyText"/>
    <w:semiHidden/>
    <w:locked/>
    <w:rsid w:val="00B6747C"/>
    <w:rPr>
      <w:rFonts w:ascii="Courier New" w:hAnsi="Courier New" w:cs="Times New Roman"/>
      <w:sz w:val="20"/>
      <w:szCs w:val="20"/>
    </w:rPr>
  </w:style>
  <w:style w:type="paragraph" w:styleId="Revision">
    <w:name w:val="Revision"/>
    <w:hidden/>
    <w:uiPriority w:val="99"/>
    <w:semiHidden/>
    <w:rsid w:val="003D45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4</cp:revision>
  <cp:lastPrinted>2025-06-04T12:47:00Z</cp:lastPrinted>
  <dcterms:created xsi:type="dcterms:W3CDTF">2025-06-04T12:48:00Z</dcterms:created>
  <dcterms:modified xsi:type="dcterms:W3CDTF">2025-06-18T16:23:00Z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