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349A" w:rsidR="00FF3B97" w:rsidP="7684D3DB" w:rsidRDefault="00253668" w14:paraId="52472078" w14:textId="7937B372">
      <w:pPr>
        <w:pStyle w:val="Heading1"/>
        <w:rPr>
          <w:rFonts w:ascii="Calibri" w:hAnsi="Calibri" w:eastAsia="Calibri" w:cs="Calibri"/>
          <w:b w:val="1"/>
          <w:bCs w:val="1"/>
          <w:color w:val="000000" w:themeColor="text1" w:themeTint="FF" w:themeShade="FF"/>
          <w:sz w:val="32"/>
          <w:szCs w:val="32"/>
        </w:rPr>
      </w:pPr>
      <w:r w:rsidR="00253668">
        <w:rPr/>
        <w:t>Prorati</w:t>
      </w:r>
      <w:r w:rsidR="006F349A">
        <w:rPr/>
        <w:t>on</w:t>
      </w:r>
      <w:r w:rsidR="2DF49134">
        <w:rPr/>
        <w:t xml:space="preserve"> Informational </w:t>
      </w:r>
      <w:r w:rsidR="00070F56">
        <w:rPr/>
        <w:t>Sheet</w:t>
      </w:r>
    </w:p>
    <w:p w:rsidRPr="006F349A" w:rsidR="00FF3B97" w:rsidP="3DBE51BC" w:rsidRDefault="00FF3B97" w14:paraId="4444238E" w14:textId="216C65F6">
      <w:pPr>
        <w:pStyle w:val="NoSpacing"/>
        <w:spacing w:line="360" w:lineRule="auto"/>
        <w:jc w:val="center"/>
        <w:rPr>
          <w:rFonts w:ascii="Calibri" w:hAnsi="Calibri" w:eastAsia="Calibri" w:cs="Calibri"/>
          <w:b w:val="1"/>
          <w:bCs w:val="1"/>
          <w:color w:val="000000" w:themeColor="text1"/>
          <w:sz w:val="24"/>
          <w:szCs w:val="24"/>
        </w:rPr>
      </w:pPr>
    </w:p>
    <w:p w:rsidRPr="006F349A" w:rsidR="734F1179" w:rsidP="548CCCAD" w:rsidRDefault="582E3F00" w14:paraId="4A9D0AAB" w14:textId="5622BEF3">
      <w:pPr>
        <w:pStyle w:val="NoSpacing"/>
        <w:spacing w:line="360" w:lineRule="auto"/>
        <w:rPr>
          <w:rFonts w:ascii="Calibri" w:hAnsi="Calibri" w:eastAsia="Calibri" w:cs="Calibri"/>
          <w:color w:val="000000" w:themeColor="text1"/>
        </w:rPr>
      </w:pPr>
      <w:r w:rsidRPr="3DBE51BC" w:rsidR="582E3F00">
        <w:rPr>
          <w:rStyle w:val="HeaderChar"/>
          <w:rFonts w:ascii="Calibri" w:hAnsi="Calibri" w:eastAsia="Calibri" w:cs="Calibri"/>
          <w:b w:val="1"/>
          <w:bCs w:val="1"/>
          <w:sz w:val="24"/>
          <w:szCs w:val="24"/>
        </w:rPr>
        <w:t>Issue Date</w:t>
      </w:r>
      <w:r w:rsidRPr="3DBE51BC" w:rsidR="6036800C">
        <w:rPr>
          <w:rStyle w:val="HeaderChar"/>
          <w:rFonts w:ascii="Calibri" w:hAnsi="Calibri" w:eastAsia="Calibri" w:cs="Calibri"/>
          <w:b w:val="1"/>
          <w:bCs w:val="1"/>
          <w:sz w:val="24"/>
          <w:szCs w:val="24"/>
        </w:rPr>
        <w:t>:</w:t>
      </w:r>
      <w:r w:rsidRPr="3DBE51BC" w:rsidR="6036800C">
        <w:rPr>
          <w:rFonts w:ascii="Calibri" w:hAnsi="Calibri" w:eastAsia="Calibri" w:cs="Calibri"/>
          <w:color w:val="000000" w:themeColor="text1" w:themeTint="FF" w:themeShade="FF"/>
        </w:rPr>
        <w:t xml:space="preserve"> </w:t>
      </w:r>
      <w:r w:rsidRPr="3DBE51BC" w:rsidR="00AB59E1">
        <w:rPr>
          <w:rFonts w:ascii="Calibri" w:hAnsi="Calibri" w:eastAsia="Calibri" w:cs="Calibri"/>
          <w:color w:val="000000" w:themeColor="text1" w:themeTint="FF" w:themeShade="FF"/>
        </w:rPr>
        <w:t>June 10, 2026</w:t>
      </w:r>
    </w:p>
    <w:p w:rsidRPr="006F349A" w:rsidR="548CCCAD" w:rsidP="548CCCAD" w:rsidRDefault="548CCCAD" w14:paraId="7884E576" w14:textId="12568CF5">
      <w:pPr>
        <w:pStyle w:val="NoSpacing"/>
        <w:spacing w:line="360" w:lineRule="auto"/>
        <w:rPr>
          <w:rFonts w:ascii="Calibri" w:hAnsi="Calibri" w:eastAsia="Calibri" w:cs="Calibri"/>
          <w:color w:val="000000" w:themeColor="text1"/>
        </w:rPr>
      </w:pPr>
      <w:r w:rsidRPr="7684D3DB" w:rsidR="2A644CB5">
        <w:rPr>
          <w:rStyle w:val="HeaderChar"/>
          <w:rFonts w:ascii="Calibri" w:hAnsi="Calibri" w:eastAsia="Calibri" w:cs="Calibri"/>
          <w:b w:val="1"/>
          <w:bCs w:val="1"/>
        </w:rPr>
        <w:t>Last Revision Date:</w:t>
      </w:r>
      <w:r w:rsidRPr="7684D3DB" w:rsidR="2A644CB5">
        <w:rPr>
          <w:rFonts w:ascii="Calibri" w:hAnsi="Calibri" w:eastAsia="Calibri" w:cs="Calibri"/>
          <w:b w:val="1"/>
          <w:bCs w:val="1"/>
          <w:color w:val="000000" w:themeColor="text1" w:themeTint="FF" w:themeShade="FF"/>
          <w:sz w:val="28"/>
          <w:szCs w:val="28"/>
        </w:rPr>
        <w:t xml:space="preserve"> </w:t>
      </w:r>
      <w:r w:rsidRPr="7684D3DB" w:rsidR="2A644CB5">
        <w:rPr>
          <w:rFonts w:ascii="Calibri" w:hAnsi="Calibri" w:eastAsia="Calibri" w:cs="Calibri"/>
          <w:color w:val="000000" w:themeColor="text1" w:themeTint="FF" w:themeShade="FF"/>
        </w:rPr>
        <w:t>n/a</w:t>
      </w:r>
    </w:p>
    <w:p w:rsidR="7684D3DB" w:rsidP="7684D3DB" w:rsidRDefault="7684D3DB" w14:paraId="7A699E39" w14:textId="7497CB80">
      <w:pPr>
        <w:pStyle w:val="Heading1"/>
        <w:jc w:val="left"/>
        <w:rPr>
          <w:rFonts w:ascii="Calibri" w:hAnsi="Calibri" w:eastAsia="Calibri" w:cs="Calibri"/>
          <w:b w:val="1"/>
          <w:bCs w:val="1"/>
          <w:color w:val="auto"/>
          <w:sz w:val="28"/>
          <w:szCs w:val="28"/>
        </w:rPr>
      </w:pPr>
    </w:p>
    <w:p w:rsidRPr="006F349A" w:rsidR="6036800C" w:rsidP="7684D3DB" w:rsidRDefault="6036800C" w14:paraId="5654D68F" w14:textId="5C723C1C">
      <w:pPr>
        <w:pStyle w:val="Heading1"/>
        <w:jc w:val="left"/>
        <w:rPr>
          <w:rFonts w:ascii="Calibri" w:hAnsi="Calibri" w:eastAsia="Calibri" w:cs="Calibri"/>
          <w:b w:val="1"/>
          <w:bCs w:val="1"/>
          <w:color w:val="auto"/>
          <w:sz w:val="28"/>
          <w:szCs w:val="28"/>
        </w:rPr>
      </w:pPr>
      <w:r w:rsidRPr="7684D3DB" w:rsidR="6036800C">
        <w:rPr>
          <w:rFonts w:ascii="Calibri" w:hAnsi="Calibri" w:eastAsia="Calibri" w:cs="Calibri"/>
          <w:b w:val="1"/>
          <w:bCs w:val="1"/>
          <w:color w:val="auto"/>
          <w:sz w:val="28"/>
          <w:szCs w:val="28"/>
        </w:rPr>
        <w:t>Overview</w:t>
      </w:r>
    </w:p>
    <w:p w:rsidRPr="006F349A" w:rsidR="00985340" w:rsidP="3CC159CA" w:rsidRDefault="00514364" w14:paraId="43FC92EE" w14:textId="30276C20">
      <w:pPr>
        <w:pStyle w:val="NoSpacing"/>
        <w:spacing w:line="360" w:lineRule="auto"/>
        <w:rPr>
          <w:rFonts w:ascii="Calibri" w:hAnsi="Calibri" w:eastAsia="Calibri" w:cs="Calibri"/>
        </w:rPr>
      </w:pPr>
      <w:r w:rsidRPr="3DBE51BC" w:rsidR="00514364">
        <w:rPr>
          <w:rFonts w:ascii="Calibri" w:hAnsi="Calibri" w:eastAsia="Calibri" w:cs="Calibri"/>
          <w:color w:val="000000" w:themeColor="text1" w:themeTint="FF" w:themeShade="FF"/>
        </w:rPr>
        <w:t>As stated in</w:t>
      </w:r>
      <w:r w:rsidRPr="3DBE51BC" w:rsidR="117AB7D2">
        <w:rPr>
          <w:rFonts w:ascii="Calibri" w:hAnsi="Calibri" w:eastAsia="Calibri" w:cs="Calibri"/>
          <w:color w:val="000000" w:themeColor="text1" w:themeTint="FF" w:themeShade="FF"/>
        </w:rPr>
        <w:t xml:space="preserve"> the</w:t>
      </w:r>
      <w:r w:rsidRPr="3DBE51BC" w:rsidR="00514364">
        <w:rPr>
          <w:rFonts w:ascii="Calibri" w:hAnsi="Calibri" w:eastAsia="Calibri" w:cs="Calibri"/>
          <w:color w:val="000000" w:themeColor="text1" w:themeTint="FF" w:themeShade="FF"/>
        </w:rPr>
        <w:t xml:space="preserve"> </w:t>
      </w:r>
      <w:hyperlink r:id="R218b97985413410b">
        <w:r w:rsidRPr="3DBE51BC" w:rsidR="00514364">
          <w:rPr>
            <w:rStyle w:val="Hyperlink"/>
            <w:rFonts w:ascii="Calibri" w:hAnsi="Calibri" w:eastAsia="Calibri" w:cs="Calibri"/>
          </w:rPr>
          <w:t>MOVA Grants Policies and Procedures</w:t>
        </w:r>
      </w:hyperlink>
      <w:r w:rsidRPr="3DBE51BC" w:rsidR="005203F8">
        <w:rPr>
          <w:rFonts w:ascii="Calibri" w:hAnsi="Calibri" w:eastAsia="Calibri" w:cs="Calibri"/>
        </w:rPr>
        <w:t xml:space="preserve">, </w:t>
      </w:r>
      <w:r w:rsidRPr="3DBE51BC" w:rsidR="007F6B99">
        <w:rPr>
          <w:rFonts w:ascii="Calibri" w:hAnsi="Calibri" w:eastAsia="Calibri" w:cs="Calibri"/>
        </w:rPr>
        <w:t xml:space="preserve">prorating </w:t>
      </w:r>
      <w:r w:rsidRPr="3DBE51BC" w:rsidR="006B7B0D">
        <w:rPr>
          <w:rFonts w:ascii="Calibri" w:hAnsi="Calibri" w:eastAsia="Calibri" w:cs="Calibri"/>
        </w:rPr>
        <w:t>costs</w:t>
      </w:r>
      <w:r w:rsidRPr="3DBE51BC" w:rsidR="005A4A33">
        <w:rPr>
          <w:rFonts w:ascii="Calibri" w:hAnsi="Calibri" w:eastAsia="Calibri" w:cs="Calibri"/>
        </w:rPr>
        <w:t xml:space="preserve"> </w:t>
      </w:r>
      <w:r w:rsidRPr="3DBE51BC" w:rsidR="006B7B0D">
        <w:rPr>
          <w:rFonts w:ascii="Calibri" w:hAnsi="Calibri" w:eastAsia="Calibri" w:cs="Calibri"/>
        </w:rPr>
        <w:t xml:space="preserve">is </w:t>
      </w:r>
      <w:r w:rsidRPr="3DBE51BC" w:rsidR="005A4A33">
        <w:rPr>
          <w:rFonts w:ascii="Calibri" w:hAnsi="Calibri" w:eastAsia="Calibri" w:cs="Calibri"/>
        </w:rPr>
        <w:t xml:space="preserve">required when your </w:t>
      </w:r>
      <w:r w:rsidRPr="3DBE51BC" w:rsidR="4D84D7BC">
        <w:rPr>
          <w:rFonts w:ascii="Calibri" w:hAnsi="Calibri" w:eastAsia="Calibri" w:cs="Calibri"/>
        </w:rPr>
        <w:t>MOVA</w:t>
      </w:r>
      <w:r w:rsidRPr="3DBE51BC" w:rsidR="00DF5024">
        <w:rPr>
          <w:rFonts w:ascii="Calibri" w:hAnsi="Calibri" w:eastAsia="Calibri" w:cs="Calibri"/>
        </w:rPr>
        <w:t>-</w:t>
      </w:r>
      <w:r w:rsidRPr="3DBE51BC" w:rsidR="005A4A33">
        <w:rPr>
          <w:rFonts w:ascii="Calibri" w:hAnsi="Calibri" w:eastAsia="Calibri" w:cs="Calibri"/>
        </w:rPr>
        <w:t xml:space="preserve">funded </w:t>
      </w:r>
      <w:r w:rsidRPr="3DBE51BC" w:rsidR="6BB76878">
        <w:rPr>
          <w:rFonts w:ascii="Calibri" w:hAnsi="Calibri" w:eastAsia="Calibri" w:cs="Calibri"/>
        </w:rPr>
        <w:t xml:space="preserve">services are </w:t>
      </w:r>
      <w:r w:rsidRPr="3DBE51BC" w:rsidR="005A4A33">
        <w:rPr>
          <w:rFonts w:ascii="Calibri" w:hAnsi="Calibri" w:eastAsia="Calibri" w:cs="Calibri"/>
        </w:rPr>
        <w:t xml:space="preserve">supported by </w:t>
      </w:r>
      <w:r w:rsidRPr="3DBE51BC" w:rsidR="00A31860">
        <w:rPr>
          <w:rFonts w:ascii="Calibri" w:hAnsi="Calibri" w:eastAsia="Calibri" w:cs="Calibri"/>
        </w:rPr>
        <w:t>more than one funding source</w:t>
      </w:r>
      <w:r w:rsidRPr="3DBE51BC" w:rsidR="006760F9">
        <w:rPr>
          <w:rFonts w:ascii="Calibri" w:hAnsi="Calibri" w:eastAsia="Calibri" w:cs="Calibri"/>
        </w:rPr>
        <w:t xml:space="preserve">. </w:t>
      </w:r>
      <w:r w:rsidRPr="3DBE51BC" w:rsidR="007F6B99">
        <w:rPr>
          <w:rFonts w:ascii="Calibri" w:hAnsi="Calibri" w:eastAsia="Calibri" w:cs="Calibri"/>
        </w:rPr>
        <w:t xml:space="preserve">Prorating ensures </w:t>
      </w:r>
      <w:r w:rsidRPr="3DBE51BC" w:rsidR="00D25C0F">
        <w:rPr>
          <w:rFonts w:ascii="Calibri" w:hAnsi="Calibri" w:eastAsia="Calibri" w:cs="Calibri"/>
        </w:rPr>
        <w:t xml:space="preserve">that </w:t>
      </w:r>
      <w:r w:rsidRPr="3DBE51BC" w:rsidR="004A308F">
        <w:rPr>
          <w:rFonts w:ascii="Calibri" w:hAnsi="Calibri" w:eastAsia="Calibri" w:cs="Calibri"/>
        </w:rPr>
        <w:t xml:space="preserve">the </w:t>
      </w:r>
      <w:r w:rsidRPr="3DBE51BC" w:rsidR="00D25C0F">
        <w:rPr>
          <w:rFonts w:ascii="Calibri" w:hAnsi="Calibri" w:eastAsia="Calibri" w:cs="Calibri"/>
        </w:rPr>
        <w:t>MOVA</w:t>
      </w:r>
      <w:r w:rsidRPr="3DBE51BC" w:rsidR="004A308F">
        <w:rPr>
          <w:rFonts w:ascii="Calibri" w:hAnsi="Calibri" w:eastAsia="Calibri" w:cs="Calibri"/>
        </w:rPr>
        <w:t xml:space="preserve"> grant</w:t>
      </w:r>
      <w:r w:rsidRPr="3DBE51BC" w:rsidR="00D25C0F">
        <w:rPr>
          <w:rFonts w:ascii="Calibri" w:hAnsi="Calibri" w:eastAsia="Calibri" w:cs="Calibri"/>
        </w:rPr>
        <w:t xml:space="preserve"> is only charged for </w:t>
      </w:r>
      <w:r w:rsidRPr="3DBE51BC" w:rsidR="0037417B">
        <w:rPr>
          <w:rFonts w:ascii="Calibri" w:hAnsi="Calibri" w:eastAsia="Calibri" w:cs="Calibri"/>
        </w:rPr>
        <w:t xml:space="preserve">the </w:t>
      </w:r>
      <w:r w:rsidRPr="3DBE51BC" w:rsidR="5ADE2CD6">
        <w:rPr>
          <w:rFonts w:ascii="Calibri" w:hAnsi="Calibri" w:eastAsia="Calibri" w:cs="Calibri"/>
        </w:rPr>
        <w:t xml:space="preserve">actual </w:t>
      </w:r>
      <w:r w:rsidRPr="3DBE51BC" w:rsidR="0037417B">
        <w:rPr>
          <w:rFonts w:ascii="Calibri" w:hAnsi="Calibri" w:eastAsia="Calibri" w:cs="Calibri"/>
        </w:rPr>
        <w:t xml:space="preserve">share of </w:t>
      </w:r>
      <w:r w:rsidRPr="3DBE51BC" w:rsidR="000C1B08">
        <w:rPr>
          <w:rFonts w:ascii="Calibri" w:hAnsi="Calibri" w:eastAsia="Calibri" w:cs="Calibri"/>
        </w:rPr>
        <w:t>goods and services</w:t>
      </w:r>
      <w:r w:rsidRPr="3DBE51BC" w:rsidR="0037417B">
        <w:rPr>
          <w:rFonts w:ascii="Calibri" w:hAnsi="Calibri" w:eastAsia="Calibri" w:cs="Calibri"/>
        </w:rPr>
        <w:t xml:space="preserve"> </w:t>
      </w:r>
      <w:r w:rsidRPr="3DBE51BC" w:rsidR="4E8A5844">
        <w:rPr>
          <w:rFonts w:ascii="Calibri" w:hAnsi="Calibri" w:eastAsia="Calibri" w:cs="Calibri"/>
        </w:rPr>
        <w:t>funded under the grant</w:t>
      </w:r>
      <w:r w:rsidRPr="3DBE51BC" w:rsidR="00C735BF">
        <w:rPr>
          <w:rFonts w:ascii="Calibri" w:hAnsi="Calibri" w:eastAsia="Calibri" w:cs="Calibri"/>
        </w:rPr>
        <w:t>.</w:t>
      </w:r>
      <w:r w:rsidRPr="3DBE51BC" w:rsidR="004B459F">
        <w:rPr>
          <w:rFonts w:ascii="Calibri" w:hAnsi="Calibri" w:eastAsia="Calibri" w:cs="Calibri"/>
        </w:rPr>
        <w:t xml:space="preserve"> </w:t>
      </w:r>
      <w:r w:rsidRPr="3DBE51BC" w:rsidR="00D43937">
        <w:rPr>
          <w:rFonts w:ascii="Calibri" w:hAnsi="Calibri" w:eastAsia="Calibri" w:cs="Calibri"/>
        </w:rPr>
        <w:t xml:space="preserve">Allowable costs must be specified and prorated </w:t>
      </w:r>
      <w:r w:rsidRPr="3DBE51BC" w:rsidR="384A1C5E">
        <w:rPr>
          <w:rFonts w:ascii="Calibri" w:hAnsi="Calibri" w:eastAsia="Calibri" w:cs="Calibri"/>
        </w:rPr>
        <w:t xml:space="preserve">in the budget and each </w:t>
      </w:r>
      <w:r w:rsidRPr="3DBE51BC" w:rsidR="2EEE3B65">
        <w:rPr>
          <w:rFonts w:ascii="Calibri" w:hAnsi="Calibri" w:eastAsia="Calibri" w:cs="Calibri"/>
        </w:rPr>
        <w:t xml:space="preserve">applicable </w:t>
      </w:r>
      <w:r w:rsidRPr="3DBE51BC" w:rsidR="384A1C5E">
        <w:rPr>
          <w:rFonts w:ascii="Calibri" w:hAnsi="Calibri" w:eastAsia="Calibri" w:cs="Calibri"/>
        </w:rPr>
        <w:t>expense report</w:t>
      </w:r>
      <w:r w:rsidRPr="3DBE51BC" w:rsidR="00D43937">
        <w:rPr>
          <w:rFonts w:ascii="Calibri" w:hAnsi="Calibri" w:eastAsia="Calibri" w:cs="Calibri"/>
        </w:rPr>
        <w:t xml:space="preserve"> to reflect the appropriate portion of the expense that the grant supports. </w:t>
      </w:r>
    </w:p>
    <w:p w:rsidRPr="006F349A" w:rsidR="009B7EFA" w:rsidP="3CC159CA" w:rsidRDefault="009B7EFA" w14:paraId="5EEB3CC1" w14:textId="77777777">
      <w:pPr>
        <w:pStyle w:val="NoSpacing"/>
        <w:spacing w:line="360" w:lineRule="auto"/>
        <w:rPr>
          <w:rFonts w:ascii="Calibri" w:hAnsi="Calibri" w:eastAsia="Calibri" w:cs="Calibri"/>
        </w:rPr>
      </w:pPr>
    </w:p>
    <w:p w:rsidRPr="0000515B" w:rsidR="47D07F1E" w:rsidP="7684D3DB" w:rsidRDefault="47D07F1E" w14:paraId="40A80CBC" w14:textId="74A3A1E7">
      <w:pPr>
        <w:pStyle w:val="Heading1"/>
        <w:jc w:val="left"/>
        <w:rPr>
          <w:rFonts w:ascii="Calibri" w:hAnsi="Calibri" w:eastAsia="Calibri" w:cs="Calibri"/>
          <w:b w:val="1"/>
          <w:bCs w:val="1"/>
          <w:color w:val="auto"/>
          <w:sz w:val="28"/>
          <w:szCs w:val="28"/>
        </w:rPr>
      </w:pPr>
      <w:r w:rsidRPr="7684D3DB" w:rsidR="47D07F1E">
        <w:rPr>
          <w:rFonts w:ascii="Calibri" w:hAnsi="Calibri" w:eastAsia="Calibri" w:cs="Calibri"/>
          <w:b w:val="1"/>
          <w:bCs w:val="1"/>
          <w:color w:val="auto"/>
          <w:sz w:val="28"/>
          <w:szCs w:val="28"/>
        </w:rPr>
        <w:t>Budget and Expense Report Best Practices</w:t>
      </w:r>
    </w:p>
    <w:p w:rsidRPr="006F349A" w:rsidR="00E97F59" w:rsidP="3CC159CA" w:rsidRDefault="000152F0" w14:paraId="31737B64" w14:textId="54152ED6">
      <w:pPr>
        <w:pStyle w:val="NoSpacing"/>
        <w:spacing w:line="360" w:lineRule="auto"/>
        <w:rPr>
          <w:rFonts w:ascii="Calibri" w:hAnsi="Calibri" w:eastAsia="Calibri" w:cs="Calibri"/>
          <w:color w:val="000000" w:themeColor="text1"/>
        </w:rPr>
      </w:pPr>
      <w:r w:rsidRPr="3DBE51BC" w:rsidR="000152F0">
        <w:rPr>
          <w:rFonts w:ascii="Calibri" w:hAnsi="Calibri" w:eastAsia="Calibri" w:cs="Calibri"/>
          <w:color w:val="000000" w:themeColor="text1" w:themeTint="FF" w:themeShade="FF"/>
        </w:rPr>
        <w:t>You</w:t>
      </w:r>
      <w:r w:rsidRPr="3DBE51BC" w:rsidR="003508DF">
        <w:rPr>
          <w:rFonts w:ascii="Calibri" w:hAnsi="Calibri" w:eastAsia="Calibri" w:cs="Calibri"/>
          <w:color w:val="000000" w:themeColor="text1" w:themeTint="FF" w:themeShade="FF"/>
        </w:rPr>
        <w:t xml:space="preserve"> can utilize different prorating strategies</w:t>
      </w:r>
      <w:r w:rsidRPr="3DBE51BC" w:rsidR="001433D8">
        <w:rPr>
          <w:rFonts w:ascii="Calibri" w:hAnsi="Calibri" w:eastAsia="Calibri" w:cs="Calibri"/>
          <w:color w:val="000000" w:themeColor="text1" w:themeTint="FF" w:themeShade="FF"/>
        </w:rPr>
        <w:t xml:space="preserve"> depending on the cost and circumstance of </w:t>
      </w:r>
      <w:r w:rsidRPr="3DBE51BC" w:rsidR="000152F0">
        <w:rPr>
          <w:rFonts w:ascii="Calibri" w:hAnsi="Calibri" w:eastAsia="Calibri" w:cs="Calibri"/>
          <w:color w:val="000000" w:themeColor="text1" w:themeTint="FF" w:themeShade="FF"/>
        </w:rPr>
        <w:t>your</w:t>
      </w:r>
      <w:r w:rsidRPr="3DBE51BC" w:rsidR="001433D8">
        <w:rPr>
          <w:rFonts w:ascii="Calibri" w:hAnsi="Calibri" w:eastAsia="Calibri" w:cs="Calibri"/>
          <w:color w:val="000000" w:themeColor="text1" w:themeTint="FF" w:themeShade="FF"/>
        </w:rPr>
        <w:t xml:space="preserve"> funded </w:t>
      </w:r>
      <w:r w:rsidRPr="3DBE51BC" w:rsidR="0799E7FE">
        <w:rPr>
          <w:rFonts w:ascii="Calibri" w:hAnsi="Calibri" w:eastAsia="Calibri" w:cs="Calibri"/>
          <w:color w:val="000000" w:themeColor="text1" w:themeTint="FF" w:themeShade="FF"/>
        </w:rPr>
        <w:t>services</w:t>
      </w:r>
      <w:r w:rsidRPr="3DBE51BC" w:rsidR="009B7EFA">
        <w:rPr>
          <w:rFonts w:ascii="Calibri" w:hAnsi="Calibri" w:eastAsia="Calibri" w:cs="Calibri"/>
          <w:color w:val="000000" w:themeColor="text1" w:themeTint="FF" w:themeShade="FF"/>
        </w:rPr>
        <w:t>. Below is</w:t>
      </w:r>
      <w:r w:rsidRPr="3DBE51BC" w:rsidR="001433D8">
        <w:rPr>
          <w:rFonts w:ascii="Calibri" w:hAnsi="Calibri" w:eastAsia="Calibri" w:cs="Calibri"/>
          <w:color w:val="000000" w:themeColor="text1" w:themeTint="FF" w:themeShade="FF"/>
        </w:rPr>
        <w:t xml:space="preserve"> non-exhaustive list of ite</w:t>
      </w:r>
      <w:r w:rsidRPr="3DBE51BC" w:rsidR="005C5A13">
        <w:rPr>
          <w:rFonts w:ascii="Calibri" w:hAnsi="Calibri" w:eastAsia="Calibri" w:cs="Calibri"/>
          <w:color w:val="000000" w:themeColor="text1" w:themeTint="FF" w:themeShade="FF"/>
        </w:rPr>
        <w:t>ms</w:t>
      </w:r>
      <w:r w:rsidRPr="3DBE51BC" w:rsidR="529E6D64">
        <w:rPr>
          <w:rFonts w:ascii="Calibri" w:hAnsi="Calibri" w:eastAsia="Calibri" w:cs="Calibri"/>
          <w:color w:val="000000" w:themeColor="text1" w:themeTint="FF" w:themeShade="FF"/>
        </w:rPr>
        <w:t>, by cost category,</w:t>
      </w:r>
      <w:r w:rsidRPr="3DBE51BC" w:rsidR="005C5A13">
        <w:rPr>
          <w:rFonts w:ascii="Calibri" w:hAnsi="Calibri" w:eastAsia="Calibri" w:cs="Calibri"/>
          <w:color w:val="000000" w:themeColor="text1" w:themeTint="FF" w:themeShade="FF"/>
        </w:rPr>
        <w:t xml:space="preserve"> that should be prorated and a guide on how to prorate</w:t>
      </w:r>
      <w:r w:rsidRPr="3DBE51BC" w:rsidR="6424ABEE">
        <w:rPr>
          <w:rFonts w:ascii="Calibri" w:hAnsi="Calibri" w:eastAsia="Calibri" w:cs="Calibri"/>
          <w:color w:val="000000" w:themeColor="text1" w:themeTint="FF" w:themeShade="FF"/>
        </w:rPr>
        <w:t xml:space="preserve"> grant costs</w:t>
      </w:r>
      <w:r w:rsidRPr="3DBE51BC" w:rsidR="005C5A13">
        <w:rPr>
          <w:rFonts w:ascii="Calibri" w:hAnsi="Calibri" w:eastAsia="Calibri" w:cs="Calibri"/>
          <w:color w:val="000000" w:themeColor="text1" w:themeTint="FF" w:themeShade="FF"/>
        </w:rPr>
        <w:t>.</w:t>
      </w:r>
    </w:p>
    <w:p w:rsidRPr="006F349A" w:rsidR="004C2C86" w:rsidP="3CC159CA" w:rsidRDefault="004C2C86" w14:paraId="413ADD21" w14:textId="77777777">
      <w:pPr>
        <w:pStyle w:val="NoSpacing"/>
        <w:spacing w:line="360" w:lineRule="auto"/>
        <w:rPr>
          <w:rFonts w:ascii="Calibri" w:hAnsi="Calibri" w:eastAsia="Calibri" w:cs="Calibri"/>
          <w:color w:val="000000" w:themeColor="text1"/>
        </w:rPr>
      </w:pPr>
    </w:p>
    <w:p w:rsidRPr="0000515B" w:rsidR="004C2C86" w:rsidP="3DBE51BC" w:rsidRDefault="50D40C5C" w14:paraId="301877B0" w14:textId="52824038">
      <w:pPr>
        <w:pStyle w:val="Subtitle"/>
        <w:rPr>
          <w:rFonts w:ascii="Calibri" w:hAnsi="Calibri" w:eastAsia="Calibri" w:cs="Calibri"/>
          <w:b w:val="1"/>
          <w:bCs w:val="1"/>
          <w:i w:val="1"/>
          <w:iCs w:val="1"/>
          <w:color w:val="auto"/>
          <w:sz w:val="24"/>
          <w:szCs w:val="24"/>
        </w:rPr>
      </w:pPr>
      <w:r w:rsidRPr="3DBE51BC" w:rsidR="50D40C5C">
        <w:rPr>
          <w:rFonts w:ascii="Calibri" w:hAnsi="Calibri" w:eastAsia="Calibri" w:cs="Calibri"/>
          <w:b w:val="1"/>
          <w:bCs w:val="1"/>
          <w:i w:val="1"/>
          <w:iCs w:val="1"/>
          <w:color w:val="auto"/>
          <w:sz w:val="24"/>
          <w:szCs w:val="24"/>
        </w:rPr>
        <w:t xml:space="preserve">Personnel - </w:t>
      </w:r>
      <w:r w:rsidRPr="3DBE51BC" w:rsidR="00E97F59">
        <w:rPr>
          <w:rFonts w:ascii="Calibri" w:hAnsi="Calibri" w:eastAsia="Calibri" w:cs="Calibri"/>
          <w:b w:val="1"/>
          <w:bCs w:val="1"/>
          <w:i w:val="1"/>
          <w:iCs w:val="1"/>
          <w:color w:val="auto"/>
          <w:sz w:val="24"/>
          <w:szCs w:val="24"/>
        </w:rPr>
        <w:t>Salary and Fringe</w:t>
      </w:r>
    </w:p>
    <w:p w:rsidRPr="006F349A" w:rsidR="00315472" w:rsidP="3CC159CA" w:rsidRDefault="0017405F" w14:paraId="26360733" w14:textId="621DFD91">
      <w:pPr>
        <w:pStyle w:val="NoSpacing"/>
        <w:spacing w:line="360" w:lineRule="auto"/>
        <w:rPr>
          <w:rFonts w:ascii="Calibri" w:hAnsi="Calibri" w:eastAsia="Calibri" w:cs="Calibri"/>
        </w:rPr>
      </w:pPr>
      <w:r w:rsidRPr="3DBE51BC" w:rsidR="0017405F">
        <w:rPr>
          <w:rFonts w:ascii="Calibri" w:hAnsi="Calibri" w:eastAsia="Calibri" w:cs="Calibri"/>
        </w:rPr>
        <w:t xml:space="preserve">If an employee is not supported 100% </w:t>
      </w:r>
      <w:r w:rsidRPr="3DBE51BC" w:rsidR="3F411D6D">
        <w:rPr>
          <w:rFonts w:ascii="Calibri" w:hAnsi="Calibri" w:eastAsia="Calibri" w:cs="Calibri"/>
        </w:rPr>
        <w:t>under</w:t>
      </w:r>
      <w:r w:rsidRPr="3DBE51BC" w:rsidR="0017405F">
        <w:rPr>
          <w:rFonts w:ascii="Calibri" w:hAnsi="Calibri" w:eastAsia="Calibri" w:cs="Calibri"/>
        </w:rPr>
        <w:t xml:space="preserve"> your MOVA </w:t>
      </w:r>
      <w:r w:rsidRPr="3DBE51BC" w:rsidR="5A4D2179">
        <w:rPr>
          <w:rFonts w:ascii="Calibri" w:hAnsi="Calibri" w:eastAsia="Calibri" w:cs="Calibri"/>
        </w:rPr>
        <w:t>budget</w:t>
      </w:r>
      <w:r w:rsidRPr="3DBE51BC" w:rsidR="0017405F">
        <w:rPr>
          <w:rFonts w:ascii="Calibri" w:hAnsi="Calibri" w:eastAsia="Calibri" w:cs="Calibri"/>
        </w:rPr>
        <w:t xml:space="preserve">, salary and fringe must </w:t>
      </w:r>
      <w:r w:rsidRPr="3DBE51BC" w:rsidR="0F4A2FDD">
        <w:rPr>
          <w:rFonts w:ascii="Calibri" w:hAnsi="Calibri" w:eastAsia="Calibri" w:cs="Calibri"/>
        </w:rPr>
        <w:t xml:space="preserve">be </w:t>
      </w:r>
      <w:r w:rsidRPr="3DBE51BC" w:rsidR="0017405F">
        <w:rPr>
          <w:rFonts w:ascii="Calibri" w:hAnsi="Calibri" w:eastAsia="Calibri" w:cs="Calibri"/>
        </w:rPr>
        <w:t>prorated accordingly.</w:t>
      </w:r>
      <w:r w:rsidRPr="3DBE51BC" w:rsidR="001E6763">
        <w:rPr>
          <w:rFonts w:ascii="Calibri" w:hAnsi="Calibri" w:eastAsia="Calibri" w:cs="Calibri"/>
        </w:rPr>
        <w:t xml:space="preserve"> Similarly, </w:t>
      </w:r>
      <w:r w:rsidRPr="3DBE51BC" w:rsidR="038F0150">
        <w:rPr>
          <w:rFonts w:ascii="Calibri" w:hAnsi="Calibri" w:eastAsia="Calibri" w:cs="Calibri"/>
        </w:rPr>
        <w:t>b</w:t>
      </w:r>
      <w:r w:rsidRPr="3DBE51BC" w:rsidR="00C476A3">
        <w:rPr>
          <w:rFonts w:ascii="Calibri" w:hAnsi="Calibri" w:eastAsia="Calibri" w:cs="Calibri"/>
        </w:rPr>
        <w:t>onuses</w:t>
      </w:r>
      <w:r w:rsidRPr="3DBE51BC" w:rsidR="3D157755">
        <w:rPr>
          <w:rFonts w:ascii="Calibri" w:hAnsi="Calibri" w:eastAsia="Calibri" w:cs="Calibri"/>
        </w:rPr>
        <w:t xml:space="preserve"> for MOVA-funded staff</w:t>
      </w:r>
      <w:r w:rsidRPr="3DBE51BC" w:rsidR="00C476A3">
        <w:rPr>
          <w:rFonts w:ascii="Calibri" w:hAnsi="Calibri" w:eastAsia="Calibri" w:cs="Calibri"/>
        </w:rPr>
        <w:t xml:space="preserve"> </w:t>
      </w:r>
      <w:r w:rsidRPr="3DBE51BC" w:rsidR="00A21466">
        <w:rPr>
          <w:rFonts w:ascii="Calibri" w:hAnsi="Calibri" w:eastAsia="Calibri" w:cs="Calibri"/>
        </w:rPr>
        <w:t xml:space="preserve">must </w:t>
      </w:r>
      <w:r w:rsidRPr="3DBE51BC" w:rsidR="00577852">
        <w:rPr>
          <w:rFonts w:ascii="Calibri" w:hAnsi="Calibri" w:eastAsia="Calibri" w:cs="Calibri"/>
        </w:rPr>
        <w:t xml:space="preserve">be </w:t>
      </w:r>
      <w:r w:rsidRPr="3DBE51BC" w:rsidR="00C476A3">
        <w:rPr>
          <w:rFonts w:ascii="Calibri" w:hAnsi="Calibri" w:eastAsia="Calibri" w:cs="Calibri"/>
        </w:rPr>
        <w:t>prorated based on the percentage of time</w:t>
      </w:r>
      <w:r w:rsidRPr="3DBE51BC" w:rsidR="355B574F">
        <w:rPr>
          <w:rFonts w:ascii="Calibri" w:hAnsi="Calibri" w:eastAsia="Calibri" w:cs="Calibri"/>
        </w:rPr>
        <w:t xml:space="preserve"> they spent</w:t>
      </w:r>
      <w:r w:rsidRPr="3DBE51BC" w:rsidR="00C476A3">
        <w:rPr>
          <w:rFonts w:ascii="Calibri" w:hAnsi="Calibri" w:eastAsia="Calibri" w:cs="Calibri"/>
        </w:rPr>
        <w:t xml:space="preserve"> on MOVA</w:t>
      </w:r>
      <w:r w:rsidRPr="3DBE51BC" w:rsidR="6FCCE337">
        <w:rPr>
          <w:rFonts w:ascii="Calibri" w:hAnsi="Calibri" w:eastAsia="Calibri" w:cs="Calibri"/>
        </w:rPr>
        <w:t>-</w:t>
      </w:r>
      <w:r w:rsidRPr="3DBE51BC" w:rsidR="3EC7793C">
        <w:rPr>
          <w:rFonts w:ascii="Calibri" w:hAnsi="Calibri" w:eastAsia="Calibri" w:cs="Calibri"/>
        </w:rPr>
        <w:t xml:space="preserve">funded </w:t>
      </w:r>
      <w:r w:rsidRPr="3DBE51BC" w:rsidR="00C476A3">
        <w:rPr>
          <w:rFonts w:ascii="Calibri" w:hAnsi="Calibri" w:eastAsia="Calibri" w:cs="Calibri"/>
        </w:rPr>
        <w:t>activities.</w:t>
      </w:r>
      <w:r w:rsidRPr="3DBE51BC" w:rsidR="004F423F">
        <w:rPr>
          <w:rFonts w:ascii="Calibri" w:hAnsi="Calibri" w:eastAsia="Calibri" w:cs="Calibri"/>
        </w:rPr>
        <w:t xml:space="preserve"> </w:t>
      </w:r>
    </w:p>
    <w:p w:rsidRPr="006F349A" w:rsidR="00315472" w:rsidP="3CC159CA" w:rsidRDefault="00315472" w14:paraId="15CC2FDF" w14:textId="77777777">
      <w:pPr>
        <w:pStyle w:val="NoSpacing"/>
        <w:spacing w:line="360" w:lineRule="auto"/>
        <w:rPr>
          <w:rFonts w:ascii="Calibri" w:hAnsi="Calibri" w:eastAsia="Calibri" w:cs="Calibri"/>
        </w:rPr>
      </w:pPr>
    </w:p>
    <w:p w:rsidR="30D1D220" w:rsidP="7E42EFE9" w:rsidRDefault="52E89CB3" w14:paraId="23B6EC94" w14:textId="7C67C54D">
      <w:pPr>
        <w:pStyle w:val="NoSpacing"/>
        <w:spacing w:line="360" w:lineRule="auto"/>
        <w:rPr>
          <w:rFonts w:ascii="Calibri" w:hAnsi="Calibri" w:eastAsia="Calibri" w:cs="Calibri"/>
          <w:b w:val="1"/>
          <w:bCs w:val="1"/>
          <w:color w:val="000000" w:themeColor="text1"/>
          <w:sz w:val="28"/>
          <w:szCs w:val="28"/>
        </w:rPr>
      </w:pPr>
      <w:r w:rsidRPr="3DBE51BC" w:rsidR="52E89CB3">
        <w:rPr>
          <w:rFonts w:ascii="Calibri" w:hAnsi="Calibri" w:eastAsia="Calibri" w:cs="Calibri"/>
        </w:rPr>
        <w:t>Include</w:t>
      </w:r>
      <w:r w:rsidRPr="3DBE51BC" w:rsidR="00F520FD">
        <w:rPr>
          <w:rFonts w:ascii="Calibri" w:hAnsi="Calibri" w:eastAsia="Calibri" w:cs="Calibri"/>
        </w:rPr>
        <w:t xml:space="preserve"> actual service delivery </w:t>
      </w:r>
      <w:r w:rsidRPr="3DBE51BC" w:rsidR="00565E1E">
        <w:rPr>
          <w:rFonts w:ascii="Calibri" w:hAnsi="Calibri" w:eastAsia="Calibri" w:cs="Calibri"/>
        </w:rPr>
        <w:t>time</w:t>
      </w:r>
      <w:r w:rsidRPr="3DBE51BC" w:rsidR="00F520FD">
        <w:rPr>
          <w:rFonts w:ascii="Calibri" w:hAnsi="Calibri" w:eastAsia="Calibri" w:cs="Calibri"/>
        </w:rPr>
        <w:t xml:space="preserve"> spent on MOVA</w:t>
      </w:r>
      <w:r w:rsidRPr="3DBE51BC" w:rsidR="3C15036E">
        <w:rPr>
          <w:rFonts w:ascii="Calibri" w:hAnsi="Calibri" w:eastAsia="Calibri" w:cs="Calibri"/>
        </w:rPr>
        <w:t>-</w:t>
      </w:r>
      <w:r w:rsidRPr="3DBE51BC" w:rsidR="00F520FD">
        <w:rPr>
          <w:rFonts w:ascii="Calibri" w:hAnsi="Calibri" w:eastAsia="Calibri" w:cs="Calibri"/>
        </w:rPr>
        <w:t xml:space="preserve">funded </w:t>
      </w:r>
      <w:r w:rsidRPr="3DBE51BC" w:rsidR="0973D2F7">
        <w:rPr>
          <w:rFonts w:ascii="Calibri" w:hAnsi="Calibri" w:eastAsia="Calibri" w:cs="Calibri"/>
        </w:rPr>
        <w:t>activities on your budget and expense report</w:t>
      </w:r>
      <w:r w:rsidRPr="3DBE51BC" w:rsidR="29ABFF67">
        <w:rPr>
          <w:rFonts w:ascii="Calibri" w:hAnsi="Calibri" w:eastAsia="Calibri" w:cs="Calibri"/>
        </w:rPr>
        <w:t>s</w:t>
      </w:r>
      <w:r w:rsidRPr="3DBE51BC" w:rsidR="00565E1E">
        <w:rPr>
          <w:rFonts w:ascii="Calibri" w:hAnsi="Calibri" w:eastAsia="Calibri" w:cs="Calibri"/>
        </w:rPr>
        <w:t xml:space="preserve">. </w:t>
      </w:r>
      <w:r w:rsidRPr="3DBE51BC" w:rsidR="005A0306">
        <w:rPr>
          <w:rFonts w:ascii="Calibri" w:hAnsi="Calibri" w:eastAsia="Calibri" w:cs="Calibri"/>
        </w:rPr>
        <w:t>However</w:t>
      </w:r>
      <w:r w:rsidRPr="3DBE51BC" w:rsidR="0063792A">
        <w:rPr>
          <w:rFonts w:ascii="Calibri" w:hAnsi="Calibri" w:eastAsia="Calibri" w:cs="Calibri"/>
        </w:rPr>
        <w:t>, i</w:t>
      </w:r>
      <w:r w:rsidRPr="3DBE51BC" w:rsidR="00BD3169">
        <w:rPr>
          <w:rFonts w:ascii="Calibri" w:hAnsi="Calibri" w:eastAsia="Calibri" w:cs="Calibri"/>
        </w:rPr>
        <w:t>f an employee’s time is fully devoted to victim services an</w:t>
      </w:r>
      <w:r w:rsidRPr="3DBE51BC" w:rsidR="006C3425">
        <w:rPr>
          <w:rFonts w:ascii="Calibri" w:hAnsi="Calibri" w:eastAsia="Calibri" w:cs="Calibri"/>
        </w:rPr>
        <w:t xml:space="preserve">d the funding sources supporting their time </w:t>
      </w:r>
      <w:r w:rsidRPr="3DBE51BC" w:rsidR="00CE48BE">
        <w:rPr>
          <w:rFonts w:ascii="Calibri" w:hAnsi="Calibri" w:eastAsia="Calibri" w:cs="Calibri"/>
        </w:rPr>
        <w:t>cover similar services</w:t>
      </w:r>
      <w:r w:rsidRPr="3DBE51BC" w:rsidR="00184950">
        <w:rPr>
          <w:rFonts w:ascii="Calibri" w:hAnsi="Calibri" w:eastAsia="Calibri" w:cs="Calibri"/>
        </w:rPr>
        <w:t xml:space="preserve">, </w:t>
      </w:r>
      <w:r w:rsidRPr="3DBE51BC" w:rsidR="005525B0">
        <w:rPr>
          <w:rFonts w:ascii="Calibri" w:hAnsi="Calibri" w:eastAsia="Calibri" w:cs="Calibri"/>
        </w:rPr>
        <w:t>you</w:t>
      </w:r>
      <w:r w:rsidRPr="3DBE51BC" w:rsidR="00184950">
        <w:rPr>
          <w:rFonts w:ascii="Calibri" w:hAnsi="Calibri" w:eastAsia="Calibri" w:cs="Calibri"/>
        </w:rPr>
        <w:t xml:space="preserve"> may </w:t>
      </w:r>
      <w:r w:rsidRPr="3DBE51BC" w:rsidR="00184950">
        <w:rPr>
          <w:rFonts w:ascii="Calibri" w:hAnsi="Calibri" w:eastAsia="Calibri" w:cs="Calibri"/>
        </w:rPr>
        <w:t>determine</w:t>
      </w:r>
      <w:r w:rsidRPr="3DBE51BC" w:rsidR="00184950">
        <w:rPr>
          <w:rFonts w:ascii="Calibri" w:hAnsi="Calibri" w:eastAsia="Calibri" w:cs="Calibri"/>
        </w:rPr>
        <w:t xml:space="preserve"> an allocation or funding split between MOVA and other funding sources.</w:t>
      </w:r>
      <w:r w:rsidRPr="3DBE51BC" w:rsidR="005525B0">
        <w:rPr>
          <w:rFonts w:ascii="Calibri" w:hAnsi="Calibri" w:eastAsia="Calibri" w:cs="Calibri"/>
        </w:rPr>
        <w:t xml:space="preserve"> </w:t>
      </w:r>
      <w:r w:rsidRPr="3DBE51BC" w:rsidR="00D07F65">
        <w:rPr>
          <w:rFonts w:ascii="Calibri" w:hAnsi="Calibri" w:eastAsia="Calibri" w:cs="Calibri"/>
        </w:rPr>
        <w:t>For example, an allocation of 60% MOVA</w:t>
      </w:r>
      <w:r w:rsidRPr="3DBE51BC" w:rsidR="198E8072">
        <w:rPr>
          <w:rFonts w:ascii="Calibri" w:hAnsi="Calibri" w:eastAsia="Calibri" w:cs="Calibri"/>
        </w:rPr>
        <w:t>-</w:t>
      </w:r>
      <w:r w:rsidRPr="3DBE51BC" w:rsidR="00BA5C2D">
        <w:rPr>
          <w:rFonts w:ascii="Calibri" w:hAnsi="Calibri" w:eastAsia="Calibri" w:cs="Calibri"/>
        </w:rPr>
        <w:t xml:space="preserve">funded </w:t>
      </w:r>
      <w:r w:rsidRPr="3DBE51BC" w:rsidR="7B6F3E7B">
        <w:rPr>
          <w:rFonts w:ascii="Calibri" w:hAnsi="Calibri" w:eastAsia="Calibri" w:cs="Calibri"/>
        </w:rPr>
        <w:t xml:space="preserve">time </w:t>
      </w:r>
      <w:r w:rsidRPr="3DBE51BC" w:rsidR="00093D95">
        <w:rPr>
          <w:rFonts w:ascii="Calibri" w:hAnsi="Calibri" w:eastAsia="Calibri" w:cs="Calibri"/>
        </w:rPr>
        <w:t>and 40% DPH</w:t>
      </w:r>
      <w:r w:rsidRPr="3DBE51BC" w:rsidR="3D557BE5">
        <w:rPr>
          <w:rFonts w:ascii="Calibri" w:hAnsi="Calibri" w:eastAsia="Calibri" w:cs="Calibri"/>
        </w:rPr>
        <w:t>-</w:t>
      </w:r>
      <w:r w:rsidRPr="3DBE51BC" w:rsidR="00BA5C2D">
        <w:rPr>
          <w:rFonts w:ascii="Calibri" w:hAnsi="Calibri" w:eastAsia="Calibri" w:cs="Calibri"/>
        </w:rPr>
        <w:t xml:space="preserve">funded </w:t>
      </w:r>
      <w:r w:rsidRPr="3DBE51BC" w:rsidR="7C8A6D2F">
        <w:rPr>
          <w:rFonts w:ascii="Calibri" w:hAnsi="Calibri" w:eastAsia="Calibri" w:cs="Calibri"/>
        </w:rPr>
        <w:t xml:space="preserve">time </w:t>
      </w:r>
      <w:r w:rsidRPr="3DBE51BC" w:rsidR="00BA5C2D">
        <w:rPr>
          <w:rFonts w:ascii="Calibri" w:hAnsi="Calibri" w:eastAsia="Calibri" w:cs="Calibri"/>
        </w:rPr>
        <w:t>should result in 60</w:t>
      </w:r>
      <w:r w:rsidRPr="3DBE51BC" w:rsidR="00163819">
        <w:rPr>
          <w:rFonts w:ascii="Calibri" w:hAnsi="Calibri" w:eastAsia="Calibri" w:cs="Calibri"/>
        </w:rPr>
        <w:t>%</w:t>
      </w:r>
      <w:r w:rsidRPr="3DBE51BC" w:rsidR="00BA5C2D">
        <w:rPr>
          <w:rFonts w:ascii="Calibri" w:hAnsi="Calibri" w:eastAsia="Calibri" w:cs="Calibri"/>
        </w:rPr>
        <w:t xml:space="preserve"> salary and fringe costs charged to MOVA and 40%</w:t>
      </w:r>
      <w:r w:rsidRPr="3DBE51BC" w:rsidR="002C74D7">
        <w:rPr>
          <w:rFonts w:ascii="Calibri" w:hAnsi="Calibri" w:eastAsia="Calibri" w:cs="Calibri"/>
        </w:rPr>
        <w:t xml:space="preserve"> charged to DPH.</w:t>
      </w:r>
      <w:r w:rsidRPr="3DBE51BC" w:rsidR="0096692B">
        <w:rPr>
          <w:rFonts w:ascii="Calibri" w:hAnsi="Calibri" w:eastAsia="Calibri" w:cs="Calibri"/>
        </w:rPr>
        <w:t xml:space="preserve"> Please note that you can supplement </w:t>
      </w:r>
      <w:r w:rsidRPr="3DBE51BC" w:rsidR="0096692B">
        <w:rPr>
          <w:rFonts w:ascii="Calibri" w:hAnsi="Calibri" w:eastAsia="Calibri" w:cs="Calibri"/>
        </w:rPr>
        <w:t xml:space="preserve">state and local funding with your MOVA grant but you </w:t>
      </w:r>
      <w:r w:rsidRPr="3DBE51BC" w:rsidR="0096692B">
        <w:rPr>
          <w:rFonts w:ascii="Calibri" w:hAnsi="Calibri" w:eastAsia="Calibri" w:cs="Calibri"/>
        </w:rPr>
        <w:t>can’t</w:t>
      </w:r>
      <w:r w:rsidRPr="3DBE51BC" w:rsidR="0096692B">
        <w:rPr>
          <w:rFonts w:ascii="Calibri" w:hAnsi="Calibri" w:eastAsia="Calibri" w:cs="Calibri"/>
        </w:rPr>
        <w:t xml:space="preserve"> “supplant</w:t>
      </w:r>
      <w:r w:rsidRPr="3DBE51BC" w:rsidR="009D1AE9">
        <w:rPr>
          <w:rFonts w:ascii="Calibri" w:hAnsi="Calibri" w:eastAsia="Calibri" w:cs="Calibri"/>
        </w:rPr>
        <w:t>” it.</w:t>
      </w:r>
      <w:r w:rsidRPr="3DBE51BC" w:rsidR="00984BA3">
        <w:rPr>
          <w:rFonts w:ascii="Calibri" w:hAnsi="Calibri" w:eastAsia="Calibri" w:cs="Calibri"/>
        </w:rPr>
        <w:t xml:space="preserve"> See the </w:t>
      </w:r>
      <w:hyperlink r:id="Rd1f898cc97f74cbb">
        <w:r w:rsidRPr="3DBE51BC" w:rsidR="00984BA3">
          <w:rPr>
            <w:rStyle w:val="Hyperlink"/>
            <w:rFonts w:ascii="Calibri" w:hAnsi="Calibri" w:eastAsia="Calibri" w:cs="Calibri"/>
          </w:rPr>
          <w:t>MOVA Grants Policies and Procedures</w:t>
        </w:r>
      </w:hyperlink>
      <w:r w:rsidRPr="3DBE51BC" w:rsidR="00984BA3">
        <w:rPr>
          <w:rFonts w:ascii="Calibri" w:hAnsi="Calibri" w:eastAsia="Calibri" w:cs="Calibri"/>
        </w:rPr>
        <w:t xml:space="preserve"> </w:t>
      </w:r>
      <w:r w:rsidRPr="3DBE51BC" w:rsidR="00984BA3">
        <w:rPr>
          <w:rFonts w:ascii="Calibri" w:hAnsi="Calibri" w:eastAsia="Calibri" w:cs="Calibri"/>
        </w:rPr>
        <w:t>for more information about supplanting and supplementing</w:t>
      </w:r>
      <w:r w:rsidRPr="3DBE51BC" w:rsidR="009D1AE9">
        <w:rPr>
          <w:rFonts w:ascii="Calibri" w:hAnsi="Calibri" w:eastAsia="Calibri" w:cs="Calibri"/>
        </w:rPr>
        <w:t>.</w:t>
      </w:r>
    </w:p>
    <w:p w:rsidR="7E42EFE9" w:rsidP="7E42EFE9" w:rsidRDefault="7E42EFE9" w14:paraId="7C0A2B58" w14:textId="0CBCFEB2">
      <w:pPr>
        <w:pStyle w:val="NoSpacing"/>
        <w:spacing w:line="360" w:lineRule="auto"/>
        <w:rPr>
          <w:rFonts w:ascii="Calibri" w:hAnsi="Calibri" w:eastAsia="Calibri" w:cs="Calibri"/>
          <w:b w:val="1"/>
          <w:bCs w:val="1"/>
          <w:color w:val="000000" w:themeColor="text1"/>
        </w:rPr>
      </w:pPr>
    </w:p>
    <w:p w:rsidRPr="006F349A" w:rsidR="00867FCA" w:rsidP="7684D3DB" w:rsidRDefault="00867FCA" w14:paraId="48651283" w14:textId="6AD326CF">
      <w:pPr>
        <w:pStyle w:val="Heading2"/>
        <w:rPr>
          <w:rFonts w:ascii="Calibri" w:hAnsi="Calibri" w:eastAsia="Calibri" w:cs="Calibri"/>
          <w:b w:val="1"/>
          <w:bCs w:val="1"/>
          <w:i w:val="1"/>
          <w:iCs w:val="1"/>
          <w:color w:val="auto"/>
          <w:sz w:val="24"/>
          <w:szCs w:val="24"/>
        </w:rPr>
      </w:pPr>
      <w:r w:rsidR="00867FCA">
        <w:rPr/>
        <w:t>Equipment</w:t>
      </w:r>
    </w:p>
    <w:p w:rsidRPr="006F349A" w:rsidR="00867FCA" w:rsidP="3CC159CA" w:rsidRDefault="004C7585" w14:paraId="76037B11" w14:textId="464C4A82">
      <w:pPr>
        <w:pStyle w:val="NoSpacing"/>
        <w:spacing w:line="360" w:lineRule="auto"/>
        <w:rPr>
          <w:rFonts w:ascii="Calibri" w:hAnsi="Calibri" w:eastAsia="Calibri" w:cs="Calibri"/>
        </w:rPr>
      </w:pPr>
      <w:r w:rsidRPr="3DBE51BC" w:rsidR="004C7585">
        <w:rPr>
          <w:rFonts w:ascii="Calibri" w:hAnsi="Calibri" w:eastAsia="Calibri" w:cs="Calibri"/>
        </w:rPr>
        <w:t>Equipment bought with MOVA funds must only be used for grant</w:t>
      </w:r>
      <w:r w:rsidRPr="3DBE51BC" w:rsidR="24FF5171">
        <w:rPr>
          <w:rFonts w:ascii="Calibri" w:hAnsi="Calibri" w:eastAsia="Calibri" w:cs="Calibri"/>
        </w:rPr>
        <w:t>-</w:t>
      </w:r>
      <w:r w:rsidRPr="3DBE51BC" w:rsidR="004C7585">
        <w:rPr>
          <w:rFonts w:ascii="Calibri" w:hAnsi="Calibri" w:eastAsia="Calibri" w:cs="Calibri"/>
        </w:rPr>
        <w:t>funded services</w:t>
      </w:r>
      <w:r w:rsidRPr="3DBE51BC" w:rsidR="00D41D41">
        <w:rPr>
          <w:rFonts w:ascii="Calibri" w:hAnsi="Calibri" w:eastAsia="Calibri" w:cs="Calibri"/>
        </w:rPr>
        <w:t xml:space="preserve">. </w:t>
      </w:r>
      <w:r w:rsidRPr="3DBE51BC" w:rsidR="00310F27">
        <w:rPr>
          <w:rFonts w:ascii="Calibri" w:hAnsi="Calibri" w:eastAsia="Calibri" w:cs="Calibri"/>
        </w:rPr>
        <w:t>If equipment and IT services also support non-grant activities, they must be prorate</w:t>
      </w:r>
      <w:r w:rsidRPr="3DBE51BC" w:rsidR="00C306BD">
        <w:rPr>
          <w:rFonts w:ascii="Calibri" w:hAnsi="Calibri" w:eastAsia="Calibri" w:cs="Calibri"/>
        </w:rPr>
        <w:t>d</w:t>
      </w:r>
      <w:r w:rsidRPr="3DBE51BC" w:rsidR="00E30461">
        <w:rPr>
          <w:rFonts w:ascii="Calibri" w:hAnsi="Calibri" w:eastAsia="Calibri" w:cs="Calibri"/>
        </w:rPr>
        <w:t>.</w:t>
      </w:r>
      <w:r w:rsidRPr="3DBE51BC" w:rsidR="007E4BD3">
        <w:rPr>
          <w:rFonts w:ascii="Calibri" w:hAnsi="Calibri" w:eastAsia="Calibri" w:cs="Calibri"/>
        </w:rPr>
        <w:t xml:space="preserve"> </w:t>
      </w:r>
      <w:r w:rsidRPr="3DBE51BC" w:rsidR="00F215A7">
        <w:rPr>
          <w:rFonts w:ascii="Calibri" w:hAnsi="Calibri" w:eastAsia="Calibri" w:cs="Calibri"/>
        </w:rPr>
        <w:t xml:space="preserve">You may prorate based on usage </w:t>
      </w:r>
      <w:r w:rsidRPr="3DBE51BC" w:rsidR="00694EA3">
        <w:rPr>
          <w:rFonts w:ascii="Calibri" w:hAnsi="Calibri" w:eastAsia="Calibri" w:cs="Calibri"/>
        </w:rPr>
        <w:t>of equipment and IT service</w:t>
      </w:r>
      <w:r w:rsidRPr="3DBE51BC" w:rsidR="003C1B57">
        <w:rPr>
          <w:rFonts w:ascii="Calibri" w:hAnsi="Calibri" w:eastAsia="Calibri" w:cs="Calibri"/>
        </w:rPr>
        <w:t>s</w:t>
      </w:r>
      <w:r w:rsidRPr="3DBE51BC" w:rsidR="00695D13">
        <w:rPr>
          <w:rFonts w:ascii="Calibri" w:hAnsi="Calibri" w:eastAsia="Calibri" w:cs="Calibri"/>
        </w:rPr>
        <w:t>.</w:t>
      </w:r>
    </w:p>
    <w:p w:rsidRPr="006F349A" w:rsidR="007D4CFB" w:rsidP="003C1B57" w:rsidRDefault="007D4CFB" w14:paraId="59A414F1" w14:textId="2D18C413">
      <w:pPr>
        <w:pStyle w:val="NoSpacing"/>
        <w:numPr>
          <w:ilvl w:val="0"/>
          <w:numId w:val="21"/>
        </w:numPr>
        <w:spacing w:line="360" w:lineRule="auto"/>
        <w:rPr>
          <w:rFonts w:ascii="Calibri" w:hAnsi="Calibri" w:eastAsia="Calibri" w:cs="Calibri"/>
        </w:rPr>
      </w:pPr>
      <w:r w:rsidRPr="3DBE51BC" w:rsidR="007D4CFB">
        <w:rPr>
          <w:rFonts w:ascii="Calibri" w:hAnsi="Calibri" w:eastAsia="Calibri" w:cs="Calibri"/>
        </w:rPr>
        <w:t xml:space="preserve">Identify the staff who utilize equipment and IT services. For example, if only 10 employees of the 50 that work at </w:t>
      </w:r>
      <w:r w:rsidRPr="3DBE51BC" w:rsidR="001A70A9">
        <w:rPr>
          <w:rFonts w:ascii="Calibri" w:hAnsi="Calibri" w:eastAsia="Calibri" w:cs="Calibri"/>
        </w:rPr>
        <w:t>your</w:t>
      </w:r>
      <w:r w:rsidRPr="3DBE51BC" w:rsidR="007D4CFB">
        <w:rPr>
          <w:rFonts w:ascii="Calibri" w:hAnsi="Calibri" w:eastAsia="Calibri" w:cs="Calibri"/>
        </w:rPr>
        <w:t xml:space="preserve"> organization </w:t>
      </w:r>
      <w:r w:rsidRPr="3DBE51BC" w:rsidR="009A0393">
        <w:rPr>
          <w:rFonts w:ascii="Calibri" w:hAnsi="Calibri" w:eastAsia="Calibri" w:cs="Calibri"/>
        </w:rPr>
        <w:t>utilize</w:t>
      </w:r>
      <w:r w:rsidRPr="3DBE51BC" w:rsidR="007D4CFB">
        <w:rPr>
          <w:rFonts w:ascii="Calibri" w:hAnsi="Calibri" w:eastAsia="Calibri" w:cs="Calibri"/>
        </w:rPr>
        <w:t xml:space="preserve"> </w:t>
      </w:r>
      <w:r w:rsidRPr="3DBE51BC" w:rsidR="009A0393">
        <w:rPr>
          <w:rFonts w:ascii="Calibri" w:hAnsi="Calibri" w:eastAsia="Calibri" w:cs="Calibri"/>
        </w:rPr>
        <w:t>equipment and IT</w:t>
      </w:r>
      <w:r w:rsidRPr="3DBE51BC" w:rsidR="001A70A9">
        <w:rPr>
          <w:rFonts w:ascii="Calibri" w:hAnsi="Calibri" w:eastAsia="Calibri" w:cs="Calibri"/>
        </w:rPr>
        <w:t>, use 10 as your base.</w:t>
      </w:r>
    </w:p>
    <w:p w:rsidRPr="006F349A" w:rsidR="001A70A9" w:rsidP="003C1B57" w:rsidRDefault="00F969FD" w14:paraId="3115BCB5" w14:textId="7CDA3214">
      <w:pPr>
        <w:pStyle w:val="NoSpacing"/>
        <w:numPr>
          <w:ilvl w:val="0"/>
          <w:numId w:val="21"/>
        </w:numPr>
        <w:spacing w:line="360" w:lineRule="auto"/>
        <w:rPr>
          <w:rFonts w:ascii="Calibri" w:hAnsi="Calibri" w:eastAsia="Calibri" w:cs="Calibri"/>
        </w:rPr>
      </w:pPr>
      <w:r w:rsidRPr="3DBE51BC" w:rsidR="00F969FD">
        <w:rPr>
          <w:rFonts w:ascii="Calibri" w:hAnsi="Calibri" w:eastAsia="Calibri" w:cs="Calibri"/>
        </w:rPr>
        <w:t>Calculate the percentage of MOVA</w:t>
      </w:r>
      <w:r w:rsidRPr="3DBE51BC" w:rsidR="20473D9D">
        <w:rPr>
          <w:rFonts w:ascii="Calibri" w:hAnsi="Calibri" w:eastAsia="Calibri" w:cs="Calibri"/>
        </w:rPr>
        <w:t>-</w:t>
      </w:r>
      <w:r w:rsidRPr="3DBE51BC" w:rsidR="00F969FD">
        <w:rPr>
          <w:rFonts w:ascii="Calibri" w:hAnsi="Calibri" w:eastAsia="Calibri" w:cs="Calibri"/>
        </w:rPr>
        <w:t xml:space="preserve">funded employees who utilize equipment and IT. For example, 2.5 MOVA FTE </w:t>
      </w:r>
      <w:r w:rsidRPr="3DBE51BC" w:rsidR="004773E3">
        <w:rPr>
          <w:rFonts w:ascii="Calibri" w:hAnsi="Calibri" w:eastAsia="Calibri" w:cs="Calibri"/>
        </w:rPr>
        <w:t xml:space="preserve">who </w:t>
      </w:r>
      <w:r w:rsidRPr="3DBE51BC" w:rsidR="00F969FD">
        <w:rPr>
          <w:rFonts w:ascii="Calibri" w:hAnsi="Calibri" w:eastAsia="Calibri" w:cs="Calibri"/>
        </w:rPr>
        <w:t>utilize equipment and IT ÷ 10 total organization users</w:t>
      </w:r>
      <w:r w:rsidRPr="3DBE51BC" w:rsidR="004773E3">
        <w:rPr>
          <w:rFonts w:ascii="Calibri" w:hAnsi="Calibri" w:eastAsia="Calibri" w:cs="Calibri"/>
        </w:rPr>
        <w:t xml:space="preserve"> equals 0.25 or 25%.</w:t>
      </w:r>
    </w:p>
    <w:p w:rsidRPr="006F349A" w:rsidR="00325262" w:rsidP="003C1B57" w:rsidRDefault="00325262" w14:paraId="16B81A86" w14:textId="06CF4D08">
      <w:pPr>
        <w:pStyle w:val="NoSpacing"/>
        <w:numPr>
          <w:ilvl w:val="0"/>
          <w:numId w:val="21"/>
        </w:numPr>
        <w:spacing w:line="360" w:lineRule="auto"/>
        <w:rPr>
          <w:rFonts w:ascii="Calibri" w:hAnsi="Calibri" w:eastAsia="Calibri" w:cs="Calibri"/>
        </w:rPr>
      </w:pPr>
      <w:r w:rsidRPr="3DBE51BC" w:rsidR="00325262">
        <w:rPr>
          <w:rFonts w:ascii="Calibri" w:hAnsi="Calibri" w:eastAsia="Calibri" w:cs="Calibri"/>
        </w:rPr>
        <w:t>Multiply the percentage by</w:t>
      </w:r>
      <w:r w:rsidRPr="3DBE51BC" w:rsidR="0096770D">
        <w:rPr>
          <w:rFonts w:ascii="Calibri" w:hAnsi="Calibri" w:eastAsia="Calibri" w:cs="Calibri"/>
        </w:rPr>
        <w:t xml:space="preserve"> the</w:t>
      </w:r>
      <w:r w:rsidRPr="3DBE51BC" w:rsidR="00325262">
        <w:rPr>
          <w:rFonts w:ascii="Calibri" w:hAnsi="Calibri" w:eastAsia="Calibri" w:cs="Calibri"/>
        </w:rPr>
        <w:t xml:space="preserve"> cost of equipment and IT. </w:t>
      </w:r>
      <w:r w:rsidRPr="3DBE51BC" w:rsidR="00084677">
        <w:rPr>
          <w:rFonts w:ascii="Calibri" w:hAnsi="Calibri" w:eastAsia="Calibri" w:cs="Calibri"/>
        </w:rPr>
        <w:t>If</w:t>
      </w:r>
      <w:r w:rsidRPr="3DBE51BC" w:rsidR="00947EA8">
        <w:rPr>
          <w:rFonts w:ascii="Calibri" w:hAnsi="Calibri" w:eastAsia="Calibri" w:cs="Calibri"/>
        </w:rPr>
        <w:t xml:space="preserve"> a data software costs $2,000 per month, MOVA can be charged </w:t>
      </w:r>
      <w:r w:rsidRPr="3DBE51BC" w:rsidR="00384AF9">
        <w:rPr>
          <w:rFonts w:ascii="Calibri" w:hAnsi="Calibri" w:eastAsia="Calibri" w:cs="Calibri"/>
        </w:rPr>
        <w:t>$500.</w:t>
      </w:r>
    </w:p>
    <w:p w:rsidRPr="006F349A" w:rsidR="00310F27" w:rsidP="3CC159CA" w:rsidRDefault="00310F27" w14:paraId="4850D6D8" w14:textId="77777777">
      <w:pPr>
        <w:pStyle w:val="NoSpacing"/>
        <w:spacing w:line="360" w:lineRule="auto"/>
        <w:rPr>
          <w:rFonts w:ascii="Calibri" w:hAnsi="Calibri" w:eastAsia="Calibri" w:cs="Calibri"/>
        </w:rPr>
      </w:pPr>
    </w:p>
    <w:p w:rsidRPr="006F349A" w:rsidR="00B31905" w:rsidP="7684D3DB" w:rsidRDefault="331459A7" w14:paraId="5FA1125C" w14:textId="3955686A">
      <w:pPr>
        <w:pStyle w:val="Heading2"/>
        <w:rPr>
          <w:rFonts w:ascii="Calibri" w:hAnsi="Calibri" w:eastAsia="Calibri" w:cs="Calibri"/>
          <w:b w:val="1"/>
          <w:bCs w:val="1"/>
          <w:i w:val="1"/>
          <w:iCs w:val="1"/>
          <w:color w:val="auto"/>
          <w:sz w:val="24"/>
          <w:szCs w:val="24"/>
        </w:rPr>
      </w:pPr>
      <w:r w:rsidR="331459A7">
        <w:rPr/>
        <w:t>Other</w:t>
      </w:r>
    </w:p>
    <w:p w:rsidRPr="0000515B" w:rsidR="00B31905" w:rsidP="7684D3DB" w:rsidRDefault="00EB2E0E" w14:paraId="10824B69" w14:textId="4511FBC9">
      <w:pPr>
        <w:pStyle w:val="Heading2"/>
        <w:rPr>
          <w:rFonts w:ascii="Calibri" w:hAnsi="Calibri" w:eastAsia="Calibri" w:cs="Calibri"/>
          <w:b w:val="1"/>
          <w:bCs w:val="1"/>
          <w:i w:val="1"/>
          <w:iCs w:val="1"/>
          <w:color w:val="auto"/>
          <w:sz w:val="24"/>
          <w:szCs w:val="24"/>
        </w:rPr>
      </w:pPr>
      <w:r w:rsidR="00EB2E0E">
        <w:rPr/>
        <w:t xml:space="preserve">Annual Single </w:t>
      </w:r>
      <w:r w:rsidR="009E2328">
        <w:rPr/>
        <w:t>Audit</w:t>
      </w:r>
    </w:p>
    <w:p w:rsidRPr="006F349A" w:rsidR="00C556E2" w:rsidP="00310F27" w:rsidRDefault="00B25F80" w14:paraId="7AFD6893" w14:textId="4AAEA6C6">
      <w:pPr>
        <w:pStyle w:val="NoSpacing"/>
        <w:spacing w:line="360" w:lineRule="auto"/>
        <w:rPr>
          <w:rFonts w:ascii="Calibri" w:hAnsi="Calibri" w:eastAsia="Calibri" w:cs="Calibri"/>
        </w:rPr>
      </w:pPr>
      <w:r w:rsidRPr="3DBE51BC" w:rsidR="00B25F80">
        <w:rPr>
          <w:rFonts w:ascii="Calibri" w:hAnsi="Calibri" w:eastAsia="Calibri" w:cs="Calibri"/>
        </w:rPr>
        <w:t>G</w:t>
      </w:r>
      <w:r w:rsidRPr="3DBE51BC" w:rsidR="009259AB">
        <w:rPr>
          <w:rFonts w:ascii="Calibri" w:hAnsi="Calibri" w:eastAsia="Calibri" w:cs="Calibri"/>
        </w:rPr>
        <w:t>rantees</w:t>
      </w:r>
      <w:r w:rsidRPr="3DBE51BC" w:rsidR="00B25F80">
        <w:rPr>
          <w:rFonts w:ascii="Calibri" w:hAnsi="Calibri" w:eastAsia="Calibri" w:cs="Calibri"/>
        </w:rPr>
        <w:t xml:space="preserve"> that</w:t>
      </w:r>
      <w:r w:rsidRPr="3DBE51BC" w:rsidR="009259AB">
        <w:rPr>
          <w:rFonts w:ascii="Calibri" w:hAnsi="Calibri" w:eastAsia="Calibri" w:cs="Calibri"/>
        </w:rPr>
        <w:t xml:space="preserve"> spend at least $1,000,000 per year under federal grants</w:t>
      </w:r>
      <w:r w:rsidRPr="3DBE51BC" w:rsidR="00B25F80">
        <w:rPr>
          <w:rFonts w:ascii="Calibri" w:hAnsi="Calibri" w:eastAsia="Calibri" w:cs="Calibri"/>
        </w:rPr>
        <w:t xml:space="preserve"> are required to complete an annual single audit. </w:t>
      </w:r>
      <w:r w:rsidRPr="3DBE51BC" w:rsidR="007B711D">
        <w:rPr>
          <w:rFonts w:ascii="Calibri" w:hAnsi="Calibri" w:eastAsia="Calibri" w:cs="Calibri"/>
        </w:rPr>
        <w:t xml:space="preserve">If you </w:t>
      </w:r>
      <w:r w:rsidRPr="3DBE51BC" w:rsidR="00D04FE7">
        <w:rPr>
          <w:rFonts w:ascii="Calibri" w:hAnsi="Calibri" w:eastAsia="Calibri" w:cs="Calibri"/>
        </w:rPr>
        <w:t xml:space="preserve">meet this federal audit threshold and </w:t>
      </w:r>
      <w:r w:rsidRPr="3DBE51BC" w:rsidR="007B711D">
        <w:rPr>
          <w:rFonts w:ascii="Calibri" w:hAnsi="Calibri" w:eastAsia="Calibri" w:cs="Calibri"/>
        </w:rPr>
        <w:t xml:space="preserve">receive federal funds from a </w:t>
      </w:r>
      <w:r w:rsidRPr="3DBE51BC" w:rsidR="001C16C8">
        <w:rPr>
          <w:rFonts w:ascii="Calibri" w:hAnsi="Calibri" w:eastAsia="Calibri" w:cs="Calibri"/>
        </w:rPr>
        <w:t>source</w:t>
      </w:r>
      <w:r w:rsidRPr="3DBE51BC" w:rsidR="007B711D">
        <w:rPr>
          <w:rFonts w:ascii="Calibri" w:hAnsi="Calibri" w:eastAsia="Calibri" w:cs="Calibri"/>
        </w:rPr>
        <w:t xml:space="preserve"> </w:t>
      </w:r>
      <w:r w:rsidRPr="3DBE51BC" w:rsidR="00E50FD9">
        <w:rPr>
          <w:rFonts w:ascii="Calibri" w:hAnsi="Calibri" w:eastAsia="Calibri" w:cs="Calibri"/>
        </w:rPr>
        <w:t>other</w:t>
      </w:r>
      <w:r w:rsidRPr="3DBE51BC" w:rsidR="007B711D">
        <w:rPr>
          <w:rFonts w:ascii="Calibri" w:hAnsi="Calibri" w:eastAsia="Calibri" w:cs="Calibri"/>
        </w:rPr>
        <w:t xml:space="preserve"> </w:t>
      </w:r>
      <w:r w:rsidRPr="3DBE51BC" w:rsidR="00E50FD9">
        <w:rPr>
          <w:rFonts w:ascii="Calibri" w:hAnsi="Calibri" w:eastAsia="Calibri" w:cs="Calibri"/>
        </w:rPr>
        <w:t>than</w:t>
      </w:r>
      <w:r w:rsidRPr="3DBE51BC" w:rsidR="007B711D">
        <w:rPr>
          <w:rFonts w:ascii="Calibri" w:hAnsi="Calibri" w:eastAsia="Calibri" w:cs="Calibri"/>
        </w:rPr>
        <w:t xml:space="preserve"> MOVA</w:t>
      </w:r>
      <w:r w:rsidRPr="3DBE51BC" w:rsidR="00E50FD9">
        <w:rPr>
          <w:rFonts w:ascii="Calibri" w:hAnsi="Calibri" w:eastAsia="Calibri" w:cs="Calibri"/>
        </w:rPr>
        <w:t xml:space="preserve">, </w:t>
      </w:r>
      <w:r w:rsidRPr="3DBE51BC" w:rsidR="00C2592F">
        <w:rPr>
          <w:rFonts w:ascii="Calibri" w:hAnsi="Calibri" w:eastAsia="Calibri" w:cs="Calibri"/>
        </w:rPr>
        <w:t>single audit costs may be charged to the grant</w:t>
      </w:r>
      <w:r w:rsidRPr="3DBE51BC" w:rsidR="00E50FD9">
        <w:rPr>
          <w:rFonts w:ascii="Calibri" w:hAnsi="Calibri" w:eastAsia="Calibri" w:cs="Calibri"/>
        </w:rPr>
        <w:t xml:space="preserve"> and must be prorated</w:t>
      </w:r>
      <w:r w:rsidRPr="3DBE51BC" w:rsidR="00C25C59">
        <w:rPr>
          <w:rFonts w:ascii="Calibri" w:hAnsi="Calibri" w:eastAsia="Calibri" w:cs="Calibri"/>
        </w:rPr>
        <w:t>.</w:t>
      </w:r>
      <w:r w:rsidRPr="3DBE51BC" w:rsidR="00E5525E">
        <w:rPr>
          <w:rFonts w:ascii="Calibri" w:hAnsi="Calibri" w:eastAsia="Calibri" w:cs="Calibri"/>
        </w:rPr>
        <w:t xml:space="preserve"> </w:t>
      </w:r>
    </w:p>
    <w:p w:rsidRPr="006F349A" w:rsidR="00C556E2" w:rsidP="00310F27" w:rsidRDefault="00C556E2" w14:paraId="6672D867" w14:textId="77777777">
      <w:pPr>
        <w:pStyle w:val="NoSpacing"/>
        <w:spacing w:line="360" w:lineRule="auto"/>
        <w:rPr>
          <w:rFonts w:ascii="Calibri" w:hAnsi="Calibri" w:eastAsia="Calibri" w:cs="Calibri"/>
        </w:rPr>
      </w:pPr>
    </w:p>
    <w:p w:rsidRPr="006F349A" w:rsidR="00C2592F" w:rsidP="00310F27" w:rsidRDefault="00E5525E" w14:paraId="1FE29C77" w14:textId="3DD17CB3">
      <w:pPr>
        <w:pStyle w:val="NoSpacing"/>
        <w:spacing w:line="360" w:lineRule="auto"/>
        <w:rPr>
          <w:rFonts w:ascii="Calibri" w:hAnsi="Calibri" w:eastAsia="Calibri" w:cs="Calibri"/>
        </w:rPr>
      </w:pPr>
      <w:r w:rsidRPr="3DBE51BC" w:rsidR="00E5525E">
        <w:rPr>
          <w:rFonts w:ascii="Calibri" w:hAnsi="Calibri" w:eastAsia="Calibri" w:cs="Calibri"/>
        </w:rPr>
        <w:t xml:space="preserve">To prorate, </w:t>
      </w:r>
      <w:r w:rsidRPr="3DBE51BC" w:rsidR="00E113E4">
        <w:rPr>
          <w:rFonts w:ascii="Calibri" w:hAnsi="Calibri" w:eastAsia="Calibri" w:cs="Calibri"/>
        </w:rPr>
        <w:t>determine</w:t>
      </w:r>
      <w:r w:rsidRPr="3DBE51BC" w:rsidR="00E5525E">
        <w:rPr>
          <w:rFonts w:ascii="Calibri" w:hAnsi="Calibri" w:eastAsia="Calibri" w:cs="Calibri"/>
        </w:rPr>
        <w:t xml:space="preserve"> the share of your federal grants </w:t>
      </w:r>
      <w:r w:rsidRPr="3DBE51BC" w:rsidR="00B23209">
        <w:rPr>
          <w:rFonts w:ascii="Calibri" w:hAnsi="Calibri" w:eastAsia="Calibri" w:cs="Calibri"/>
        </w:rPr>
        <w:t xml:space="preserve">that MOVA </w:t>
      </w:r>
      <w:r w:rsidRPr="3DBE51BC" w:rsidR="00E5525E">
        <w:rPr>
          <w:rFonts w:ascii="Calibri" w:hAnsi="Calibri" w:eastAsia="Calibri" w:cs="Calibri"/>
        </w:rPr>
        <w:t>support</w:t>
      </w:r>
      <w:r w:rsidRPr="3DBE51BC" w:rsidR="00B23209">
        <w:rPr>
          <w:rFonts w:ascii="Calibri" w:hAnsi="Calibri" w:eastAsia="Calibri" w:cs="Calibri"/>
        </w:rPr>
        <w:t xml:space="preserve">s </w:t>
      </w:r>
      <w:r w:rsidRPr="3DBE51BC" w:rsidR="00E113E4">
        <w:rPr>
          <w:rFonts w:ascii="Calibri" w:hAnsi="Calibri" w:eastAsia="Calibri" w:cs="Calibri"/>
        </w:rPr>
        <w:t xml:space="preserve">versus other funders. For example, if MOVA supports $350,000.00 of $1.5 million </w:t>
      </w:r>
      <w:r w:rsidRPr="3DBE51BC" w:rsidR="005A0B81">
        <w:rPr>
          <w:rFonts w:ascii="Calibri" w:hAnsi="Calibri" w:eastAsia="Calibri" w:cs="Calibri"/>
        </w:rPr>
        <w:t xml:space="preserve">in </w:t>
      </w:r>
      <w:r w:rsidRPr="3DBE51BC" w:rsidR="00E113E4">
        <w:rPr>
          <w:rFonts w:ascii="Calibri" w:hAnsi="Calibri" w:eastAsia="Calibri" w:cs="Calibri"/>
        </w:rPr>
        <w:t xml:space="preserve">federal </w:t>
      </w:r>
      <w:r w:rsidRPr="3DBE51BC" w:rsidR="00315472">
        <w:rPr>
          <w:rFonts w:ascii="Calibri" w:hAnsi="Calibri" w:eastAsia="Calibri" w:cs="Calibri"/>
        </w:rPr>
        <w:t>grants</w:t>
      </w:r>
      <w:r w:rsidRPr="3DBE51BC" w:rsidR="00C556E2">
        <w:rPr>
          <w:rFonts w:ascii="Calibri" w:hAnsi="Calibri" w:eastAsia="Calibri" w:cs="Calibri"/>
        </w:rPr>
        <w:t xml:space="preserve">, </w:t>
      </w:r>
      <w:r w:rsidRPr="3DBE51BC" w:rsidR="006E53BA">
        <w:rPr>
          <w:rFonts w:ascii="Calibri" w:hAnsi="Calibri" w:eastAsia="Calibri" w:cs="Calibri"/>
        </w:rPr>
        <w:t xml:space="preserve">35% </w:t>
      </w:r>
      <w:r w:rsidRPr="3DBE51BC" w:rsidR="00F92F91">
        <w:rPr>
          <w:rFonts w:ascii="Calibri" w:hAnsi="Calibri" w:eastAsia="Calibri" w:cs="Calibri"/>
        </w:rPr>
        <w:t xml:space="preserve">($350,000.00 ÷ $1,500,000 </w:t>
      </w:r>
      <w:r w:rsidRPr="3DBE51BC" w:rsidR="0011061D">
        <w:rPr>
          <w:rFonts w:ascii="Calibri" w:hAnsi="Calibri" w:eastAsia="Calibri" w:cs="Calibri"/>
        </w:rPr>
        <w:t>•</w:t>
      </w:r>
      <w:r w:rsidRPr="3DBE51BC" w:rsidR="00F92F91">
        <w:rPr>
          <w:rFonts w:ascii="Calibri" w:hAnsi="Calibri" w:eastAsia="Calibri" w:cs="Calibri"/>
        </w:rPr>
        <w:t xml:space="preserve"> </w:t>
      </w:r>
      <w:r w:rsidRPr="3DBE51BC" w:rsidR="0011061D">
        <w:rPr>
          <w:rFonts w:ascii="Calibri" w:hAnsi="Calibri" w:eastAsia="Calibri" w:cs="Calibri"/>
        </w:rPr>
        <w:t xml:space="preserve">100) </w:t>
      </w:r>
      <w:r w:rsidRPr="3DBE51BC" w:rsidR="006E53BA">
        <w:rPr>
          <w:rFonts w:ascii="Calibri" w:hAnsi="Calibri" w:eastAsia="Calibri" w:cs="Calibri"/>
        </w:rPr>
        <w:t>of single audit costs may be charged to the MOVA grant.</w:t>
      </w:r>
    </w:p>
    <w:p w:rsidR="30D1D220" w:rsidP="30D1D220" w:rsidRDefault="30D1D220" w14:paraId="04AB4B9D" w14:textId="4CE7335D">
      <w:pPr>
        <w:pStyle w:val="NoSpacing"/>
        <w:spacing w:line="360" w:lineRule="auto"/>
        <w:rPr>
          <w:rFonts w:ascii="Calibri" w:hAnsi="Calibri" w:eastAsia="Calibri" w:cs="Calibri"/>
        </w:rPr>
      </w:pPr>
    </w:p>
    <w:p w:rsidR="7684D3DB" w:rsidP="7684D3DB" w:rsidRDefault="7684D3DB" w14:paraId="4F1E03DB" w14:textId="4E29C2E7">
      <w:pPr>
        <w:pStyle w:val="Subtitle"/>
        <w:rPr>
          <w:rFonts w:ascii="Calibri" w:hAnsi="Calibri" w:eastAsia="Calibri" w:cs="Calibri"/>
          <w:b w:val="1"/>
          <w:bCs w:val="1"/>
          <w:i w:val="1"/>
          <w:iCs w:val="1"/>
          <w:color w:val="auto"/>
          <w:sz w:val="24"/>
          <w:szCs w:val="24"/>
        </w:rPr>
      </w:pPr>
    </w:p>
    <w:p w:rsidR="1F32AF93" w:rsidP="7684D3DB" w:rsidRDefault="1F32AF93" w14:paraId="52003574" w14:textId="109CF0EB">
      <w:pPr>
        <w:pStyle w:val="Heading2"/>
        <w:rPr>
          <w:rFonts w:ascii="Calibri" w:hAnsi="Calibri" w:eastAsia="Calibri" w:cs="Calibri"/>
          <w:b w:val="1"/>
          <w:bCs w:val="1"/>
          <w:i w:val="1"/>
          <w:iCs w:val="1"/>
          <w:color w:val="auto"/>
          <w:sz w:val="24"/>
          <w:szCs w:val="24"/>
        </w:rPr>
      </w:pPr>
      <w:r w:rsidR="1F32AF93">
        <w:rPr/>
        <w:t>Rent</w:t>
      </w:r>
    </w:p>
    <w:p w:rsidR="1F32AF93" w:rsidP="30D1D220" w:rsidRDefault="1F32AF93" w14:paraId="2ABD59DB" w14:textId="4E9D8479">
      <w:pPr>
        <w:pStyle w:val="NoSpacing"/>
        <w:spacing w:line="360" w:lineRule="auto"/>
        <w:rPr>
          <w:rFonts w:ascii="Calibri" w:hAnsi="Calibri" w:eastAsia="Calibri" w:cs="Calibri"/>
        </w:rPr>
      </w:pPr>
      <w:r w:rsidRPr="3DBE51BC" w:rsidR="1F32AF93">
        <w:rPr>
          <w:rFonts w:ascii="Calibri" w:hAnsi="Calibri" w:eastAsia="Calibri" w:cs="Calibri"/>
        </w:rPr>
        <w:t>Organization rent and utilities (such as electric and natural gas) are allowable to the extent that the costs are necessary to provide direct services. Costs should be prorated to reflect the appropriate portion of the expense that the grant supports. The most common ways to prorate rent are as follows:</w:t>
      </w:r>
    </w:p>
    <w:p w:rsidR="1F32AF93" w:rsidP="30D1D220" w:rsidRDefault="1F32AF93" w14:paraId="77799B56" w14:textId="7ACDD519">
      <w:pPr>
        <w:pStyle w:val="NoSpacing"/>
        <w:numPr>
          <w:ilvl w:val="0"/>
          <w:numId w:val="12"/>
        </w:numPr>
        <w:spacing w:line="360" w:lineRule="auto"/>
        <w:rPr>
          <w:rFonts w:ascii="Calibri" w:hAnsi="Calibri" w:eastAsia="Calibri" w:cs="Calibri"/>
        </w:rPr>
      </w:pPr>
      <w:r w:rsidRPr="3DBE51BC" w:rsidR="1F32AF93">
        <w:rPr>
          <w:rFonts w:ascii="Calibri" w:hAnsi="Calibri" w:eastAsia="Calibri" w:cs="Calibri"/>
        </w:rPr>
        <w:t>Proration based on square footage: % MOVA FTE x square footage x $ per square foot</w:t>
      </w:r>
    </w:p>
    <w:p w:rsidR="1F32AF93" w:rsidP="30D1D220" w:rsidRDefault="1F32AF93" w14:paraId="17AD793A" w14:textId="77777777">
      <w:pPr>
        <w:pStyle w:val="NoSpacing"/>
        <w:numPr>
          <w:ilvl w:val="0"/>
          <w:numId w:val="13"/>
        </w:numPr>
        <w:spacing w:line="360" w:lineRule="auto"/>
        <w:rPr>
          <w:rFonts w:ascii="Calibri" w:hAnsi="Calibri" w:eastAsia="Calibri" w:cs="Calibri"/>
        </w:rPr>
      </w:pPr>
      <w:r w:rsidRPr="3DBE51BC" w:rsidR="1F32AF93">
        <w:rPr>
          <w:rFonts w:ascii="Calibri" w:hAnsi="Calibri" w:eastAsia="Calibri" w:cs="Calibri"/>
        </w:rPr>
        <w:t xml:space="preserve">First, calculate % MOVA FTE: </w:t>
      </w:r>
    </w:p>
    <w:p w:rsidR="1F32AF93" w:rsidP="30D1D220" w:rsidRDefault="1F32AF93" w14:paraId="10B2B50B" w14:textId="3F105B54">
      <w:pPr>
        <w:pStyle w:val="NoSpacing"/>
        <w:spacing w:line="360" w:lineRule="auto"/>
        <w:ind w:left="1440"/>
        <w:rPr>
          <w:rFonts w:ascii="Calibri" w:hAnsi="Calibri" w:eastAsia="Calibri" w:cs="Calibri"/>
        </w:rPr>
      </w:pPr>
      <w:r w:rsidRPr="3DBE51BC" w:rsidR="1F32AF93">
        <w:rPr>
          <w:rFonts w:ascii="Calibri" w:hAnsi="Calibri" w:eastAsia="Calibri" w:cs="Calibri"/>
        </w:rPr>
        <w:t xml:space="preserve">MOVA FTE ÷ Organization FTE occupying </w:t>
      </w:r>
      <w:r w:rsidRPr="3DBE51BC" w:rsidR="13E7D1D2">
        <w:rPr>
          <w:rFonts w:ascii="Calibri" w:hAnsi="Calibri" w:eastAsia="Calibri" w:cs="Calibri"/>
        </w:rPr>
        <w:t>workspace</w:t>
      </w:r>
      <w:r w:rsidRPr="3DBE51BC" w:rsidR="1F32AF93">
        <w:rPr>
          <w:rFonts w:ascii="Calibri" w:hAnsi="Calibri" w:eastAsia="Calibri" w:cs="Calibri"/>
        </w:rPr>
        <w:t>. For example, 5.5 ÷ 20 = 0.275</w:t>
      </w:r>
    </w:p>
    <w:p w:rsidR="1F32AF93" w:rsidP="30D1D220" w:rsidRDefault="1F32AF93" w14:paraId="6FEC8F12" w14:textId="77777777">
      <w:pPr>
        <w:pStyle w:val="NoSpacing"/>
        <w:numPr>
          <w:ilvl w:val="0"/>
          <w:numId w:val="13"/>
        </w:numPr>
        <w:spacing w:line="360" w:lineRule="auto"/>
        <w:rPr>
          <w:rFonts w:ascii="Calibri" w:hAnsi="Calibri" w:eastAsia="Calibri" w:cs="Calibri"/>
        </w:rPr>
      </w:pPr>
      <w:r w:rsidRPr="3DBE51BC" w:rsidR="1F32AF93">
        <w:rPr>
          <w:rFonts w:ascii="Calibri" w:hAnsi="Calibri" w:eastAsia="Calibri" w:cs="Calibri"/>
        </w:rPr>
        <w:t xml:space="preserve">Then, determine $ per square foot: </w:t>
      </w:r>
    </w:p>
    <w:p w:rsidR="1F32AF93" w:rsidP="30D1D220" w:rsidRDefault="1F32AF93" w14:paraId="278EA9CF" w14:textId="0C360C5B">
      <w:pPr>
        <w:pStyle w:val="NoSpacing"/>
        <w:spacing w:line="360" w:lineRule="auto"/>
        <w:ind w:left="1440"/>
        <w:rPr>
          <w:rFonts w:ascii="Calibri" w:hAnsi="Calibri" w:eastAsia="Calibri" w:cs="Calibri"/>
        </w:rPr>
      </w:pPr>
      <w:r w:rsidRPr="3DBE51BC" w:rsidR="1F32AF93">
        <w:rPr>
          <w:rFonts w:ascii="Calibri" w:hAnsi="Calibri" w:eastAsia="Calibri" w:cs="Calibri"/>
        </w:rPr>
        <w:t xml:space="preserve">total square feet ÷ cost of annual lease </w:t>
      </w:r>
      <w:r w:rsidRPr="3DBE51BC" w:rsidR="7403268C">
        <w:rPr>
          <w:rFonts w:ascii="Calibri" w:hAnsi="Calibri" w:eastAsia="Calibri" w:cs="Calibri"/>
        </w:rPr>
        <w:t>x</w:t>
      </w:r>
      <w:r w:rsidRPr="3DBE51BC" w:rsidR="1F32AF93">
        <w:rPr>
          <w:rFonts w:ascii="Calibri" w:hAnsi="Calibri" w:eastAsia="Calibri" w:cs="Calibri"/>
        </w:rPr>
        <w:t xml:space="preserve"> 100. For example, 6,500 sq. ft. ÷ $125,000 </w:t>
      </w:r>
      <w:r w:rsidRPr="3DBE51BC" w:rsidR="226E5801">
        <w:rPr>
          <w:rFonts w:ascii="Calibri" w:hAnsi="Calibri" w:eastAsia="Calibri" w:cs="Calibri"/>
        </w:rPr>
        <w:t>x</w:t>
      </w:r>
      <w:r w:rsidRPr="3DBE51BC" w:rsidR="1F32AF93">
        <w:rPr>
          <w:rFonts w:ascii="Calibri" w:hAnsi="Calibri" w:eastAsia="Calibri" w:cs="Calibri"/>
        </w:rPr>
        <w:t xml:space="preserve"> 100 = 5.2</w:t>
      </w:r>
    </w:p>
    <w:p w:rsidR="1F32AF93" w:rsidP="30D1D220" w:rsidRDefault="1F32AF93" w14:paraId="24BE16DC" w14:textId="3EA6338D">
      <w:pPr>
        <w:pStyle w:val="NoSpacing"/>
        <w:numPr>
          <w:ilvl w:val="0"/>
          <w:numId w:val="13"/>
        </w:numPr>
        <w:spacing w:line="360" w:lineRule="auto"/>
        <w:rPr>
          <w:rFonts w:ascii="Calibri" w:hAnsi="Calibri" w:eastAsia="Calibri" w:cs="Calibri"/>
        </w:rPr>
      </w:pPr>
      <w:r w:rsidRPr="3DBE51BC" w:rsidR="1F32AF93">
        <w:rPr>
          <w:rFonts w:ascii="Calibri" w:hAnsi="Calibri" w:eastAsia="Calibri" w:cs="Calibri"/>
        </w:rPr>
        <w:t xml:space="preserve">Finally, plug these numbers into the formula. For example, 0.45 FTE </w:t>
      </w:r>
      <w:r w:rsidRPr="3DBE51BC" w:rsidR="61D050AA">
        <w:rPr>
          <w:rFonts w:ascii="Calibri" w:hAnsi="Calibri" w:eastAsia="Calibri" w:cs="Calibri"/>
        </w:rPr>
        <w:t>x</w:t>
      </w:r>
      <w:r w:rsidRPr="3DBE51BC" w:rsidR="1F32AF93">
        <w:rPr>
          <w:rFonts w:ascii="Calibri" w:hAnsi="Calibri" w:eastAsia="Calibri" w:cs="Calibri"/>
        </w:rPr>
        <w:t xml:space="preserve"> 6,500 sq. ft. </w:t>
      </w:r>
      <w:r w:rsidRPr="3DBE51BC" w:rsidR="0B548E7B">
        <w:rPr>
          <w:rFonts w:ascii="Calibri" w:hAnsi="Calibri" w:eastAsia="Calibri" w:cs="Calibri"/>
        </w:rPr>
        <w:t>x</w:t>
      </w:r>
      <w:r w:rsidRPr="3DBE51BC" w:rsidR="1F32AF93">
        <w:rPr>
          <w:rFonts w:ascii="Calibri" w:hAnsi="Calibri" w:eastAsia="Calibri" w:cs="Calibri"/>
        </w:rPr>
        <w:t xml:space="preserve"> $5.2 = $15,210</w:t>
      </w:r>
    </w:p>
    <w:p w:rsidR="1F32AF93" w:rsidP="30D1D220" w:rsidRDefault="1F32AF93" w14:paraId="693AB9C4" w14:textId="02B2EC1F">
      <w:pPr>
        <w:pStyle w:val="NoSpacing"/>
        <w:numPr>
          <w:ilvl w:val="0"/>
          <w:numId w:val="12"/>
        </w:numPr>
        <w:spacing w:line="360" w:lineRule="auto"/>
        <w:rPr>
          <w:rFonts w:ascii="Calibri" w:hAnsi="Calibri" w:eastAsia="Calibri" w:cs="Calibri"/>
        </w:rPr>
      </w:pPr>
      <w:r w:rsidRPr="3DBE51BC" w:rsidR="1F32AF93">
        <w:rPr>
          <w:rFonts w:ascii="Calibri" w:hAnsi="Calibri" w:eastAsia="Calibri" w:cs="Calibri"/>
        </w:rPr>
        <w:t xml:space="preserve">Proration based on FTE: (MOVA FTE ÷ Organization FTE) </w:t>
      </w:r>
      <w:r w:rsidRPr="3DBE51BC" w:rsidR="5BAD6CBB">
        <w:rPr>
          <w:rFonts w:ascii="Calibri" w:hAnsi="Calibri" w:eastAsia="Calibri" w:cs="Calibri"/>
        </w:rPr>
        <w:t>x</w:t>
      </w:r>
      <w:r w:rsidRPr="3DBE51BC" w:rsidR="1F32AF93">
        <w:rPr>
          <w:rFonts w:ascii="Calibri" w:hAnsi="Calibri" w:eastAsia="Calibri" w:cs="Calibri"/>
        </w:rPr>
        <w:t xml:space="preserve"> cost of annual lease.</w:t>
      </w:r>
    </w:p>
    <w:p w:rsidR="1F32AF93" w:rsidP="30D1D220" w:rsidRDefault="1F32AF93" w14:paraId="452480E6" w14:textId="09B53040">
      <w:pPr>
        <w:pStyle w:val="NoSpacing"/>
        <w:numPr>
          <w:ilvl w:val="0"/>
          <w:numId w:val="14"/>
        </w:numPr>
        <w:spacing w:line="360" w:lineRule="auto"/>
        <w:rPr>
          <w:rFonts w:ascii="Calibri" w:hAnsi="Calibri" w:eastAsia="Calibri" w:cs="Calibri"/>
        </w:rPr>
      </w:pPr>
      <w:r w:rsidRPr="3DBE51BC" w:rsidR="1F32AF93">
        <w:rPr>
          <w:rFonts w:ascii="Calibri" w:hAnsi="Calibri" w:eastAsia="Calibri" w:cs="Calibri"/>
        </w:rPr>
        <w:t xml:space="preserve">For example, (5.5 MOVA FTE ÷ 20 Organization FTE) </w:t>
      </w:r>
      <w:r w:rsidRPr="3DBE51BC" w:rsidR="6DA61E54">
        <w:rPr>
          <w:rFonts w:ascii="Calibri" w:hAnsi="Calibri" w:eastAsia="Calibri" w:cs="Calibri"/>
        </w:rPr>
        <w:t>x</w:t>
      </w:r>
      <w:r w:rsidRPr="3DBE51BC" w:rsidR="1F32AF93">
        <w:rPr>
          <w:rFonts w:ascii="Calibri" w:hAnsi="Calibri" w:eastAsia="Calibri" w:cs="Calibri"/>
        </w:rPr>
        <w:t xml:space="preserve"> $125,000 = $34,375</w:t>
      </w:r>
    </w:p>
    <w:p w:rsidRPr="006F349A" w:rsidR="007342F9" w:rsidP="00310F27" w:rsidRDefault="007342F9" w14:paraId="214B7789" w14:textId="77777777">
      <w:pPr>
        <w:pStyle w:val="NoSpacing"/>
        <w:spacing w:line="360" w:lineRule="auto"/>
        <w:rPr>
          <w:rFonts w:ascii="Calibri" w:hAnsi="Calibri" w:eastAsia="Calibri" w:cs="Calibri"/>
        </w:rPr>
      </w:pPr>
    </w:p>
    <w:p w:rsidRPr="006F349A" w:rsidR="007342F9" w:rsidP="7684D3DB" w:rsidRDefault="009C406C" w14:paraId="0D5BC5A5" w14:textId="34AEAF0D">
      <w:pPr>
        <w:pStyle w:val="Heading1"/>
        <w:jc w:val="left"/>
        <w:rPr>
          <w:rFonts w:ascii="Calibri" w:hAnsi="Calibri" w:eastAsia="Calibri" w:cs="Calibri"/>
          <w:b w:val="1"/>
          <w:bCs w:val="1"/>
          <w:color w:val="auto"/>
          <w:sz w:val="28"/>
          <w:szCs w:val="28"/>
        </w:rPr>
      </w:pPr>
      <w:r w:rsidRPr="7684D3DB" w:rsidR="009C406C">
        <w:rPr>
          <w:rFonts w:ascii="Calibri" w:hAnsi="Calibri" w:eastAsia="Calibri" w:cs="Calibri"/>
          <w:b w:val="1"/>
          <w:bCs w:val="1"/>
          <w:color w:val="auto"/>
          <w:sz w:val="28"/>
          <w:szCs w:val="28"/>
        </w:rPr>
        <w:t xml:space="preserve">Overlapping </w:t>
      </w:r>
      <w:r w:rsidRPr="7684D3DB" w:rsidR="002F29C4">
        <w:rPr>
          <w:rFonts w:ascii="Calibri" w:hAnsi="Calibri" w:eastAsia="Calibri" w:cs="Calibri"/>
          <w:b w:val="1"/>
          <w:bCs w:val="1"/>
          <w:color w:val="auto"/>
          <w:sz w:val="28"/>
          <w:szCs w:val="28"/>
        </w:rPr>
        <w:t>Costs</w:t>
      </w:r>
      <w:r w:rsidRPr="7684D3DB" w:rsidR="009C406C">
        <w:rPr>
          <w:rFonts w:ascii="Calibri" w:hAnsi="Calibri" w:eastAsia="Calibri" w:cs="Calibri"/>
          <w:b w:val="1"/>
          <w:bCs w:val="1"/>
          <w:color w:val="auto"/>
          <w:sz w:val="28"/>
          <w:szCs w:val="28"/>
        </w:rPr>
        <w:t xml:space="preserve"> at Year End</w:t>
      </w:r>
    </w:p>
    <w:p w:rsidRPr="006F349A" w:rsidR="006838CF" w:rsidP="002306F6" w:rsidRDefault="002F4FD1" w14:paraId="6475E7B9" w14:textId="28EBC852">
      <w:pPr>
        <w:pStyle w:val="NoSpacing"/>
        <w:spacing w:line="360" w:lineRule="auto"/>
        <w:rPr>
          <w:rFonts w:ascii="Calibri" w:hAnsi="Calibri" w:eastAsia="Calibri" w:cs="Calibri"/>
        </w:rPr>
      </w:pPr>
      <w:r w:rsidRPr="3DBE51BC" w:rsidR="002F4FD1">
        <w:rPr>
          <w:rFonts w:ascii="Calibri" w:hAnsi="Calibri" w:eastAsia="Calibri" w:cs="Calibri"/>
        </w:rPr>
        <w:t>Unless we tell you otherwise, your budget should reflect the state’s fiscal year from July 1 to June 30. This is also called the “performance period.” You can’t:</w:t>
      </w:r>
    </w:p>
    <w:p w:rsidRPr="006F349A" w:rsidR="001E1465" w:rsidP="001E1465" w:rsidRDefault="002F4FD1" w14:paraId="3F7E7100" w14:textId="77777777">
      <w:pPr>
        <w:pStyle w:val="NoSpacing"/>
        <w:numPr>
          <w:ilvl w:val="0"/>
          <w:numId w:val="16"/>
        </w:numPr>
        <w:spacing w:line="360" w:lineRule="auto"/>
        <w:rPr>
          <w:rFonts w:ascii="Calibri" w:hAnsi="Calibri" w:eastAsia="Calibri" w:cs="Calibri"/>
        </w:rPr>
      </w:pPr>
      <w:r w:rsidRPr="3DBE51BC" w:rsidR="002F4FD1">
        <w:rPr>
          <w:rFonts w:ascii="Calibri" w:hAnsi="Calibri" w:eastAsia="Calibri" w:cs="Calibri"/>
        </w:rPr>
        <w:t>Commit grant funds before the performance period starts</w:t>
      </w:r>
    </w:p>
    <w:p w:rsidRPr="006F349A" w:rsidR="001E1465" w:rsidP="001E1465" w:rsidRDefault="003208BD" w14:paraId="463586B6" w14:textId="6C175118">
      <w:pPr>
        <w:pStyle w:val="NoSpacing"/>
        <w:numPr>
          <w:ilvl w:val="0"/>
          <w:numId w:val="16"/>
        </w:numPr>
        <w:spacing w:line="360" w:lineRule="auto"/>
        <w:rPr>
          <w:rFonts w:ascii="Calibri" w:hAnsi="Calibri" w:eastAsia="Calibri" w:cs="Calibri"/>
        </w:rPr>
      </w:pPr>
      <w:r w:rsidRPr="3DBE51BC" w:rsidR="003208BD">
        <w:rPr>
          <w:rFonts w:ascii="Calibri" w:hAnsi="Calibri" w:eastAsia="Calibri" w:cs="Calibri"/>
        </w:rPr>
        <w:t>Receive consultant or subcontract services</w:t>
      </w:r>
      <w:r w:rsidRPr="3DBE51BC" w:rsidR="00C2205D">
        <w:rPr>
          <w:rFonts w:ascii="Calibri" w:hAnsi="Calibri" w:eastAsia="Calibri" w:cs="Calibri"/>
        </w:rPr>
        <w:t xml:space="preserve"> </w:t>
      </w:r>
      <w:r w:rsidRPr="3DBE51BC" w:rsidR="002F4FD1">
        <w:rPr>
          <w:rFonts w:ascii="Calibri" w:hAnsi="Calibri" w:eastAsia="Calibri" w:cs="Calibri"/>
        </w:rPr>
        <w:t>before the performance period starts</w:t>
      </w:r>
    </w:p>
    <w:p w:rsidRPr="006F349A" w:rsidR="001E1465" w:rsidP="001E1465" w:rsidRDefault="002F4FD1" w14:paraId="2876444B" w14:textId="77777777">
      <w:pPr>
        <w:pStyle w:val="NoSpacing"/>
        <w:numPr>
          <w:ilvl w:val="0"/>
          <w:numId w:val="16"/>
        </w:numPr>
        <w:spacing w:line="360" w:lineRule="auto"/>
        <w:rPr>
          <w:rFonts w:ascii="Calibri" w:hAnsi="Calibri" w:eastAsia="Calibri" w:cs="Calibri"/>
        </w:rPr>
      </w:pPr>
      <w:r w:rsidRPr="3DBE51BC" w:rsidR="002F4FD1">
        <w:rPr>
          <w:rFonts w:ascii="Calibri" w:hAnsi="Calibri" w:eastAsia="Calibri" w:cs="Calibri"/>
        </w:rPr>
        <w:t>Carry unused funds over to the next fiscal year unless we approve</w:t>
      </w:r>
    </w:p>
    <w:p w:rsidRPr="006F349A" w:rsidR="002F4FD1" w:rsidP="001E1465" w:rsidRDefault="002F4FD1" w14:paraId="222174F5" w14:textId="320F0742">
      <w:pPr>
        <w:pStyle w:val="NoSpacing"/>
        <w:numPr>
          <w:ilvl w:val="0"/>
          <w:numId w:val="16"/>
        </w:numPr>
        <w:spacing w:line="360" w:lineRule="auto"/>
        <w:rPr>
          <w:rFonts w:ascii="Calibri" w:hAnsi="Calibri" w:eastAsia="Calibri" w:cs="Calibri"/>
        </w:rPr>
      </w:pPr>
      <w:r w:rsidRPr="3DBE51BC" w:rsidR="002F4FD1">
        <w:rPr>
          <w:rFonts w:ascii="Calibri" w:hAnsi="Calibri" w:eastAsia="Calibri" w:cs="Calibri"/>
        </w:rPr>
        <w:t>Commit funds after the performance period ends. For example, if the performance period is from July 1, 202</w:t>
      </w:r>
      <w:r w:rsidRPr="3DBE51BC" w:rsidR="005F160D">
        <w:rPr>
          <w:rFonts w:ascii="Calibri" w:hAnsi="Calibri" w:eastAsia="Calibri" w:cs="Calibri"/>
        </w:rPr>
        <w:t>5</w:t>
      </w:r>
      <w:r w:rsidRPr="3DBE51BC" w:rsidR="002F4FD1">
        <w:rPr>
          <w:rFonts w:ascii="Calibri" w:hAnsi="Calibri" w:eastAsia="Calibri" w:cs="Calibri"/>
        </w:rPr>
        <w:t xml:space="preserve"> to June 30, 202</w:t>
      </w:r>
      <w:r w:rsidRPr="3DBE51BC" w:rsidR="005F160D">
        <w:rPr>
          <w:rFonts w:ascii="Calibri" w:hAnsi="Calibri" w:eastAsia="Calibri" w:cs="Calibri"/>
        </w:rPr>
        <w:t>6</w:t>
      </w:r>
      <w:r w:rsidRPr="3DBE51BC" w:rsidR="002F4FD1">
        <w:rPr>
          <w:rFonts w:ascii="Calibri" w:hAnsi="Calibri" w:eastAsia="Calibri" w:cs="Calibri"/>
        </w:rPr>
        <w:t>, the deadline</w:t>
      </w:r>
      <w:r w:rsidRPr="3DBE51BC" w:rsidR="7197F643">
        <w:rPr>
          <w:rFonts w:ascii="Calibri" w:hAnsi="Calibri" w:eastAsia="Calibri" w:cs="Calibri"/>
        </w:rPr>
        <w:t xml:space="preserve"> to incur costs</w:t>
      </w:r>
      <w:r w:rsidRPr="3DBE51BC" w:rsidR="002F4FD1">
        <w:rPr>
          <w:rFonts w:ascii="Calibri" w:hAnsi="Calibri" w:eastAsia="Calibri" w:cs="Calibri"/>
        </w:rPr>
        <w:t xml:space="preserve"> is June 30, 202</w:t>
      </w:r>
      <w:r w:rsidRPr="3DBE51BC" w:rsidR="005F160D">
        <w:rPr>
          <w:rFonts w:ascii="Calibri" w:hAnsi="Calibri" w:eastAsia="Calibri" w:cs="Calibri"/>
        </w:rPr>
        <w:t>6</w:t>
      </w:r>
      <w:r w:rsidRPr="3DBE51BC" w:rsidR="002F4FD1">
        <w:rPr>
          <w:rFonts w:ascii="Calibri" w:hAnsi="Calibri" w:eastAsia="Calibri" w:cs="Calibri"/>
        </w:rPr>
        <w:t>.</w:t>
      </w:r>
    </w:p>
    <w:p w:rsidRPr="006F349A" w:rsidR="001E1465" w:rsidP="001E1465" w:rsidRDefault="001E1465" w14:paraId="53110D4A" w14:textId="77777777">
      <w:pPr>
        <w:pStyle w:val="NoSpacing"/>
        <w:spacing w:line="360" w:lineRule="auto"/>
        <w:ind w:left="720"/>
        <w:rPr>
          <w:rFonts w:ascii="Calibri" w:hAnsi="Calibri" w:eastAsia="Calibri" w:cs="Calibri"/>
        </w:rPr>
      </w:pPr>
    </w:p>
    <w:p w:rsidRPr="006F349A" w:rsidR="00386D38" w:rsidP="00F934D6" w:rsidRDefault="00A73E6E" w14:paraId="69E857D6" w14:textId="4DEEB29A">
      <w:pPr>
        <w:pStyle w:val="NoSpacing"/>
        <w:spacing w:line="360" w:lineRule="auto"/>
        <w:rPr>
          <w:rFonts w:ascii="Calibri" w:hAnsi="Calibri" w:eastAsia="Calibri" w:cs="Calibri"/>
        </w:rPr>
      </w:pPr>
      <w:r w:rsidRPr="3DBE51BC" w:rsidR="00A73E6E">
        <w:rPr>
          <w:rFonts w:ascii="Calibri" w:hAnsi="Calibri" w:eastAsia="Calibri" w:cs="Calibri"/>
        </w:rPr>
        <w:t>Services provided and costs incurred through June 30 should be bille</w:t>
      </w:r>
      <w:r w:rsidRPr="3DBE51BC" w:rsidR="00B75AB5">
        <w:rPr>
          <w:rFonts w:ascii="Calibri" w:hAnsi="Calibri" w:eastAsia="Calibri" w:cs="Calibri"/>
        </w:rPr>
        <w:t>d in the June expense report</w:t>
      </w:r>
      <w:r w:rsidRPr="3DBE51BC" w:rsidR="38E64979">
        <w:rPr>
          <w:rFonts w:ascii="Calibri" w:hAnsi="Calibri" w:eastAsia="Calibri" w:cs="Calibri"/>
        </w:rPr>
        <w:t>,</w:t>
      </w:r>
      <w:r w:rsidRPr="3DBE51BC" w:rsidR="480E09D2">
        <w:rPr>
          <w:rFonts w:ascii="Calibri" w:hAnsi="Calibri" w:eastAsia="Calibri" w:cs="Calibri"/>
        </w:rPr>
        <w:t xml:space="preserve"> which is the final report of the performance period</w:t>
      </w:r>
      <w:r w:rsidRPr="3DBE51BC" w:rsidR="00B75AB5">
        <w:rPr>
          <w:rFonts w:ascii="Calibri" w:hAnsi="Calibri" w:eastAsia="Calibri" w:cs="Calibri"/>
        </w:rPr>
        <w:t>.</w:t>
      </w:r>
      <w:r w:rsidRPr="3DBE51BC" w:rsidR="00174577">
        <w:rPr>
          <w:rFonts w:ascii="Calibri" w:hAnsi="Calibri" w:eastAsia="Calibri" w:cs="Calibri"/>
        </w:rPr>
        <w:t xml:space="preserve"> </w:t>
      </w:r>
      <w:r w:rsidRPr="3DBE51BC" w:rsidR="00BB48E1">
        <w:rPr>
          <w:rFonts w:ascii="Calibri" w:hAnsi="Calibri" w:eastAsia="Calibri" w:cs="Calibri"/>
        </w:rPr>
        <w:t>The last pay period in June is likely to cross fiscal years, that is</w:t>
      </w:r>
      <w:r w:rsidRPr="3DBE51BC" w:rsidR="00580C01">
        <w:rPr>
          <w:rFonts w:ascii="Calibri" w:hAnsi="Calibri" w:eastAsia="Calibri" w:cs="Calibri"/>
        </w:rPr>
        <w:t xml:space="preserve">, to overlap with July. To ensure that </w:t>
      </w:r>
      <w:r w:rsidRPr="3DBE51BC" w:rsidR="00477CB8">
        <w:rPr>
          <w:rFonts w:ascii="Calibri" w:hAnsi="Calibri" w:eastAsia="Calibri" w:cs="Calibri"/>
        </w:rPr>
        <w:t>payroll expenses</w:t>
      </w:r>
      <w:r w:rsidRPr="3DBE51BC" w:rsidR="00580C01">
        <w:rPr>
          <w:rFonts w:ascii="Calibri" w:hAnsi="Calibri" w:eastAsia="Calibri" w:cs="Calibri"/>
        </w:rPr>
        <w:t xml:space="preserve"> incurred in the </w:t>
      </w:r>
      <w:r w:rsidRPr="3DBE51BC" w:rsidR="00580C01">
        <w:rPr>
          <w:rFonts w:ascii="Calibri" w:hAnsi="Calibri" w:eastAsia="Calibri" w:cs="Calibri"/>
        </w:rPr>
        <w:t>current fiscal year are not charged in the subsequent fiscal year, the June expense report may need to be prorated.</w:t>
      </w:r>
      <w:r w:rsidRPr="3DBE51BC" w:rsidR="00F60052">
        <w:rPr>
          <w:rFonts w:ascii="Calibri" w:hAnsi="Calibri" w:eastAsia="Calibri" w:cs="Calibri"/>
        </w:rPr>
        <w:t xml:space="preserve"> </w:t>
      </w:r>
      <w:r w:rsidRPr="3DBE51BC" w:rsidR="001E1465">
        <w:rPr>
          <w:rFonts w:ascii="Calibri" w:hAnsi="Calibri" w:eastAsia="Calibri" w:cs="Calibri"/>
        </w:rPr>
        <w:t>If the last pay period in June includes July days, prorate the June expense report as follows:</w:t>
      </w:r>
    </w:p>
    <w:p w:rsidRPr="006F349A" w:rsidR="001E1465" w:rsidP="001E1465" w:rsidRDefault="00625BC0" w14:paraId="34646FA0" w14:textId="194ECCF6">
      <w:pPr>
        <w:pStyle w:val="NoSpacing"/>
        <w:numPr>
          <w:ilvl w:val="0"/>
          <w:numId w:val="15"/>
        </w:numPr>
        <w:spacing w:line="360" w:lineRule="auto"/>
        <w:rPr>
          <w:rFonts w:ascii="Calibri" w:hAnsi="Calibri" w:eastAsia="Calibri" w:cs="Calibri"/>
        </w:rPr>
      </w:pPr>
      <w:r w:rsidRPr="3DBE51BC" w:rsidR="00625BC0">
        <w:rPr>
          <w:rFonts w:ascii="Calibri" w:hAnsi="Calibri" w:eastAsia="Calibri" w:cs="Calibri"/>
        </w:rPr>
        <w:t xml:space="preserve">Count the number of hours worked in June vs. July. For example, </w:t>
      </w:r>
      <w:r w:rsidRPr="3DBE51BC" w:rsidR="22F4CCA1">
        <w:rPr>
          <w:rFonts w:ascii="Calibri" w:hAnsi="Calibri" w:eastAsia="Calibri" w:cs="Calibri"/>
        </w:rPr>
        <w:t xml:space="preserve">Advocate A worked </w:t>
      </w:r>
      <w:r w:rsidRPr="3DBE51BC" w:rsidR="00625BC0">
        <w:rPr>
          <w:rFonts w:ascii="Calibri" w:hAnsi="Calibri" w:eastAsia="Calibri" w:cs="Calibri"/>
        </w:rPr>
        <w:t>a total of 80 hours</w:t>
      </w:r>
      <w:r w:rsidRPr="3DBE51BC" w:rsidR="009C2D39">
        <w:rPr>
          <w:rFonts w:ascii="Calibri" w:hAnsi="Calibri" w:eastAsia="Calibri" w:cs="Calibri"/>
        </w:rPr>
        <w:t xml:space="preserve"> in the last pay period</w:t>
      </w:r>
      <w:r w:rsidRPr="3DBE51BC" w:rsidR="0042343E">
        <w:rPr>
          <w:rFonts w:ascii="Calibri" w:hAnsi="Calibri" w:eastAsia="Calibri" w:cs="Calibri"/>
        </w:rPr>
        <w:t xml:space="preserve">, 24 </w:t>
      </w:r>
      <w:r w:rsidRPr="3DBE51BC" w:rsidR="00E412CE">
        <w:rPr>
          <w:rFonts w:ascii="Calibri" w:hAnsi="Calibri" w:eastAsia="Calibri" w:cs="Calibri"/>
        </w:rPr>
        <w:t>of which</w:t>
      </w:r>
      <w:r w:rsidRPr="3DBE51BC" w:rsidR="0042343E">
        <w:rPr>
          <w:rFonts w:ascii="Calibri" w:hAnsi="Calibri" w:eastAsia="Calibri" w:cs="Calibri"/>
        </w:rPr>
        <w:t xml:space="preserve"> were worked in early July and </w:t>
      </w:r>
      <w:r w:rsidRPr="3DBE51BC" w:rsidR="00E412CE">
        <w:rPr>
          <w:rFonts w:ascii="Calibri" w:hAnsi="Calibri" w:eastAsia="Calibri" w:cs="Calibri"/>
        </w:rPr>
        <w:t>56 in June.</w:t>
      </w:r>
    </w:p>
    <w:p w:rsidRPr="006F349A" w:rsidR="0071091F" w:rsidP="001E1465" w:rsidRDefault="00E412CE" w14:paraId="3D8EE00C" w14:textId="77777777">
      <w:pPr>
        <w:pStyle w:val="NoSpacing"/>
        <w:numPr>
          <w:ilvl w:val="0"/>
          <w:numId w:val="15"/>
        </w:numPr>
        <w:spacing w:line="360" w:lineRule="auto"/>
        <w:rPr>
          <w:rFonts w:ascii="Calibri" w:hAnsi="Calibri" w:eastAsia="Calibri" w:cs="Calibri"/>
        </w:rPr>
      </w:pPr>
      <w:r w:rsidRPr="3DBE51BC" w:rsidR="00E412CE">
        <w:rPr>
          <w:rFonts w:ascii="Calibri" w:hAnsi="Calibri" w:eastAsia="Calibri" w:cs="Calibri"/>
        </w:rPr>
        <w:t>Calculate the percentage</w:t>
      </w:r>
      <w:r w:rsidRPr="3DBE51BC" w:rsidR="0066569C">
        <w:rPr>
          <w:rFonts w:ascii="Calibri" w:hAnsi="Calibri" w:eastAsia="Calibri" w:cs="Calibri"/>
        </w:rPr>
        <w:t xml:space="preserve"> of hours worked in June and July.</w:t>
      </w:r>
      <w:r w:rsidRPr="3DBE51BC" w:rsidR="0071091F">
        <w:rPr>
          <w:rFonts w:ascii="Calibri" w:hAnsi="Calibri" w:eastAsia="Calibri" w:cs="Calibri"/>
        </w:rPr>
        <w:t xml:space="preserve"> </w:t>
      </w:r>
    </w:p>
    <w:p w:rsidRPr="006F349A" w:rsidR="006826B8" w:rsidP="00F41938" w:rsidRDefault="0071091F" w14:paraId="5AC1C6F9" w14:textId="5464BA9D">
      <w:pPr>
        <w:pStyle w:val="NoSpacing"/>
        <w:numPr>
          <w:ilvl w:val="1"/>
          <w:numId w:val="15"/>
        </w:numPr>
        <w:spacing w:line="360" w:lineRule="auto"/>
        <w:rPr>
          <w:rFonts w:ascii="Calibri" w:hAnsi="Calibri" w:eastAsia="Calibri" w:cs="Calibri"/>
        </w:rPr>
      </w:pPr>
      <w:r w:rsidRPr="3DBE51BC" w:rsidR="0071091F">
        <w:rPr>
          <w:rFonts w:ascii="Calibri" w:hAnsi="Calibri" w:eastAsia="Calibri" w:cs="Calibri"/>
        </w:rPr>
        <w:t>24/80 hours</w:t>
      </w:r>
      <w:r w:rsidRPr="3DBE51BC" w:rsidR="7EA35FE0">
        <w:rPr>
          <w:rFonts w:ascii="Calibri" w:hAnsi="Calibri" w:eastAsia="Calibri" w:cs="Calibri"/>
        </w:rPr>
        <w:t xml:space="preserve"> </w:t>
      </w:r>
      <w:r w:rsidRPr="3DBE51BC" w:rsidR="0071091F">
        <w:rPr>
          <w:rFonts w:ascii="Calibri" w:hAnsi="Calibri" w:eastAsia="Calibri" w:cs="Calibri"/>
        </w:rPr>
        <w:t xml:space="preserve">= 0.30 or 30%. </w:t>
      </w:r>
    </w:p>
    <w:p w:rsidRPr="006F349A" w:rsidR="00E412CE" w:rsidP="00F41938" w:rsidRDefault="0071091F" w14:paraId="643D3E2C" w14:textId="144A20A0">
      <w:pPr>
        <w:pStyle w:val="NoSpacing"/>
        <w:numPr>
          <w:ilvl w:val="1"/>
          <w:numId w:val="15"/>
        </w:numPr>
        <w:spacing w:line="360" w:lineRule="auto"/>
        <w:rPr>
          <w:rFonts w:ascii="Calibri" w:hAnsi="Calibri" w:eastAsia="Calibri" w:cs="Calibri"/>
        </w:rPr>
      </w:pPr>
      <w:r w:rsidRPr="3DBE51BC" w:rsidR="0071091F">
        <w:rPr>
          <w:rFonts w:ascii="Calibri" w:hAnsi="Calibri" w:eastAsia="Calibri" w:cs="Calibri"/>
        </w:rPr>
        <w:t>56/</w:t>
      </w:r>
      <w:r w:rsidRPr="3DBE51BC" w:rsidR="00606164">
        <w:rPr>
          <w:rFonts w:ascii="Calibri" w:hAnsi="Calibri" w:eastAsia="Calibri" w:cs="Calibri"/>
        </w:rPr>
        <w:t>80</w:t>
      </w:r>
      <w:r w:rsidRPr="3DBE51BC" w:rsidR="56CE8BAC">
        <w:rPr>
          <w:rFonts w:ascii="Calibri" w:hAnsi="Calibri" w:eastAsia="Calibri" w:cs="Calibri"/>
        </w:rPr>
        <w:t xml:space="preserve"> </w:t>
      </w:r>
      <w:r w:rsidRPr="3DBE51BC" w:rsidR="6D84EC32">
        <w:rPr>
          <w:rFonts w:ascii="Calibri" w:hAnsi="Calibri" w:eastAsia="Calibri" w:cs="Calibri"/>
        </w:rPr>
        <w:t xml:space="preserve">hours </w:t>
      </w:r>
      <w:r w:rsidRPr="3DBE51BC" w:rsidR="00606164">
        <w:rPr>
          <w:rFonts w:ascii="Calibri" w:hAnsi="Calibri" w:eastAsia="Calibri" w:cs="Calibri"/>
        </w:rPr>
        <w:t>=</w:t>
      </w:r>
      <w:r w:rsidRPr="3DBE51BC" w:rsidR="4DCC8E81">
        <w:rPr>
          <w:rFonts w:ascii="Calibri" w:hAnsi="Calibri" w:eastAsia="Calibri" w:cs="Calibri"/>
        </w:rPr>
        <w:t xml:space="preserve"> </w:t>
      </w:r>
      <w:r w:rsidRPr="3DBE51BC" w:rsidR="00606164">
        <w:rPr>
          <w:rFonts w:ascii="Calibri" w:hAnsi="Calibri" w:eastAsia="Calibri" w:cs="Calibri"/>
        </w:rPr>
        <w:t>0.70 or 70%.</w:t>
      </w:r>
    </w:p>
    <w:p w:rsidRPr="006F349A" w:rsidR="00606164" w:rsidP="00606164" w:rsidRDefault="003B4A73" w14:paraId="6719BF89" w14:textId="527BDA11">
      <w:pPr>
        <w:pStyle w:val="NoSpacing"/>
        <w:numPr>
          <w:ilvl w:val="0"/>
          <w:numId w:val="18"/>
        </w:numPr>
        <w:spacing w:line="360" w:lineRule="auto"/>
        <w:rPr>
          <w:rFonts w:ascii="Calibri" w:hAnsi="Calibri" w:eastAsia="Calibri" w:cs="Calibri"/>
        </w:rPr>
      </w:pPr>
      <w:r w:rsidRPr="3DBE51BC" w:rsidR="003B4A73">
        <w:rPr>
          <w:rFonts w:ascii="Calibri" w:hAnsi="Calibri" w:eastAsia="Calibri" w:cs="Calibri"/>
        </w:rPr>
        <w:t xml:space="preserve">Multiply </w:t>
      </w:r>
      <w:r w:rsidRPr="3DBE51BC" w:rsidR="6F062589">
        <w:rPr>
          <w:rFonts w:ascii="Calibri" w:hAnsi="Calibri" w:eastAsia="Calibri" w:cs="Calibri"/>
        </w:rPr>
        <w:t>Advocate A’s</w:t>
      </w:r>
      <w:r w:rsidRPr="3DBE51BC" w:rsidR="00DB68E0">
        <w:rPr>
          <w:rFonts w:ascii="Calibri" w:hAnsi="Calibri" w:eastAsia="Calibri" w:cs="Calibri"/>
        </w:rPr>
        <w:t xml:space="preserve"> gross </w:t>
      </w:r>
      <w:r w:rsidRPr="3DBE51BC" w:rsidR="00357DC8">
        <w:rPr>
          <w:rFonts w:ascii="Calibri" w:hAnsi="Calibri" w:eastAsia="Calibri" w:cs="Calibri"/>
        </w:rPr>
        <w:t>pay</w:t>
      </w:r>
      <w:r w:rsidRPr="3DBE51BC" w:rsidR="00DB68E0">
        <w:rPr>
          <w:rFonts w:ascii="Calibri" w:hAnsi="Calibri" w:eastAsia="Calibri" w:cs="Calibri"/>
        </w:rPr>
        <w:t xml:space="preserve"> </w:t>
      </w:r>
      <w:r w:rsidRPr="3DBE51BC" w:rsidR="00357DC8">
        <w:rPr>
          <w:rFonts w:ascii="Calibri" w:hAnsi="Calibri" w:eastAsia="Calibri" w:cs="Calibri"/>
        </w:rPr>
        <w:t>by those percentages.</w:t>
      </w:r>
      <w:r w:rsidRPr="3DBE51BC" w:rsidR="00702D30">
        <w:rPr>
          <w:rFonts w:ascii="Calibri" w:hAnsi="Calibri" w:eastAsia="Calibri" w:cs="Calibri"/>
        </w:rPr>
        <w:t xml:space="preserve">  </w:t>
      </w:r>
    </w:p>
    <w:p w:rsidRPr="006F349A" w:rsidR="00606164" w:rsidP="00076DD1" w:rsidRDefault="00702D30" w14:paraId="10558818" w14:textId="655439D8">
      <w:pPr>
        <w:pStyle w:val="NoSpacing"/>
        <w:numPr>
          <w:ilvl w:val="1"/>
          <w:numId w:val="18"/>
        </w:numPr>
        <w:spacing w:line="360" w:lineRule="auto"/>
        <w:rPr>
          <w:rFonts w:ascii="Calibri" w:hAnsi="Calibri" w:eastAsia="Calibri" w:cs="Calibri"/>
        </w:rPr>
      </w:pPr>
      <w:r w:rsidRPr="3DBE51BC" w:rsidR="00702D30">
        <w:rPr>
          <w:rFonts w:ascii="Calibri" w:hAnsi="Calibri" w:eastAsia="Calibri" w:cs="Calibri"/>
        </w:rPr>
        <w:t>gross pay of $2,000</w:t>
      </w:r>
      <w:r w:rsidRPr="3DBE51BC" w:rsidR="002C4752">
        <w:rPr>
          <w:rFonts w:ascii="Calibri" w:hAnsi="Calibri" w:eastAsia="Calibri" w:cs="Calibri"/>
        </w:rPr>
        <w:t xml:space="preserve"> </w:t>
      </w:r>
      <w:r w:rsidRPr="3DBE51BC" w:rsidR="00617027">
        <w:rPr>
          <w:rFonts w:ascii="Calibri" w:hAnsi="Calibri" w:eastAsia="Calibri" w:cs="Calibri"/>
        </w:rPr>
        <w:t xml:space="preserve">• </w:t>
      </w:r>
      <w:r w:rsidRPr="3DBE51BC" w:rsidR="002C4752">
        <w:rPr>
          <w:rFonts w:ascii="Calibri" w:hAnsi="Calibri" w:eastAsia="Calibri" w:cs="Calibri"/>
        </w:rPr>
        <w:t xml:space="preserve">0.30 </w:t>
      </w:r>
      <w:r w:rsidRPr="3DBE51BC" w:rsidR="7C73061F">
        <w:rPr>
          <w:rFonts w:ascii="Calibri" w:hAnsi="Calibri" w:eastAsia="Calibri" w:cs="Calibri"/>
        </w:rPr>
        <w:t>=</w:t>
      </w:r>
      <w:r w:rsidRPr="3DBE51BC" w:rsidR="002C4752">
        <w:rPr>
          <w:rFonts w:ascii="Calibri" w:hAnsi="Calibri" w:eastAsia="Calibri" w:cs="Calibri"/>
        </w:rPr>
        <w:t xml:space="preserve"> </w:t>
      </w:r>
      <w:r w:rsidRPr="3DBE51BC" w:rsidR="005A722D">
        <w:rPr>
          <w:rFonts w:ascii="Calibri" w:hAnsi="Calibri" w:eastAsia="Calibri" w:cs="Calibri"/>
        </w:rPr>
        <w:t>$600</w:t>
      </w:r>
    </w:p>
    <w:p w:rsidRPr="006F349A" w:rsidR="00606164" w:rsidP="795E4422" w:rsidRDefault="0DFC9E3D" w14:paraId="37D4065B" w14:textId="4A6A2683">
      <w:pPr>
        <w:pStyle w:val="NoSpacing"/>
        <w:numPr>
          <w:ilvl w:val="1"/>
          <w:numId w:val="18"/>
        </w:numPr>
        <w:spacing w:line="360" w:lineRule="auto"/>
        <w:rPr>
          <w:rFonts w:ascii="Calibri" w:hAnsi="Calibri" w:eastAsia="Calibri" w:cs="Calibri"/>
        </w:rPr>
      </w:pPr>
      <w:r w:rsidRPr="3DBE51BC" w:rsidR="0DFC9E3D">
        <w:rPr>
          <w:rFonts w:ascii="Calibri" w:hAnsi="Calibri" w:eastAsia="Calibri" w:cs="Calibri"/>
        </w:rPr>
        <w:t>Gross pay of</w:t>
      </w:r>
      <w:r w:rsidRPr="3DBE51BC" w:rsidR="005A722D">
        <w:rPr>
          <w:rFonts w:ascii="Calibri" w:hAnsi="Calibri" w:eastAsia="Calibri" w:cs="Calibri"/>
        </w:rPr>
        <w:t xml:space="preserve">$2,000 </w:t>
      </w:r>
      <w:r w:rsidRPr="3DBE51BC" w:rsidR="00617027">
        <w:rPr>
          <w:rFonts w:ascii="Calibri" w:hAnsi="Calibri" w:eastAsia="Calibri" w:cs="Calibri"/>
        </w:rPr>
        <w:t xml:space="preserve">• </w:t>
      </w:r>
      <w:r w:rsidRPr="3DBE51BC" w:rsidR="005A722D">
        <w:rPr>
          <w:rFonts w:ascii="Calibri" w:hAnsi="Calibri" w:eastAsia="Calibri" w:cs="Calibri"/>
        </w:rPr>
        <w:t xml:space="preserve">0.70 </w:t>
      </w:r>
      <w:r w:rsidRPr="3DBE51BC" w:rsidR="00D817EA">
        <w:rPr>
          <w:rFonts w:ascii="Calibri" w:hAnsi="Calibri" w:eastAsia="Calibri" w:cs="Calibri"/>
        </w:rPr>
        <w:t>=</w:t>
      </w:r>
      <w:r w:rsidRPr="3DBE51BC" w:rsidR="005A722D">
        <w:rPr>
          <w:rFonts w:ascii="Calibri" w:hAnsi="Calibri" w:eastAsia="Calibri" w:cs="Calibri"/>
        </w:rPr>
        <w:t xml:space="preserve"> </w:t>
      </w:r>
      <w:r w:rsidRPr="3DBE51BC" w:rsidR="005B1DBB">
        <w:rPr>
          <w:rFonts w:ascii="Calibri" w:hAnsi="Calibri" w:eastAsia="Calibri" w:cs="Calibri"/>
        </w:rPr>
        <w:t>$1,400</w:t>
      </w:r>
    </w:p>
    <w:p w:rsidRPr="006F349A" w:rsidR="005B1DBB" w:rsidP="00606164" w:rsidRDefault="49648DFF" w14:paraId="28AB25A8" w14:textId="19D3EFA7">
      <w:pPr>
        <w:pStyle w:val="NoSpacing"/>
        <w:numPr>
          <w:ilvl w:val="0"/>
          <w:numId w:val="18"/>
        </w:numPr>
        <w:spacing w:line="360" w:lineRule="auto"/>
        <w:rPr>
          <w:rFonts w:ascii="Calibri" w:hAnsi="Calibri" w:eastAsia="Calibri" w:cs="Calibri"/>
        </w:rPr>
      </w:pPr>
      <w:r w:rsidRPr="3DBE51BC" w:rsidR="49648DFF">
        <w:rPr>
          <w:rFonts w:ascii="Calibri" w:hAnsi="Calibri" w:eastAsia="Calibri" w:cs="Calibri"/>
        </w:rPr>
        <w:t xml:space="preserve">Based on these calculations, </w:t>
      </w:r>
      <w:r w:rsidRPr="3DBE51BC" w:rsidR="19EF3004">
        <w:rPr>
          <w:rFonts w:ascii="Calibri" w:hAnsi="Calibri" w:eastAsia="Calibri" w:cs="Calibri"/>
        </w:rPr>
        <w:t>f</w:t>
      </w:r>
      <w:r w:rsidRPr="3DBE51BC" w:rsidR="005B1DBB">
        <w:rPr>
          <w:rFonts w:ascii="Calibri" w:hAnsi="Calibri" w:eastAsia="Calibri" w:cs="Calibri"/>
        </w:rPr>
        <w:t xml:space="preserve">or </w:t>
      </w:r>
      <w:r w:rsidRPr="3DBE51BC" w:rsidR="3BC9FDA8">
        <w:rPr>
          <w:rFonts w:ascii="Calibri" w:hAnsi="Calibri" w:eastAsia="Calibri" w:cs="Calibri"/>
        </w:rPr>
        <w:t>Advocate A</w:t>
      </w:r>
      <w:r w:rsidRPr="3DBE51BC" w:rsidR="001A5206">
        <w:rPr>
          <w:rFonts w:ascii="Calibri" w:hAnsi="Calibri" w:eastAsia="Calibri" w:cs="Calibri"/>
        </w:rPr>
        <w:t xml:space="preserve">, $1,400 </w:t>
      </w:r>
      <w:r w:rsidRPr="3DBE51BC" w:rsidR="00745046">
        <w:rPr>
          <w:rFonts w:ascii="Calibri" w:hAnsi="Calibri" w:eastAsia="Calibri" w:cs="Calibri"/>
        </w:rPr>
        <w:t xml:space="preserve">should </w:t>
      </w:r>
      <w:r w:rsidRPr="3DBE51BC" w:rsidR="001A5206">
        <w:rPr>
          <w:rFonts w:ascii="Calibri" w:hAnsi="Calibri" w:eastAsia="Calibri" w:cs="Calibri"/>
        </w:rPr>
        <w:t xml:space="preserve">be </w:t>
      </w:r>
      <w:r w:rsidRPr="3DBE51BC" w:rsidR="00314479">
        <w:rPr>
          <w:rFonts w:ascii="Calibri" w:hAnsi="Calibri" w:eastAsia="Calibri" w:cs="Calibri"/>
        </w:rPr>
        <w:t>requested</w:t>
      </w:r>
      <w:r w:rsidRPr="3DBE51BC" w:rsidR="001A5206">
        <w:rPr>
          <w:rFonts w:ascii="Calibri" w:hAnsi="Calibri" w:eastAsia="Calibri" w:cs="Calibri"/>
        </w:rPr>
        <w:t xml:space="preserve"> in the June expense report and $600 in the July expense report.</w:t>
      </w:r>
    </w:p>
    <w:p w:rsidRPr="006F349A" w:rsidR="00E96979" w:rsidP="3DBE51BC" w:rsidRDefault="00A92FDE" w14:paraId="2E1EF71D" w14:textId="574A619A">
      <w:pPr>
        <w:spacing w:before="240" w:after="240"/>
        <w:rPr>
          <w:rFonts w:ascii="Calibri" w:hAnsi="Calibri" w:eastAsia="Calibri" w:cs="Calibri"/>
        </w:rPr>
      </w:pPr>
      <w:r w:rsidRPr="3DBE51BC" w:rsidR="00A92FDE">
        <w:rPr>
          <w:rFonts w:ascii="Calibri" w:hAnsi="Calibri" w:eastAsia="Calibri" w:cs="Calibri"/>
          <w:color w:val="000000" w:themeColor="text1" w:themeTint="FF" w:themeShade="FF"/>
        </w:rPr>
        <w:t>Other costs such as utilitie</w:t>
      </w:r>
      <w:r w:rsidRPr="3DBE51BC" w:rsidR="003A2721">
        <w:rPr>
          <w:rFonts w:ascii="Calibri" w:hAnsi="Calibri" w:eastAsia="Calibri" w:cs="Calibri"/>
          <w:color w:val="000000" w:themeColor="text1" w:themeTint="FF" w:themeShade="FF"/>
        </w:rPr>
        <w:t>s should be similarly prorated at year end</w:t>
      </w:r>
      <w:r w:rsidRPr="3DBE51BC" w:rsidR="00F5435C">
        <w:rPr>
          <w:rFonts w:ascii="Calibri" w:hAnsi="Calibri" w:eastAsia="Calibri" w:cs="Calibri"/>
          <w:color w:val="000000" w:themeColor="text1" w:themeTint="FF" w:themeShade="FF"/>
        </w:rPr>
        <w:t>.</w:t>
      </w:r>
    </w:p>
    <w:p w:rsidRPr="006F349A" w:rsidR="00FF3B97" w:rsidP="3DBE51BC" w:rsidRDefault="00FF3B97" w14:paraId="6D8DA335" w14:textId="4261FEE0">
      <w:pPr>
        <w:pStyle w:val="NoSpacing"/>
        <w:jc w:val="center"/>
        <w:rPr>
          <w:rFonts w:ascii="Calibri" w:hAnsi="Calibri" w:eastAsia="Calibri" w:cs="Calibri"/>
        </w:rPr>
      </w:pPr>
    </w:p>
    <w:p w:rsidRPr="006F349A" w:rsidR="00895174" w:rsidP="7684D3DB" w:rsidRDefault="00B819C0" w14:paraId="46214E10" w14:textId="457354FE">
      <w:pPr>
        <w:pStyle w:val="Heading1"/>
        <w:jc w:val="left"/>
        <w:rPr>
          <w:rFonts w:ascii="Calibri" w:hAnsi="Calibri" w:eastAsia="Calibri" w:cs="Calibri"/>
          <w:b w:val="1"/>
          <w:bCs w:val="1"/>
          <w:color w:val="auto"/>
          <w:sz w:val="28"/>
          <w:szCs w:val="28"/>
        </w:rPr>
      </w:pPr>
      <w:r w:rsidRPr="7684D3DB" w:rsidR="00B819C0">
        <w:rPr>
          <w:rFonts w:ascii="Calibri" w:hAnsi="Calibri" w:eastAsia="Calibri" w:cs="Calibri"/>
          <w:b w:val="1"/>
          <w:bCs w:val="1"/>
          <w:color w:val="auto"/>
          <w:sz w:val="28"/>
          <w:szCs w:val="28"/>
        </w:rPr>
        <w:t>Data Prorati</w:t>
      </w:r>
      <w:r w:rsidRPr="7684D3DB" w:rsidR="00D7301D">
        <w:rPr>
          <w:rFonts w:ascii="Calibri" w:hAnsi="Calibri" w:eastAsia="Calibri" w:cs="Calibri"/>
          <w:b w:val="1"/>
          <w:bCs w:val="1"/>
          <w:color w:val="auto"/>
          <w:sz w:val="28"/>
          <w:szCs w:val="28"/>
        </w:rPr>
        <w:t>on</w:t>
      </w:r>
    </w:p>
    <w:p w:rsidRPr="006F349A" w:rsidR="00991EC5" w:rsidP="3DBE51BC" w:rsidRDefault="009264ED" w14:paraId="6E089CB1" w14:textId="0E58D016">
      <w:pPr>
        <w:spacing w:line="360" w:lineRule="auto"/>
        <w:rPr>
          <w:rFonts w:ascii="Calibri" w:hAnsi="Calibri" w:eastAsia="Calibri" w:cs="Calibri"/>
          <w:b w:val="1"/>
          <w:bCs w:val="1"/>
          <w:sz w:val="28"/>
          <w:szCs w:val="28"/>
        </w:rPr>
      </w:pPr>
      <w:r w:rsidRPr="3DBE51BC" w:rsidR="009264ED">
        <w:rPr>
          <w:rFonts w:ascii="Calibri" w:hAnsi="Calibri" w:eastAsia="Calibri" w:cs="Calibri"/>
        </w:rPr>
        <w:t>D</w:t>
      </w:r>
      <w:r w:rsidRPr="3DBE51BC" w:rsidR="00991EC5">
        <w:rPr>
          <w:rFonts w:ascii="Calibri" w:hAnsi="Calibri" w:eastAsia="Calibri" w:cs="Calibri"/>
        </w:rPr>
        <w:t xml:space="preserve">ata </w:t>
      </w:r>
      <w:r w:rsidRPr="3DBE51BC" w:rsidR="00C87F51">
        <w:rPr>
          <w:rFonts w:ascii="Calibri" w:hAnsi="Calibri" w:eastAsia="Calibri" w:cs="Calibri"/>
        </w:rPr>
        <w:t>reported on the Outcome Measurement Tool (OMT)</w:t>
      </w:r>
      <w:r w:rsidRPr="3DBE51BC" w:rsidR="00624C08">
        <w:rPr>
          <w:rFonts w:ascii="Calibri" w:hAnsi="Calibri" w:eastAsia="Calibri" w:cs="Calibri"/>
        </w:rPr>
        <w:t xml:space="preserve"> should only include services and activities supported by grant funds and participants served by grant-funded staff</w:t>
      </w:r>
      <w:r w:rsidRPr="3DBE51BC" w:rsidR="00F63026">
        <w:rPr>
          <w:rFonts w:ascii="Calibri" w:hAnsi="Calibri" w:eastAsia="Calibri" w:cs="Calibri"/>
        </w:rPr>
        <w:t>.</w:t>
      </w:r>
      <w:r w:rsidRPr="3DBE51BC" w:rsidR="002B14DC">
        <w:rPr>
          <w:rFonts w:ascii="Calibri" w:hAnsi="Calibri" w:eastAsia="Calibri" w:cs="Calibri"/>
        </w:rPr>
        <w:t xml:space="preserve"> When employees are supported by multiple funding sources, </w:t>
      </w:r>
      <w:r w:rsidRPr="3DBE51BC" w:rsidR="00A611BA">
        <w:rPr>
          <w:rFonts w:ascii="Calibri" w:hAnsi="Calibri" w:eastAsia="Calibri" w:cs="Calibri"/>
        </w:rPr>
        <w:t>data proration</w:t>
      </w:r>
      <w:r w:rsidRPr="3DBE51BC" w:rsidR="002B14DC">
        <w:rPr>
          <w:rFonts w:ascii="Calibri" w:hAnsi="Calibri" w:eastAsia="Calibri" w:cs="Calibri"/>
        </w:rPr>
        <w:t xml:space="preserve"> is required.</w:t>
      </w:r>
    </w:p>
    <w:p w:rsidRPr="006F349A" w:rsidR="00F458F9" w:rsidP="3DBE51BC" w:rsidRDefault="006F349A" w14:paraId="46923221" w14:textId="0695E087">
      <w:pPr>
        <w:spacing w:line="360" w:lineRule="auto"/>
        <w:rPr>
          <w:rFonts w:ascii="Calibri" w:hAnsi="Calibri" w:eastAsia="Calibri" w:cs="Calibri"/>
        </w:rPr>
      </w:pPr>
      <w:r w:rsidRPr="3DBE51BC" w:rsidR="006F349A">
        <w:rPr>
          <w:rFonts w:ascii="Calibri" w:hAnsi="Calibri" w:eastAsia="Calibri" w:cs="Calibri"/>
        </w:rPr>
        <w:t>Visit the</w:t>
      </w:r>
      <w:r w:rsidRPr="3DBE51BC" w:rsidR="00A611BA">
        <w:rPr>
          <w:rFonts w:ascii="Calibri" w:hAnsi="Calibri" w:eastAsia="Calibri" w:cs="Calibri"/>
        </w:rPr>
        <w:t xml:space="preserve"> </w:t>
      </w:r>
      <w:hyperlink r:id="R886741455fa24c83">
        <w:r w:rsidRPr="3DBE51BC" w:rsidR="00D235A6">
          <w:rPr>
            <w:rStyle w:val="Hyperlink"/>
            <w:rFonts w:ascii="Calibri" w:hAnsi="Calibri" w:eastAsia="Calibri" w:cs="Calibri"/>
          </w:rPr>
          <w:t>MOVA Data and Performance Reporting Guide</w:t>
        </w:r>
      </w:hyperlink>
      <w:r w:rsidRPr="3DBE51BC" w:rsidR="00D235A6">
        <w:rPr>
          <w:rFonts w:ascii="Calibri" w:hAnsi="Calibri" w:eastAsia="Calibri" w:cs="Calibri"/>
        </w:rPr>
        <w:t xml:space="preserve"> </w:t>
      </w:r>
      <w:r w:rsidRPr="3DBE51BC" w:rsidR="006F349A">
        <w:rPr>
          <w:rFonts w:ascii="Calibri" w:hAnsi="Calibri" w:eastAsia="Calibri" w:cs="Calibri"/>
        </w:rPr>
        <w:t>to learn</w:t>
      </w:r>
      <w:r w:rsidRPr="3DBE51BC" w:rsidR="00D235A6">
        <w:rPr>
          <w:rFonts w:ascii="Calibri" w:hAnsi="Calibri" w:eastAsia="Calibri" w:cs="Calibri"/>
        </w:rPr>
        <w:t xml:space="preserve"> </w:t>
      </w:r>
      <w:r w:rsidRPr="3DBE51BC" w:rsidR="00DA749E">
        <w:rPr>
          <w:rFonts w:ascii="Calibri" w:hAnsi="Calibri" w:eastAsia="Calibri" w:cs="Calibri"/>
        </w:rPr>
        <w:t xml:space="preserve">how and when to prorate </w:t>
      </w:r>
      <w:r w:rsidRPr="3DBE51BC" w:rsidR="00D229F3">
        <w:rPr>
          <w:rFonts w:ascii="Calibri" w:hAnsi="Calibri" w:eastAsia="Calibri" w:cs="Calibri"/>
        </w:rPr>
        <w:t>data</w:t>
      </w:r>
      <w:r w:rsidRPr="3DBE51BC" w:rsidR="006F349A">
        <w:rPr>
          <w:rFonts w:ascii="Calibri" w:hAnsi="Calibri" w:eastAsia="Calibri" w:cs="Calibri"/>
        </w:rPr>
        <w:t xml:space="preserve"> and access the</w:t>
      </w:r>
      <w:r w:rsidRPr="3DBE51BC" w:rsidR="00112CA9">
        <w:rPr>
          <w:rFonts w:ascii="Calibri" w:hAnsi="Calibri" w:eastAsia="Calibri" w:cs="Calibri"/>
        </w:rPr>
        <w:t xml:space="preserve"> Data Prorate Tool on </w:t>
      </w:r>
      <w:hyperlink r:id="R6c9b0acf733646e6">
        <w:r w:rsidRPr="3DBE51BC" w:rsidR="00112CA9">
          <w:rPr>
            <w:rStyle w:val="Hyperlink"/>
            <w:rFonts w:ascii="Calibri" w:hAnsi="Calibri" w:eastAsia="Calibri" w:cs="Calibri"/>
          </w:rPr>
          <w:t>MOVA's OMT website</w:t>
        </w:r>
      </w:hyperlink>
      <w:r w:rsidRPr="3DBE51BC" w:rsidR="00112CA9">
        <w:rPr>
          <w:rFonts w:ascii="Calibri" w:hAnsi="Calibri" w:eastAsia="Calibri" w:cs="Calibri"/>
        </w:rPr>
        <w:t xml:space="preserve">. </w:t>
      </w:r>
      <w:r w:rsidRPr="3DBE51BC" w:rsidR="00D229F3">
        <w:rPr>
          <w:rFonts w:ascii="Calibri" w:hAnsi="Calibri" w:eastAsia="Calibri" w:cs="Calibri"/>
        </w:rPr>
        <w:t xml:space="preserve">Reach out to </w:t>
      </w:r>
      <w:r w:rsidRPr="3DBE51BC" w:rsidR="003F7C63">
        <w:rPr>
          <w:rFonts w:ascii="Calibri" w:hAnsi="Calibri" w:eastAsia="Calibri" w:cs="Calibri"/>
        </w:rPr>
        <w:t xml:space="preserve">your Program Coordinator or </w:t>
      </w:r>
      <w:r w:rsidRPr="3DBE51BC" w:rsidR="00D229F3">
        <w:rPr>
          <w:rFonts w:ascii="Calibri" w:hAnsi="Calibri" w:eastAsia="Calibri" w:cs="Calibri"/>
        </w:rPr>
        <w:t xml:space="preserve">MOVA’s Data </w:t>
      </w:r>
      <w:r w:rsidRPr="3DBE51BC" w:rsidR="009A5BA9">
        <w:rPr>
          <w:rFonts w:ascii="Calibri" w:hAnsi="Calibri" w:eastAsia="Calibri" w:cs="Calibri"/>
        </w:rPr>
        <w:t>T</w:t>
      </w:r>
      <w:r w:rsidRPr="3DBE51BC" w:rsidR="00D229F3">
        <w:rPr>
          <w:rFonts w:ascii="Calibri" w:hAnsi="Calibri" w:eastAsia="Calibri" w:cs="Calibri"/>
        </w:rPr>
        <w:t xml:space="preserve">eam </w:t>
      </w:r>
      <w:r w:rsidRPr="3DBE51BC" w:rsidR="003F7C63">
        <w:rPr>
          <w:rFonts w:ascii="Calibri" w:hAnsi="Calibri" w:eastAsia="Calibri" w:cs="Calibri"/>
        </w:rPr>
        <w:t xml:space="preserve">at </w:t>
      </w:r>
      <w:hyperlink r:id="R17693f36e4c84322">
        <w:r w:rsidRPr="3DBE51BC" w:rsidR="00213831">
          <w:rPr>
            <w:rStyle w:val="Hyperlink"/>
            <w:rFonts w:ascii="Calibri" w:hAnsi="Calibri" w:eastAsia="Calibri" w:cs="Calibri"/>
          </w:rPr>
          <w:t>movastats@mass.gov</w:t>
        </w:r>
      </w:hyperlink>
      <w:r w:rsidRPr="3DBE51BC" w:rsidR="00213831">
        <w:rPr>
          <w:rFonts w:ascii="Calibri" w:hAnsi="Calibri" w:eastAsia="Calibri" w:cs="Calibri"/>
        </w:rPr>
        <w:t xml:space="preserve"> with questi</w:t>
      </w:r>
      <w:r w:rsidRPr="3DBE51BC" w:rsidR="00A22F5F">
        <w:rPr>
          <w:rFonts w:ascii="Calibri" w:hAnsi="Calibri" w:eastAsia="Calibri" w:cs="Calibri"/>
        </w:rPr>
        <w:t>ons</w:t>
      </w:r>
      <w:r w:rsidRPr="3DBE51BC" w:rsidR="00D7301D">
        <w:rPr>
          <w:rFonts w:ascii="Calibri" w:hAnsi="Calibri" w:eastAsia="Calibri" w:cs="Calibri"/>
        </w:rPr>
        <w:t xml:space="preserve"> related to data proration</w:t>
      </w:r>
      <w:r w:rsidRPr="3DBE51BC" w:rsidR="00A22F5F">
        <w:rPr>
          <w:rFonts w:ascii="Calibri" w:hAnsi="Calibri" w:eastAsia="Calibri" w:cs="Calibri"/>
        </w:rPr>
        <w:t>.</w:t>
      </w:r>
    </w:p>
    <w:sectPr w:rsidRPr="006F349A" w:rsidR="00F458F9">
      <w:headerReference w:type="default" r:id="rId20"/>
      <w:footerReference w:type="default" r:id="rId2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7A7" w:rsidRDefault="00C367A7" w14:paraId="3BEE8552" w14:textId="77777777">
      <w:pPr>
        <w:spacing w:after="0" w:line="240" w:lineRule="auto"/>
      </w:pPr>
      <w:r>
        <w:separator/>
      </w:r>
    </w:p>
  </w:endnote>
  <w:endnote w:type="continuationSeparator" w:id="0">
    <w:p w:rsidR="00C367A7" w:rsidRDefault="00C367A7" w14:paraId="0F57BD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Pr="00070F56" w:rsidR="77D9D914" w:rsidTr="17596847" w14:paraId="436A2D67" w14:textId="77777777">
      <w:trPr>
        <w:trHeight w:val="300"/>
      </w:trPr>
      <w:tc>
        <w:tcPr>
          <w:tcW w:w="3120" w:type="dxa"/>
        </w:tcPr>
        <w:p w:rsidRPr="00070F56" w:rsidR="77D9D914" w:rsidP="77D9D914" w:rsidRDefault="77D9D914" w14:paraId="63CE1590" w14:textId="6F5940A0">
          <w:pPr>
            <w:pStyle w:val="Header"/>
            <w:ind w:left="-115"/>
            <w:rPr>
              <w:sz w:val="20"/>
              <w:szCs w:val="20"/>
            </w:rPr>
          </w:pPr>
        </w:p>
      </w:tc>
      <w:tc>
        <w:tcPr>
          <w:tcW w:w="3120" w:type="dxa"/>
        </w:tcPr>
        <w:p w:rsidRPr="00070F56" w:rsidR="77D9D914" w:rsidP="77D9D914" w:rsidRDefault="77D9D914" w14:paraId="4E15E35A" w14:textId="420D4203">
          <w:pPr>
            <w:pStyle w:val="Header"/>
            <w:jc w:val="center"/>
            <w:rPr>
              <w:sz w:val="20"/>
              <w:szCs w:val="20"/>
            </w:rPr>
          </w:pPr>
        </w:p>
      </w:tc>
      <w:tc>
        <w:tcPr>
          <w:tcW w:w="3120" w:type="dxa"/>
        </w:tcPr>
        <w:p w:rsidRPr="00070F56" w:rsidR="77D9D914" w:rsidP="00070F56" w:rsidRDefault="00374EC5" w14:paraId="1AE83C1C" w14:textId="1F208C51">
          <w:pPr>
            <w:pStyle w:val="Header"/>
            <w:ind w:right="-115"/>
            <w:jc w:val="right"/>
            <w:rPr>
              <w:sz w:val="20"/>
              <w:szCs w:val="20"/>
            </w:rPr>
          </w:pPr>
          <w:r>
            <w:rPr>
              <w:sz w:val="20"/>
              <w:szCs w:val="20"/>
            </w:rPr>
            <w:t>Proration Information Sheet</w:t>
          </w:r>
          <w:r w:rsidRPr="17596847" w:rsidR="17596847">
            <w:rPr>
              <w:sz w:val="20"/>
              <w:szCs w:val="20"/>
            </w:rPr>
            <w:t xml:space="preserve">, </w:t>
          </w:r>
          <w:r w:rsidRPr="17596847" w:rsidR="00070F56">
            <w:rPr>
              <w:noProof/>
              <w:sz w:val="20"/>
              <w:szCs w:val="20"/>
            </w:rPr>
            <w:fldChar w:fldCharType="begin"/>
          </w:r>
          <w:r w:rsidRPr="17596847" w:rsidR="00070F56">
            <w:rPr>
              <w:sz w:val="20"/>
              <w:szCs w:val="20"/>
            </w:rPr>
            <w:instrText>PAGE</w:instrText>
          </w:r>
          <w:r w:rsidRPr="17596847" w:rsidR="00070F56">
            <w:rPr>
              <w:sz w:val="20"/>
              <w:szCs w:val="20"/>
            </w:rPr>
            <w:fldChar w:fldCharType="separate"/>
          </w:r>
          <w:r w:rsidRPr="17596847" w:rsidR="17596847">
            <w:rPr>
              <w:noProof/>
              <w:sz w:val="20"/>
              <w:szCs w:val="20"/>
            </w:rPr>
            <w:t>1</w:t>
          </w:r>
          <w:r w:rsidRPr="17596847" w:rsidR="00070F56">
            <w:rPr>
              <w:noProof/>
              <w:sz w:val="20"/>
              <w:szCs w:val="20"/>
            </w:rPr>
            <w:fldChar w:fldCharType="end"/>
          </w:r>
        </w:p>
      </w:tc>
    </w:tr>
  </w:tbl>
  <w:p w:rsidR="77D9D914" w:rsidP="77D9D914" w:rsidRDefault="77D9D914" w14:paraId="7D57A9B7" w14:textId="4019F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7A7" w:rsidRDefault="00C367A7" w14:paraId="4D105C99" w14:textId="77777777">
      <w:pPr>
        <w:spacing w:after="0" w:line="240" w:lineRule="auto"/>
      </w:pPr>
      <w:r>
        <w:separator/>
      </w:r>
    </w:p>
  </w:footnote>
  <w:footnote w:type="continuationSeparator" w:id="0">
    <w:p w:rsidR="00C367A7" w:rsidRDefault="00C367A7" w14:paraId="7E3A01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20"/>
      <w:gridCol w:w="3120"/>
      <w:gridCol w:w="3120"/>
    </w:tblGrid>
    <w:tr w:rsidR="77D9D914" w:rsidTr="77D9D914" w14:paraId="21F056EE" w14:textId="77777777">
      <w:trPr>
        <w:trHeight w:val="300"/>
      </w:trPr>
      <w:tc>
        <w:tcPr>
          <w:tcW w:w="3120" w:type="dxa"/>
        </w:tcPr>
        <w:p w:rsidR="77D9D914" w:rsidP="77D9D914" w:rsidRDefault="77D9D914" w14:paraId="7A584EE6" w14:textId="42CD1A33">
          <w:pPr>
            <w:pStyle w:val="Header"/>
            <w:ind w:left="-115"/>
          </w:pPr>
        </w:p>
      </w:tc>
      <w:tc>
        <w:tcPr>
          <w:tcW w:w="3120" w:type="dxa"/>
        </w:tcPr>
        <w:p w:rsidR="77D9D914" w:rsidP="77D9D914" w:rsidRDefault="77D9D914" w14:paraId="0E1E6DBF" w14:textId="70D23395">
          <w:pPr>
            <w:pStyle w:val="Header"/>
            <w:jc w:val="center"/>
          </w:pPr>
          <w:r>
            <w:rPr>
              <w:noProof/>
            </w:rPr>
            <w:drawing>
              <wp:inline distT="0" distB="0" distL="0" distR="0" wp14:anchorId="6C232230" wp14:editId="3F32EB1F">
                <wp:extent cx="1333500" cy="561975"/>
                <wp:effectExtent l="0" t="0" r="0" b="0"/>
                <wp:docPr id="926299485" name="drawing" descr="Picture 56618885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99485" name=""/>
                        <pic:cNvPicPr/>
                      </pic:nvPicPr>
                      <pic:blipFill>
                        <a:blip r:embed="rId1">
                          <a:extLst>
                            <a:ext uri="{28A0092B-C50C-407E-A947-70E740481C1C}">
                              <a14:useLocalDpi xmlns:a14="http://schemas.microsoft.com/office/drawing/2010/main" val="0"/>
                            </a:ext>
                          </a:extLst>
                        </a:blip>
                        <a:stretch>
                          <a:fillRect/>
                        </a:stretch>
                      </pic:blipFill>
                      <pic:spPr>
                        <a:xfrm>
                          <a:off x="0" y="0"/>
                          <a:ext cx="1333500" cy="561975"/>
                        </a:xfrm>
                        <a:prstGeom prst="rect">
                          <a:avLst/>
                        </a:prstGeom>
                      </pic:spPr>
                    </pic:pic>
                  </a:graphicData>
                </a:graphic>
              </wp:inline>
            </w:drawing>
          </w:r>
        </w:p>
      </w:tc>
      <w:tc>
        <w:tcPr>
          <w:tcW w:w="3120" w:type="dxa"/>
        </w:tcPr>
        <w:p w:rsidR="77D9D914" w:rsidP="77D9D914" w:rsidRDefault="77D9D914" w14:paraId="02A1C956" w14:textId="400AF621">
          <w:pPr>
            <w:pStyle w:val="Header"/>
            <w:ind w:right="-115"/>
            <w:jc w:val="right"/>
          </w:pPr>
        </w:p>
      </w:tc>
    </w:tr>
  </w:tbl>
  <w:p w:rsidR="77D9D914" w:rsidP="77D9D914" w:rsidRDefault="77D9D914" w14:paraId="390D254E" w14:textId="17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447"/>
    <w:multiLevelType w:val="hybridMultilevel"/>
    <w:tmpl w:val="25302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8A0E9A"/>
    <w:multiLevelType w:val="hybridMultilevel"/>
    <w:tmpl w:val="B74AFF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F558FC"/>
    <w:multiLevelType w:val="hybridMultilevel"/>
    <w:tmpl w:val="196C8DE4"/>
    <w:lvl w:ilvl="0" w:tplc="4B5C7E1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0F7FF3"/>
    <w:multiLevelType w:val="hybridMultilevel"/>
    <w:tmpl w:val="5E02F21A"/>
    <w:lvl w:ilvl="0" w:tplc="51EA0D16">
      <w:start w:val="1"/>
      <w:numFmt w:val="bullet"/>
      <w:lvlText w:val=""/>
      <w:lvlJc w:val="left"/>
      <w:pPr>
        <w:ind w:left="720" w:hanging="360"/>
      </w:pPr>
      <w:rPr>
        <w:rFonts w:hint="default" w:ascii="Symbol" w:hAnsi="Symbol"/>
      </w:rPr>
    </w:lvl>
    <w:lvl w:ilvl="1" w:tplc="62028672">
      <w:start w:val="1"/>
      <w:numFmt w:val="bullet"/>
      <w:lvlText w:val="o"/>
      <w:lvlJc w:val="left"/>
      <w:pPr>
        <w:ind w:left="1440" w:hanging="360"/>
      </w:pPr>
      <w:rPr>
        <w:rFonts w:hint="default" w:ascii="Courier New" w:hAnsi="Courier New"/>
      </w:rPr>
    </w:lvl>
    <w:lvl w:ilvl="2" w:tplc="2DA0AC82">
      <w:start w:val="1"/>
      <w:numFmt w:val="bullet"/>
      <w:lvlText w:val=""/>
      <w:lvlJc w:val="left"/>
      <w:pPr>
        <w:ind w:left="2160" w:hanging="360"/>
      </w:pPr>
      <w:rPr>
        <w:rFonts w:hint="default" w:ascii="Wingdings" w:hAnsi="Wingdings"/>
      </w:rPr>
    </w:lvl>
    <w:lvl w:ilvl="3" w:tplc="6B1C9DD2">
      <w:start w:val="1"/>
      <w:numFmt w:val="bullet"/>
      <w:lvlText w:val=""/>
      <w:lvlJc w:val="left"/>
      <w:pPr>
        <w:ind w:left="2880" w:hanging="360"/>
      </w:pPr>
      <w:rPr>
        <w:rFonts w:hint="default" w:ascii="Symbol" w:hAnsi="Symbol"/>
      </w:rPr>
    </w:lvl>
    <w:lvl w:ilvl="4" w:tplc="E6F2655E">
      <w:start w:val="1"/>
      <w:numFmt w:val="bullet"/>
      <w:lvlText w:val="o"/>
      <w:lvlJc w:val="left"/>
      <w:pPr>
        <w:ind w:left="3600" w:hanging="360"/>
      </w:pPr>
      <w:rPr>
        <w:rFonts w:hint="default" w:ascii="Courier New" w:hAnsi="Courier New"/>
      </w:rPr>
    </w:lvl>
    <w:lvl w:ilvl="5" w:tplc="5D7A701C">
      <w:start w:val="1"/>
      <w:numFmt w:val="bullet"/>
      <w:lvlText w:val=""/>
      <w:lvlJc w:val="left"/>
      <w:pPr>
        <w:ind w:left="4320" w:hanging="360"/>
      </w:pPr>
      <w:rPr>
        <w:rFonts w:hint="default" w:ascii="Wingdings" w:hAnsi="Wingdings"/>
      </w:rPr>
    </w:lvl>
    <w:lvl w:ilvl="6" w:tplc="6DACD57E">
      <w:start w:val="1"/>
      <w:numFmt w:val="bullet"/>
      <w:lvlText w:val=""/>
      <w:lvlJc w:val="left"/>
      <w:pPr>
        <w:ind w:left="5040" w:hanging="360"/>
      </w:pPr>
      <w:rPr>
        <w:rFonts w:hint="default" w:ascii="Symbol" w:hAnsi="Symbol"/>
      </w:rPr>
    </w:lvl>
    <w:lvl w:ilvl="7" w:tplc="F1584A3A">
      <w:start w:val="1"/>
      <w:numFmt w:val="bullet"/>
      <w:lvlText w:val="o"/>
      <w:lvlJc w:val="left"/>
      <w:pPr>
        <w:ind w:left="5760" w:hanging="360"/>
      </w:pPr>
      <w:rPr>
        <w:rFonts w:hint="default" w:ascii="Courier New" w:hAnsi="Courier New"/>
      </w:rPr>
    </w:lvl>
    <w:lvl w:ilvl="8" w:tplc="06E273CA">
      <w:start w:val="1"/>
      <w:numFmt w:val="bullet"/>
      <w:lvlText w:val=""/>
      <w:lvlJc w:val="left"/>
      <w:pPr>
        <w:ind w:left="6480" w:hanging="360"/>
      </w:pPr>
      <w:rPr>
        <w:rFonts w:hint="default" w:ascii="Wingdings" w:hAnsi="Wingdings"/>
      </w:rPr>
    </w:lvl>
  </w:abstractNum>
  <w:abstractNum w:abstractNumId="4" w15:restartNumberingAfterBreak="0">
    <w:nsid w:val="130846F2"/>
    <w:multiLevelType w:val="hybridMultilevel"/>
    <w:tmpl w:val="6F30113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49C535B"/>
    <w:multiLevelType w:val="hybridMultilevel"/>
    <w:tmpl w:val="02E2E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530BAF"/>
    <w:multiLevelType w:val="hybridMultilevel"/>
    <w:tmpl w:val="B51096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B52003"/>
    <w:multiLevelType w:val="hybridMultilevel"/>
    <w:tmpl w:val="A8D0A0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C26358"/>
    <w:multiLevelType w:val="hybridMultilevel"/>
    <w:tmpl w:val="C0BA2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FB97ACE"/>
    <w:multiLevelType w:val="hybridMultilevel"/>
    <w:tmpl w:val="F21E17D2"/>
    <w:lvl w:ilvl="0" w:tplc="FBCEB82A">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3D6D46B0"/>
    <w:multiLevelType w:val="hybridMultilevel"/>
    <w:tmpl w:val="34BA497C"/>
    <w:lvl w:ilvl="0" w:tplc="FBCEB82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2DA69E6"/>
    <w:multiLevelType w:val="multilevel"/>
    <w:tmpl w:val="C6E60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6F97746"/>
    <w:multiLevelType w:val="hybridMultilevel"/>
    <w:tmpl w:val="DAC2C21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E98B5E1"/>
    <w:multiLevelType w:val="hybridMultilevel"/>
    <w:tmpl w:val="FA260E26"/>
    <w:lvl w:ilvl="0" w:tplc="33884E6C">
      <w:start w:val="1"/>
      <w:numFmt w:val="bullet"/>
      <w:lvlText w:val=""/>
      <w:lvlJc w:val="left"/>
      <w:pPr>
        <w:ind w:left="720" w:hanging="360"/>
      </w:pPr>
      <w:rPr>
        <w:rFonts w:hint="default" w:ascii="Symbol" w:hAnsi="Symbol"/>
      </w:rPr>
    </w:lvl>
    <w:lvl w:ilvl="1" w:tplc="F8F0D11E">
      <w:start w:val="1"/>
      <w:numFmt w:val="bullet"/>
      <w:lvlText w:val="o"/>
      <w:lvlJc w:val="left"/>
      <w:pPr>
        <w:ind w:left="1440" w:hanging="360"/>
      </w:pPr>
      <w:rPr>
        <w:rFonts w:hint="default" w:ascii="Courier New" w:hAnsi="Courier New"/>
      </w:rPr>
    </w:lvl>
    <w:lvl w:ilvl="2" w:tplc="017419CA">
      <w:start w:val="1"/>
      <w:numFmt w:val="bullet"/>
      <w:lvlText w:val=""/>
      <w:lvlJc w:val="left"/>
      <w:pPr>
        <w:ind w:left="2160" w:hanging="360"/>
      </w:pPr>
      <w:rPr>
        <w:rFonts w:hint="default" w:ascii="Wingdings" w:hAnsi="Wingdings"/>
      </w:rPr>
    </w:lvl>
    <w:lvl w:ilvl="3" w:tplc="BCF8FB48">
      <w:start w:val="1"/>
      <w:numFmt w:val="bullet"/>
      <w:lvlText w:val=""/>
      <w:lvlJc w:val="left"/>
      <w:pPr>
        <w:ind w:left="2880" w:hanging="360"/>
      </w:pPr>
      <w:rPr>
        <w:rFonts w:hint="default" w:ascii="Symbol" w:hAnsi="Symbol"/>
      </w:rPr>
    </w:lvl>
    <w:lvl w:ilvl="4" w:tplc="BA362696">
      <w:start w:val="1"/>
      <w:numFmt w:val="bullet"/>
      <w:lvlText w:val="o"/>
      <w:lvlJc w:val="left"/>
      <w:pPr>
        <w:ind w:left="3600" w:hanging="360"/>
      </w:pPr>
      <w:rPr>
        <w:rFonts w:hint="default" w:ascii="Courier New" w:hAnsi="Courier New"/>
      </w:rPr>
    </w:lvl>
    <w:lvl w:ilvl="5" w:tplc="ABF8D2B2">
      <w:start w:val="1"/>
      <w:numFmt w:val="bullet"/>
      <w:lvlText w:val=""/>
      <w:lvlJc w:val="left"/>
      <w:pPr>
        <w:ind w:left="4320" w:hanging="360"/>
      </w:pPr>
      <w:rPr>
        <w:rFonts w:hint="default" w:ascii="Wingdings" w:hAnsi="Wingdings"/>
      </w:rPr>
    </w:lvl>
    <w:lvl w:ilvl="6" w:tplc="B5365058">
      <w:start w:val="1"/>
      <w:numFmt w:val="bullet"/>
      <w:lvlText w:val=""/>
      <w:lvlJc w:val="left"/>
      <w:pPr>
        <w:ind w:left="5040" w:hanging="360"/>
      </w:pPr>
      <w:rPr>
        <w:rFonts w:hint="default" w:ascii="Symbol" w:hAnsi="Symbol"/>
      </w:rPr>
    </w:lvl>
    <w:lvl w:ilvl="7" w:tplc="C30ADB08">
      <w:start w:val="1"/>
      <w:numFmt w:val="bullet"/>
      <w:lvlText w:val="o"/>
      <w:lvlJc w:val="left"/>
      <w:pPr>
        <w:ind w:left="5760" w:hanging="360"/>
      </w:pPr>
      <w:rPr>
        <w:rFonts w:hint="default" w:ascii="Courier New" w:hAnsi="Courier New"/>
      </w:rPr>
    </w:lvl>
    <w:lvl w:ilvl="8" w:tplc="68D2E1C8">
      <w:start w:val="1"/>
      <w:numFmt w:val="bullet"/>
      <w:lvlText w:val=""/>
      <w:lvlJc w:val="left"/>
      <w:pPr>
        <w:ind w:left="6480" w:hanging="360"/>
      </w:pPr>
      <w:rPr>
        <w:rFonts w:hint="default" w:ascii="Wingdings" w:hAnsi="Wingdings"/>
      </w:rPr>
    </w:lvl>
  </w:abstractNum>
  <w:abstractNum w:abstractNumId="14" w15:restartNumberingAfterBreak="0">
    <w:nsid w:val="5699629C"/>
    <w:multiLevelType w:val="hybridMultilevel"/>
    <w:tmpl w:val="8550B8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9590003"/>
    <w:multiLevelType w:val="hybridMultilevel"/>
    <w:tmpl w:val="4EC0A7A8"/>
    <w:lvl w:ilvl="0" w:tplc="FBCEB82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AB472FF"/>
    <w:multiLevelType w:val="hybridMultilevel"/>
    <w:tmpl w:val="D93692AC"/>
    <w:lvl w:ilvl="0" w:tplc="FBCEB82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44D729A"/>
    <w:multiLevelType w:val="hybridMultilevel"/>
    <w:tmpl w:val="ABF67F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70FC7F5"/>
    <w:multiLevelType w:val="hybridMultilevel"/>
    <w:tmpl w:val="FFFFFFFF"/>
    <w:lvl w:ilvl="0" w:tplc="4B5C7E12">
      <w:start w:val="1"/>
      <w:numFmt w:val="bullet"/>
      <w:lvlText w:val=""/>
      <w:lvlJc w:val="left"/>
      <w:pPr>
        <w:ind w:left="720" w:hanging="360"/>
      </w:pPr>
      <w:rPr>
        <w:rFonts w:hint="default" w:ascii="Symbol" w:hAnsi="Symbol"/>
      </w:rPr>
    </w:lvl>
    <w:lvl w:ilvl="1" w:tplc="E708A844">
      <w:start w:val="1"/>
      <w:numFmt w:val="bullet"/>
      <w:lvlText w:val="o"/>
      <w:lvlJc w:val="left"/>
      <w:pPr>
        <w:ind w:left="1440" w:hanging="360"/>
      </w:pPr>
      <w:rPr>
        <w:rFonts w:hint="default" w:ascii="Courier New" w:hAnsi="Courier New"/>
      </w:rPr>
    </w:lvl>
    <w:lvl w:ilvl="2" w:tplc="C3D0B2BC">
      <w:start w:val="1"/>
      <w:numFmt w:val="bullet"/>
      <w:lvlText w:val=""/>
      <w:lvlJc w:val="left"/>
      <w:pPr>
        <w:ind w:left="2160" w:hanging="360"/>
      </w:pPr>
      <w:rPr>
        <w:rFonts w:hint="default" w:ascii="Wingdings" w:hAnsi="Wingdings"/>
      </w:rPr>
    </w:lvl>
    <w:lvl w:ilvl="3" w:tplc="84344A9A">
      <w:start w:val="1"/>
      <w:numFmt w:val="bullet"/>
      <w:lvlText w:val=""/>
      <w:lvlJc w:val="left"/>
      <w:pPr>
        <w:ind w:left="2880" w:hanging="360"/>
      </w:pPr>
      <w:rPr>
        <w:rFonts w:hint="default" w:ascii="Symbol" w:hAnsi="Symbol"/>
      </w:rPr>
    </w:lvl>
    <w:lvl w:ilvl="4" w:tplc="562665E4">
      <w:start w:val="1"/>
      <w:numFmt w:val="bullet"/>
      <w:lvlText w:val="o"/>
      <w:lvlJc w:val="left"/>
      <w:pPr>
        <w:ind w:left="3600" w:hanging="360"/>
      </w:pPr>
      <w:rPr>
        <w:rFonts w:hint="default" w:ascii="Courier New" w:hAnsi="Courier New"/>
      </w:rPr>
    </w:lvl>
    <w:lvl w:ilvl="5" w:tplc="3AF2E544">
      <w:start w:val="1"/>
      <w:numFmt w:val="bullet"/>
      <w:lvlText w:val=""/>
      <w:lvlJc w:val="left"/>
      <w:pPr>
        <w:ind w:left="4320" w:hanging="360"/>
      </w:pPr>
      <w:rPr>
        <w:rFonts w:hint="default" w:ascii="Wingdings" w:hAnsi="Wingdings"/>
      </w:rPr>
    </w:lvl>
    <w:lvl w:ilvl="6" w:tplc="14D44B00">
      <w:start w:val="1"/>
      <w:numFmt w:val="bullet"/>
      <w:lvlText w:val=""/>
      <w:lvlJc w:val="left"/>
      <w:pPr>
        <w:ind w:left="5040" w:hanging="360"/>
      </w:pPr>
      <w:rPr>
        <w:rFonts w:hint="default" w:ascii="Symbol" w:hAnsi="Symbol"/>
      </w:rPr>
    </w:lvl>
    <w:lvl w:ilvl="7" w:tplc="9AE6015E">
      <w:start w:val="1"/>
      <w:numFmt w:val="bullet"/>
      <w:lvlText w:val="o"/>
      <w:lvlJc w:val="left"/>
      <w:pPr>
        <w:ind w:left="5760" w:hanging="360"/>
      </w:pPr>
      <w:rPr>
        <w:rFonts w:hint="default" w:ascii="Courier New" w:hAnsi="Courier New"/>
      </w:rPr>
    </w:lvl>
    <w:lvl w:ilvl="8" w:tplc="C9CE820A">
      <w:start w:val="1"/>
      <w:numFmt w:val="bullet"/>
      <w:lvlText w:val=""/>
      <w:lvlJc w:val="left"/>
      <w:pPr>
        <w:ind w:left="6480" w:hanging="360"/>
      </w:pPr>
      <w:rPr>
        <w:rFonts w:hint="default" w:ascii="Wingdings" w:hAnsi="Wingdings"/>
      </w:rPr>
    </w:lvl>
  </w:abstractNum>
  <w:abstractNum w:abstractNumId="19" w15:restartNumberingAfterBreak="0">
    <w:nsid w:val="77F3139F"/>
    <w:multiLevelType w:val="hybridMultilevel"/>
    <w:tmpl w:val="6B120180"/>
    <w:lvl w:ilvl="0" w:tplc="FF0CF2E2">
      <w:start w:val="1"/>
      <w:numFmt w:val="bullet"/>
      <w:lvlText w:val=""/>
      <w:lvlJc w:val="left"/>
      <w:pPr>
        <w:ind w:left="720" w:hanging="360"/>
      </w:pPr>
      <w:rPr>
        <w:rFonts w:hint="default" w:ascii="Symbol" w:hAnsi="Symbol"/>
      </w:rPr>
    </w:lvl>
    <w:lvl w:ilvl="1" w:tplc="4E381664">
      <w:start w:val="1"/>
      <w:numFmt w:val="bullet"/>
      <w:lvlText w:val="o"/>
      <w:lvlJc w:val="left"/>
      <w:pPr>
        <w:ind w:left="1440" w:hanging="360"/>
      </w:pPr>
      <w:rPr>
        <w:rFonts w:hint="default" w:ascii="Courier New" w:hAnsi="Courier New"/>
      </w:rPr>
    </w:lvl>
    <w:lvl w:ilvl="2" w:tplc="5FA6B76C">
      <w:start w:val="1"/>
      <w:numFmt w:val="bullet"/>
      <w:lvlText w:val=""/>
      <w:lvlJc w:val="left"/>
      <w:pPr>
        <w:ind w:left="2160" w:hanging="360"/>
      </w:pPr>
      <w:rPr>
        <w:rFonts w:hint="default" w:ascii="Wingdings" w:hAnsi="Wingdings"/>
      </w:rPr>
    </w:lvl>
    <w:lvl w:ilvl="3" w:tplc="5EAC823C">
      <w:start w:val="1"/>
      <w:numFmt w:val="bullet"/>
      <w:lvlText w:val=""/>
      <w:lvlJc w:val="left"/>
      <w:pPr>
        <w:ind w:left="2880" w:hanging="360"/>
      </w:pPr>
      <w:rPr>
        <w:rFonts w:hint="default" w:ascii="Symbol" w:hAnsi="Symbol"/>
      </w:rPr>
    </w:lvl>
    <w:lvl w:ilvl="4" w:tplc="A8A68C26">
      <w:start w:val="1"/>
      <w:numFmt w:val="bullet"/>
      <w:lvlText w:val="o"/>
      <w:lvlJc w:val="left"/>
      <w:pPr>
        <w:ind w:left="3600" w:hanging="360"/>
      </w:pPr>
      <w:rPr>
        <w:rFonts w:hint="default" w:ascii="Courier New" w:hAnsi="Courier New"/>
      </w:rPr>
    </w:lvl>
    <w:lvl w:ilvl="5" w:tplc="0014581E">
      <w:start w:val="1"/>
      <w:numFmt w:val="bullet"/>
      <w:lvlText w:val=""/>
      <w:lvlJc w:val="left"/>
      <w:pPr>
        <w:ind w:left="4320" w:hanging="360"/>
      </w:pPr>
      <w:rPr>
        <w:rFonts w:hint="default" w:ascii="Wingdings" w:hAnsi="Wingdings"/>
      </w:rPr>
    </w:lvl>
    <w:lvl w:ilvl="6" w:tplc="00A2A3A4">
      <w:start w:val="1"/>
      <w:numFmt w:val="bullet"/>
      <w:lvlText w:val=""/>
      <w:lvlJc w:val="left"/>
      <w:pPr>
        <w:ind w:left="5040" w:hanging="360"/>
      </w:pPr>
      <w:rPr>
        <w:rFonts w:hint="default" w:ascii="Symbol" w:hAnsi="Symbol"/>
      </w:rPr>
    </w:lvl>
    <w:lvl w:ilvl="7" w:tplc="31DACB48">
      <w:start w:val="1"/>
      <w:numFmt w:val="bullet"/>
      <w:lvlText w:val="o"/>
      <w:lvlJc w:val="left"/>
      <w:pPr>
        <w:ind w:left="5760" w:hanging="360"/>
      </w:pPr>
      <w:rPr>
        <w:rFonts w:hint="default" w:ascii="Courier New" w:hAnsi="Courier New"/>
      </w:rPr>
    </w:lvl>
    <w:lvl w:ilvl="8" w:tplc="1D6C2BDC">
      <w:start w:val="1"/>
      <w:numFmt w:val="bullet"/>
      <w:lvlText w:val=""/>
      <w:lvlJc w:val="left"/>
      <w:pPr>
        <w:ind w:left="6480" w:hanging="360"/>
      </w:pPr>
      <w:rPr>
        <w:rFonts w:hint="default" w:ascii="Wingdings" w:hAnsi="Wingdings"/>
      </w:rPr>
    </w:lvl>
  </w:abstractNum>
  <w:abstractNum w:abstractNumId="20" w15:restartNumberingAfterBreak="0">
    <w:nsid w:val="7DE39663"/>
    <w:multiLevelType w:val="hybridMultilevel"/>
    <w:tmpl w:val="15188758"/>
    <w:lvl w:ilvl="0" w:tplc="BDD883AC">
      <w:start w:val="1"/>
      <w:numFmt w:val="bullet"/>
      <w:lvlText w:val=""/>
      <w:lvlJc w:val="left"/>
      <w:pPr>
        <w:ind w:left="720" w:hanging="360"/>
      </w:pPr>
      <w:rPr>
        <w:rFonts w:hint="default" w:ascii="Symbol" w:hAnsi="Symbol"/>
      </w:rPr>
    </w:lvl>
    <w:lvl w:ilvl="1" w:tplc="F7AE8AF4">
      <w:start w:val="1"/>
      <w:numFmt w:val="bullet"/>
      <w:lvlText w:val="o"/>
      <w:lvlJc w:val="left"/>
      <w:pPr>
        <w:ind w:left="1440" w:hanging="360"/>
      </w:pPr>
      <w:rPr>
        <w:rFonts w:hint="default" w:ascii="Courier New" w:hAnsi="Courier New"/>
      </w:rPr>
    </w:lvl>
    <w:lvl w:ilvl="2" w:tplc="5C5A5532">
      <w:start w:val="1"/>
      <w:numFmt w:val="bullet"/>
      <w:lvlText w:val=""/>
      <w:lvlJc w:val="left"/>
      <w:pPr>
        <w:ind w:left="2160" w:hanging="360"/>
      </w:pPr>
      <w:rPr>
        <w:rFonts w:hint="default" w:ascii="Wingdings" w:hAnsi="Wingdings"/>
      </w:rPr>
    </w:lvl>
    <w:lvl w:ilvl="3" w:tplc="EA72AAD2">
      <w:start w:val="1"/>
      <w:numFmt w:val="bullet"/>
      <w:lvlText w:val=""/>
      <w:lvlJc w:val="left"/>
      <w:pPr>
        <w:ind w:left="2880" w:hanging="360"/>
      </w:pPr>
      <w:rPr>
        <w:rFonts w:hint="default" w:ascii="Symbol" w:hAnsi="Symbol"/>
      </w:rPr>
    </w:lvl>
    <w:lvl w:ilvl="4" w:tplc="A8ECF45C">
      <w:start w:val="1"/>
      <w:numFmt w:val="bullet"/>
      <w:lvlText w:val="o"/>
      <w:lvlJc w:val="left"/>
      <w:pPr>
        <w:ind w:left="3600" w:hanging="360"/>
      </w:pPr>
      <w:rPr>
        <w:rFonts w:hint="default" w:ascii="Courier New" w:hAnsi="Courier New"/>
      </w:rPr>
    </w:lvl>
    <w:lvl w:ilvl="5" w:tplc="2F18FC4C">
      <w:start w:val="1"/>
      <w:numFmt w:val="bullet"/>
      <w:lvlText w:val=""/>
      <w:lvlJc w:val="left"/>
      <w:pPr>
        <w:ind w:left="4320" w:hanging="360"/>
      </w:pPr>
      <w:rPr>
        <w:rFonts w:hint="default" w:ascii="Wingdings" w:hAnsi="Wingdings"/>
      </w:rPr>
    </w:lvl>
    <w:lvl w:ilvl="6" w:tplc="8E2213B0">
      <w:start w:val="1"/>
      <w:numFmt w:val="bullet"/>
      <w:lvlText w:val=""/>
      <w:lvlJc w:val="left"/>
      <w:pPr>
        <w:ind w:left="5040" w:hanging="360"/>
      </w:pPr>
      <w:rPr>
        <w:rFonts w:hint="default" w:ascii="Symbol" w:hAnsi="Symbol"/>
      </w:rPr>
    </w:lvl>
    <w:lvl w:ilvl="7" w:tplc="91E46FD2">
      <w:start w:val="1"/>
      <w:numFmt w:val="bullet"/>
      <w:lvlText w:val="o"/>
      <w:lvlJc w:val="left"/>
      <w:pPr>
        <w:ind w:left="5760" w:hanging="360"/>
      </w:pPr>
      <w:rPr>
        <w:rFonts w:hint="default" w:ascii="Courier New" w:hAnsi="Courier New"/>
      </w:rPr>
    </w:lvl>
    <w:lvl w:ilvl="8" w:tplc="42ECC106">
      <w:start w:val="1"/>
      <w:numFmt w:val="bullet"/>
      <w:lvlText w:val=""/>
      <w:lvlJc w:val="left"/>
      <w:pPr>
        <w:ind w:left="6480" w:hanging="360"/>
      </w:pPr>
      <w:rPr>
        <w:rFonts w:hint="default" w:ascii="Wingdings" w:hAnsi="Wingdings"/>
      </w:rPr>
    </w:lvl>
  </w:abstractNum>
  <w:num w:numId="1" w16cid:durableId="35083323">
    <w:abstractNumId w:val="18"/>
  </w:num>
  <w:num w:numId="2" w16cid:durableId="1471748023">
    <w:abstractNumId w:val="19"/>
  </w:num>
  <w:num w:numId="3" w16cid:durableId="1071121243">
    <w:abstractNumId w:val="3"/>
  </w:num>
  <w:num w:numId="4" w16cid:durableId="737942840">
    <w:abstractNumId w:val="13"/>
  </w:num>
  <w:num w:numId="5" w16cid:durableId="1800954342">
    <w:abstractNumId w:val="20"/>
  </w:num>
  <w:num w:numId="6" w16cid:durableId="322394328">
    <w:abstractNumId w:val="5"/>
  </w:num>
  <w:num w:numId="7" w16cid:durableId="1912034200">
    <w:abstractNumId w:val="7"/>
  </w:num>
  <w:num w:numId="8" w16cid:durableId="1224290506">
    <w:abstractNumId w:val="1"/>
  </w:num>
  <w:num w:numId="9" w16cid:durableId="2071611439">
    <w:abstractNumId w:val="17"/>
  </w:num>
  <w:num w:numId="10" w16cid:durableId="1174495632">
    <w:abstractNumId w:val="6"/>
  </w:num>
  <w:num w:numId="11" w16cid:durableId="338584265">
    <w:abstractNumId w:val="0"/>
  </w:num>
  <w:num w:numId="12" w16cid:durableId="2053965501">
    <w:abstractNumId w:val="8"/>
  </w:num>
  <w:num w:numId="13" w16cid:durableId="1317959139">
    <w:abstractNumId w:val="12"/>
  </w:num>
  <w:num w:numId="14" w16cid:durableId="121001826">
    <w:abstractNumId w:val="4"/>
  </w:num>
  <w:num w:numId="15" w16cid:durableId="1781072220">
    <w:abstractNumId w:val="14"/>
  </w:num>
  <w:num w:numId="16" w16cid:durableId="762804087">
    <w:abstractNumId w:val="16"/>
  </w:num>
  <w:num w:numId="17" w16cid:durableId="558320862">
    <w:abstractNumId w:val="9"/>
  </w:num>
  <w:num w:numId="18" w16cid:durableId="1647709028">
    <w:abstractNumId w:val="10"/>
  </w:num>
  <w:num w:numId="19" w16cid:durableId="1373380348">
    <w:abstractNumId w:val="15"/>
  </w:num>
  <w:num w:numId="20" w16cid:durableId="830176757">
    <w:abstractNumId w:val="11"/>
  </w:num>
  <w:num w:numId="21" w16cid:durableId="203518590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C3829B"/>
    <w:rsid w:val="0000084E"/>
    <w:rsid w:val="0000515B"/>
    <w:rsid w:val="00011DB1"/>
    <w:rsid w:val="000152F0"/>
    <w:rsid w:val="0001681E"/>
    <w:rsid w:val="00031E18"/>
    <w:rsid w:val="00032B5A"/>
    <w:rsid w:val="000460EB"/>
    <w:rsid w:val="00053967"/>
    <w:rsid w:val="00070F56"/>
    <w:rsid w:val="00076DD1"/>
    <w:rsid w:val="0008064C"/>
    <w:rsid w:val="00084677"/>
    <w:rsid w:val="00086F3F"/>
    <w:rsid w:val="00093D95"/>
    <w:rsid w:val="000A2015"/>
    <w:rsid w:val="000A79CA"/>
    <w:rsid w:val="000B6CFB"/>
    <w:rsid w:val="000C1B08"/>
    <w:rsid w:val="000C6585"/>
    <w:rsid w:val="000C7C5E"/>
    <w:rsid w:val="000D4176"/>
    <w:rsid w:val="000E016C"/>
    <w:rsid w:val="000E549C"/>
    <w:rsid w:val="0011061D"/>
    <w:rsid w:val="001110DE"/>
    <w:rsid w:val="00112CA9"/>
    <w:rsid w:val="001243F4"/>
    <w:rsid w:val="001433D8"/>
    <w:rsid w:val="00145276"/>
    <w:rsid w:val="00150337"/>
    <w:rsid w:val="00163819"/>
    <w:rsid w:val="0017405F"/>
    <w:rsid w:val="00174577"/>
    <w:rsid w:val="001831D0"/>
    <w:rsid w:val="00184950"/>
    <w:rsid w:val="00190341"/>
    <w:rsid w:val="001A5206"/>
    <w:rsid w:val="001A70A9"/>
    <w:rsid w:val="001A7965"/>
    <w:rsid w:val="001C16C8"/>
    <w:rsid w:val="001C52F2"/>
    <w:rsid w:val="001E1465"/>
    <w:rsid w:val="001E6763"/>
    <w:rsid w:val="001F4A5E"/>
    <w:rsid w:val="002078E9"/>
    <w:rsid w:val="00213831"/>
    <w:rsid w:val="00220FF0"/>
    <w:rsid w:val="0022706A"/>
    <w:rsid w:val="002306F6"/>
    <w:rsid w:val="00246C20"/>
    <w:rsid w:val="00246E8B"/>
    <w:rsid w:val="00251FBF"/>
    <w:rsid w:val="00253668"/>
    <w:rsid w:val="00256232"/>
    <w:rsid w:val="0026209C"/>
    <w:rsid w:val="00273E11"/>
    <w:rsid w:val="0027573B"/>
    <w:rsid w:val="002803FE"/>
    <w:rsid w:val="002B14DC"/>
    <w:rsid w:val="002C4752"/>
    <w:rsid w:val="002C64FB"/>
    <w:rsid w:val="002C74D7"/>
    <w:rsid w:val="002E4F58"/>
    <w:rsid w:val="002E52FA"/>
    <w:rsid w:val="002F29C4"/>
    <w:rsid w:val="002F4FD1"/>
    <w:rsid w:val="00310F27"/>
    <w:rsid w:val="00314479"/>
    <w:rsid w:val="00315472"/>
    <w:rsid w:val="003208BD"/>
    <w:rsid w:val="003220BA"/>
    <w:rsid w:val="00325262"/>
    <w:rsid w:val="00344EEC"/>
    <w:rsid w:val="003508DF"/>
    <w:rsid w:val="00357DC8"/>
    <w:rsid w:val="0036752E"/>
    <w:rsid w:val="0037417B"/>
    <w:rsid w:val="00374EC5"/>
    <w:rsid w:val="00384AF9"/>
    <w:rsid w:val="00386D38"/>
    <w:rsid w:val="00394935"/>
    <w:rsid w:val="003A2721"/>
    <w:rsid w:val="003A2B9E"/>
    <w:rsid w:val="003A47A5"/>
    <w:rsid w:val="003B2438"/>
    <w:rsid w:val="003B4A73"/>
    <w:rsid w:val="003B673D"/>
    <w:rsid w:val="003C1B57"/>
    <w:rsid w:val="003F1870"/>
    <w:rsid w:val="003F6B03"/>
    <w:rsid w:val="003F787E"/>
    <w:rsid w:val="003F7C63"/>
    <w:rsid w:val="004002E4"/>
    <w:rsid w:val="00405E7E"/>
    <w:rsid w:val="004123DC"/>
    <w:rsid w:val="004203E9"/>
    <w:rsid w:val="004206BC"/>
    <w:rsid w:val="00422046"/>
    <w:rsid w:val="0042343E"/>
    <w:rsid w:val="00430048"/>
    <w:rsid w:val="00433435"/>
    <w:rsid w:val="00436814"/>
    <w:rsid w:val="00463099"/>
    <w:rsid w:val="00467F83"/>
    <w:rsid w:val="004769CB"/>
    <w:rsid w:val="004773E3"/>
    <w:rsid w:val="00477CB8"/>
    <w:rsid w:val="00494BCE"/>
    <w:rsid w:val="00496B19"/>
    <w:rsid w:val="004971DC"/>
    <w:rsid w:val="004A308F"/>
    <w:rsid w:val="004A5441"/>
    <w:rsid w:val="004B459F"/>
    <w:rsid w:val="004B55E1"/>
    <w:rsid w:val="004C2C86"/>
    <w:rsid w:val="004C7585"/>
    <w:rsid w:val="004F423F"/>
    <w:rsid w:val="00501E6D"/>
    <w:rsid w:val="00514364"/>
    <w:rsid w:val="005203F8"/>
    <w:rsid w:val="00520CB0"/>
    <w:rsid w:val="00545C45"/>
    <w:rsid w:val="005525B0"/>
    <w:rsid w:val="00556E97"/>
    <w:rsid w:val="00565E1E"/>
    <w:rsid w:val="00577852"/>
    <w:rsid w:val="00580C01"/>
    <w:rsid w:val="00583536"/>
    <w:rsid w:val="00594211"/>
    <w:rsid w:val="0059576A"/>
    <w:rsid w:val="005A0306"/>
    <w:rsid w:val="005A0B81"/>
    <w:rsid w:val="005A292A"/>
    <w:rsid w:val="005A4A33"/>
    <w:rsid w:val="005A722D"/>
    <w:rsid w:val="005B1DBB"/>
    <w:rsid w:val="005B6142"/>
    <w:rsid w:val="005C5A13"/>
    <w:rsid w:val="005E0F52"/>
    <w:rsid w:val="005F02B8"/>
    <w:rsid w:val="005F160D"/>
    <w:rsid w:val="005F29D1"/>
    <w:rsid w:val="00606164"/>
    <w:rsid w:val="00611590"/>
    <w:rsid w:val="00617027"/>
    <w:rsid w:val="00624C08"/>
    <w:rsid w:val="00625BC0"/>
    <w:rsid w:val="00627723"/>
    <w:rsid w:val="00632875"/>
    <w:rsid w:val="0063792A"/>
    <w:rsid w:val="00664B27"/>
    <w:rsid w:val="0066569C"/>
    <w:rsid w:val="00673C7E"/>
    <w:rsid w:val="006760F9"/>
    <w:rsid w:val="0068030F"/>
    <w:rsid w:val="006826B8"/>
    <w:rsid w:val="006838CF"/>
    <w:rsid w:val="00694EA3"/>
    <w:rsid w:val="00695D13"/>
    <w:rsid w:val="006B2D16"/>
    <w:rsid w:val="006B7B0D"/>
    <w:rsid w:val="006C3425"/>
    <w:rsid w:val="006C67BD"/>
    <w:rsid w:val="006C7DCE"/>
    <w:rsid w:val="006E33BE"/>
    <w:rsid w:val="006E53BA"/>
    <w:rsid w:val="006E69B6"/>
    <w:rsid w:val="006F2A3B"/>
    <w:rsid w:val="006F349A"/>
    <w:rsid w:val="007010DD"/>
    <w:rsid w:val="00702D30"/>
    <w:rsid w:val="0071091F"/>
    <w:rsid w:val="00726509"/>
    <w:rsid w:val="007342F9"/>
    <w:rsid w:val="00737F6A"/>
    <w:rsid w:val="007415DA"/>
    <w:rsid w:val="0074253D"/>
    <w:rsid w:val="00745046"/>
    <w:rsid w:val="00761955"/>
    <w:rsid w:val="007630C6"/>
    <w:rsid w:val="00765581"/>
    <w:rsid w:val="007659FB"/>
    <w:rsid w:val="00772571"/>
    <w:rsid w:val="00774057"/>
    <w:rsid w:val="00782504"/>
    <w:rsid w:val="00784D01"/>
    <w:rsid w:val="00794A1C"/>
    <w:rsid w:val="007A0A8D"/>
    <w:rsid w:val="007B248A"/>
    <w:rsid w:val="007B3D50"/>
    <w:rsid w:val="007B711D"/>
    <w:rsid w:val="007D0482"/>
    <w:rsid w:val="007D4CFB"/>
    <w:rsid w:val="007D70D1"/>
    <w:rsid w:val="007E1CDF"/>
    <w:rsid w:val="007E4BD3"/>
    <w:rsid w:val="007E76D3"/>
    <w:rsid w:val="007F1342"/>
    <w:rsid w:val="007F2192"/>
    <w:rsid w:val="007F6914"/>
    <w:rsid w:val="007F6B99"/>
    <w:rsid w:val="00821F63"/>
    <w:rsid w:val="00823A43"/>
    <w:rsid w:val="00833161"/>
    <w:rsid w:val="00836E4C"/>
    <w:rsid w:val="00842C1B"/>
    <w:rsid w:val="00855E74"/>
    <w:rsid w:val="00856449"/>
    <w:rsid w:val="00867FCA"/>
    <w:rsid w:val="008825D2"/>
    <w:rsid w:val="00895174"/>
    <w:rsid w:val="008962A6"/>
    <w:rsid w:val="008A4A59"/>
    <w:rsid w:val="008A7883"/>
    <w:rsid w:val="008D4970"/>
    <w:rsid w:val="008D7E42"/>
    <w:rsid w:val="009033DB"/>
    <w:rsid w:val="00921BED"/>
    <w:rsid w:val="009259AB"/>
    <w:rsid w:val="009264ED"/>
    <w:rsid w:val="00933545"/>
    <w:rsid w:val="00947EA8"/>
    <w:rsid w:val="009500F7"/>
    <w:rsid w:val="0096692B"/>
    <w:rsid w:val="0096770D"/>
    <w:rsid w:val="00970102"/>
    <w:rsid w:val="00973B2E"/>
    <w:rsid w:val="009758F8"/>
    <w:rsid w:val="00984BA3"/>
    <w:rsid w:val="00985340"/>
    <w:rsid w:val="00991EC5"/>
    <w:rsid w:val="009A0393"/>
    <w:rsid w:val="009A5872"/>
    <w:rsid w:val="009A5BA9"/>
    <w:rsid w:val="009B3733"/>
    <w:rsid w:val="009B7DBD"/>
    <w:rsid w:val="009B7EFA"/>
    <w:rsid w:val="009C2D39"/>
    <w:rsid w:val="009C406C"/>
    <w:rsid w:val="009C7BE8"/>
    <w:rsid w:val="009D04FC"/>
    <w:rsid w:val="009D1AE9"/>
    <w:rsid w:val="009D4889"/>
    <w:rsid w:val="009D6DDF"/>
    <w:rsid w:val="009E2328"/>
    <w:rsid w:val="00A04495"/>
    <w:rsid w:val="00A20C9D"/>
    <w:rsid w:val="00A21466"/>
    <w:rsid w:val="00A22F5F"/>
    <w:rsid w:val="00A26E95"/>
    <w:rsid w:val="00A273C9"/>
    <w:rsid w:val="00A30062"/>
    <w:rsid w:val="00A31860"/>
    <w:rsid w:val="00A318B9"/>
    <w:rsid w:val="00A42C1E"/>
    <w:rsid w:val="00A468BD"/>
    <w:rsid w:val="00A47E4E"/>
    <w:rsid w:val="00A611BA"/>
    <w:rsid w:val="00A71B59"/>
    <w:rsid w:val="00A73E6E"/>
    <w:rsid w:val="00A92C7D"/>
    <w:rsid w:val="00A92FDE"/>
    <w:rsid w:val="00AB0949"/>
    <w:rsid w:val="00AB59E1"/>
    <w:rsid w:val="00AB6CE7"/>
    <w:rsid w:val="00AC7D79"/>
    <w:rsid w:val="00AD1AFA"/>
    <w:rsid w:val="00AD385D"/>
    <w:rsid w:val="00AD4695"/>
    <w:rsid w:val="00AE263F"/>
    <w:rsid w:val="00B01130"/>
    <w:rsid w:val="00B0315B"/>
    <w:rsid w:val="00B23209"/>
    <w:rsid w:val="00B25F80"/>
    <w:rsid w:val="00B31905"/>
    <w:rsid w:val="00B56911"/>
    <w:rsid w:val="00B75AB5"/>
    <w:rsid w:val="00B819C0"/>
    <w:rsid w:val="00B81CB5"/>
    <w:rsid w:val="00B95C13"/>
    <w:rsid w:val="00BA2B4E"/>
    <w:rsid w:val="00BA2F12"/>
    <w:rsid w:val="00BA5C2D"/>
    <w:rsid w:val="00BB48E1"/>
    <w:rsid w:val="00BB6E5F"/>
    <w:rsid w:val="00BC6C41"/>
    <w:rsid w:val="00BD05F9"/>
    <w:rsid w:val="00BD3169"/>
    <w:rsid w:val="00BD44DC"/>
    <w:rsid w:val="00BD7F8C"/>
    <w:rsid w:val="00BE71DB"/>
    <w:rsid w:val="00C04FA0"/>
    <w:rsid w:val="00C07C44"/>
    <w:rsid w:val="00C2205D"/>
    <w:rsid w:val="00C2592F"/>
    <w:rsid w:val="00C25C59"/>
    <w:rsid w:val="00C306BD"/>
    <w:rsid w:val="00C367A7"/>
    <w:rsid w:val="00C36DCD"/>
    <w:rsid w:val="00C411AA"/>
    <w:rsid w:val="00C42309"/>
    <w:rsid w:val="00C45E43"/>
    <w:rsid w:val="00C476A3"/>
    <w:rsid w:val="00C556E2"/>
    <w:rsid w:val="00C725D1"/>
    <w:rsid w:val="00C734AA"/>
    <w:rsid w:val="00C735BF"/>
    <w:rsid w:val="00C87F51"/>
    <w:rsid w:val="00CA6277"/>
    <w:rsid w:val="00CB3334"/>
    <w:rsid w:val="00CB3AE3"/>
    <w:rsid w:val="00CD13E2"/>
    <w:rsid w:val="00CE48BE"/>
    <w:rsid w:val="00CF2D7F"/>
    <w:rsid w:val="00D03BF6"/>
    <w:rsid w:val="00D04FE7"/>
    <w:rsid w:val="00D07F65"/>
    <w:rsid w:val="00D15881"/>
    <w:rsid w:val="00D169E4"/>
    <w:rsid w:val="00D204E3"/>
    <w:rsid w:val="00D22398"/>
    <w:rsid w:val="00D229F3"/>
    <w:rsid w:val="00D235A6"/>
    <w:rsid w:val="00D25C0F"/>
    <w:rsid w:val="00D32DC6"/>
    <w:rsid w:val="00D41D41"/>
    <w:rsid w:val="00D43937"/>
    <w:rsid w:val="00D4633B"/>
    <w:rsid w:val="00D664B4"/>
    <w:rsid w:val="00D7301D"/>
    <w:rsid w:val="00D817EA"/>
    <w:rsid w:val="00D82393"/>
    <w:rsid w:val="00D96373"/>
    <w:rsid w:val="00DA749E"/>
    <w:rsid w:val="00DB4648"/>
    <w:rsid w:val="00DB68E0"/>
    <w:rsid w:val="00DD55B9"/>
    <w:rsid w:val="00DD5F1B"/>
    <w:rsid w:val="00DD7AA9"/>
    <w:rsid w:val="00DE30B0"/>
    <w:rsid w:val="00DE6E06"/>
    <w:rsid w:val="00DF20AF"/>
    <w:rsid w:val="00DF4974"/>
    <w:rsid w:val="00DF5024"/>
    <w:rsid w:val="00DF59FF"/>
    <w:rsid w:val="00DF77D6"/>
    <w:rsid w:val="00E04E88"/>
    <w:rsid w:val="00E113E4"/>
    <w:rsid w:val="00E13D9E"/>
    <w:rsid w:val="00E30461"/>
    <w:rsid w:val="00E412CE"/>
    <w:rsid w:val="00E4681C"/>
    <w:rsid w:val="00E46AA0"/>
    <w:rsid w:val="00E50FD9"/>
    <w:rsid w:val="00E5525E"/>
    <w:rsid w:val="00E5628B"/>
    <w:rsid w:val="00E96979"/>
    <w:rsid w:val="00E97F59"/>
    <w:rsid w:val="00EA34CA"/>
    <w:rsid w:val="00EB2E0E"/>
    <w:rsid w:val="00EB3324"/>
    <w:rsid w:val="00EB382D"/>
    <w:rsid w:val="00EB7831"/>
    <w:rsid w:val="00EC07A8"/>
    <w:rsid w:val="00ED4D3F"/>
    <w:rsid w:val="00EF49CC"/>
    <w:rsid w:val="00F175E3"/>
    <w:rsid w:val="00F215A7"/>
    <w:rsid w:val="00F23AEA"/>
    <w:rsid w:val="00F37B2B"/>
    <w:rsid w:val="00F41938"/>
    <w:rsid w:val="00F458F9"/>
    <w:rsid w:val="00F475A7"/>
    <w:rsid w:val="00F520FD"/>
    <w:rsid w:val="00F5435C"/>
    <w:rsid w:val="00F60052"/>
    <w:rsid w:val="00F63026"/>
    <w:rsid w:val="00F81AC5"/>
    <w:rsid w:val="00F83B7F"/>
    <w:rsid w:val="00F92F91"/>
    <w:rsid w:val="00F934D6"/>
    <w:rsid w:val="00F969FD"/>
    <w:rsid w:val="00FA3E5E"/>
    <w:rsid w:val="00FB5BB9"/>
    <w:rsid w:val="00FC4DDA"/>
    <w:rsid w:val="00FC6EA2"/>
    <w:rsid w:val="00FD1CD1"/>
    <w:rsid w:val="00FF3B97"/>
    <w:rsid w:val="00FF44AB"/>
    <w:rsid w:val="018278E2"/>
    <w:rsid w:val="01A70D98"/>
    <w:rsid w:val="01E6428B"/>
    <w:rsid w:val="0249FCE5"/>
    <w:rsid w:val="0356D591"/>
    <w:rsid w:val="03644308"/>
    <w:rsid w:val="038F0150"/>
    <w:rsid w:val="03E06F17"/>
    <w:rsid w:val="0424C5EB"/>
    <w:rsid w:val="043A56C9"/>
    <w:rsid w:val="0475EBEA"/>
    <w:rsid w:val="04E6F6E7"/>
    <w:rsid w:val="0513B6B3"/>
    <w:rsid w:val="06035A7C"/>
    <w:rsid w:val="0660496F"/>
    <w:rsid w:val="073906B7"/>
    <w:rsid w:val="0799E7FE"/>
    <w:rsid w:val="07E977CF"/>
    <w:rsid w:val="085EB504"/>
    <w:rsid w:val="08F67F24"/>
    <w:rsid w:val="0973D2F7"/>
    <w:rsid w:val="099FEB2F"/>
    <w:rsid w:val="09B4F5F6"/>
    <w:rsid w:val="0A4DCAD4"/>
    <w:rsid w:val="0A6E6541"/>
    <w:rsid w:val="0A8ABA4A"/>
    <w:rsid w:val="0B548E7B"/>
    <w:rsid w:val="0B99EE30"/>
    <w:rsid w:val="0BE1A546"/>
    <w:rsid w:val="0C71D145"/>
    <w:rsid w:val="0D0D9D66"/>
    <w:rsid w:val="0DFC9E3D"/>
    <w:rsid w:val="0E66ED6C"/>
    <w:rsid w:val="0EFB9C66"/>
    <w:rsid w:val="0F1DC377"/>
    <w:rsid w:val="0F2BB51D"/>
    <w:rsid w:val="0F4A2FDD"/>
    <w:rsid w:val="0F5E2B86"/>
    <w:rsid w:val="0F941303"/>
    <w:rsid w:val="1040DCF6"/>
    <w:rsid w:val="10D841E7"/>
    <w:rsid w:val="110EAFA1"/>
    <w:rsid w:val="11700469"/>
    <w:rsid w:val="117AB7D2"/>
    <w:rsid w:val="1189F0E2"/>
    <w:rsid w:val="11AF44ED"/>
    <w:rsid w:val="11E18860"/>
    <w:rsid w:val="11EB1371"/>
    <w:rsid w:val="122D1D90"/>
    <w:rsid w:val="123898B6"/>
    <w:rsid w:val="13E7D1D2"/>
    <w:rsid w:val="14099B78"/>
    <w:rsid w:val="1436512D"/>
    <w:rsid w:val="147D18CC"/>
    <w:rsid w:val="14961ADA"/>
    <w:rsid w:val="1499335F"/>
    <w:rsid w:val="1546AA76"/>
    <w:rsid w:val="16016CC4"/>
    <w:rsid w:val="1631E00B"/>
    <w:rsid w:val="163FCC69"/>
    <w:rsid w:val="1739622D"/>
    <w:rsid w:val="17596847"/>
    <w:rsid w:val="184BFC1B"/>
    <w:rsid w:val="187F4E2E"/>
    <w:rsid w:val="18850001"/>
    <w:rsid w:val="18F703F2"/>
    <w:rsid w:val="1969814B"/>
    <w:rsid w:val="198CB256"/>
    <w:rsid w:val="198E8072"/>
    <w:rsid w:val="19EF3004"/>
    <w:rsid w:val="1A75D78C"/>
    <w:rsid w:val="1AC9738F"/>
    <w:rsid w:val="1B4494E8"/>
    <w:rsid w:val="1B4AD108"/>
    <w:rsid w:val="1B834D61"/>
    <w:rsid w:val="1BC303B1"/>
    <w:rsid w:val="1BD4D5DB"/>
    <w:rsid w:val="1E3A4184"/>
    <w:rsid w:val="1E5CB626"/>
    <w:rsid w:val="1E638F1A"/>
    <w:rsid w:val="1EA03040"/>
    <w:rsid w:val="1EC8BA06"/>
    <w:rsid w:val="1F32AF93"/>
    <w:rsid w:val="1F350FF9"/>
    <w:rsid w:val="1FA4B953"/>
    <w:rsid w:val="1FC8B508"/>
    <w:rsid w:val="20473D9D"/>
    <w:rsid w:val="21084DFB"/>
    <w:rsid w:val="21B9AD4F"/>
    <w:rsid w:val="223A5085"/>
    <w:rsid w:val="226E5801"/>
    <w:rsid w:val="22913A58"/>
    <w:rsid w:val="22BE5112"/>
    <w:rsid w:val="22D07A55"/>
    <w:rsid w:val="22F47057"/>
    <w:rsid w:val="22F4CCA1"/>
    <w:rsid w:val="236D3FA8"/>
    <w:rsid w:val="23B3A673"/>
    <w:rsid w:val="23B9B447"/>
    <w:rsid w:val="23D80B2E"/>
    <w:rsid w:val="23F003A6"/>
    <w:rsid w:val="23F44634"/>
    <w:rsid w:val="246E2FB8"/>
    <w:rsid w:val="24E0C572"/>
    <w:rsid w:val="24E53605"/>
    <w:rsid w:val="24FF5171"/>
    <w:rsid w:val="251B88E7"/>
    <w:rsid w:val="2560599E"/>
    <w:rsid w:val="2582A954"/>
    <w:rsid w:val="26171421"/>
    <w:rsid w:val="26C61C5F"/>
    <w:rsid w:val="2724256A"/>
    <w:rsid w:val="2775E971"/>
    <w:rsid w:val="279F8C99"/>
    <w:rsid w:val="282EB64F"/>
    <w:rsid w:val="284CAF59"/>
    <w:rsid w:val="287AF931"/>
    <w:rsid w:val="28A68CF3"/>
    <w:rsid w:val="28B9CDF0"/>
    <w:rsid w:val="28C44A9B"/>
    <w:rsid w:val="28E0A185"/>
    <w:rsid w:val="2924AB89"/>
    <w:rsid w:val="293086B4"/>
    <w:rsid w:val="29327117"/>
    <w:rsid w:val="2945D8B1"/>
    <w:rsid w:val="29ABFF67"/>
    <w:rsid w:val="29EE3837"/>
    <w:rsid w:val="2A29CAA7"/>
    <w:rsid w:val="2A644CB5"/>
    <w:rsid w:val="2AA38DA8"/>
    <w:rsid w:val="2AA87548"/>
    <w:rsid w:val="2AF2461F"/>
    <w:rsid w:val="2B891392"/>
    <w:rsid w:val="2BB363B7"/>
    <w:rsid w:val="2BBC0A86"/>
    <w:rsid w:val="2BED0DED"/>
    <w:rsid w:val="2BFC6FE5"/>
    <w:rsid w:val="2C003DE2"/>
    <w:rsid w:val="2C07380E"/>
    <w:rsid w:val="2C2CBC14"/>
    <w:rsid w:val="2C771ACE"/>
    <w:rsid w:val="2C9583D6"/>
    <w:rsid w:val="2D908EE9"/>
    <w:rsid w:val="2DF49134"/>
    <w:rsid w:val="2E34C14B"/>
    <w:rsid w:val="2EAA87CA"/>
    <w:rsid w:val="2EAE58D3"/>
    <w:rsid w:val="2EEE3B65"/>
    <w:rsid w:val="2EFDC5DF"/>
    <w:rsid w:val="2F0D1454"/>
    <w:rsid w:val="2FB24B39"/>
    <w:rsid w:val="30D1D220"/>
    <w:rsid w:val="310123ED"/>
    <w:rsid w:val="31BBF955"/>
    <w:rsid w:val="31DEC96B"/>
    <w:rsid w:val="331459A7"/>
    <w:rsid w:val="3355078F"/>
    <w:rsid w:val="341BECC9"/>
    <w:rsid w:val="3424FC3E"/>
    <w:rsid w:val="351225CE"/>
    <w:rsid w:val="35427CCC"/>
    <w:rsid w:val="355B574F"/>
    <w:rsid w:val="35C68EB4"/>
    <w:rsid w:val="36094410"/>
    <w:rsid w:val="369AF134"/>
    <w:rsid w:val="373FB1B7"/>
    <w:rsid w:val="37A55432"/>
    <w:rsid w:val="37BBA237"/>
    <w:rsid w:val="37C1D107"/>
    <w:rsid w:val="37E4BB7E"/>
    <w:rsid w:val="3802A0B5"/>
    <w:rsid w:val="3846E01F"/>
    <w:rsid w:val="384A1C5E"/>
    <w:rsid w:val="38866CE3"/>
    <w:rsid w:val="38E11275"/>
    <w:rsid w:val="38E64979"/>
    <w:rsid w:val="39339398"/>
    <w:rsid w:val="39D42837"/>
    <w:rsid w:val="3A37A236"/>
    <w:rsid w:val="3A844D81"/>
    <w:rsid w:val="3BB65DDD"/>
    <w:rsid w:val="3BC9FDA8"/>
    <w:rsid w:val="3C0A30FA"/>
    <w:rsid w:val="3C15036E"/>
    <w:rsid w:val="3C2481FA"/>
    <w:rsid w:val="3C68583F"/>
    <w:rsid w:val="3C6932E2"/>
    <w:rsid w:val="3C7EAD04"/>
    <w:rsid w:val="3CC159CA"/>
    <w:rsid w:val="3CD42A59"/>
    <w:rsid w:val="3CF42E2F"/>
    <w:rsid w:val="3D157755"/>
    <w:rsid w:val="3D557BE5"/>
    <w:rsid w:val="3DA6CBF1"/>
    <w:rsid w:val="3DBCDCC4"/>
    <w:rsid w:val="3DBE51BC"/>
    <w:rsid w:val="3DE90DC9"/>
    <w:rsid w:val="3E11E6FC"/>
    <w:rsid w:val="3E153136"/>
    <w:rsid w:val="3E48B735"/>
    <w:rsid w:val="3E98E334"/>
    <w:rsid w:val="3EC7793C"/>
    <w:rsid w:val="3F411D6D"/>
    <w:rsid w:val="3F64C390"/>
    <w:rsid w:val="4001FB3C"/>
    <w:rsid w:val="40AB6D8F"/>
    <w:rsid w:val="4240DFAD"/>
    <w:rsid w:val="43564B9B"/>
    <w:rsid w:val="435B8502"/>
    <w:rsid w:val="4432677C"/>
    <w:rsid w:val="44CD123E"/>
    <w:rsid w:val="4501C49C"/>
    <w:rsid w:val="455E8B4E"/>
    <w:rsid w:val="4564D2D6"/>
    <w:rsid w:val="464BB118"/>
    <w:rsid w:val="467432F5"/>
    <w:rsid w:val="47307943"/>
    <w:rsid w:val="47471106"/>
    <w:rsid w:val="475035D3"/>
    <w:rsid w:val="476C084C"/>
    <w:rsid w:val="47969032"/>
    <w:rsid w:val="47CC3016"/>
    <w:rsid w:val="47D07F1E"/>
    <w:rsid w:val="47F6526A"/>
    <w:rsid w:val="4806F387"/>
    <w:rsid w:val="480E09D2"/>
    <w:rsid w:val="48457430"/>
    <w:rsid w:val="48AE96F4"/>
    <w:rsid w:val="48E0B788"/>
    <w:rsid w:val="48E9C594"/>
    <w:rsid w:val="48EFC01D"/>
    <w:rsid w:val="49045EBA"/>
    <w:rsid w:val="49648DFF"/>
    <w:rsid w:val="498832A2"/>
    <w:rsid w:val="4A1C3BE1"/>
    <w:rsid w:val="4A69CA32"/>
    <w:rsid w:val="4B9179DC"/>
    <w:rsid w:val="4BCA9508"/>
    <w:rsid w:val="4BF42E23"/>
    <w:rsid w:val="4C21E6AD"/>
    <w:rsid w:val="4D523035"/>
    <w:rsid w:val="4D84D7BC"/>
    <w:rsid w:val="4DCC8E81"/>
    <w:rsid w:val="4DE70AB7"/>
    <w:rsid w:val="4E8A5844"/>
    <w:rsid w:val="4E9DF734"/>
    <w:rsid w:val="50C23A34"/>
    <w:rsid w:val="50D40C5C"/>
    <w:rsid w:val="51A5E23C"/>
    <w:rsid w:val="529E6D64"/>
    <w:rsid w:val="52E89CB3"/>
    <w:rsid w:val="530A6649"/>
    <w:rsid w:val="538D062B"/>
    <w:rsid w:val="548CCCAD"/>
    <w:rsid w:val="55061A22"/>
    <w:rsid w:val="55D77757"/>
    <w:rsid w:val="5637BA5E"/>
    <w:rsid w:val="5672266D"/>
    <w:rsid w:val="567DAF64"/>
    <w:rsid w:val="56CE8BAC"/>
    <w:rsid w:val="57E03D75"/>
    <w:rsid w:val="582E3F00"/>
    <w:rsid w:val="586C8EA7"/>
    <w:rsid w:val="5895EA61"/>
    <w:rsid w:val="590241D2"/>
    <w:rsid w:val="593B037A"/>
    <w:rsid w:val="5955B7D3"/>
    <w:rsid w:val="59E3A524"/>
    <w:rsid w:val="59F00E05"/>
    <w:rsid w:val="5A39DBD0"/>
    <w:rsid w:val="5A4D2179"/>
    <w:rsid w:val="5A71B1F4"/>
    <w:rsid w:val="5A98AD6E"/>
    <w:rsid w:val="5AB666E7"/>
    <w:rsid w:val="5ADE2CD6"/>
    <w:rsid w:val="5B6FAF8B"/>
    <w:rsid w:val="5BAD6CBB"/>
    <w:rsid w:val="5BF0DF37"/>
    <w:rsid w:val="5C1B3BC7"/>
    <w:rsid w:val="5C1E1926"/>
    <w:rsid w:val="5CEEC041"/>
    <w:rsid w:val="5D048DF7"/>
    <w:rsid w:val="5D1A4F54"/>
    <w:rsid w:val="5D6F9231"/>
    <w:rsid w:val="5E467088"/>
    <w:rsid w:val="5EF41D63"/>
    <w:rsid w:val="5F150B68"/>
    <w:rsid w:val="5F4C472A"/>
    <w:rsid w:val="5F56AD99"/>
    <w:rsid w:val="6036800C"/>
    <w:rsid w:val="605A7CB7"/>
    <w:rsid w:val="606D6809"/>
    <w:rsid w:val="60C2FE15"/>
    <w:rsid w:val="60C3829B"/>
    <w:rsid w:val="60E6AD3A"/>
    <w:rsid w:val="61D050AA"/>
    <w:rsid w:val="622E63A0"/>
    <w:rsid w:val="63E0BA37"/>
    <w:rsid w:val="641318AC"/>
    <w:rsid w:val="6424ABEE"/>
    <w:rsid w:val="643E032E"/>
    <w:rsid w:val="64924E9F"/>
    <w:rsid w:val="64A333CE"/>
    <w:rsid w:val="652B1DE9"/>
    <w:rsid w:val="65620086"/>
    <w:rsid w:val="65A78D38"/>
    <w:rsid w:val="65CB1F06"/>
    <w:rsid w:val="660FF1D2"/>
    <w:rsid w:val="662CB041"/>
    <w:rsid w:val="67571616"/>
    <w:rsid w:val="67922236"/>
    <w:rsid w:val="692DC884"/>
    <w:rsid w:val="694BED3A"/>
    <w:rsid w:val="6B6248CF"/>
    <w:rsid w:val="6B67F56F"/>
    <w:rsid w:val="6BB76878"/>
    <w:rsid w:val="6C04CF85"/>
    <w:rsid w:val="6CBB87CD"/>
    <w:rsid w:val="6D84EC32"/>
    <w:rsid w:val="6D8E27C2"/>
    <w:rsid w:val="6D91594B"/>
    <w:rsid w:val="6DA61E54"/>
    <w:rsid w:val="6F062589"/>
    <w:rsid w:val="6F074C4F"/>
    <w:rsid w:val="6FCCE337"/>
    <w:rsid w:val="700BAFE7"/>
    <w:rsid w:val="7019EEA5"/>
    <w:rsid w:val="7032A2E0"/>
    <w:rsid w:val="7037BDF9"/>
    <w:rsid w:val="705F0377"/>
    <w:rsid w:val="70AB61D3"/>
    <w:rsid w:val="7197F643"/>
    <w:rsid w:val="71D4650C"/>
    <w:rsid w:val="71EA3A4C"/>
    <w:rsid w:val="7282301F"/>
    <w:rsid w:val="72937907"/>
    <w:rsid w:val="72AC30A2"/>
    <w:rsid w:val="72E88E6B"/>
    <w:rsid w:val="734F1179"/>
    <w:rsid w:val="73522105"/>
    <w:rsid w:val="73DD3CC0"/>
    <w:rsid w:val="73F122FE"/>
    <w:rsid w:val="7403268C"/>
    <w:rsid w:val="74CCDEC4"/>
    <w:rsid w:val="752BF90D"/>
    <w:rsid w:val="753B1CBD"/>
    <w:rsid w:val="76098BF9"/>
    <w:rsid w:val="765933F8"/>
    <w:rsid w:val="76806359"/>
    <w:rsid w:val="7684D3DB"/>
    <w:rsid w:val="76B823B3"/>
    <w:rsid w:val="772C1464"/>
    <w:rsid w:val="77367BFB"/>
    <w:rsid w:val="774E0DC1"/>
    <w:rsid w:val="779BE7CC"/>
    <w:rsid w:val="77C9E038"/>
    <w:rsid w:val="77D9D914"/>
    <w:rsid w:val="78D0792C"/>
    <w:rsid w:val="795E4422"/>
    <w:rsid w:val="79872034"/>
    <w:rsid w:val="79997029"/>
    <w:rsid w:val="79CA44DA"/>
    <w:rsid w:val="7AAF7151"/>
    <w:rsid w:val="7B0DD96D"/>
    <w:rsid w:val="7B350656"/>
    <w:rsid w:val="7B6F3E7B"/>
    <w:rsid w:val="7B9D0625"/>
    <w:rsid w:val="7BC9EC01"/>
    <w:rsid w:val="7C73061F"/>
    <w:rsid w:val="7C8A6D2F"/>
    <w:rsid w:val="7C9EA49C"/>
    <w:rsid w:val="7CAFDF47"/>
    <w:rsid w:val="7DBE85DA"/>
    <w:rsid w:val="7DC026FE"/>
    <w:rsid w:val="7E3569C5"/>
    <w:rsid w:val="7E42EFE9"/>
    <w:rsid w:val="7E55B569"/>
    <w:rsid w:val="7E88E42B"/>
    <w:rsid w:val="7EA35FE0"/>
    <w:rsid w:val="7F109FE0"/>
    <w:rsid w:val="7F7B52C5"/>
    <w:rsid w:val="7F91ED03"/>
    <w:rsid w:val="7F941794"/>
    <w:rsid w:val="7FF69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829B"/>
  <w15:chartTrackingRefBased/>
  <w15:docId w15:val="{09461654-9F4C-4F7E-A980-783EC94C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uiPriority w:val="9"/>
    <w:name w:val="heading 2"/>
    <w:basedOn w:val="Subtitle"/>
    <w:next w:val="Normal"/>
    <w:unhideWhenUsed/>
    <w:link w:val="Heading2Char"/>
    <w:qFormat/>
    <w:rsid w:val="7684D3DB"/>
    <w:rPr>
      <w:rFonts w:ascii="Calibri" w:hAnsi="Calibri" w:eastAsia="Calibri" w:cs="Calibri" w:asciiTheme="minorAscii" w:hAnsiTheme="minorAscii"/>
      <w:b w:val="1"/>
      <w:bCs w:val="1"/>
      <w:i w:val="1"/>
      <w:iCs w:val="1"/>
      <w:color w:val="auto"/>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10D841E7"/>
    <w:pPr>
      <w:ind w:left="720"/>
      <w:contextualSpacing/>
    </w:pPr>
  </w:style>
  <w:style w:type="character" w:styleId="Hyperlink">
    <w:name w:val="Hyperlink"/>
    <w:basedOn w:val="DefaultParagraphFont"/>
    <w:uiPriority w:val="99"/>
    <w:unhideWhenUsed/>
    <w:rsid w:val="734F1179"/>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A54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C6C41"/>
    <w:rPr>
      <w:b/>
      <w:bCs/>
    </w:rPr>
  </w:style>
  <w:style w:type="character" w:styleId="CommentSubjectChar" w:customStyle="1">
    <w:name w:val="Comment Subject Char"/>
    <w:basedOn w:val="CommentTextChar"/>
    <w:link w:val="CommentSubject"/>
    <w:uiPriority w:val="99"/>
    <w:semiHidden/>
    <w:rsid w:val="00BC6C41"/>
    <w:rPr>
      <w:b/>
      <w:bCs/>
      <w:sz w:val="20"/>
      <w:szCs w:val="20"/>
    </w:rPr>
  </w:style>
  <w:style w:type="character" w:styleId="Heading2Char" w:customStyle="true">
    <w:uiPriority w:val="9"/>
    <w:name w:val="Heading 2 Char"/>
    <w:basedOn w:val="Subtitle"/>
    <w:link w:val="Heading2"/>
    <w:rsid w:val="7684D3DB"/>
    <w:rPr>
      <w:rFonts w:ascii="Calibri" w:hAnsi="Calibri" w:eastAsia="Calibri" w:cs="Calibri" w:asciiTheme="minorAscii" w:hAnsiTheme="minorAscii"/>
      <w:b w:val="1"/>
      <w:bCs w:val="1"/>
      <w:i w:val="1"/>
      <w:iCs w:val="1"/>
      <w:color w:val="auto"/>
      <w:sz w:val="24"/>
      <w:szCs w:val="24"/>
    </w:rPr>
  </w:style>
  <w:style w:type="paragraph" w:styleId="Revision">
    <w:name w:val="Revision"/>
    <w:hidden/>
    <w:uiPriority w:val="99"/>
    <w:semiHidden/>
    <w:rsid w:val="003F787E"/>
    <w:pPr>
      <w:spacing w:after="0" w:line="240" w:lineRule="auto"/>
    </w:pPr>
  </w:style>
  <w:style w:type="paragraph" w:styleId="Title">
    <w:uiPriority w:val="10"/>
    <w:name w:val="Title"/>
    <w:basedOn w:val="Normal"/>
    <w:next w:val="Normal"/>
    <w:qFormat/>
    <w:rsid w:val="3DBE51BC"/>
    <w:rPr>
      <w:rFonts w:ascii="Aptos Display" w:hAnsi="Aptos Display" w:eastAsia="ＭＳ ゴシック" w:cs="Times New Roman" w:asciiTheme="majorAscii" w:hAnsiTheme="majorAscii" w:eastAsiaTheme="majorEastAsia" w:cstheme="majorBidi"/>
      <w:sz w:val="56"/>
      <w:szCs w:val="56"/>
    </w:rPr>
    <w:pPr>
      <w:spacing w:after="80" w:line="240" w:lineRule="auto"/>
      <w:contextualSpacing/>
    </w:pPr>
  </w:style>
  <w:style w:type="paragraph" w:styleId="Heading1">
    <w:uiPriority w:val="9"/>
    <w:name w:val="heading 1"/>
    <w:basedOn w:val="Title"/>
    <w:next w:val="Normal"/>
    <w:qFormat/>
    <w:rsid w:val="7684D3DB"/>
    <w:rPr>
      <w:rFonts w:ascii="Calibri" w:hAnsi="Calibri" w:eastAsia="Calibri" w:cs="Calibri"/>
      <w:b w:val="1"/>
      <w:bCs w:val="1"/>
      <w:sz w:val="32"/>
      <w:szCs w:val="32"/>
    </w:rPr>
    <w:pPr>
      <w:jc w:val="center"/>
    </w:pPr>
  </w:style>
  <w:style w:type="paragraph" w:styleId="Subtitle">
    <w:uiPriority w:val="11"/>
    <w:name w:val="Subtitle"/>
    <w:basedOn w:val="Normal"/>
    <w:next w:val="Normal"/>
    <w:qFormat/>
    <w:rsid w:val="3DBE51BC"/>
    <w:rPr>
      <w:rFonts w:eastAsia="ＭＳ ゴシック" w:cs="Times New Roman" w:eastAsiaTheme="majorEastAsia" w:cstheme="majorBidi"/>
      <w:color w:val="595959" w:themeColor="text1" w:themeTint="A6" w:themeShade="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https://www.mass.gov/info-details/policies-and-procedures" TargetMode="External" Id="R218b97985413410b" /><Relationship Type="http://schemas.openxmlformats.org/officeDocument/2006/relationships/hyperlink" Target="https://www.mass.gov/info-details/policies-and-procedures" TargetMode="External" Id="Rd1f898cc97f74cbb" /><Relationship Type="http://schemas.openxmlformats.org/officeDocument/2006/relationships/hyperlink" Target="https://www.mass.gov/doc/mova-data-and-performance-reporting-guide-0/download" TargetMode="External" Id="R886741455fa24c83" /><Relationship Type="http://schemas.openxmlformats.org/officeDocument/2006/relationships/hyperlink" Target="https://www.mass.gov/info-details/outcome-measurement-tool-omt" TargetMode="External" Id="R6c9b0acf733646e6" /><Relationship Type="http://schemas.openxmlformats.org/officeDocument/2006/relationships/hyperlink" Target="mailto:movastats@mass.gov" TargetMode="External" Id="R17693f36e4c843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5f759d-f0ff-4420-9f65-398a5f617c2e">
      <Terms xmlns="http://schemas.microsoft.com/office/infopath/2007/PartnerControls"/>
    </lcf76f155ced4ddcb4097134ff3c332f>
    <TaxCatchAll xmlns="274ef558-69ec-46f6-9da0-9805eca0e0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3377546C406D4AA28761526E5C07AC" ma:contentTypeVersion="12" ma:contentTypeDescription="Create a new document." ma:contentTypeScope="" ma:versionID="bacb85b51c4c391b9118e497ab2e8577">
  <xsd:schema xmlns:xsd="http://www.w3.org/2001/XMLSchema" xmlns:xs="http://www.w3.org/2001/XMLSchema" xmlns:p="http://schemas.microsoft.com/office/2006/metadata/properties" xmlns:ns2="625f759d-f0ff-4420-9f65-398a5f617c2e" xmlns:ns3="274ef558-69ec-46f6-9da0-9805eca0e004" targetNamespace="http://schemas.microsoft.com/office/2006/metadata/properties" ma:root="true" ma:fieldsID="c78afe57f6d749b8e36120a12e8faf3e" ns2:_="" ns3:_="">
    <xsd:import namespace="625f759d-f0ff-4420-9f65-398a5f617c2e"/>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f759d-f0ff-4420-9f65-398a5f617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B18DF-A90D-493F-9A80-DBB2E64F13DA}">
  <ds:schemaRefs>
    <ds:schemaRef ds:uri="http://schemas.microsoft.com/office/2006/metadata/properties"/>
    <ds:schemaRef ds:uri="http://schemas.microsoft.com/office/infopath/2007/PartnerControls"/>
    <ds:schemaRef ds:uri="625f759d-f0ff-4420-9f65-398a5f617c2e"/>
    <ds:schemaRef ds:uri="274ef558-69ec-46f6-9da0-9805eca0e004"/>
  </ds:schemaRefs>
</ds:datastoreItem>
</file>

<file path=customXml/itemProps2.xml><?xml version="1.0" encoding="utf-8"?>
<ds:datastoreItem xmlns:ds="http://schemas.openxmlformats.org/officeDocument/2006/customXml" ds:itemID="{7827F7A3-06CB-4E3D-8CAA-1FA4F96B216A}">
  <ds:schemaRefs>
    <ds:schemaRef ds:uri="http://schemas.openxmlformats.org/officeDocument/2006/bibliography"/>
  </ds:schemaRefs>
</ds:datastoreItem>
</file>

<file path=customXml/itemProps3.xml><?xml version="1.0" encoding="utf-8"?>
<ds:datastoreItem xmlns:ds="http://schemas.openxmlformats.org/officeDocument/2006/customXml" ds:itemID="{355B6B7D-0024-4BD4-970B-81A42DEAE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f759d-f0ff-4420-9f65-398a5f617c2e"/>
    <ds:schemaRef ds:uri="274ef558-69ec-46f6-9da0-9805eca0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1DEFB-FB09-4626-96D8-A9186099C56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Coraly.Igiraneza@mass.gov</dc:creator>
  <keywords/>
  <dc:description/>
  <lastModifiedBy>Moran, Merrimac (VWA)</lastModifiedBy>
  <revision>362</revision>
  <dcterms:created xsi:type="dcterms:W3CDTF">2026-02-12T16:29:00.0000000Z</dcterms:created>
  <dcterms:modified xsi:type="dcterms:W3CDTF">2026-06-12T18:51:36.7178718Z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0x010100103377546C406D4AA28761526E5C07AC</vt:lpwstr>
  </property>
  <property fmtid="{D5CDD505-2E9C-101B-9397-08002B2CF9AE}" pid="3" name="MediaServiceImageTags">
    <vt:lpwstr/>
  </property>
</Properties>
</file>