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7395" w:rsidTr="00C57395">
        <w:trPr>
          <w:trHeight w:val="629"/>
        </w:trPr>
        <w:tc>
          <w:tcPr>
            <w:tcW w:w="4675" w:type="dxa"/>
          </w:tcPr>
          <w:p w:rsidR="00C57395" w:rsidRDefault="00C57395" w:rsidP="00C57395">
            <w:pPr>
              <w:spacing w:before="269" w:line="274" w:lineRule="exact"/>
              <w:ind w:right="1085"/>
              <w:rPr>
                <w:b/>
                <w:bCs/>
                <w:color w:val="2C2C2C"/>
                <w:spacing w:val="2"/>
                <w:sz w:val="23"/>
                <w:szCs w:val="23"/>
              </w:rPr>
            </w:pPr>
            <w:r w:rsidRPr="00C57395">
              <w:rPr>
                <w:b/>
                <w:bCs/>
                <w:color w:val="2C2C2C"/>
                <w:spacing w:val="2"/>
                <w:sz w:val="23"/>
                <w:szCs w:val="23"/>
              </w:rPr>
              <w:t>Res</w:t>
            </w:r>
            <w:r>
              <w:rPr>
                <w:b/>
                <w:bCs/>
                <w:color w:val="2C2C2C"/>
                <w:spacing w:val="2"/>
                <w:sz w:val="23"/>
                <w:szCs w:val="23"/>
              </w:rPr>
              <w:t>idential &amp; Placement Licensing</w:t>
            </w:r>
          </w:p>
        </w:tc>
        <w:tc>
          <w:tcPr>
            <w:tcW w:w="4675" w:type="dxa"/>
          </w:tcPr>
          <w:p w:rsidR="00C57395" w:rsidRPr="00C57395" w:rsidRDefault="00C57395" w:rsidP="00C57395">
            <w:pPr>
              <w:spacing w:before="269" w:line="274" w:lineRule="exact"/>
              <w:ind w:right="1085"/>
              <w:rPr>
                <w:bCs/>
                <w:color w:val="2C2C2C"/>
                <w:spacing w:val="2"/>
                <w:sz w:val="23"/>
                <w:szCs w:val="23"/>
                <w:u w:val="single"/>
              </w:rPr>
            </w:pPr>
            <w:r w:rsidRPr="00C57395">
              <w:rPr>
                <w:bCs/>
                <w:color w:val="2C2C2C"/>
                <w:spacing w:val="2"/>
                <w:sz w:val="23"/>
                <w:szCs w:val="23"/>
                <w:u w:val="single"/>
              </w:rPr>
              <w:t>Public Approval</w:t>
            </w:r>
          </w:p>
        </w:tc>
      </w:tr>
      <w:tr w:rsidR="00C57395" w:rsidTr="00C57395">
        <w:tc>
          <w:tcPr>
            <w:tcW w:w="4675" w:type="dxa"/>
            <w:tcBorders>
              <w:bottom w:val="single" w:sz="4" w:space="0" w:color="auto"/>
            </w:tcBorders>
          </w:tcPr>
          <w:p w:rsidR="00C57395" w:rsidRDefault="00C57395" w:rsidP="00C57395">
            <w:pPr>
              <w:spacing w:before="269" w:line="274" w:lineRule="exact"/>
              <w:ind w:right="1085"/>
              <w:rPr>
                <w:b/>
                <w:bCs/>
                <w:color w:val="2C2C2C"/>
                <w:spacing w:val="2"/>
                <w:sz w:val="23"/>
                <w:szCs w:val="23"/>
              </w:rPr>
            </w:pPr>
            <w:r>
              <w:rPr>
                <w:b/>
                <w:bCs/>
                <w:color w:val="2C2C2C"/>
                <w:spacing w:val="2"/>
                <w:sz w:val="23"/>
                <w:szCs w:val="23"/>
              </w:rPr>
              <w:t>POLICY STATEMENT</w:t>
            </w:r>
          </w:p>
        </w:tc>
        <w:tc>
          <w:tcPr>
            <w:tcW w:w="4675" w:type="dxa"/>
            <w:tcBorders>
              <w:bottom w:val="single" w:sz="4" w:space="0" w:color="auto"/>
            </w:tcBorders>
          </w:tcPr>
          <w:p w:rsidR="00C57395" w:rsidRPr="00C57395" w:rsidRDefault="00C57395" w:rsidP="00C57395">
            <w:pPr>
              <w:spacing w:before="269" w:line="274" w:lineRule="exact"/>
              <w:ind w:right="1085"/>
              <w:rPr>
                <w:bCs/>
                <w:color w:val="2C2C2C"/>
                <w:spacing w:val="2"/>
                <w:sz w:val="23"/>
                <w:szCs w:val="23"/>
              </w:rPr>
            </w:pPr>
            <w:r w:rsidRPr="00C57395">
              <w:rPr>
                <w:bCs/>
                <w:color w:val="2C2C2C"/>
                <w:spacing w:val="2"/>
                <w:sz w:val="23"/>
                <w:szCs w:val="23"/>
              </w:rPr>
              <w:t>Number:  P-ECC-05</w:t>
            </w:r>
          </w:p>
        </w:tc>
      </w:tr>
    </w:tbl>
    <w:p w:rsidR="00C57395" w:rsidRDefault="00C57395" w:rsidP="00C57395">
      <w:pPr>
        <w:shd w:val="clear" w:color="auto" w:fill="FFFFFF"/>
        <w:tabs>
          <w:tab w:val="left" w:pos="3610"/>
        </w:tabs>
        <w:spacing w:before="10"/>
        <w:rPr>
          <w:sz w:val="2"/>
          <w:szCs w:val="2"/>
        </w:rPr>
      </w:pPr>
    </w:p>
    <w:p w:rsidR="00C57395" w:rsidRPr="00C57395" w:rsidRDefault="00C57395" w:rsidP="00C57395">
      <w:pPr>
        <w:shd w:val="clear" w:color="auto" w:fill="FFFFFF"/>
        <w:spacing w:after="168" w:line="312" w:lineRule="atLeast"/>
        <w:textAlignment w:val="baseline"/>
        <w:rPr>
          <w:rFonts w:ascii="inherit" w:eastAsia="Times New Roman" w:hAnsi="inherit" w:cs="Arial"/>
          <w:color w:val="000000"/>
          <w:sz w:val="18"/>
          <w:szCs w:val="18"/>
        </w:rPr>
      </w:pPr>
      <w:r w:rsidRPr="00C57395">
        <w:rPr>
          <w:rFonts w:ascii="inherit" w:eastAsia="Times New Roman" w:hAnsi="inherit" w:cs="Arial"/>
          <w:color w:val="000000"/>
          <w:sz w:val="18"/>
          <w:szCs w:val="18"/>
        </w:rPr>
        <w:t xml:space="preserve">When a child care, residential or placement program operated by a political subdivision of the Commonwealth or a department, agency or institution of the Commonwealth seeks licensure, it will be issued a </w:t>
      </w:r>
      <w:r w:rsidRPr="00C57395">
        <w:rPr>
          <w:rFonts w:ascii="inherit" w:eastAsia="Times New Roman" w:hAnsi="inherit" w:cs="Arial"/>
          <w:i/>
          <w:iCs/>
          <w:color w:val="000000"/>
          <w:sz w:val="18"/>
          <w:szCs w:val="18"/>
        </w:rPr>
        <w:t>public approval</w:t>
      </w:r>
      <w:r w:rsidRPr="00C57395">
        <w:rPr>
          <w:rFonts w:ascii="inherit" w:eastAsia="Times New Roman" w:hAnsi="inherit" w:cs="Arial"/>
          <w:color w:val="000000"/>
          <w:sz w:val="18"/>
          <w:szCs w:val="18"/>
        </w:rPr>
        <w:t xml:space="preserve"> (rather than a license) when it complies with relevant licensing standards.</w:t>
      </w:r>
    </w:p>
    <w:p w:rsidR="00C57395" w:rsidRPr="00C57395" w:rsidRDefault="00C57395" w:rsidP="00C57395">
      <w:pPr>
        <w:shd w:val="clear" w:color="auto" w:fill="FFFFFF"/>
        <w:spacing w:before="96" w:after="168" w:line="312" w:lineRule="atLeast"/>
        <w:textAlignment w:val="baseline"/>
        <w:rPr>
          <w:rFonts w:ascii="inherit" w:eastAsia="Times New Roman" w:hAnsi="inherit" w:cs="Arial"/>
          <w:color w:val="000000"/>
          <w:sz w:val="18"/>
          <w:szCs w:val="18"/>
        </w:rPr>
      </w:pPr>
      <w:r w:rsidRPr="00C57395">
        <w:rPr>
          <w:rFonts w:ascii="inherit" w:eastAsia="Times New Roman" w:hAnsi="inherit" w:cs="Arial"/>
          <w:color w:val="000000"/>
          <w:sz w:val="18"/>
          <w:szCs w:val="18"/>
        </w:rPr>
        <w:t xml:space="preserve">Applications for licensure </w:t>
      </w:r>
      <w:r w:rsidRPr="00C57395">
        <w:rPr>
          <w:rFonts w:ascii="inherit" w:eastAsia="Times New Roman" w:hAnsi="inherit" w:cs="Arial"/>
          <w:b/>
          <w:bCs/>
          <w:color w:val="000000"/>
          <w:sz w:val="18"/>
          <w:szCs w:val="18"/>
        </w:rPr>
        <w:t>submitted by political subdivision of the Commonwealth</w:t>
      </w:r>
      <w:r w:rsidRPr="00C57395">
        <w:rPr>
          <w:rFonts w:ascii="inherit" w:eastAsia="Times New Roman" w:hAnsi="inherit" w:cs="Arial"/>
          <w:color w:val="000000"/>
          <w:sz w:val="18"/>
          <w:szCs w:val="18"/>
        </w:rPr>
        <w:t>, such as towns and cities or the agencies or departments of towns or cities must be accompanied by an application fee as required by EEC. Examples of these organizations might include the Recreation Department of the City of Fitchburg, or the Town of Franklin.</w:t>
      </w:r>
    </w:p>
    <w:p w:rsidR="00C57395" w:rsidRPr="00C57395" w:rsidRDefault="00C57395" w:rsidP="00C57395">
      <w:pPr>
        <w:shd w:val="clear" w:color="auto" w:fill="FFFFFF"/>
        <w:spacing w:before="96" w:line="312" w:lineRule="atLeast"/>
        <w:textAlignment w:val="baseline"/>
        <w:rPr>
          <w:rFonts w:ascii="inherit" w:eastAsia="Times New Roman" w:hAnsi="inherit" w:cs="Arial"/>
          <w:color w:val="000000"/>
          <w:sz w:val="18"/>
          <w:szCs w:val="18"/>
        </w:rPr>
      </w:pPr>
      <w:r w:rsidRPr="00C57395">
        <w:rPr>
          <w:rFonts w:ascii="inherit" w:eastAsia="Times New Roman" w:hAnsi="inherit" w:cs="Arial"/>
          <w:color w:val="000000"/>
          <w:sz w:val="18"/>
          <w:szCs w:val="18"/>
        </w:rPr>
        <w:t xml:space="preserve">Applications for licensure </w:t>
      </w:r>
      <w:r w:rsidRPr="00C57395">
        <w:rPr>
          <w:rFonts w:ascii="inherit" w:eastAsia="Times New Roman" w:hAnsi="inherit" w:cs="Arial"/>
          <w:b/>
          <w:bCs/>
          <w:color w:val="000000"/>
          <w:sz w:val="18"/>
          <w:szCs w:val="18"/>
        </w:rPr>
        <w:t>submitted by a department, agency or institution of the Commonwealth</w:t>
      </w:r>
      <w:r w:rsidRPr="00C57395">
        <w:rPr>
          <w:rFonts w:ascii="inherit" w:eastAsia="Times New Roman" w:hAnsi="inherit" w:cs="Arial"/>
          <w:color w:val="000000"/>
          <w:sz w:val="18"/>
          <w:szCs w:val="18"/>
        </w:rPr>
        <w:t xml:space="preserve"> need</w:t>
      </w:r>
      <w:r w:rsidRPr="00C57395">
        <w:rPr>
          <w:rFonts w:ascii="inherit" w:eastAsia="Times New Roman" w:hAnsi="inherit" w:cs="Arial"/>
          <w:b/>
          <w:bCs/>
          <w:color w:val="000000"/>
          <w:sz w:val="18"/>
          <w:szCs w:val="18"/>
        </w:rPr>
        <w:t xml:space="preserve"> not</w:t>
      </w:r>
      <w:r w:rsidRPr="00C57395">
        <w:rPr>
          <w:rFonts w:ascii="inherit" w:eastAsia="Times New Roman" w:hAnsi="inherit" w:cs="Arial"/>
          <w:color w:val="000000"/>
          <w:sz w:val="18"/>
          <w:szCs w:val="18"/>
        </w:rPr>
        <w:t xml:space="preserve"> include an application fee. Examples of these organizations include but are not limited to the Department of Social Services, the Department of Youth Services, and the University of Massachusetts.</w:t>
      </w:r>
    </w:p>
    <w:p w:rsidR="00C57395" w:rsidRPr="00C57395" w:rsidRDefault="00C57395" w:rsidP="00C57395">
      <w:pPr>
        <w:shd w:val="clear" w:color="auto" w:fill="FFFFFF"/>
        <w:tabs>
          <w:tab w:val="left" w:pos="3610"/>
        </w:tabs>
        <w:spacing w:before="10"/>
        <w:rPr>
          <w:sz w:val="2"/>
          <w:szCs w:val="2"/>
        </w:rPr>
      </w:pPr>
      <w:bookmarkStart w:id="0" w:name="_GoBack"/>
      <w:bookmarkEnd w:id="0"/>
    </w:p>
    <w:sectPr w:rsidR="00C57395" w:rsidRPr="00C573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3F" w:rsidRDefault="00DA4F3F" w:rsidP="00C57395">
      <w:pPr>
        <w:spacing w:after="0" w:line="240" w:lineRule="auto"/>
      </w:pPr>
      <w:r>
        <w:separator/>
      </w:r>
    </w:p>
  </w:endnote>
  <w:endnote w:type="continuationSeparator" w:id="0">
    <w:p w:rsidR="00DA4F3F" w:rsidRDefault="00DA4F3F" w:rsidP="00C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3F" w:rsidRDefault="00DA4F3F" w:rsidP="00C57395">
      <w:pPr>
        <w:spacing w:after="0" w:line="240" w:lineRule="auto"/>
      </w:pPr>
      <w:r>
        <w:separator/>
      </w:r>
    </w:p>
  </w:footnote>
  <w:footnote w:type="continuationSeparator" w:id="0">
    <w:p w:rsidR="00DA4F3F" w:rsidRDefault="00DA4F3F" w:rsidP="00C5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95" w:rsidRPr="00701BDD" w:rsidRDefault="00C57395" w:rsidP="00C57395">
    <w:pPr>
      <w:shd w:val="clear" w:color="auto" w:fill="FFFFFF"/>
      <w:spacing w:before="125"/>
      <w:jc w:val="center"/>
      <w:rPr>
        <w:rFonts w:ascii="Arial" w:hAnsi="Arial"/>
        <w:b/>
      </w:rPr>
    </w:pPr>
    <w:r w:rsidRPr="00701BDD">
      <w:rPr>
        <w:rFonts w:ascii="Arial" w:hAnsi="Arial"/>
        <w:b/>
        <w:bCs/>
        <w:iCs/>
        <w:color w:val="2C2C2C"/>
        <w:spacing w:val="-1"/>
        <w:sz w:val="28"/>
        <w:szCs w:val="28"/>
      </w:rPr>
      <w:t>THE COMMONWEALTH OF MASSACHUSETTS</w:t>
    </w:r>
  </w:p>
  <w:p w:rsidR="00C57395" w:rsidRPr="00C57395" w:rsidRDefault="00C57395" w:rsidP="00C57395">
    <w:pPr>
      <w:shd w:val="clear" w:color="auto" w:fill="FFFFFF"/>
      <w:spacing w:line="274" w:lineRule="exact"/>
      <w:ind w:left="1603" w:right="1464"/>
      <w:jc w:val="center"/>
      <w:rPr>
        <w:rFonts w:ascii="Tahoma" w:hAnsi="Tahoma"/>
        <w:sz w:val="28"/>
      </w:rPr>
    </w:pPr>
    <w:r w:rsidRPr="00701BDD">
      <w:rPr>
        <w:rFonts w:ascii="Tahoma" w:hAnsi="Tahoma"/>
        <w:bCs/>
        <w:iCs/>
        <w:color w:val="2C2C2C"/>
        <w:spacing w:val="-7"/>
        <w:sz w:val="28"/>
        <w:szCs w:val="25"/>
      </w:rPr>
      <w:t>Department of Early Education and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95"/>
    <w:rsid w:val="002A0739"/>
    <w:rsid w:val="00C57395"/>
    <w:rsid w:val="00DA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01A85-D731-4AB4-9C6F-E23E3501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95"/>
  </w:style>
  <w:style w:type="paragraph" w:styleId="Footer">
    <w:name w:val="footer"/>
    <w:basedOn w:val="Normal"/>
    <w:link w:val="FooterChar"/>
    <w:uiPriority w:val="99"/>
    <w:unhideWhenUsed/>
    <w:rsid w:val="00C5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95"/>
  </w:style>
  <w:style w:type="table" w:styleId="TableGrid">
    <w:name w:val="Table Grid"/>
    <w:basedOn w:val="TableNormal"/>
    <w:uiPriority w:val="39"/>
    <w:rsid w:val="00C5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739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28392">
      <w:bodyDiv w:val="1"/>
      <w:marLeft w:val="0"/>
      <w:marRight w:val="0"/>
      <w:marTop w:val="0"/>
      <w:marBottom w:val="0"/>
      <w:divBdr>
        <w:top w:val="none" w:sz="0" w:space="0" w:color="auto"/>
        <w:left w:val="none" w:sz="0" w:space="0" w:color="auto"/>
        <w:bottom w:val="none" w:sz="0" w:space="0" w:color="auto"/>
        <w:right w:val="none" w:sz="0" w:space="0" w:color="auto"/>
      </w:divBdr>
      <w:divsChild>
        <w:div w:id="617879748">
          <w:marLeft w:val="150"/>
          <w:marRight w:val="150"/>
          <w:marTop w:val="240"/>
          <w:marBottom w:val="240"/>
          <w:divBdr>
            <w:top w:val="single" w:sz="6" w:space="0" w:color="B4C4D3"/>
            <w:left w:val="none" w:sz="0" w:space="0" w:color="auto"/>
            <w:bottom w:val="none" w:sz="0" w:space="0" w:color="auto"/>
            <w:right w:val="none" w:sz="0" w:space="0" w:color="auto"/>
          </w:divBdr>
          <w:divsChild>
            <w:div w:id="1846049234">
              <w:marLeft w:val="0"/>
              <w:marRight w:val="150"/>
              <w:marTop w:val="0"/>
              <w:marBottom w:val="0"/>
              <w:divBdr>
                <w:top w:val="none" w:sz="0" w:space="0" w:color="auto"/>
                <w:left w:val="none" w:sz="0" w:space="0" w:color="auto"/>
                <w:bottom w:val="none" w:sz="0" w:space="0" w:color="auto"/>
                <w:right w:val="none" w:sz="0" w:space="0" w:color="auto"/>
              </w:divBdr>
              <w:divsChild>
                <w:div w:id="20600080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4134379">
      <w:bodyDiv w:val="1"/>
      <w:marLeft w:val="0"/>
      <w:marRight w:val="0"/>
      <w:marTop w:val="0"/>
      <w:marBottom w:val="0"/>
      <w:divBdr>
        <w:top w:val="none" w:sz="0" w:space="0" w:color="auto"/>
        <w:left w:val="none" w:sz="0" w:space="0" w:color="auto"/>
        <w:bottom w:val="none" w:sz="0" w:space="0" w:color="auto"/>
        <w:right w:val="none" w:sz="0" w:space="0" w:color="auto"/>
      </w:divBdr>
      <w:divsChild>
        <w:div w:id="1767461144">
          <w:marLeft w:val="150"/>
          <w:marRight w:val="150"/>
          <w:marTop w:val="240"/>
          <w:marBottom w:val="240"/>
          <w:divBdr>
            <w:top w:val="single" w:sz="6" w:space="0" w:color="B4C4D3"/>
            <w:left w:val="none" w:sz="0" w:space="0" w:color="auto"/>
            <w:bottom w:val="none" w:sz="0" w:space="0" w:color="auto"/>
            <w:right w:val="none" w:sz="0" w:space="0" w:color="auto"/>
          </w:divBdr>
          <w:divsChild>
            <w:div w:id="1195003362">
              <w:marLeft w:val="0"/>
              <w:marRight w:val="150"/>
              <w:marTop w:val="0"/>
              <w:marBottom w:val="0"/>
              <w:divBdr>
                <w:top w:val="none" w:sz="0" w:space="0" w:color="auto"/>
                <w:left w:val="none" w:sz="0" w:space="0" w:color="auto"/>
                <w:bottom w:val="none" w:sz="0" w:space="0" w:color="auto"/>
                <w:right w:val="none" w:sz="0" w:space="0" w:color="auto"/>
              </w:divBdr>
              <w:divsChild>
                <w:div w:id="50154977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5856190">
      <w:bodyDiv w:val="1"/>
      <w:marLeft w:val="0"/>
      <w:marRight w:val="0"/>
      <w:marTop w:val="0"/>
      <w:marBottom w:val="0"/>
      <w:divBdr>
        <w:top w:val="none" w:sz="0" w:space="0" w:color="auto"/>
        <w:left w:val="none" w:sz="0" w:space="0" w:color="auto"/>
        <w:bottom w:val="none" w:sz="0" w:space="0" w:color="auto"/>
        <w:right w:val="none" w:sz="0" w:space="0" w:color="auto"/>
      </w:divBdr>
      <w:divsChild>
        <w:div w:id="881866966">
          <w:marLeft w:val="150"/>
          <w:marRight w:val="150"/>
          <w:marTop w:val="240"/>
          <w:marBottom w:val="240"/>
          <w:divBdr>
            <w:top w:val="single" w:sz="6" w:space="0" w:color="B4C4D3"/>
            <w:left w:val="none" w:sz="0" w:space="0" w:color="auto"/>
            <w:bottom w:val="none" w:sz="0" w:space="0" w:color="auto"/>
            <w:right w:val="none" w:sz="0" w:space="0" w:color="auto"/>
          </w:divBdr>
          <w:divsChild>
            <w:div w:id="10107693">
              <w:marLeft w:val="0"/>
              <w:marRight w:val="150"/>
              <w:marTop w:val="0"/>
              <w:marBottom w:val="0"/>
              <w:divBdr>
                <w:top w:val="none" w:sz="0" w:space="0" w:color="auto"/>
                <w:left w:val="none" w:sz="0" w:space="0" w:color="auto"/>
                <w:bottom w:val="none" w:sz="0" w:space="0" w:color="auto"/>
                <w:right w:val="none" w:sz="0" w:space="0" w:color="auto"/>
              </w:divBdr>
              <w:divsChild>
                <w:div w:id="94523524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Chenyi (EOE)</dc:creator>
  <cp:keywords/>
  <dc:description/>
  <cp:lastModifiedBy>Zhu, Chenyi (EOE)</cp:lastModifiedBy>
  <cp:revision>1</cp:revision>
  <dcterms:created xsi:type="dcterms:W3CDTF">2017-12-21T19:38:00Z</dcterms:created>
  <dcterms:modified xsi:type="dcterms:W3CDTF">2017-12-21T19:45:00Z</dcterms:modified>
</cp:coreProperties>
</file>