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ECE7" w14:textId="2F0E96EF" w:rsidR="00AF77C7" w:rsidRPr="00271FFE" w:rsidRDefault="00AF77C7" w:rsidP="003D321F">
      <w:pPr>
        <w:tabs>
          <w:tab w:val="center" w:pos="4680"/>
        </w:tabs>
        <w:suppressAutoHyphens/>
        <w:spacing w:line="260" w:lineRule="atLeast"/>
        <w:jc w:val="center"/>
        <w:rPr>
          <w:b/>
          <w:sz w:val="24"/>
          <w:szCs w:val="24"/>
        </w:rPr>
      </w:pPr>
      <w:r w:rsidRPr="00271FFE">
        <w:rPr>
          <w:b/>
          <w:sz w:val="24"/>
          <w:szCs w:val="24"/>
        </w:rPr>
        <w:t>Division of Medical Assistance</w:t>
      </w:r>
    </w:p>
    <w:p w14:paraId="0BAFD3E0" w14:textId="77777777" w:rsidR="00AF77C7" w:rsidRPr="00271FFE" w:rsidRDefault="00AF77C7" w:rsidP="003D321F">
      <w:pPr>
        <w:tabs>
          <w:tab w:val="center" w:pos="4680"/>
        </w:tabs>
        <w:suppressAutoHyphens/>
        <w:spacing w:line="260" w:lineRule="atLeast"/>
        <w:jc w:val="center"/>
        <w:rPr>
          <w:b/>
          <w:sz w:val="24"/>
          <w:szCs w:val="24"/>
        </w:rPr>
      </w:pPr>
    </w:p>
    <w:p w14:paraId="6D3036CA" w14:textId="5C8C413E" w:rsidR="003D321F" w:rsidRPr="00271FFE" w:rsidRDefault="003D321F" w:rsidP="003D321F">
      <w:pPr>
        <w:tabs>
          <w:tab w:val="center" w:pos="4680"/>
        </w:tabs>
        <w:suppressAutoHyphens/>
        <w:spacing w:line="260" w:lineRule="atLeast"/>
        <w:jc w:val="center"/>
        <w:rPr>
          <w:b/>
          <w:sz w:val="24"/>
          <w:szCs w:val="24"/>
        </w:rPr>
      </w:pPr>
      <w:r w:rsidRPr="00271FFE">
        <w:rPr>
          <w:b/>
          <w:sz w:val="24"/>
          <w:szCs w:val="24"/>
        </w:rPr>
        <w:t>Commonwealth of Massachusetts</w:t>
      </w:r>
    </w:p>
    <w:p w14:paraId="6DB2E635" w14:textId="77777777" w:rsidR="003D321F" w:rsidRPr="00271FFE" w:rsidRDefault="003D321F" w:rsidP="003D321F">
      <w:pPr>
        <w:tabs>
          <w:tab w:val="center" w:pos="4680"/>
        </w:tabs>
        <w:suppressAutoHyphens/>
        <w:spacing w:line="260" w:lineRule="atLeast"/>
        <w:jc w:val="center"/>
        <w:rPr>
          <w:b/>
          <w:sz w:val="24"/>
          <w:szCs w:val="24"/>
        </w:rPr>
      </w:pPr>
      <w:r w:rsidRPr="00271FFE">
        <w:rPr>
          <w:b/>
          <w:sz w:val="24"/>
          <w:szCs w:val="24"/>
        </w:rPr>
        <w:t>Office of Medicaid</w:t>
      </w:r>
    </w:p>
    <w:p w14:paraId="03365ECB" w14:textId="77777777" w:rsidR="003D321F" w:rsidRPr="00271FFE" w:rsidRDefault="003D321F" w:rsidP="003D321F">
      <w:pPr>
        <w:tabs>
          <w:tab w:val="center" w:pos="4680"/>
        </w:tabs>
        <w:suppressAutoHyphens/>
        <w:spacing w:line="260" w:lineRule="atLeast"/>
        <w:jc w:val="center"/>
        <w:rPr>
          <w:b/>
          <w:sz w:val="24"/>
          <w:szCs w:val="24"/>
        </w:rPr>
      </w:pPr>
    </w:p>
    <w:p w14:paraId="57DF35A3" w14:textId="77777777" w:rsidR="003D321F" w:rsidRPr="00271FFE" w:rsidRDefault="003D321F" w:rsidP="003D321F">
      <w:pPr>
        <w:tabs>
          <w:tab w:val="center" w:pos="4680"/>
        </w:tabs>
        <w:suppressAutoHyphens/>
        <w:spacing w:line="260" w:lineRule="atLeast"/>
        <w:jc w:val="center"/>
        <w:rPr>
          <w:b/>
          <w:sz w:val="24"/>
          <w:szCs w:val="24"/>
        </w:rPr>
      </w:pPr>
      <w:r w:rsidRPr="00271FFE">
        <w:rPr>
          <w:b/>
          <w:sz w:val="24"/>
          <w:szCs w:val="24"/>
        </w:rPr>
        <w:t>NOTICE OF PROPOSED AMENDMENT OF REGULATIONS</w:t>
      </w:r>
    </w:p>
    <w:p w14:paraId="538E095F" w14:textId="77777777" w:rsidR="003D321F" w:rsidRPr="00271FFE" w:rsidRDefault="003D321F" w:rsidP="003D321F">
      <w:pPr>
        <w:tabs>
          <w:tab w:val="left" w:pos="-720"/>
        </w:tabs>
        <w:suppressAutoHyphens/>
        <w:spacing w:line="260" w:lineRule="atLeast"/>
        <w:rPr>
          <w:sz w:val="24"/>
          <w:szCs w:val="24"/>
        </w:rPr>
      </w:pPr>
    </w:p>
    <w:p w14:paraId="0B0A6BD7" w14:textId="13AD9B5F" w:rsidR="005A2447" w:rsidRPr="00271FFE" w:rsidRDefault="003F430C" w:rsidP="00DA599E">
      <w:pPr>
        <w:tabs>
          <w:tab w:val="left" w:pos="-720"/>
        </w:tabs>
        <w:suppressAutoHyphens/>
        <w:rPr>
          <w:sz w:val="24"/>
          <w:szCs w:val="24"/>
        </w:rPr>
      </w:pPr>
      <w:r w:rsidRPr="00271FFE">
        <w:rPr>
          <w:sz w:val="24"/>
          <w:szCs w:val="24"/>
        </w:rPr>
        <w:t>Under</w:t>
      </w:r>
      <w:r w:rsidR="00537636" w:rsidRPr="00271FFE">
        <w:rPr>
          <w:sz w:val="24"/>
          <w:szCs w:val="24"/>
        </w:rPr>
        <w:t xml:space="preserve"> </w:t>
      </w:r>
      <w:r w:rsidR="003D321F" w:rsidRPr="00271FFE">
        <w:rPr>
          <w:sz w:val="24"/>
          <w:szCs w:val="24"/>
        </w:rPr>
        <w:t xml:space="preserve">the authority of M.G.L. c. 118E, ss. 7 and 12 and </w:t>
      </w:r>
      <w:r w:rsidR="00537636" w:rsidRPr="00271FFE">
        <w:rPr>
          <w:sz w:val="24"/>
          <w:szCs w:val="24"/>
        </w:rPr>
        <w:t>in accordance with</w:t>
      </w:r>
      <w:r w:rsidR="003D321F" w:rsidRPr="00271FFE">
        <w:rPr>
          <w:sz w:val="24"/>
          <w:szCs w:val="24"/>
        </w:rPr>
        <w:t xml:space="preserve"> M.G.L. c. 30A</w:t>
      </w:r>
      <w:r w:rsidR="00F22C2B" w:rsidRPr="00271FFE">
        <w:rPr>
          <w:sz w:val="24"/>
          <w:szCs w:val="24"/>
        </w:rPr>
        <w:t>, the Division of Medical Assistance (the Division) proposes to amend the following regulation</w:t>
      </w:r>
      <w:r w:rsidR="004C0320" w:rsidRPr="00271FFE">
        <w:rPr>
          <w:sz w:val="24"/>
          <w:szCs w:val="24"/>
        </w:rPr>
        <w:t>s</w:t>
      </w:r>
      <w:r w:rsidR="003D321F" w:rsidRPr="00271FFE">
        <w:rPr>
          <w:sz w:val="24"/>
          <w:szCs w:val="24"/>
        </w:rPr>
        <w:t xml:space="preserve">. </w:t>
      </w:r>
    </w:p>
    <w:p w14:paraId="29D7C0EB" w14:textId="77777777" w:rsidR="005A2447" w:rsidRPr="00271FFE" w:rsidRDefault="005A2447" w:rsidP="00DA599E">
      <w:pPr>
        <w:tabs>
          <w:tab w:val="left" w:pos="-720"/>
        </w:tabs>
        <w:suppressAutoHyphens/>
        <w:rPr>
          <w:sz w:val="24"/>
          <w:szCs w:val="24"/>
        </w:rPr>
      </w:pPr>
    </w:p>
    <w:p w14:paraId="2A694456" w14:textId="539E7489" w:rsidR="0081208E" w:rsidRPr="00271FFE" w:rsidRDefault="008D4860" w:rsidP="00DA599E">
      <w:pPr>
        <w:tabs>
          <w:tab w:val="left" w:pos="-720"/>
        </w:tabs>
        <w:suppressAutoHyphens/>
        <w:rPr>
          <w:b/>
          <w:bCs/>
          <w:sz w:val="24"/>
          <w:szCs w:val="24"/>
        </w:rPr>
      </w:pPr>
      <w:r w:rsidRPr="00271FFE">
        <w:rPr>
          <w:b/>
          <w:bCs/>
          <w:sz w:val="24"/>
          <w:szCs w:val="24"/>
        </w:rPr>
        <w:t>130 CMR</w:t>
      </w:r>
      <w:r w:rsidR="009D7BDA" w:rsidRPr="00271FFE">
        <w:rPr>
          <w:b/>
          <w:bCs/>
          <w:sz w:val="24"/>
          <w:szCs w:val="24"/>
        </w:rPr>
        <w:t xml:space="preserve"> </w:t>
      </w:r>
      <w:r w:rsidR="0081208E" w:rsidRPr="00271FFE">
        <w:rPr>
          <w:b/>
          <w:bCs/>
          <w:sz w:val="24"/>
          <w:szCs w:val="24"/>
        </w:rPr>
        <w:t>501.</w:t>
      </w:r>
      <w:r w:rsidR="009D7BDA" w:rsidRPr="00271FFE">
        <w:rPr>
          <w:b/>
          <w:bCs/>
          <w:sz w:val="24"/>
          <w:szCs w:val="24"/>
        </w:rPr>
        <w:t xml:space="preserve">000: </w:t>
      </w:r>
      <w:r w:rsidR="00515B15" w:rsidRPr="00271FFE">
        <w:rPr>
          <w:b/>
          <w:bCs/>
          <w:sz w:val="24"/>
          <w:szCs w:val="24"/>
        </w:rPr>
        <w:t xml:space="preserve"> </w:t>
      </w:r>
      <w:r w:rsidR="0081208E" w:rsidRPr="00271FFE">
        <w:rPr>
          <w:b/>
          <w:bCs/>
          <w:sz w:val="24"/>
          <w:szCs w:val="24"/>
        </w:rPr>
        <w:t>Health Care Reform: MassHealth: General Policies</w:t>
      </w:r>
    </w:p>
    <w:p w14:paraId="5510B87C" w14:textId="1314688A" w:rsidR="005A2447" w:rsidRPr="00271FFE" w:rsidRDefault="0081208E" w:rsidP="00DA599E">
      <w:pPr>
        <w:tabs>
          <w:tab w:val="left" w:pos="-720"/>
        </w:tabs>
        <w:suppressAutoHyphens/>
        <w:rPr>
          <w:b/>
          <w:bCs/>
          <w:sz w:val="24"/>
          <w:szCs w:val="24"/>
        </w:rPr>
      </w:pPr>
      <w:r w:rsidRPr="00271FFE">
        <w:rPr>
          <w:b/>
          <w:bCs/>
          <w:sz w:val="24"/>
          <w:szCs w:val="24"/>
        </w:rPr>
        <w:t>130 CMR 502.000:  Health Care Reform: MassHealth: Eligibility Process</w:t>
      </w:r>
    </w:p>
    <w:p w14:paraId="4CBFD489" w14:textId="757BEC6E" w:rsidR="0081208E" w:rsidRPr="00271FFE" w:rsidRDefault="0081208E" w:rsidP="00DA599E">
      <w:pPr>
        <w:tabs>
          <w:tab w:val="left" w:pos="-720"/>
        </w:tabs>
        <w:suppressAutoHyphens/>
        <w:rPr>
          <w:b/>
          <w:bCs/>
          <w:sz w:val="24"/>
          <w:szCs w:val="24"/>
        </w:rPr>
      </w:pPr>
      <w:r w:rsidRPr="00271FFE">
        <w:rPr>
          <w:b/>
          <w:bCs/>
          <w:sz w:val="24"/>
          <w:szCs w:val="24"/>
        </w:rPr>
        <w:t>130 CMR 503.000: Health Care Reform: MassHealth: Universal Eligibility Requirements</w:t>
      </w:r>
    </w:p>
    <w:p w14:paraId="076CA9D1" w14:textId="485B773B" w:rsidR="0081208E" w:rsidRPr="00271FFE" w:rsidRDefault="0081208E" w:rsidP="00DA599E">
      <w:pPr>
        <w:tabs>
          <w:tab w:val="left" w:pos="-720"/>
        </w:tabs>
        <w:suppressAutoHyphens/>
        <w:rPr>
          <w:b/>
          <w:bCs/>
          <w:sz w:val="24"/>
          <w:szCs w:val="24"/>
        </w:rPr>
      </w:pPr>
      <w:r w:rsidRPr="00271FFE">
        <w:rPr>
          <w:b/>
          <w:bCs/>
          <w:sz w:val="24"/>
          <w:szCs w:val="24"/>
        </w:rPr>
        <w:t>130 CMR 505.000: Health Care Reform: MassHealth: Coverage Types</w:t>
      </w:r>
    </w:p>
    <w:p w14:paraId="5A161ED1" w14:textId="77777777" w:rsidR="003D321F" w:rsidRPr="00E67435" w:rsidRDefault="003D321F" w:rsidP="00DA599E">
      <w:pPr>
        <w:tabs>
          <w:tab w:val="left" w:pos="-720"/>
        </w:tabs>
        <w:suppressAutoHyphens/>
        <w:rPr>
          <w:sz w:val="28"/>
          <w:szCs w:val="28"/>
        </w:rPr>
      </w:pPr>
    </w:p>
    <w:p w14:paraId="1DA915E3" w14:textId="3D268168" w:rsidR="003D321F" w:rsidRPr="007A5778" w:rsidRDefault="003D321F" w:rsidP="00DA599E">
      <w:pPr>
        <w:tabs>
          <w:tab w:val="left" w:pos="-720"/>
        </w:tabs>
        <w:suppressAutoHyphens/>
        <w:rPr>
          <w:sz w:val="24"/>
          <w:szCs w:val="24"/>
        </w:rPr>
      </w:pPr>
      <w:r w:rsidRPr="007A5778">
        <w:rPr>
          <w:sz w:val="24"/>
          <w:szCs w:val="24"/>
        </w:rPr>
        <w:t xml:space="preserve">It is anticipated that these amendments will not go into effect before </w:t>
      </w:r>
      <w:r w:rsidR="00F40A58" w:rsidRPr="00F37B4A">
        <w:rPr>
          <w:sz w:val="24"/>
          <w:szCs w:val="24"/>
        </w:rPr>
        <w:t>October 2025</w:t>
      </w:r>
      <w:r w:rsidRPr="00F37B4A">
        <w:rPr>
          <w:sz w:val="24"/>
          <w:szCs w:val="24"/>
        </w:rPr>
        <w:t>.</w:t>
      </w:r>
      <w:r w:rsidR="0099561A" w:rsidRPr="007A5778">
        <w:rPr>
          <w:sz w:val="24"/>
          <w:szCs w:val="24"/>
        </w:rPr>
        <w:t xml:space="preserve"> There is no fiscal impact on cities and towns.</w:t>
      </w:r>
    </w:p>
    <w:p w14:paraId="7A7BCAED" w14:textId="77777777" w:rsidR="00477D94" w:rsidRPr="00E67435" w:rsidRDefault="00477D94" w:rsidP="00DA599E">
      <w:pPr>
        <w:tabs>
          <w:tab w:val="left" w:pos="-720"/>
        </w:tabs>
        <w:suppressAutoHyphens/>
        <w:rPr>
          <w:sz w:val="28"/>
          <w:szCs w:val="22"/>
        </w:rPr>
      </w:pPr>
    </w:p>
    <w:p w14:paraId="75F9C808" w14:textId="2B4D223C" w:rsidR="00192929" w:rsidRPr="00E67435" w:rsidRDefault="00477D94" w:rsidP="00DA599E">
      <w:pPr>
        <w:rPr>
          <w:sz w:val="24"/>
          <w:szCs w:val="24"/>
        </w:rPr>
      </w:pPr>
      <w:r w:rsidRPr="00E67435">
        <w:rPr>
          <w:sz w:val="24"/>
          <w:szCs w:val="24"/>
        </w:rPr>
        <w:t xml:space="preserve">MassHealth </w:t>
      </w:r>
      <w:r w:rsidR="004C0320" w:rsidRPr="00E67435">
        <w:rPr>
          <w:sz w:val="24"/>
          <w:szCs w:val="24"/>
        </w:rPr>
        <w:t>proposes</w:t>
      </w:r>
      <w:r w:rsidRPr="00E67435">
        <w:rPr>
          <w:sz w:val="24"/>
          <w:szCs w:val="24"/>
        </w:rPr>
        <w:t xml:space="preserve"> the following amendments</w:t>
      </w:r>
      <w:r w:rsidR="00192929" w:rsidRPr="00E67435">
        <w:rPr>
          <w:sz w:val="24"/>
          <w:szCs w:val="24"/>
        </w:rPr>
        <w:t>.</w:t>
      </w:r>
      <w:r w:rsidRPr="00E67435">
        <w:rPr>
          <w:sz w:val="24"/>
          <w:szCs w:val="24"/>
        </w:rPr>
        <w:t xml:space="preserve"> </w:t>
      </w:r>
    </w:p>
    <w:p w14:paraId="251D350C" w14:textId="77777777" w:rsidR="00192929" w:rsidRPr="00E67435" w:rsidRDefault="00192929" w:rsidP="00DA599E">
      <w:pPr>
        <w:rPr>
          <w:sz w:val="24"/>
          <w:szCs w:val="24"/>
        </w:rPr>
      </w:pPr>
    </w:p>
    <w:p w14:paraId="49BC50C6" w14:textId="2D5A92E3" w:rsidR="00EA3628" w:rsidRPr="00D357AC" w:rsidRDefault="00477D94" w:rsidP="00DA599E">
      <w:pPr>
        <w:rPr>
          <w:b/>
          <w:bCs/>
          <w:sz w:val="24"/>
          <w:szCs w:val="24"/>
        </w:rPr>
      </w:pPr>
      <w:r w:rsidRPr="00D357AC">
        <w:rPr>
          <w:b/>
          <w:bCs/>
          <w:sz w:val="24"/>
          <w:szCs w:val="24"/>
        </w:rPr>
        <w:t>130 CMR 501</w:t>
      </w:r>
    </w:p>
    <w:p w14:paraId="427CA6AA" w14:textId="06C1E9CE" w:rsidR="00477D94" w:rsidRPr="00E67435" w:rsidRDefault="00477D94" w:rsidP="00DA599E">
      <w:pPr>
        <w:pStyle w:val="ListParagraph"/>
        <w:numPr>
          <w:ilvl w:val="0"/>
          <w:numId w:val="1"/>
        </w:numPr>
        <w:spacing w:after="0" w:line="240" w:lineRule="auto"/>
        <w:rPr>
          <w:rFonts w:ascii="Arial" w:hAnsi="Arial" w:cs="Arial"/>
          <w:sz w:val="28"/>
          <w:szCs w:val="28"/>
        </w:rPr>
      </w:pPr>
      <w:r w:rsidRPr="00E67435">
        <w:rPr>
          <w:rFonts w:ascii="Arial" w:hAnsi="Arial" w:cs="Arial"/>
          <w:b/>
          <w:bCs/>
        </w:rPr>
        <w:t>Case File – Definitions</w:t>
      </w:r>
      <w:r w:rsidRPr="00F97DCA">
        <w:rPr>
          <w:rFonts w:ascii="Arial" w:hAnsi="Arial" w:cs="Arial"/>
        </w:rPr>
        <w:t>:</w:t>
      </w:r>
      <w:r w:rsidRPr="00E67435">
        <w:rPr>
          <w:rFonts w:ascii="Arial" w:hAnsi="Arial" w:cs="Arial"/>
        </w:rPr>
        <w:t xml:space="preserve"> </w:t>
      </w:r>
      <w:r w:rsidR="000A4486" w:rsidRPr="00E67435">
        <w:rPr>
          <w:rFonts w:ascii="Arial" w:hAnsi="Arial" w:cs="Arial"/>
        </w:rPr>
        <w:t>Remove</w:t>
      </w:r>
      <w:r w:rsidRPr="00E67435">
        <w:rPr>
          <w:rFonts w:ascii="Arial" w:hAnsi="Arial" w:cs="Arial"/>
        </w:rPr>
        <w:t xml:space="preserve"> language indicating that member account documentation is "permanent" to account for federal rules on case file retention.</w:t>
      </w:r>
    </w:p>
    <w:p w14:paraId="4312AA84" w14:textId="551A960A" w:rsidR="00477D94" w:rsidRPr="00E67435" w:rsidRDefault="00477D94" w:rsidP="00DA599E">
      <w:pPr>
        <w:pStyle w:val="ListParagraph"/>
        <w:numPr>
          <w:ilvl w:val="0"/>
          <w:numId w:val="1"/>
        </w:numPr>
        <w:spacing w:after="0" w:line="240" w:lineRule="auto"/>
        <w:rPr>
          <w:rFonts w:ascii="Arial" w:hAnsi="Arial" w:cs="Arial"/>
        </w:rPr>
      </w:pPr>
      <w:r w:rsidRPr="00E67435">
        <w:rPr>
          <w:rFonts w:ascii="Arial" w:hAnsi="Arial" w:cs="Arial"/>
          <w:b/>
          <w:bCs/>
        </w:rPr>
        <w:t>Continuous Eligibility – Definitions</w:t>
      </w:r>
      <w:r w:rsidRPr="00E67435">
        <w:rPr>
          <w:rFonts w:ascii="Arial" w:hAnsi="Arial" w:cs="Arial"/>
        </w:rPr>
        <w:t xml:space="preserve">: </w:t>
      </w:r>
      <w:r w:rsidR="00DD289D" w:rsidRPr="00E67435">
        <w:rPr>
          <w:rFonts w:ascii="Arial" w:hAnsi="Arial" w:cs="Arial"/>
        </w:rPr>
        <w:t>C</w:t>
      </w:r>
      <w:r w:rsidRPr="00E67435">
        <w:rPr>
          <w:rFonts w:ascii="Arial" w:hAnsi="Arial" w:cs="Arial"/>
        </w:rPr>
        <w:t>onform with changes proposed to 130 CMR 505 to reflect new continuous eligibility benefits for certain populations</w:t>
      </w:r>
      <w:r w:rsidR="007A5778">
        <w:rPr>
          <w:rFonts w:ascii="Arial" w:hAnsi="Arial" w:cs="Arial"/>
        </w:rPr>
        <w:t>.</w:t>
      </w:r>
      <w:r w:rsidRPr="00E67435">
        <w:rPr>
          <w:rFonts w:ascii="Arial" w:hAnsi="Arial" w:cs="Arial"/>
        </w:rPr>
        <w:t xml:space="preserve"> </w:t>
      </w:r>
    </w:p>
    <w:p w14:paraId="3E245854" w14:textId="2E6B2BC2" w:rsidR="00477D94" w:rsidRPr="00E67435" w:rsidRDefault="00477D94" w:rsidP="00DA599E">
      <w:pPr>
        <w:pStyle w:val="ListParagraph"/>
        <w:numPr>
          <w:ilvl w:val="0"/>
          <w:numId w:val="1"/>
        </w:numPr>
        <w:spacing w:after="0" w:line="240" w:lineRule="auto"/>
        <w:rPr>
          <w:rFonts w:ascii="Arial" w:hAnsi="Arial" w:cs="Arial"/>
        </w:rPr>
      </w:pPr>
      <w:r w:rsidRPr="00E67435">
        <w:rPr>
          <w:rFonts w:ascii="Arial" w:hAnsi="Arial" w:cs="Arial"/>
          <w:b/>
          <w:bCs/>
        </w:rPr>
        <w:t>Disabled – Definitions</w:t>
      </w:r>
      <w:r w:rsidRPr="00E67435">
        <w:rPr>
          <w:rFonts w:ascii="Arial" w:hAnsi="Arial" w:cs="Arial"/>
        </w:rPr>
        <w:t xml:space="preserve">: To reflect current practice, </w:t>
      </w:r>
      <w:r w:rsidR="004A0499" w:rsidRPr="00E67435">
        <w:rPr>
          <w:rFonts w:ascii="Arial" w:hAnsi="Arial" w:cs="Arial"/>
        </w:rPr>
        <w:t>amend</w:t>
      </w:r>
      <w:r w:rsidRPr="00E67435">
        <w:rPr>
          <w:rFonts w:ascii="Arial" w:hAnsi="Arial" w:cs="Arial"/>
        </w:rPr>
        <w:t xml:space="preserve"> the definition of "disabled" to align with the federal definition in Title XVI of the Social Security Act.</w:t>
      </w:r>
    </w:p>
    <w:p w14:paraId="135D6835" w14:textId="40C1D044" w:rsidR="00477D94" w:rsidRPr="00E67435" w:rsidRDefault="00477D94" w:rsidP="00DA599E">
      <w:pPr>
        <w:pStyle w:val="ListParagraph"/>
        <w:numPr>
          <w:ilvl w:val="0"/>
          <w:numId w:val="1"/>
        </w:numPr>
        <w:spacing w:after="0" w:line="240" w:lineRule="auto"/>
        <w:rPr>
          <w:rFonts w:ascii="Arial" w:hAnsi="Arial" w:cs="Arial"/>
        </w:rPr>
      </w:pPr>
      <w:r w:rsidRPr="00E67435">
        <w:rPr>
          <w:rFonts w:ascii="Arial" w:hAnsi="Arial" w:cs="Arial"/>
          <w:b/>
          <w:bCs/>
        </w:rPr>
        <w:t>FPL – Definitions</w:t>
      </w:r>
      <w:r w:rsidRPr="00E67435">
        <w:rPr>
          <w:rFonts w:ascii="Arial" w:hAnsi="Arial" w:cs="Arial"/>
        </w:rPr>
        <w:t xml:space="preserve">: MassHealth implements annual federal poverty level increases on March 1 each year to align with updates published in the Federal Register. </w:t>
      </w:r>
    </w:p>
    <w:p w14:paraId="01737CFE" w14:textId="77FAF238" w:rsidR="00477D94" w:rsidRPr="00E67435" w:rsidRDefault="00477D94" w:rsidP="00DA599E">
      <w:pPr>
        <w:pStyle w:val="ListParagraph"/>
        <w:numPr>
          <w:ilvl w:val="0"/>
          <w:numId w:val="1"/>
        </w:numPr>
        <w:spacing w:after="0" w:line="240" w:lineRule="auto"/>
        <w:rPr>
          <w:rFonts w:ascii="Arial" w:hAnsi="Arial" w:cs="Arial"/>
        </w:rPr>
      </w:pPr>
      <w:r w:rsidRPr="00E67435">
        <w:rPr>
          <w:rFonts w:ascii="Arial" w:hAnsi="Arial" w:cs="Arial"/>
          <w:b/>
          <w:bCs/>
        </w:rPr>
        <w:t>EAEDC</w:t>
      </w:r>
      <w:r w:rsidRPr="00E67435">
        <w:rPr>
          <w:rFonts w:ascii="Arial" w:hAnsi="Arial" w:cs="Arial"/>
        </w:rPr>
        <w:t>: MassHealth will provide all EAEDC referred eligible members with MassHealth Standard (the richest MassHealth benefit).</w:t>
      </w:r>
    </w:p>
    <w:p w14:paraId="468ED78B" w14:textId="720090F3" w:rsidR="00477D94" w:rsidRPr="00E67435" w:rsidRDefault="00477D94" w:rsidP="00DA599E">
      <w:pPr>
        <w:pStyle w:val="ListParagraph"/>
        <w:numPr>
          <w:ilvl w:val="0"/>
          <w:numId w:val="1"/>
        </w:numPr>
        <w:spacing w:after="0" w:line="240" w:lineRule="auto"/>
        <w:rPr>
          <w:rFonts w:ascii="Arial" w:hAnsi="Arial" w:cs="Arial"/>
        </w:rPr>
      </w:pPr>
      <w:r w:rsidRPr="00E67435">
        <w:rPr>
          <w:rFonts w:ascii="Arial" w:hAnsi="Arial" w:cs="Arial"/>
          <w:b/>
          <w:bCs/>
        </w:rPr>
        <w:t>Recoupment of Overpayments</w:t>
      </w:r>
      <w:r w:rsidRPr="00F97DCA">
        <w:rPr>
          <w:rFonts w:ascii="Arial" w:hAnsi="Arial" w:cs="Arial"/>
        </w:rPr>
        <w:t>:</w:t>
      </w:r>
      <w:r w:rsidRPr="00E67435">
        <w:rPr>
          <w:rFonts w:ascii="Arial" w:hAnsi="Arial" w:cs="Arial"/>
        </w:rPr>
        <w:t xml:space="preserve"> </w:t>
      </w:r>
      <w:r w:rsidR="00596274" w:rsidRPr="00E67435">
        <w:rPr>
          <w:rFonts w:ascii="Arial" w:hAnsi="Arial" w:cs="Arial"/>
        </w:rPr>
        <w:t>Remove</w:t>
      </w:r>
      <w:r w:rsidRPr="00E67435">
        <w:rPr>
          <w:rFonts w:ascii="Arial" w:hAnsi="Arial" w:cs="Arial"/>
        </w:rPr>
        <w:t xml:space="preserve"> language reserving the right to recoup overpayment for medical services. This aligns with recent CMS guidance and does not preclude MassHealth from recovering within the limits set by federal law.</w:t>
      </w:r>
    </w:p>
    <w:p w14:paraId="59FA79EB" w14:textId="22B2F023" w:rsidR="009971EC" w:rsidRPr="00E67435" w:rsidRDefault="009971EC" w:rsidP="00DA599E">
      <w:pPr>
        <w:rPr>
          <w:sz w:val="24"/>
          <w:szCs w:val="24"/>
        </w:rPr>
      </w:pPr>
    </w:p>
    <w:p w14:paraId="1E9DE207" w14:textId="45B32CE8" w:rsidR="00496D9D" w:rsidRPr="00D357AC" w:rsidRDefault="00DA20E0" w:rsidP="00DA599E">
      <w:pPr>
        <w:rPr>
          <w:b/>
          <w:bCs/>
          <w:sz w:val="24"/>
          <w:szCs w:val="24"/>
        </w:rPr>
      </w:pPr>
      <w:r w:rsidRPr="00D357AC">
        <w:rPr>
          <w:b/>
          <w:bCs/>
          <w:sz w:val="24"/>
          <w:szCs w:val="24"/>
        </w:rPr>
        <w:t>130 CMR 502</w:t>
      </w:r>
    </w:p>
    <w:p w14:paraId="5D966AAD" w14:textId="3EDA18CA" w:rsidR="00DA20E0" w:rsidRPr="00E67435" w:rsidRDefault="00DA20E0" w:rsidP="00DA599E">
      <w:pPr>
        <w:pStyle w:val="ListParagraph"/>
        <w:numPr>
          <w:ilvl w:val="0"/>
          <w:numId w:val="1"/>
        </w:numPr>
        <w:spacing w:after="0" w:line="240" w:lineRule="auto"/>
        <w:rPr>
          <w:rFonts w:ascii="Arial" w:hAnsi="Arial" w:cs="Arial"/>
        </w:rPr>
      </w:pPr>
      <w:r w:rsidRPr="00E67435">
        <w:rPr>
          <w:rFonts w:ascii="Arial" w:hAnsi="Arial" w:cs="Arial"/>
          <w:b/>
          <w:bCs/>
        </w:rPr>
        <w:t>Retroactive eligibility/Start dates</w:t>
      </w:r>
      <w:r w:rsidRPr="00E67435">
        <w:rPr>
          <w:rFonts w:ascii="Arial" w:hAnsi="Arial" w:cs="Arial"/>
        </w:rPr>
        <w:t xml:space="preserve">: Starting July 2025, all members will receive retroactive coverage up to the first day of the third month before the month of application if (i) covered medical services were received during such period, and (ii) the applicant would have been eligible at the time services were provided </w:t>
      </w:r>
      <w:r w:rsidRPr="00E67435">
        <w:rPr>
          <w:rFonts w:ascii="Arial" w:hAnsi="Arial" w:cs="Arial"/>
        </w:rPr>
        <w:lastRenderedPageBreak/>
        <w:t>(currently only available to certain groups). Otherwise, the coverage start date will default to the first day of the month of application</w:t>
      </w:r>
      <w:r w:rsidR="007A5778">
        <w:rPr>
          <w:rFonts w:ascii="Arial" w:hAnsi="Arial" w:cs="Arial"/>
        </w:rPr>
        <w:t>.</w:t>
      </w:r>
    </w:p>
    <w:p w14:paraId="6E874D2E" w14:textId="7766FB8D" w:rsidR="00DA20E0" w:rsidRPr="00E67435" w:rsidRDefault="00DA20E0" w:rsidP="00DA599E">
      <w:pPr>
        <w:pStyle w:val="ListParagraph"/>
        <w:numPr>
          <w:ilvl w:val="0"/>
          <w:numId w:val="1"/>
        </w:numPr>
        <w:spacing w:after="0" w:line="240" w:lineRule="auto"/>
        <w:rPr>
          <w:rFonts w:ascii="Arial" w:hAnsi="Arial" w:cs="Arial"/>
        </w:rPr>
      </w:pPr>
      <w:r w:rsidRPr="00E67435">
        <w:rPr>
          <w:rFonts w:ascii="Arial" w:hAnsi="Arial" w:cs="Arial"/>
          <w:b/>
          <w:bCs/>
        </w:rPr>
        <w:t>Family Assistance and Premium Assistance</w:t>
      </w:r>
      <w:r w:rsidRPr="00E67435">
        <w:rPr>
          <w:rFonts w:ascii="Arial" w:hAnsi="Arial" w:cs="Arial"/>
        </w:rPr>
        <w:t>: Remov</w:t>
      </w:r>
      <w:r w:rsidR="00DD0C27" w:rsidRPr="00E67435">
        <w:rPr>
          <w:rFonts w:ascii="Arial" w:hAnsi="Arial" w:cs="Arial"/>
        </w:rPr>
        <w:t>e</w:t>
      </w:r>
      <w:r w:rsidRPr="00E67435">
        <w:rPr>
          <w:rFonts w:ascii="Arial" w:hAnsi="Arial" w:cs="Arial"/>
        </w:rPr>
        <w:t xml:space="preserve"> obsolete language, as Family Assistance is no longer the only benefit that can potentially receive Premium Assistance.</w:t>
      </w:r>
    </w:p>
    <w:p w14:paraId="028760A8" w14:textId="712B4075" w:rsidR="00DA20E0" w:rsidRPr="00E67435" w:rsidRDefault="00DA20E0" w:rsidP="00DA599E">
      <w:pPr>
        <w:pStyle w:val="ListParagraph"/>
        <w:numPr>
          <w:ilvl w:val="0"/>
          <w:numId w:val="1"/>
        </w:numPr>
        <w:spacing w:after="0" w:line="240" w:lineRule="auto"/>
        <w:rPr>
          <w:rFonts w:ascii="Arial" w:hAnsi="Arial" w:cs="Arial"/>
        </w:rPr>
      </w:pPr>
      <w:r w:rsidRPr="00E67435">
        <w:rPr>
          <w:rFonts w:ascii="Arial" w:hAnsi="Arial" w:cs="Arial"/>
          <w:b/>
          <w:bCs/>
        </w:rPr>
        <w:t>Hospital Presumptive Eligibility Update</w:t>
      </w:r>
      <w:r w:rsidRPr="00E67435">
        <w:rPr>
          <w:rFonts w:ascii="Arial" w:hAnsi="Arial" w:cs="Arial"/>
        </w:rPr>
        <w:t xml:space="preserve">: </w:t>
      </w:r>
      <w:r w:rsidR="00DD0C27" w:rsidRPr="00E67435">
        <w:rPr>
          <w:rFonts w:ascii="Arial" w:hAnsi="Arial" w:cs="Arial"/>
        </w:rPr>
        <w:t xml:space="preserve">Add </w:t>
      </w:r>
      <w:r w:rsidRPr="00E67435">
        <w:rPr>
          <w:rFonts w:ascii="Arial" w:hAnsi="Arial" w:cs="Arial"/>
        </w:rPr>
        <w:t>CommonHealth to the coverage types available during a Hospital Presumptive Eligibility period.</w:t>
      </w:r>
    </w:p>
    <w:p w14:paraId="76F46C04" w14:textId="77126B57" w:rsidR="008743C4" w:rsidRPr="00E67435" w:rsidRDefault="00DA20E0" w:rsidP="00DA599E">
      <w:pPr>
        <w:pStyle w:val="ListParagraph"/>
        <w:numPr>
          <w:ilvl w:val="0"/>
          <w:numId w:val="1"/>
        </w:numPr>
        <w:spacing w:after="0" w:line="240" w:lineRule="auto"/>
        <w:rPr>
          <w:rFonts w:ascii="Arial" w:hAnsi="Arial" w:cs="Arial"/>
        </w:rPr>
      </w:pPr>
      <w:r w:rsidRPr="00E67435">
        <w:rPr>
          <w:rFonts w:ascii="Arial" w:hAnsi="Arial" w:cs="Arial"/>
          <w:b/>
          <w:bCs/>
        </w:rPr>
        <w:t>Ex Parte Renewals</w:t>
      </w:r>
      <w:r w:rsidRPr="00F97DCA">
        <w:rPr>
          <w:rFonts w:ascii="Arial" w:hAnsi="Arial" w:cs="Arial"/>
        </w:rPr>
        <w:t>:</w:t>
      </w:r>
      <w:r w:rsidRPr="00E67435">
        <w:rPr>
          <w:rFonts w:ascii="Arial" w:hAnsi="Arial" w:cs="Arial"/>
        </w:rPr>
        <w:t xml:space="preserve"> </w:t>
      </w:r>
      <w:r w:rsidR="00891EE3" w:rsidRPr="00E67435">
        <w:rPr>
          <w:rFonts w:ascii="Arial" w:hAnsi="Arial" w:cs="Arial"/>
        </w:rPr>
        <w:t>Perform</w:t>
      </w:r>
      <w:r w:rsidRPr="00E67435">
        <w:rPr>
          <w:rFonts w:ascii="Arial" w:hAnsi="Arial" w:cs="Arial"/>
        </w:rPr>
        <w:t xml:space="preserve"> annual autorenewals at the individual member level instead of by household.</w:t>
      </w:r>
    </w:p>
    <w:p w14:paraId="359A298F" w14:textId="6EE69AFD" w:rsidR="001D2DDB" w:rsidRPr="00E67435" w:rsidRDefault="001D2DDB" w:rsidP="00DA599E">
      <w:pPr>
        <w:numPr>
          <w:ilvl w:val="0"/>
          <w:numId w:val="1"/>
        </w:numPr>
        <w:suppressAutoHyphens/>
        <w:rPr>
          <w:sz w:val="24"/>
          <w:szCs w:val="24"/>
        </w:rPr>
      </w:pPr>
      <w:r w:rsidRPr="00E67435">
        <w:rPr>
          <w:b/>
          <w:bCs/>
          <w:sz w:val="24"/>
          <w:szCs w:val="24"/>
        </w:rPr>
        <w:t>Utilization of potential other benefits</w:t>
      </w:r>
      <w:r w:rsidRPr="00F97DCA">
        <w:rPr>
          <w:sz w:val="24"/>
          <w:szCs w:val="24"/>
        </w:rPr>
        <w:t>:</w:t>
      </w:r>
      <w:r w:rsidRPr="00E67435">
        <w:rPr>
          <w:sz w:val="24"/>
          <w:szCs w:val="24"/>
        </w:rPr>
        <w:t xml:space="preserve"> </w:t>
      </w:r>
      <w:r w:rsidR="00347C9C" w:rsidRPr="00E67435">
        <w:rPr>
          <w:sz w:val="24"/>
          <w:szCs w:val="24"/>
        </w:rPr>
        <w:t>Eliminate</w:t>
      </w:r>
      <w:r w:rsidRPr="00E67435">
        <w:rPr>
          <w:sz w:val="24"/>
          <w:szCs w:val="24"/>
        </w:rPr>
        <w:t xml:space="preserve"> the requirement that individuals apply for other cash benefits for which they may be entitled as a condition of Medicaid eligibility (e.g., Social Security, retirement benefits, etc.).</w:t>
      </w:r>
    </w:p>
    <w:p w14:paraId="5875AA4F" w14:textId="77777777" w:rsidR="00607FF9" w:rsidRPr="00271FFE" w:rsidRDefault="00607FF9" w:rsidP="00DA599E">
      <w:pPr>
        <w:tabs>
          <w:tab w:val="left" w:pos="-720"/>
        </w:tabs>
        <w:suppressAutoHyphens/>
        <w:rPr>
          <w:sz w:val="24"/>
          <w:szCs w:val="24"/>
        </w:rPr>
      </w:pPr>
    </w:p>
    <w:p w14:paraId="61EC7504" w14:textId="7DAA7E72" w:rsidR="001D6478" w:rsidRPr="00E67435" w:rsidRDefault="001D6478" w:rsidP="00DA599E">
      <w:pPr>
        <w:suppressAutoHyphens/>
        <w:rPr>
          <w:rFonts w:eastAsiaTheme="minorHAnsi"/>
          <w:b/>
          <w:bCs/>
          <w:sz w:val="28"/>
          <w:szCs w:val="28"/>
        </w:rPr>
      </w:pPr>
      <w:r w:rsidRPr="00E67435">
        <w:rPr>
          <w:rFonts w:eastAsiaTheme="minorHAnsi"/>
          <w:b/>
          <w:bCs/>
          <w:sz w:val="24"/>
          <w:szCs w:val="24"/>
        </w:rPr>
        <w:t>130 CMR 503</w:t>
      </w:r>
    </w:p>
    <w:p w14:paraId="47520620" w14:textId="2354BAEC" w:rsidR="001D6478" w:rsidRPr="00E67435" w:rsidRDefault="001D6478" w:rsidP="00DA599E">
      <w:pPr>
        <w:numPr>
          <w:ilvl w:val="0"/>
          <w:numId w:val="1"/>
        </w:numPr>
        <w:suppressAutoHyphens/>
        <w:rPr>
          <w:sz w:val="24"/>
          <w:szCs w:val="24"/>
        </w:rPr>
      </w:pPr>
      <w:r w:rsidRPr="00E67435">
        <w:rPr>
          <w:b/>
          <w:bCs/>
          <w:sz w:val="24"/>
          <w:szCs w:val="24"/>
        </w:rPr>
        <w:t>Utilization of potential other benefits</w:t>
      </w:r>
      <w:r w:rsidRPr="00F97DCA">
        <w:rPr>
          <w:sz w:val="24"/>
          <w:szCs w:val="24"/>
        </w:rPr>
        <w:t>:</w:t>
      </w:r>
      <w:r w:rsidRPr="00E67435">
        <w:rPr>
          <w:sz w:val="24"/>
          <w:szCs w:val="24"/>
        </w:rPr>
        <w:t xml:space="preserve"> </w:t>
      </w:r>
      <w:r w:rsidR="008D2FFD" w:rsidRPr="00E67435">
        <w:rPr>
          <w:sz w:val="24"/>
          <w:szCs w:val="24"/>
        </w:rPr>
        <w:t>Eliminate</w:t>
      </w:r>
      <w:r w:rsidRPr="00E67435">
        <w:rPr>
          <w:sz w:val="24"/>
          <w:szCs w:val="24"/>
        </w:rPr>
        <w:t xml:space="preserve"> the requirement that individuals apply for other cash benefits for which they may be entitled as a condition of Medicaid eligibility (e.g., Social Security, retirement benefits, etc.).</w:t>
      </w:r>
    </w:p>
    <w:p w14:paraId="0368A5B6" w14:textId="77777777" w:rsidR="008F31EF" w:rsidRPr="00271FFE" w:rsidRDefault="008F31EF" w:rsidP="00DA599E">
      <w:pPr>
        <w:tabs>
          <w:tab w:val="left" w:pos="-720"/>
        </w:tabs>
        <w:suppressAutoHyphens/>
        <w:rPr>
          <w:sz w:val="24"/>
          <w:szCs w:val="24"/>
        </w:rPr>
      </w:pPr>
    </w:p>
    <w:p w14:paraId="35137610" w14:textId="00925EBB" w:rsidR="00607FF9" w:rsidRPr="00E67435" w:rsidRDefault="00607FF9" w:rsidP="00DA599E">
      <w:pPr>
        <w:suppressAutoHyphens/>
        <w:rPr>
          <w:rFonts w:eastAsiaTheme="minorHAnsi"/>
          <w:b/>
          <w:bCs/>
          <w:sz w:val="24"/>
          <w:szCs w:val="24"/>
        </w:rPr>
      </w:pPr>
      <w:r w:rsidRPr="00E67435">
        <w:rPr>
          <w:rFonts w:eastAsiaTheme="minorHAnsi"/>
          <w:b/>
          <w:bCs/>
          <w:sz w:val="24"/>
          <w:szCs w:val="24"/>
        </w:rPr>
        <w:t>130 CMR 505</w:t>
      </w:r>
    </w:p>
    <w:p w14:paraId="46A503BA" w14:textId="26D82607" w:rsidR="00607FF9" w:rsidRPr="00E67435" w:rsidRDefault="00607FF9" w:rsidP="00DA599E">
      <w:pPr>
        <w:numPr>
          <w:ilvl w:val="0"/>
          <w:numId w:val="1"/>
        </w:numPr>
        <w:suppressAutoHyphens/>
        <w:rPr>
          <w:sz w:val="24"/>
          <w:szCs w:val="24"/>
        </w:rPr>
      </w:pPr>
      <w:r w:rsidRPr="00E67435">
        <w:rPr>
          <w:b/>
          <w:bCs/>
          <w:sz w:val="24"/>
          <w:szCs w:val="24"/>
        </w:rPr>
        <w:t>Continuous Eligibility</w:t>
      </w:r>
      <w:r w:rsidRPr="00F97DCA">
        <w:rPr>
          <w:sz w:val="24"/>
          <w:szCs w:val="24"/>
        </w:rPr>
        <w:t>:</w:t>
      </w:r>
      <w:r w:rsidRPr="00E67435">
        <w:rPr>
          <w:sz w:val="24"/>
          <w:szCs w:val="24"/>
        </w:rPr>
        <w:t xml:space="preserve"> </w:t>
      </w:r>
      <w:r w:rsidR="003637A0" w:rsidRPr="00E67435">
        <w:rPr>
          <w:sz w:val="24"/>
          <w:szCs w:val="24"/>
        </w:rPr>
        <w:t>Provide</w:t>
      </w:r>
      <w:r w:rsidRPr="00E67435">
        <w:rPr>
          <w:sz w:val="24"/>
          <w:szCs w:val="24"/>
        </w:rPr>
        <w:t xml:space="preserve"> (i) 12-months continuous coverage regardless of change in circumstances for children younger than 19 and individuals released from a correctional institution; and (ii) 24-months continuous coverage regardless of change in circumstances for all homeless individuals.</w:t>
      </w:r>
    </w:p>
    <w:p w14:paraId="438CCE16" w14:textId="0493B14D" w:rsidR="00607FF9" w:rsidRPr="00E67435" w:rsidRDefault="00607FF9" w:rsidP="00DA599E">
      <w:pPr>
        <w:numPr>
          <w:ilvl w:val="0"/>
          <w:numId w:val="1"/>
        </w:numPr>
        <w:suppressAutoHyphens/>
        <w:rPr>
          <w:sz w:val="24"/>
          <w:szCs w:val="24"/>
        </w:rPr>
      </w:pPr>
      <w:r w:rsidRPr="00E67435">
        <w:rPr>
          <w:b/>
          <w:bCs/>
          <w:sz w:val="24"/>
          <w:szCs w:val="24"/>
          <w:shd w:val="clear" w:color="auto" w:fill="FFFFFF"/>
        </w:rPr>
        <w:t>TMA Start Date</w:t>
      </w:r>
      <w:r w:rsidRPr="00F97DCA">
        <w:rPr>
          <w:sz w:val="24"/>
          <w:szCs w:val="24"/>
          <w:shd w:val="clear" w:color="auto" w:fill="FFFFFF"/>
        </w:rPr>
        <w:t>:</w:t>
      </w:r>
      <w:r w:rsidRPr="00E67435">
        <w:rPr>
          <w:sz w:val="24"/>
          <w:szCs w:val="24"/>
          <w:shd w:val="clear" w:color="auto" w:fill="FFFFFF"/>
        </w:rPr>
        <w:t xml:space="preserve"> </w:t>
      </w:r>
      <w:r w:rsidR="003637A0" w:rsidRPr="00E67435">
        <w:rPr>
          <w:sz w:val="24"/>
          <w:szCs w:val="24"/>
          <w:shd w:val="clear" w:color="auto" w:fill="FFFFFF"/>
        </w:rPr>
        <w:t>M</w:t>
      </w:r>
      <w:r w:rsidRPr="00E67435">
        <w:rPr>
          <w:sz w:val="24"/>
          <w:szCs w:val="24"/>
          <w:shd w:val="clear" w:color="auto" w:fill="FFFFFF"/>
        </w:rPr>
        <w:t>embers eligible for 12 months transitional medical assistance (TMA) must begin their 12-month TMA period the month after a state (i) determines that an individual has experienced a TMA-qualifying event; and (ii) has provided the individual with advance notice. Under current practice, we begin the TMA period when the TMA-qualifying event occurred. </w:t>
      </w:r>
    </w:p>
    <w:p w14:paraId="0BCB01D4" w14:textId="31847816" w:rsidR="00607FF9" w:rsidRPr="00E67435" w:rsidRDefault="00607FF9" w:rsidP="00DA599E">
      <w:pPr>
        <w:numPr>
          <w:ilvl w:val="0"/>
          <w:numId w:val="1"/>
        </w:numPr>
        <w:suppressAutoHyphens/>
        <w:rPr>
          <w:sz w:val="24"/>
          <w:szCs w:val="24"/>
        </w:rPr>
      </w:pPr>
      <w:r w:rsidRPr="00E67435">
        <w:rPr>
          <w:b/>
          <w:bCs/>
          <w:sz w:val="24"/>
          <w:szCs w:val="24"/>
          <w:shd w:val="clear" w:color="auto" w:fill="FFFFFF"/>
        </w:rPr>
        <w:t>EAEDC</w:t>
      </w:r>
      <w:r w:rsidRPr="00E67435">
        <w:rPr>
          <w:sz w:val="24"/>
          <w:szCs w:val="24"/>
          <w:shd w:val="clear" w:color="auto" w:fill="FFFFFF"/>
        </w:rPr>
        <w:t xml:space="preserve">: </w:t>
      </w:r>
      <w:r w:rsidR="003637A0" w:rsidRPr="00E67435">
        <w:rPr>
          <w:sz w:val="24"/>
          <w:szCs w:val="24"/>
          <w:shd w:val="clear" w:color="auto" w:fill="FFFFFF"/>
        </w:rPr>
        <w:t>Provide</w:t>
      </w:r>
      <w:r w:rsidRPr="00E67435">
        <w:rPr>
          <w:sz w:val="24"/>
          <w:szCs w:val="24"/>
          <w:shd w:val="clear" w:color="auto" w:fill="FFFFFF"/>
        </w:rPr>
        <w:t xml:space="preserve"> all EAEDC referred eligible members with MassHealth Standard (the richest MassHealth benefit).</w:t>
      </w:r>
    </w:p>
    <w:p w14:paraId="0611E1B5" w14:textId="41FFAFBF" w:rsidR="00607FF9" w:rsidRPr="00E67435" w:rsidRDefault="00607FF9" w:rsidP="00DA599E">
      <w:pPr>
        <w:numPr>
          <w:ilvl w:val="0"/>
          <w:numId w:val="1"/>
        </w:numPr>
        <w:suppressAutoHyphens/>
        <w:rPr>
          <w:sz w:val="24"/>
          <w:szCs w:val="24"/>
        </w:rPr>
      </w:pPr>
      <w:r w:rsidRPr="00E67435">
        <w:rPr>
          <w:b/>
          <w:bCs/>
          <w:sz w:val="24"/>
          <w:szCs w:val="24"/>
          <w:shd w:val="clear" w:color="auto" w:fill="FFFFFF"/>
        </w:rPr>
        <w:t>C</w:t>
      </w:r>
      <w:r w:rsidRPr="00E67435">
        <w:rPr>
          <w:b/>
          <w:bCs/>
          <w:sz w:val="24"/>
          <w:szCs w:val="24"/>
        </w:rPr>
        <w:t>ommonHealth</w:t>
      </w:r>
      <w:r w:rsidRPr="00E67435">
        <w:rPr>
          <w:sz w:val="24"/>
          <w:szCs w:val="24"/>
        </w:rPr>
        <w:t>: CommonHealth members younger than 65 are no longer required to work or meet a one-time deductible.</w:t>
      </w:r>
    </w:p>
    <w:p w14:paraId="67FE88A7" w14:textId="77777777" w:rsidR="00E67435" w:rsidRDefault="00E67435" w:rsidP="00C47FF8">
      <w:pPr>
        <w:tabs>
          <w:tab w:val="left" w:pos="-720"/>
        </w:tabs>
        <w:suppressAutoHyphens/>
        <w:spacing w:line="260" w:lineRule="atLeast"/>
        <w:rPr>
          <w:sz w:val="24"/>
          <w:szCs w:val="24"/>
        </w:rPr>
      </w:pPr>
    </w:p>
    <w:p w14:paraId="3B8A2105" w14:textId="4B33D8ED" w:rsidR="00C47FF8" w:rsidRPr="00C47FF8" w:rsidRDefault="00C47FF8" w:rsidP="00C47FF8">
      <w:pPr>
        <w:tabs>
          <w:tab w:val="left" w:pos="-720"/>
        </w:tabs>
        <w:suppressAutoHyphens/>
        <w:spacing w:line="260" w:lineRule="atLeast"/>
        <w:rPr>
          <w:sz w:val="24"/>
          <w:szCs w:val="24"/>
        </w:rPr>
      </w:pPr>
      <w:r w:rsidRPr="00C47FF8">
        <w:rPr>
          <w:sz w:val="24"/>
          <w:szCs w:val="24"/>
        </w:rPr>
        <w:t>In addition, all five amended regulations include the following changes.</w:t>
      </w:r>
    </w:p>
    <w:p w14:paraId="4BF6C434" w14:textId="21937780" w:rsidR="00C47FF8" w:rsidRPr="00E67435" w:rsidRDefault="00C47FF8" w:rsidP="00DA599E">
      <w:pPr>
        <w:pStyle w:val="ListParagraph"/>
        <w:numPr>
          <w:ilvl w:val="0"/>
          <w:numId w:val="2"/>
        </w:numPr>
        <w:tabs>
          <w:tab w:val="left" w:pos="-720"/>
        </w:tabs>
        <w:spacing w:after="0" w:line="240" w:lineRule="auto"/>
        <w:rPr>
          <w:rFonts w:ascii="Arial" w:hAnsi="Arial" w:cs="Arial"/>
        </w:rPr>
      </w:pPr>
      <w:r w:rsidRPr="00E67435">
        <w:rPr>
          <w:rFonts w:ascii="Arial" w:hAnsi="Arial" w:cs="Arial"/>
        </w:rPr>
        <w:t>Add a severability clause to align with other MassHealth regulations.</w:t>
      </w:r>
    </w:p>
    <w:p w14:paraId="12B64120" w14:textId="0F442FF7" w:rsidR="00C47FF8" w:rsidRPr="00E67435" w:rsidRDefault="00C47FF8" w:rsidP="00DA599E">
      <w:pPr>
        <w:pStyle w:val="ListParagraph"/>
        <w:numPr>
          <w:ilvl w:val="0"/>
          <w:numId w:val="2"/>
        </w:numPr>
        <w:tabs>
          <w:tab w:val="left" w:pos="-720"/>
        </w:tabs>
        <w:spacing w:after="0" w:line="240" w:lineRule="auto"/>
        <w:rPr>
          <w:rFonts w:ascii="Arial" w:hAnsi="Arial" w:cs="Arial"/>
        </w:rPr>
      </w:pPr>
      <w:r w:rsidRPr="00E67435">
        <w:rPr>
          <w:rFonts w:ascii="Arial" w:hAnsi="Arial" w:cs="Arial"/>
        </w:rPr>
        <w:t>Update chapter titles to distinguish between modified adjusted gross income (MAGI) and non-MAGI methodologies.</w:t>
      </w:r>
    </w:p>
    <w:p w14:paraId="74ED1A73" w14:textId="77777777" w:rsidR="00C47FF8" w:rsidRPr="00E67435" w:rsidRDefault="00C47FF8" w:rsidP="00DA599E">
      <w:pPr>
        <w:pStyle w:val="ListParagraph"/>
        <w:numPr>
          <w:ilvl w:val="0"/>
          <w:numId w:val="2"/>
        </w:numPr>
        <w:tabs>
          <w:tab w:val="left" w:pos="-720"/>
        </w:tabs>
        <w:spacing w:after="0" w:line="240" w:lineRule="auto"/>
        <w:rPr>
          <w:rFonts w:ascii="Arial" w:hAnsi="Arial" w:cs="Arial"/>
        </w:rPr>
      </w:pPr>
      <w:r w:rsidRPr="00E67435">
        <w:rPr>
          <w:rFonts w:ascii="Arial" w:hAnsi="Arial" w:cs="Arial"/>
        </w:rPr>
        <w:t>Broaden the regulatory authority citation to M.G.L. c. 118E instead of citing specific sections within c. 118E to ensure that relevant sections not currently cited, such as Sec. 9 (Eligibility), are included.</w:t>
      </w:r>
    </w:p>
    <w:p w14:paraId="7AB976C2" w14:textId="77777777" w:rsidR="003D321F" w:rsidRPr="00271FFE" w:rsidRDefault="003D321F" w:rsidP="003D321F">
      <w:pPr>
        <w:tabs>
          <w:tab w:val="left" w:pos="-720"/>
        </w:tabs>
        <w:suppressAutoHyphens/>
        <w:spacing w:line="260" w:lineRule="atLeast"/>
        <w:rPr>
          <w:sz w:val="24"/>
          <w:szCs w:val="24"/>
        </w:rPr>
      </w:pPr>
    </w:p>
    <w:p w14:paraId="380DF3C0" w14:textId="0307F556" w:rsidR="00A66868" w:rsidRPr="00271FFE" w:rsidRDefault="00483C5F" w:rsidP="000E2FFB">
      <w:pPr>
        <w:tabs>
          <w:tab w:val="left" w:pos="-720"/>
        </w:tabs>
        <w:suppressAutoHyphens/>
        <w:spacing w:line="260" w:lineRule="atLeast"/>
        <w:rPr>
          <w:sz w:val="24"/>
          <w:szCs w:val="24"/>
        </w:rPr>
      </w:pPr>
      <w:r w:rsidRPr="00271FFE">
        <w:rPr>
          <w:sz w:val="24"/>
          <w:szCs w:val="24"/>
        </w:rPr>
        <w:t>T</w:t>
      </w:r>
      <w:r w:rsidR="003D321F" w:rsidRPr="00271FFE">
        <w:rPr>
          <w:sz w:val="24"/>
          <w:szCs w:val="24"/>
        </w:rPr>
        <w:t xml:space="preserve">o submit data, views, or arguments concerning these proposed </w:t>
      </w:r>
      <w:r w:rsidR="00470000" w:rsidRPr="00271FFE">
        <w:rPr>
          <w:sz w:val="24"/>
          <w:szCs w:val="24"/>
        </w:rPr>
        <w:t>amendments</w:t>
      </w:r>
      <w:r w:rsidR="00A947BC" w:rsidRPr="00271FFE">
        <w:rPr>
          <w:sz w:val="24"/>
          <w:szCs w:val="24"/>
        </w:rPr>
        <w:t>, please</w:t>
      </w:r>
      <w:r w:rsidR="003D321F" w:rsidRPr="00271FFE">
        <w:rPr>
          <w:sz w:val="24"/>
          <w:szCs w:val="24"/>
        </w:rPr>
        <w:t xml:space="preserve"> </w:t>
      </w:r>
      <w:r w:rsidR="00A66868" w:rsidRPr="00271FFE">
        <w:rPr>
          <w:sz w:val="24"/>
          <w:szCs w:val="24"/>
        </w:rPr>
        <w:t xml:space="preserve">email them to </w:t>
      </w:r>
      <w:hyperlink r:id="rId5" w:history="1">
        <w:r w:rsidR="00A66868" w:rsidRPr="00271FFE">
          <w:rPr>
            <w:rStyle w:val="Hyperlink"/>
            <w:color w:val="auto"/>
            <w:sz w:val="24"/>
            <w:szCs w:val="24"/>
          </w:rPr>
          <w:t>masshealthpublicnotice@mass.gov</w:t>
        </w:r>
      </w:hyperlink>
      <w:r w:rsidR="00A66868" w:rsidRPr="00271FFE">
        <w:rPr>
          <w:sz w:val="24"/>
          <w:szCs w:val="24"/>
        </w:rPr>
        <w:t xml:space="preserve"> as an attached Word or PDF document or as text within the body of the email with the name of the regulation in the subject line. All </w:t>
      </w:r>
      <w:r w:rsidR="005A2447" w:rsidRPr="00271FFE">
        <w:rPr>
          <w:sz w:val="24"/>
          <w:szCs w:val="24"/>
        </w:rPr>
        <w:t>submissions</w:t>
      </w:r>
      <w:r w:rsidR="00A66868" w:rsidRPr="00271FFE">
        <w:rPr>
          <w:sz w:val="24"/>
          <w:szCs w:val="24"/>
        </w:rPr>
        <w:t xml:space="preserve"> must include the sender’s full name, mailing address, and organization or affiliation, if any. Individuals who are unable to submit </w:t>
      </w:r>
      <w:r w:rsidR="005066BF" w:rsidRPr="00271FFE">
        <w:rPr>
          <w:sz w:val="24"/>
          <w:szCs w:val="24"/>
        </w:rPr>
        <w:t>comments</w:t>
      </w:r>
      <w:r w:rsidR="00A66868" w:rsidRPr="00271FFE">
        <w:rPr>
          <w:sz w:val="24"/>
          <w:szCs w:val="24"/>
        </w:rPr>
        <w:t xml:space="preserve"> by </w:t>
      </w:r>
      <w:r w:rsidR="00A66868" w:rsidRPr="00271FFE">
        <w:rPr>
          <w:sz w:val="24"/>
          <w:szCs w:val="24"/>
        </w:rPr>
        <w:lastRenderedPageBreak/>
        <w:t xml:space="preserve">email should mail </w:t>
      </w:r>
      <w:r w:rsidR="005066BF" w:rsidRPr="00271FFE">
        <w:rPr>
          <w:sz w:val="24"/>
          <w:szCs w:val="24"/>
        </w:rPr>
        <w:t>comments</w:t>
      </w:r>
      <w:r w:rsidR="00A66868" w:rsidRPr="00271FFE">
        <w:rPr>
          <w:sz w:val="24"/>
          <w:szCs w:val="24"/>
        </w:rPr>
        <w:t xml:space="preserve"> to EOHHS, c/o D. Briggs, 100 Hancock Street, 6</w:t>
      </w:r>
      <w:r w:rsidR="00A66868" w:rsidRPr="00271FFE">
        <w:rPr>
          <w:sz w:val="24"/>
          <w:szCs w:val="24"/>
          <w:vertAlign w:val="superscript"/>
        </w:rPr>
        <w:t>th</w:t>
      </w:r>
      <w:r w:rsidR="00A66868" w:rsidRPr="00271FFE">
        <w:rPr>
          <w:sz w:val="24"/>
          <w:szCs w:val="24"/>
        </w:rPr>
        <w:t xml:space="preserve"> Floor, Quincy, MA 02171. </w:t>
      </w:r>
      <w:r w:rsidR="005066BF" w:rsidRPr="00271FFE">
        <w:rPr>
          <w:sz w:val="24"/>
          <w:szCs w:val="24"/>
        </w:rPr>
        <w:t>Comments</w:t>
      </w:r>
      <w:r w:rsidR="00A66868" w:rsidRPr="00271FFE" w:rsidDel="004F78F1">
        <w:rPr>
          <w:sz w:val="24"/>
          <w:szCs w:val="24"/>
        </w:rPr>
        <w:t xml:space="preserve"> </w:t>
      </w:r>
      <w:r w:rsidR="002F114B" w:rsidRPr="00271FFE">
        <w:rPr>
          <w:sz w:val="24"/>
          <w:szCs w:val="24"/>
        </w:rPr>
        <w:t>will be accepted through</w:t>
      </w:r>
      <w:r w:rsidR="00A66868" w:rsidRPr="00271FFE" w:rsidDel="004F78F1">
        <w:rPr>
          <w:sz w:val="24"/>
          <w:szCs w:val="24"/>
        </w:rPr>
        <w:t xml:space="preserve"> 5:00 p.m. on </w:t>
      </w:r>
      <w:r w:rsidR="004C7359" w:rsidRPr="00F37B4A">
        <w:rPr>
          <w:sz w:val="24"/>
          <w:szCs w:val="24"/>
        </w:rPr>
        <w:t>Friday, July 25</w:t>
      </w:r>
      <w:r w:rsidR="00271FFE" w:rsidRPr="00F37B4A">
        <w:rPr>
          <w:sz w:val="24"/>
          <w:szCs w:val="24"/>
        </w:rPr>
        <w:t>, 2025</w:t>
      </w:r>
      <w:r w:rsidR="00A66868" w:rsidRPr="00271FFE" w:rsidDel="004F78F1">
        <w:rPr>
          <w:sz w:val="24"/>
          <w:szCs w:val="24"/>
        </w:rPr>
        <w:t xml:space="preserve">. </w:t>
      </w:r>
      <w:r w:rsidR="00B50473" w:rsidRPr="00271FFE">
        <w:rPr>
          <w:sz w:val="24"/>
          <w:szCs w:val="24"/>
        </w:rPr>
        <w:t xml:space="preserve">The Division </w:t>
      </w:r>
      <w:r w:rsidR="00A66868" w:rsidRPr="00271FFE">
        <w:rPr>
          <w:sz w:val="24"/>
          <w:szCs w:val="24"/>
        </w:rPr>
        <w:t>specifically invites comments as to how the amendments may affect beneficiary access to care.</w:t>
      </w:r>
    </w:p>
    <w:p w14:paraId="0A4CEF96" w14:textId="77777777" w:rsidR="003D321F" w:rsidRPr="00271FFE" w:rsidRDefault="003D321F" w:rsidP="003D321F">
      <w:pPr>
        <w:tabs>
          <w:tab w:val="left" w:pos="-720"/>
        </w:tabs>
        <w:suppressAutoHyphens/>
        <w:spacing w:line="260" w:lineRule="atLeast"/>
        <w:rPr>
          <w:sz w:val="24"/>
          <w:szCs w:val="24"/>
        </w:rPr>
      </w:pPr>
    </w:p>
    <w:p w14:paraId="448FF102" w14:textId="1EB240A6" w:rsidR="003D321F" w:rsidRPr="00271FFE" w:rsidRDefault="003D321F" w:rsidP="003D321F">
      <w:pPr>
        <w:rPr>
          <w:rFonts w:eastAsia="Calibri"/>
          <w:sz w:val="24"/>
          <w:szCs w:val="24"/>
        </w:rPr>
      </w:pPr>
      <w:r w:rsidRPr="00271FFE">
        <w:rPr>
          <w:sz w:val="24"/>
          <w:szCs w:val="24"/>
        </w:rPr>
        <w:t xml:space="preserve">All persons desiring to review the current draft of the proposed </w:t>
      </w:r>
      <w:r w:rsidR="00DE6A81" w:rsidRPr="00271FFE">
        <w:rPr>
          <w:sz w:val="24"/>
          <w:szCs w:val="24"/>
        </w:rPr>
        <w:t xml:space="preserve">regulation </w:t>
      </w:r>
      <w:r w:rsidRPr="00271FFE">
        <w:rPr>
          <w:sz w:val="24"/>
          <w:szCs w:val="24"/>
        </w:rPr>
        <w:t xml:space="preserve">may go to </w:t>
      </w:r>
      <w:hyperlink r:id="rId6" w:history="1">
        <w:r w:rsidR="00236294" w:rsidRPr="00271FFE">
          <w:rPr>
            <w:rStyle w:val="Hyperlink"/>
            <w:color w:val="auto"/>
            <w:sz w:val="24"/>
            <w:szCs w:val="24"/>
          </w:rPr>
          <w:t>www.mass.gov/info-details/masshealth-public-notices</w:t>
        </w:r>
      </w:hyperlink>
      <w:r w:rsidRPr="00271FFE">
        <w:rPr>
          <w:sz w:val="24"/>
          <w:szCs w:val="24"/>
        </w:rPr>
        <w:t xml:space="preserve"> or request a copy in writing from MassHealth Publications, 100 Hancock Street, 6</w:t>
      </w:r>
      <w:r w:rsidRPr="00271FFE">
        <w:rPr>
          <w:sz w:val="24"/>
          <w:szCs w:val="24"/>
          <w:vertAlign w:val="superscript"/>
        </w:rPr>
        <w:t>th</w:t>
      </w:r>
      <w:r w:rsidRPr="00271FFE">
        <w:rPr>
          <w:sz w:val="24"/>
          <w:szCs w:val="24"/>
        </w:rPr>
        <w:t xml:space="preserve"> Floor, Quincy, M</w:t>
      </w:r>
      <w:r w:rsidR="005066BF" w:rsidRPr="00271FFE">
        <w:rPr>
          <w:sz w:val="24"/>
          <w:szCs w:val="24"/>
        </w:rPr>
        <w:t>A</w:t>
      </w:r>
      <w:r w:rsidRPr="00271FFE">
        <w:rPr>
          <w:sz w:val="24"/>
          <w:szCs w:val="24"/>
        </w:rPr>
        <w:t xml:space="preserve"> 02171.</w:t>
      </w:r>
    </w:p>
    <w:p w14:paraId="611DB74F" w14:textId="77777777" w:rsidR="003D321F" w:rsidRPr="00271FFE" w:rsidRDefault="003D321F" w:rsidP="003D321F">
      <w:pPr>
        <w:tabs>
          <w:tab w:val="left" w:pos="-720"/>
        </w:tabs>
        <w:suppressAutoHyphens/>
        <w:spacing w:line="260" w:lineRule="atLeast"/>
        <w:rPr>
          <w:sz w:val="24"/>
          <w:szCs w:val="24"/>
        </w:rPr>
      </w:pPr>
    </w:p>
    <w:p w14:paraId="4C0E4CE2" w14:textId="66ADAFB1" w:rsidR="003D321F" w:rsidRPr="00271FFE" w:rsidRDefault="005520DC" w:rsidP="003D321F">
      <w:pPr>
        <w:tabs>
          <w:tab w:val="left" w:pos="-720"/>
        </w:tabs>
        <w:suppressAutoHyphens/>
        <w:spacing w:line="260" w:lineRule="atLeast"/>
        <w:rPr>
          <w:sz w:val="24"/>
          <w:szCs w:val="24"/>
        </w:rPr>
      </w:pPr>
      <w:r w:rsidRPr="00271FFE">
        <w:rPr>
          <w:sz w:val="24"/>
          <w:szCs w:val="24"/>
        </w:rPr>
        <w:t xml:space="preserve">The Division </w:t>
      </w:r>
      <w:r w:rsidR="003D321F" w:rsidRPr="00271FFE">
        <w:rPr>
          <w:sz w:val="24"/>
          <w:szCs w:val="24"/>
        </w:rPr>
        <w:t xml:space="preserve">may adopt a revised version of the proposed </w:t>
      </w:r>
      <w:r w:rsidR="003101E0" w:rsidRPr="00271FFE">
        <w:rPr>
          <w:sz w:val="24"/>
          <w:szCs w:val="24"/>
        </w:rPr>
        <w:t xml:space="preserve">regulation </w:t>
      </w:r>
      <w:r w:rsidR="003D321F" w:rsidRPr="00271FFE">
        <w:rPr>
          <w:sz w:val="24"/>
          <w:szCs w:val="24"/>
        </w:rPr>
        <w:t xml:space="preserve">taking into account relevant comments and any other practical alternatives that come to </w:t>
      </w:r>
      <w:r w:rsidR="00894209" w:rsidRPr="00271FFE">
        <w:rPr>
          <w:sz w:val="24"/>
          <w:szCs w:val="24"/>
        </w:rPr>
        <w:t>its</w:t>
      </w:r>
      <w:r w:rsidR="003D321F" w:rsidRPr="00271FFE">
        <w:rPr>
          <w:sz w:val="24"/>
          <w:szCs w:val="24"/>
        </w:rPr>
        <w:t xml:space="preserve"> attention.</w:t>
      </w:r>
    </w:p>
    <w:p w14:paraId="5BA84541" w14:textId="77777777" w:rsidR="003D321F" w:rsidRPr="00271FFE" w:rsidRDefault="003D321F" w:rsidP="003D321F">
      <w:pPr>
        <w:tabs>
          <w:tab w:val="left" w:pos="-720"/>
        </w:tabs>
        <w:suppressAutoHyphens/>
        <w:spacing w:line="260" w:lineRule="atLeast"/>
        <w:rPr>
          <w:sz w:val="24"/>
          <w:szCs w:val="24"/>
        </w:rPr>
      </w:pPr>
    </w:p>
    <w:p w14:paraId="6175AF92" w14:textId="1070F309" w:rsidR="003D321F" w:rsidRPr="00271FFE" w:rsidRDefault="00DB74AD" w:rsidP="003D321F">
      <w:pPr>
        <w:tabs>
          <w:tab w:val="right" w:pos="9360"/>
        </w:tabs>
        <w:suppressAutoHyphens/>
        <w:spacing w:line="260" w:lineRule="atLeast"/>
        <w:rPr>
          <w:sz w:val="24"/>
          <w:szCs w:val="24"/>
        </w:rPr>
      </w:pPr>
      <w:r w:rsidRPr="00271FFE">
        <w:rPr>
          <w:sz w:val="24"/>
          <w:szCs w:val="24"/>
        </w:rPr>
        <w:t>July 3, 2025</w:t>
      </w:r>
    </w:p>
    <w:p w14:paraId="7ADD4F86" w14:textId="77777777" w:rsidR="003D321F" w:rsidRPr="00271FFE" w:rsidRDefault="003D321F" w:rsidP="003D321F">
      <w:pPr>
        <w:tabs>
          <w:tab w:val="left" w:pos="1440"/>
          <w:tab w:val="center" w:pos="4925"/>
        </w:tabs>
        <w:rPr>
          <w:sz w:val="24"/>
          <w:szCs w:val="24"/>
        </w:rPr>
      </w:pPr>
    </w:p>
    <w:p w14:paraId="1740BF91" w14:textId="77777777" w:rsidR="00FE710C" w:rsidRPr="00271FFE" w:rsidRDefault="00FE710C"/>
    <w:sectPr w:rsidR="00FE710C" w:rsidRPr="00271FFE" w:rsidSect="003D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4E1B"/>
    <w:multiLevelType w:val="hybridMultilevel"/>
    <w:tmpl w:val="6EC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83241"/>
    <w:multiLevelType w:val="hybridMultilevel"/>
    <w:tmpl w:val="0ED07F9C"/>
    <w:lvl w:ilvl="0" w:tplc="87843B4A">
      <w:start w:val="1"/>
      <w:numFmt w:val="bullet"/>
      <w:lvlText w:val=""/>
      <w:lvlJc w:val="left"/>
      <w:pPr>
        <w:ind w:left="720" w:hanging="360"/>
      </w:pPr>
      <w:rPr>
        <w:rFonts w:ascii="Symbol" w:hAnsi="Symbol" w:hint="default"/>
      </w:rPr>
    </w:lvl>
    <w:lvl w:ilvl="1" w:tplc="EB14E344">
      <w:start w:val="1"/>
      <w:numFmt w:val="bullet"/>
      <w:lvlText w:val="o"/>
      <w:lvlJc w:val="left"/>
      <w:pPr>
        <w:ind w:left="1440" w:hanging="360"/>
      </w:pPr>
      <w:rPr>
        <w:rFonts w:ascii="Courier New" w:hAnsi="Courier New" w:hint="default"/>
      </w:rPr>
    </w:lvl>
    <w:lvl w:ilvl="2" w:tplc="40A0B830">
      <w:start w:val="1"/>
      <w:numFmt w:val="bullet"/>
      <w:lvlText w:val=""/>
      <w:lvlJc w:val="left"/>
      <w:pPr>
        <w:ind w:left="2160" w:hanging="360"/>
      </w:pPr>
      <w:rPr>
        <w:rFonts w:ascii="Wingdings" w:hAnsi="Wingdings" w:hint="default"/>
      </w:rPr>
    </w:lvl>
    <w:lvl w:ilvl="3" w:tplc="A95E04D2">
      <w:start w:val="1"/>
      <w:numFmt w:val="bullet"/>
      <w:lvlText w:val=""/>
      <w:lvlJc w:val="left"/>
      <w:pPr>
        <w:ind w:left="2880" w:hanging="360"/>
      </w:pPr>
      <w:rPr>
        <w:rFonts w:ascii="Symbol" w:hAnsi="Symbol" w:hint="default"/>
      </w:rPr>
    </w:lvl>
    <w:lvl w:ilvl="4" w:tplc="245647FA">
      <w:start w:val="1"/>
      <w:numFmt w:val="bullet"/>
      <w:lvlText w:val="o"/>
      <w:lvlJc w:val="left"/>
      <w:pPr>
        <w:ind w:left="3600" w:hanging="360"/>
      </w:pPr>
      <w:rPr>
        <w:rFonts w:ascii="Courier New" w:hAnsi="Courier New" w:hint="default"/>
      </w:rPr>
    </w:lvl>
    <w:lvl w:ilvl="5" w:tplc="A72A8A18">
      <w:start w:val="1"/>
      <w:numFmt w:val="bullet"/>
      <w:lvlText w:val=""/>
      <w:lvlJc w:val="left"/>
      <w:pPr>
        <w:ind w:left="4320" w:hanging="360"/>
      </w:pPr>
      <w:rPr>
        <w:rFonts w:ascii="Wingdings" w:hAnsi="Wingdings" w:hint="default"/>
      </w:rPr>
    </w:lvl>
    <w:lvl w:ilvl="6" w:tplc="49DA8C22">
      <w:start w:val="1"/>
      <w:numFmt w:val="bullet"/>
      <w:lvlText w:val=""/>
      <w:lvlJc w:val="left"/>
      <w:pPr>
        <w:ind w:left="5040" w:hanging="360"/>
      </w:pPr>
      <w:rPr>
        <w:rFonts w:ascii="Symbol" w:hAnsi="Symbol" w:hint="default"/>
      </w:rPr>
    </w:lvl>
    <w:lvl w:ilvl="7" w:tplc="69488B38">
      <w:start w:val="1"/>
      <w:numFmt w:val="bullet"/>
      <w:lvlText w:val="o"/>
      <w:lvlJc w:val="left"/>
      <w:pPr>
        <w:ind w:left="5760" w:hanging="360"/>
      </w:pPr>
      <w:rPr>
        <w:rFonts w:ascii="Courier New" w:hAnsi="Courier New" w:hint="default"/>
      </w:rPr>
    </w:lvl>
    <w:lvl w:ilvl="8" w:tplc="6EF88426">
      <w:start w:val="1"/>
      <w:numFmt w:val="bullet"/>
      <w:lvlText w:val=""/>
      <w:lvlJc w:val="left"/>
      <w:pPr>
        <w:ind w:left="6480" w:hanging="360"/>
      </w:pPr>
      <w:rPr>
        <w:rFonts w:ascii="Wingdings" w:hAnsi="Wingdings" w:hint="default"/>
      </w:rPr>
    </w:lvl>
  </w:abstractNum>
  <w:num w:numId="1" w16cid:durableId="120343032">
    <w:abstractNumId w:val="1"/>
  </w:num>
  <w:num w:numId="2" w16cid:durableId="14123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1F"/>
    <w:rsid w:val="00066933"/>
    <w:rsid w:val="000812D7"/>
    <w:rsid w:val="00084E25"/>
    <w:rsid w:val="00095EE5"/>
    <w:rsid w:val="000A4486"/>
    <w:rsid w:val="000E2BAE"/>
    <w:rsid w:val="000E2FFB"/>
    <w:rsid w:val="00151D05"/>
    <w:rsid w:val="0017378D"/>
    <w:rsid w:val="00183937"/>
    <w:rsid w:val="00192929"/>
    <w:rsid w:val="001D2DDB"/>
    <w:rsid w:val="001D6478"/>
    <w:rsid w:val="002201B9"/>
    <w:rsid w:val="00236294"/>
    <w:rsid w:val="002654A9"/>
    <w:rsid w:val="00271FFE"/>
    <w:rsid w:val="0029016F"/>
    <w:rsid w:val="002C1AAE"/>
    <w:rsid w:val="002F114B"/>
    <w:rsid w:val="003101E0"/>
    <w:rsid w:val="00347C9C"/>
    <w:rsid w:val="003637A0"/>
    <w:rsid w:val="003B27CC"/>
    <w:rsid w:val="003D321F"/>
    <w:rsid w:val="003F430C"/>
    <w:rsid w:val="00432872"/>
    <w:rsid w:val="00470000"/>
    <w:rsid w:val="00477D94"/>
    <w:rsid w:val="00481536"/>
    <w:rsid w:val="00483C5F"/>
    <w:rsid w:val="00496D9D"/>
    <w:rsid w:val="004A0499"/>
    <w:rsid w:val="004C0320"/>
    <w:rsid w:val="004C7359"/>
    <w:rsid w:val="005066BF"/>
    <w:rsid w:val="00515B15"/>
    <w:rsid w:val="00534891"/>
    <w:rsid w:val="00537636"/>
    <w:rsid w:val="00537ACC"/>
    <w:rsid w:val="005520DC"/>
    <w:rsid w:val="00582151"/>
    <w:rsid w:val="00596274"/>
    <w:rsid w:val="005A2447"/>
    <w:rsid w:val="005C2E20"/>
    <w:rsid w:val="0060588B"/>
    <w:rsid w:val="00607FF9"/>
    <w:rsid w:val="00631630"/>
    <w:rsid w:val="00646F6A"/>
    <w:rsid w:val="00686EC8"/>
    <w:rsid w:val="006E3342"/>
    <w:rsid w:val="006E42A4"/>
    <w:rsid w:val="00712EE9"/>
    <w:rsid w:val="007540C2"/>
    <w:rsid w:val="007A1C25"/>
    <w:rsid w:val="007A5778"/>
    <w:rsid w:val="00803C77"/>
    <w:rsid w:val="00807D0A"/>
    <w:rsid w:val="0081208E"/>
    <w:rsid w:val="0082113C"/>
    <w:rsid w:val="00865132"/>
    <w:rsid w:val="008743C4"/>
    <w:rsid w:val="00891EE3"/>
    <w:rsid w:val="00894209"/>
    <w:rsid w:val="008D2FFD"/>
    <w:rsid w:val="008D4860"/>
    <w:rsid w:val="008E3921"/>
    <w:rsid w:val="008F31EF"/>
    <w:rsid w:val="00927B3A"/>
    <w:rsid w:val="0093458E"/>
    <w:rsid w:val="00985310"/>
    <w:rsid w:val="0099561A"/>
    <w:rsid w:val="009971EC"/>
    <w:rsid w:val="009A387C"/>
    <w:rsid w:val="009B49E0"/>
    <w:rsid w:val="009C3B05"/>
    <w:rsid w:val="009C77E3"/>
    <w:rsid w:val="009D7A10"/>
    <w:rsid w:val="009D7BDA"/>
    <w:rsid w:val="00A34730"/>
    <w:rsid w:val="00A65848"/>
    <w:rsid w:val="00A66868"/>
    <w:rsid w:val="00A67E50"/>
    <w:rsid w:val="00A8472C"/>
    <w:rsid w:val="00A92F5E"/>
    <w:rsid w:val="00A947BC"/>
    <w:rsid w:val="00AF2F2C"/>
    <w:rsid w:val="00AF77C7"/>
    <w:rsid w:val="00B00F60"/>
    <w:rsid w:val="00B2538C"/>
    <w:rsid w:val="00B50473"/>
    <w:rsid w:val="00BD390E"/>
    <w:rsid w:val="00BF03EC"/>
    <w:rsid w:val="00C47FF8"/>
    <w:rsid w:val="00C7136A"/>
    <w:rsid w:val="00CD2322"/>
    <w:rsid w:val="00D00D13"/>
    <w:rsid w:val="00D357AC"/>
    <w:rsid w:val="00D403A6"/>
    <w:rsid w:val="00DA20E0"/>
    <w:rsid w:val="00DA599E"/>
    <w:rsid w:val="00DB74AD"/>
    <w:rsid w:val="00DD0C27"/>
    <w:rsid w:val="00DD289D"/>
    <w:rsid w:val="00DE6A81"/>
    <w:rsid w:val="00DF6E52"/>
    <w:rsid w:val="00E04E02"/>
    <w:rsid w:val="00E634F9"/>
    <w:rsid w:val="00E67435"/>
    <w:rsid w:val="00E747EE"/>
    <w:rsid w:val="00E84812"/>
    <w:rsid w:val="00E85C63"/>
    <w:rsid w:val="00EA3628"/>
    <w:rsid w:val="00EB1133"/>
    <w:rsid w:val="00F07EE3"/>
    <w:rsid w:val="00F22C2B"/>
    <w:rsid w:val="00F37B4A"/>
    <w:rsid w:val="00F40A58"/>
    <w:rsid w:val="00F525A8"/>
    <w:rsid w:val="00F97DCA"/>
    <w:rsid w:val="00FA1A5C"/>
    <w:rsid w:val="00FE710C"/>
    <w:rsid w:val="00FE752A"/>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6D75"/>
  <w15:docId w15:val="{36452AC5-4B52-45AB-B8A8-97303647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1F"/>
    <w:pPr>
      <w:spacing w:line="240" w:lineRule="auto"/>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321F"/>
    <w:rPr>
      <w:color w:val="0000FF"/>
      <w:u w:val="single"/>
    </w:rPr>
  </w:style>
  <w:style w:type="paragraph" w:styleId="BalloonText">
    <w:name w:val="Balloon Text"/>
    <w:basedOn w:val="Normal"/>
    <w:link w:val="BalloonTextChar"/>
    <w:uiPriority w:val="99"/>
    <w:semiHidden/>
    <w:unhideWhenUsed/>
    <w:rsid w:val="00894209"/>
    <w:rPr>
      <w:rFonts w:ascii="Tahoma" w:hAnsi="Tahoma" w:cs="Tahoma"/>
      <w:sz w:val="16"/>
      <w:szCs w:val="16"/>
    </w:rPr>
  </w:style>
  <w:style w:type="character" w:customStyle="1" w:styleId="BalloonTextChar">
    <w:name w:val="Balloon Text Char"/>
    <w:basedOn w:val="DefaultParagraphFont"/>
    <w:link w:val="BalloonText"/>
    <w:uiPriority w:val="99"/>
    <w:semiHidden/>
    <w:rsid w:val="0089420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095EE5"/>
    <w:rPr>
      <w:color w:val="605E5C"/>
      <w:shd w:val="clear" w:color="auto" w:fill="E1DFDD"/>
    </w:rPr>
  </w:style>
  <w:style w:type="character" w:styleId="FollowedHyperlink">
    <w:name w:val="FollowedHyperlink"/>
    <w:basedOn w:val="DefaultParagraphFont"/>
    <w:uiPriority w:val="99"/>
    <w:semiHidden/>
    <w:unhideWhenUsed/>
    <w:rsid w:val="00236294"/>
    <w:rPr>
      <w:color w:val="800080" w:themeColor="followedHyperlink"/>
      <w:u w:val="single"/>
    </w:rPr>
  </w:style>
  <w:style w:type="table" w:styleId="TableGrid">
    <w:name w:val="Table Grid"/>
    <w:basedOn w:val="TableNormal"/>
    <w:rsid w:val="00DA20E0"/>
    <w:pPr>
      <w:suppressAutoHyphens/>
      <w:spacing w:after="20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20E0"/>
    <w:pPr>
      <w:suppressAutoHyphens/>
      <w:spacing w:after="80" w:line="276" w:lineRule="auto"/>
      <w:ind w:left="720"/>
    </w:pPr>
    <w:rPr>
      <w:rFonts w:ascii="Times New Roman" w:hAnsi="Times New Roman" w:cs="Times New Roman"/>
      <w:sz w:val="24"/>
      <w:szCs w:val="24"/>
    </w:rPr>
  </w:style>
  <w:style w:type="character" w:customStyle="1" w:styleId="normaltextrun">
    <w:name w:val="normaltextrun"/>
    <w:basedOn w:val="DefaultParagraphFont"/>
    <w:rsid w:val="00DA20E0"/>
  </w:style>
  <w:style w:type="character" w:customStyle="1" w:styleId="eop">
    <w:name w:val="eop"/>
    <w:basedOn w:val="DefaultParagraphFont"/>
    <w:rsid w:val="00DA20E0"/>
  </w:style>
  <w:style w:type="paragraph" w:styleId="Revision">
    <w:name w:val="Revision"/>
    <w:hidden/>
    <w:uiPriority w:val="99"/>
    <w:semiHidden/>
    <w:rsid w:val="00F07EE3"/>
    <w:pPr>
      <w:spacing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3B27CC"/>
    <w:rPr>
      <w:sz w:val="16"/>
      <w:szCs w:val="16"/>
    </w:rPr>
  </w:style>
  <w:style w:type="paragraph" w:styleId="CommentText">
    <w:name w:val="annotation text"/>
    <w:basedOn w:val="Normal"/>
    <w:link w:val="CommentTextChar"/>
    <w:uiPriority w:val="99"/>
    <w:unhideWhenUsed/>
    <w:rsid w:val="003B27CC"/>
    <w:rPr>
      <w:sz w:val="20"/>
    </w:rPr>
  </w:style>
  <w:style w:type="character" w:customStyle="1" w:styleId="CommentTextChar">
    <w:name w:val="Comment Text Char"/>
    <w:basedOn w:val="DefaultParagraphFont"/>
    <w:link w:val="CommentText"/>
    <w:uiPriority w:val="99"/>
    <w:rsid w:val="003B27C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B27CC"/>
    <w:rPr>
      <w:b/>
      <w:bCs/>
    </w:rPr>
  </w:style>
  <w:style w:type="character" w:customStyle="1" w:styleId="CommentSubjectChar">
    <w:name w:val="Comment Subject Char"/>
    <w:basedOn w:val="CommentTextChar"/>
    <w:link w:val="CommentSubject"/>
    <w:uiPriority w:val="99"/>
    <w:semiHidden/>
    <w:rsid w:val="003B27C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info-details/masshealth-public-notices" TargetMode="External"/><Relationship Id="rId5" Type="http://schemas.openxmlformats.org/officeDocument/2006/relationships/hyperlink" Target="mailto:masshealthpublicnotice@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6</cp:revision>
  <cp:lastPrinted>2025-06-30T17:48:00Z</cp:lastPrinted>
  <dcterms:created xsi:type="dcterms:W3CDTF">2025-06-30T14:29:00Z</dcterms:created>
  <dcterms:modified xsi:type="dcterms:W3CDTF">2025-07-02T15:35:00Z</dcterms:modified>
</cp:coreProperties>
</file>