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C47CDF5">
      <w:pPr>
        <w:framePr w:w="6926" w:hSpace="187" w:wrap="notBeside" w:vAnchor="page" w:hAnchor="page" w:x="2884" w:y="711"/>
        <w:jc w:val="center"/>
        <w:rPr>
          <w:rFonts w:ascii="Arial" w:hAnsi="Arial"/>
          <w:sz w:val="36"/>
          <w:szCs w:val="36"/>
        </w:rPr>
      </w:pPr>
      <w:bookmarkStart w:id="0" w:name="_Hlk203127234"/>
      <w:bookmarkEnd w:id="0"/>
      <w:commentRangeStart w:id="1"/>
      <w:r w:rsidRPr="0C47CDF5">
        <w:rPr>
          <w:rFonts w:ascii="Arial" w:hAnsi="Arial"/>
          <w:sz w:val="36"/>
          <w:szCs w:val="36"/>
        </w:rPr>
        <w:t xml:space="preserve">The </w:t>
      </w:r>
      <w:commentRangeEnd w:id="1"/>
      <w:r w:rsidRPr="0C47CDF5">
        <w:rPr>
          <w:rStyle w:val="CommentReference"/>
          <w:rFonts w:ascii="Arial" w:hAnsi="Arial"/>
          <w:sz w:val="36"/>
          <w:szCs w:val="36"/>
        </w:rPr>
        <w:commentReference w:id="1"/>
      </w:r>
      <w:r w:rsidRPr="0C47CDF5">
        <w:rPr>
          <w:rFonts w:ascii="Arial" w:hAnsi="Arial"/>
          <w:sz w:val="36"/>
          <w:szCs w:val="36"/>
        </w:rPr>
        <w:t>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4C3EF2E4" w:rsidR="0017749A" w:rsidRPr="0017749A" w:rsidRDefault="00352F92" w:rsidP="000F315B">
      <w:pPr>
        <w:pStyle w:val="ExecOffice"/>
        <w:framePr w:w="6926" w:wrap="notBeside" w:vAnchor="page" w:x="2884" w:y="711"/>
        <w:rPr>
          <w:sz w:val="24"/>
          <w:szCs w:val="18"/>
        </w:rPr>
      </w:pPr>
      <w:r>
        <w:rPr>
          <w:sz w:val="24"/>
          <w:szCs w:val="18"/>
        </w:rPr>
        <w:t>(</w:t>
      </w:r>
      <w:r w:rsidR="0017749A" w:rsidRPr="0017749A">
        <w:rPr>
          <w:sz w:val="24"/>
          <w:szCs w:val="18"/>
        </w:rPr>
        <w:t>617</w:t>
      </w:r>
      <w:r>
        <w:rPr>
          <w:sz w:val="24"/>
          <w:szCs w:val="18"/>
        </w:rPr>
        <w:t xml:space="preserve">) </w:t>
      </w:r>
      <w:r w:rsidR="0017749A" w:rsidRPr="0017749A">
        <w:rPr>
          <w:sz w:val="24"/>
          <w:szCs w:val="18"/>
        </w:rPr>
        <w:t>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default" r:id="rId15"/>
          <w:footerReference w:type="default" r:id="rId16"/>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4A7EFDE2" w:rsidR="007D1D51" w:rsidRDefault="00802852" w:rsidP="00802852">
      <w:pPr>
        <w:jc w:val="right"/>
        <w:rPr>
          <w:rFonts w:ascii="Arial" w:hAnsi="Arial" w:cs="Arial"/>
        </w:rPr>
      </w:pPr>
      <w:r w:rsidRPr="00237280">
        <w:rPr>
          <w:rFonts w:ascii="Arial" w:hAnsi="Arial" w:cs="Arial"/>
          <w:b/>
          <w:bCs/>
        </w:rPr>
        <w:t>Kiame Mahaniah, MD</w:t>
      </w:r>
      <w:r w:rsidR="00B77839">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headerReference w:type="default" r:id="rId17"/>
          <w:footerReference w:type="default" r:id="rId18"/>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Pr="009908FF" w:rsidRDefault="007210FB" w:rsidP="0072610D"/>
    <w:p w14:paraId="57EFCFF1" w14:textId="03C805BE" w:rsidR="6978A77E" w:rsidRDefault="6978A77E" w:rsidP="65C52816">
      <w:pPr>
        <w:pStyle w:val="NoSpacing"/>
        <w:rPr>
          <w:rFonts w:ascii="Aptos" w:eastAsia="Aptos" w:hAnsi="Aptos" w:cs="Aptos"/>
          <w:sz w:val="24"/>
          <w:szCs w:val="24"/>
        </w:rPr>
      </w:pPr>
    </w:p>
    <w:p w14:paraId="0A5641BB" w14:textId="3CECBA03" w:rsidR="005F310B" w:rsidRPr="00CA5B2A" w:rsidRDefault="005F310B" w:rsidP="005F310B">
      <w:pPr>
        <w:pStyle w:val="NoSpacing"/>
        <w:rPr>
          <w:rFonts w:eastAsia="Aptos"/>
          <w:sz w:val="24"/>
          <w:szCs w:val="24"/>
        </w:rPr>
      </w:pPr>
      <w:r w:rsidRPr="00CA5B2A">
        <w:rPr>
          <w:rFonts w:eastAsia="Aptos"/>
          <w:sz w:val="24"/>
          <w:szCs w:val="24"/>
        </w:rPr>
        <w:t>TO:</w:t>
      </w:r>
      <w:r w:rsidRPr="00CA5B2A">
        <w:rPr>
          <w:rFonts w:eastAsia="Aptos"/>
          <w:sz w:val="24"/>
          <w:szCs w:val="24"/>
        </w:rPr>
        <w:tab/>
      </w:r>
      <w:r>
        <w:rPr>
          <w:rFonts w:eastAsia="Aptos"/>
          <w:sz w:val="24"/>
          <w:szCs w:val="24"/>
        </w:rPr>
        <w:tab/>
      </w:r>
      <w:r w:rsidRPr="00CA5B2A">
        <w:rPr>
          <w:rFonts w:eastAsia="Aptos"/>
          <w:sz w:val="24"/>
          <w:szCs w:val="24"/>
        </w:rPr>
        <w:t>Commissioner Robert Goldstein and members of the Public Health Council  </w:t>
      </w:r>
    </w:p>
    <w:p w14:paraId="2A245CEE" w14:textId="77777777" w:rsidR="005F310B" w:rsidRPr="00CA5B2A" w:rsidRDefault="005F310B" w:rsidP="005F310B">
      <w:pPr>
        <w:pStyle w:val="NoSpacing"/>
        <w:rPr>
          <w:rFonts w:eastAsia="Aptos"/>
          <w:sz w:val="24"/>
          <w:szCs w:val="24"/>
        </w:rPr>
      </w:pPr>
      <w:r w:rsidRPr="00CA5B2A">
        <w:rPr>
          <w:rFonts w:eastAsia="Aptos"/>
          <w:sz w:val="24"/>
          <w:szCs w:val="24"/>
        </w:rPr>
        <w:t> </w:t>
      </w:r>
    </w:p>
    <w:p w14:paraId="500DE090" w14:textId="77777777" w:rsidR="005F310B" w:rsidRPr="00CA5B2A" w:rsidRDefault="005F310B" w:rsidP="005F310B">
      <w:pPr>
        <w:pStyle w:val="NoSpacing"/>
        <w:rPr>
          <w:rFonts w:eastAsia="Aptos"/>
          <w:sz w:val="24"/>
          <w:szCs w:val="24"/>
        </w:rPr>
      </w:pPr>
      <w:r w:rsidRPr="00CA5B2A">
        <w:rPr>
          <w:rFonts w:eastAsia="Aptos"/>
          <w:sz w:val="24"/>
          <w:szCs w:val="24"/>
        </w:rPr>
        <w:t>FROM:           Elaine Fitzgerald Lewis, DrPH </w:t>
      </w:r>
    </w:p>
    <w:p w14:paraId="3F6CE6CE" w14:textId="77777777" w:rsidR="005F310B" w:rsidRPr="00CA5B2A" w:rsidRDefault="005F310B" w:rsidP="00CA5B2A">
      <w:pPr>
        <w:pStyle w:val="NoSpacing"/>
        <w:ind w:left="720" w:firstLine="720"/>
        <w:rPr>
          <w:rFonts w:eastAsia="Aptos"/>
          <w:sz w:val="24"/>
          <w:szCs w:val="24"/>
        </w:rPr>
      </w:pPr>
      <w:r w:rsidRPr="00CA5B2A">
        <w:rPr>
          <w:rFonts w:eastAsia="Aptos"/>
          <w:sz w:val="24"/>
          <w:szCs w:val="24"/>
        </w:rPr>
        <w:t>Director, Bureau of Family Health and Nutrition </w:t>
      </w:r>
    </w:p>
    <w:p w14:paraId="4FDF354A" w14:textId="77777777" w:rsidR="005F310B" w:rsidRPr="00CA5B2A" w:rsidRDefault="005F310B" w:rsidP="005F310B">
      <w:pPr>
        <w:pStyle w:val="NoSpacing"/>
        <w:rPr>
          <w:rFonts w:eastAsia="Aptos"/>
          <w:sz w:val="24"/>
          <w:szCs w:val="24"/>
        </w:rPr>
      </w:pPr>
      <w:r w:rsidRPr="00CA5B2A">
        <w:rPr>
          <w:rFonts w:eastAsia="Aptos"/>
          <w:sz w:val="24"/>
          <w:szCs w:val="24"/>
        </w:rPr>
        <w:t> </w:t>
      </w:r>
    </w:p>
    <w:p w14:paraId="410C4A86" w14:textId="58280FC0" w:rsidR="005F310B" w:rsidRPr="00CA5B2A" w:rsidRDefault="005F310B" w:rsidP="00CA5B2A">
      <w:pPr>
        <w:pStyle w:val="NoSpacing"/>
        <w:ind w:left="1440" w:hanging="1440"/>
        <w:rPr>
          <w:rFonts w:eastAsia="Aptos"/>
          <w:sz w:val="24"/>
          <w:szCs w:val="24"/>
        </w:rPr>
      </w:pPr>
      <w:r w:rsidRPr="00CA5B2A">
        <w:rPr>
          <w:rFonts w:eastAsia="Aptos"/>
          <w:sz w:val="24"/>
          <w:szCs w:val="24"/>
        </w:rPr>
        <w:t>SUBJECT:</w:t>
      </w:r>
      <w:r w:rsidRPr="00CA5B2A">
        <w:rPr>
          <w:rFonts w:eastAsia="Aptos"/>
          <w:sz w:val="24"/>
          <w:szCs w:val="24"/>
        </w:rPr>
        <w:tab/>
        <w:t>Proposed Regulation: 105 CMR 272.000 - </w:t>
      </w:r>
      <w:r w:rsidRPr="00CA5B2A">
        <w:rPr>
          <w:rFonts w:eastAsia="Aptos"/>
          <w:i/>
          <w:sz w:val="24"/>
          <w:szCs w:val="24"/>
        </w:rPr>
        <w:t>Standards Regulating the Care of Infants Identified as being Affected by Prenatal Substance Exposure</w:t>
      </w:r>
      <w:r w:rsidRPr="00CA5B2A">
        <w:rPr>
          <w:rFonts w:eastAsia="Aptos"/>
          <w:sz w:val="24"/>
          <w:szCs w:val="24"/>
        </w:rPr>
        <w:t>. (Pre-Comment)   </w:t>
      </w:r>
    </w:p>
    <w:p w14:paraId="0F93CD13" w14:textId="77777777" w:rsidR="005F310B" w:rsidRPr="00CA5B2A" w:rsidRDefault="005F310B" w:rsidP="005F310B">
      <w:pPr>
        <w:pStyle w:val="NoSpacing"/>
        <w:rPr>
          <w:rFonts w:eastAsia="Aptos"/>
          <w:sz w:val="24"/>
          <w:szCs w:val="24"/>
        </w:rPr>
      </w:pPr>
      <w:r w:rsidRPr="00CA5B2A">
        <w:rPr>
          <w:rFonts w:eastAsia="Aptos"/>
          <w:sz w:val="24"/>
          <w:szCs w:val="24"/>
        </w:rPr>
        <w:t> </w:t>
      </w:r>
    </w:p>
    <w:p w14:paraId="342F15F0" w14:textId="77777777" w:rsidR="005F310B" w:rsidRPr="00CA5B2A" w:rsidRDefault="005F310B" w:rsidP="005F310B">
      <w:pPr>
        <w:pStyle w:val="NoSpacing"/>
        <w:rPr>
          <w:rFonts w:eastAsia="Aptos"/>
          <w:sz w:val="24"/>
          <w:szCs w:val="24"/>
        </w:rPr>
      </w:pPr>
      <w:r w:rsidRPr="00CA5B2A">
        <w:rPr>
          <w:rFonts w:eastAsia="Aptos"/>
          <w:sz w:val="24"/>
          <w:szCs w:val="24"/>
        </w:rPr>
        <w:t>DATE:</w:t>
      </w:r>
      <w:r w:rsidRPr="00CA5B2A">
        <w:rPr>
          <w:rFonts w:eastAsia="Aptos"/>
          <w:sz w:val="24"/>
          <w:szCs w:val="24"/>
        </w:rPr>
        <w:tab/>
      </w:r>
      <w:r w:rsidRPr="00CA5B2A">
        <w:rPr>
          <w:rFonts w:eastAsia="Aptos"/>
          <w:sz w:val="24"/>
          <w:szCs w:val="24"/>
        </w:rPr>
        <w:tab/>
        <w:t>April 8, 2026   </w:t>
      </w:r>
    </w:p>
    <w:p w14:paraId="20E0CCDF" w14:textId="551C1654" w:rsidR="005F310B" w:rsidRPr="00CA5B2A" w:rsidRDefault="005F310B" w:rsidP="005F310B">
      <w:pPr>
        <w:pStyle w:val="NoSpacing"/>
        <w:rPr>
          <w:rFonts w:eastAsia="Aptos"/>
          <w:sz w:val="24"/>
          <w:szCs w:val="24"/>
        </w:rPr>
      </w:pPr>
      <w:r w:rsidRPr="00CA5B2A">
        <w:rPr>
          <w:rFonts w:eastAsia="Aptos"/>
          <w:sz w:val="24"/>
          <w:szCs w:val="24"/>
        </w:rPr>
        <w:t> </w:t>
      </w:r>
    </w:p>
    <w:p w14:paraId="535BA670" w14:textId="4BFC3E0A" w:rsidR="005F310B" w:rsidRPr="00CA5B2A" w:rsidRDefault="005F310B" w:rsidP="005F310B">
      <w:pPr>
        <w:pStyle w:val="NoSpacing"/>
        <w:rPr>
          <w:rFonts w:eastAsia="Aptos"/>
          <w:sz w:val="24"/>
          <w:szCs w:val="24"/>
        </w:rPr>
      </w:pPr>
      <w:r w:rsidRPr="00CA5B2A">
        <w:rPr>
          <w:rFonts w:eastAsia="Aptos"/>
          <w:sz w:val="24"/>
          <w:szCs w:val="24"/>
        </w:rPr>
        <w:t>The purpose of this memorandum is to provide the Public Health Council (PHC) with information on a newly proposed regulation: 105 CMR 272.000 – </w:t>
      </w:r>
      <w:r w:rsidRPr="00CA5B2A">
        <w:rPr>
          <w:rFonts w:eastAsia="Aptos"/>
          <w:i/>
          <w:sz w:val="24"/>
          <w:szCs w:val="24"/>
        </w:rPr>
        <w:t> Standards Regulating the Care of Infants Identified as being Affected by Prenatal Substance Exposure</w:t>
      </w:r>
      <w:r w:rsidRPr="00CA5B2A">
        <w:rPr>
          <w:rFonts w:eastAsia="Aptos"/>
          <w:sz w:val="24"/>
          <w:szCs w:val="24"/>
        </w:rPr>
        <w:t>. </w:t>
      </w:r>
    </w:p>
    <w:p w14:paraId="7E0CEE20" w14:textId="77777777" w:rsidR="005F310B" w:rsidRPr="00CA5B2A" w:rsidRDefault="005F310B" w:rsidP="005F310B">
      <w:pPr>
        <w:pStyle w:val="NoSpacing"/>
        <w:rPr>
          <w:rFonts w:eastAsia="Aptos"/>
          <w:sz w:val="24"/>
          <w:szCs w:val="24"/>
        </w:rPr>
      </w:pPr>
      <w:r w:rsidRPr="00CA5B2A">
        <w:rPr>
          <w:rFonts w:eastAsia="Aptos"/>
          <w:sz w:val="24"/>
          <w:szCs w:val="24"/>
        </w:rPr>
        <w:t>  </w:t>
      </w:r>
    </w:p>
    <w:p w14:paraId="511840DA" w14:textId="77777777" w:rsidR="005F310B" w:rsidRPr="00CA5B2A" w:rsidRDefault="005F310B" w:rsidP="005F310B">
      <w:pPr>
        <w:pStyle w:val="NoSpacing"/>
        <w:rPr>
          <w:rFonts w:eastAsia="Aptos"/>
          <w:sz w:val="24"/>
          <w:szCs w:val="24"/>
        </w:rPr>
      </w:pPr>
      <w:r w:rsidRPr="00CA5B2A">
        <w:rPr>
          <w:rFonts w:eastAsia="Aptos"/>
          <w:b/>
          <w:sz w:val="24"/>
          <w:szCs w:val="24"/>
        </w:rPr>
        <w:t>I. Introduction</w:t>
      </w:r>
      <w:r w:rsidRPr="00CA5B2A">
        <w:rPr>
          <w:rFonts w:eastAsia="Aptos"/>
          <w:sz w:val="24"/>
          <w:szCs w:val="24"/>
        </w:rPr>
        <w:t>  </w:t>
      </w:r>
    </w:p>
    <w:p w14:paraId="2A7CD585" w14:textId="77777777" w:rsidR="005F310B" w:rsidRPr="00CA5B2A" w:rsidRDefault="005F310B" w:rsidP="005F310B">
      <w:pPr>
        <w:pStyle w:val="NoSpacing"/>
        <w:rPr>
          <w:rFonts w:eastAsia="Aptos"/>
          <w:sz w:val="24"/>
          <w:szCs w:val="24"/>
        </w:rPr>
      </w:pPr>
      <w:r w:rsidRPr="00CA5B2A">
        <w:rPr>
          <w:rFonts w:eastAsia="Aptos"/>
          <w:sz w:val="24"/>
          <w:szCs w:val="24"/>
        </w:rPr>
        <w:t> </w:t>
      </w:r>
    </w:p>
    <w:p w14:paraId="12181F7E" w14:textId="77777777" w:rsidR="005F310B" w:rsidRPr="00CA5B2A" w:rsidRDefault="005F310B" w:rsidP="005F310B">
      <w:pPr>
        <w:pStyle w:val="NoSpacing"/>
        <w:rPr>
          <w:rFonts w:eastAsia="Aptos"/>
          <w:sz w:val="24"/>
          <w:szCs w:val="24"/>
        </w:rPr>
      </w:pPr>
      <w:r w:rsidRPr="00CA5B2A">
        <w:rPr>
          <w:rFonts w:eastAsia="Aptos"/>
          <w:sz w:val="24"/>
          <w:szCs w:val="24"/>
        </w:rPr>
        <w:t>This regulation implements the provisions of M.G.L. c. 111, §§</w:t>
      </w:r>
      <w:hyperlink r:id="rId19" w:tgtFrame="_blank" w:history="1">
        <w:r w:rsidRPr="00CA5B2A">
          <w:rPr>
            <w:rStyle w:val="Hyperlink"/>
            <w:rFonts w:eastAsia="Aptos"/>
            <w:sz w:val="24"/>
            <w:szCs w:val="24"/>
          </w:rPr>
          <w:t>110D</w:t>
        </w:r>
      </w:hyperlink>
      <w:r w:rsidRPr="00CA5B2A">
        <w:rPr>
          <w:rFonts w:eastAsia="Aptos"/>
          <w:sz w:val="24"/>
          <w:szCs w:val="24"/>
        </w:rPr>
        <w:t>, and </w:t>
      </w:r>
      <w:hyperlink r:id="rId20" w:tgtFrame="_blank" w:history="1">
        <w:r w:rsidRPr="00CA5B2A">
          <w:rPr>
            <w:rStyle w:val="Hyperlink"/>
            <w:rFonts w:eastAsia="Aptos"/>
            <w:sz w:val="24"/>
            <w:szCs w:val="24"/>
          </w:rPr>
          <w:t>110E</w:t>
        </w:r>
      </w:hyperlink>
      <w:r w:rsidRPr="00CA5B2A">
        <w:rPr>
          <w:rFonts w:eastAsia="Aptos"/>
          <w:sz w:val="24"/>
          <w:szCs w:val="24"/>
        </w:rPr>
        <w:t>, as updated by Chapter 285 of the Acts of 2024, </w:t>
      </w:r>
      <w:hyperlink r:id="rId21" w:tgtFrame="_blank" w:history="1">
        <w:r w:rsidRPr="00CA5B2A">
          <w:rPr>
            <w:rStyle w:val="Hyperlink"/>
            <w:rFonts w:eastAsia="Aptos"/>
            <w:i/>
            <w:sz w:val="24"/>
            <w:szCs w:val="24"/>
          </w:rPr>
          <w:t>An Act Relative to Treatments and Coverage for Substance Use Disorder and Recovery Coach Licensure</w:t>
        </w:r>
      </w:hyperlink>
      <w:r w:rsidRPr="00CA5B2A">
        <w:rPr>
          <w:rFonts w:eastAsia="Aptos"/>
          <w:i/>
          <w:sz w:val="24"/>
          <w:szCs w:val="24"/>
        </w:rPr>
        <w:t> </w:t>
      </w:r>
      <w:r w:rsidRPr="00CA5B2A">
        <w:rPr>
          <w:rFonts w:eastAsia="Aptos"/>
          <w:sz w:val="24"/>
          <w:szCs w:val="24"/>
        </w:rPr>
        <w:t>(the Act). This legislation provides a new framework for the Department to assess and support the experiences and needs of infants with prenatal substance exposure and their families. The Department is tasked with promulgating requirements for health care providers involved in this care. These standards are designed to ensure that infants with prenatal substance exposure and their families receive high-quality, trauma-informed care. Additionally, this regulation provides for confidential data collection in a form and manner consistent with the reporting requirements under the federal Child Abuse Prevention and Treatment Act. </w:t>
      </w:r>
    </w:p>
    <w:p w14:paraId="427CE5E3" w14:textId="77777777" w:rsidR="005F310B" w:rsidRPr="00CA5B2A" w:rsidRDefault="005F310B" w:rsidP="005F310B">
      <w:pPr>
        <w:pStyle w:val="NoSpacing"/>
        <w:rPr>
          <w:rFonts w:eastAsia="Aptos"/>
          <w:sz w:val="24"/>
          <w:szCs w:val="24"/>
        </w:rPr>
      </w:pPr>
      <w:r w:rsidRPr="00CA5B2A">
        <w:rPr>
          <w:rFonts w:eastAsia="Aptos"/>
          <w:sz w:val="24"/>
          <w:szCs w:val="24"/>
        </w:rPr>
        <w:t> </w:t>
      </w:r>
    </w:p>
    <w:p w14:paraId="4C8C0962" w14:textId="77777777" w:rsidR="005F310B" w:rsidRPr="00CA5B2A" w:rsidRDefault="005F310B" w:rsidP="005F310B">
      <w:pPr>
        <w:pStyle w:val="NoSpacing"/>
        <w:rPr>
          <w:rFonts w:eastAsia="Aptos"/>
          <w:sz w:val="24"/>
          <w:szCs w:val="24"/>
        </w:rPr>
      </w:pPr>
      <w:r w:rsidRPr="00CA5B2A">
        <w:rPr>
          <w:rFonts w:eastAsia="Aptos"/>
          <w:sz w:val="24"/>
          <w:szCs w:val="24"/>
        </w:rPr>
        <w:t xml:space="preserve">This regulation marks a major shift in the treatment of birthing people with substance use disorder and infants with perinatal substance exposure. Prior to the passage of the Act, the Department of Children and Families (DCF) regulations required health care providers to file a report of abuse and neglect for every infant identified as having prenatal substance exposure. By contrast, the Act and this new regulation require providers to send a report of every infant identified as having prenatal substance exposure to the Department of Public Health. Additionally, this regulation requires that healthcare providers conduct an evaluation of the </w:t>
      </w:r>
      <w:r w:rsidRPr="00CA5B2A">
        <w:rPr>
          <w:rFonts w:eastAsia="Aptos"/>
          <w:sz w:val="24"/>
          <w:szCs w:val="24"/>
        </w:rPr>
        <w:lastRenderedPageBreak/>
        <w:t>family's needs, provide referrals for appropriate treatment and services, and offer to coordinate and/or participate in a Family Care Plan. </w:t>
      </w:r>
    </w:p>
    <w:p w14:paraId="3350DF3A" w14:textId="77777777" w:rsidR="005F310B" w:rsidRPr="00CA5B2A" w:rsidRDefault="005F310B" w:rsidP="005F310B">
      <w:pPr>
        <w:pStyle w:val="NoSpacing"/>
        <w:rPr>
          <w:rFonts w:eastAsia="Aptos"/>
          <w:sz w:val="24"/>
          <w:szCs w:val="24"/>
        </w:rPr>
      </w:pPr>
      <w:r w:rsidRPr="00CA5B2A">
        <w:rPr>
          <w:rFonts w:eastAsia="Aptos"/>
          <w:sz w:val="24"/>
          <w:szCs w:val="24"/>
        </w:rPr>
        <w:t> </w:t>
      </w:r>
    </w:p>
    <w:p w14:paraId="409079C1" w14:textId="77777777" w:rsidR="005F310B" w:rsidRPr="00CA5B2A" w:rsidRDefault="005F310B" w:rsidP="005F310B">
      <w:pPr>
        <w:pStyle w:val="NoSpacing"/>
        <w:rPr>
          <w:rFonts w:eastAsia="Aptos"/>
          <w:sz w:val="24"/>
          <w:szCs w:val="24"/>
        </w:rPr>
      </w:pPr>
      <w:r w:rsidRPr="00CA5B2A">
        <w:rPr>
          <w:rFonts w:eastAsia="Aptos"/>
          <w:sz w:val="24"/>
          <w:szCs w:val="24"/>
        </w:rPr>
        <w:t> </w:t>
      </w:r>
      <w:r w:rsidRPr="00CA5B2A">
        <w:rPr>
          <w:rFonts w:eastAsia="Aptos"/>
          <w:b/>
          <w:sz w:val="24"/>
          <w:szCs w:val="24"/>
        </w:rPr>
        <w:t>II. Proposed Regulation</w:t>
      </w:r>
      <w:r w:rsidRPr="00CA5B2A">
        <w:rPr>
          <w:rFonts w:eastAsia="Aptos"/>
          <w:sz w:val="24"/>
          <w:szCs w:val="24"/>
        </w:rPr>
        <w:t> </w:t>
      </w:r>
    </w:p>
    <w:p w14:paraId="019BB81C" w14:textId="77777777" w:rsidR="005F310B" w:rsidRPr="00CA5B2A" w:rsidRDefault="005F310B" w:rsidP="005F310B">
      <w:pPr>
        <w:pStyle w:val="NoSpacing"/>
        <w:rPr>
          <w:rFonts w:eastAsia="Aptos"/>
          <w:sz w:val="24"/>
          <w:szCs w:val="24"/>
        </w:rPr>
      </w:pPr>
      <w:r w:rsidRPr="00CA5B2A">
        <w:rPr>
          <w:rFonts w:eastAsia="Aptos"/>
          <w:sz w:val="24"/>
          <w:szCs w:val="24"/>
        </w:rPr>
        <w:t>  </w:t>
      </w:r>
    </w:p>
    <w:p w14:paraId="4DF2B93A" w14:textId="77777777" w:rsidR="005F310B" w:rsidRPr="00CA5B2A" w:rsidRDefault="005F310B" w:rsidP="005F310B">
      <w:pPr>
        <w:pStyle w:val="NoSpacing"/>
        <w:rPr>
          <w:rFonts w:eastAsia="Aptos"/>
          <w:sz w:val="24"/>
          <w:szCs w:val="24"/>
        </w:rPr>
      </w:pPr>
      <w:r w:rsidRPr="00CA5B2A">
        <w:rPr>
          <w:rFonts w:eastAsia="Aptos"/>
          <w:sz w:val="24"/>
          <w:szCs w:val="24"/>
        </w:rPr>
        <w:t>This regulation promotes standardization across birth settings in the provision of care to birthing people experiencing substance disorder and infants with prenatal substance exposure. This new regulation requires providers to send a report of every infant identified as having prenatal substance exposure to the Department of Public Health. Additionally, healthcare providers are required to conduct an evaluation of the family's needs, provide referrals for appropriate treatment and services, and offer to coordinate and/or participate in a Family Care Plan that addresses physical, mental, material and socioemotional needs comprehensively. </w:t>
      </w:r>
    </w:p>
    <w:p w14:paraId="73B8C29B" w14:textId="77777777" w:rsidR="005F310B" w:rsidRPr="00CA5B2A" w:rsidRDefault="005F310B" w:rsidP="005F310B">
      <w:pPr>
        <w:pStyle w:val="NoSpacing"/>
        <w:rPr>
          <w:rFonts w:eastAsia="Aptos"/>
          <w:sz w:val="24"/>
          <w:szCs w:val="24"/>
        </w:rPr>
      </w:pPr>
      <w:r w:rsidRPr="00CA5B2A">
        <w:rPr>
          <w:rFonts w:eastAsia="Aptos"/>
          <w:sz w:val="24"/>
          <w:szCs w:val="24"/>
        </w:rPr>
        <w:t> </w:t>
      </w:r>
    </w:p>
    <w:p w14:paraId="120EA621" w14:textId="77777777" w:rsidR="005F310B" w:rsidRPr="00CA5B2A" w:rsidRDefault="005F310B" w:rsidP="00CA5B2A">
      <w:pPr>
        <w:pStyle w:val="NoSpacing"/>
        <w:numPr>
          <w:ilvl w:val="0"/>
          <w:numId w:val="19"/>
        </w:numPr>
        <w:rPr>
          <w:rFonts w:eastAsia="Aptos"/>
          <w:sz w:val="24"/>
          <w:szCs w:val="24"/>
        </w:rPr>
      </w:pPr>
      <w:r w:rsidRPr="00CA5B2A">
        <w:rPr>
          <w:rFonts w:eastAsia="Aptos"/>
          <w:b/>
          <w:sz w:val="24"/>
          <w:szCs w:val="24"/>
        </w:rPr>
        <w:t>Required Screenings for Substance Use and Substance Use Disorder</w:t>
      </w:r>
      <w:r w:rsidRPr="00CA5B2A">
        <w:rPr>
          <w:rFonts w:eastAsia="Aptos"/>
          <w:sz w:val="24"/>
          <w:szCs w:val="24"/>
        </w:rPr>
        <w:t>: This section establishes standards for screening for substance use and substance use disorder for providers over the course of care for a perinatal patient. This section mandates health care providers screen perinatal patients at least one time during the perinatal period for substance use or substance use disorder. The section also makes clear that toxicology testing is not a substitute for screening. </w:t>
      </w:r>
    </w:p>
    <w:p w14:paraId="5707F02B" w14:textId="77777777" w:rsidR="005F310B" w:rsidRPr="00CA5B2A" w:rsidRDefault="005F310B" w:rsidP="005F310B">
      <w:pPr>
        <w:pStyle w:val="NoSpacing"/>
        <w:numPr>
          <w:ilvl w:val="0"/>
          <w:numId w:val="2"/>
        </w:numPr>
        <w:rPr>
          <w:rFonts w:eastAsia="Aptos"/>
          <w:sz w:val="24"/>
          <w:szCs w:val="24"/>
        </w:rPr>
      </w:pPr>
      <w:r w:rsidRPr="00CA5B2A">
        <w:rPr>
          <w:rFonts w:eastAsia="Aptos"/>
          <w:b/>
          <w:sz w:val="24"/>
          <w:szCs w:val="24"/>
        </w:rPr>
        <w:t>Family Care Plan:</w:t>
      </w:r>
      <w:r w:rsidRPr="00CA5B2A">
        <w:rPr>
          <w:rFonts w:eastAsia="Aptos"/>
          <w:sz w:val="24"/>
          <w:szCs w:val="24"/>
        </w:rPr>
        <w:t> This section requires health care providers to identify treatment and service needs if a pregnant or birthing person screens positive for substance use or substance use disorder.  This section requires health care providers to complete the following steps including: (1) conducting an evaluation of the family’s strengths and needs; (2) providing substance use counseling (3) identifying needed treatment, services and programs; and (4) making referrals to appropriate services. Additionally, this section dictates that health care providers should participate in a family care plan for each family of an infant with prenatal substance exposure and consult with the birthing person prior to sharing the family care plan with other providers. </w:t>
      </w:r>
    </w:p>
    <w:p w14:paraId="66957397" w14:textId="77777777" w:rsidR="005F310B" w:rsidRPr="00CA5B2A" w:rsidRDefault="005F310B" w:rsidP="005F310B">
      <w:pPr>
        <w:pStyle w:val="NoSpacing"/>
        <w:numPr>
          <w:ilvl w:val="0"/>
          <w:numId w:val="3"/>
        </w:numPr>
        <w:rPr>
          <w:rFonts w:eastAsia="Aptos"/>
          <w:sz w:val="24"/>
          <w:szCs w:val="24"/>
        </w:rPr>
      </w:pPr>
      <w:r w:rsidRPr="00CA5B2A">
        <w:rPr>
          <w:rFonts w:eastAsia="Aptos"/>
          <w:b/>
          <w:sz w:val="24"/>
          <w:szCs w:val="24"/>
        </w:rPr>
        <w:t>Data Collection:</w:t>
      </w:r>
      <w:r w:rsidRPr="00CA5B2A">
        <w:rPr>
          <w:rFonts w:eastAsia="Aptos"/>
          <w:sz w:val="24"/>
          <w:szCs w:val="24"/>
        </w:rPr>
        <w:t> This section requires health care providers to timely report information on infants who are identified with prenatal substance exposure to the Department. </w:t>
      </w:r>
    </w:p>
    <w:p w14:paraId="0E805D1F" w14:textId="77777777" w:rsidR="005F310B" w:rsidRPr="00CA5B2A" w:rsidRDefault="005F310B" w:rsidP="005F310B">
      <w:pPr>
        <w:pStyle w:val="NoSpacing"/>
        <w:numPr>
          <w:ilvl w:val="0"/>
          <w:numId w:val="4"/>
        </w:numPr>
        <w:rPr>
          <w:rFonts w:eastAsia="Aptos"/>
          <w:sz w:val="24"/>
          <w:szCs w:val="24"/>
        </w:rPr>
      </w:pPr>
      <w:r w:rsidRPr="00CA5B2A">
        <w:rPr>
          <w:rFonts w:eastAsia="Aptos"/>
          <w:b/>
          <w:sz w:val="24"/>
          <w:szCs w:val="24"/>
        </w:rPr>
        <w:t>Obligations of Attending Clinicians:</w:t>
      </w:r>
      <w:r w:rsidRPr="00CA5B2A">
        <w:rPr>
          <w:rFonts w:eastAsia="Aptos"/>
          <w:sz w:val="24"/>
          <w:szCs w:val="24"/>
        </w:rPr>
        <w:t> This section allows attending clinicians to rely on standing orders to meet the requirement for screening, treatment and family care plans, as well as allowing other personnel to complete the required reporting on behalf of the attending clinician. </w:t>
      </w:r>
    </w:p>
    <w:p w14:paraId="6D812C00" w14:textId="77777777" w:rsidR="005F310B" w:rsidRPr="00CA5B2A" w:rsidRDefault="005F310B" w:rsidP="005F310B">
      <w:pPr>
        <w:pStyle w:val="NoSpacing"/>
        <w:numPr>
          <w:ilvl w:val="0"/>
          <w:numId w:val="5"/>
        </w:numPr>
        <w:rPr>
          <w:rFonts w:eastAsia="Aptos"/>
          <w:sz w:val="24"/>
          <w:szCs w:val="24"/>
        </w:rPr>
      </w:pPr>
      <w:r w:rsidRPr="00CA5B2A">
        <w:rPr>
          <w:rFonts w:eastAsia="Aptos"/>
          <w:b/>
          <w:sz w:val="24"/>
          <w:szCs w:val="24"/>
        </w:rPr>
        <w:t>Confidentiality of Data Provided to the Department:</w:t>
      </w:r>
      <w:r w:rsidRPr="00CA5B2A">
        <w:rPr>
          <w:rFonts w:eastAsia="Aptos"/>
          <w:sz w:val="24"/>
          <w:szCs w:val="24"/>
        </w:rPr>
        <w:t> This specifies that the data provided to or collected by the Department pursuant to this regulation are confidential. </w:t>
      </w:r>
    </w:p>
    <w:p w14:paraId="0F81EF9E" w14:textId="77777777" w:rsidR="005F310B" w:rsidRPr="00CA5B2A" w:rsidRDefault="005F310B" w:rsidP="005F310B">
      <w:pPr>
        <w:pStyle w:val="NoSpacing"/>
        <w:numPr>
          <w:ilvl w:val="0"/>
          <w:numId w:val="6"/>
        </w:numPr>
        <w:rPr>
          <w:rFonts w:eastAsia="Aptos"/>
          <w:sz w:val="24"/>
          <w:szCs w:val="24"/>
        </w:rPr>
      </w:pPr>
      <w:r w:rsidRPr="00CA5B2A">
        <w:rPr>
          <w:rFonts w:eastAsia="Aptos"/>
          <w:b/>
          <w:sz w:val="24"/>
          <w:szCs w:val="24"/>
        </w:rPr>
        <w:t>Severability:</w:t>
      </w:r>
      <w:r w:rsidRPr="00CA5B2A">
        <w:rPr>
          <w:rFonts w:eastAsia="Aptos"/>
          <w:sz w:val="24"/>
          <w:szCs w:val="24"/>
        </w:rPr>
        <w:t> This section ensures that if any section of the regulation is found to be invalid, the remainder of the regulation will still be in effect. </w:t>
      </w:r>
    </w:p>
    <w:p w14:paraId="06D23E5E" w14:textId="77777777" w:rsidR="005F310B" w:rsidRPr="00CA5B2A" w:rsidRDefault="005F310B" w:rsidP="005F310B">
      <w:pPr>
        <w:pStyle w:val="NoSpacing"/>
        <w:rPr>
          <w:rFonts w:eastAsia="Aptos"/>
          <w:sz w:val="24"/>
          <w:szCs w:val="24"/>
        </w:rPr>
      </w:pPr>
      <w:r w:rsidRPr="00CA5B2A">
        <w:rPr>
          <w:rFonts w:eastAsia="Aptos"/>
          <w:sz w:val="24"/>
          <w:szCs w:val="24"/>
        </w:rPr>
        <w:t> </w:t>
      </w:r>
    </w:p>
    <w:p w14:paraId="4AAF57F1" w14:textId="77777777" w:rsidR="005F310B" w:rsidRPr="00CA5B2A" w:rsidRDefault="005F310B" w:rsidP="005F310B">
      <w:pPr>
        <w:pStyle w:val="NoSpacing"/>
        <w:rPr>
          <w:rFonts w:eastAsia="Aptos"/>
          <w:sz w:val="24"/>
          <w:szCs w:val="24"/>
        </w:rPr>
      </w:pPr>
      <w:r w:rsidRPr="00CA5B2A">
        <w:rPr>
          <w:rFonts w:eastAsia="Aptos"/>
          <w:b/>
          <w:sz w:val="24"/>
          <w:szCs w:val="24"/>
        </w:rPr>
        <w:t>III. Stakeholder Engagement and Anticipated Response          </w:t>
      </w:r>
      <w:r w:rsidRPr="00CA5B2A">
        <w:rPr>
          <w:rFonts w:eastAsia="Aptos"/>
          <w:sz w:val="24"/>
          <w:szCs w:val="24"/>
        </w:rPr>
        <w:t> </w:t>
      </w:r>
    </w:p>
    <w:p w14:paraId="43CD9071" w14:textId="77777777" w:rsidR="005F310B" w:rsidRDefault="005F310B" w:rsidP="005F310B">
      <w:pPr>
        <w:pStyle w:val="NoSpacing"/>
        <w:rPr>
          <w:rFonts w:eastAsia="Aptos"/>
          <w:sz w:val="24"/>
          <w:szCs w:val="24"/>
        </w:rPr>
      </w:pPr>
      <w:r w:rsidRPr="00CA5B2A">
        <w:rPr>
          <w:rFonts w:eastAsia="Aptos"/>
          <w:sz w:val="24"/>
          <w:szCs w:val="24"/>
        </w:rPr>
        <w:t>While developing this proposed regulation, the Department took part in an in-depth technical assistance effort in collaboration with the National Center on Substance Use and Child Welfare. Throughout this process, the following stakeholders were engaged in an advisory capacity: </w:t>
      </w:r>
    </w:p>
    <w:p w14:paraId="45BFF040" w14:textId="77777777" w:rsidR="00522017" w:rsidRDefault="00522017" w:rsidP="005F310B">
      <w:pPr>
        <w:pStyle w:val="NoSpacing"/>
        <w:rPr>
          <w:rFonts w:eastAsia="Aptos"/>
          <w:sz w:val="24"/>
          <w:szCs w:val="24"/>
        </w:rPr>
      </w:pPr>
    </w:p>
    <w:p w14:paraId="48F0A72B" w14:textId="77777777" w:rsidR="00522017" w:rsidRPr="00CA5B2A" w:rsidRDefault="00522017" w:rsidP="005F310B">
      <w:pPr>
        <w:pStyle w:val="NoSpacing"/>
        <w:rPr>
          <w:rFonts w:eastAsia="Aptos"/>
          <w:sz w:val="24"/>
          <w:szCs w:val="24"/>
        </w:rPr>
      </w:pPr>
    </w:p>
    <w:p w14:paraId="402B1B5D" w14:textId="77777777" w:rsidR="005F310B" w:rsidRPr="00CA5B2A" w:rsidRDefault="005F310B" w:rsidP="005F310B">
      <w:pPr>
        <w:pStyle w:val="NoSpacing"/>
        <w:numPr>
          <w:ilvl w:val="0"/>
          <w:numId w:val="7"/>
        </w:numPr>
        <w:rPr>
          <w:rFonts w:eastAsia="Aptos"/>
          <w:sz w:val="24"/>
          <w:szCs w:val="24"/>
        </w:rPr>
      </w:pPr>
      <w:r w:rsidRPr="00CA5B2A">
        <w:rPr>
          <w:rFonts w:eastAsia="Aptos"/>
          <w:sz w:val="24"/>
          <w:szCs w:val="24"/>
        </w:rPr>
        <w:lastRenderedPageBreak/>
        <w:t>Members of the American College of Obstetrics and Gynecology Chapter of MA </w:t>
      </w:r>
    </w:p>
    <w:p w14:paraId="50C5903B" w14:textId="77777777" w:rsidR="005F310B" w:rsidRPr="00CA5B2A" w:rsidRDefault="005F310B" w:rsidP="005F310B">
      <w:pPr>
        <w:pStyle w:val="NoSpacing"/>
        <w:numPr>
          <w:ilvl w:val="0"/>
          <w:numId w:val="8"/>
        </w:numPr>
        <w:rPr>
          <w:rFonts w:eastAsia="Aptos"/>
          <w:sz w:val="24"/>
          <w:szCs w:val="24"/>
        </w:rPr>
      </w:pPr>
      <w:r w:rsidRPr="00CA5B2A">
        <w:rPr>
          <w:rFonts w:eastAsia="Aptos"/>
          <w:sz w:val="24"/>
          <w:szCs w:val="24"/>
        </w:rPr>
        <w:t>Individuals who have lived experience of seeking or receiving behavioral health services or treatment prior to, during and after pregnancy </w:t>
      </w:r>
    </w:p>
    <w:p w14:paraId="463B1248" w14:textId="77777777" w:rsidR="005F310B" w:rsidRPr="00CA5B2A" w:rsidRDefault="005F310B" w:rsidP="005F310B">
      <w:pPr>
        <w:pStyle w:val="NoSpacing"/>
        <w:numPr>
          <w:ilvl w:val="0"/>
          <w:numId w:val="9"/>
        </w:numPr>
        <w:rPr>
          <w:rFonts w:eastAsia="Aptos"/>
          <w:sz w:val="24"/>
          <w:szCs w:val="24"/>
        </w:rPr>
      </w:pPr>
      <w:r w:rsidRPr="00CA5B2A">
        <w:rPr>
          <w:rFonts w:eastAsia="Aptos"/>
          <w:sz w:val="24"/>
          <w:szCs w:val="24"/>
        </w:rPr>
        <w:t>Representatives from the family court system </w:t>
      </w:r>
    </w:p>
    <w:p w14:paraId="63392EBE" w14:textId="77777777" w:rsidR="005F310B" w:rsidRPr="00CA5B2A" w:rsidRDefault="005F310B" w:rsidP="005F310B">
      <w:pPr>
        <w:pStyle w:val="NoSpacing"/>
        <w:numPr>
          <w:ilvl w:val="0"/>
          <w:numId w:val="10"/>
        </w:numPr>
        <w:rPr>
          <w:rFonts w:eastAsia="Aptos"/>
          <w:sz w:val="24"/>
          <w:szCs w:val="24"/>
        </w:rPr>
      </w:pPr>
      <w:r w:rsidRPr="00CA5B2A">
        <w:rPr>
          <w:rFonts w:eastAsia="Aptos"/>
          <w:sz w:val="24"/>
          <w:szCs w:val="24"/>
        </w:rPr>
        <w:t>Child welfare organizations </w:t>
      </w:r>
    </w:p>
    <w:p w14:paraId="23C32004" w14:textId="77777777" w:rsidR="005F310B" w:rsidRPr="00CA5B2A" w:rsidRDefault="005F310B" w:rsidP="005F310B">
      <w:pPr>
        <w:pStyle w:val="NoSpacing"/>
        <w:numPr>
          <w:ilvl w:val="0"/>
          <w:numId w:val="11"/>
        </w:numPr>
        <w:rPr>
          <w:rFonts w:eastAsia="Aptos"/>
          <w:sz w:val="24"/>
          <w:szCs w:val="24"/>
        </w:rPr>
      </w:pPr>
      <w:r w:rsidRPr="00CA5B2A">
        <w:rPr>
          <w:rFonts w:eastAsia="Aptos"/>
          <w:sz w:val="24"/>
          <w:szCs w:val="24"/>
        </w:rPr>
        <w:t>Behavioral health professionals with expertise in providing culturally-competent care to pregnant and postpartum people.  </w:t>
      </w:r>
    </w:p>
    <w:p w14:paraId="0FB01000" w14:textId="77777777" w:rsidR="005F310B" w:rsidRPr="00CA5B2A" w:rsidRDefault="005F310B" w:rsidP="005F310B">
      <w:pPr>
        <w:pStyle w:val="NoSpacing"/>
        <w:rPr>
          <w:rFonts w:eastAsia="Aptos"/>
          <w:sz w:val="24"/>
          <w:szCs w:val="24"/>
        </w:rPr>
      </w:pPr>
      <w:r w:rsidRPr="00CA5B2A">
        <w:rPr>
          <w:rFonts w:eastAsia="Aptos"/>
          <w:sz w:val="24"/>
          <w:szCs w:val="24"/>
        </w:rPr>
        <w:t> </w:t>
      </w:r>
    </w:p>
    <w:p w14:paraId="70627B9B" w14:textId="77777777" w:rsidR="005F310B" w:rsidRPr="00CA5B2A" w:rsidRDefault="005F310B" w:rsidP="005F310B">
      <w:pPr>
        <w:pStyle w:val="NoSpacing"/>
        <w:rPr>
          <w:rFonts w:eastAsia="Aptos"/>
          <w:sz w:val="24"/>
          <w:szCs w:val="24"/>
        </w:rPr>
      </w:pPr>
      <w:r w:rsidRPr="00CA5B2A">
        <w:rPr>
          <w:rFonts w:eastAsia="Aptos"/>
          <w:sz w:val="24"/>
          <w:szCs w:val="24"/>
        </w:rPr>
        <w:t>The Department also engaged with healthcare providers with expertise in prenatal substance exposure, perinatal and child health, treatment of substance use disorder, and racial equity in access to health care. This included: </w:t>
      </w:r>
    </w:p>
    <w:p w14:paraId="0D2CDE93" w14:textId="77777777" w:rsidR="005F310B" w:rsidRPr="00CA5B2A" w:rsidRDefault="005F310B" w:rsidP="005F310B">
      <w:pPr>
        <w:pStyle w:val="NoSpacing"/>
        <w:numPr>
          <w:ilvl w:val="0"/>
          <w:numId w:val="12"/>
        </w:numPr>
        <w:rPr>
          <w:rFonts w:eastAsia="Aptos"/>
          <w:sz w:val="24"/>
          <w:szCs w:val="24"/>
        </w:rPr>
      </w:pPr>
      <w:r w:rsidRPr="00CA5B2A">
        <w:rPr>
          <w:rFonts w:eastAsia="Aptos"/>
          <w:sz w:val="24"/>
          <w:szCs w:val="24"/>
        </w:rPr>
        <w:t>Members of the American Academy of Pediatrics </w:t>
      </w:r>
    </w:p>
    <w:p w14:paraId="0D636B39" w14:textId="77777777" w:rsidR="005F310B" w:rsidRPr="00CA5B2A" w:rsidRDefault="005F310B" w:rsidP="005F310B">
      <w:pPr>
        <w:pStyle w:val="NoSpacing"/>
        <w:numPr>
          <w:ilvl w:val="0"/>
          <w:numId w:val="13"/>
        </w:numPr>
        <w:rPr>
          <w:rFonts w:eastAsia="Aptos"/>
          <w:sz w:val="24"/>
          <w:szCs w:val="24"/>
        </w:rPr>
      </w:pPr>
      <w:r w:rsidRPr="00CA5B2A">
        <w:rPr>
          <w:rFonts w:eastAsia="Aptos"/>
          <w:sz w:val="24"/>
          <w:szCs w:val="24"/>
        </w:rPr>
        <w:t>Members of the American Society for Addiction Medicine </w:t>
      </w:r>
    </w:p>
    <w:p w14:paraId="3A151790" w14:textId="77777777" w:rsidR="005F310B" w:rsidRPr="00CA5B2A" w:rsidRDefault="005F310B" w:rsidP="005F310B">
      <w:pPr>
        <w:pStyle w:val="NoSpacing"/>
        <w:numPr>
          <w:ilvl w:val="0"/>
          <w:numId w:val="14"/>
        </w:numPr>
        <w:rPr>
          <w:rFonts w:eastAsia="Aptos"/>
          <w:sz w:val="24"/>
          <w:szCs w:val="24"/>
        </w:rPr>
      </w:pPr>
      <w:r w:rsidRPr="00CA5B2A">
        <w:rPr>
          <w:rFonts w:eastAsia="Aptos"/>
          <w:sz w:val="24"/>
          <w:szCs w:val="24"/>
        </w:rPr>
        <w:t>Social workers </w:t>
      </w:r>
    </w:p>
    <w:p w14:paraId="5635CF72" w14:textId="77777777" w:rsidR="005F310B" w:rsidRPr="00CA5B2A" w:rsidRDefault="005F310B" w:rsidP="005F310B">
      <w:pPr>
        <w:pStyle w:val="NoSpacing"/>
        <w:numPr>
          <w:ilvl w:val="0"/>
          <w:numId w:val="15"/>
        </w:numPr>
        <w:rPr>
          <w:rFonts w:eastAsia="Aptos"/>
          <w:sz w:val="24"/>
          <w:szCs w:val="24"/>
        </w:rPr>
      </w:pPr>
      <w:r w:rsidRPr="00CA5B2A">
        <w:rPr>
          <w:rFonts w:eastAsia="Aptos"/>
          <w:sz w:val="24"/>
          <w:szCs w:val="24"/>
        </w:rPr>
        <w:t>Peer counselors </w:t>
      </w:r>
    </w:p>
    <w:p w14:paraId="696423F9" w14:textId="77777777" w:rsidR="005F310B" w:rsidRPr="00CA5B2A" w:rsidRDefault="005F310B" w:rsidP="005F310B">
      <w:pPr>
        <w:pStyle w:val="NoSpacing"/>
        <w:numPr>
          <w:ilvl w:val="0"/>
          <w:numId w:val="16"/>
        </w:numPr>
        <w:rPr>
          <w:rFonts w:eastAsia="Aptos"/>
          <w:sz w:val="24"/>
          <w:szCs w:val="24"/>
        </w:rPr>
      </w:pPr>
      <w:r w:rsidRPr="00CA5B2A">
        <w:rPr>
          <w:rFonts w:eastAsia="Aptos"/>
          <w:sz w:val="24"/>
          <w:szCs w:val="24"/>
        </w:rPr>
        <w:t>Recovery coaches </w:t>
      </w:r>
    </w:p>
    <w:p w14:paraId="41C50650" w14:textId="77777777" w:rsidR="005F310B" w:rsidRPr="00CA5B2A" w:rsidRDefault="005F310B" w:rsidP="005F310B">
      <w:pPr>
        <w:pStyle w:val="NoSpacing"/>
        <w:numPr>
          <w:ilvl w:val="0"/>
          <w:numId w:val="17"/>
        </w:numPr>
        <w:rPr>
          <w:rFonts w:eastAsia="Aptos"/>
          <w:sz w:val="24"/>
          <w:szCs w:val="24"/>
        </w:rPr>
      </w:pPr>
      <w:r w:rsidRPr="00CA5B2A">
        <w:rPr>
          <w:rFonts w:eastAsia="Aptos"/>
          <w:sz w:val="24"/>
          <w:szCs w:val="24"/>
        </w:rPr>
        <w:t>Doulas </w:t>
      </w:r>
    </w:p>
    <w:p w14:paraId="3E8FF265" w14:textId="77777777" w:rsidR="005F310B" w:rsidRPr="00CA5B2A" w:rsidRDefault="005F310B" w:rsidP="005F310B">
      <w:pPr>
        <w:pStyle w:val="NoSpacing"/>
        <w:numPr>
          <w:ilvl w:val="0"/>
          <w:numId w:val="18"/>
        </w:numPr>
        <w:rPr>
          <w:rFonts w:eastAsia="Aptos"/>
          <w:sz w:val="24"/>
          <w:szCs w:val="24"/>
        </w:rPr>
      </w:pPr>
      <w:r w:rsidRPr="00CA5B2A">
        <w:rPr>
          <w:rFonts w:eastAsia="Aptos"/>
          <w:sz w:val="24"/>
          <w:szCs w:val="24"/>
        </w:rPr>
        <w:t>Community health workers.  </w:t>
      </w:r>
    </w:p>
    <w:p w14:paraId="3352E389" w14:textId="77777777" w:rsidR="005F310B" w:rsidRPr="00CA5B2A" w:rsidRDefault="005F310B" w:rsidP="005F310B">
      <w:pPr>
        <w:pStyle w:val="NoSpacing"/>
        <w:rPr>
          <w:rFonts w:eastAsia="Aptos"/>
          <w:sz w:val="24"/>
          <w:szCs w:val="24"/>
        </w:rPr>
      </w:pPr>
      <w:r w:rsidRPr="00CA5B2A">
        <w:rPr>
          <w:rFonts w:eastAsia="Aptos"/>
          <w:sz w:val="24"/>
          <w:szCs w:val="24"/>
        </w:rPr>
        <w:t> </w:t>
      </w:r>
    </w:p>
    <w:p w14:paraId="0DEFC641" w14:textId="77777777" w:rsidR="005F310B" w:rsidRPr="00CA5B2A" w:rsidRDefault="005F310B" w:rsidP="005F310B">
      <w:pPr>
        <w:pStyle w:val="NoSpacing"/>
        <w:rPr>
          <w:rFonts w:eastAsia="Aptos"/>
          <w:sz w:val="24"/>
          <w:szCs w:val="24"/>
        </w:rPr>
      </w:pPr>
      <w:r w:rsidRPr="00CA5B2A">
        <w:rPr>
          <w:rFonts w:eastAsia="Aptos"/>
          <w:sz w:val="24"/>
          <w:szCs w:val="24"/>
        </w:rPr>
        <w:t>This input was invaluable in developing the proposed language around the definition of infants with prenatal substance exposure and screening requirements. One aspect of this regulation which may solicit constructive criticism from stakeholders is the requirement that DPH collects identifiable information on birthing people with substance use disorder and infants with prenatal substance exposure. People with substance use disorder may be opposed to their information being collected and not deidentified.  </w:t>
      </w:r>
    </w:p>
    <w:p w14:paraId="42956A07" w14:textId="77777777" w:rsidR="005F310B" w:rsidRPr="00CA5B2A" w:rsidRDefault="005F310B" w:rsidP="005F310B">
      <w:pPr>
        <w:pStyle w:val="NoSpacing"/>
        <w:rPr>
          <w:rFonts w:eastAsia="Aptos"/>
          <w:sz w:val="24"/>
          <w:szCs w:val="24"/>
        </w:rPr>
      </w:pPr>
      <w:r w:rsidRPr="00CA5B2A">
        <w:rPr>
          <w:rFonts w:eastAsia="Aptos"/>
          <w:sz w:val="24"/>
          <w:szCs w:val="24"/>
        </w:rPr>
        <w:t> </w:t>
      </w:r>
    </w:p>
    <w:p w14:paraId="79117424" w14:textId="77777777" w:rsidR="005F310B" w:rsidRPr="00CA5B2A" w:rsidRDefault="005F310B" w:rsidP="005F310B">
      <w:pPr>
        <w:pStyle w:val="NoSpacing"/>
        <w:rPr>
          <w:rFonts w:eastAsia="Aptos"/>
          <w:sz w:val="24"/>
          <w:szCs w:val="24"/>
        </w:rPr>
      </w:pPr>
      <w:r w:rsidRPr="00CA5B2A">
        <w:rPr>
          <w:rFonts w:eastAsia="Aptos"/>
          <w:sz w:val="24"/>
          <w:szCs w:val="24"/>
        </w:rPr>
        <w:t>Direct identifiers are being collected, solely for data-matching purposes, so that the data may be incorporated into the Department’s </w:t>
      </w:r>
      <w:hyperlink r:id="rId22" w:tgtFrame="_blank" w:history="1">
        <w:r w:rsidRPr="00CA5B2A">
          <w:rPr>
            <w:rStyle w:val="Hyperlink"/>
            <w:rFonts w:eastAsia="Aptos"/>
            <w:sz w:val="24"/>
            <w:szCs w:val="24"/>
          </w:rPr>
          <w:t>Public Health Data Warehouse</w:t>
        </w:r>
      </w:hyperlink>
      <w:r w:rsidRPr="00CA5B2A">
        <w:rPr>
          <w:rFonts w:eastAsia="Aptos"/>
          <w:sz w:val="24"/>
          <w:szCs w:val="24"/>
        </w:rPr>
        <w:t>. The Department will continue to provide education around the confidentiality of our surveillance systems to engender trust amongst these stakeholders.  </w:t>
      </w:r>
    </w:p>
    <w:p w14:paraId="2DA194F8" w14:textId="77777777" w:rsidR="005F310B" w:rsidRPr="00CA5B2A" w:rsidRDefault="005F310B" w:rsidP="005F310B">
      <w:pPr>
        <w:pStyle w:val="NoSpacing"/>
        <w:rPr>
          <w:rFonts w:eastAsia="Aptos"/>
          <w:sz w:val="24"/>
          <w:szCs w:val="24"/>
        </w:rPr>
      </w:pPr>
      <w:r w:rsidRPr="00CA5B2A">
        <w:rPr>
          <w:rFonts w:eastAsia="Aptos"/>
          <w:sz w:val="24"/>
          <w:szCs w:val="24"/>
        </w:rPr>
        <w:t> </w:t>
      </w:r>
    </w:p>
    <w:p w14:paraId="2ADCCCBB" w14:textId="77777777" w:rsidR="005F310B" w:rsidRPr="00CA5B2A" w:rsidRDefault="005F310B" w:rsidP="005F310B">
      <w:pPr>
        <w:pStyle w:val="NoSpacing"/>
        <w:rPr>
          <w:rFonts w:eastAsia="Aptos"/>
          <w:sz w:val="24"/>
          <w:szCs w:val="24"/>
        </w:rPr>
      </w:pPr>
      <w:r w:rsidRPr="00CA5B2A">
        <w:rPr>
          <w:rFonts w:eastAsia="Aptos"/>
          <w:sz w:val="24"/>
          <w:szCs w:val="24"/>
        </w:rPr>
        <w:t>Additionally, there may be child advocates who oppose these changes to the reporting systems. There are some stakeholders who believe that without a DCF filing for suspected abuse and neglect, some infants will be at greater risk for harm. The Department has been engaging with these stakeholders through an in-depth technical assistance process led by the National Center on Substance Use and Child Welfare. </w:t>
      </w:r>
    </w:p>
    <w:p w14:paraId="73A6E537" w14:textId="77777777" w:rsidR="005F310B" w:rsidRPr="00CA5B2A" w:rsidRDefault="005F310B" w:rsidP="005F310B">
      <w:pPr>
        <w:pStyle w:val="NoSpacing"/>
        <w:rPr>
          <w:rFonts w:eastAsia="Aptos"/>
          <w:sz w:val="24"/>
          <w:szCs w:val="24"/>
        </w:rPr>
      </w:pPr>
      <w:r w:rsidRPr="00CA5B2A">
        <w:rPr>
          <w:rFonts w:eastAsia="Aptos"/>
          <w:sz w:val="24"/>
          <w:szCs w:val="24"/>
        </w:rPr>
        <w:t> </w:t>
      </w:r>
    </w:p>
    <w:p w14:paraId="64B47387" w14:textId="77777777" w:rsidR="005F310B" w:rsidRPr="00CA5B2A" w:rsidRDefault="005F310B" w:rsidP="005F310B">
      <w:pPr>
        <w:pStyle w:val="NoSpacing"/>
        <w:rPr>
          <w:rFonts w:eastAsia="Aptos"/>
          <w:sz w:val="24"/>
          <w:szCs w:val="24"/>
        </w:rPr>
      </w:pPr>
      <w:r w:rsidRPr="00CA5B2A">
        <w:rPr>
          <w:rFonts w:eastAsia="Aptos"/>
          <w:b/>
          <w:sz w:val="24"/>
          <w:szCs w:val="24"/>
        </w:rPr>
        <w:t>IV. Next Steps </w:t>
      </w:r>
      <w:r w:rsidRPr="00CA5B2A">
        <w:rPr>
          <w:rFonts w:eastAsia="Aptos"/>
          <w:sz w:val="24"/>
          <w:szCs w:val="24"/>
        </w:rPr>
        <w:t> </w:t>
      </w:r>
    </w:p>
    <w:p w14:paraId="79C0E851" w14:textId="77777777" w:rsidR="005F310B" w:rsidRPr="00CA5B2A" w:rsidRDefault="005F310B" w:rsidP="005F310B">
      <w:pPr>
        <w:pStyle w:val="NoSpacing"/>
        <w:rPr>
          <w:rFonts w:eastAsia="Aptos"/>
          <w:sz w:val="24"/>
          <w:szCs w:val="24"/>
        </w:rPr>
      </w:pPr>
      <w:r w:rsidRPr="00CA5B2A">
        <w:rPr>
          <w:rFonts w:eastAsia="Aptos"/>
          <w:sz w:val="24"/>
          <w:szCs w:val="24"/>
        </w:rPr>
        <w:t> </w:t>
      </w:r>
    </w:p>
    <w:p w14:paraId="789D694D" w14:textId="77777777" w:rsidR="005F310B" w:rsidRPr="00CA5B2A" w:rsidRDefault="005F310B" w:rsidP="005F310B">
      <w:pPr>
        <w:pStyle w:val="NoSpacing"/>
        <w:rPr>
          <w:rFonts w:eastAsia="Aptos"/>
          <w:sz w:val="24"/>
          <w:szCs w:val="24"/>
        </w:rPr>
      </w:pPr>
      <w:r w:rsidRPr="00CA5B2A">
        <w:rPr>
          <w:rFonts w:eastAsia="Aptos"/>
          <w:sz w:val="24"/>
          <w:szCs w:val="24"/>
        </w:rPr>
        <w:t>The Department intends to conduct a public comment period and hearing and will then return to the PHC to report on testimony and any recommended changes to the proposed regulation. Following final approval by the PHC at a future meeting, the Department will file the final regulation with the Secretary of the Commonwealth.   </w:t>
      </w:r>
    </w:p>
    <w:p w14:paraId="49DDB52B" w14:textId="77777777" w:rsidR="005F310B" w:rsidRPr="00CA5B2A" w:rsidRDefault="005F310B" w:rsidP="005F310B">
      <w:pPr>
        <w:pStyle w:val="NoSpacing"/>
        <w:rPr>
          <w:rFonts w:eastAsia="Aptos"/>
          <w:sz w:val="24"/>
          <w:szCs w:val="24"/>
        </w:rPr>
      </w:pPr>
      <w:r w:rsidRPr="00CA5B2A">
        <w:rPr>
          <w:rFonts w:eastAsia="Aptos"/>
          <w:sz w:val="24"/>
          <w:szCs w:val="24"/>
        </w:rPr>
        <w:t> </w:t>
      </w:r>
    </w:p>
    <w:p w14:paraId="597C18BF" w14:textId="77777777" w:rsidR="005F310B" w:rsidRPr="00CA5B2A" w:rsidRDefault="005F310B" w:rsidP="005F310B">
      <w:pPr>
        <w:pStyle w:val="NoSpacing"/>
        <w:rPr>
          <w:rFonts w:eastAsia="Aptos"/>
          <w:sz w:val="24"/>
          <w:szCs w:val="24"/>
        </w:rPr>
      </w:pPr>
      <w:r w:rsidRPr="00CA5B2A">
        <w:rPr>
          <w:rFonts w:eastAsia="Aptos"/>
          <w:sz w:val="24"/>
          <w:szCs w:val="24"/>
        </w:rPr>
        <w:t>The proposed language for 105 CMR 272.000 is attached to this memorandum.   </w:t>
      </w:r>
    </w:p>
    <w:p w14:paraId="2E6AD3AB" w14:textId="77777777" w:rsidR="005F310B" w:rsidRDefault="005F310B" w:rsidP="65C52816">
      <w:pPr>
        <w:pStyle w:val="NoSpacing"/>
        <w:rPr>
          <w:rFonts w:ascii="Aptos" w:eastAsia="Aptos" w:hAnsi="Aptos" w:cs="Aptos"/>
          <w:sz w:val="24"/>
          <w:szCs w:val="24"/>
        </w:rPr>
      </w:pPr>
    </w:p>
    <w:sectPr w:rsidR="005F310B" w:rsidSect="00802852">
      <w:headerReference w:type="default" r:id="rId23"/>
      <w:footerReference w:type="default" r:id="rId24"/>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plan, Amy (DPH)" w:date="2026-04-03T09:41:00Z" w:initials="KA">
    <w:p w14:paraId="63182BCD" w14:textId="076F4AED" w:rsidR="00331CD4" w:rsidRDefault="00331CD4">
      <w:r>
        <w:annotationRef/>
      </w:r>
      <w:r w:rsidRPr="2F77EA80">
        <w:rPr>
          <w:highlight w:val="yellow"/>
        </w:rPr>
        <w:t>Moving this to a PDF at 9:40am on Friday 4/3. Any changes made after this time will not be reflected in the final copy.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182B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EE858" w16cex:dateUtc="2026-04-03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182BCD" w16cid:durableId="738EE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FB8C" w14:textId="77777777" w:rsidR="00331CD4" w:rsidRDefault="00331CD4">
      <w:r>
        <w:separator/>
      </w:r>
    </w:p>
  </w:endnote>
  <w:endnote w:type="continuationSeparator" w:id="0">
    <w:p w14:paraId="4D4612B8" w14:textId="77777777" w:rsidR="00331CD4" w:rsidRDefault="0033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36D034" w14:paraId="221F552A" w14:textId="77777777" w:rsidTr="6836D034">
      <w:trPr>
        <w:trHeight w:val="300"/>
      </w:trPr>
      <w:tc>
        <w:tcPr>
          <w:tcW w:w="3120" w:type="dxa"/>
        </w:tcPr>
        <w:p w14:paraId="43A7B83A" w14:textId="1FD287F5" w:rsidR="6836D034" w:rsidRDefault="6836D034" w:rsidP="6836D034">
          <w:pPr>
            <w:pStyle w:val="Header"/>
            <w:ind w:left="-115"/>
          </w:pPr>
        </w:p>
      </w:tc>
      <w:tc>
        <w:tcPr>
          <w:tcW w:w="3120" w:type="dxa"/>
        </w:tcPr>
        <w:p w14:paraId="60686D62" w14:textId="3ED6BEA0" w:rsidR="6836D034" w:rsidRDefault="6836D034" w:rsidP="6836D034">
          <w:pPr>
            <w:pStyle w:val="Header"/>
            <w:jc w:val="center"/>
          </w:pPr>
        </w:p>
      </w:tc>
      <w:tc>
        <w:tcPr>
          <w:tcW w:w="3120" w:type="dxa"/>
        </w:tcPr>
        <w:p w14:paraId="5F645663" w14:textId="22A3431A" w:rsidR="6836D034" w:rsidRDefault="6836D034" w:rsidP="6836D034">
          <w:pPr>
            <w:pStyle w:val="Header"/>
            <w:ind w:right="-115"/>
            <w:jc w:val="right"/>
          </w:pPr>
        </w:p>
      </w:tc>
    </w:tr>
  </w:tbl>
  <w:p w14:paraId="5C6C67BB" w14:textId="7528D376" w:rsidR="6836D034" w:rsidRDefault="6836D034" w:rsidP="6836D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36D034" w14:paraId="76D93BC3" w14:textId="77777777" w:rsidTr="6836D034">
      <w:trPr>
        <w:trHeight w:val="300"/>
      </w:trPr>
      <w:tc>
        <w:tcPr>
          <w:tcW w:w="3120" w:type="dxa"/>
        </w:tcPr>
        <w:p w14:paraId="1FCF752F" w14:textId="19FB889E" w:rsidR="6836D034" w:rsidRDefault="6836D034" w:rsidP="6836D034">
          <w:pPr>
            <w:pStyle w:val="Header"/>
            <w:ind w:left="-115"/>
          </w:pPr>
        </w:p>
      </w:tc>
      <w:tc>
        <w:tcPr>
          <w:tcW w:w="3120" w:type="dxa"/>
        </w:tcPr>
        <w:p w14:paraId="06208B45" w14:textId="2B313CC2" w:rsidR="6836D034" w:rsidRDefault="6836D034" w:rsidP="6836D034">
          <w:pPr>
            <w:pStyle w:val="Header"/>
            <w:jc w:val="center"/>
          </w:pPr>
        </w:p>
      </w:tc>
      <w:tc>
        <w:tcPr>
          <w:tcW w:w="3120" w:type="dxa"/>
        </w:tcPr>
        <w:p w14:paraId="776571AD" w14:textId="1B59AC03" w:rsidR="6836D034" w:rsidRDefault="6836D034" w:rsidP="6836D034">
          <w:pPr>
            <w:pStyle w:val="Header"/>
            <w:ind w:right="-115"/>
            <w:jc w:val="right"/>
          </w:pPr>
        </w:p>
      </w:tc>
    </w:tr>
  </w:tbl>
  <w:p w14:paraId="4E68BD42" w14:textId="5FCF3CD9" w:rsidR="6836D034" w:rsidRDefault="6836D034" w:rsidP="6836D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14334"/>
      <w:docPartObj>
        <w:docPartGallery w:val="Page Numbers (Bottom of Page)"/>
        <w:docPartUnique/>
      </w:docPartObj>
    </w:sdtPr>
    <w:sdtEndPr>
      <w:rPr>
        <w:noProof/>
      </w:rPr>
    </w:sdtEndPr>
    <w:sdtContent>
      <w:p w14:paraId="3C2D4236" w14:textId="115634B1" w:rsidR="00522017" w:rsidRDefault="00522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75EAE" w14:textId="76E6C7F9" w:rsidR="6836D034" w:rsidRDefault="6836D034" w:rsidP="6836D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4A25" w14:textId="77777777" w:rsidR="00331CD4" w:rsidRDefault="00331CD4">
      <w:r>
        <w:separator/>
      </w:r>
    </w:p>
  </w:footnote>
  <w:footnote w:type="continuationSeparator" w:id="0">
    <w:p w14:paraId="0F5529AD" w14:textId="77777777" w:rsidR="00331CD4" w:rsidRDefault="0033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36D034" w14:paraId="2C6FB797" w14:textId="77777777" w:rsidTr="6836D034">
      <w:trPr>
        <w:trHeight w:val="300"/>
      </w:trPr>
      <w:tc>
        <w:tcPr>
          <w:tcW w:w="3120" w:type="dxa"/>
        </w:tcPr>
        <w:p w14:paraId="41A8282B" w14:textId="1A38C606" w:rsidR="6836D034" w:rsidRDefault="6836D034" w:rsidP="6836D034">
          <w:pPr>
            <w:pStyle w:val="Header"/>
            <w:ind w:left="-115"/>
          </w:pPr>
        </w:p>
      </w:tc>
      <w:tc>
        <w:tcPr>
          <w:tcW w:w="3120" w:type="dxa"/>
        </w:tcPr>
        <w:p w14:paraId="18CBCE16" w14:textId="67B01D92" w:rsidR="6836D034" w:rsidRDefault="6836D034" w:rsidP="6836D034">
          <w:pPr>
            <w:pStyle w:val="Header"/>
            <w:jc w:val="center"/>
          </w:pPr>
        </w:p>
      </w:tc>
      <w:tc>
        <w:tcPr>
          <w:tcW w:w="3120" w:type="dxa"/>
        </w:tcPr>
        <w:p w14:paraId="421C4878" w14:textId="0793F79A" w:rsidR="6836D034" w:rsidRDefault="6836D034" w:rsidP="6836D034">
          <w:pPr>
            <w:pStyle w:val="Header"/>
            <w:ind w:right="-115"/>
            <w:jc w:val="right"/>
          </w:pPr>
        </w:p>
      </w:tc>
    </w:tr>
  </w:tbl>
  <w:p w14:paraId="2087E64A" w14:textId="4C560A01" w:rsidR="6836D034" w:rsidRDefault="6836D034" w:rsidP="6836D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36D034" w14:paraId="1F75DB6B" w14:textId="77777777" w:rsidTr="6836D034">
      <w:trPr>
        <w:trHeight w:val="300"/>
      </w:trPr>
      <w:tc>
        <w:tcPr>
          <w:tcW w:w="3120" w:type="dxa"/>
        </w:tcPr>
        <w:p w14:paraId="4F546146" w14:textId="324519FB" w:rsidR="6836D034" w:rsidRDefault="6836D034" w:rsidP="6836D034">
          <w:pPr>
            <w:pStyle w:val="Header"/>
            <w:ind w:left="-115"/>
          </w:pPr>
        </w:p>
      </w:tc>
      <w:tc>
        <w:tcPr>
          <w:tcW w:w="3120" w:type="dxa"/>
        </w:tcPr>
        <w:p w14:paraId="6C83AE90" w14:textId="60D62BDD" w:rsidR="6836D034" w:rsidRDefault="6836D034" w:rsidP="6836D034">
          <w:pPr>
            <w:pStyle w:val="Header"/>
            <w:jc w:val="center"/>
          </w:pPr>
        </w:p>
      </w:tc>
      <w:tc>
        <w:tcPr>
          <w:tcW w:w="3120" w:type="dxa"/>
        </w:tcPr>
        <w:p w14:paraId="41908FF1" w14:textId="339C4D4B" w:rsidR="6836D034" w:rsidRDefault="6836D034" w:rsidP="6836D034">
          <w:pPr>
            <w:pStyle w:val="Header"/>
            <w:ind w:right="-115"/>
            <w:jc w:val="right"/>
          </w:pPr>
        </w:p>
      </w:tc>
    </w:tr>
  </w:tbl>
  <w:p w14:paraId="2F739A2D" w14:textId="7200BAC0" w:rsidR="6836D034" w:rsidRDefault="6836D034" w:rsidP="6836D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36D034" w14:paraId="3CAAD9AD" w14:textId="77777777" w:rsidTr="6836D034">
      <w:trPr>
        <w:trHeight w:val="300"/>
      </w:trPr>
      <w:tc>
        <w:tcPr>
          <w:tcW w:w="3120" w:type="dxa"/>
        </w:tcPr>
        <w:p w14:paraId="7A0CD178" w14:textId="35558D30" w:rsidR="6836D034" w:rsidRDefault="6836D034" w:rsidP="6836D034">
          <w:pPr>
            <w:pStyle w:val="Header"/>
            <w:ind w:left="-115"/>
          </w:pPr>
        </w:p>
      </w:tc>
      <w:tc>
        <w:tcPr>
          <w:tcW w:w="3120" w:type="dxa"/>
        </w:tcPr>
        <w:p w14:paraId="08F8F09D" w14:textId="3B4F3EA7" w:rsidR="6836D034" w:rsidRDefault="6836D034" w:rsidP="6836D034">
          <w:pPr>
            <w:pStyle w:val="Header"/>
            <w:jc w:val="center"/>
          </w:pPr>
        </w:p>
      </w:tc>
      <w:tc>
        <w:tcPr>
          <w:tcW w:w="3120" w:type="dxa"/>
        </w:tcPr>
        <w:p w14:paraId="397640BF" w14:textId="03CF7BE8" w:rsidR="6836D034" w:rsidRDefault="6836D034" w:rsidP="6836D034">
          <w:pPr>
            <w:pStyle w:val="Header"/>
            <w:ind w:right="-115"/>
            <w:jc w:val="right"/>
          </w:pPr>
        </w:p>
      </w:tc>
    </w:tr>
  </w:tbl>
  <w:p w14:paraId="6E7C3F4F" w14:textId="34D8B9D5" w:rsidR="6836D034" w:rsidRDefault="6836D034" w:rsidP="6836D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F22"/>
    <w:multiLevelType w:val="multilevel"/>
    <w:tmpl w:val="7E50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D17CB"/>
    <w:multiLevelType w:val="multilevel"/>
    <w:tmpl w:val="154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11DD6"/>
    <w:multiLevelType w:val="multilevel"/>
    <w:tmpl w:val="8D7A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C54F7"/>
    <w:multiLevelType w:val="multilevel"/>
    <w:tmpl w:val="AB6E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87DC8"/>
    <w:multiLevelType w:val="multilevel"/>
    <w:tmpl w:val="7D62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44A2F"/>
    <w:multiLevelType w:val="multilevel"/>
    <w:tmpl w:val="88B6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B3CD8"/>
    <w:multiLevelType w:val="multilevel"/>
    <w:tmpl w:val="B5B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F6D3D"/>
    <w:multiLevelType w:val="multilevel"/>
    <w:tmpl w:val="2BF0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8905A6"/>
    <w:multiLevelType w:val="multilevel"/>
    <w:tmpl w:val="D9D6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CC7F2F"/>
    <w:multiLevelType w:val="multilevel"/>
    <w:tmpl w:val="E29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EA562B"/>
    <w:multiLevelType w:val="multilevel"/>
    <w:tmpl w:val="E4E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241F0"/>
    <w:multiLevelType w:val="multilevel"/>
    <w:tmpl w:val="A3C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63A64"/>
    <w:multiLevelType w:val="multilevel"/>
    <w:tmpl w:val="C23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FE51B"/>
    <w:multiLevelType w:val="hybridMultilevel"/>
    <w:tmpl w:val="AEAEEB5A"/>
    <w:lvl w:ilvl="0" w:tplc="7A8A8072">
      <w:start w:val="1"/>
      <w:numFmt w:val="bullet"/>
      <w:lvlText w:val="·"/>
      <w:lvlJc w:val="left"/>
      <w:pPr>
        <w:ind w:left="720" w:hanging="360"/>
      </w:pPr>
      <w:rPr>
        <w:rFonts w:ascii="Symbol" w:hAnsi="Symbol" w:hint="default"/>
      </w:rPr>
    </w:lvl>
    <w:lvl w:ilvl="1" w:tplc="FD5C4956">
      <w:start w:val="1"/>
      <w:numFmt w:val="bullet"/>
      <w:lvlText w:val="o"/>
      <w:lvlJc w:val="left"/>
      <w:pPr>
        <w:ind w:left="1440" w:hanging="360"/>
      </w:pPr>
      <w:rPr>
        <w:rFonts w:ascii="Courier New" w:hAnsi="Courier New" w:hint="default"/>
      </w:rPr>
    </w:lvl>
    <w:lvl w:ilvl="2" w:tplc="FB269C80">
      <w:start w:val="1"/>
      <w:numFmt w:val="bullet"/>
      <w:lvlText w:val=""/>
      <w:lvlJc w:val="left"/>
      <w:pPr>
        <w:ind w:left="2160" w:hanging="360"/>
      </w:pPr>
      <w:rPr>
        <w:rFonts w:ascii="Wingdings" w:hAnsi="Wingdings" w:hint="default"/>
      </w:rPr>
    </w:lvl>
    <w:lvl w:ilvl="3" w:tplc="4AD8A906">
      <w:start w:val="1"/>
      <w:numFmt w:val="bullet"/>
      <w:lvlText w:val=""/>
      <w:lvlJc w:val="left"/>
      <w:pPr>
        <w:ind w:left="2880" w:hanging="360"/>
      </w:pPr>
      <w:rPr>
        <w:rFonts w:ascii="Symbol" w:hAnsi="Symbol" w:hint="default"/>
      </w:rPr>
    </w:lvl>
    <w:lvl w:ilvl="4" w:tplc="DC02F2B4">
      <w:start w:val="1"/>
      <w:numFmt w:val="bullet"/>
      <w:lvlText w:val="o"/>
      <w:lvlJc w:val="left"/>
      <w:pPr>
        <w:ind w:left="3600" w:hanging="360"/>
      </w:pPr>
      <w:rPr>
        <w:rFonts w:ascii="Courier New" w:hAnsi="Courier New" w:hint="default"/>
      </w:rPr>
    </w:lvl>
    <w:lvl w:ilvl="5" w:tplc="85DCB87C">
      <w:start w:val="1"/>
      <w:numFmt w:val="bullet"/>
      <w:lvlText w:val=""/>
      <w:lvlJc w:val="left"/>
      <w:pPr>
        <w:ind w:left="4320" w:hanging="360"/>
      </w:pPr>
      <w:rPr>
        <w:rFonts w:ascii="Wingdings" w:hAnsi="Wingdings" w:hint="default"/>
      </w:rPr>
    </w:lvl>
    <w:lvl w:ilvl="6" w:tplc="1940F654">
      <w:start w:val="1"/>
      <w:numFmt w:val="bullet"/>
      <w:lvlText w:val=""/>
      <w:lvlJc w:val="left"/>
      <w:pPr>
        <w:ind w:left="5040" w:hanging="360"/>
      </w:pPr>
      <w:rPr>
        <w:rFonts w:ascii="Symbol" w:hAnsi="Symbol" w:hint="default"/>
      </w:rPr>
    </w:lvl>
    <w:lvl w:ilvl="7" w:tplc="BDB0C040">
      <w:start w:val="1"/>
      <w:numFmt w:val="bullet"/>
      <w:lvlText w:val="o"/>
      <w:lvlJc w:val="left"/>
      <w:pPr>
        <w:ind w:left="5760" w:hanging="360"/>
      </w:pPr>
      <w:rPr>
        <w:rFonts w:ascii="Courier New" w:hAnsi="Courier New" w:hint="default"/>
      </w:rPr>
    </w:lvl>
    <w:lvl w:ilvl="8" w:tplc="EAE29E28">
      <w:start w:val="1"/>
      <w:numFmt w:val="bullet"/>
      <w:lvlText w:val=""/>
      <w:lvlJc w:val="left"/>
      <w:pPr>
        <w:ind w:left="6480" w:hanging="360"/>
      </w:pPr>
      <w:rPr>
        <w:rFonts w:ascii="Wingdings" w:hAnsi="Wingdings" w:hint="default"/>
      </w:rPr>
    </w:lvl>
  </w:abstractNum>
  <w:abstractNum w:abstractNumId="14" w15:restartNumberingAfterBreak="0">
    <w:nsid w:val="5BBC7574"/>
    <w:multiLevelType w:val="multilevel"/>
    <w:tmpl w:val="6A5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50183D"/>
    <w:multiLevelType w:val="multilevel"/>
    <w:tmpl w:val="1BF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065C8B"/>
    <w:multiLevelType w:val="multilevel"/>
    <w:tmpl w:val="F1D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966961"/>
    <w:multiLevelType w:val="hybridMultilevel"/>
    <w:tmpl w:val="F5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C0EC2"/>
    <w:multiLevelType w:val="multilevel"/>
    <w:tmpl w:val="D8E6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889160">
    <w:abstractNumId w:val="13"/>
  </w:num>
  <w:num w:numId="2" w16cid:durableId="719520147">
    <w:abstractNumId w:val="1"/>
  </w:num>
  <w:num w:numId="3" w16cid:durableId="1386954606">
    <w:abstractNumId w:val="3"/>
  </w:num>
  <w:num w:numId="4" w16cid:durableId="1210339467">
    <w:abstractNumId w:val="6"/>
  </w:num>
  <w:num w:numId="5" w16cid:durableId="1456752597">
    <w:abstractNumId w:val="7"/>
  </w:num>
  <w:num w:numId="6" w16cid:durableId="386412776">
    <w:abstractNumId w:val="15"/>
  </w:num>
  <w:num w:numId="7" w16cid:durableId="1437016092">
    <w:abstractNumId w:val="18"/>
  </w:num>
  <w:num w:numId="8" w16cid:durableId="887226943">
    <w:abstractNumId w:val="2"/>
  </w:num>
  <w:num w:numId="9" w16cid:durableId="1654286189">
    <w:abstractNumId w:val="12"/>
  </w:num>
  <w:num w:numId="10" w16cid:durableId="923341716">
    <w:abstractNumId w:val="5"/>
  </w:num>
  <w:num w:numId="11" w16cid:durableId="2062242731">
    <w:abstractNumId w:val="11"/>
  </w:num>
  <w:num w:numId="12" w16cid:durableId="1122967481">
    <w:abstractNumId w:val="0"/>
  </w:num>
  <w:num w:numId="13" w16cid:durableId="2104453448">
    <w:abstractNumId w:val="8"/>
  </w:num>
  <w:num w:numId="14" w16cid:durableId="36708069">
    <w:abstractNumId w:val="9"/>
  </w:num>
  <w:num w:numId="15" w16cid:durableId="910655321">
    <w:abstractNumId w:val="16"/>
  </w:num>
  <w:num w:numId="16" w16cid:durableId="22902128">
    <w:abstractNumId w:val="14"/>
  </w:num>
  <w:num w:numId="17" w16cid:durableId="1152870885">
    <w:abstractNumId w:val="4"/>
  </w:num>
  <w:num w:numId="18" w16cid:durableId="337461391">
    <w:abstractNumId w:val="10"/>
  </w:num>
  <w:num w:numId="19" w16cid:durableId="53484868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plan, Amy (DPH)">
    <w15:presenceInfo w15:providerId="AD" w15:userId="S::amy.kaplan@mass.gov::f1015638-69ff-4a80-acb4-9827cd3c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0BE6"/>
    <w:rsid w:val="00033154"/>
    <w:rsid w:val="00042048"/>
    <w:rsid w:val="00047BA4"/>
    <w:rsid w:val="00047C14"/>
    <w:rsid w:val="000537DA"/>
    <w:rsid w:val="00070D9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31CD4"/>
    <w:rsid w:val="00352F92"/>
    <w:rsid w:val="00357A68"/>
    <w:rsid w:val="00375EAD"/>
    <w:rsid w:val="00385812"/>
    <w:rsid w:val="00392D0B"/>
    <w:rsid w:val="003A7AFC"/>
    <w:rsid w:val="003C60EF"/>
    <w:rsid w:val="004813AC"/>
    <w:rsid w:val="004A43EB"/>
    <w:rsid w:val="004B37A0"/>
    <w:rsid w:val="004B5CFB"/>
    <w:rsid w:val="004D6B39"/>
    <w:rsid w:val="004E0C3F"/>
    <w:rsid w:val="00512956"/>
    <w:rsid w:val="00522017"/>
    <w:rsid w:val="00530145"/>
    <w:rsid w:val="005448AA"/>
    <w:rsid w:val="00572A6E"/>
    <w:rsid w:val="005F310B"/>
    <w:rsid w:val="006625B6"/>
    <w:rsid w:val="006D06D9"/>
    <w:rsid w:val="006D77A6"/>
    <w:rsid w:val="00702109"/>
    <w:rsid w:val="007210FB"/>
    <w:rsid w:val="0072610D"/>
    <w:rsid w:val="00726A95"/>
    <w:rsid w:val="007359C3"/>
    <w:rsid w:val="00757006"/>
    <w:rsid w:val="00771FEB"/>
    <w:rsid w:val="007A16EA"/>
    <w:rsid w:val="007B0721"/>
    <w:rsid w:val="007B3F4B"/>
    <w:rsid w:val="007B7347"/>
    <w:rsid w:val="007D10F3"/>
    <w:rsid w:val="007D1D51"/>
    <w:rsid w:val="007E06B4"/>
    <w:rsid w:val="007F3CDB"/>
    <w:rsid w:val="00802852"/>
    <w:rsid w:val="00813BBC"/>
    <w:rsid w:val="00850407"/>
    <w:rsid w:val="0088305B"/>
    <w:rsid w:val="00951305"/>
    <w:rsid w:val="009730E5"/>
    <w:rsid w:val="009908FF"/>
    <w:rsid w:val="00995505"/>
    <w:rsid w:val="009C4428"/>
    <w:rsid w:val="009D48CD"/>
    <w:rsid w:val="00A5547C"/>
    <w:rsid w:val="00A65101"/>
    <w:rsid w:val="00AA4318"/>
    <w:rsid w:val="00B344A6"/>
    <w:rsid w:val="00B403BF"/>
    <w:rsid w:val="00B608D9"/>
    <w:rsid w:val="00B77839"/>
    <w:rsid w:val="00B84AEC"/>
    <w:rsid w:val="00BA15C5"/>
    <w:rsid w:val="00BA4055"/>
    <w:rsid w:val="00BA7FB6"/>
    <w:rsid w:val="00C20BFE"/>
    <w:rsid w:val="00C46D29"/>
    <w:rsid w:val="00CA5B2A"/>
    <w:rsid w:val="00CC1778"/>
    <w:rsid w:val="00CE575B"/>
    <w:rsid w:val="00CF3DE8"/>
    <w:rsid w:val="00D0493F"/>
    <w:rsid w:val="00D10DDE"/>
    <w:rsid w:val="00D56F91"/>
    <w:rsid w:val="00D76119"/>
    <w:rsid w:val="00D8671C"/>
    <w:rsid w:val="00D91390"/>
    <w:rsid w:val="00DA57C3"/>
    <w:rsid w:val="00DC3855"/>
    <w:rsid w:val="00E242A8"/>
    <w:rsid w:val="00E274B8"/>
    <w:rsid w:val="00E300FC"/>
    <w:rsid w:val="00E72707"/>
    <w:rsid w:val="00E814A1"/>
    <w:rsid w:val="00EF0780"/>
    <w:rsid w:val="00EF0F52"/>
    <w:rsid w:val="00F0586E"/>
    <w:rsid w:val="00F22467"/>
    <w:rsid w:val="00F26107"/>
    <w:rsid w:val="00F419D1"/>
    <w:rsid w:val="00F43932"/>
    <w:rsid w:val="00F62A59"/>
    <w:rsid w:val="00FA575E"/>
    <w:rsid w:val="00FC6B42"/>
    <w:rsid w:val="03FF4F79"/>
    <w:rsid w:val="0C47CDF5"/>
    <w:rsid w:val="0E0838E7"/>
    <w:rsid w:val="228DE2DE"/>
    <w:rsid w:val="2C116C5C"/>
    <w:rsid w:val="2DA7A7F8"/>
    <w:rsid w:val="30305F0B"/>
    <w:rsid w:val="326DD1A8"/>
    <w:rsid w:val="3ED70B04"/>
    <w:rsid w:val="44F1BC17"/>
    <w:rsid w:val="47DC0163"/>
    <w:rsid w:val="4C57F727"/>
    <w:rsid w:val="50E6CEA1"/>
    <w:rsid w:val="59087809"/>
    <w:rsid w:val="5C619021"/>
    <w:rsid w:val="60A31CD1"/>
    <w:rsid w:val="6369399E"/>
    <w:rsid w:val="65C52816"/>
    <w:rsid w:val="6836D034"/>
    <w:rsid w:val="6978A77E"/>
    <w:rsid w:val="73F5356F"/>
    <w:rsid w:val="765581DC"/>
    <w:rsid w:val="773D8D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4EC46CC8-5FB1-42A5-A329-6F7E8249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6978A77E"/>
    <w:pPr>
      <w:ind w:left="720"/>
      <w:contextualSpacing/>
    </w:pPr>
  </w:style>
  <w:style w:type="paragraph" w:styleId="NoSpacing">
    <w:name w:val="No Spacing"/>
    <w:uiPriority w:val="1"/>
    <w:qFormat/>
  </w:style>
  <w:style w:type="paragraph" w:styleId="Header">
    <w:name w:val="header"/>
    <w:basedOn w:val="Normal"/>
    <w:uiPriority w:val="99"/>
    <w:unhideWhenUsed/>
    <w:rsid w:val="6836D034"/>
    <w:pPr>
      <w:tabs>
        <w:tab w:val="center" w:pos="4680"/>
        <w:tab w:val="right" w:pos="9360"/>
      </w:tabs>
    </w:pPr>
  </w:style>
  <w:style w:type="paragraph" w:styleId="Footer">
    <w:name w:val="footer"/>
    <w:basedOn w:val="Normal"/>
    <w:link w:val="FooterChar"/>
    <w:uiPriority w:val="99"/>
    <w:unhideWhenUsed/>
    <w:rsid w:val="6836D03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310B"/>
    <w:rPr>
      <w:color w:val="605E5C"/>
      <w:shd w:val="clear" w:color="auto" w:fill="E1DFDD"/>
    </w:rPr>
  </w:style>
  <w:style w:type="character" w:customStyle="1" w:styleId="FooterChar">
    <w:name w:val="Footer Char"/>
    <w:basedOn w:val="DefaultParagraphFont"/>
    <w:link w:val="Footer"/>
    <w:uiPriority w:val="99"/>
    <w:rsid w:val="00AA4318"/>
    <w:rPr>
      <w:sz w:val="24"/>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malegislature.gov/Laws/SessionLaws/Acts/2024/Chapter285"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malegislature.gov/Laws/GeneralLaws/PartI/TitleXVI/Chapter111/Section110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yperlink" Target="https://malegislature.gov/Laws/GeneralLaws/PartI/TitleXVI/Chapter111/Section110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mass.gov/public-health-data-warehouse-phd"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ba22aef37643ecb1794f6a69299f2d1a">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fd4ce63645450af4d8e45d8846734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BFEEF-9348-4602-BE94-2CADDE339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1277</Words>
  <Characters>7285</Characters>
  <Application>Microsoft Office Word</Application>
  <DocSecurity>0</DocSecurity>
  <Lines>60</Lines>
  <Paragraphs>17</Paragraphs>
  <ScaleCrop>false</ScaleCrop>
  <Company>Commonwealth of Massachusetts</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2015-01-29T11:50:00Z</cp:lastPrinted>
  <dcterms:created xsi:type="dcterms:W3CDTF">2026-04-13T14:01:00Z</dcterms:created>
  <dcterms:modified xsi:type="dcterms:W3CDTF">2026-04-13T14:01:00Z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