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77777777" w:rsidR="006D06D9" w:rsidRPr="00951305" w:rsidRDefault="000537DA" w:rsidP="000F315B">
      <w:pPr>
        <w:pStyle w:val="ExecOffice"/>
        <w:framePr w:w="6926" w:wrap="notBeside" w:vAnchor="page" w:x="2884" w:y="711"/>
        <w:rPr>
          <w:sz w:val="24"/>
          <w:szCs w:val="18"/>
        </w:rPr>
      </w:pPr>
      <w:r w:rsidRPr="00951305">
        <w:rPr>
          <w:sz w:val="24"/>
          <w:szCs w:val="18"/>
        </w:rPr>
        <w:t>250 Washington Street, Boston, MA 02108-4619</w:t>
      </w:r>
    </w:p>
    <w:p w14:paraId="10BFC7A4" w14:textId="1D6C16C5" w:rsidR="0017749A" w:rsidRPr="0017749A" w:rsidRDefault="0017749A" w:rsidP="000F315B">
      <w:pPr>
        <w:pStyle w:val="ExecOffice"/>
        <w:framePr w:w="6926" w:wrap="notBeside" w:vAnchor="page" w:x="2884" w:y="711"/>
        <w:rPr>
          <w:sz w:val="24"/>
          <w:szCs w:val="18"/>
        </w:rPr>
      </w:pPr>
      <w:r w:rsidRPr="0017749A">
        <w:rPr>
          <w:sz w:val="24"/>
          <w:szCs w:val="18"/>
        </w:rPr>
        <w:t>617-624-6000 | mass.gov/</w:t>
      </w:r>
      <w:proofErr w:type="spellStart"/>
      <w:r w:rsidRPr="0017749A">
        <w:rPr>
          <w:sz w:val="24"/>
          <w:szCs w:val="18"/>
        </w:rPr>
        <w:t>dph</w:t>
      </w:r>
      <w:proofErr w:type="spellEnd"/>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pgSz w:w="12240" w:h="15840"/>
          <w:pgMar w:top="1440" w:right="1440" w:bottom="1440" w:left="1440" w:header="720" w:footer="720" w:gutter="0"/>
          <w:cols w:space="720"/>
        </w:sectPr>
      </w:pPr>
    </w:p>
    <w:p w14:paraId="70EB315F" w14:textId="77777777" w:rsidR="00802852" w:rsidRDefault="00E814A1" w:rsidP="0072610D">
      <w:pPr>
        <w:rPr>
          <w:rFonts w:ascii="Arial" w:hAnsi="Arial" w:cs="Arial"/>
          <w:b/>
          <w:bCs/>
        </w:rPr>
      </w:pPr>
      <w:r w:rsidRPr="00237280">
        <w:rPr>
          <w:rFonts w:ascii="Arial" w:hAnsi="Arial" w:cs="Arial"/>
          <w:b/>
          <w:bCs/>
        </w:rPr>
        <w:t>Maura T. Healey</w:t>
      </w:r>
    </w:p>
    <w:p w14:paraId="25BE71A6" w14:textId="51C5E49E" w:rsidR="0088305B" w:rsidRDefault="00802852" w:rsidP="000C2E20">
      <w:pPr>
        <w:spacing w:line="360" w:lineRule="auto"/>
        <w:rPr>
          <w:rFonts w:ascii="Arial" w:hAnsi="Arial" w:cs="Arial"/>
        </w:rPr>
      </w:pPr>
      <w:r w:rsidRPr="00237280">
        <w:rPr>
          <w:rFonts w:ascii="Arial" w:hAnsi="Arial" w:cs="Arial"/>
        </w:rPr>
        <w:t>Governor</w:t>
      </w:r>
    </w:p>
    <w:p w14:paraId="19D02B02" w14:textId="77777777" w:rsidR="00951305" w:rsidRDefault="0088305B" w:rsidP="0072610D">
      <w:pPr>
        <w:rPr>
          <w:rFonts w:ascii="Arial" w:hAnsi="Arial" w:cs="Arial"/>
        </w:rPr>
      </w:pPr>
      <w:r w:rsidRPr="0088305B">
        <w:rPr>
          <w:rFonts w:ascii="Arial" w:hAnsi="Arial" w:cs="Arial"/>
          <w:b/>
          <w:bCs/>
        </w:rPr>
        <w:t>Kimberley Driscoll</w:t>
      </w:r>
    </w:p>
    <w:p w14:paraId="45EA865C" w14:textId="703E4E09" w:rsidR="00FC6B42" w:rsidRPr="0088305B" w:rsidRDefault="0088305B" w:rsidP="0072610D">
      <w:pPr>
        <w:rPr>
          <w:rFonts w:ascii="Arial" w:hAnsi="Arial" w:cs="Arial"/>
        </w:rPr>
      </w:pPr>
      <w:r>
        <w:rPr>
          <w:rFonts w:ascii="Arial" w:hAnsi="Arial" w:cs="Arial"/>
        </w:rPr>
        <w:t>Lieutenant Governor</w:t>
      </w:r>
      <w:r w:rsidR="00237280" w:rsidRPr="00237280">
        <w:rPr>
          <w:rFonts w:ascii="Arial" w:hAnsi="Arial" w:cs="Arial"/>
          <w:b/>
          <w:bCs/>
        </w:rPr>
        <w:t xml:space="preserve"> </w:t>
      </w:r>
    </w:p>
    <w:p w14:paraId="723AD3B1" w14:textId="4A7EFDE2" w:rsidR="007D1D51" w:rsidRDefault="00802852" w:rsidP="00802852">
      <w:pPr>
        <w:jc w:val="right"/>
        <w:rPr>
          <w:rFonts w:ascii="Arial" w:hAnsi="Arial" w:cs="Arial"/>
        </w:rPr>
      </w:pPr>
      <w:r w:rsidRPr="00237280">
        <w:rPr>
          <w:rFonts w:ascii="Arial" w:hAnsi="Arial" w:cs="Arial"/>
          <w:b/>
          <w:bCs/>
        </w:rPr>
        <w:t>Kiame Mahaniah, MD</w:t>
      </w:r>
      <w:r w:rsidR="00B77839">
        <w:rPr>
          <w:rFonts w:ascii="Arial" w:hAnsi="Arial" w:cs="Arial"/>
          <w:b/>
          <w:bCs/>
        </w:rPr>
        <w:t>, MBA</w:t>
      </w:r>
    </w:p>
    <w:p w14:paraId="51314366" w14:textId="498AF08B" w:rsidR="00033154" w:rsidRDefault="00237280" w:rsidP="007D1D51">
      <w:pPr>
        <w:spacing w:line="360" w:lineRule="auto"/>
        <w:jc w:val="right"/>
        <w:rPr>
          <w:rFonts w:ascii="Arial" w:hAnsi="Arial" w:cs="Arial"/>
        </w:rPr>
      </w:pPr>
      <w:r w:rsidRPr="00237280">
        <w:rPr>
          <w:rFonts w:ascii="Arial" w:hAnsi="Arial" w:cs="Arial"/>
        </w:rPr>
        <w:t>Secretary</w:t>
      </w:r>
    </w:p>
    <w:p w14:paraId="49013D2D" w14:textId="509F30C9" w:rsidR="00951305" w:rsidRPr="00951305" w:rsidRDefault="00951305" w:rsidP="00802852">
      <w:pPr>
        <w:jc w:val="right"/>
        <w:rPr>
          <w:rFonts w:ascii="Arial" w:hAnsi="Arial" w:cs="Arial"/>
          <w:b/>
          <w:bCs/>
        </w:rPr>
      </w:pPr>
      <w:r w:rsidRPr="00951305">
        <w:rPr>
          <w:rFonts w:ascii="Arial" w:hAnsi="Arial" w:cs="Arial"/>
          <w:b/>
          <w:bCs/>
        </w:rPr>
        <w:t>Robert Goldstein, MD, PhD</w:t>
      </w:r>
    </w:p>
    <w:p w14:paraId="5EA03CA8" w14:textId="7173ADCA" w:rsidR="00802852" w:rsidRDefault="00951305" w:rsidP="00951305">
      <w:pPr>
        <w:jc w:val="right"/>
        <w:rPr>
          <w:rFonts w:ascii="Arial" w:hAnsi="Arial" w:cs="Arial"/>
        </w:rPr>
        <w:sectPr w:rsidR="00802852" w:rsidSect="00802852">
          <w:type w:val="continuous"/>
          <w:pgSz w:w="12240" w:h="15840"/>
          <w:pgMar w:top="1440" w:right="1440" w:bottom="1440" w:left="1440" w:header="720" w:footer="720" w:gutter="0"/>
          <w:cols w:num="2" w:space="720"/>
        </w:sectPr>
      </w:pPr>
      <w:r>
        <w:rPr>
          <w:rFonts w:ascii="Arial" w:hAnsi="Arial" w:cs="Arial"/>
        </w:rPr>
        <w:t>Commissione</w:t>
      </w:r>
      <w:r w:rsidR="00D10DDE">
        <w:rPr>
          <w:rFonts w:ascii="Arial" w:hAnsi="Arial" w:cs="Arial"/>
        </w:rPr>
        <w:t>r</w:t>
      </w:r>
    </w:p>
    <w:p w14:paraId="76751140" w14:textId="77777777" w:rsidR="00D10DDE" w:rsidRDefault="00D10DDE" w:rsidP="0072610D"/>
    <w:p w14:paraId="74BAC1E1" w14:textId="77777777" w:rsidR="007210FB" w:rsidRDefault="007210FB" w:rsidP="0072610D"/>
    <w:p w14:paraId="59E8F5E9" w14:textId="77777777" w:rsidR="008A7F7E" w:rsidRDefault="008A7F7E" w:rsidP="0072610D"/>
    <w:p w14:paraId="738930AF" w14:textId="77777777" w:rsidR="008A7F7E" w:rsidRPr="009D6C90" w:rsidRDefault="008A7F7E" w:rsidP="008A7F7E">
      <w:pPr>
        <w:pStyle w:val="paragraph"/>
        <w:spacing w:before="0" w:beforeAutospacing="0" w:after="0" w:afterAutospacing="0"/>
        <w:ind w:left="1440" w:hanging="1440"/>
        <w:textAlignment w:val="baseline"/>
        <w:rPr>
          <w:rStyle w:val="normaltextrun"/>
        </w:rPr>
      </w:pPr>
      <w:r w:rsidRPr="009D6C90">
        <w:rPr>
          <w:rStyle w:val="normaltextrun"/>
          <w:caps/>
        </w:rPr>
        <w:t>TO:</w:t>
      </w:r>
      <w:r w:rsidRPr="009D6C90">
        <w:rPr>
          <w:rStyle w:val="normaltextrun"/>
          <w:caps/>
        </w:rPr>
        <w:tab/>
      </w:r>
      <w:r w:rsidRPr="009D6C90">
        <w:rPr>
          <w:rStyle w:val="normaltextrun"/>
        </w:rPr>
        <w:t xml:space="preserve">Commissioner Robert Goldstein and members of the Public Health Council </w:t>
      </w:r>
    </w:p>
    <w:p w14:paraId="711DAFB1" w14:textId="77777777" w:rsidR="008A7F7E" w:rsidRPr="009D6C90" w:rsidRDefault="008A7F7E" w:rsidP="008A7F7E">
      <w:pPr>
        <w:pStyle w:val="paragraph"/>
        <w:spacing w:before="0" w:beforeAutospacing="0" w:after="0" w:afterAutospacing="0"/>
        <w:textAlignment w:val="baseline"/>
        <w:rPr>
          <w:rStyle w:val="normaltextrun"/>
          <w:caps/>
        </w:rPr>
      </w:pPr>
    </w:p>
    <w:p w14:paraId="22B0324D" w14:textId="5314B488" w:rsidR="008A7F7E" w:rsidRPr="009D6C90" w:rsidRDefault="008A7F7E" w:rsidP="008A7F7E">
      <w:pPr>
        <w:pStyle w:val="paragraph"/>
        <w:spacing w:before="0" w:beforeAutospacing="0" w:after="0" w:afterAutospacing="0"/>
        <w:textAlignment w:val="baseline"/>
        <w:rPr>
          <w:rStyle w:val="normaltextrun"/>
        </w:rPr>
      </w:pPr>
      <w:r w:rsidRPr="009D6C90">
        <w:rPr>
          <w:rStyle w:val="normaltextrun"/>
          <w:caps/>
        </w:rPr>
        <w:t>FROM</w:t>
      </w:r>
      <w:proofErr w:type="gramStart"/>
      <w:r w:rsidRPr="009D6C90">
        <w:rPr>
          <w:rStyle w:val="normaltextrun"/>
          <w:caps/>
        </w:rPr>
        <w:t xml:space="preserve">: </w:t>
      </w:r>
      <w:r w:rsidRPr="009D6C90">
        <w:rPr>
          <w:rStyle w:val="normaltextrun"/>
          <w:caps/>
        </w:rPr>
        <w:tab/>
      </w:r>
      <w:r>
        <w:rPr>
          <w:rStyle w:val="normaltextrun"/>
        </w:rPr>
        <w:t>Deirdre</w:t>
      </w:r>
      <w:proofErr w:type="gramEnd"/>
      <w:r>
        <w:rPr>
          <w:rStyle w:val="normaltextrun"/>
        </w:rPr>
        <w:t xml:space="preserve"> C. Calvert</w:t>
      </w:r>
      <w:r w:rsidRPr="009D6C90">
        <w:rPr>
          <w:rStyle w:val="normaltextrun"/>
        </w:rPr>
        <w:t>,</w:t>
      </w:r>
      <w:r>
        <w:rPr>
          <w:rStyle w:val="normaltextrun"/>
        </w:rPr>
        <w:t xml:space="preserve"> </w:t>
      </w:r>
      <w:r w:rsidRPr="009D6C90">
        <w:rPr>
          <w:rStyle w:val="normaltextrun"/>
        </w:rPr>
        <w:t xml:space="preserve">Director, Bureau of </w:t>
      </w:r>
      <w:r>
        <w:rPr>
          <w:rStyle w:val="normaltextrun"/>
        </w:rPr>
        <w:t>Substance Addiction Services</w:t>
      </w:r>
    </w:p>
    <w:p w14:paraId="5C867828" w14:textId="77777777" w:rsidR="008A7F7E" w:rsidRPr="009D6C90" w:rsidRDefault="008A7F7E" w:rsidP="008A7F7E">
      <w:pPr>
        <w:pStyle w:val="paragraph"/>
        <w:spacing w:before="0" w:beforeAutospacing="0" w:after="0" w:afterAutospacing="0"/>
        <w:textAlignment w:val="baseline"/>
        <w:rPr>
          <w:rStyle w:val="normaltextrun"/>
          <w:caps/>
        </w:rPr>
      </w:pPr>
    </w:p>
    <w:p w14:paraId="2DBC7B9C" w14:textId="1844D1AD" w:rsidR="008A7F7E" w:rsidRPr="009D6C90" w:rsidRDefault="008A7F7E" w:rsidP="008A7F7E">
      <w:pPr>
        <w:pStyle w:val="paragraph"/>
        <w:spacing w:before="0" w:beforeAutospacing="0" w:after="0" w:afterAutospacing="0"/>
        <w:ind w:left="1440" w:hanging="1440"/>
        <w:textAlignment w:val="baseline"/>
        <w:rPr>
          <w:rStyle w:val="normaltextrun"/>
        </w:rPr>
      </w:pPr>
      <w:r w:rsidRPr="2A9C63BC">
        <w:rPr>
          <w:rStyle w:val="normaltextrun"/>
        </w:rPr>
        <w:t>SUBJECT:</w:t>
      </w:r>
      <w:r>
        <w:tab/>
      </w:r>
      <w:r w:rsidRPr="2A9C63BC">
        <w:rPr>
          <w:rStyle w:val="normaltextrun"/>
        </w:rPr>
        <w:t xml:space="preserve">Regulatory Amendments: 105 CMR </w:t>
      </w:r>
      <w:r>
        <w:rPr>
          <w:rStyle w:val="normaltextrun"/>
        </w:rPr>
        <w:t>168</w:t>
      </w:r>
      <w:r w:rsidRPr="2A9C63BC">
        <w:rPr>
          <w:rStyle w:val="normaltextrun"/>
        </w:rPr>
        <w:t xml:space="preserve">.000 - </w:t>
      </w:r>
      <w:r w:rsidRPr="000E570D">
        <w:rPr>
          <w:i/>
        </w:rPr>
        <w:t>Licensure of Alcohol and Drug Counselors</w:t>
      </w:r>
      <w:r w:rsidRPr="2A9C63BC">
        <w:rPr>
          <w:rStyle w:val="normaltextrun"/>
        </w:rPr>
        <w:t xml:space="preserve"> (PRE-COMMENT) </w:t>
      </w:r>
    </w:p>
    <w:p w14:paraId="32DEEAC9" w14:textId="77777777" w:rsidR="008A7F7E" w:rsidRPr="009D6C90" w:rsidRDefault="008A7F7E" w:rsidP="008A7F7E">
      <w:pPr>
        <w:pStyle w:val="paragraph"/>
        <w:spacing w:before="0" w:beforeAutospacing="0" w:after="0" w:afterAutospacing="0"/>
        <w:ind w:left="2160" w:hanging="2160"/>
        <w:textAlignment w:val="baseline"/>
      </w:pPr>
      <w:r w:rsidRPr="009D6C90">
        <w:rPr>
          <w:rStyle w:val="eop"/>
        </w:rPr>
        <w:t> </w:t>
      </w:r>
    </w:p>
    <w:p w14:paraId="2CE1F611" w14:textId="7C4CAC0D" w:rsidR="008A7F7E" w:rsidRPr="009D6C90" w:rsidRDefault="5FB04337" w:rsidP="39789105">
      <w:pPr>
        <w:pStyle w:val="paragraph"/>
        <w:spacing w:before="0" w:beforeAutospacing="0" w:after="0" w:afterAutospacing="0"/>
        <w:ind w:left="1080" w:hanging="1080"/>
        <w:textAlignment w:val="baseline"/>
        <w:rPr>
          <w:color w:val="EE0000"/>
        </w:rPr>
      </w:pPr>
      <w:r w:rsidRPr="39789105">
        <w:rPr>
          <w:rStyle w:val="normaltextrun"/>
        </w:rPr>
        <w:t>DATE</w:t>
      </w:r>
      <w:proofErr w:type="gramStart"/>
      <w:r w:rsidRPr="39789105">
        <w:rPr>
          <w:rStyle w:val="normaltextrun"/>
        </w:rPr>
        <w:t>:</w:t>
      </w:r>
      <w:r w:rsidR="008A7F7E">
        <w:tab/>
      </w:r>
      <w:r w:rsidR="008A7F7E">
        <w:tab/>
      </w:r>
      <w:r w:rsidRPr="39789105">
        <w:rPr>
          <w:rStyle w:val="normaltextrun"/>
        </w:rPr>
        <w:t>March</w:t>
      </w:r>
      <w:proofErr w:type="gramEnd"/>
      <w:r w:rsidRPr="39789105">
        <w:rPr>
          <w:rStyle w:val="normaltextrun"/>
        </w:rPr>
        <w:t xml:space="preserve"> </w:t>
      </w:r>
      <w:r w:rsidR="72A825C5" w:rsidRPr="39789105">
        <w:rPr>
          <w:rStyle w:val="normaltextrun"/>
        </w:rPr>
        <w:t>23</w:t>
      </w:r>
      <w:r w:rsidRPr="39789105">
        <w:rPr>
          <w:rStyle w:val="normaltextrun"/>
        </w:rPr>
        <w:t>, 2026 </w:t>
      </w:r>
      <w:r w:rsidRPr="39789105">
        <w:rPr>
          <w:rStyle w:val="eop"/>
        </w:rPr>
        <w:t> </w:t>
      </w:r>
    </w:p>
    <w:p w14:paraId="73A9A3DE" w14:textId="77777777" w:rsidR="008A7F7E" w:rsidRPr="00301BB2" w:rsidRDefault="008A7F7E" w:rsidP="008A7F7E">
      <w:pPr>
        <w:pStyle w:val="paragraph"/>
        <w:pBdr>
          <w:bottom w:val="single" w:sz="12" w:space="1" w:color="000000"/>
        </w:pBdr>
        <w:spacing w:before="0" w:beforeAutospacing="0" w:after="0" w:afterAutospacing="0"/>
        <w:textAlignment w:val="baseline"/>
      </w:pPr>
    </w:p>
    <w:p w14:paraId="746616B8" w14:textId="4F25665E" w:rsidR="008A7F7E" w:rsidRDefault="008A7F7E" w:rsidP="008A7F7E">
      <w:pPr>
        <w:pStyle w:val="paragraph"/>
        <w:spacing w:before="0" w:beforeAutospacing="0" w:after="0" w:afterAutospacing="0"/>
        <w:textAlignment w:val="baseline"/>
      </w:pPr>
      <w:r w:rsidRPr="00301BB2">
        <w:rPr>
          <w:rStyle w:val="eop"/>
        </w:rPr>
        <w:t> </w:t>
      </w:r>
    </w:p>
    <w:p w14:paraId="1CFF2F5C" w14:textId="0A55D870" w:rsidR="008A7F7E" w:rsidRPr="000E570D" w:rsidRDefault="008A7F7E" w:rsidP="008A7F7E">
      <w:pPr>
        <w:widowControl w:val="0"/>
      </w:pPr>
      <w:r>
        <w:t>The</w:t>
      </w:r>
      <w:r w:rsidR="750B5DD7">
        <w:t xml:space="preserve"> purpose of this memorandum is to provide the Public Health Council with information regarding proposed amendments to</w:t>
      </w:r>
      <w:r>
        <w:t xml:space="preserve"> 105 CMR 168.000, </w:t>
      </w:r>
      <w:r w:rsidRPr="002AAC40">
        <w:rPr>
          <w:i/>
          <w:iCs/>
        </w:rPr>
        <w:t>Licensure of Alcohol and Drug Counselors.</w:t>
      </w:r>
    </w:p>
    <w:p w14:paraId="04C88B8E" w14:textId="77777777" w:rsidR="008A7F7E" w:rsidRPr="000E570D" w:rsidRDefault="008A7F7E" w:rsidP="008A7F7E">
      <w:pPr>
        <w:widowControl w:val="0"/>
        <w:rPr>
          <w:szCs w:val="24"/>
        </w:rPr>
      </w:pPr>
    </w:p>
    <w:p w14:paraId="1C9E83BB" w14:textId="77777777" w:rsidR="008A7F7E" w:rsidRPr="000E570D" w:rsidRDefault="008A7F7E" w:rsidP="008A7F7E">
      <w:pPr>
        <w:widowControl w:val="0"/>
        <w:rPr>
          <w:i/>
          <w:iCs/>
          <w:szCs w:val="24"/>
          <w:u w:val="single"/>
        </w:rPr>
      </w:pPr>
      <w:r w:rsidRPr="000E570D">
        <w:rPr>
          <w:i/>
          <w:iCs/>
          <w:szCs w:val="24"/>
          <w:u w:val="single"/>
        </w:rPr>
        <w:t>Background</w:t>
      </w:r>
    </w:p>
    <w:p w14:paraId="083058CE" w14:textId="77777777" w:rsidR="008A7F7E" w:rsidRPr="000E570D" w:rsidRDefault="008A7F7E" w:rsidP="008A7F7E">
      <w:pPr>
        <w:widowControl w:val="0"/>
        <w:rPr>
          <w:szCs w:val="24"/>
        </w:rPr>
      </w:pPr>
    </w:p>
    <w:p w14:paraId="41CB8F55" w14:textId="77777777" w:rsidR="008A7F7E" w:rsidRPr="000E570D" w:rsidRDefault="008A7F7E" w:rsidP="008A7F7E">
      <w:pPr>
        <w:rPr>
          <w:szCs w:val="24"/>
        </w:rPr>
      </w:pPr>
      <w:r w:rsidRPr="000E570D">
        <w:rPr>
          <w:szCs w:val="24"/>
        </w:rPr>
        <w:t>105 CMR 168.000 governs the licensure of alcohol and drug counselors by the Department, which includes licensed alcohol and drug counselor I (LADC), licensed alcohol and drug counselor II (LADC II), and licensed alcohol and drug counselor assistant (</w:t>
      </w:r>
      <w:proofErr w:type="gramStart"/>
      <w:r w:rsidRPr="000E570D">
        <w:rPr>
          <w:szCs w:val="24"/>
        </w:rPr>
        <w:t>LADC Assistant</w:t>
      </w:r>
      <w:proofErr w:type="gramEnd"/>
      <w:r w:rsidRPr="000E570D">
        <w:rPr>
          <w:szCs w:val="24"/>
        </w:rPr>
        <w:t xml:space="preserve">), pursuant </w:t>
      </w:r>
      <w:r>
        <w:rPr>
          <w:szCs w:val="24"/>
        </w:rPr>
        <w:t xml:space="preserve">to </w:t>
      </w:r>
      <w:r w:rsidRPr="000E570D">
        <w:rPr>
          <w:szCs w:val="24"/>
        </w:rPr>
        <w:t xml:space="preserve">M.G.L. c 111J. The regulation sets forth standards for each type of licensure. </w:t>
      </w:r>
    </w:p>
    <w:p w14:paraId="39468812" w14:textId="77777777" w:rsidR="008A7F7E" w:rsidRPr="000E570D" w:rsidRDefault="008A7F7E" w:rsidP="008A7F7E">
      <w:pPr>
        <w:rPr>
          <w:szCs w:val="24"/>
        </w:rPr>
      </w:pPr>
    </w:p>
    <w:p w14:paraId="61DEEC5C" w14:textId="77777777" w:rsidR="008A7F7E" w:rsidRPr="000E570D" w:rsidRDefault="008A7F7E" w:rsidP="008A7F7E">
      <w:pPr>
        <w:rPr>
          <w:szCs w:val="24"/>
        </w:rPr>
      </w:pPr>
      <w:r w:rsidRPr="000E570D">
        <w:rPr>
          <w:szCs w:val="24"/>
        </w:rPr>
        <w:t xml:space="preserve">This regulation </w:t>
      </w:r>
      <w:r>
        <w:rPr>
          <w:szCs w:val="24"/>
        </w:rPr>
        <w:t>originated in 2004, and this is the first set of proposed amendments.</w:t>
      </w:r>
      <w:r w:rsidRPr="000E570D">
        <w:rPr>
          <w:szCs w:val="24"/>
        </w:rPr>
        <w:t xml:space="preserve"> </w:t>
      </w:r>
    </w:p>
    <w:p w14:paraId="401E6CC0" w14:textId="77777777" w:rsidR="008A7F7E" w:rsidRPr="000E570D" w:rsidRDefault="008A7F7E" w:rsidP="008A7F7E">
      <w:pPr>
        <w:rPr>
          <w:szCs w:val="24"/>
        </w:rPr>
      </w:pPr>
    </w:p>
    <w:p w14:paraId="6A3EC7BB" w14:textId="77777777" w:rsidR="008A7F7E" w:rsidRPr="000E570D" w:rsidRDefault="008A7F7E" w:rsidP="008A7F7E">
      <w:pPr>
        <w:rPr>
          <w:i/>
          <w:iCs/>
          <w:szCs w:val="24"/>
          <w:u w:val="single"/>
        </w:rPr>
      </w:pPr>
      <w:r w:rsidRPr="000E570D">
        <w:rPr>
          <w:i/>
          <w:iCs/>
          <w:szCs w:val="24"/>
          <w:u w:val="single"/>
        </w:rPr>
        <w:t>Proposed Amendments</w:t>
      </w:r>
    </w:p>
    <w:p w14:paraId="058143CD" w14:textId="77777777" w:rsidR="008A7F7E" w:rsidRPr="000E570D" w:rsidRDefault="008A7F7E" w:rsidP="008A7F7E">
      <w:pPr>
        <w:rPr>
          <w:szCs w:val="24"/>
        </w:rPr>
      </w:pPr>
    </w:p>
    <w:p w14:paraId="4B12D468" w14:textId="77777777" w:rsidR="008A7F7E" w:rsidRPr="000E570D" w:rsidRDefault="008A7F7E" w:rsidP="008A7F7E">
      <w:pPr>
        <w:widowControl w:val="0"/>
        <w:rPr>
          <w:szCs w:val="24"/>
        </w:rPr>
      </w:pPr>
      <w:r w:rsidRPr="000E570D">
        <w:rPr>
          <w:szCs w:val="24"/>
        </w:rPr>
        <w:t xml:space="preserve">The proposed revisions include substantive changes across three main categories:  </w:t>
      </w:r>
    </w:p>
    <w:p w14:paraId="2C6B77D1" w14:textId="77777777" w:rsidR="008A7F7E" w:rsidRPr="000E570D" w:rsidRDefault="008A7F7E" w:rsidP="008A7F7E">
      <w:pPr>
        <w:widowControl w:val="0"/>
        <w:rPr>
          <w:szCs w:val="24"/>
        </w:rPr>
      </w:pPr>
    </w:p>
    <w:p w14:paraId="31E06531" w14:textId="77777777" w:rsidR="008A7F7E" w:rsidRPr="000E570D" w:rsidRDefault="008A7F7E" w:rsidP="008A7F7E">
      <w:pPr>
        <w:pStyle w:val="ListParagraph"/>
        <w:widowControl w:val="0"/>
        <w:numPr>
          <w:ilvl w:val="0"/>
          <w:numId w:val="1"/>
        </w:numPr>
        <w:rPr>
          <w:rFonts w:eastAsia="Times New Roman" w:cs="Times New Roman"/>
          <w:szCs w:val="24"/>
        </w:rPr>
      </w:pPr>
      <w:r w:rsidRPr="003C513D">
        <w:rPr>
          <w:rFonts w:eastAsia="Times New Roman" w:cs="Times New Roman"/>
          <w:b/>
          <w:bCs/>
          <w:szCs w:val="24"/>
        </w:rPr>
        <w:t xml:space="preserve">General </w:t>
      </w:r>
      <w:proofErr w:type="gramStart"/>
      <w:r w:rsidRPr="003C513D">
        <w:rPr>
          <w:rFonts w:eastAsia="Times New Roman" w:cs="Times New Roman"/>
          <w:b/>
          <w:bCs/>
          <w:szCs w:val="24"/>
        </w:rPr>
        <w:t>modernizing</w:t>
      </w:r>
      <w:proofErr w:type="gramEnd"/>
      <w:r w:rsidRPr="003C513D">
        <w:rPr>
          <w:rFonts w:eastAsia="Times New Roman" w:cs="Times New Roman"/>
          <w:b/>
          <w:bCs/>
          <w:szCs w:val="24"/>
        </w:rPr>
        <w:t xml:space="preserve"> of regulatory language</w:t>
      </w:r>
      <w:r w:rsidRPr="000E570D">
        <w:rPr>
          <w:rFonts w:eastAsia="Times New Roman" w:cs="Times New Roman"/>
          <w:szCs w:val="24"/>
        </w:rPr>
        <w:t xml:space="preserve"> and updates to terminology which align with current industry standards, best practices, and, where applicable, with 105 CMR 164.000 </w:t>
      </w:r>
      <w:r w:rsidRPr="000E570D">
        <w:rPr>
          <w:rFonts w:eastAsia="Times New Roman" w:cs="Times New Roman"/>
          <w:i/>
          <w:iCs/>
          <w:szCs w:val="24"/>
        </w:rPr>
        <w:t>Licensure of Substance Use Disorder Treatment Programs</w:t>
      </w:r>
      <w:r w:rsidRPr="000E570D">
        <w:rPr>
          <w:rFonts w:eastAsia="Times New Roman" w:cs="Times New Roman"/>
          <w:szCs w:val="24"/>
        </w:rPr>
        <w:t>.</w:t>
      </w:r>
    </w:p>
    <w:p w14:paraId="0896E198" w14:textId="77777777" w:rsidR="008A7F7E" w:rsidRPr="000E570D" w:rsidRDefault="008A7F7E" w:rsidP="008A7F7E">
      <w:pPr>
        <w:pStyle w:val="ListParagraph"/>
        <w:widowControl w:val="0"/>
        <w:numPr>
          <w:ilvl w:val="0"/>
          <w:numId w:val="1"/>
        </w:numPr>
        <w:rPr>
          <w:rFonts w:eastAsia="Times New Roman" w:cs="Times New Roman"/>
          <w:szCs w:val="24"/>
        </w:rPr>
      </w:pPr>
      <w:r w:rsidRPr="003C513D">
        <w:rPr>
          <w:rFonts w:eastAsia="Times New Roman" w:cs="Times New Roman"/>
          <w:b/>
          <w:bCs/>
          <w:szCs w:val="24"/>
        </w:rPr>
        <w:t>Re-organization of sections</w:t>
      </w:r>
      <w:r w:rsidRPr="000E570D">
        <w:rPr>
          <w:rFonts w:eastAsia="Times New Roman" w:cs="Times New Roman"/>
          <w:szCs w:val="24"/>
        </w:rPr>
        <w:t xml:space="preserve"> and entitling sections using </w:t>
      </w:r>
      <w:r>
        <w:rPr>
          <w:rFonts w:eastAsia="Times New Roman" w:cs="Times New Roman"/>
          <w:szCs w:val="24"/>
        </w:rPr>
        <w:t xml:space="preserve">updated </w:t>
      </w:r>
      <w:r w:rsidRPr="000E570D">
        <w:rPr>
          <w:rFonts w:eastAsia="Times New Roman" w:cs="Times New Roman"/>
          <w:szCs w:val="24"/>
        </w:rPr>
        <w:t>language</w:t>
      </w:r>
      <w:r>
        <w:rPr>
          <w:rFonts w:eastAsia="Times New Roman" w:cs="Times New Roman"/>
          <w:szCs w:val="24"/>
        </w:rPr>
        <w:t>.</w:t>
      </w:r>
    </w:p>
    <w:p w14:paraId="1F594110" w14:textId="77777777" w:rsidR="008A7F7E" w:rsidRDefault="008A7F7E" w:rsidP="008A7F7E">
      <w:pPr>
        <w:pStyle w:val="ListParagraph"/>
        <w:widowControl w:val="0"/>
        <w:numPr>
          <w:ilvl w:val="0"/>
          <w:numId w:val="1"/>
        </w:numPr>
        <w:rPr>
          <w:rFonts w:cs="Times New Roman"/>
          <w:szCs w:val="24"/>
        </w:rPr>
      </w:pPr>
      <w:r w:rsidRPr="003C513D">
        <w:rPr>
          <w:rFonts w:eastAsia="Times New Roman" w:cs="Times New Roman"/>
          <w:b/>
          <w:bCs/>
          <w:szCs w:val="24"/>
        </w:rPr>
        <w:t>Implementation of a new Standards of Practice section</w:t>
      </w:r>
      <w:r w:rsidRPr="000E570D">
        <w:rPr>
          <w:rFonts w:eastAsia="Times New Roman" w:cs="Times New Roman"/>
          <w:szCs w:val="24"/>
        </w:rPr>
        <w:t xml:space="preserve"> that support</w:t>
      </w:r>
      <w:r>
        <w:rPr>
          <w:rFonts w:eastAsia="Times New Roman" w:cs="Times New Roman"/>
          <w:szCs w:val="24"/>
        </w:rPr>
        <w:t>s</w:t>
      </w:r>
      <w:r w:rsidRPr="000E570D">
        <w:rPr>
          <w:rFonts w:eastAsia="Times New Roman" w:cs="Times New Roman"/>
          <w:szCs w:val="24"/>
        </w:rPr>
        <w:t xml:space="preserve"> the continuum of substance use disorder treatment and recovery-oriented services in the Commonwealth.  These standards provide a framework for </w:t>
      </w:r>
      <w:r w:rsidRPr="000E570D">
        <w:rPr>
          <w:rFonts w:cs="Times New Roman"/>
          <w:szCs w:val="24"/>
        </w:rPr>
        <w:t>licensees</w:t>
      </w:r>
      <w:r w:rsidRPr="000E570D">
        <w:rPr>
          <w:rFonts w:eastAsia="Times New Roman" w:cs="Times New Roman"/>
          <w:szCs w:val="24"/>
        </w:rPr>
        <w:t xml:space="preserve"> as they</w:t>
      </w:r>
      <w:r w:rsidRPr="000E570D">
        <w:rPr>
          <w:rFonts w:cs="Times New Roman"/>
          <w:szCs w:val="24"/>
        </w:rPr>
        <w:t xml:space="preserve"> provide essential clinical services to ensure the best care and positive outcomes for a vulnerable patient population </w:t>
      </w:r>
      <w:r w:rsidRPr="000E570D">
        <w:rPr>
          <w:rFonts w:cs="Times New Roman"/>
          <w:szCs w:val="24"/>
        </w:rPr>
        <w:lastRenderedPageBreak/>
        <w:t>and promote public health, safety and welfare.</w:t>
      </w:r>
    </w:p>
    <w:p w14:paraId="3E21C92C" w14:textId="77777777" w:rsidR="008A7F7E" w:rsidRDefault="008A7F7E" w:rsidP="008A7F7E">
      <w:pPr>
        <w:widowControl w:val="0"/>
        <w:rPr>
          <w:szCs w:val="24"/>
        </w:rPr>
      </w:pPr>
    </w:p>
    <w:p w14:paraId="312F65F7" w14:textId="77777777" w:rsidR="008A7F7E" w:rsidRDefault="008A7F7E" w:rsidP="008A7F7E">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Together, these amendments are</w:t>
      </w:r>
      <w:r w:rsidRPr="00546C0F">
        <w:rPr>
          <w:rFonts w:ascii="Times New Roman" w:eastAsia="Times New Roman" w:hAnsi="Times New Roman" w:cs="Times New Roman"/>
          <w:sz w:val="24"/>
          <w:szCs w:val="24"/>
        </w:rPr>
        <w:t xml:space="preserve"> intended to create a robust set of regulations that serve as a roadmap for clinicians wishing to obtain licensure to specialize in serving individuals with substance use disorders. The revisions to the regulation also set forth clear standards for provisions of services a</w:t>
      </w:r>
      <w:r>
        <w:rPr>
          <w:rFonts w:ascii="Times New Roman" w:eastAsia="Times New Roman" w:hAnsi="Times New Roman" w:cs="Times New Roman"/>
          <w:sz w:val="24"/>
          <w:szCs w:val="24"/>
        </w:rPr>
        <w:t>nd</w:t>
      </w:r>
      <w:r w:rsidRPr="00546C0F">
        <w:rPr>
          <w:rFonts w:ascii="Times New Roman" w:eastAsia="Times New Roman" w:hAnsi="Times New Roman" w:cs="Times New Roman"/>
          <w:sz w:val="24"/>
          <w:szCs w:val="24"/>
        </w:rPr>
        <w:t xml:space="preserve"> for maintaining records in line with similar clinical professional standards.</w:t>
      </w:r>
    </w:p>
    <w:p w14:paraId="02678B6D" w14:textId="77777777" w:rsidR="008A7F7E" w:rsidRPr="00C82FE0" w:rsidRDefault="008A7F7E" w:rsidP="008A7F7E">
      <w:pPr>
        <w:rPr>
          <w:szCs w:val="24"/>
        </w:rPr>
      </w:pPr>
    </w:p>
    <w:p w14:paraId="595C8E24" w14:textId="77777777" w:rsidR="008A7F7E" w:rsidRPr="00C82FE0" w:rsidRDefault="008A7F7E" w:rsidP="008A7F7E">
      <w:pPr>
        <w:rPr>
          <w:szCs w:val="24"/>
        </w:rPr>
      </w:pPr>
      <w:r w:rsidRPr="00C82FE0">
        <w:rPr>
          <w:szCs w:val="24"/>
        </w:rPr>
        <w:t xml:space="preserve">The draft regulation is divided into three sections: </w:t>
      </w:r>
    </w:p>
    <w:p w14:paraId="4EC5E81A" w14:textId="77777777" w:rsidR="008A7F7E" w:rsidRPr="00C82FE0" w:rsidRDefault="008A7F7E" w:rsidP="008A7F7E">
      <w:pPr>
        <w:pStyle w:val="ListParagraph"/>
        <w:rPr>
          <w:rFonts w:cs="Times New Roman"/>
          <w:szCs w:val="24"/>
        </w:rPr>
      </w:pPr>
    </w:p>
    <w:p w14:paraId="196602F1" w14:textId="77777777" w:rsidR="008A7F7E" w:rsidRDefault="008A7F7E" w:rsidP="008A7F7E">
      <w:pPr>
        <w:pStyle w:val="ListParagraph"/>
        <w:widowControl w:val="0"/>
        <w:numPr>
          <w:ilvl w:val="0"/>
          <w:numId w:val="3"/>
        </w:numPr>
        <w:rPr>
          <w:rFonts w:eastAsia="Times New Roman" w:cs="Times New Roman"/>
          <w:szCs w:val="24"/>
        </w:rPr>
      </w:pPr>
      <w:r w:rsidRPr="00C82FE0">
        <w:rPr>
          <w:rFonts w:cs="Times New Roman"/>
          <w:b/>
          <w:szCs w:val="24"/>
        </w:rPr>
        <w:t>Purpose, Citation, Scope, and Definitions</w:t>
      </w:r>
      <w:r w:rsidRPr="00C82FE0">
        <w:rPr>
          <w:rFonts w:cs="Times New Roman"/>
          <w:szCs w:val="24"/>
        </w:rPr>
        <w:t>:</w:t>
      </w:r>
      <w:r w:rsidRPr="00C82FE0">
        <w:rPr>
          <w:rFonts w:eastAsia="Times New Roman" w:cs="Times New Roman"/>
          <w:szCs w:val="24"/>
        </w:rPr>
        <w:t xml:space="preserve"> This section provides the purpose, scope, appropriate citation, and a list of key terms and their meaning in the context of the overarching regulation and statute.</w:t>
      </w:r>
    </w:p>
    <w:p w14:paraId="798B94B0" w14:textId="77777777" w:rsidR="008A7F7E" w:rsidRPr="0054148E" w:rsidRDefault="008A7F7E" w:rsidP="008A7F7E">
      <w:pPr>
        <w:pStyle w:val="ListParagraph"/>
        <w:widowControl w:val="0"/>
        <w:numPr>
          <w:ilvl w:val="0"/>
          <w:numId w:val="3"/>
        </w:numPr>
        <w:rPr>
          <w:rFonts w:eastAsia="Times New Roman" w:cs="Times New Roman"/>
          <w:szCs w:val="24"/>
        </w:rPr>
      </w:pPr>
      <w:r w:rsidRPr="0054148E">
        <w:rPr>
          <w:rFonts w:cs="Times New Roman"/>
          <w:b/>
          <w:szCs w:val="24"/>
        </w:rPr>
        <w:t>Part One - Licensing Procedures and Requirements</w:t>
      </w:r>
      <w:r w:rsidRPr="0054148E">
        <w:rPr>
          <w:rFonts w:cs="Times New Roman"/>
          <w:szCs w:val="24"/>
        </w:rPr>
        <w:t>:</w:t>
      </w:r>
      <w:r w:rsidRPr="0054148E">
        <w:rPr>
          <w:rFonts w:cs="Times New Roman"/>
          <w:b/>
          <w:szCs w:val="24"/>
        </w:rPr>
        <w:t xml:space="preserve"> </w:t>
      </w:r>
      <w:r w:rsidRPr="0054148E">
        <w:rPr>
          <w:rFonts w:cs="Times New Roman"/>
          <w:szCs w:val="24"/>
        </w:rPr>
        <w:t>This section covers the administrative and operational requirements that the Department is responsible for in carrying out the licensure of alcohol and drug counselors, and includes the eligibility requirements associated with LADC I, LADC II and LADC Assistant licenses, as well as license renewal and continuing education requirements.</w:t>
      </w:r>
    </w:p>
    <w:p w14:paraId="7AD42C87" w14:textId="77777777" w:rsidR="008A7F7E" w:rsidRPr="007B1D44" w:rsidRDefault="008A7F7E" w:rsidP="008A7F7E">
      <w:pPr>
        <w:pStyle w:val="ListParagraph"/>
        <w:widowControl w:val="0"/>
        <w:numPr>
          <w:ilvl w:val="0"/>
          <w:numId w:val="3"/>
        </w:numPr>
        <w:rPr>
          <w:rFonts w:eastAsia="Times New Roman" w:cs="Times New Roman"/>
          <w:szCs w:val="24"/>
        </w:rPr>
      </w:pPr>
      <w:r w:rsidRPr="007B1D44">
        <w:rPr>
          <w:rFonts w:cs="Times New Roman"/>
          <w:b/>
          <w:szCs w:val="24"/>
        </w:rPr>
        <w:t>Part Two - Standards of Practice</w:t>
      </w:r>
      <w:r w:rsidRPr="007B1D44">
        <w:rPr>
          <w:rFonts w:cs="Times New Roman"/>
          <w:szCs w:val="24"/>
        </w:rPr>
        <w:t xml:space="preserve">: This newly created Part Two sets forth standards of practice for all </w:t>
      </w:r>
      <w:proofErr w:type="gramStart"/>
      <w:r w:rsidRPr="007B1D44">
        <w:rPr>
          <w:rFonts w:cs="Times New Roman"/>
          <w:szCs w:val="24"/>
        </w:rPr>
        <w:t>licensees</w:t>
      </w:r>
      <w:proofErr w:type="gramEnd"/>
      <w:r w:rsidRPr="007B1D44">
        <w:rPr>
          <w:rFonts w:cs="Times New Roman"/>
          <w:szCs w:val="24"/>
        </w:rPr>
        <w:t xml:space="preserve">. These standards include the new sections on scope of practice, patient records access and storage, and expansion of language associated with counselor code of ethics.  </w:t>
      </w:r>
    </w:p>
    <w:p w14:paraId="38BD3C57" w14:textId="77777777" w:rsidR="008A7F7E" w:rsidRPr="000E570D" w:rsidRDefault="008A7F7E" w:rsidP="008A7F7E">
      <w:pPr>
        <w:widowControl w:val="0"/>
        <w:rPr>
          <w:b/>
          <w:bCs/>
          <w:i/>
          <w:iCs/>
          <w:szCs w:val="24"/>
        </w:rPr>
      </w:pPr>
    </w:p>
    <w:p w14:paraId="4EC0B4D7" w14:textId="77777777" w:rsidR="008A7F7E" w:rsidRPr="000E570D" w:rsidRDefault="008A7F7E" w:rsidP="008A7F7E">
      <w:pPr>
        <w:widowControl w:val="0"/>
        <w:rPr>
          <w:i/>
          <w:iCs/>
          <w:szCs w:val="24"/>
          <w:u w:val="single"/>
        </w:rPr>
      </w:pPr>
      <w:r w:rsidRPr="000E570D">
        <w:rPr>
          <w:i/>
          <w:iCs/>
          <w:szCs w:val="24"/>
          <w:u w:val="single"/>
        </w:rPr>
        <w:t>Summary of Amendments by Part and Section</w:t>
      </w:r>
    </w:p>
    <w:p w14:paraId="51E670C6" w14:textId="77777777" w:rsidR="008A7F7E" w:rsidRPr="000E570D" w:rsidRDefault="008A7F7E" w:rsidP="008A7F7E">
      <w:pPr>
        <w:widowControl w:val="0"/>
        <w:rPr>
          <w:b/>
          <w:bCs/>
          <w:szCs w:val="24"/>
          <w:u w:val="single"/>
        </w:rPr>
      </w:pPr>
    </w:p>
    <w:p w14:paraId="10813F83" w14:textId="77777777" w:rsidR="008A7F7E" w:rsidRPr="000E570D" w:rsidRDefault="008A7F7E" w:rsidP="008A7F7E">
      <w:pPr>
        <w:widowControl w:val="0"/>
        <w:rPr>
          <w:b/>
          <w:bCs/>
          <w:szCs w:val="24"/>
        </w:rPr>
      </w:pPr>
      <w:r w:rsidRPr="000E570D">
        <w:rPr>
          <w:b/>
          <w:bCs/>
          <w:szCs w:val="24"/>
        </w:rPr>
        <w:t xml:space="preserve">A. PURPOSE, CITATION, SCOPE, AND DEFINITIONS </w:t>
      </w:r>
    </w:p>
    <w:p w14:paraId="496E476D" w14:textId="77777777" w:rsidR="008A7F7E" w:rsidRPr="000E570D" w:rsidRDefault="008A7F7E" w:rsidP="008A7F7E">
      <w:pPr>
        <w:widowControl w:val="0"/>
        <w:rPr>
          <w:b/>
          <w:bCs/>
          <w:szCs w:val="24"/>
        </w:rPr>
      </w:pPr>
    </w:p>
    <w:p w14:paraId="26B6FB56" w14:textId="77777777" w:rsidR="008A7F7E" w:rsidRDefault="008A7F7E" w:rsidP="008A7F7E">
      <w:pPr>
        <w:widowControl w:val="0"/>
        <w:rPr>
          <w:szCs w:val="24"/>
        </w:rPr>
      </w:pPr>
      <w:r>
        <w:rPr>
          <w:b/>
          <w:bCs/>
          <w:szCs w:val="24"/>
        </w:rPr>
        <w:t xml:space="preserve">168.001: </w:t>
      </w:r>
      <w:r w:rsidRPr="000E570D">
        <w:rPr>
          <w:b/>
          <w:bCs/>
          <w:szCs w:val="24"/>
        </w:rPr>
        <w:t xml:space="preserve">Purpose: </w:t>
      </w:r>
      <w:r>
        <w:rPr>
          <w:szCs w:val="24"/>
        </w:rPr>
        <w:t>R</w:t>
      </w:r>
      <w:r w:rsidRPr="000E570D">
        <w:rPr>
          <w:szCs w:val="24"/>
        </w:rPr>
        <w:t>evised to indicate the expansion of regulatory language around standards of practice.</w:t>
      </w:r>
    </w:p>
    <w:p w14:paraId="54D4EACE" w14:textId="77777777" w:rsidR="008A7F7E" w:rsidRDefault="008A7F7E" w:rsidP="008A7F7E">
      <w:pPr>
        <w:widowControl w:val="0"/>
        <w:rPr>
          <w:szCs w:val="24"/>
        </w:rPr>
      </w:pPr>
    </w:p>
    <w:p w14:paraId="0740D581" w14:textId="77777777" w:rsidR="008A7F7E" w:rsidRPr="000E570D" w:rsidRDefault="008A7F7E" w:rsidP="008A7F7E">
      <w:pPr>
        <w:rPr>
          <w:szCs w:val="24"/>
        </w:rPr>
      </w:pPr>
      <w:r>
        <w:rPr>
          <w:b/>
          <w:bCs/>
          <w:szCs w:val="24"/>
        </w:rPr>
        <w:t xml:space="preserve">168.002: </w:t>
      </w:r>
      <w:r w:rsidRPr="00546C0F">
        <w:rPr>
          <w:b/>
          <w:bCs/>
          <w:szCs w:val="24"/>
        </w:rPr>
        <w:t>Authority:</w:t>
      </w:r>
      <w:r w:rsidRPr="00546C0F">
        <w:rPr>
          <w:szCs w:val="24"/>
        </w:rPr>
        <w:t xml:space="preserve"> Propose removing this section </w:t>
      </w:r>
      <w:r>
        <w:rPr>
          <w:szCs w:val="24"/>
        </w:rPr>
        <w:t>as</w:t>
      </w:r>
      <w:r w:rsidRPr="00546C0F">
        <w:rPr>
          <w:szCs w:val="24"/>
        </w:rPr>
        <w:t xml:space="preserve"> it </w:t>
      </w:r>
      <w:r>
        <w:rPr>
          <w:szCs w:val="24"/>
        </w:rPr>
        <w:t>is</w:t>
      </w:r>
      <w:r w:rsidRPr="00546C0F">
        <w:rPr>
          <w:szCs w:val="24"/>
        </w:rPr>
        <w:t xml:space="preserve"> duplicative</w:t>
      </w:r>
      <w:r>
        <w:rPr>
          <w:szCs w:val="24"/>
        </w:rPr>
        <w:t xml:space="preserve">; </w:t>
      </w:r>
      <w:r w:rsidRPr="00546C0F">
        <w:rPr>
          <w:szCs w:val="24"/>
        </w:rPr>
        <w:t>the statutory authority for these regulations is provided at the end of the regulation.</w:t>
      </w:r>
    </w:p>
    <w:p w14:paraId="5D4B6238" w14:textId="77777777" w:rsidR="008A7F7E" w:rsidRPr="000E570D" w:rsidRDefault="008A7F7E" w:rsidP="008A7F7E">
      <w:pPr>
        <w:widowControl w:val="0"/>
        <w:rPr>
          <w:szCs w:val="24"/>
        </w:rPr>
      </w:pPr>
    </w:p>
    <w:p w14:paraId="3003EC91" w14:textId="77777777" w:rsidR="008A7F7E" w:rsidRPr="000E570D" w:rsidRDefault="008A7F7E" w:rsidP="008A7F7E">
      <w:pPr>
        <w:widowControl w:val="0"/>
        <w:rPr>
          <w:szCs w:val="24"/>
        </w:rPr>
      </w:pPr>
      <w:r>
        <w:rPr>
          <w:b/>
          <w:bCs/>
          <w:szCs w:val="24"/>
        </w:rPr>
        <w:t xml:space="preserve">168.002: </w:t>
      </w:r>
      <w:r w:rsidRPr="000E570D">
        <w:rPr>
          <w:b/>
          <w:bCs/>
          <w:szCs w:val="24"/>
        </w:rPr>
        <w:t>Scope:</w:t>
      </w:r>
      <w:r w:rsidRPr="000E570D">
        <w:rPr>
          <w:szCs w:val="24"/>
        </w:rPr>
        <w:t xml:space="preserve"> A new scope section has been added to clarify the scope of the regulations and to mirror the 105 CMR 164.000 </w:t>
      </w:r>
      <w:r w:rsidRPr="00C860F9" w:rsidDel="00C860F9">
        <w:rPr>
          <w:szCs w:val="24"/>
        </w:rPr>
        <w:t>regulation</w:t>
      </w:r>
      <w:r w:rsidRPr="000E570D">
        <w:rPr>
          <w:szCs w:val="24"/>
        </w:rPr>
        <w:t>.</w:t>
      </w:r>
    </w:p>
    <w:p w14:paraId="21973192" w14:textId="77777777" w:rsidR="008A7F7E" w:rsidRPr="000E570D" w:rsidRDefault="008A7F7E" w:rsidP="008A7F7E">
      <w:pPr>
        <w:widowControl w:val="0"/>
        <w:rPr>
          <w:szCs w:val="24"/>
        </w:rPr>
      </w:pPr>
    </w:p>
    <w:p w14:paraId="40557F09" w14:textId="77777777" w:rsidR="008A7F7E" w:rsidRPr="000E570D" w:rsidRDefault="008A7F7E" w:rsidP="008A7F7E">
      <w:pPr>
        <w:rPr>
          <w:rStyle w:val="normaltextrun"/>
          <w:szCs w:val="24"/>
        </w:rPr>
      </w:pPr>
      <w:r>
        <w:rPr>
          <w:b/>
          <w:bCs/>
          <w:szCs w:val="24"/>
        </w:rPr>
        <w:t xml:space="preserve">168.004: </w:t>
      </w:r>
      <w:r w:rsidRPr="000E570D">
        <w:rPr>
          <w:b/>
          <w:bCs/>
          <w:szCs w:val="24"/>
        </w:rPr>
        <w:t>Definitions</w:t>
      </w:r>
      <w:r w:rsidRPr="000E570D">
        <w:rPr>
          <w:szCs w:val="24"/>
        </w:rPr>
        <w:t xml:space="preserve">: Terminology was added and revised to fill gaps and align with current industry standards. </w:t>
      </w:r>
      <w:bookmarkStart w:id="1" w:name="_Hlk100823059"/>
    </w:p>
    <w:p w14:paraId="2AF763AC" w14:textId="77777777" w:rsidR="008A7F7E" w:rsidRPr="000E570D" w:rsidRDefault="008A7F7E" w:rsidP="008A7F7E">
      <w:pPr>
        <w:pStyle w:val="ListParagraph"/>
        <w:rPr>
          <w:rStyle w:val="normaltextrun"/>
          <w:rFonts w:cs="Times New Roman"/>
          <w:b/>
          <w:bCs/>
          <w:color w:val="0000FF"/>
          <w:szCs w:val="24"/>
          <w:shd w:val="clear" w:color="auto" w:fill="FFFFFF"/>
        </w:rPr>
      </w:pPr>
    </w:p>
    <w:bookmarkEnd w:id="1"/>
    <w:p w14:paraId="6FB78A6F" w14:textId="77777777" w:rsidR="008A7F7E" w:rsidRPr="000E570D" w:rsidRDefault="008A7F7E" w:rsidP="008A7F7E">
      <w:pPr>
        <w:tabs>
          <w:tab w:val="left" w:pos="1080"/>
        </w:tabs>
        <w:rPr>
          <w:b/>
          <w:bCs/>
          <w:szCs w:val="24"/>
        </w:rPr>
      </w:pPr>
      <w:r w:rsidRPr="000E570D">
        <w:rPr>
          <w:b/>
          <w:bCs/>
          <w:szCs w:val="24"/>
        </w:rPr>
        <w:t>B. PART ONE: LICENSING PROCEDURES AND REQUIREMENTS</w:t>
      </w:r>
    </w:p>
    <w:p w14:paraId="6F46B311" w14:textId="77777777" w:rsidR="008A7F7E" w:rsidRPr="000E570D" w:rsidRDefault="008A7F7E" w:rsidP="008A7F7E">
      <w:pPr>
        <w:tabs>
          <w:tab w:val="left" w:pos="1080"/>
        </w:tabs>
        <w:rPr>
          <w:b/>
          <w:bCs/>
          <w:szCs w:val="24"/>
        </w:rPr>
      </w:pPr>
    </w:p>
    <w:p w14:paraId="06507F00" w14:textId="77777777" w:rsidR="008A7F7E" w:rsidRPr="000E570D" w:rsidRDefault="008A7F7E" w:rsidP="008A7F7E">
      <w:pPr>
        <w:widowControl w:val="0"/>
        <w:rPr>
          <w:szCs w:val="24"/>
        </w:rPr>
      </w:pPr>
      <w:r>
        <w:rPr>
          <w:szCs w:val="24"/>
        </w:rPr>
        <w:t>The Department proposes re-naming this section to:</w:t>
      </w:r>
      <w:r w:rsidRPr="000E570D">
        <w:rPr>
          <w:szCs w:val="24"/>
        </w:rPr>
        <w:t xml:space="preserve"> </w:t>
      </w:r>
      <w:r>
        <w:rPr>
          <w:szCs w:val="24"/>
        </w:rPr>
        <w:t>“</w:t>
      </w:r>
      <w:r w:rsidRPr="000E570D">
        <w:rPr>
          <w:szCs w:val="24"/>
        </w:rPr>
        <w:t>Licensing Procedures and Requirements</w:t>
      </w:r>
      <w:r>
        <w:rPr>
          <w:szCs w:val="24"/>
        </w:rPr>
        <w:t>,”</w:t>
      </w:r>
      <w:r w:rsidRPr="000E570D">
        <w:rPr>
          <w:szCs w:val="24"/>
        </w:rPr>
        <w:t xml:space="preserve"> to reflect the content and purpose of the regulatory language contained therein. The following </w:t>
      </w:r>
      <w:r>
        <w:rPr>
          <w:szCs w:val="24"/>
        </w:rPr>
        <w:t>outlines</w:t>
      </w:r>
      <w:r w:rsidRPr="000E570D">
        <w:rPr>
          <w:szCs w:val="24"/>
        </w:rPr>
        <w:t xml:space="preserve"> each </w:t>
      </w:r>
      <w:r>
        <w:rPr>
          <w:szCs w:val="24"/>
        </w:rPr>
        <w:t>sub-</w:t>
      </w:r>
      <w:r w:rsidRPr="000E570D">
        <w:rPr>
          <w:szCs w:val="24"/>
        </w:rPr>
        <w:t>section</w:t>
      </w:r>
      <w:r>
        <w:rPr>
          <w:szCs w:val="24"/>
        </w:rPr>
        <w:t xml:space="preserve">’s </w:t>
      </w:r>
      <w:r w:rsidRPr="000E570D">
        <w:rPr>
          <w:szCs w:val="24"/>
        </w:rPr>
        <w:t>proposed amendments:</w:t>
      </w:r>
    </w:p>
    <w:p w14:paraId="5924E529" w14:textId="77777777" w:rsidR="008A7F7E" w:rsidRPr="000E570D" w:rsidRDefault="008A7F7E" w:rsidP="008A7F7E">
      <w:pPr>
        <w:widowControl w:val="0"/>
        <w:rPr>
          <w:szCs w:val="24"/>
        </w:rPr>
      </w:pPr>
    </w:p>
    <w:p w14:paraId="77783EA4" w14:textId="77777777" w:rsidR="008A7F7E" w:rsidRDefault="008A7F7E" w:rsidP="008A7F7E">
      <w:r>
        <w:rPr>
          <w:b/>
          <w:bCs/>
          <w:szCs w:val="24"/>
        </w:rPr>
        <w:t xml:space="preserve">168.006: </w:t>
      </w:r>
      <w:r w:rsidRPr="000E570D">
        <w:rPr>
          <w:b/>
          <w:bCs/>
        </w:rPr>
        <w:t>Eligibility Requirements</w:t>
      </w:r>
    </w:p>
    <w:p w14:paraId="5B08173B" w14:textId="77777777" w:rsidR="008A7F7E" w:rsidRDefault="008A7F7E" w:rsidP="008A7F7E">
      <w:pPr>
        <w:pStyle w:val="ListParagraph"/>
        <w:numPr>
          <w:ilvl w:val="0"/>
          <w:numId w:val="4"/>
        </w:numPr>
      </w:pPr>
      <w:r w:rsidRPr="00546C0F">
        <w:lastRenderedPageBreak/>
        <w:t>Substantive change to 168.006 A (2), which applies to LADC I applicants</w:t>
      </w:r>
      <w:r w:rsidRPr="009F61B1">
        <w:t>;</w:t>
      </w:r>
      <w:r w:rsidRPr="00546C0F">
        <w:t xml:space="preserve"> amended to allow applicants who have a Master’s or Doctoral degree in a field closely related to Behavioral </w:t>
      </w:r>
      <w:r>
        <w:t>Health and/or Human Services</w:t>
      </w:r>
      <w:r w:rsidRPr="00546C0F">
        <w:t xml:space="preserve"> to be considered eligible for licensure.</w:t>
      </w:r>
      <w:r w:rsidRPr="009F61B1">
        <w:t xml:space="preserve"> </w:t>
      </w:r>
      <w:r w:rsidRPr="00546C0F">
        <w:t xml:space="preserve">This allows the Department discretion in evaluating the relevance of the degree to broaden the scope of eligible applicants. </w:t>
      </w:r>
    </w:p>
    <w:p w14:paraId="607023CC" w14:textId="77777777" w:rsidR="008A7F7E" w:rsidRDefault="008A7F7E" w:rsidP="008A7F7E">
      <w:pPr>
        <w:pStyle w:val="ListParagraph"/>
        <w:numPr>
          <w:ilvl w:val="0"/>
          <w:numId w:val="4"/>
        </w:numPr>
      </w:pPr>
      <w:r w:rsidRPr="00EF5A60">
        <w:t xml:space="preserve">Minor formatting and language revisions. </w:t>
      </w:r>
    </w:p>
    <w:p w14:paraId="491A427E" w14:textId="77777777" w:rsidR="008A7F7E" w:rsidRPr="000E570D" w:rsidRDefault="008A7F7E" w:rsidP="008A7F7E">
      <w:pPr>
        <w:pStyle w:val="ListParagraph"/>
        <w:numPr>
          <w:ilvl w:val="0"/>
          <w:numId w:val="4"/>
        </w:numPr>
      </w:pPr>
      <w:r w:rsidRPr="000E570D">
        <w:t xml:space="preserve">The definition of Behavioral Sciences has been struck, </w:t>
      </w:r>
      <w:r w:rsidRPr="009F61B1">
        <w:t>as</w:t>
      </w:r>
      <w:r w:rsidRPr="000E570D">
        <w:t xml:space="preserve"> it is outdated.</w:t>
      </w:r>
    </w:p>
    <w:p w14:paraId="0F75BF82" w14:textId="77777777" w:rsidR="008A7F7E" w:rsidRDefault="008A7F7E" w:rsidP="008A7F7E">
      <w:pPr>
        <w:widowControl w:val="0"/>
        <w:rPr>
          <w:b/>
          <w:bCs/>
          <w:szCs w:val="24"/>
        </w:rPr>
      </w:pPr>
    </w:p>
    <w:p w14:paraId="334088A3" w14:textId="77777777" w:rsidR="008A7F7E" w:rsidRDefault="008A7F7E" w:rsidP="008A7F7E">
      <w:pPr>
        <w:widowControl w:val="0"/>
        <w:rPr>
          <w:szCs w:val="24"/>
        </w:rPr>
      </w:pPr>
      <w:r>
        <w:rPr>
          <w:b/>
          <w:bCs/>
          <w:szCs w:val="24"/>
        </w:rPr>
        <w:t xml:space="preserve">168.007: </w:t>
      </w:r>
      <w:r w:rsidRPr="000E570D">
        <w:rPr>
          <w:b/>
          <w:bCs/>
          <w:szCs w:val="24"/>
        </w:rPr>
        <w:t>Application for Licensure</w:t>
      </w:r>
    </w:p>
    <w:p w14:paraId="4DC6A7B6" w14:textId="77777777" w:rsidR="008A7F7E" w:rsidRDefault="008A7F7E" w:rsidP="008A7F7E">
      <w:pPr>
        <w:pStyle w:val="ListParagraph"/>
        <w:widowControl w:val="0"/>
        <w:numPr>
          <w:ilvl w:val="0"/>
          <w:numId w:val="5"/>
        </w:numPr>
        <w:rPr>
          <w:rFonts w:eastAsia="Times New Roman" w:cs="Times New Roman"/>
          <w:szCs w:val="24"/>
        </w:rPr>
      </w:pPr>
      <w:r w:rsidRPr="00C51451">
        <w:rPr>
          <w:rFonts w:eastAsia="Times New Roman" w:cs="Times New Roman"/>
          <w:szCs w:val="24"/>
        </w:rPr>
        <w:t>Proposed amendments include updating t</w:t>
      </w:r>
      <w:r w:rsidRPr="00FA2A63">
        <w:rPr>
          <w:rFonts w:eastAsia="Times New Roman" w:cs="Times New Roman"/>
          <w:szCs w:val="24"/>
        </w:rPr>
        <w:t>he title of this Section to align with current standard operating procedures</w:t>
      </w:r>
      <w:r w:rsidRPr="000E570D">
        <w:rPr>
          <w:rFonts w:eastAsia="Times New Roman" w:cs="Times New Roman"/>
          <w:szCs w:val="24"/>
        </w:rPr>
        <w:t xml:space="preserve">, which allow applicants to test at their convenience through approved exam administrators. </w:t>
      </w:r>
    </w:p>
    <w:p w14:paraId="591CCA6E" w14:textId="77777777" w:rsidR="008A7F7E" w:rsidRPr="000E570D" w:rsidRDefault="008A7F7E" w:rsidP="008A7F7E">
      <w:pPr>
        <w:pStyle w:val="ListParagraph"/>
        <w:widowControl w:val="0"/>
        <w:numPr>
          <w:ilvl w:val="0"/>
          <w:numId w:val="5"/>
        </w:numPr>
        <w:rPr>
          <w:rFonts w:eastAsia="Times New Roman" w:cs="Times New Roman"/>
          <w:szCs w:val="24"/>
        </w:rPr>
      </w:pPr>
      <w:r w:rsidRPr="000E570D">
        <w:rPr>
          <w:rFonts w:eastAsia="Times New Roman" w:cs="Times New Roman"/>
          <w:szCs w:val="24"/>
        </w:rPr>
        <w:t xml:space="preserve">Language was struck that directed applicants to apply to the Department to take the required examination. This language </w:t>
      </w:r>
      <w:r>
        <w:rPr>
          <w:rFonts w:eastAsia="Times New Roman" w:cs="Times New Roman"/>
          <w:szCs w:val="24"/>
        </w:rPr>
        <w:t>was</w:t>
      </w:r>
      <w:r w:rsidRPr="000E570D">
        <w:rPr>
          <w:rFonts w:eastAsia="Times New Roman" w:cs="Times New Roman"/>
          <w:szCs w:val="24"/>
        </w:rPr>
        <w:t xml:space="preserve"> conflicting</w:t>
      </w:r>
      <w:r>
        <w:rPr>
          <w:rFonts w:eastAsia="Times New Roman" w:cs="Times New Roman"/>
          <w:szCs w:val="24"/>
        </w:rPr>
        <w:t>,</w:t>
      </w:r>
      <w:r w:rsidRPr="000E570D">
        <w:rPr>
          <w:rFonts w:eastAsia="Times New Roman" w:cs="Times New Roman"/>
          <w:szCs w:val="24"/>
        </w:rPr>
        <w:t xml:space="preserve"> as exams are not administered by the Department, nor does the Department process applications for the examination</w:t>
      </w:r>
      <w:r>
        <w:rPr>
          <w:rFonts w:eastAsia="Times New Roman" w:cs="Times New Roman"/>
          <w:szCs w:val="24"/>
        </w:rPr>
        <w:t>; a</w:t>
      </w:r>
      <w:r w:rsidRPr="000E570D">
        <w:rPr>
          <w:rFonts w:eastAsia="Times New Roman" w:cs="Times New Roman"/>
          <w:szCs w:val="24"/>
        </w:rPr>
        <w:t>pplications are processed for licensure.</w:t>
      </w:r>
    </w:p>
    <w:p w14:paraId="408ECB95" w14:textId="77777777" w:rsidR="008A7F7E" w:rsidRDefault="008A7F7E" w:rsidP="008A7F7E">
      <w:pPr>
        <w:widowControl w:val="0"/>
        <w:rPr>
          <w:b/>
          <w:bCs/>
          <w:szCs w:val="24"/>
        </w:rPr>
      </w:pPr>
    </w:p>
    <w:p w14:paraId="4124E301" w14:textId="77777777" w:rsidR="008A7F7E" w:rsidRPr="000E570D" w:rsidRDefault="008A7F7E" w:rsidP="008A7F7E">
      <w:pPr>
        <w:widowControl w:val="0"/>
        <w:rPr>
          <w:szCs w:val="24"/>
        </w:rPr>
      </w:pPr>
      <w:r>
        <w:rPr>
          <w:b/>
          <w:bCs/>
          <w:szCs w:val="24"/>
        </w:rPr>
        <w:t xml:space="preserve">168.008: </w:t>
      </w:r>
      <w:r w:rsidRPr="000E570D">
        <w:rPr>
          <w:b/>
          <w:bCs/>
          <w:szCs w:val="24"/>
        </w:rPr>
        <w:t>Evaluation of Application</w:t>
      </w:r>
      <w:r>
        <w:rPr>
          <w:b/>
          <w:bCs/>
          <w:szCs w:val="24"/>
        </w:rPr>
        <w:t>s</w:t>
      </w:r>
      <w:r>
        <w:rPr>
          <w:szCs w:val="24"/>
        </w:rPr>
        <w:t xml:space="preserve">: </w:t>
      </w:r>
      <w:r w:rsidRPr="000E570D">
        <w:rPr>
          <w:szCs w:val="24"/>
        </w:rPr>
        <w:t xml:space="preserve">The title of this section was </w:t>
      </w:r>
      <w:r>
        <w:rPr>
          <w:szCs w:val="24"/>
        </w:rPr>
        <w:t>updated</w:t>
      </w:r>
      <w:r w:rsidRPr="000E570D" w:rsidDel="00CF411A">
        <w:rPr>
          <w:szCs w:val="24"/>
        </w:rPr>
        <w:t xml:space="preserve"> </w:t>
      </w:r>
      <w:r w:rsidRPr="000E570D">
        <w:rPr>
          <w:szCs w:val="24"/>
        </w:rPr>
        <w:t>to accurate</w:t>
      </w:r>
      <w:r>
        <w:rPr>
          <w:szCs w:val="24"/>
        </w:rPr>
        <w:t>ly</w:t>
      </w:r>
      <w:r w:rsidRPr="000E570D">
        <w:rPr>
          <w:szCs w:val="24"/>
        </w:rPr>
        <w:t xml:space="preserve"> reflect the section</w:t>
      </w:r>
      <w:r>
        <w:rPr>
          <w:szCs w:val="24"/>
        </w:rPr>
        <w:t xml:space="preserve">’s </w:t>
      </w:r>
      <w:r w:rsidRPr="000E570D">
        <w:rPr>
          <w:szCs w:val="24"/>
        </w:rPr>
        <w:t>content and align with language in 105 CMR 164.000.</w:t>
      </w:r>
    </w:p>
    <w:p w14:paraId="3F2568F7" w14:textId="77777777" w:rsidR="008A7F7E" w:rsidRDefault="008A7F7E" w:rsidP="008A7F7E">
      <w:pPr>
        <w:widowControl w:val="0"/>
        <w:rPr>
          <w:b/>
          <w:bCs/>
          <w:szCs w:val="24"/>
        </w:rPr>
      </w:pPr>
    </w:p>
    <w:p w14:paraId="1938B023" w14:textId="77777777" w:rsidR="008A7F7E" w:rsidRDefault="008A7F7E" w:rsidP="008A7F7E">
      <w:pPr>
        <w:widowControl w:val="0"/>
        <w:rPr>
          <w:szCs w:val="24"/>
        </w:rPr>
      </w:pPr>
      <w:r>
        <w:rPr>
          <w:b/>
          <w:bCs/>
          <w:szCs w:val="24"/>
        </w:rPr>
        <w:t xml:space="preserve">168.009: </w:t>
      </w:r>
      <w:r w:rsidRPr="000E570D">
        <w:rPr>
          <w:b/>
          <w:bCs/>
          <w:szCs w:val="24"/>
        </w:rPr>
        <w:t>Examinations</w:t>
      </w:r>
      <w:r w:rsidRPr="000E570D">
        <w:rPr>
          <w:szCs w:val="24"/>
        </w:rPr>
        <w:t>: This section has substantive changes that expand the examinations acceptable to the Department for the Licensure of Alcohol and Drug Counselors and provides the Department with the flexibility to consider other exams if the Department determines a need to do so.</w:t>
      </w:r>
    </w:p>
    <w:p w14:paraId="2EC9F17A" w14:textId="77777777" w:rsidR="008A7F7E" w:rsidRPr="007A3D11" w:rsidRDefault="008A7F7E" w:rsidP="008A7F7E">
      <w:pPr>
        <w:widowControl w:val="0"/>
        <w:rPr>
          <w:szCs w:val="24"/>
        </w:rPr>
      </w:pPr>
    </w:p>
    <w:p w14:paraId="1441A918" w14:textId="77777777" w:rsidR="008A7F7E" w:rsidRDefault="008A7F7E" w:rsidP="008A7F7E">
      <w:pPr>
        <w:widowControl w:val="0"/>
        <w:rPr>
          <w:szCs w:val="24"/>
        </w:rPr>
      </w:pPr>
      <w:r>
        <w:rPr>
          <w:b/>
          <w:bCs/>
          <w:szCs w:val="24"/>
        </w:rPr>
        <w:t xml:space="preserve">168.010: </w:t>
      </w:r>
      <w:r w:rsidRPr="000E570D">
        <w:rPr>
          <w:b/>
          <w:bCs/>
          <w:szCs w:val="24"/>
        </w:rPr>
        <w:t>Term of Licensure</w:t>
      </w:r>
      <w:r w:rsidRPr="000E570D">
        <w:rPr>
          <w:szCs w:val="24"/>
        </w:rPr>
        <w:t xml:space="preserve">: </w:t>
      </w:r>
    </w:p>
    <w:p w14:paraId="3600B40B" w14:textId="77777777" w:rsidR="008A7F7E" w:rsidRDefault="008A7F7E" w:rsidP="008A7F7E">
      <w:pPr>
        <w:pStyle w:val="ListParagraph"/>
        <w:widowControl w:val="0"/>
        <w:numPr>
          <w:ilvl w:val="0"/>
          <w:numId w:val="6"/>
        </w:numPr>
        <w:rPr>
          <w:rFonts w:cs="Times New Roman"/>
          <w:szCs w:val="24"/>
        </w:rPr>
      </w:pPr>
      <w:r w:rsidRPr="003067C3">
        <w:rPr>
          <w:rFonts w:cs="Times New Roman"/>
          <w:szCs w:val="24"/>
        </w:rPr>
        <w:t xml:space="preserve">This section has been updated to align with current practice: </w:t>
      </w:r>
      <w:proofErr w:type="gramStart"/>
      <w:r w:rsidRPr="003067C3">
        <w:rPr>
          <w:rFonts w:cs="Times New Roman"/>
          <w:szCs w:val="24"/>
        </w:rPr>
        <w:t>licenses renew</w:t>
      </w:r>
      <w:proofErr w:type="gramEnd"/>
      <w:r w:rsidRPr="003067C3">
        <w:rPr>
          <w:rFonts w:cs="Times New Roman"/>
          <w:szCs w:val="24"/>
        </w:rPr>
        <w:t xml:space="preserve"> two years from date of issue. </w:t>
      </w:r>
    </w:p>
    <w:p w14:paraId="5407D7EC" w14:textId="77777777" w:rsidR="008A7F7E" w:rsidRPr="00CF411A" w:rsidRDefault="008A7F7E" w:rsidP="008A7F7E">
      <w:pPr>
        <w:pStyle w:val="ListParagraph"/>
        <w:widowControl w:val="0"/>
        <w:numPr>
          <w:ilvl w:val="0"/>
          <w:numId w:val="6"/>
        </w:numPr>
        <w:rPr>
          <w:rFonts w:cs="Times New Roman"/>
          <w:szCs w:val="24"/>
        </w:rPr>
      </w:pPr>
      <w:r w:rsidRPr="000E570D">
        <w:rPr>
          <w:rFonts w:cs="Times New Roman"/>
          <w:szCs w:val="24"/>
        </w:rPr>
        <w:t>New language has been added, requiring applicants and licensees to keep their mailing and email address of record up to date to ensure timely delivery of renewal notifications and other Department correspondence.</w:t>
      </w:r>
    </w:p>
    <w:p w14:paraId="4BF34EFA" w14:textId="77777777" w:rsidR="008A7F7E" w:rsidRPr="007A3D11" w:rsidRDefault="008A7F7E" w:rsidP="008A7F7E">
      <w:pPr>
        <w:widowControl w:val="0"/>
        <w:rPr>
          <w:szCs w:val="24"/>
        </w:rPr>
      </w:pPr>
    </w:p>
    <w:p w14:paraId="5029A948" w14:textId="77777777" w:rsidR="008A7F7E" w:rsidRDefault="008A7F7E" w:rsidP="008A7F7E">
      <w:pPr>
        <w:widowControl w:val="0"/>
        <w:rPr>
          <w:szCs w:val="24"/>
        </w:rPr>
      </w:pPr>
      <w:r>
        <w:rPr>
          <w:b/>
          <w:bCs/>
          <w:szCs w:val="24"/>
        </w:rPr>
        <w:t xml:space="preserve">168.011: </w:t>
      </w:r>
      <w:r w:rsidRPr="000E570D">
        <w:rPr>
          <w:b/>
          <w:bCs/>
          <w:szCs w:val="24"/>
        </w:rPr>
        <w:t>Required Notifications to the Department:</w:t>
      </w:r>
      <w:r w:rsidRPr="000E570D">
        <w:rPr>
          <w:szCs w:val="24"/>
        </w:rPr>
        <w:t xml:space="preserve"> This new section requires applicants and licensees to notify the Department of changes to their name and contact information and any legal, investigative or disciplinary proceeding which align with current practices. </w:t>
      </w:r>
    </w:p>
    <w:p w14:paraId="69500E8A" w14:textId="77777777" w:rsidR="008A7F7E" w:rsidRPr="007A3D11" w:rsidRDefault="008A7F7E" w:rsidP="008A7F7E">
      <w:pPr>
        <w:widowControl w:val="0"/>
        <w:rPr>
          <w:szCs w:val="24"/>
        </w:rPr>
      </w:pPr>
    </w:p>
    <w:p w14:paraId="3F4AA6BD" w14:textId="77777777" w:rsidR="008A7F7E" w:rsidRDefault="008A7F7E" w:rsidP="008A7F7E">
      <w:pPr>
        <w:widowControl w:val="0"/>
        <w:rPr>
          <w:szCs w:val="24"/>
        </w:rPr>
      </w:pPr>
      <w:r>
        <w:rPr>
          <w:b/>
          <w:bCs/>
          <w:szCs w:val="24"/>
        </w:rPr>
        <w:t xml:space="preserve">Former 168.012: </w:t>
      </w:r>
      <w:r w:rsidRPr="000E570D">
        <w:rPr>
          <w:b/>
          <w:bCs/>
          <w:szCs w:val="24"/>
        </w:rPr>
        <w:t>Grandparent Licensure:</w:t>
      </w:r>
      <w:r w:rsidRPr="000E570D">
        <w:rPr>
          <w:szCs w:val="24"/>
        </w:rPr>
        <w:t xml:space="preserve"> This section has been struck as it was time-limited in the original regulations and based on statutory requirements</w:t>
      </w:r>
      <w:r>
        <w:rPr>
          <w:szCs w:val="24"/>
        </w:rPr>
        <w:t>.</w:t>
      </w:r>
    </w:p>
    <w:p w14:paraId="2DEB7C00" w14:textId="77777777" w:rsidR="008A7F7E" w:rsidRDefault="008A7F7E" w:rsidP="008A7F7E">
      <w:pPr>
        <w:widowControl w:val="0"/>
        <w:rPr>
          <w:szCs w:val="24"/>
        </w:rPr>
      </w:pPr>
    </w:p>
    <w:p w14:paraId="3E00CF96" w14:textId="77777777" w:rsidR="008A7F7E" w:rsidRPr="007A3D11" w:rsidRDefault="008A7F7E" w:rsidP="008A7F7E">
      <w:pPr>
        <w:widowControl w:val="0"/>
        <w:rPr>
          <w:szCs w:val="24"/>
        </w:rPr>
      </w:pPr>
      <w:r>
        <w:rPr>
          <w:b/>
          <w:bCs/>
          <w:szCs w:val="24"/>
        </w:rPr>
        <w:t>168.012:</w:t>
      </w:r>
      <w:r>
        <w:rPr>
          <w:szCs w:val="24"/>
        </w:rPr>
        <w:t xml:space="preserve"> </w:t>
      </w:r>
      <w:r w:rsidRPr="007A3D11">
        <w:rPr>
          <w:b/>
          <w:szCs w:val="24"/>
        </w:rPr>
        <w:t>Examination Waiver:</w:t>
      </w:r>
      <w:r w:rsidRPr="007A3D11">
        <w:rPr>
          <w:szCs w:val="24"/>
        </w:rPr>
        <w:t xml:space="preserve"> This section has been expanded to provide an exam waiver for the professional health license types identified in 168.005.</w:t>
      </w:r>
    </w:p>
    <w:p w14:paraId="40288130" w14:textId="77777777" w:rsidR="008A7F7E" w:rsidRPr="007A3D11" w:rsidRDefault="008A7F7E" w:rsidP="008A7F7E">
      <w:pPr>
        <w:rPr>
          <w:szCs w:val="24"/>
        </w:rPr>
      </w:pPr>
    </w:p>
    <w:p w14:paraId="6CF0E427" w14:textId="77777777" w:rsidR="008A7F7E" w:rsidRDefault="008A7F7E" w:rsidP="008A7F7E">
      <w:r>
        <w:rPr>
          <w:b/>
          <w:bCs/>
          <w:szCs w:val="24"/>
        </w:rPr>
        <w:t xml:space="preserve">168.014: </w:t>
      </w:r>
      <w:r w:rsidRPr="000E570D">
        <w:rPr>
          <w:b/>
          <w:bCs/>
        </w:rPr>
        <w:t>Continuing Professional Education</w:t>
      </w:r>
      <w:r w:rsidRPr="000E570D">
        <w:rPr>
          <w:u w:val="single"/>
        </w:rPr>
        <w:t>:</w:t>
      </w:r>
      <w:r w:rsidRPr="000E570D">
        <w:t xml:space="preserve"> New language exempts LADCs who are state, municipal or county employees </w:t>
      </w:r>
      <w:r>
        <w:t xml:space="preserve">who are </w:t>
      </w:r>
      <w:r w:rsidRPr="000E570D">
        <w:t xml:space="preserve">only using their license to provide services in their capacity as a state, municipal or county employee, and do not provide direct clinical services or </w:t>
      </w:r>
      <w:r w:rsidRPr="000E570D">
        <w:lastRenderedPageBreak/>
        <w:t>oversee direct clinical services</w:t>
      </w:r>
      <w:r>
        <w:t>.</w:t>
      </w:r>
      <w:r w:rsidRPr="000E570D">
        <w:t xml:space="preserve"> This exemption aligns with exemptions for Social Workers who use their license in their capacity as public employees.</w:t>
      </w:r>
    </w:p>
    <w:p w14:paraId="706DA493" w14:textId="77777777" w:rsidR="008A7F7E" w:rsidRPr="00C956F1" w:rsidRDefault="008A7F7E" w:rsidP="008A7F7E"/>
    <w:p w14:paraId="394F97B6" w14:textId="77777777" w:rsidR="008A7F7E" w:rsidRDefault="008A7F7E" w:rsidP="008A7F7E">
      <w:pPr>
        <w:widowControl w:val="0"/>
        <w:tabs>
          <w:tab w:val="left" w:pos="1080"/>
        </w:tabs>
        <w:rPr>
          <w:szCs w:val="24"/>
        </w:rPr>
      </w:pPr>
      <w:r>
        <w:rPr>
          <w:b/>
          <w:bCs/>
          <w:szCs w:val="24"/>
        </w:rPr>
        <w:t xml:space="preserve">168.015: </w:t>
      </w:r>
      <w:r w:rsidRPr="000E570D">
        <w:rPr>
          <w:b/>
          <w:bCs/>
          <w:szCs w:val="24"/>
        </w:rPr>
        <w:t>Complaints</w:t>
      </w:r>
      <w:r w:rsidRPr="000E570D">
        <w:rPr>
          <w:szCs w:val="24"/>
        </w:rPr>
        <w:t xml:space="preserve">: Revisions allow anyone (individuals or organizations) to file a complaint with the Department about a </w:t>
      </w:r>
      <w:proofErr w:type="gramStart"/>
      <w:r w:rsidRPr="000E570D">
        <w:rPr>
          <w:szCs w:val="24"/>
        </w:rPr>
        <w:t>licensee</w:t>
      </w:r>
      <w:proofErr w:type="gramEnd"/>
      <w:r w:rsidRPr="000E570D">
        <w:rPr>
          <w:szCs w:val="24"/>
        </w:rPr>
        <w:t xml:space="preserve"> or applicant’s alleged misconduct. Anonymous complaints are also allowed. If deemed necessary, the Department investigates and enforces remedies, such as issuing fines, denying/revoking licenses, or restricting licenses. Agency actions taken on licenses are shared publicly through </w:t>
      </w:r>
      <w:r w:rsidRPr="00546C0F" w:rsidDel="00CF411A">
        <w:rPr>
          <w:color w:val="000000" w:themeColor="text1"/>
          <w:szCs w:val="24"/>
        </w:rPr>
        <w:t>the</w:t>
      </w:r>
      <w:r w:rsidRPr="00546C0F">
        <w:rPr>
          <w:color w:val="000000" w:themeColor="text1"/>
          <w:szCs w:val="24"/>
        </w:rPr>
        <w:t xml:space="preserve"> Department’s Bureau of Substance Addiction Services</w:t>
      </w:r>
      <w:r w:rsidRPr="000E570D">
        <w:rPr>
          <w:szCs w:val="24"/>
        </w:rPr>
        <w:t xml:space="preserve"> </w:t>
      </w:r>
      <w:r>
        <w:rPr>
          <w:szCs w:val="24"/>
        </w:rPr>
        <w:t>(</w:t>
      </w:r>
      <w:r w:rsidRPr="00C956F1">
        <w:rPr>
          <w:szCs w:val="24"/>
        </w:rPr>
        <w:t>BSAS</w:t>
      </w:r>
      <w:r>
        <w:rPr>
          <w:szCs w:val="24"/>
        </w:rPr>
        <w:t>)</w:t>
      </w:r>
      <w:r w:rsidRPr="000E570D">
        <w:rPr>
          <w:szCs w:val="24"/>
        </w:rPr>
        <w:t xml:space="preserve"> website.</w:t>
      </w:r>
    </w:p>
    <w:p w14:paraId="3D7BE1C8" w14:textId="77777777" w:rsidR="008A7F7E" w:rsidRPr="00C956F1" w:rsidRDefault="008A7F7E" w:rsidP="008A7F7E">
      <w:pPr>
        <w:widowControl w:val="0"/>
        <w:tabs>
          <w:tab w:val="left" w:pos="1080"/>
        </w:tabs>
        <w:rPr>
          <w:szCs w:val="24"/>
        </w:rPr>
      </w:pPr>
    </w:p>
    <w:p w14:paraId="54918621" w14:textId="77777777" w:rsidR="008A7F7E" w:rsidRPr="00CF411A" w:rsidRDefault="008A7F7E" w:rsidP="008A7F7E">
      <w:pPr>
        <w:widowControl w:val="0"/>
        <w:tabs>
          <w:tab w:val="left" w:pos="1080"/>
        </w:tabs>
        <w:spacing w:line="259" w:lineRule="auto"/>
        <w:rPr>
          <w:rStyle w:val="eop"/>
          <w:color w:val="D13438"/>
          <w:szCs w:val="24"/>
        </w:rPr>
      </w:pPr>
      <w:r>
        <w:rPr>
          <w:b/>
          <w:bCs/>
          <w:szCs w:val="24"/>
        </w:rPr>
        <w:t xml:space="preserve">168.016: </w:t>
      </w:r>
      <w:r w:rsidRPr="000E570D">
        <w:rPr>
          <w:rStyle w:val="normaltextrun"/>
          <w:b/>
          <w:bCs/>
          <w:szCs w:val="24"/>
          <w:shd w:val="clear" w:color="auto" w:fill="FFFFFF"/>
        </w:rPr>
        <w:t>Investigations and Licensee’s and Applicant Responsibility to Respond to Inquiries</w:t>
      </w:r>
      <w:r w:rsidRPr="000E570D">
        <w:rPr>
          <w:rStyle w:val="normaltextrun"/>
          <w:szCs w:val="24"/>
          <w:shd w:val="clear" w:color="auto" w:fill="FFFFFF"/>
        </w:rPr>
        <w:t>: This section includes content changes that set forth how</w:t>
      </w:r>
      <w:r w:rsidRPr="000E570D">
        <w:rPr>
          <w:szCs w:val="24"/>
        </w:rPr>
        <w:t xml:space="preserve"> the Department may review allegations against a Licensee or Applicant, require a written response and relevant evidence from the licensee or applicant, gather more information if needed, and take appropriate actions such as penalties or corrective measures.</w:t>
      </w:r>
      <w:r w:rsidRPr="000E570D">
        <w:rPr>
          <w:rStyle w:val="eop"/>
          <w:szCs w:val="24"/>
          <w:shd w:val="clear" w:color="auto" w:fill="FFFFFF"/>
        </w:rPr>
        <w:t xml:space="preserve"> These changes were made to align with the </w:t>
      </w:r>
      <w:r w:rsidRPr="000E570D">
        <w:rPr>
          <w:rStyle w:val="normaltextrun"/>
          <w:szCs w:val="24"/>
        </w:rPr>
        <w:t>Board of</w:t>
      </w:r>
      <w:r w:rsidRPr="000E570D">
        <w:rPr>
          <w:rStyle w:val="normaltextrun"/>
          <w:szCs w:val="24"/>
          <w:u w:val="single"/>
        </w:rPr>
        <w:t xml:space="preserve"> </w:t>
      </w:r>
      <w:r w:rsidRPr="000E570D">
        <w:rPr>
          <w:rStyle w:val="normaltextrun"/>
          <w:szCs w:val="24"/>
        </w:rPr>
        <w:t>Registration in Nursing</w:t>
      </w:r>
      <w:r w:rsidRPr="000E570D">
        <w:rPr>
          <w:rStyle w:val="eop"/>
          <w:szCs w:val="24"/>
          <w:shd w:val="clear" w:color="auto" w:fill="FFFFFF"/>
        </w:rPr>
        <w:t xml:space="preserve"> regulations.</w:t>
      </w:r>
    </w:p>
    <w:p w14:paraId="6DD37CF9" w14:textId="77777777" w:rsidR="008A7F7E" w:rsidRDefault="008A7F7E" w:rsidP="008A7F7E">
      <w:pPr>
        <w:widowControl w:val="0"/>
        <w:tabs>
          <w:tab w:val="left" w:pos="1080"/>
        </w:tabs>
        <w:rPr>
          <w:b/>
          <w:bCs/>
          <w:szCs w:val="24"/>
        </w:rPr>
      </w:pPr>
    </w:p>
    <w:p w14:paraId="656E4641" w14:textId="77777777" w:rsidR="008A7F7E" w:rsidRDefault="008A7F7E" w:rsidP="008A7F7E">
      <w:pPr>
        <w:widowControl w:val="0"/>
        <w:tabs>
          <w:tab w:val="left" w:pos="1080"/>
        </w:tabs>
        <w:rPr>
          <w:szCs w:val="24"/>
        </w:rPr>
      </w:pPr>
      <w:r>
        <w:rPr>
          <w:b/>
          <w:bCs/>
          <w:szCs w:val="24"/>
        </w:rPr>
        <w:t xml:space="preserve">168.017: </w:t>
      </w:r>
      <w:r w:rsidRPr="000E570D">
        <w:rPr>
          <w:b/>
          <w:bCs/>
          <w:szCs w:val="24"/>
        </w:rPr>
        <w:t>Grounds</w:t>
      </w:r>
      <w:r w:rsidRPr="000E570D">
        <w:rPr>
          <w:b/>
          <w:bCs/>
          <w:spacing w:val="-1"/>
          <w:szCs w:val="24"/>
        </w:rPr>
        <w:t xml:space="preserve"> </w:t>
      </w:r>
      <w:r w:rsidRPr="000E570D">
        <w:rPr>
          <w:b/>
          <w:bCs/>
          <w:szCs w:val="24"/>
        </w:rPr>
        <w:t xml:space="preserve">for Denial, Refusal to Renew, Restriction, Limitation, or Revocation of License: </w:t>
      </w:r>
      <w:r w:rsidRPr="000E570D">
        <w:rPr>
          <w:szCs w:val="24"/>
        </w:rPr>
        <w:t xml:space="preserve">The section combines </w:t>
      </w:r>
      <w:r>
        <w:rPr>
          <w:szCs w:val="24"/>
        </w:rPr>
        <w:t xml:space="preserve">prior sections </w:t>
      </w:r>
      <w:r w:rsidRPr="000E570D">
        <w:rPr>
          <w:szCs w:val="24"/>
        </w:rPr>
        <w:t>168.016, 168.017, and 168.018 into a single regulatory section to describe the grounds to deny, revoke, limit, restrict, or refuse renewal of a license.</w:t>
      </w:r>
    </w:p>
    <w:p w14:paraId="528A17BC" w14:textId="77777777" w:rsidR="008A7F7E" w:rsidRPr="00C956F1" w:rsidRDefault="008A7F7E" w:rsidP="008A7F7E">
      <w:pPr>
        <w:widowControl w:val="0"/>
        <w:tabs>
          <w:tab w:val="left" w:pos="1080"/>
        </w:tabs>
        <w:rPr>
          <w:szCs w:val="24"/>
        </w:rPr>
      </w:pPr>
    </w:p>
    <w:p w14:paraId="16BD6543" w14:textId="77777777" w:rsidR="008A7F7E" w:rsidRDefault="008A7F7E" w:rsidP="008A7F7E">
      <w:pPr>
        <w:widowControl w:val="0"/>
        <w:tabs>
          <w:tab w:val="left" w:pos="1080"/>
        </w:tabs>
        <w:rPr>
          <w:szCs w:val="24"/>
        </w:rPr>
      </w:pPr>
      <w:r>
        <w:rPr>
          <w:b/>
          <w:bCs/>
          <w:szCs w:val="24"/>
        </w:rPr>
        <w:t xml:space="preserve">168.018: </w:t>
      </w:r>
      <w:r w:rsidRPr="000E570D">
        <w:rPr>
          <w:b/>
          <w:bCs/>
          <w:szCs w:val="24"/>
        </w:rPr>
        <w:t>Department Action on Complaint:</w:t>
      </w:r>
      <w:r w:rsidRPr="000E570D">
        <w:rPr>
          <w:szCs w:val="24"/>
        </w:rPr>
        <w:t xml:space="preserve"> New language describes a variety of actions the Department may take on a complaint</w:t>
      </w:r>
      <w:r>
        <w:rPr>
          <w:szCs w:val="24"/>
        </w:rPr>
        <w:t>.</w:t>
      </w:r>
      <w:r w:rsidRPr="000E570D">
        <w:rPr>
          <w:szCs w:val="24"/>
        </w:rPr>
        <w:t xml:space="preserve"> </w:t>
      </w:r>
      <w:r>
        <w:rPr>
          <w:szCs w:val="24"/>
        </w:rPr>
        <w:t>T</w:t>
      </w:r>
      <w:r w:rsidRPr="000E570D">
        <w:rPr>
          <w:szCs w:val="24"/>
        </w:rPr>
        <w:t xml:space="preserve">hese include dismissal, issuing advisory letters and </w:t>
      </w:r>
      <w:proofErr w:type="gramStart"/>
      <w:r w:rsidRPr="000E570D">
        <w:rPr>
          <w:szCs w:val="24"/>
        </w:rPr>
        <w:t>deficiency</w:t>
      </w:r>
      <w:proofErr w:type="gramEnd"/>
      <w:r w:rsidRPr="000E570D">
        <w:rPr>
          <w:szCs w:val="24"/>
        </w:rPr>
        <w:t xml:space="preserve"> correction orders; if there is imminent danger to the public</w:t>
      </w:r>
      <w:r>
        <w:rPr>
          <w:szCs w:val="24"/>
        </w:rPr>
        <w:t>,</w:t>
      </w:r>
      <w:r w:rsidRPr="000E570D">
        <w:rPr>
          <w:szCs w:val="24"/>
        </w:rPr>
        <w:t xml:space="preserve"> the Department may summarily suspend a license prior to holding a hearing on the matter. Licensees subject to a summary suspension must be afforded a hearing within seven (7) days of the suspension—this aligns with the changes to M.G.L. c. 111J § 6(b) through Chapter 285 of the Acts of 2024. This section also describes the </w:t>
      </w:r>
      <w:r>
        <w:rPr>
          <w:szCs w:val="24"/>
        </w:rPr>
        <w:t>l</w:t>
      </w:r>
      <w:r w:rsidRPr="000E570D">
        <w:rPr>
          <w:szCs w:val="24"/>
        </w:rPr>
        <w:t>icensees</w:t>
      </w:r>
      <w:r>
        <w:rPr>
          <w:szCs w:val="24"/>
        </w:rPr>
        <w:t>’</w:t>
      </w:r>
      <w:r w:rsidRPr="000E570D">
        <w:rPr>
          <w:szCs w:val="24"/>
        </w:rPr>
        <w:t xml:space="preserve"> right to a hearing for Agency Actions (denial, suspension, revocation) and the timeframe to request such hearings and the Department’s response.  This section now largely aligns with the Board of Registration in Nursing regulations.</w:t>
      </w:r>
    </w:p>
    <w:p w14:paraId="7AE26645" w14:textId="77777777" w:rsidR="008A7F7E" w:rsidRPr="00F52C18" w:rsidRDefault="008A7F7E" w:rsidP="008A7F7E">
      <w:pPr>
        <w:widowControl w:val="0"/>
        <w:tabs>
          <w:tab w:val="left" w:pos="1080"/>
        </w:tabs>
        <w:rPr>
          <w:szCs w:val="24"/>
        </w:rPr>
      </w:pPr>
    </w:p>
    <w:p w14:paraId="5A7A6857" w14:textId="77777777" w:rsidR="008A7F7E" w:rsidRDefault="008A7F7E" w:rsidP="008A7F7E">
      <w:pPr>
        <w:widowControl w:val="0"/>
        <w:rPr>
          <w:szCs w:val="24"/>
        </w:rPr>
      </w:pPr>
      <w:r>
        <w:rPr>
          <w:b/>
          <w:bCs/>
          <w:szCs w:val="24"/>
        </w:rPr>
        <w:t xml:space="preserve">168.019: </w:t>
      </w:r>
      <w:r w:rsidRPr="00F52C18">
        <w:rPr>
          <w:b/>
          <w:szCs w:val="24"/>
        </w:rPr>
        <w:t>Additional Provisions Applicable to Investigations, Complaints and Department Action</w:t>
      </w:r>
      <w:r w:rsidRPr="00F52C18">
        <w:rPr>
          <w:szCs w:val="24"/>
        </w:rPr>
        <w:t xml:space="preserve">: New language identifies the purpose of advisory letters, how the Department determines receipt of any correspondence it has sent to applicants or licensees, and the requirements for applicants and licensees to timely submit information and data, upon </w:t>
      </w:r>
      <w:r w:rsidRPr="00A74C98" w:rsidDel="00A74C98">
        <w:rPr>
          <w:szCs w:val="24"/>
        </w:rPr>
        <w:t xml:space="preserve">request, </w:t>
      </w:r>
      <w:r w:rsidRPr="00A74C98">
        <w:rPr>
          <w:szCs w:val="24"/>
        </w:rPr>
        <w:t>and</w:t>
      </w:r>
      <w:r w:rsidRPr="000E570D">
        <w:rPr>
          <w:szCs w:val="24"/>
        </w:rPr>
        <w:t xml:space="preserve"> in a manner prescribed by the Department. This aligns with the Board of Registration in Nursing regulations.</w:t>
      </w:r>
    </w:p>
    <w:p w14:paraId="2501B470" w14:textId="77777777" w:rsidR="008A7F7E" w:rsidRPr="00F52C18" w:rsidRDefault="008A7F7E" w:rsidP="008A7F7E">
      <w:pPr>
        <w:widowControl w:val="0"/>
        <w:rPr>
          <w:szCs w:val="24"/>
        </w:rPr>
      </w:pPr>
    </w:p>
    <w:p w14:paraId="4D73F691" w14:textId="77777777" w:rsidR="008A7F7E" w:rsidRDefault="008A7F7E" w:rsidP="008A7F7E">
      <w:pPr>
        <w:widowControl w:val="0"/>
        <w:rPr>
          <w:szCs w:val="24"/>
        </w:rPr>
      </w:pPr>
      <w:r>
        <w:rPr>
          <w:b/>
          <w:bCs/>
          <w:szCs w:val="24"/>
        </w:rPr>
        <w:t xml:space="preserve">168.021: </w:t>
      </w:r>
      <w:r w:rsidRPr="000E570D">
        <w:rPr>
          <w:b/>
          <w:bCs/>
          <w:szCs w:val="24"/>
        </w:rPr>
        <w:t xml:space="preserve">Unauthorized Practice of Alcohol and Drug Counseling: </w:t>
      </w:r>
      <w:r w:rsidRPr="000E570D">
        <w:rPr>
          <w:szCs w:val="24"/>
        </w:rPr>
        <w:t>New language prescribes that those engaging in unauthorized practice are subject to fines by the Department and enables the Department to bring a petition to superior court on such matters.</w:t>
      </w:r>
    </w:p>
    <w:p w14:paraId="74C6F642" w14:textId="77777777" w:rsidR="008A7F7E" w:rsidRPr="00F52C18" w:rsidRDefault="008A7F7E" w:rsidP="008A7F7E">
      <w:pPr>
        <w:widowControl w:val="0"/>
        <w:rPr>
          <w:b/>
          <w:szCs w:val="24"/>
        </w:rPr>
      </w:pPr>
    </w:p>
    <w:p w14:paraId="0FE23D29" w14:textId="77777777" w:rsidR="008A7F7E" w:rsidRDefault="008A7F7E" w:rsidP="008A7F7E">
      <w:pPr>
        <w:widowControl w:val="0"/>
        <w:rPr>
          <w:rStyle w:val="eop"/>
          <w:szCs w:val="24"/>
        </w:rPr>
      </w:pPr>
      <w:r>
        <w:rPr>
          <w:b/>
          <w:bCs/>
          <w:szCs w:val="24"/>
        </w:rPr>
        <w:t xml:space="preserve">168.023: </w:t>
      </w:r>
      <w:r w:rsidRPr="000E570D">
        <w:rPr>
          <w:rStyle w:val="normaltextrun"/>
          <w:b/>
          <w:bCs/>
          <w:szCs w:val="24"/>
        </w:rPr>
        <w:t>Waivers</w:t>
      </w:r>
      <w:r w:rsidRPr="000E570D">
        <w:rPr>
          <w:rStyle w:val="eop"/>
          <w:b/>
          <w:bCs/>
          <w:szCs w:val="24"/>
        </w:rPr>
        <w:t>:</w:t>
      </w:r>
      <w:r w:rsidRPr="000E570D">
        <w:rPr>
          <w:rStyle w:val="eop"/>
          <w:szCs w:val="24"/>
        </w:rPr>
        <w:t xml:space="preserve"> This new section aligns with language in 105 CMR 164.000 and enables the Department to use its</w:t>
      </w:r>
      <w:r w:rsidRPr="000E570D">
        <w:rPr>
          <w:rStyle w:val="normaltextrun"/>
          <w:szCs w:val="24"/>
        </w:rPr>
        <w:t xml:space="preserve"> discretion to waive the applicability of one or more of the requirements of 105 CMR 168.000 as requested by an applicant or licensee and to</w:t>
      </w:r>
      <w:r w:rsidRPr="000E570D">
        <w:rPr>
          <w:rStyle w:val="HeaderChar"/>
          <w:szCs w:val="24"/>
        </w:rPr>
        <w:t xml:space="preserve"> </w:t>
      </w:r>
      <w:r w:rsidRPr="000E570D">
        <w:rPr>
          <w:rStyle w:val="normaltextrun"/>
          <w:szCs w:val="24"/>
        </w:rPr>
        <w:t>rescind or impose a time limit and/or other conditions on any waiver it grants.</w:t>
      </w:r>
      <w:r w:rsidRPr="000E570D">
        <w:rPr>
          <w:rStyle w:val="eop"/>
          <w:szCs w:val="24"/>
        </w:rPr>
        <w:t> </w:t>
      </w:r>
    </w:p>
    <w:p w14:paraId="7551190B" w14:textId="77777777" w:rsidR="008A7F7E" w:rsidRPr="008C62B5" w:rsidRDefault="008A7F7E" w:rsidP="008A7F7E">
      <w:pPr>
        <w:widowControl w:val="0"/>
        <w:ind w:left="360"/>
        <w:jc w:val="both"/>
        <w:rPr>
          <w:b/>
          <w:szCs w:val="24"/>
        </w:rPr>
      </w:pPr>
    </w:p>
    <w:p w14:paraId="433AC251" w14:textId="77777777" w:rsidR="008A7F7E" w:rsidRPr="000E570D" w:rsidRDefault="008A7F7E" w:rsidP="008A7F7E">
      <w:pPr>
        <w:widowControl w:val="0"/>
        <w:jc w:val="both"/>
        <w:rPr>
          <w:b/>
          <w:bCs/>
          <w:szCs w:val="24"/>
        </w:rPr>
      </w:pPr>
      <w:r>
        <w:rPr>
          <w:b/>
          <w:bCs/>
          <w:szCs w:val="24"/>
        </w:rPr>
        <w:t xml:space="preserve">168.024: </w:t>
      </w:r>
      <w:r w:rsidRPr="000E570D">
        <w:rPr>
          <w:b/>
          <w:bCs/>
          <w:szCs w:val="24"/>
        </w:rPr>
        <w:t xml:space="preserve">Marketing of Services: </w:t>
      </w:r>
      <w:r w:rsidRPr="000E570D">
        <w:rPr>
          <w:szCs w:val="24"/>
        </w:rPr>
        <w:t xml:space="preserve">This new section aligns with the language in 105 CMR 164.000 and provides guidance to licensees on the marketing of services to ensure marketing is in </w:t>
      </w:r>
      <w:proofErr w:type="gramStart"/>
      <w:r w:rsidRPr="000E570D">
        <w:rPr>
          <w:szCs w:val="24"/>
        </w:rPr>
        <w:t>the public</w:t>
      </w:r>
      <w:proofErr w:type="gramEnd"/>
      <w:r w:rsidRPr="000E570D">
        <w:rPr>
          <w:szCs w:val="24"/>
        </w:rPr>
        <w:t xml:space="preserve"> interest.</w:t>
      </w:r>
    </w:p>
    <w:p w14:paraId="403D7910" w14:textId="77777777" w:rsidR="008A7F7E" w:rsidRDefault="008A7F7E" w:rsidP="008A7F7E">
      <w:pPr>
        <w:widowControl w:val="0"/>
        <w:rPr>
          <w:rStyle w:val="eop"/>
          <w:b/>
          <w:bCs/>
          <w:szCs w:val="24"/>
        </w:rPr>
      </w:pPr>
    </w:p>
    <w:p w14:paraId="115A3A46" w14:textId="77777777" w:rsidR="008A7F7E" w:rsidRPr="000E570D" w:rsidRDefault="008A7F7E" w:rsidP="008A7F7E">
      <w:pPr>
        <w:tabs>
          <w:tab w:val="left" w:pos="1080"/>
        </w:tabs>
        <w:rPr>
          <w:b/>
          <w:bCs/>
          <w:szCs w:val="24"/>
        </w:rPr>
      </w:pPr>
      <w:r w:rsidRPr="000E570D">
        <w:rPr>
          <w:b/>
          <w:bCs/>
          <w:szCs w:val="24"/>
        </w:rPr>
        <w:t>C. PART TWO: STANDARDS OF PRACTICE</w:t>
      </w:r>
    </w:p>
    <w:p w14:paraId="4D7A52A4" w14:textId="77777777" w:rsidR="008A7F7E" w:rsidRPr="000E570D" w:rsidRDefault="008A7F7E" w:rsidP="008A7F7E">
      <w:pPr>
        <w:tabs>
          <w:tab w:val="left" w:pos="1080"/>
        </w:tabs>
        <w:rPr>
          <w:b/>
          <w:bCs/>
          <w:szCs w:val="24"/>
        </w:rPr>
      </w:pPr>
    </w:p>
    <w:p w14:paraId="68C134CB" w14:textId="77777777" w:rsidR="008A7F7E" w:rsidRDefault="008A7F7E" w:rsidP="008A7F7E">
      <w:pPr>
        <w:widowControl w:val="0"/>
        <w:rPr>
          <w:szCs w:val="24"/>
        </w:rPr>
      </w:pPr>
      <w:r w:rsidRPr="000E570D">
        <w:rPr>
          <w:szCs w:val="24"/>
        </w:rPr>
        <w:t xml:space="preserve">This new part of the regulations describes </w:t>
      </w:r>
      <w:r w:rsidRPr="000E570D">
        <w:rPr>
          <w:color w:val="000000" w:themeColor="text1"/>
          <w:szCs w:val="24"/>
        </w:rPr>
        <w:t xml:space="preserve">the scope of practice and limitations on each level of the alcohol and drug counselor </w:t>
      </w:r>
      <w:r w:rsidRPr="00EC4128">
        <w:rPr>
          <w:color w:val="000000" w:themeColor="text1"/>
          <w:szCs w:val="24"/>
        </w:rPr>
        <w:t>license; sets</w:t>
      </w:r>
      <w:r w:rsidRPr="000E570D">
        <w:rPr>
          <w:color w:val="000000" w:themeColor="text1"/>
          <w:szCs w:val="24"/>
        </w:rPr>
        <w:t xml:space="preserve"> standards of practice and conduct for licensees; and establishes standards relating to confidentiality of client information and maintenance of client records. </w:t>
      </w:r>
      <w:r w:rsidRPr="000E570D">
        <w:rPr>
          <w:szCs w:val="24"/>
        </w:rPr>
        <w:t xml:space="preserve">The following </w:t>
      </w:r>
      <w:r>
        <w:rPr>
          <w:szCs w:val="24"/>
        </w:rPr>
        <w:t>outlines</w:t>
      </w:r>
      <w:r w:rsidRPr="000E570D">
        <w:rPr>
          <w:szCs w:val="24"/>
        </w:rPr>
        <w:t xml:space="preserve"> each </w:t>
      </w:r>
      <w:r>
        <w:rPr>
          <w:szCs w:val="24"/>
        </w:rPr>
        <w:t>sub-</w:t>
      </w:r>
      <w:r w:rsidRPr="000E570D">
        <w:rPr>
          <w:szCs w:val="24"/>
        </w:rPr>
        <w:t>section:</w:t>
      </w:r>
    </w:p>
    <w:p w14:paraId="57133A11" w14:textId="77777777" w:rsidR="008A7F7E" w:rsidRDefault="008A7F7E" w:rsidP="008A7F7E">
      <w:pPr>
        <w:widowControl w:val="0"/>
        <w:rPr>
          <w:szCs w:val="24"/>
        </w:rPr>
      </w:pPr>
    </w:p>
    <w:p w14:paraId="17A794B7" w14:textId="77777777" w:rsidR="008A7F7E" w:rsidRPr="00F80BB2" w:rsidRDefault="008A7F7E" w:rsidP="008A7F7E">
      <w:pPr>
        <w:widowControl w:val="0"/>
        <w:rPr>
          <w:szCs w:val="24"/>
        </w:rPr>
      </w:pPr>
      <w:r>
        <w:rPr>
          <w:b/>
          <w:bCs/>
          <w:szCs w:val="24"/>
        </w:rPr>
        <w:t xml:space="preserve">168.025: </w:t>
      </w:r>
      <w:r w:rsidRPr="000E570D">
        <w:rPr>
          <w:b/>
          <w:bCs/>
          <w:szCs w:val="24"/>
        </w:rPr>
        <w:t>Code of Ethical Principles:</w:t>
      </w:r>
      <w:r w:rsidRPr="000E570D">
        <w:rPr>
          <w:szCs w:val="24"/>
        </w:rPr>
        <w:t xml:space="preserve"> The Department will continue to refer to the NAADAC </w:t>
      </w:r>
      <w:r>
        <w:rPr>
          <w:szCs w:val="24"/>
        </w:rPr>
        <w:t xml:space="preserve">(Association for Addiction Professionals) </w:t>
      </w:r>
      <w:r w:rsidRPr="000E570D">
        <w:rPr>
          <w:szCs w:val="24"/>
        </w:rPr>
        <w:t xml:space="preserve">Code of Ethics as the foundation for LADCs at all levels (I, II, and Assistants). </w:t>
      </w:r>
      <w:r>
        <w:rPr>
          <w:szCs w:val="24"/>
        </w:rPr>
        <w:t>This n</w:t>
      </w:r>
      <w:r w:rsidRPr="000E570D">
        <w:rPr>
          <w:szCs w:val="24"/>
        </w:rPr>
        <w:t xml:space="preserve">ew language allows the Department to establish and communicate additional ethical standards as needed. </w:t>
      </w:r>
    </w:p>
    <w:p w14:paraId="1300F199" w14:textId="77777777" w:rsidR="008A7F7E" w:rsidRDefault="008A7F7E" w:rsidP="008A7F7E">
      <w:pPr>
        <w:widowControl w:val="0"/>
        <w:tabs>
          <w:tab w:val="left" w:pos="1080"/>
        </w:tabs>
        <w:rPr>
          <w:b/>
          <w:bCs/>
          <w:szCs w:val="24"/>
        </w:rPr>
      </w:pPr>
    </w:p>
    <w:p w14:paraId="26412824" w14:textId="77777777" w:rsidR="008A7F7E" w:rsidRDefault="008A7F7E" w:rsidP="008A7F7E">
      <w:pPr>
        <w:widowControl w:val="0"/>
        <w:tabs>
          <w:tab w:val="left" w:pos="1080"/>
        </w:tabs>
        <w:rPr>
          <w:szCs w:val="24"/>
        </w:rPr>
      </w:pPr>
      <w:r>
        <w:rPr>
          <w:b/>
          <w:bCs/>
          <w:szCs w:val="24"/>
        </w:rPr>
        <w:t xml:space="preserve">168.026: </w:t>
      </w:r>
      <w:r w:rsidRPr="000E570D">
        <w:rPr>
          <w:b/>
          <w:bCs/>
          <w:szCs w:val="24"/>
        </w:rPr>
        <w:t xml:space="preserve">Standards of Practice- Scope of Licensees: </w:t>
      </w:r>
      <w:r w:rsidRPr="000E570D">
        <w:rPr>
          <w:szCs w:val="24"/>
        </w:rPr>
        <w:t xml:space="preserve">New language describes standards of practice for all licensees as the professional and ethical delivery of services and methods that are recovery oriented, culturally competent, and trauma informed to assist individuals, families, and/or groups experiencing the effects of substance use disorder and substance use disorder with co-occurring mental health disorders. </w:t>
      </w:r>
    </w:p>
    <w:p w14:paraId="2CADB157" w14:textId="77777777" w:rsidR="008A7F7E" w:rsidRPr="005A7303" w:rsidRDefault="008A7F7E" w:rsidP="008A7F7E">
      <w:pPr>
        <w:pStyle w:val="ListParagraph"/>
        <w:widowControl w:val="0"/>
        <w:numPr>
          <w:ilvl w:val="0"/>
          <w:numId w:val="7"/>
        </w:numPr>
        <w:tabs>
          <w:tab w:val="left" w:pos="1080"/>
        </w:tabs>
        <w:rPr>
          <w:rFonts w:cs="Times New Roman"/>
          <w:szCs w:val="24"/>
        </w:rPr>
      </w:pPr>
      <w:r w:rsidRPr="003F08B0">
        <w:rPr>
          <w:rFonts w:cs="Times New Roman"/>
          <w:szCs w:val="24"/>
        </w:rPr>
        <w:t xml:space="preserve">A </w:t>
      </w:r>
      <w:r w:rsidRPr="000E570D">
        <w:rPr>
          <w:rStyle w:val="Strong"/>
          <w:rFonts w:cs="Times New Roman"/>
          <w:szCs w:val="24"/>
        </w:rPr>
        <w:t>Licensed Alcohol and Drug Counselor I (LADC I) may</w:t>
      </w:r>
      <w:r w:rsidRPr="000E570D">
        <w:rPr>
          <w:rFonts w:cs="Times New Roman"/>
          <w:szCs w:val="24"/>
        </w:rPr>
        <w:t xml:space="preserve"> practice independently in private practices, substance use disorder service settings, or licensed/approved programs and may provide supervision, including clinical supervision as defined in 168.004, to LADC IIs, LADC Assistants, and other supervisees. </w:t>
      </w:r>
    </w:p>
    <w:p w14:paraId="1E791C4B" w14:textId="77777777" w:rsidR="008A7F7E" w:rsidRPr="005A7303" w:rsidRDefault="008A7F7E" w:rsidP="008A7F7E">
      <w:pPr>
        <w:pStyle w:val="ListParagraph"/>
        <w:widowControl w:val="0"/>
        <w:numPr>
          <w:ilvl w:val="0"/>
          <w:numId w:val="2"/>
        </w:numPr>
        <w:tabs>
          <w:tab w:val="left" w:pos="1080"/>
        </w:tabs>
        <w:rPr>
          <w:rFonts w:cs="Times New Roman"/>
          <w:szCs w:val="24"/>
        </w:rPr>
      </w:pPr>
      <w:r w:rsidRPr="007A3D11">
        <w:rPr>
          <w:rFonts w:cs="Times New Roman"/>
          <w:szCs w:val="24"/>
        </w:rPr>
        <w:t xml:space="preserve">A </w:t>
      </w:r>
      <w:r w:rsidRPr="000E570D">
        <w:rPr>
          <w:rStyle w:val="Strong"/>
          <w:rFonts w:cs="Times New Roman"/>
          <w:szCs w:val="24"/>
        </w:rPr>
        <w:t>Licensed Alcohol and Drug Counselor II (LADC II) may</w:t>
      </w:r>
      <w:r w:rsidRPr="000E570D">
        <w:rPr>
          <w:rFonts w:cs="Times New Roman"/>
          <w:szCs w:val="24"/>
        </w:rPr>
        <w:t xml:space="preserve"> practice under clinical supervision in private practices, substance use disorder service settings, or licensed/approved programs. </w:t>
      </w:r>
    </w:p>
    <w:p w14:paraId="273F19E0" w14:textId="77777777" w:rsidR="008A7F7E" w:rsidRPr="000E570D" w:rsidRDefault="008A7F7E" w:rsidP="008A7F7E">
      <w:pPr>
        <w:pStyle w:val="ListParagraph"/>
        <w:widowControl w:val="0"/>
        <w:numPr>
          <w:ilvl w:val="0"/>
          <w:numId w:val="2"/>
        </w:numPr>
        <w:tabs>
          <w:tab w:val="left" w:pos="1080"/>
        </w:tabs>
        <w:rPr>
          <w:rFonts w:cs="Times New Roman"/>
          <w:szCs w:val="24"/>
        </w:rPr>
      </w:pPr>
      <w:r w:rsidRPr="000E570D">
        <w:rPr>
          <w:rStyle w:val="Strong"/>
          <w:rFonts w:cs="Times New Roman"/>
          <w:szCs w:val="24"/>
        </w:rPr>
        <w:t>Licensed Alcohol and Drug Counselor Assistants may</w:t>
      </w:r>
      <w:r w:rsidRPr="000E570D">
        <w:rPr>
          <w:rFonts w:cs="Times New Roman"/>
          <w:szCs w:val="24"/>
        </w:rPr>
        <w:t xml:space="preserve"> practice under direct clinical and administrative supervision in private practices, substance use disorder service settings, or licensed/approved programs but cannot provide clinical supervision.</w:t>
      </w:r>
    </w:p>
    <w:p w14:paraId="3AD07BCB" w14:textId="77777777" w:rsidR="008A7F7E" w:rsidRPr="000E570D" w:rsidRDefault="008A7F7E" w:rsidP="008A7F7E">
      <w:pPr>
        <w:widowControl w:val="0"/>
        <w:tabs>
          <w:tab w:val="left" w:pos="1080"/>
        </w:tabs>
        <w:rPr>
          <w:szCs w:val="24"/>
        </w:rPr>
      </w:pPr>
    </w:p>
    <w:p w14:paraId="6B29F748" w14:textId="77777777" w:rsidR="008A7F7E" w:rsidRPr="005A7303" w:rsidRDefault="008A7F7E" w:rsidP="008A7F7E">
      <w:pPr>
        <w:widowControl w:val="0"/>
        <w:tabs>
          <w:tab w:val="left" w:pos="1080"/>
        </w:tabs>
        <w:rPr>
          <w:szCs w:val="24"/>
        </w:rPr>
      </w:pPr>
      <w:r>
        <w:rPr>
          <w:b/>
          <w:bCs/>
          <w:szCs w:val="24"/>
        </w:rPr>
        <w:t xml:space="preserve">168.027: </w:t>
      </w:r>
      <w:r w:rsidRPr="005A7303">
        <w:rPr>
          <w:b/>
          <w:bCs/>
          <w:szCs w:val="24"/>
        </w:rPr>
        <w:t xml:space="preserve">Patient Records: </w:t>
      </w:r>
      <w:r w:rsidRPr="005A7303">
        <w:rPr>
          <w:szCs w:val="24"/>
        </w:rPr>
        <w:t xml:space="preserve">This new section creates standards for patient records that align with 105 CMR 164.000, ethical standards and best practices.  </w:t>
      </w:r>
    </w:p>
    <w:p w14:paraId="44006B82" w14:textId="77777777" w:rsidR="008A7F7E" w:rsidRPr="007B1D44" w:rsidRDefault="008A7F7E" w:rsidP="008A7F7E">
      <w:pPr>
        <w:pStyle w:val="NoSpacing"/>
        <w:rPr>
          <w:rFonts w:ascii="Times New Roman" w:hAnsi="Times New Roman" w:cs="Times New Roman"/>
          <w:sz w:val="24"/>
          <w:szCs w:val="24"/>
        </w:rPr>
      </w:pPr>
    </w:p>
    <w:p w14:paraId="5F2938DC" w14:textId="77777777" w:rsidR="008A7F7E" w:rsidRPr="007B1D44" w:rsidRDefault="008A7F7E" w:rsidP="008A7F7E">
      <w:pPr>
        <w:pStyle w:val="NoSpacing"/>
        <w:rPr>
          <w:rFonts w:ascii="Times New Roman" w:hAnsi="Times New Roman" w:cs="Times New Roman"/>
          <w:sz w:val="24"/>
          <w:szCs w:val="24"/>
        </w:rPr>
      </w:pPr>
      <w:r w:rsidRPr="00581335">
        <w:rPr>
          <w:rFonts w:ascii="Times New Roman" w:hAnsi="Times New Roman" w:cs="Times New Roman"/>
          <w:b/>
          <w:bCs/>
          <w:sz w:val="24"/>
          <w:szCs w:val="24"/>
        </w:rPr>
        <w:t>168.0</w:t>
      </w:r>
      <w:r>
        <w:rPr>
          <w:rFonts w:ascii="Times New Roman" w:hAnsi="Times New Roman" w:cs="Times New Roman"/>
          <w:b/>
          <w:bCs/>
          <w:sz w:val="24"/>
          <w:szCs w:val="24"/>
        </w:rPr>
        <w:t>28</w:t>
      </w:r>
      <w:r w:rsidRPr="00581335">
        <w:rPr>
          <w:rFonts w:ascii="Times New Roman" w:hAnsi="Times New Roman" w:cs="Times New Roman"/>
          <w:b/>
          <w:bCs/>
          <w:sz w:val="24"/>
          <w:szCs w:val="24"/>
        </w:rPr>
        <w:t xml:space="preserve">: </w:t>
      </w:r>
      <w:r w:rsidRPr="000E570D">
        <w:rPr>
          <w:rFonts w:ascii="Times New Roman" w:hAnsi="Times New Roman" w:cs="Times New Roman"/>
          <w:b/>
          <w:sz w:val="24"/>
          <w:szCs w:val="24"/>
        </w:rPr>
        <w:t>Informed Consent</w:t>
      </w:r>
      <w:r w:rsidRPr="000E570D">
        <w:rPr>
          <w:rFonts w:ascii="Times New Roman" w:hAnsi="Times New Roman" w:cs="Times New Roman"/>
          <w:sz w:val="24"/>
          <w:szCs w:val="24"/>
        </w:rPr>
        <w:t xml:space="preserve">: New regulatory language emphasizes transparency, ethical standards, and the protection of patient rights.  </w:t>
      </w:r>
    </w:p>
    <w:p w14:paraId="4B773992" w14:textId="77777777" w:rsidR="008A7F7E" w:rsidRPr="007B1D44" w:rsidRDefault="008A7F7E" w:rsidP="008A7F7E">
      <w:pPr>
        <w:pStyle w:val="NoSpacing"/>
        <w:rPr>
          <w:rFonts w:ascii="Times New Roman" w:eastAsia="Times New Roman" w:hAnsi="Times New Roman" w:cs="Times New Roman"/>
          <w:sz w:val="24"/>
          <w:szCs w:val="24"/>
        </w:rPr>
      </w:pPr>
    </w:p>
    <w:p w14:paraId="37E8743A" w14:textId="77777777" w:rsidR="008A7F7E" w:rsidRPr="007B1D44" w:rsidRDefault="008A7F7E" w:rsidP="008A7F7E">
      <w:pPr>
        <w:pStyle w:val="NoSpacing"/>
        <w:rPr>
          <w:rFonts w:ascii="Times New Roman" w:eastAsia="Times New Roman" w:hAnsi="Times New Roman" w:cs="Times New Roman"/>
          <w:sz w:val="24"/>
          <w:szCs w:val="24"/>
        </w:rPr>
      </w:pPr>
      <w:r w:rsidRPr="007B1D44">
        <w:rPr>
          <w:rFonts w:ascii="Times New Roman" w:eastAsia="Times New Roman" w:hAnsi="Times New Roman" w:cs="Times New Roman"/>
          <w:sz w:val="24"/>
          <w:szCs w:val="24"/>
        </w:rPr>
        <w:t>The redline of the regulation is attached to this memo.</w:t>
      </w:r>
    </w:p>
    <w:p w14:paraId="6BBF94E8" w14:textId="77777777" w:rsidR="008A7F7E" w:rsidRDefault="008A7F7E" w:rsidP="008A7F7E">
      <w:pPr>
        <w:rPr>
          <w:i/>
          <w:iCs/>
          <w:color w:val="000000" w:themeColor="text1"/>
          <w:szCs w:val="24"/>
          <w:u w:val="single"/>
        </w:rPr>
      </w:pPr>
    </w:p>
    <w:p w14:paraId="2FC07F32" w14:textId="77777777" w:rsidR="008A7F7E" w:rsidRPr="003F08B0" w:rsidRDefault="008A7F7E" w:rsidP="008A7F7E">
      <w:pPr>
        <w:rPr>
          <w:i/>
          <w:color w:val="000000" w:themeColor="text1"/>
          <w:szCs w:val="24"/>
          <w:u w:val="single"/>
        </w:rPr>
      </w:pPr>
      <w:r w:rsidRPr="003F08B0">
        <w:rPr>
          <w:i/>
          <w:color w:val="000000" w:themeColor="text1"/>
          <w:szCs w:val="24"/>
          <w:u w:val="single"/>
        </w:rPr>
        <w:t>Community Partner Engagement and Anticipated Partner Response</w:t>
      </w:r>
    </w:p>
    <w:p w14:paraId="06DC5ED5" w14:textId="77777777" w:rsidR="008A7F7E" w:rsidRPr="000E570D" w:rsidRDefault="008A7F7E" w:rsidP="008A7F7E">
      <w:pPr>
        <w:rPr>
          <w:b/>
          <w:bCs/>
          <w:color w:val="000000" w:themeColor="text1"/>
          <w:szCs w:val="24"/>
        </w:rPr>
      </w:pPr>
    </w:p>
    <w:p w14:paraId="4F2ED7A9" w14:textId="77777777" w:rsidR="008A7F7E" w:rsidRDefault="008A7F7E" w:rsidP="008A7F7E">
      <w:r w:rsidRPr="000E570D">
        <w:rPr>
          <w:color w:val="000000" w:themeColor="text1"/>
        </w:rPr>
        <w:t xml:space="preserve">In early 2024, </w:t>
      </w:r>
      <w:r w:rsidRPr="000E570D">
        <w:rPr>
          <w:color w:val="000000" w:themeColor="text1"/>
          <w:szCs w:val="24"/>
        </w:rPr>
        <w:t xml:space="preserve">BSAS notified key partners, including LADCs, addiction education providers, such as </w:t>
      </w:r>
      <w:proofErr w:type="spellStart"/>
      <w:r w:rsidRPr="000E570D">
        <w:rPr>
          <w:color w:val="000000" w:themeColor="text1"/>
          <w:szCs w:val="24"/>
        </w:rPr>
        <w:t>Adcare</w:t>
      </w:r>
      <w:proofErr w:type="spellEnd"/>
      <w:r w:rsidRPr="000E570D">
        <w:rPr>
          <w:color w:val="000000" w:themeColor="text1"/>
          <w:szCs w:val="24"/>
        </w:rPr>
        <w:t xml:space="preserve"> Educational Institute, certifying bodies such as the Massachusetts Board of Substance Abuse Counselor Certification (MBSACC), and provider organizations such as </w:t>
      </w:r>
      <w:r w:rsidRPr="000E570D">
        <w:rPr>
          <w:color w:val="000000" w:themeColor="text1"/>
          <w:szCs w:val="24"/>
        </w:rPr>
        <w:lastRenderedPageBreak/>
        <w:t>Association for Behavioral Healthcare (ABH)</w:t>
      </w:r>
      <w:r>
        <w:rPr>
          <w:color w:val="000000" w:themeColor="text1"/>
          <w:szCs w:val="24"/>
        </w:rPr>
        <w:t>,</w:t>
      </w:r>
      <w:r w:rsidRPr="000E570D">
        <w:rPr>
          <w:color w:val="000000" w:themeColor="text1"/>
          <w:szCs w:val="24"/>
        </w:rPr>
        <w:t xml:space="preserve"> that the LADC Regulations</w:t>
      </w:r>
      <w:r w:rsidRPr="27038748">
        <w:rPr>
          <w:color w:val="000000" w:themeColor="text1"/>
        </w:rPr>
        <w:t xml:space="preserve"> were being amended for the first time since their promulgation in 2004</w:t>
      </w:r>
      <w:r w:rsidRPr="000E570D">
        <w:rPr>
          <w:color w:val="000000" w:themeColor="text1"/>
        </w:rPr>
        <w:t xml:space="preserve">.  Partners were invited to respond to a survey to provide feedback on the current regulations.  </w:t>
      </w:r>
      <w:r w:rsidRPr="27038748">
        <w:rPr>
          <w:color w:val="000000" w:themeColor="text1"/>
        </w:rPr>
        <w:t>These</w:t>
      </w:r>
      <w:r w:rsidRPr="000E570D">
        <w:rPr>
          <w:color w:val="000000" w:themeColor="text1"/>
        </w:rPr>
        <w:t xml:space="preserve"> survey results provided BSAS vital insight from those</w:t>
      </w:r>
      <w:r w:rsidRPr="27038748">
        <w:rPr>
          <w:color w:val="000000" w:themeColor="text1"/>
        </w:rPr>
        <w:t xml:space="preserve"> that</w:t>
      </w:r>
      <w:r w:rsidRPr="000E570D">
        <w:rPr>
          <w:color w:val="000000" w:themeColor="text1"/>
        </w:rPr>
        <w:t xml:space="preserve"> the regulations directly impact. </w:t>
      </w:r>
      <w:r w:rsidRPr="000E570D">
        <w:t xml:space="preserve">Survey respondents indicated they wanted improved access to exams, the expansion of the types of degrees considered for LADC Is, a greater focus on professional ethics, and specific language in the regulations that states LADCs can treat individuals with both a substance use disorder and one or more mental health disorders. </w:t>
      </w:r>
      <w:proofErr w:type="gramStart"/>
      <w:r w:rsidRPr="000E570D">
        <w:t>All of</w:t>
      </w:r>
      <w:proofErr w:type="gramEnd"/>
      <w:r w:rsidRPr="000E570D">
        <w:t xml:space="preserve"> these areas have been integrated into the proposed amendments</w:t>
      </w:r>
      <w:r w:rsidRPr="27038748">
        <w:t xml:space="preserve">, but </w:t>
      </w:r>
      <w:r w:rsidRPr="000E570D">
        <w:t>there will likely be additional feedback received during the official public comment period</w:t>
      </w:r>
      <w:r w:rsidRPr="27038748">
        <w:t>.</w:t>
      </w:r>
    </w:p>
    <w:p w14:paraId="531456C5" w14:textId="77777777" w:rsidR="008A7F7E" w:rsidRDefault="008A7F7E" w:rsidP="008A7F7E"/>
    <w:p w14:paraId="4E519E61" w14:textId="77777777" w:rsidR="008A7F7E" w:rsidRPr="00301BB2" w:rsidRDefault="008A7F7E" w:rsidP="008A7F7E">
      <w:pPr>
        <w:pStyle w:val="paragraph"/>
        <w:spacing w:before="0" w:beforeAutospacing="0" w:after="0" w:afterAutospacing="0"/>
        <w:ind w:right="-180"/>
        <w:textAlignment w:val="baseline"/>
      </w:pPr>
      <w:r w:rsidRPr="00301BB2">
        <w:rPr>
          <w:rStyle w:val="normaltextrun"/>
        </w:rPr>
        <w:t>The Department does not anticipate any opposition to these proposed amendments by </w:t>
      </w:r>
      <w:r w:rsidRPr="00301BB2">
        <w:rPr>
          <w:rStyle w:val="eop"/>
        </w:rPr>
        <w:t> </w:t>
      </w:r>
    </w:p>
    <w:p w14:paraId="2C35CEC6" w14:textId="77777777" w:rsidR="008A7F7E" w:rsidRPr="00301BB2" w:rsidRDefault="008A7F7E" w:rsidP="008A7F7E">
      <w:pPr>
        <w:pStyle w:val="paragraph"/>
        <w:spacing w:before="0" w:beforeAutospacing="0" w:after="0" w:afterAutospacing="0"/>
        <w:ind w:right="-180"/>
        <w:textAlignment w:val="baseline"/>
      </w:pPr>
      <w:r>
        <w:rPr>
          <w:rStyle w:val="normaltextrun"/>
        </w:rPr>
        <w:t>partn</w:t>
      </w:r>
      <w:r w:rsidRPr="00301BB2">
        <w:rPr>
          <w:rStyle w:val="normaltextrun"/>
        </w:rPr>
        <w:t>ers.</w:t>
      </w:r>
      <w:r w:rsidRPr="00301BB2">
        <w:rPr>
          <w:rStyle w:val="eop"/>
        </w:rPr>
        <w:t> </w:t>
      </w:r>
    </w:p>
    <w:p w14:paraId="274A4C1C" w14:textId="77777777" w:rsidR="008A7F7E" w:rsidRDefault="008A7F7E" w:rsidP="008A7F7E">
      <w:pPr>
        <w:rPr>
          <w:szCs w:val="24"/>
        </w:rPr>
      </w:pPr>
    </w:p>
    <w:p w14:paraId="6856A144" w14:textId="77777777" w:rsidR="008A7F7E" w:rsidRDefault="008A7F7E" w:rsidP="008A7F7E">
      <w:pPr>
        <w:rPr>
          <w:i/>
          <w:iCs/>
          <w:szCs w:val="24"/>
          <w:u w:val="single"/>
        </w:rPr>
      </w:pPr>
      <w:r>
        <w:rPr>
          <w:i/>
          <w:iCs/>
          <w:szCs w:val="24"/>
          <w:u w:val="single"/>
        </w:rPr>
        <w:t>Other State Agencies</w:t>
      </w:r>
    </w:p>
    <w:p w14:paraId="5E759866" w14:textId="77777777" w:rsidR="008A7F7E" w:rsidRPr="004E0A2B" w:rsidRDefault="008A7F7E" w:rsidP="008A7F7E">
      <w:pPr>
        <w:rPr>
          <w:i/>
          <w:iCs/>
          <w:szCs w:val="24"/>
          <w:u w:val="single"/>
        </w:rPr>
      </w:pPr>
    </w:p>
    <w:p w14:paraId="60647411" w14:textId="77777777" w:rsidR="008A7F7E" w:rsidRPr="000E570D" w:rsidRDefault="008A7F7E" w:rsidP="008A7F7E">
      <w:r w:rsidRPr="20619EB6">
        <w:t>BSAS has also shared these draft regulations with state partners, including MassHealth. BSAS will notify the Department of Correction/ Houses of Correction and the Department of Mental Health of these changes as a courtesy prior to the public comment period.</w:t>
      </w:r>
    </w:p>
    <w:p w14:paraId="08C5A96A" w14:textId="77777777" w:rsidR="008A7F7E" w:rsidRPr="00DA04FD" w:rsidRDefault="008A7F7E" w:rsidP="008A7F7E">
      <w:pPr>
        <w:rPr>
          <w:szCs w:val="24"/>
        </w:rPr>
      </w:pPr>
    </w:p>
    <w:p w14:paraId="2200F6F1" w14:textId="77777777" w:rsidR="008A7F7E" w:rsidRPr="004666B8" w:rsidRDefault="008A7F7E" w:rsidP="008A7F7E">
      <w:pPr>
        <w:rPr>
          <w:i/>
          <w:color w:val="000000" w:themeColor="text1"/>
          <w:szCs w:val="24"/>
          <w:u w:val="single"/>
        </w:rPr>
      </w:pPr>
      <w:r w:rsidRPr="004666B8">
        <w:rPr>
          <w:i/>
          <w:color w:val="000000" w:themeColor="text1"/>
          <w:szCs w:val="24"/>
          <w:u w:val="single"/>
        </w:rPr>
        <w:t>Next Steps</w:t>
      </w:r>
    </w:p>
    <w:p w14:paraId="1A0E2E34" w14:textId="77777777" w:rsidR="008A7F7E" w:rsidRPr="000E570D" w:rsidRDefault="008A7F7E" w:rsidP="008A7F7E">
      <w:pPr>
        <w:rPr>
          <w:b/>
          <w:bCs/>
          <w:color w:val="000000" w:themeColor="text1"/>
          <w:szCs w:val="24"/>
        </w:rPr>
      </w:pPr>
    </w:p>
    <w:p w14:paraId="2D0F52A4" w14:textId="620F11C9" w:rsidR="008A7F7E" w:rsidRPr="00301BB2" w:rsidRDefault="008A7F7E" w:rsidP="002AAC40">
      <w:pPr>
        <w:pStyle w:val="paragraph"/>
        <w:spacing w:before="0" w:beforeAutospacing="0" w:after="0" w:afterAutospacing="0"/>
        <w:ind w:right="-180"/>
        <w:textAlignment w:val="baseline"/>
        <w:rPr>
          <w:rStyle w:val="eop"/>
        </w:rPr>
      </w:pPr>
      <w:r w:rsidRPr="002AAC40">
        <w:rPr>
          <w:rStyle w:val="normaltextrun"/>
        </w:rPr>
        <w:t xml:space="preserve">The Department </w:t>
      </w:r>
      <w:r w:rsidR="6CF6A4DF" w:rsidRPr="002AAC40">
        <w:rPr>
          <w:rStyle w:val="normaltextrun"/>
        </w:rPr>
        <w:t>will complete a</w:t>
      </w:r>
      <w:r w:rsidRPr="002AAC40">
        <w:rPr>
          <w:rStyle w:val="normaltextrun"/>
        </w:rPr>
        <w:t xml:space="preserve"> public comment period and hearing and will then return to the PHC to report on testimony and any recommended changes to the proposed amendments.  Following final approval by the PHC at a future meeting, the Department will file the final amendments with the Secretary of the Commonwealth. </w:t>
      </w:r>
      <w:r w:rsidRPr="002AAC40">
        <w:rPr>
          <w:rStyle w:val="eop"/>
        </w:rPr>
        <w:t> </w:t>
      </w:r>
    </w:p>
    <w:p w14:paraId="071DCAF1" w14:textId="77777777" w:rsidR="008A7F7E" w:rsidRPr="009908FF" w:rsidRDefault="008A7F7E" w:rsidP="0072610D"/>
    <w:sectPr w:rsidR="008A7F7E" w:rsidRPr="009908FF" w:rsidSect="00802852">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2495E"/>
    <w:multiLevelType w:val="hybridMultilevel"/>
    <w:tmpl w:val="DAA8F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FD0512"/>
    <w:multiLevelType w:val="hybridMultilevel"/>
    <w:tmpl w:val="FE48DD08"/>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03A3E24"/>
    <w:multiLevelType w:val="multilevel"/>
    <w:tmpl w:val="7486B3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AB171F"/>
    <w:multiLevelType w:val="hybridMultilevel"/>
    <w:tmpl w:val="8C04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C1426A"/>
    <w:multiLevelType w:val="hybridMultilevel"/>
    <w:tmpl w:val="48CE6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DD4E4E"/>
    <w:multiLevelType w:val="hybridMultilevel"/>
    <w:tmpl w:val="A6B27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7820D6"/>
    <w:multiLevelType w:val="hybridMultilevel"/>
    <w:tmpl w:val="EDA6C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5455620">
    <w:abstractNumId w:val="6"/>
  </w:num>
  <w:num w:numId="2" w16cid:durableId="177354588">
    <w:abstractNumId w:val="2"/>
  </w:num>
  <w:num w:numId="3" w16cid:durableId="798380443">
    <w:abstractNumId w:val="1"/>
  </w:num>
  <w:num w:numId="4" w16cid:durableId="1200700290">
    <w:abstractNumId w:val="0"/>
  </w:num>
  <w:num w:numId="5" w16cid:durableId="2144229267">
    <w:abstractNumId w:val="5"/>
  </w:num>
  <w:num w:numId="6" w16cid:durableId="663820377">
    <w:abstractNumId w:val="3"/>
  </w:num>
  <w:num w:numId="7" w16cid:durableId="11859433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244D6"/>
    <w:rsid w:val="00033154"/>
    <w:rsid w:val="00042048"/>
    <w:rsid w:val="000537DA"/>
    <w:rsid w:val="000A1DE1"/>
    <w:rsid w:val="000B7D96"/>
    <w:rsid w:val="000C2E20"/>
    <w:rsid w:val="000F315B"/>
    <w:rsid w:val="001125C0"/>
    <w:rsid w:val="0015268B"/>
    <w:rsid w:val="001528F0"/>
    <w:rsid w:val="0015709E"/>
    <w:rsid w:val="00174650"/>
    <w:rsid w:val="00175949"/>
    <w:rsid w:val="0017749A"/>
    <w:rsid w:val="00177C77"/>
    <w:rsid w:val="001A7E66"/>
    <w:rsid w:val="001B6693"/>
    <w:rsid w:val="0021698C"/>
    <w:rsid w:val="00237280"/>
    <w:rsid w:val="00260D54"/>
    <w:rsid w:val="00276957"/>
    <w:rsid w:val="00276DCC"/>
    <w:rsid w:val="002A132F"/>
    <w:rsid w:val="002AAC40"/>
    <w:rsid w:val="002D1C21"/>
    <w:rsid w:val="00301022"/>
    <w:rsid w:val="00357A68"/>
    <w:rsid w:val="00375EAD"/>
    <w:rsid w:val="00385812"/>
    <w:rsid w:val="00392D0B"/>
    <w:rsid w:val="003A7AFC"/>
    <w:rsid w:val="003C60EF"/>
    <w:rsid w:val="004813AC"/>
    <w:rsid w:val="004B37A0"/>
    <w:rsid w:val="004B5CFB"/>
    <w:rsid w:val="004D6B39"/>
    <w:rsid w:val="004E0C3F"/>
    <w:rsid w:val="00512956"/>
    <w:rsid w:val="00530145"/>
    <w:rsid w:val="005448AA"/>
    <w:rsid w:val="00572A6E"/>
    <w:rsid w:val="006D06D9"/>
    <w:rsid w:val="006D77A6"/>
    <w:rsid w:val="00702109"/>
    <w:rsid w:val="007210FB"/>
    <w:rsid w:val="0072610D"/>
    <w:rsid w:val="007359C3"/>
    <w:rsid w:val="00757006"/>
    <w:rsid w:val="00771FEB"/>
    <w:rsid w:val="007B3F4B"/>
    <w:rsid w:val="007B7347"/>
    <w:rsid w:val="007D10F3"/>
    <w:rsid w:val="007D1D51"/>
    <w:rsid w:val="007E06B4"/>
    <w:rsid w:val="007F3CDB"/>
    <w:rsid w:val="00802852"/>
    <w:rsid w:val="00850407"/>
    <w:rsid w:val="0088305B"/>
    <w:rsid w:val="008A7F7E"/>
    <w:rsid w:val="0092108A"/>
    <w:rsid w:val="00951305"/>
    <w:rsid w:val="009730E5"/>
    <w:rsid w:val="009908FF"/>
    <w:rsid w:val="00995505"/>
    <w:rsid w:val="009964EE"/>
    <w:rsid w:val="009C4428"/>
    <w:rsid w:val="009D48CD"/>
    <w:rsid w:val="00A5547C"/>
    <w:rsid w:val="00A65101"/>
    <w:rsid w:val="00B344A6"/>
    <w:rsid w:val="00B403BF"/>
    <w:rsid w:val="00B608D9"/>
    <w:rsid w:val="00B77839"/>
    <w:rsid w:val="00BA15C5"/>
    <w:rsid w:val="00BA4055"/>
    <w:rsid w:val="00BA7FB6"/>
    <w:rsid w:val="00C20BFE"/>
    <w:rsid w:val="00C46D29"/>
    <w:rsid w:val="00CC1778"/>
    <w:rsid w:val="00CE575B"/>
    <w:rsid w:val="00CF3DE8"/>
    <w:rsid w:val="00D0493F"/>
    <w:rsid w:val="00D10DDE"/>
    <w:rsid w:val="00D56F91"/>
    <w:rsid w:val="00D76119"/>
    <w:rsid w:val="00D8671C"/>
    <w:rsid w:val="00D91390"/>
    <w:rsid w:val="00DA57C3"/>
    <w:rsid w:val="00DC3855"/>
    <w:rsid w:val="00E242A8"/>
    <w:rsid w:val="00E274B8"/>
    <w:rsid w:val="00E300FC"/>
    <w:rsid w:val="00E72707"/>
    <w:rsid w:val="00E814A1"/>
    <w:rsid w:val="00EF0780"/>
    <w:rsid w:val="00EF0F52"/>
    <w:rsid w:val="00F0586E"/>
    <w:rsid w:val="00F43932"/>
    <w:rsid w:val="00FA575E"/>
    <w:rsid w:val="00FC6B42"/>
    <w:rsid w:val="06CEA7DC"/>
    <w:rsid w:val="39789105"/>
    <w:rsid w:val="5FB04337"/>
    <w:rsid w:val="6CF6A4DF"/>
    <w:rsid w:val="72A825C5"/>
    <w:rsid w:val="750B5D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8E4EE928-F7C5-46B7-AD11-BFF74A4E3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paragraph" w:styleId="ListParagraph">
    <w:name w:val="List Paragraph"/>
    <w:basedOn w:val="Normal"/>
    <w:uiPriority w:val="34"/>
    <w:qFormat/>
    <w:rsid w:val="008A7F7E"/>
    <w:pPr>
      <w:ind w:left="720"/>
      <w:contextualSpacing/>
    </w:pPr>
    <w:rPr>
      <w:rFonts w:eastAsiaTheme="minorHAnsi" w:cstheme="minorBidi"/>
      <w:szCs w:val="22"/>
    </w:rPr>
  </w:style>
  <w:style w:type="paragraph" w:styleId="Header">
    <w:name w:val="header"/>
    <w:basedOn w:val="Normal"/>
    <w:link w:val="HeaderChar"/>
    <w:unhideWhenUsed/>
    <w:rsid w:val="008A7F7E"/>
    <w:pPr>
      <w:tabs>
        <w:tab w:val="center" w:pos="4680"/>
        <w:tab w:val="right" w:pos="9360"/>
      </w:tabs>
    </w:pPr>
    <w:rPr>
      <w:rFonts w:eastAsiaTheme="minorHAnsi" w:cstheme="minorBidi"/>
      <w:szCs w:val="22"/>
    </w:rPr>
  </w:style>
  <w:style w:type="character" w:customStyle="1" w:styleId="HeaderChar">
    <w:name w:val="Header Char"/>
    <w:basedOn w:val="DefaultParagraphFont"/>
    <w:link w:val="Header"/>
    <w:rsid w:val="008A7F7E"/>
    <w:rPr>
      <w:rFonts w:eastAsiaTheme="minorHAnsi" w:cstheme="minorBidi"/>
      <w:sz w:val="24"/>
      <w:szCs w:val="22"/>
    </w:rPr>
  </w:style>
  <w:style w:type="paragraph" w:styleId="NoSpacing">
    <w:name w:val="No Spacing"/>
    <w:uiPriority w:val="1"/>
    <w:qFormat/>
    <w:rsid w:val="008A7F7E"/>
    <w:rPr>
      <w:rFonts w:asciiTheme="minorHAnsi" w:eastAsiaTheme="minorHAnsi" w:hAnsiTheme="minorHAnsi" w:cstheme="minorBidi"/>
      <w:sz w:val="22"/>
      <w:szCs w:val="22"/>
    </w:rPr>
  </w:style>
  <w:style w:type="character" w:customStyle="1" w:styleId="normaltextrun">
    <w:name w:val="normaltextrun"/>
    <w:basedOn w:val="DefaultParagraphFont"/>
    <w:rsid w:val="008A7F7E"/>
  </w:style>
  <w:style w:type="character" w:customStyle="1" w:styleId="eop">
    <w:name w:val="eop"/>
    <w:basedOn w:val="DefaultParagraphFont"/>
    <w:rsid w:val="008A7F7E"/>
  </w:style>
  <w:style w:type="character" w:styleId="Strong">
    <w:name w:val="Strong"/>
    <w:basedOn w:val="DefaultParagraphFont"/>
    <w:uiPriority w:val="22"/>
    <w:qFormat/>
    <w:rsid w:val="008A7F7E"/>
    <w:rPr>
      <w:b/>
      <w:bCs/>
    </w:rPr>
  </w:style>
  <w:style w:type="paragraph" w:customStyle="1" w:styleId="paragraph">
    <w:name w:val="paragraph"/>
    <w:basedOn w:val="Normal"/>
    <w:rsid w:val="008A7F7E"/>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9DC3FCF1D95A4296280FDD585B34ED" ma:contentTypeVersion="14" ma:contentTypeDescription="Create a new document." ma:contentTypeScope="" ma:versionID="62a3bf9aa89a4160d92c7fc05e434e83">
  <xsd:schema xmlns:xsd="http://www.w3.org/2001/XMLSchema" xmlns:xs="http://www.w3.org/2001/XMLSchema" xmlns:p="http://schemas.microsoft.com/office/2006/metadata/properties" xmlns:ns2="f13819f2-5213-4568-af44-8c751c038541" xmlns:ns3="282cd75b-23e5-4a6a-a05b-a5bacdda3bfd" targetNamespace="http://schemas.microsoft.com/office/2006/metadata/properties" ma:root="true" ma:fieldsID="667169ac13fea388a8023292b5603d85" ns2:_="" ns3:_="">
    <xsd:import namespace="f13819f2-5213-4568-af44-8c751c038541"/>
    <xsd:import namespace="282cd75b-23e5-4a6a-a05b-a5bacdda3b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3819f2-5213-4568-af44-8c751c038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2cd75b-23e5-4a6a-a05b-a5bacdda3bf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31edf6e-2d4e-4939-936e-4d63e521f73f}" ma:internalName="TaxCatchAll" ma:showField="CatchAllData" ma:web="282cd75b-23e5-4a6a-a05b-a5bacdda3b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82cd75b-23e5-4a6a-a05b-a5bacdda3bfd" xsi:nil="true"/>
    <lcf76f155ced4ddcb4097134ff3c332f xmlns="f13819f2-5213-4568-af44-8c751c0385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7A69FD-4F7A-474E-B974-92898A464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3819f2-5213-4568-af44-8c751c038541"/>
    <ds:schemaRef ds:uri="282cd75b-23e5-4a6a-a05b-a5bacdda3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282cd75b-23e5-4a6a-a05b-a5bacdda3bfd"/>
    <ds:schemaRef ds:uri="f13819f2-5213-4568-af44-8c751c038541"/>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0</TotalTime>
  <Pages>6</Pages>
  <Words>2178</Words>
  <Characters>12418</Characters>
  <Application>Microsoft Office Word</Application>
  <DocSecurity>0</DocSecurity>
  <Lines>103</Lines>
  <Paragraphs>29</Paragraphs>
  <ScaleCrop>false</ScaleCrop>
  <Company>Commonwealth of Massachusetts</Company>
  <LinksUpToDate>false</LinksUpToDate>
  <CharactersWithSpaces>14567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Harrison, Deborah (EHS)</cp:lastModifiedBy>
  <cp:revision>2</cp:revision>
  <cp:lastPrinted>2015-01-29T11:50:00Z</cp:lastPrinted>
  <dcterms:created xsi:type="dcterms:W3CDTF">2026-03-25T16:47:00Z</dcterms:created>
  <dcterms:modified xsi:type="dcterms:W3CDTF">2026-03-25T16:47:00Z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0x0101000A9DC3FCF1D95A4296280FDD585B34ED</vt:lpwstr>
  </property>
  <property fmtid="{D5CDD505-2E9C-101B-9397-08002B2CF9AE}" pid="3" name="MediaServiceImageTags">
    <vt:lpwstr/>
  </property>
</Properties>
</file>