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1E4A" w14:textId="7EFFEA8B" w:rsidR="00042C87" w:rsidRDefault="00042C87" w:rsidP="5CA06883">
      <w:pPr>
        <w:framePr w:w="6926" w:hSpace="187" w:wrap="notBeside" w:vAnchor="page" w:hAnchor="page" w:x="2884" w:y="711"/>
        <w:jc w:val="center"/>
        <w:rPr>
          <w:rFonts w:ascii="Arial" w:hAnsi="Arial"/>
          <w:sz w:val="36"/>
          <w:szCs w:val="36"/>
        </w:rPr>
      </w:pPr>
      <w:r w:rsidRPr="5CA06883">
        <w:rPr>
          <w:rFonts w:ascii="Arial" w:hAnsi="Arial"/>
          <w:sz w:val="36"/>
          <w:szCs w:val="36"/>
        </w:rPr>
        <w:t>The Commonwealth of Massachusetts</w:t>
      </w:r>
    </w:p>
    <w:p w14:paraId="77F1CFE6" w14:textId="77777777" w:rsidR="00042C87" w:rsidRDefault="00042C87" w:rsidP="00042C87">
      <w:pPr>
        <w:pStyle w:val="ExecOffice"/>
        <w:framePr w:w="6926" w:wrap="notBeside" w:vAnchor="page" w:x="2884" w:y="711"/>
      </w:pPr>
      <w:r>
        <w:t>Executive Office of Health and Human Services</w:t>
      </w:r>
    </w:p>
    <w:p w14:paraId="12C1B4A7" w14:textId="77777777" w:rsidR="00042C87" w:rsidRDefault="00042C87" w:rsidP="00042C87">
      <w:pPr>
        <w:pStyle w:val="ExecOffice"/>
        <w:framePr w:w="6926" w:wrap="notBeside" w:vAnchor="page" w:x="2884" w:y="711"/>
      </w:pPr>
      <w:r>
        <w:t>Department of Public Health</w:t>
      </w:r>
    </w:p>
    <w:p w14:paraId="2C3C1527" w14:textId="77777777" w:rsidR="00042C87" w:rsidRDefault="00042C87" w:rsidP="00042C87">
      <w:pPr>
        <w:pStyle w:val="ExecOffice"/>
        <w:framePr w:w="6926" w:wrap="notBeside" w:vAnchor="page" w:x="2884" w:y="711"/>
      </w:pPr>
      <w:r>
        <w:t>250 Washington Street, Boston, MA 02108-4619</w:t>
      </w:r>
    </w:p>
    <w:p w14:paraId="14DDC802" w14:textId="4A70C274" w:rsidR="00BA4055" w:rsidRPr="00BA399A" w:rsidRDefault="00C46D29" w:rsidP="00BA4055">
      <w:pPr>
        <w:framePr w:w="1927" w:hSpace="180" w:wrap="auto" w:vAnchor="text" w:hAnchor="page" w:x="940" w:y="-951"/>
        <w:rPr>
          <w:szCs w:val="24"/>
        </w:rPr>
      </w:pPr>
      <w:r w:rsidRPr="00BA399A">
        <w:rPr>
          <w:noProof/>
          <w:szCs w:val="24"/>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Pr="00BA399A" w:rsidRDefault="000B7D96" w:rsidP="0072610D">
      <w:pPr>
        <w:rPr>
          <w:szCs w:val="24"/>
        </w:rPr>
      </w:pPr>
      <w:r w:rsidRPr="00BA399A">
        <w:rPr>
          <w:noProof/>
          <w:szCs w:val="24"/>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BA399A">
        <w:rPr>
          <w:noProof/>
          <w:szCs w:val="24"/>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Pr="00BA399A" w:rsidRDefault="00FC6B42" w:rsidP="0072610D">
      <w:pPr>
        <w:rPr>
          <w:szCs w:val="24"/>
        </w:rPr>
      </w:pPr>
    </w:p>
    <w:p w14:paraId="45EA865C" w14:textId="77777777" w:rsidR="00FC6B42" w:rsidRPr="00BA399A" w:rsidRDefault="00FC6B42" w:rsidP="0072610D">
      <w:pPr>
        <w:rPr>
          <w:szCs w:val="24"/>
        </w:rPr>
      </w:pPr>
    </w:p>
    <w:p w14:paraId="51314366" w14:textId="77777777" w:rsidR="00033154" w:rsidRPr="00BA399A" w:rsidRDefault="00033154" w:rsidP="0072610D">
      <w:pPr>
        <w:rPr>
          <w:szCs w:val="24"/>
        </w:rPr>
      </w:pPr>
    </w:p>
    <w:p w14:paraId="69F380EF" w14:textId="0A721FE3" w:rsidR="00033154" w:rsidRPr="00BA399A" w:rsidRDefault="00033154" w:rsidP="0072610D">
      <w:pPr>
        <w:rPr>
          <w:szCs w:val="24"/>
        </w:rPr>
      </w:pPr>
    </w:p>
    <w:p w14:paraId="573DF7B8" w14:textId="7F5526C8" w:rsidR="00AA6CEA" w:rsidRPr="00BA399A" w:rsidRDefault="00AA6CEA" w:rsidP="0072610D">
      <w:pPr>
        <w:rPr>
          <w:szCs w:val="24"/>
        </w:rPr>
      </w:pPr>
    </w:p>
    <w:p w14:paraId="3BBA494C" w14:textId="77777777" w:rsidR="00F25874" w:rsidRPr="00BA399A" w:rsidRDefault="00F25874" w:rsidP="00F25874">
      <w:pPr>
        <w:ind w:right="-1800"/>
        <w:rPr>
          <w:color w:val="000000"/>
          <w:szCs w:val="24"/>
        </w:rPr>
      </w:pPr>
    </w:p>
    <w:p w14:paraId="60920E91" w14:textId="77777777" w:rsidR="00B8541F" w:rsidRDefault="00F25874" w:rsidP="00F25874">
      <w:pPr>
        <w:ind w:right="-1800"/>
        <w:rPr>
          <w:color w:val="000000"/>
          <w:szCs w:val="24"/>
        </w:rPr>
      </w:pPr>
      <w:r w:rsidRPr="00BA399A">
        <w:rPr>
          <w:color w:val="000000"/>
          <w:szCs w:val="24"/>
        </w:rPr>
        <w:t>To:</w:t>
      </w:r>
      <w:r w:rsidRPr="00BA399A">
        <w:rPr>
          <w:color w:val="000000"/>
          <w:szCs w:val="24"/>
        </w:rPr>
        <w:tab/>
        <w:t>Commissioner Robert Goldstein, MD</w:t>
      </w:r>
      <w:r w:rsidR="00157EA1" w:rsidRPr="00BA399A">
        <w:rPr>
          <w:color w:val="000000"/>
          <w:szCs w:val="24"/>
        </w:rPr>
        <w:t>, PhD</w:t>
      </w:r>
      <w:r w:rsidRPr="00BA399A">
        <w:rPr>
          <w:color w:val="000000"/>
          <w:szCs w:val="24"/>
        </w:rPr>
        <w:t xml:space="preserve"> </w:t>
      </w:r>
    </w:p>
    <w:p w14:paraId="09B2FA2B" w14:textId="2C62ACF5" w:rsidR="00F25874" w:rsidRPr="00BA399A" w:rsidRDefault="00F25874" w:rsidP="00B8541F">
      <w:pPr>
        <w:ind w:right="-1800" w:firstLine="720"/>
        <w:rPr>
          <w:color w:val="000000"/>
          <w:szCs w:val="24"/>
        </w:rPr>
      </w:pPr>
      <w:r w:rsidRPr="00BA399A">
        <w:rPr>
          <w:color w:val="000000"/>
          <w:szCs w:val="24"/>
        </w:rPr>
        <w:t>Members of the Public Health Council</w:t>
      </w:r>
    </w:p>
    <w:p w14:paraId="3233EDF5" w14:textId="77777777" w:rsidR="00F25874" w:rsidRPr="00BA399A" w:rsidRDefault="00F25874" w:rsidP="00F25874">
      <w:pPr>
        <w:rPr>
          <w:color w:val="000000"/>
          <w:szCs w:val="24"/>
        </w:rPr>
      </w:pPr>
    </w:p>
    <w:p w14:paraId="0D3C9B89" w14:textId="77777777" w:rsidR="00F25874" w:rsidRPr="00BA399A" w:rsidRDefault="00F25874" w:rsidP="00F25874">
      <w:pPr>
        <w:rPr>
          <w:color w:val="000000"/>
          <w:szCs w:val="24"/>
        </w:rPr>
      </w:pPr>
      <w:r w:rsidRPr="00BA399A">
        <w:rPr>
          <w:color w:val="000000"/>
          <w:szCs w:val="24"/>
        </w:rPr>
        <w:t>From:</w:t>
      </w:r>
      <w:r w:rsidRPr="00BA399A">
        <w:rPr>
          <w:color w:val="000000"/>
          <w:szCs w:val="24"/>
        </w:rPr>
        <w:tab/>
        <w:t>James G. Lavery, Director, Bureau of Health Professions Licensure</w:t>
      </w:r>
    </w:p>
    <w:p w14:paraId="69278DD7" w14:textId="77777777" w:rsidR="00F25874" w:rsidRPr="00BA399A" w:rsidRDefault="00F25874" w:rsidP="00F25874">
      <w:pPr>
        <w:rPr>
          <w:color w:val="000000"/>
          <w:szCs w:val="24"/>
        </w:rPr>
      </w:pPr>
      <w:r w:rsidRPr="00BA399A">
        <w:rPr>
          <w:color w:val="000000"/>
          <w:szCs w:val="24"/>
        </w:rPr>
        <w:tab/>
        <w:t>David E. Johnson, Director, Drug Control Program</w:t>
      </w:r>
    </w:p>
    <w:p w14:paraId="2D795E5A" w14:textId="77777777" w:rsidR="00F25874" w:rsidRPr="00BA399A" w:rsidRDefault="00F25874" w:rsidP="00F25874">
      <w:pPr>
        <w:rPr>
          <w:color w:val="000000"/>
          <w:szCs w:val="24"/>
        </w:rPr>
      </w:pPr>
    </w:p>
    <w:p w14:paraId="24257618" w14:textId="5EC086D3" w:rsidR="00F25874" w:rsidRPr="00BA399A" w:rsidRDefault="00F25874" w:rsidP="2EEBBD5B">
      <w:pPr>
        <w:tabs>
          <w:tab w:val="left" w:pos="720"/>
          <w:tab w:val="left" w:pos="1440"/>
          <w:tab w:val="left" w:pos="2160"/>
          <w:tab w:val="left" w:pos="2780"/>
        </w:tabs>
        <w:rPr>
          <w:color w:val="000000"/>
        </w:rPr>
      </w:pPr>
      <w:r w:rsidRPr="2EEBBD5B">
        <w:rPr>
          <w:color w:val="000000" w:themeColor="text1"/>
        </w:rPr>
        <w:t>Date:</w:t>
      </w:r>
      <w:r>
        <w:tab/>
      </w:r>
      <w:r w:rsidR="00720B2E">
        <w:rPr>
          <w:color w:val="000000" w:themeColor="text1"/>
        </w:rPr>
        <w:t>February 14</w:t>
      </w:r>
      <w:r w:rsidR="00087713" w:rsidRPr="2EEBBD5B">
        <w:rPr>
          <w:color w:val="000000" w:themeColor="text1"/>
        </w:rPr>
        <w:t>, 2024</w:t>
      </w:r>
    </w:p>
    <w:p w14:paraId="4C303090" w14:textId="77777777" w:rsidR="00F25874" w:rsidRPr="00BA399A" w:rsidRDefault="00F25874" w:rsidP="00F25874">
      <w:pPr>
        <w:ind w:left="720" w:hanging="720"/>
        <w:rPr>
          <w:color w:val="000000"/>
          <w:szCs w:val="24"/>
        </w:rPr>
      </w:pPr>
    </w:p>
    <w:p w14:paraId="6FC3E6D7" w14:textId="753D531A" w:rsidR="00F25874" w:rsidRPr="00BA399A" w:rsidRDefault="00F25874" w:rsidP="5CA06883">
      <w:pPr>
        <w:ind w:left="720" w:hanging="720"/>
        <w:rPr>
          <w:color w:val="000000"/>
        </w:rPr>
      </w:pPr>
      <w:r w:rsidRPr="5CA06883">
        <w:rPr>
          <w:color w:val="000000" w:themeColor="text1"/>
        </w:rPr>
        <w:t>RE:</w:t>
      </w:r>
      <w:r>
        <w:tab/>
      </w:r>
      <w:r w:rsidR="0003513A">
        <w:t>Overview of</w:t>
      </w:r>
      <w:r>
        <w:t xml:space="preserve"> Proposed Amendments to Regulation</w:t>
      </w:r>
      <w:r w:rsidRPr="5CA06883">
        <w:rPr>
          <w:color w:val="000000" w:themeColor="text1"/>
        </w:rPr>
        <w:t xml:space="preserve"> 105 CMR </w:t>
      </w:r>
      <w:bookmarkStart w:id="0" w:name="_Hlk69375817"/>
      <w:r w:rsidR="00087713">
        <w:t>72</w:t>
      </w:r>
      <w:r w:rsidR="00155260">
        <w:t>2</w:t>
      </w:r>
      <w:r w:rsidR="00087713">
        <w:t xml:space="preserve">.000: </w:t>
      </w:r>
      <w:bookmarkEnd w:id="0"/>
      <w:r w:rsidR="00176625" w:rsidRPr="5CA06883">
        <w:rPr>
          <w:i/>
          <w:iCs/>
        </w:rPr>
        <w:t>Dispensing Procedures for Clinic and Hospital Pharmacies</w:t>
      </w:r>
    </w:p>
    <w:p w14:paraId="497BC0D6" w14:textId="77777777" w:rsidR="00F25874" w:rsidRPr="00BA399A" w:rsidRDefault="00F25874" w:rsidP="00F25874">
      <w:pPr>
        <w:rPr>
          <w:color w:val="000000"/>
          <w:szCs w:val="24"/>
        </w:rPr>
      </w:pPr>
      <w:r w:rsidRPr="00BA399A">
        <w:rPr>
          <w:color w:val="000000"/>
          <w:szCs w:val="24"/>
        </w:rPr>
        <w:t>__________________________________________________________________________</w:t>
      </w:r>
    </w:p>
    <w:p w14:paraId="2BA1BFF7" w14:textId="7AC57FF9" w:rsidR="00F25874" w:rsidRPr="00984EF9" w:rsidRDefault="00F25874" w:rsidP="007D53FD">
      <w:pPr>
        <w:pStyle w:val="ListParagraph"/>
        <w:numPr>
          <w:ilvl w:val="0"/>
          <w:numId w:val="8"/>
        </w:numPr>
        <w:spacing w:before="240"/>
        <w:ind w:hanging="180"/>
        <w:rPr>
          <w:rStyle w:val="normalchar1"/>
          <w:rFonts w:ascii="Times New Roman" w:hAnsi="Times New Roman" w:cs="Times New Roman"/>
          <w:b/>
          <w:color w:val="000000"/>
          <w:sz w:val="24"/>
          <w:szCs w:val="24"/>
          <w:u w:val="single"/>
        </w:rPr>
      </w:pPr>
      <w:r w:rsidRPr="00984EF9">
        <w:rPr>
          <w:rStyle w:val="normalchar1"/>
          <w:rFonts w:ascii="Times New Roman" w:hAnsi="Times New Roman" w:cs="Times New Roman"/>
          <w:b/>
          <w:color w:val="000000"/>
          <w:sz w:val="24"/>
          <w:szCs w:val="24"/>
          <w:u w:val="single"/>
        </w:rPr>
        <w:t>Introduction</w:t>
      </w:r>
    </w:p>
    <w:p w14:paraId="774E219F" w14:textId="77777777" w:rsidR="00F25874" w:rsidRDefault="00F25874" w:rsidP="00F25874">
      <w:pPr>
        <w:rPr>
          <w:color w:val="000000"/>
          <w:szCs w:val="24"/>
        </w:rPr>
      </w:pPr>
    </w:p>
    <w:p w14:paraId="62AE6EA9" w14:textId="0C7B224C" w:rsidR="00155260" w:rsidRPr="009F7015" w:rsidRDefault="009A1E1F" w:rsidP="5CA06883">
      <w:pPr>
        <w:widowControl w:val="0"/>
      </w:pPr>
      <w:r w:rsidRPr="5CA06883">
        <w:rPr>
          <w:color w:val="000000" w:themeColor="text1"/>
        </w:rPr>
        <w:t xml:space="preserve">The purpose of this memorandum is to provide the Public Health Council (PHC) with information about proposed </w:t>
      </w:r>
      <w:r>
        <w:t xml:space="preserve">amendments </w:t>
      </w:r>
      <w:r w:rsidR="00155260">
        <w:t xml:space="preserve">to 105 CMR 722.000: </w:t>
      </w:r>
      <w:r w:rsidR="00155260" w:rsidRPr="5CA06883">
        <w:rPr>
          <w:i/>
          <w:iCs/>
        </w:rPr>
        <w:t xml:space="preserve">Dispensing Procedures for Clinic and Hospital Pharmacies, </w:t>
      </w:r>
      <w:r w:rsidR="00155260">
        <w:t>for public comment</w:t>
      </w:r>
      <w:r w:rsidR="00155260" w:rsidRPr="5CA06883">
        <w:rPr>
          <w:i/>
          <w:iCs/>
        </w:rPr>
        <w:t>.</w:t>
      </w:r>
      <w:r w:rsidR="00155260">
        <w:t xml:space="preserve"> This regulation sets forth standards governing dispensing procedures for clinic and hospital pharmacies.</w:t>
      </w:r>
      <w:r>
        <w:t xml:space="preserve"> </w:t>
      </w:r>
      <w:r w:rsidR="00155260">
        <w:t xml:space="preserve">This regulation was last updated in May 2017 as part of regulatory review, pursuant to former Governor Baker’s Executive Order 562, which required review of all existing regulations.  </w:t>
      </w:r>
    </w:p>
    <w:p w14:paraId="47F571C0" w14:textId="404B2ABF" w:rsidR="005B4992" w:rsidRPr="00984EF9" w:rsidRDefault="00A15F67" w:rsidP="5CA06883">
      <w:pPr>
        <w:pStyle w:val="ListParagraph"/>
        <w:numPr>
          <w:ilvl w:val="0"/>
          <w:numId w:val="8"/>
        </w:numPr>
        <w:spacing w:before="240"/>
        <w:ind w:hanging="180"/>
        <w:rPr>
          <w:b/>
          <w:bCs/>
          <w:color w:val="000000"/>
          <w:u w:val="single"/>
        </w:rPr>
      </w:pPr>
      <w:r w:rsidRPr="5CA06883">
        <w:rPr>
          <w:rStyle w:val="normalchar1"/>
          <w:rFonts w:ascii="Times New Roman" w:hAnsi="Times New Roman" w:cs="Times New Roman"/>
          <w:b/>
          <w:bCs/>
          <w:sz w:val="24"/>
          <w:szCs w:val="24"/>
          <w:u w:val="single"/>
        </w:rPr>
        <w:t>Summary of Proposed Changes</w:t>
      </w:r>
    </w:p>
    <w:p w14:paraId="7F081B98" w14:textId="5DCB8450" w:rsidR="006218D9" w:rsidRDefault="006218D9" w:rsidP="5CA06883">
      <w:pPr>
        <w:contextualSpacing/>
        <w:rPr>
          <w:b/>
          <w:bCs/>
          <w:u w:val="single"/>
        </w:rPr>
      </w:pPr>
    </w:p>
    <w:p w14:paraId="12C5B031" w14:textId="77777777" w:rsidR="008615D8" w:rsidRPr="008615D8" w:rsidRDefault="008615D8">
      <w:pPr>
        <w:tabs>
          <w:tab w:val="left" w:pos="1440"/>
        </w:tabs>
        <w:pPrChange w:id="1" w:author="Kaplan, Amy (DPH)" w:date="2024-02-05T10:36:00Z">
          <w:pPr>
            <w:pStyle w:val="ListParagraph"/>
            <w:numPr>
              <w:numId w:val="15"/>
            </w:numPr>
            <w:tabs>
              <w:tab w:val="num" w:pos="720"/>
              <w:tab w:val="left" w:pos="1440"/>
            </w:tabs>
            <w:ind w:hanging="360"/>
          </w:pPr>
        </w:pPrChange>
      </w:pPr>
      <w:r>
        <w:t>These new proposed amendments update the regulation to better align with other Department regulations and with updated state law:</w:t>
      </w:r>
    </w:p>
    <w:p w14:paraId="177A3D1E" w14:textId="547097A3" w:rsidR="00155260" w:rsidRPr="009F7015" w:rsidRDefault="00155260" w:rsidP="5CA06883">
      <w:pPr>
        <w:ind w:left="720"/>
        <w:contextualSpacing/>
      </w:pPr>
    </w:p>
    <w:p w14:paraId="47875348" w14:textId="77777777" w:rsidR="00155260" w:rsidRPr="009F7015" w:rsidRDefault="00155260" w:rsidP="00155260">
      <w:pPr>
        <w:rPr>
          <w:bCs/>
          <w:szCs w:val="24"/>
        </w:rPr>
      </w:pPr>
      <w:r w:rsidRPr="009F7015">
        <w:rPr>
          <w:bCs/>
          <w:szCs w:val="24"/>
          <w:u w:val="single"/>
        </w:rPr>
        <w:t>105 CMR 722.020 (Definitions)</w:t>
      </w:r>
      <w:r w:rsidRPr="009F7015">
        <w:rPr>
          <w:bCs/>
          <w:szCs w:val="24"/>
        </w:rPr>
        <w:t xml:space="preserve"> </w:t>
      </w:r>
    </w:p>
    <w:p w14:paraId="2D92D184" w14:textId="77777777" w:rsidR="00155260" w:rsidRPr="009F7015" w:rsidRDefault="00155260" w:rsidP="00155260">
      <w:pPr>
        <w:pStyle w:val="ListParagraph"/>
        <w:numPr>
          <w:ilvl w:val="0"/>
          <w:numId w:val="13"/>
        </w:numPr>
        <w:rPr>
          <w:bCs/>
          <w:szCs w:val="24"/>
        </w:rPr>
      </w:pPr>
      <w:r w:rsidRPr="009F7015">
        <w:rPr>
          <w:bCs/>
          <w:szCs w:val="24"/>
        </w:rPr>
        <w:t>A definition was added for “Hospital,” in alignment with the statutory definition.</w:t>
      </w:r>
    </w:p>
    <w:p w14:paraId="747C7F0E" w14:textId="77777777" w:rsidR="00155260" w:rsidRPr="009F7015" w:rsidRDefault="00155260" w:rsidP="00155260">
      <w:pPr>
        <w:rPr>
          <w:bCs/>
          <w:szCs w:val="24"/>
        </w:rPr>
      </w:pPr>
    </w:p>
    <w:p w14:paraId="67232E93" w14:textId="77777777" w:rsidR="00155260" w:rsidRPr="009F7015" w:rsidRDefault="00155260" w:rsidP="00155260">
      <w:pPr>
        <w:rPr>
          <w:bCs/>
          <w:szCs w:val="24"/>
        </w:rPr>
      </w:pPr>
      <w:r w:rsidRPr="009F7015">
        <w:rPr>
          <w:bCs/>
          <w:szCs w:val="24"/>
          <w:u w:val="single"/>
        </w:rPr>
        <w:t>105 CMR 722.091 (Clinic Pharmacies)</w:t>
      </w:r>
      <w:r w:rsidRPr="009F7015">
        <w:rPr>
          <w:bCs/>
          <w:szCs w:val="24"/>
        </w:rPr>
        <w:t xml:space="preserve"> </w:t>
      </w:r>
    </w:p>
    <w:p w14:paraId="4BBEAC39" w14:textId="77777777" w:rsidR="00155260" w:rsidRPr="009F7015" w:rsidRDefault="00155260" w:rsidP="00155260">
      <w:pPr>
        <w:pStyle w:val="ListParagraph"/>
        <w:numPr>
          <w:ilvl w:val="0"/>
          <w:numId w:val="12"/>
        </w:numPr>
        <w:rPr>
          <w:bCs/>
          <w:szCs w:val="24"/>
        </w:rPr>
      </w:pPr>
      <w:r w:rsidRPr="009F7015">
        <w:rPr>
          <w:bCs/>
          <w:szCs w:val="24"/>
        </w:rPr>
        <w:t>This section was amended to align with the Bureau of Health Care Safety and Quality (BHCSQ) regulatory requirement that clinics must have pharmacy services listed on their facility license in order to dispense controlled substances.</w:t>
      </w:r>
      <w:r w:rsidRPr="009F7015">
        <w:rPr>
          <w:szCs w:val="24"/>
        </w:rPr>
        <w:t xml:space="preserve"> </w:t>
      </w:r>
      <w:r w:rsidRPr="009F7015">
        <w:rPr>
          <w:bCs/>
          <w:szCs w:val="24"/>
        </w:rPr>
        <w:t>This language is being added here to eliminate existing confusion among clinics about the relationship between the clinic regulation (105 CMR 140) and the Massachusetts Controlled Substances Registration (MCSR) process.</w:t>
      </w:r>
    </w:p>
    <w:p w14:paraId="42CF87FC" w14:textId="73EF5BFF" w:rsidR="00984EF9" w:rsidRDefault="00155260" w:rsidP="5CA06883">
      <w:pPr>
        <w:pStyle w:val="ListParagraph"/>
        <w:numPr>
          <w:ilvl w:val="0"/>
          <w:numId w:val="12"/>
        </w:numPr>
        <w:spacing w:after="200"/>
      </w:pPr>
      <w:r>
        <w:lastRenderedPageBreak/>
        <w:t xml:space="preserve">This section was further amended to note an exception to the on-site pharmacy rule for </w:t>
      </w:r>
      <w:r w:rsidR="00CB597F">
        <w:t xml:space="preserve">clinics dispensing naloxone only, and for </w:t>
      </w:r>
      <w:r>
        <w:t xml:space="preserve">family planning clinics, as recently recognized in </w:t>
      </w:r>
      <w:hyperlink r:id="rId11" w:anchor="(e)-:~:text=administration%20or%20dispensing.-,(e),-Notwithstanding%20subsection%20(b">
        <w:r w:rsidRPr="5CA06883">
          <w:rPr>
            <w:rStyle w:val="Hyperlink"/>
          </w:rPr>
          <w:t>M.G.L c. 94C, § 9(e)</w:t>
        </w:r>
      </w:hyperlink>
      <w:r>
        <w:t>, as amended in 2021.</w:t>
      </w:r>
    </w:p>
    <w:p w14:paraId="69605CDF" w14:textId="79B984DE" w:rsidR="2EEBBD5B" w:rsidRDefault="2EEBBD5B" w:rsidP="5CA06883">
      <w:pPr>
        <w:pStyle w:val="ListParagraph"/>
        <w:numPr>
          <w:ilvl w:val="0"/>
          <w:numId w:val="14"/>
        </w:numPr>
        <w:rPr>
          <w:szCs w:val="24"/>
        </w:rPr>
      </w:pPr>
    </w:p>
    <w:p w14:paraId="3181F810" w14:textId="77777777" w:rsidR="00984EF9" w:rsidRPr="00984EF9" w:rsidRDefault="00984EF9" w:rsidP="00B8541F">
      <w:pPr>
        <w:pStyle w:val="ListParagraph"/>
        <w:numPr>
          <w:ilvl w:val="0"/>
          <w:numId w:val="8"/>
        </w:numPr>
        <w:ind w:hanging="180"/>
        <w:rPr>
          <w:b/>
          <w:szCs w:val="24"/>
          <w:u w:val="single"/>
        </w:rPr>
      </w:pPr>
      <w:r w:rsidRPr="2EEBBD5B">
        <w:rPr>
          <w:rStyle w:val="normalchar1"/>
          <w:rFonts w:ascii="Times New Roman" w:hAnsi="Times New Roman" w:cs="Times New Roman"/>
          <w:b/>
          <w:bCs/>
          <w:sz w:val="24"/>
          <w:szCs w:val="24"/>
          <w:u w:val="single"/>
        </w:rPr>
        <w:t>Next</w:t>
      </w:r>
      <w:r w:rsidRPr="2EEBBD5B">
        <w:rPr>
          <w:b/>
          <w:bCs/>
          <w:u w:val="single"/>
        </w:rPr>
        <w:t xml:space="preserve"> Steps</w:t>
      </w:r>
    </w:p>
    <w:p w14:paraId="1996F329" w14:textId="77777777" w:rsidR="00984EF9" w:rsidRDefault="00984EF9" w:rsidP="00984EF9">
      <w:pPr>
        <w:pStyle w:val="ListParagraph"/>
        <w:tabs>
          <w:tab w:val="left" w:pos="1440"/>
        </w:tabs>
        <w:ind w:left="0"/>
        <w:rPr>
          <w:szCs w:val="24"/>
        </w:rPr>
      </w:pPr>
    </w:p>
    <w:p w14:paraId="294FEEF6" w14:textId="77777777" w:rsidR="003E64C9" w:rsidRDefault="003E64C9" w:rsidP="5CA06883">
      <w:pPr>
        <w:rPr>
          <w:rFonts w:eastAsia="@Batang"/>
          <w:color w:val="000000"/>
        </w:rPr>
      </w:pPr>
      <w:r w:rsidRPr="5CA06883">
        <w:rPr>
          <w:rFonts w:eastAsia="@Batang"/>
          <w:color w:val="000000" w:themeColor="text1"/>
        </w:rPr>
        <w:t>The Department intends to conduct a public comment hearing and will then return to the PHC to report on testimony and any recommended changes to the proposed amendments.  Following final approval by the PHC at a future meeting, the Department will file the final amendments with the Secretary of the Commonwealth.</w:t>
      </w:r>
    </w:p>
    <w:p w14:paraId="2C7EDA3E" w14:textId="44951FA2" w:rsidR="00984EF9" w:rsidRDefault="00984EF9" w:rsidP="5CA06883"/>
    <w:p w14:paraId="7D1B95E0" w14:textId="59DD98FA" w:rsidR="00476E01" w:rsidRPr="00476E01" w:rsidRDefault="00984EF9" w:rsidP="00476E01">
      <w:pPr>
        <w:rPr>
          <w:b/>
          <w:bCs/>
          <w:noProof/>
          <w:szCs w:val="24"/>
        </w:rPr>
      </w:pPr>
      <w:r w:rsidRPr="00BA399A">
        <w:rPr>
          <w:noProof/>
          <w:szCs w:val="24"/>
        </w:rPr>
        <w:t>The proposed amendments to 105 CMR 7</w:t>
      </w:r>
      <w:r w:rsidR="00944A61">
        <w:rPr>
          <w:noProof/>
          <w:szCs w:val="24"/>
        </w:rPr>
        <w:t>22</w:t>
      </w:r>
      <w:r w:rsidRPr="00BA399A">
        <w:rPr>
          <w:noProof/>
          <w:szCs w:val="24"/>
        </w:rPr>
        <w:t>.000 are attached to this memorandum.</w:t>
      </w:r>
      <w:r w:rsidR="00BF5C8B">
        <w:rPr>
          <w:noProof/>
          <w:szCs w:val="24"/>
        </w:rPr>
        <w:t xml:space="preserve"> </w:t>
      </w:r>
    </w:p>
    <w:p w14:paraId="79C9DCA2" w14:textId="77777777" w:rsidR="00BA399A" w:rsidRPr="00BA399A" w:rsidRDefault="00BA399A" w:rsidP="00E93BC1">
      <w:pPr>
        <w:rPr>
          <w:rStyle w:val="normalchar1"/>
          <w:rFonts w:ascii="Times New Roman" w:hAnsi="Times New Roman" w:cs="Times New Roman"/>
          <w:b/>
          <w:bCs/>
          <w:noProof/>
          <w:sz w:val="24"/>
          <w:szCs w:val="24"/>
        </w:rPr>
      </w:pPr>
    </w:p>
    <w:p w14:paraId="542969E3" w14:textId="77777777" w:rsidR="00E93BC1" w:rsidRPr="00BA399A" w:rsidRDefault="00E93BC1" w:rsidP="0072610D">
      <w:pPr>
        <w:rPr>
          <w:szCs w:val="24"/>
        </w:rPr>
      </w:pPr>
    </w:p>
    <w:sectPr w:rsidR="00E93BC1" w:rsidRPr="00BA39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AD6F" w14:textId="77777777" w:rsidR="008C632F" w:rsidRDefault="008C632F" w:rsidP="000055BD">
      <w:r>
        <w:separator/>
      </w:r>
    </w:p>
  </w:endnote>
  <w:endnote w:type="continuationSeparator" w:id="0">
    <w:p w14:paraId="2676DEC8" w14:textId="77777777" w:rsidR="008C632F" w:rsidRDefault="008C632F" w:rsidP="000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BB62" w14:textId="77777777" w:rsidR="00317255" w:rsidRDefault="0031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4753" w14:textId="77777777" w:rsidR="00317255" w:rsidRDefault="0031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403F" w14:textId="77777777" w:rsidR="00317255" w:rsidRDefault="0031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AB8B" w14:textId="77777777" w:rsidR="008C632F" w:rsidRDefault="008C632F" w:rsidP="000055BD">
      <w:r>
        <w:separator/>
      </w:r>
    </w:p>
  </w:footnote>
  <w:footnote w:type="continuationSeparator" w:id="0">
    <w:p w14:paraId="1F9482DE" w14:textId="77777777" w:rsidR="008C632F" w:rsidRDefault="008C632F" w:rsidP="0000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43C" w14:textId="77777777" w:rsidR="00317255" w:rsidRDefault="00317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9B02" w14:textId="6ACB8DD3" w:rsidR="00317255" w:rsidRDefault="00317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8750" w14:textId="77777777" w:rsidR="00317255" w:rsidRDefault="0031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280"/>
    <w:multiLevelType w:val="hybridMultilevel"/>
    <w:tmpl w:val="2C5E8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A31BE"/>
    <w:multiLevelType w:val="hybridMultilevel"/>
    <w:tmpl w:val="25FED99E"/>
    <w:lvl w:ilvl="0" w:tplc="FFFFFFFF">
      <w:start w:val="1"/>
      <w:numFmt w:val="bullet"/>
      <w:lvlText w:val="•"/>
      <w:lvlJc w:val="left"/>
      <w:pPr>
        <w:tabs>
          <w:tab w:val="num" w:pos="720"/>
        </w:tabs>
        <w:ind w:left="720" w:hanging="360"/>
      </w:pPr>
      <w:rPr>
        <w:rFonts w:ascii="Arial" w:hAnsi="Arial" w:hint="default"/>
      </w:rPr>
    </w:lvl>
    <w:lvl w:ilvl="1" w:tplc="F0FCB934">
      <w:numFmt w:val="bullet"/>
      <w:lvlText w:val="•"/>
      <w:lvlJc w:val="left"/>
      <w:pPr>
        <w:tabs>
          <w:tab w:val="num" w:pos="1440"/>
        </w:tabs>
        <w:ind w:left="1440" w:hanging="360"/>
      </w:pPr>
      <w:rPr>
        <w:rFonts w:ascii="Arial" w:hAnsi="Arial" w:hint="default"/>
      </w:rPr>
    </w:lvl>
    <w:lvl w:ilvl="2" w:tplc="7AD258AE" w:tentative="1">
      <w:start w:val="1"/>
      <w:numFmt w:val="bullet"/>
      <w:lvlText w:val="•"/>
      <w:lvlJc w:val="left"/>
      <w:pPr>
        <w:tabs>
          <w:tab w:val="num" w:pos="2160"/>
        </w:tabs>
        <w:ind w:left="2160" w:hanging="360"/>
      </w:pPr>
      <w:rPr>
        <w:rFonts w:ascii="Arial" w:hAnsi="Arial" w:hint="default"/>
      </w:rPr>
    </w:lvl>
    <w:lvl w:ilvl="3" w:tplc="5CC692D8" w:tentative="1">
      <w:start w:val="1"/>
      <w:numFmt w:val="bullet"/>
      <w:lvlText w:val="•"/>
      <w:lvlJc w:val="left"/>
      <w:pPr>
        <w:tabs>
          <w:tab w:val="num" w:pos="2880"/>
        </w:tabs>
        <w:ind w:left="2880" w:hanging="360"/>
      </w:pPr>
      <w:rPr>
        <w:rFonts w:ascii="Arial" w:hAnsi="Arial" w:hint="default"/>
      </w:rPr>
    </w:lvl>
    <w:lvl w:ilvl="4" w:tplc="D39A3C14" w:tentative="1">
      <w:start w:val="1"/>
      <w:numFmt w:val="bullet"/>
      <w:lvlText w:val="•"/>
      <w:lvlJc w:val="left"/>
      <w:pPr>
        <w:tabs>
          <w:tab w:val="num" w:pos="3600"/>
        </w:tabs>
        <w:ind w:left="3600" w:hanging="360"/>
      </w:pPr>
      <w:rPr>
        <w:rFonts w:ascii="Arial" w:hAnsi="Arial" w:hint="default"/>
      </w:rPr>
    </w:lvl>
    <w:lvl w:ilvl="5" w:tplc="573056CA" w:tentative="1">
      <w:start w:val="1"/>
      <w:numFmt w:val="bullet"/>
      <w:lvlText w:val="•"/>
      <w:lvlJc w:val="left"/>
      <w:pPr>
        <w:tabs>
          <w:tab w:val="num" w:pos="4320"/>
        </w:tabs>
        <w:ind w:left="4320" w:hanging="360"/>
      </w:pPr>
      <w:rPr>
        <w:rFonts w:ascii="Arial" w:hAnsi="Arial" w:hint="default"/>
      </w:rPr>
    </w:lvl>
    <w:lvl w:ilvl="6" w:tplc="EC0ABBEC" w:tentative="1">
      <w:start w:val="1"/>
      <w:numFmt w:val="bullet"/>
      <w:lvlText w:val="•"/>
      <w:lvlJc w:val="left"/>
      <w:pPr>
        <w:tabs>
          <w:tab w:val="num" w:pos="5040"/>
        </w:tabs>
        <w:ind w:left="5040" w:hanging="360"/>
      </w:pPr>
      <w:rPr>
        <w:rFonts w:ascii="Arial" w:hAnsi="Arial" w:hint="default"/>
      </w:rPr>
    </w:lvl>
    <w:lvl w:ilvl="7" w:tplc="BE8817BE" w:tentative="1">
      <w:start w:val="1"/>
      <w:numFmt w:val="bullet"/>
      <w:lvlText w:val="•"/>
      <w:lvlJc w:val="left"/>
      <w:pPr>
        <w:tabs>
          <w:tab w:val="num" w:pos="5760"/>
        </w:tabs>
        <w:ind w:left="5760" w:hanging="360"/>
      </w:pPr>
      <w:rPr>
        <w:rFonts w:ascii="Arial" w:hAnsi="Arial" w:hint="default"/>
      </w:rPr>
    </w:lvl>
    <w:lvl w:ilvl="8" w:tplc="595CA3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5F724D"/>
    <w:multiLevelType w:val="hybridMultilevel"/>
    <w:tmpl w:val="8BFE121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430AAD"/>
    <w:multiLevelType w:val="hybridMultilevel"/>
    <w:tmpl w:val="60BEE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61EA"/>
    <w:multiLevelType w:val="hybridMultilevel"/>
    <w:tmpl w:val="1A2C8A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791"/>
    <w:multiLevelType w:val="hybridMultilevel"/>
    <w:tmpl w:val="E1BC8D2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C1498"/>
    <w:multiLevelType w:val="hybridMultilevel"/>
    <w:tmpl w:val="126AB258"/>
    <w:lvl w:ilvl="0" w:tplc="0409000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0FD15F4"/>
    <w:multiLevelType w:val="hybridMultilevel"/>
    <w:tmpl w:val="CA28D7C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4B8C0BA6"/>
    <w:multiLevelType w:val="hybridMultilevel"/>
    <w:tmpl w:val="9B0E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606B2C48"/>
    <w:multiLevelType w:val="hybridMultilevel"/>
    <w:tmpl w:val="F4F4CF58"/>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E39A3"/>
    <w:multiLevelType w:val="hybridMultilevel"/>
    <w:tmpl w:val="AB9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849051">
    <w:abstractNumId w:val="9"/>
  </w:num>
  <w:num w:numId="2" w16cid:durableId="865365485">
    <w:abstractNumId w:val="8"/>
  </w:num>
  <w:num w:numId="3" w16cid:durableId="839782703">
    <w:abstractNumId w:val="4"/>
  </w:num>
  <w:num w:numId="4" w16cid:durableId="1197043346">
    <w:abstractNumId w:val="7"/>
  </w:num>
  <w:num w:numId="5" w16cid:durableId="392319332">
    <w:abstractNumId w:val="10"/>
  </w:num>
  <w:num w:numId="6" w16cid:durableId="1535843299">
    <w:abstractNumId w:val="11"/>
  </w:num>
  <w:num w:numId="7" w16cid:durableId="766732549">
    <w:abstractNumId w:val="13"/>
  </w:num>
  <w:num w:numId="8" w16cid:durableId="1206867628">
    <w:abstractNumId w:val="2"/>
  </w:num>
  <w:num w:numId="9" w16cid:durableId="1879470423">
    <w:abstractNumId w:val="12"/>
  </w:num>
  <w:num w:numId="10" w16cid:durableId="2075816194">
    <w:abstractNumId w:val="3"/>
  </w:num>
  <w:num w:numId="11" w16cid:durableId="410155936">
    <w:abstractNumId w:val="14"/>
  </w:num>
  <w:num w:numId="12" w16cid:durableId="1194733654">
    <w:abstractNumId w:val="5"/>
  </w:num>
  <w:num w:numId="13" w16cid:durableId="2141459129">
    <w:abstractNumId w:val="0"/>
  </w:num>
  <w:num w:numId="14" w16cid:durableId="1113013113">
    <w:abstractNumId w:val="1"/>
  </w:num>
  <w:num w:numId="15" w16cid:durableId="11282768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plan, Amy (DPH)">
    <w15:presenceInfo w15:providerId="AD" w15:userId="S::amy.kaplan@mass.gov::f1015638-69ff-4a80-acb4-9827cd3c3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5BD"/>
    <w:rsid w:val="00033154"/>
    <w:rsid w:val="000338BB"/>
    <w:rsid w:val="0003513A"/>
    <w:rsid w:val="00042048"/>
    <w:rsid w:val="00042C87"/>
    <w:rsid w:val="000537DA"/>
    <w:rsid w:val="000764FD"/>
    <w:rsid w:val="00087713"/>
    <w:rsid w:val="000A1DE1"/>
    <w:rsid w:val="000B7D96"/>
    <w:rsid w:val="000E036F"/>
    <w:rsid w:val="000E3DDB"/>
    <w:rsid w:val="000E7B2D"/>
    <w:rsid w:val="000F315B"/>
    <w:rsid w:val="00107307"/>
    <w:rsid w:val="001125C0"/>
    <w:rsid w:val="001369C9"/>
    <w:rsid w:val="0015268B"/>
    <w:rsid w:val="00155260"/>
    <w:rsid w:val="00156236"/>
    <w:rsid w:val="00157EA1"/>
    <w:rsid w:val="00176625"/>
    <w:rsid w:val="00177C77"/>
    <w:rsid w:val="00195FF1"/>
    <w:rsid w:val="001B6693"/>
    <w:rsid w:val="0021698C"/>
    <w:rsid w:val="002603E0"/>
    <w:rsid w:val="00260D54"/>
    <w:rsid w:val="00276957"/>
    <w:rsid w:val="00276DCC"/>
    <w:rsid w:val="002A132F"/>
    <w:rsid w:val="002D1C21"/>
    <w:rsid w:val="00301022"/>
    <w:rsid w:val="00317255"/>
    <w:rsid w:val="00347070"/>
    <w:rsid w:val="00375EAD"/>
    <w:rsid w:val="0037657E"/>
    <w:rsid w:val="003832CD"/>
    <w:rsid w:val="00385812"/>
    <w:rsid w:val="00392D0B"/>
    <w:rsid w:val="003A7AFC"/>
    <w:rsid w:val="003C60EF"/>
    <w:rsid w:val="003E64C9"/>
    <w:rsid w:val="00421884"/>
    <w:rsid w:val="00476E01"/>
    <w:rsid w:val="004813AC"/>
    <w:rsid w:val="00492F80"/>
    <w:rsid w:val="00494D2F"/>
    <w:rsid w:val="004A693B"/>
    <w:rsid w:val="004B37A0"/>
    <w:rsid w:val="004B5CFB"/>
    <w:rsid w:val="004D6B39"/>
    <w:rsid w:val="004E0C3F"/>
    <w:rsid w:val="00512956"/>
    <w:rsid w:val="00530145"/>
    <w:rsid w:val="00540348"/>
    <w:rsid w:val="005448AA"/>
    <w:rsid w:val="00561CFD"/>
    <w:rsid w:val="005B4992"/>
    <w:rsid w:val="005D0B9E"/>
    <w:rsid w:val="00612F57"/>
    <w:rsid w:val="006218D9"/>
    <w:rsid w:val="0064430F"/>
    <w:rsid w:val="00670838"/>
    <w:rsid w:val="006D06D9"/>
    <w:rsid w:val="006D77A6"/>
    <w:rsid w:val="00702109"/>
    <w:rsid w:val="00710B95"/>
    <w:rsid w:val="00720B2E"/>
    <w:rsid w:val="0072610D"/>
    <w:rsid w:val="00755D06"/>
    <w:rsid w:val="00757006"/>
    <w:rsid w:val="007A521A"/>
    <w:rsid w:val="007B3F4B"/>
    <w:rsid w:val="007B7347"/>
    <w:rsid w:val="007D10F3"/>
    <w:rsid w:val="007D2791"/>
    <w:rsid w:val="007D53FD"/>
    <w:rsid w:val="007E307D"/>
    <w:rsid w:val="007F3CDB"/>
    <w:rsid w:val="008168D6"/>
    <w:rsid w:val="00851ECB"/>
    <w:rsid w:val="008615D8"/>
    <w:rsid w:val="008C4B93"/>
    <w:rsid w:val="008C632F"/>
    <w:rsid w:val="008D7EC7"/>
    <w:rsid w:val="00933A3B"/>
    <w:rsid w:val="00944A61"/>
    <w:rsid w:val="009730E5"/>
    <w:rsid w:val="00984EF9"/>
    <w:rsid w:val="009908FF"/>
    <w:rsid w:val="00995505"/>
    <w:rsid w:val="009A1E1F"/>
    <w:rsid w:val="009C4428"/>
    <w:rsid w:val="009D48CD"/>
    <w:rsid w:val="00A02BCD"/>
    <w:rsid w:val="00A02F3D"/>
    <w:rsid w:val="00A15F67"/>
    <w:rsid w:val="00A1768F"/>
    <w:rsid w:val="00A30EB6"/>
    <w:rsid w:val="00A44A3C"/>
    <w:rsid w:val="00A63ADB"/>
    <w:rsid w:val="00A65101"/>
    <w:rsid w:val="00A8160C"/>
    <w:rsid w:val="00AA6CEA"/>
    <w:rsid w:val="00B403BF"/>
    <w:rsid w:val="00B608D9"/>
    <w:rsid w:val="00B8541F"/>
    <w:rsid w:val="00BA399A"/>
    <w:rsid w:val="00BA4055"/>
    <w:rsid w:val="00BA7FB6"/>
    <w:rsid w:val="00BC2FBA"/>
    <w:rsid w:val="00BC5D5F"/>
    <w:rsid w:val="00BF5C8B"/>
    <w:rsid w:val="00C20BFE"/>
    <w:rsid w:val="00C46D29"/>
    <w:rsid w:val="00C71E0A"/>
    <w:rsid w:val="00CB597F"/>
    <w:rsid w:val="00CC1778"/>
    <w:rsid w:val="00CD6BBD"/>
    <w:rsid w:val="00CE575B"/>
    <w:rsid w:val="00CF3DE8"/>
    <w:rsid w:val="00CF4935"/>
    <w:rsid w:val="00D0493F"/>
    <w:rsid w:val="00D13B42"/>
    <w:rsid w:val="00D44C95"/>
    <w:rsid w:val="00D56F91"/>
    <w:rsid w:val="00D81058"/>
    <w:rsid w:val="00D8671C"/>
    <w:rsid w:val="00D91390"/>
    <w:rsid w:val="00DA57C3"/>
    <w:rsid w:val="00DC3855"/>
    <w:rsid w:val="00E242A8"/>
    <w:rsid w:val="00E274B8"/>
    <w:rsid w:val="00E4079E"/>
    <w:rsid w:val="00E42776"/>
    <w:rsid w:val="00E72707"/>
    <w:rsid w:val="00E93362"/>
    <w:rsid w:val="00E93BC1"/>
    <w:rsid w:val="00EB7C63"/>
    <w:rsid w:val="00F0586E"/>
    <w:rsid w:val="00F25874"/>
    <w:rsid w:val="00F3460C"/>
    <w:rsid w:val="00F40C1F"/>
    <w:rsid w:val="00F43932"/>
    <w:rsid w:val="00F53876"/>
    <w:rsid w:val="00FA575E"/>
    <w:rsid w:val="00FC6718"/>
    <w:rsid w:val="00FC6B42"/>
    <w:rsid w:val="00FD1216"/>
    <w:rsid w:val="00FD30AA"/>
    <w:rsid w:val="078EC20A"/>
    <w:rsid w:val="2B9E0B87"/>
    <w:rsid w:val="2D4FECFA"/>
    <w:rsid w:val="2EEBBD5B"/>
    <w:rsid w:val="36B5F528"/>
    <w:rsid w:val="4A3358F5"/>
    <w:rsid w:val="4B781C39"/>
    <w:rsid w:val="5CA06883"/>
    <w:rsid w:val="65095479"/>
    <w:rsid w:val="790E3736"/>
    <w:rsid w:val="7DD1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99"/>
    <w:rsid w:val="004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92F80"/>
    <w:pPr>
      <w:ind w:left="720"/>
      <w:contextualSpacing/>
    </w:pPr>
  </w:style>
  <w:style w:type="paragraph" w:customStyle="1" w:styleId="TableParagraph">
    <w:name w:val="Table Paragraph"/>
    <w:basedOn w:val="Normal"/>
    <w:uiPriority w:val="1"/>
    <w:qFormat/>
    <w:rsid w:val="00492F80"/>
    <w:pPr>
      <w:widowControl w:val="0"/>
      <w:autoSpaceDE w:val="0"/>
      <w:autoSpaceDN w:val="0"/>
      <w:spacing w:before="19" w:line="194" w:lineRule="exact"/>
      <w:ind w:left="116"/>
    </w:pPr>
    <w:rPr>
      <w:rFonts w:ascii="Arial" w:eastAsia="Arial" w:hAnsi="Arial" w:cs="Arial"/>
      <w:sz w:val="22"/>
      <w:szCs w:val="22"/>
    </w:rPr>
  </w:style>
  <w:style w:type="paragraph" w:styleId="BodyText">
    <w:name w:val="Body Text"/>
    <w:basedOn w:val="Normal"/>
    <w:link w:val="BodyTextChar"/>
    <w:uiPriority w:val="1"/>
    <w:qFormat/>
    <w:rsid w:val="00492F80"/>
    <w:pPr>
      <w:widowControl w:val="0"/>
      <w:autoSpaceDE w:val="0"/>
      <w:autoSpaceDN w:val="0"/>
    </w:pPr>
    <w:rPr>
      <w:sz w:val="22"/>
      <w:szCs w:val="22"/>
    </w:rPr>
  </w:style>
  <w:style w:type="character" w:customStyle="1" w:styleId="BodyTextChar">
    <w:name w:val="Body Text Char"/>
    <w:basedOn w:val="DefaultParagraphFont"/>
    <w:link w:val="BodyText"/>
    <w:uiPriority w:val="1"/>
    <w:rsid w:val="00492F80"/>
    <w:rPr>
      <w:sz w:val="22"/>
      <w:szCs w:val="22"/>
    </w:rPr>
  </w:style>
  <w:style w:type="character" w:styleId="FootnoteReference">
    <w:name w:val="footnote reference"/>
    <w:rsid w:val="000055BD"/>
    <w:rPr>
      <w:rFonts w:cs="Times New Roman"/>
      <w:vertAlign w:val="superscript"/>
    </w:rPr>
  </w:style>
  <w:style w:type="character" w:styleId="CommentReference">
    <w:name w:val="annotation reference"/>
    <w:basedOn w:val="DefaultParagraphFont"/>
    <w:rsid w:val="000055BD"/>
    <w:rPr>
      <w:sz w:val="16"/>
      <w:szCs w:val="16"/>
    </w:rPr>
  </w:style>
  <w:style w:type="paragraph" w:styleId="CommentText">
    <w:name w:val="annotation text"/>
    <w:basedOn w:val="Normal"/>
    <w:link w:val="CommentTextChar"/>
    <w:rsid w:val="000055BD"/>
    <w:rPr>
      <w:sz w:val="20"/>
    </w:rPr>
  </w:style>
  <w:style w:type="character" w:customStyle="1" w:styleId="CommentTextChar">
    <w:name w:val="Comment Text Char"/>
    <w:basedOn w:val="DefaultParagraphFont"/>
    <w:link w:val="CommentText"/>
    <w:rsid w:val="000055BD"/>
  </w:style>
  <w:style w:type="paragraph" w:styleId="FootnoteText">
    <w:name w:val="footnote text"/>
    <w:basedOn w:val="Normal"/>
    <w:link w:val="FootnoteTextChar"/>
    <w:rsid w:val="00E42776"/>
    <w:rPr>
      <w:sz w:val="20"/>
    </w:rPr>
  </w:style>
  <w:style w:type="character" w:customStyle="1" w:styleId="FootnoteTextChar">
    <w:name w:val="Footnote Text Char"/>
    <w:basedOn w:val="DefaultParagraphFont"/>
    <w:link w:val="FootnoteText"/>
    <w:rsid w:val="00E42776"/>
  </w:style>
  <w:style w:type="paragraph" w:styleId="NormalWeb">
    <w:name w:val="Normal (Web)"/>
    <w:basedOn w:val="Normal"/>
    <w:uiPriority w:val="99"/>
    <w:unhideWhenUsed/>
    <w:rsid w:val="00E93362"/>
    <w:pPr>
      <w:spacing w:before="100" w:beforeAutospacing="1" w:after="100" w:afterAutospacing="1"/>
    </w:pPr>
    <w:rPr>
      <w:szCs w:val="24"/>
    </w:rPr>
  </w:style>
  <w:style w:type="paragraph" w:customStyle="1" w:styleId="Default">
    <w:name w:val="Default"/>
    <w:rsid w:val="00E93362"/>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A693B"/>
    <w:pPr>
      <w:spacing w:after="120"/>
      <w:ind w:left="360"/>
    </w:pPr>
  </w:style>
  <w:style w:type="character" w:customStyle="1" w:styleId="BodyTextIndentChar">
    <w:name w:val="Body Text Indent Char"/>
    <w:basedOn w:val="DefaultParagraphFont"/>
    <w:link w:val="BodyTextIndent"/>
    <w:rsid w:val="004A693B"/>
    <w:rPr>
      <w:sz w:val="24"/>
    </w:rPr>
  </w:style>
  <w:style w:type="paragraph" w:styleId="Header">
    <w:name w:val="header"/>
    <w:basedOn w:val="Normal"/>
    <w:link w:val="HeaderChar"/>
    <w:rsid w:val="004A693B"/>
    <w:pPr>
      <w:tabs>
        <w:tab w:val="center" w:pos="4320"/>
        <w:tab w:val="right" w:pos="8640"/>
      </w:tabs>
    </w:pPr>
  </w:style>
  <w:style w:type="character" w:customStyle="1" w:styleId="HeaderChar">
    <w:name w:val="Header Char"/>
    <w:basedOn w:val="DefaultParagraphFont"/>
    <w:link w:val="Header"/>
    <w:rsid w:val="004A693B"/>
    <w:rPr>
      <w:sz w:val="24"/>
    </w:rPr>
  </w:style>
  <w:style w:type="character" w:customStyle="1" w:styleId="normalchar1">
    <w:name w:val="normal__char1"/>
    <w:rsid w:val="00F25874"/>
    <w:rPr>
      <w:rFonts w:ascii="Arial" w:hAnsi="Arial" w:cs="Arial" w:hint="default"/>
      <w:strike w:val="0"/>
      <w:dstrike w:val="0"/>
      <w:sz w:val="22"/>
      <w:szCs w:val="22"/>
      <w:u w:val="none"/>
      <w:effect w:val="none"/>
    </w:rPr>
  </w:style>
  <w:style w:type="paragraph" w:styleId="Footer">
    <w:name w:val="footer"/>
    <w:basedOn w:val="Normal"/>
    <w:link w:val="FooterChar"/>
    <w:rsid w:val="00317255"/>
    <w:pPr>
      <w:tabs>
        <w:tab w:val="center" w:pos="4680"/>
        <w:tab w:val="right" w:pos="9360"/>
      </w:tabs>
    </w:pPr>
  </w:style>
  <w:style w:type="character" w:customStyle="1" w:styleId="FooterChar">
    <w:name w:val="Footer Char"/>
    <w:basedOn w:val="DefaultParagraphFont"/>
    <w:link w:val="Footer"/>
    <w:rsid w:val="00317255"/>
    <w:rPr>
      <w:sz w:val="24"/>
    </w:rPr>
  </w:style>
  <w:style w:type="character" w:customStyle="1" w:styleId="normaltextrun">
    <w:name w:val="normaltextrun"/>
    <w:basedOn w:val="DefaultParagraphFont"/>
    <w:rsid w:val="00FD1216"/>
  </w:style>
  <w:style w:type="paragraph" w:styleId="Revision">
    <w:name w:val="Revision"/>
    <w:hidden/>
    <w:uiPriority w:val="99"/>
    <w:semiHidden/>
    <w:rsid w:val="00B8541F"/>
    <w:rPr>
      <w:sz w:val="24"/>
    </w:rPr>
  </w:style>
  <w:style w:type="character" w:customStyle="1" w:styleId="cf01">
    <w:name w:val="cf01"/>
    <w:basedOn w:val="DefaultParagraphFont"/>
    <w:rsid w:val="00155260"/>
    <w:rPr>
      <w:rFonts w:ascii="Segoe UI" w:hAnsi="Segoe UI" w:cs="Segoe UI" w:hint="default"/>
      <w:b/>
      <w:bCs/>
      <w:color w:val="FF0000"/>
      <w:sz w:val="18"/>
      <w:szCs w:val="18"/>
    </w:rPr>
  </w:style>
  <w:style w:type="character" w:customStyle="1" w:styleId="cf11">
    <w:name w:val="cf11"/>
    <w:basedOn w:val="DefaultParagraphFont"/>
    <w:rsid w:val="00155260"/>
    <w:rPr>
      <w:rFonts w:ascii="Segoe UI" w:hAnsi="Segoe UI" w:cs="Segoe UI" w:hint="default"/>
      <w:sz w:val="18"/>
      <w:szCs w:val="18"/>
    </w:rPr>
  </w:style>
  <w:style w:type="paragraph" w:styleId="CommentSubject">
    <w:name w:val="annotation subject"/>
    <w:basedOn w:val="CommentText"/>
    <w:next w:val="CommentText"/>
    <w:link w:val="CommentSubjectChar"/>
    <w:rsid w:val="00CB597F"/>
    <w:rPr>
      <w:b/>
      <w:bCs/>
    </w:rPr>
  </w:style>
  <w:style w:type="character" w:customStyle="1" w:styleId="CommentSubjectChar">
    <w:name w:val="Comment Subject Char"/>
    <w:basedOn w:val="CommentTextChar"/>
    <w:link w:val="CommentSubject"/>
    <w:rsid w:val="00CB59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19622">
      <w:bodyDiv w:val="1"/>
      <w:marLeft w:val="0"/>
      <w:marRight w:val="0"/>
      <w:marTop w:val="0"/>
      <w:marBottom w:val="0"/>
      <w:divBdr>
        <w:top w:val="none" w:sz="0" w:space="0" w:color="auto"/>
        <w:left w:val="none" w:sz="0" w:space="0" w:color="auto"/>
        <w:bottom w:val="none" w:sz="0" w:space="0" w:color="auto"/>
        <w:right w:val="none" w:sz="0" w:space="0" w:color="auto"/>
      </w:divBdr>
      <w:divsChild>
        <w:div w:id="806551961">
          <w:marLeft w:val="547"/>
          <w:marRight w:val="0"/>
          <w:marTop w:val="0"/>
          <w:marBottom w:val="200"/>
          <w:divBdr>
            <w:top w:val="none" w:sz="0" w:space="0" w:color="auto"/>
            <w:left w:val="none" w:sz="0" w:space="0" w:color="auto"/>
            <w:bottom w:val="none" w:sz="0" w:space="0" w:color="auto"/>
            <w:right w:val="none" w:sz="0" w:space="0" w:color="auto"/>
          </w:divBdr>
        </w:div>
        <w:div w:id="490368733">
          <w:marLeft w:val="1166"/>
          <w:marRight w:val="0"/>
          <w:marTop w:val="0"/>
          <w:marBottom w:val="200"/>
          <w:divBdr>
            <w:top w:val="none" w:sz="0" w:space="0" w:color="auto"/>
            <w:left w:val="none" w:sz="0" w:space="0" w:color="auto"/>
            <w:bottom w:val="none" w:sz="0" w:space="0" w:color="auto"/>
            <w:right w:val="none" w:sz="0" w:space="0" w:color="auto"/>
          </w:divBdr>
        </w:div>
        <w:div w:id="355470842">
          <w:marLeft w:val="547"/>
          <w:marRight w:val="0"/>
          <w:marTop w:val="0"/>
          <w:marBottom w:val="200"/>
          <w:divBdr>
            <w:top w:val="none" w:sz="0" w:space="0" w:color="auto"/>
            <w:left w:val="none" w:sz="0" w:space="0" w:color="auto"/>
            <w:bottom w:val="none" w:sz="0" w:space="0" w:color="auto"/>
            <w:right w:val="none" w:sz="0" w:space="0" w:color="auto"/>
          </w:divBdr>
        </w:div>
        <w:div w:id="1541746187">
          <w:marLeft w:val="1166"/>
          <w:marRight w:val="0"/>
          <w:marTop w:val="0"/>
          <w:marBottom w:val="200"/>
          <w:divBdr>
            <w:top w:val="none" w:sz="0" w:space="0" w:color="auto"/>
            <w:left w:val="none" w:sz="0" w:space="0" w:color="auto"/>
            <w:bottom w:val="none" w:sz="0" w:space="0" w:color="auto"/>
            <w:right w:val="none" w:sz="0" w:space="0" w:color="auto"/>
          </w:divBdr>
        </w:div>
        <w:div w:id="123039779">
          <w:marLeft w:val="547"/>
          <w:marRight w:val="0"/>
          <w:marTop w:val="0"/>
          <w:marBottom w:val="200"/>
          <w:divBdr>
            <w:top w:val="none" w:sz="0" w:space="0" w:color="auto"/>
            <w:left w:val="none" w:sz="0" w:space="0" w:color="auto"/>
            <w:bottom w:val="none" w:sz="0" w:space="0" w:color="auto"/>
            <w:right w:val="none" w:sz="0" w:space="0" w:color="auto"/>
          </w:divBdr>
        </w:div>
        <w:div w:id="1496727307">
          <w:marLeft w:val="1166"/>
          <w:marRight w:val="0"/>
          <w:marTop w:val="0"/>
          <w:marBottom w:val="2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mass-general-laws-c94c-ss-9"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purl.org/dc/elements/1.1/"/>
    <ds:schemaRef ds:uri="http://schemas.microsoft.com/office/2006/documentManagement/types"/>
    <ds:schemaRef ds:uri="ae916ade-957f-4a2f-93c3-592a84a0e75c"/>
    <ds:schemaRef ds:uri="http://schemas.microsoft.com/office/infopath/2007/PartnerControls"/>
    <ds:schemaRef ds:uri="http://www.w3.org/XML/1998/namespace"/>
    <ds:schemaRef ds:uri="http://schemas.openxmlformats.org/package/2006/metadata/core-properties"/>
    <ds:schemaRef ds:uri="e10e4db1-d899-403d-9807-651178ead3da"/>
    <ds:schemaRef ds:uri="http://purl.org/dc/dcmitype/"/>
    <ds:schemaRef ds:uri="http://purl.org/dc/te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2</Pages>
  <Words>360</Words>
  <Characters>2320</Characters>
  <Application>Microsoft Office Word</Application>
  <DocSecurity>0</DocSecurity>
  <Lines>19</Lines>
  <Paragraphs>5</Paragraphs>
  <ScaleCrop>false</ScaleCrop>
  <Company>Commonwealth of Massachusetts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Barry, Diane (DPH)</cp:lastModifiedBy>
  <cp:revision>3</cp:revision>
  <cp:lastPrinted>2015-01-29T14:50:00Z</cp:lastPrinted>
  <dcterms:created xsi:type="dcterms:W3CDTF">2024-02-05T17:35:00Z</dcterms:created>
  <dcterms:modified xsi:type="dcterms:W3CDTF">2024-02-08T16:15:00Z</dcterms:modified>
</cp:coreProperties>
</file>