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9495" w14:textId="77777777" w:rsidR="00533E9F" w:rsidRDefault="00533E9F" w:rsidP="00533E9F">
      <w:pPr>
        <w:framePr w:w="6926" w:hSpace="187" w:wrap="notBeside" w:vAnchor="page" w:hAnchor="page" w:x="2884" w:y="711"/>
        <w:jc w:val="center"/>
        <w:rPr>
          <w:rFonts w:ascii="Arial" w:hAnsi="Arial"/>
          <w:sz w:val="36"/>
        </w:rPr>
      </w:pPr>
      <w:r>
        <w:rPr>
          <w:rFonts w:ascii="Arial" w:hAnsi="Arial"/>
          <w:sz w:val="36"/>
        </w:rPr>
        <w:t xml:space="preserve">The </w:t>
      </w:r>
      <w:smartTag w:uri="urn:schemas-microsoft-com:office:smarttags" w:element="place">
        <w:smartTag w:uri="urn:schemas-microsoft-com:office:smarttags" w:element="PlaceType">
          <w:r>
            <w:rPr>
              <w:rFonts w:ascii="Arial" w:hAnsi="Arial"/>
              <w:sz w:val="36"/>
            </w:rPr>
            <w:t>Commonwealth</w:t>
          </w:r>
        </w:smartTag>
        <w:r>
          <w:rPr>
            <w:rFonts w:ascii="Arial" w:hAnsi="Arial"/>
            <w:sz w:val="36"/>
          </w:rPr>
          <w:t xml:space="preserve"> of </w:t>
        </w:r>
        <w:smartTag w:uri="urn:schemas-microsoft-com:office:smarttags" w:element="PlaceName">
          <w:r>
            <w:rPr>
              <w:rFonts w:ascii="Arial" w:hAnsi="Arial"/>
              <w:sz w:val="36"/>
            </w:rPr>
            <w:t>Massachusetts</w:t>
          </w:r>
        </w:smartTag>
      </w:smartTag>
    </w:p>
    <w:p w14:paraId="7B7FDAE3" w14:textId="77777777" w:rsidR="00533E9F" w:rsidRDefault="00533E9F" w:rsidP="00533E9F">
      <w:pPr>
        <w:pStyle w:val="ExecOffice"/>
        <w:framePr w:w="6926" w:wrap="notBeside" w:vAnchor="page" w:x="2884" w:y="711"/>
      </w:pPr>
      <w:r>
        <w:t>Executive Office of Health and Human Services</w:t>
      </w:r>
    </w:p>
    <w:p w14:paraId="72FD3098" w14:textId="77777777" w:rsidR="00533E9F" w:rsidRDefault="00533E9F" w:rsidP="00533E9F">
      <w:pPr>
        <w:pStyle w:val="ExecOffice"/>
        <w:framePr w:w="6926" w:wrap="notBeside" w:vAnchor="page" w:x="2884" w:y="711"/>
      </w:pPr>
      <w:r>
        <w:t>Department of Public Health</w:t>
      </w:r>
    </w:p>
    <w:p w14:paraId="763E3A6A" w14:textId="77777777" w:rsidR="00533E9F" w:rsidRDefault="00533E9F" w:rsidP="00533E9F">
      <w:pPr>
        <w:pStyle w:val="ExecOffice"/>
        <w:framePr w:w="6926" w:wrap="notBeside" w:vAnchor="page" w:x="2884" w:y="711"/>
      </w:pPr>
      <w:smartTag w:uri="urn:schemas-microsoft-com:office:smarttags" w:element="address">
        <w:smartTag w:uri="urn:schemas-microsoft-com:office:smarttags" w:element="Street">
          <w:r>
            <w:t>250 Washington Street</w:t>
          </w:r>
        </w:smartTag>
        <w:r>
          <w:t xml:space="preserve">, </w:t>
        </w:r>
        <w:smartTag w:uri="urn:schemas-microsoft-com:office:smarttags" w:element="City">
          <w:r>
            <w:t>Boston</w:t>
          </w:r>
        </w:smartTag>
        <w:r>
          <w:t xml:space="preserve">, </w:t>
        </w:r>
        <w:smartTag w:uri="urn:schemas-microsoft-com:office:smarttags" w:element="State">
          <w:r>
            <w:t>MA</w:t>
          </w:r>
        </w:smartTag>
        <w:r>
          <w:t xml:space="preserve"> </w:t>
        </w:r>
        <w:smartTag w:uri="urn:schemas-microsoft-com:office:smarttags" w:element="PostalCode">
          <w:r>
            <w:t>02108</w:t>
          </w:r>
        </w:smartTag>
      </w:smartTag>
      <w:r>
        <w:t>-4619</w:t>
      </w:r>
    </w:p>
    <w:p w14:paraId="4C53F6CF" w14:textId="77777777" w:rsidR="00533E9F" w:rsidRDefault="00533E9F" w:rsidP="00533E9F">
      <w:pPr>
        <w:framePr w:w="1927" w:hSpace="180" w:wrap="auto" w:vAnchor="text" w:hAnchor="page" w:x="940" w:y="-951"/>
        <w:rPr>
          <w:rFonts w:ascii="LinePrinter" w:hAnsi="LinePrinter"/>
        </w:rPr>
      </w:pPr>
      <w:r>
        <w:rPr>
          <w:rFonts w:ascii="LinePrinter" w:hAnsi="LinePrinter"/>
          <w:noProof/>
        </w:rPr>
        <w:drawing>
          <wp:inline distT="0" distB="0" distL="0" distR="0" wp14:anchorId="60E287D3" wp14:editId="6D81A475">
            <wp:extent cx="962025" cy="1144905"/>
            <wp:effectExtent l="0" t="0" r="9525"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144905"/>
                    </a:xfrm>
                    <a:prstGeom prst="rect">
                      <a:avLst/>
                    </a:prstGeom>
                    <a:noFill/>
                    <a:ln>
                      <a:noFill/>
                    </a:ln>
                  </pic:spPr>
                </pic:pic>
              </a:graphicData>
            </a:graphic>
          </wp:inline>
        </w:drawing>
      </w:r>
    </w:p>
    <w:p w14:paraId="4C30383E" w14:textId="77777777" w:rsidR="00533E9F" w:rsidRDefault="00533E9F" w:rsidP="00533E9F">
      <w:r>
        <w:rPr>
          <w:noProof/>
        </w:rPr>
        <mc:AlternateContent>
          <mc:Choice Requires="wps">
            <w:drawing>
              <wp:anchor distT="0" distB="0" distL="114300" distR="114300" simplePos="0" relativeHeight="251660288" behindDoc="0" locked="0" layoutInCell="1" allowOverlap="1" wp14:anchorId="218F118B" wp14:editId="08A0D0D9">
                <wp:simplePos x="0" y="0"/>
                <wp:positionH relativeFrom="column">
                  <wp:posOffset>4845050</wp:posOffset>
                </wp:positionH>
                <wp:positionV relativeFrom="paragraph">
                  <wp:posOffset>449580</wp:posOffset>
                </wp:positionV>
                <wp:extent cx="1776095" cy="11303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113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3B565" w14:textId="77777777" w:rsidR="00533E9F" w:rsidRDefault="00533E9F" w:rsidP="00533E9F">
                            <w:pPr>
                              <w:pStyle w:val="Governor"/>
                              <w:spacing w:after="0"/>
                              <w:rPr>
                                <w:sz w:val="16"/>
                              </w:rPr>
                            </w:pPr>
                          </w:p>
                          <w:p w14:paraId="52B2DFB2" w14:textId="77777777" w:rsidR="00533E9F" w:rsidRPr="003A7AFC" w:rsidRDefault="00533E9F" w:rsidP="00533E9F">
                            <w:pPr>
                              <w:pStyle w:val="Weld"/>
                            </w:pPr>
                            <w:r>
                              <w:t>MARYLOU SUDDERS</w:t>
                            </w:r>
                          </w:p>
                          <w:p w14:paraId="333CA12E" w14:textId="77777777" w:rsidR="00533E9F" w:rsidRDefault="00533E9F" w:rsidP="00533E9F">
                            <w:pPr>
                              <w:pStyle w:val="Governor"/>
                            </w:pPr>
                            <w:r>
                              <w:t>Secretary</w:t>
                            </w:r>
                          </w:p>
                          <w:p w14:paraId="380042AB" w14:textId="77777777" w:rsidR="00533E9F" w:rsidRDefault="00533E9F" w:rsidP="00533E9F">
                            <w:pPr>
                              <w:jc w:val="center"/>
                              <w:rPr>
                                <w:rFonts w:ascii="Arial Rounded MT Bold" w:hAnsi="Arial Rounded MT Bold"/>
                                <w:sz w:val="16"/>
                                <w:szCs w:val="16"/>
                              </w:rPr>
                            </w:pPr>
                          </w:p>
                          <w:p w14:paraId="7D0A759B" w14:textId="77777777" w:rsidR="00533E9F" w:rsidRDefault="00533E9F" w:rsidP="00533E9F">
                            <w:pPr>
                              <w:jc w:val="center"/>
                              <w:rPr>
                                <w:rFonts w:ascii="Arial Rounded MT Bold" w:hAnsi="Arial Rounded MT Bold"/>
                                <w:sz w:val="16"/>
                                <w:szCs w:val="16"/>
                              </w:rPr>
                            </w:pPr>
                            <w:r>
                              <w:rPr>
                                <w:rFonts w:ascii="Arial Rounded MT Bold" w:hAnsi="Arial Rounded MT Bold"/>
                                <w:sz w:val="16"/>
                                <w:szCs w:val="16"/>
                              </w:rPr>
                              <w:t>MARGRET R. COOKE</w:t>
                            </w:r>
                          </w:p>
                          <w:p w14:paraId="154EB332" w14:textId="77777777" w:rsidR="00533E9F" w:rsidRDefault="00533E9F" w:rsidP="00533E9F">
                            <w:pPr>
                              <w:jc w:val="center"/>
                              <w:rPr>
                                <w:rFonts w:ascii="Arial Rounded MT Bold" w:hAnsi="Arial Rounded MT Bold"/>
                                <w:sz w:val="14"/>
                                <w:szCs w:val="14"/>
                              </w:rPr>
                            </w:pPr>
                            <w:r w:rsidRPr="00FC6B42">
                              <w:rPr>
                                <w:rFonts w:ascii="Arial Rounded MT Bold" w:hAnsi="Arial Rounded MT Bold"/>
                                <w:sz w:val="14"/>
                                <w:szCs w:val="14"/>
                              </w:rPr>
                              <w:t>Commissioner</w:t>
                            </w:r>
                          </w:p>
                          <w:p w14:paraId="073D509F" w14:textId="77777777" w:rsidR="00533E9F" w:rsidRDefault="00533E9F" w:rsidP="00533E9F">
                            <w:pPr>
                              <w:jc w:val="center"/>
                              <w:rPr>
                                <w:rFonts w:ascii="Arial Rounded MT Bold" w:hAnsi="Arial Rounded MT Bold"/>
                                <w:sz w:val="14"/>
                                <w:szCs w:val="14"/>
                              </w:rPr>
                            </w:pPr>
                          </w:p>
                          <w:p w14:paraId="564A93DD" w14:textId="77777777" w:rsidR="00533E9F" w:rsidRPr="004813AC" w:rsidRDefault="00533E9F" w:rsidP="00533E9F">
                            <w:pPr>
                              <w:jc w:val="center"/>
                              <w:rPr>
                                <w:rFonts w:ascii="Arial" w:hAnsi="Arial" w:cs="Arial"/>
                                <w:b/>
                                <w:sz w:val="14"/>
                                <w:szCs w:val="14"/>
                              </w:rPr>
                            </w:pPr>
                            <w:r w:rsidRPr="004813AC">
                              <w:rPr>
                                <w:rFonts w:ascii="Arial" w:hAnsi="Arial" w:cs="Arial"/>
                                <w:b/>
                                <w:sz w:val="14"/>
                                <w:szCs w:val="14"/>
                              </w:rPr>
                              <w:t>Tel: 617-624-6000</w:t>
                            </w:r>
                          </w:p>
                          <w:p w14:paraId="061776A8" w14:textId="77777777" w:rsidR="00533E9F" w:rsidRPr="004813AC" w:rsidRDefault="00533E9F" w:rsidP="00533E9F">
                            <w:pPr>
                              <w:jc w:val="center"/>
                              <w:rPr>
                                <w:rFonts w:ascii="Arial" w:hAnsi="Arial" w:cs="Arial"/>
                                <w:b/>
                                <w:sz w:val="14"/>
                                <w:szCs w:val="14"/>
                                <w:lang w:val="fr-FR"/>
                              </w:rPr>
                            </w:pPr>
                            <w:r w:rsidRPr="004813AC">
                              <w:rPr>
                                <w:rFonts w:ascii="Arial" w:hAnsi="Arial" w:cs="Arial"/>
                                <w:b/>
                                <w:sz w:val="14"/>
                                <w:szCs w:val="14"/>
                                <w:lang w:val="fr-FR"/>
                              </w:rPr>
                              <w:t>www.mass.gov/dph</w:t>
                            </w:r>
                          </w:p>
                          <w:p w14:paraId="4D2FB7B0" w14:textId="77777777" w:rsidR="00533E9F" w:rsidRPr="00FC6B42" w:rsidRDefault="00533E9F" w:rsidP="00533E9F">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8F118B" id="_x0000_t202" coordsize="21600,21600" o:spt="202" path="m,l,21600r21600,l21600,xe">
                <v:stroke joinstyle="miter"/>
                <v:path gradientshapeok="t" o:connecttype="rect"/>
              </v:shapetype>
              <v:shape id="Text Box 2" o:spid="_x0000_s1026" type="#_x0000_t202" style="position:absolute;margin-left:381.5pt;margin-top:35.4pt;width:139.85pt;height: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" stroked="f">
                <v:textbox>
                  <w:txbxContent>
                    <w:p w14:paraId="78E3B565" w14:textId="77777777" w:rsidR="00533E9F" w:rsidRDefault="00533E9F" w:rsidP="00533E9F">
                      <w:pPr>
                        <w:pStyle w:val="Governor"/>
                        <w:spacing w:after="0"/>
                        <w:rPr>
                          <w:sz w:val="16"/>
                        </w:rPr>
                      </w:pPr>
                    </w:p>
                    <w:p w14:paraId="52B2DFB2" w14:textId="77777777" w:rsidR="00533E9F" w:rsidRPr="003A7AFC" w:rsidRDefault="00533E9F" w:rsidP="00533E9F">
                      <w:pPr>
                        <w:pStyle w:val="Weld"/>
                      </w:pPr>
                      <w:r>
                        <w:t>MARYLOU SUDDERS</w:t>
                      </w:r>
                    </w:p>
                    <w:p w14:paraId="333CA12E" w14:textId="77777777" w:rsidR="00533E9F" w:rsidRDefault="00533E9F" w:rsidP="00533E9F">
                      <w:pPr>
                        <w:pStyle w:val="Governor"/>
                      </w:pPr>
                      <w:r>
                        <w:t>Secretary</w:t>
                      </w:r>
                    </w:p>
                    <w:p w14:paraId="380042AB" w14:textId="77777777" w:rsidR="00533E9F" w:rsidRDefault="00533E9F" w:rsidP="00533E9F">
                      <w:pPr>
                        <w:jc w:val="center"/>
                        <w:rPr>
                          <w:rFonts w:ascii="Arial Rounded MT Bold" w:hAnsi="Arial Rounded MT Bold"/>
                          <w:sz w:val="16"/>
                          <w:szCs w:val="16"/>
                        </w:rPr>
                      </w:pPr>
                    </w:p>
                    <w:p w14:paraId="7D0A759B" w14:textId="77777777" w:rsidR="00533E9F" w:rsidRDefault="00533E9F" w:rsidP="00533E9F">
                      <w:pPr>
                        <w:jc w:val="center"/>
                        <w:rPr>
                          <w:rFonts w:ascii="Arial Rounded MT Bold" w:hAnsi="Arial Rounded MT Bold"/>
                          <w:sz w:val="16"/>
                          <w:szCs w:val="16"/>
                        </w:rPr>
                      </w:pPr>
                      <w:r>
                        <w:rPr>
                          <w:rFonts w:ascii="Arial Rounded MT Bold" w:hAnsi="Arial Rounded MT Bold"/>
                          <w:sz w:val="16"/>
                          <w:szCs w:val="16"/>
                        </w:rPr>
                        <w:t>MARGRET R. COOKE</w:t>
                      </w:r>
                    </w:p>
                    <w:p w14:paraId="154EB332" w14:textId="77777777" w:rsidR="00533E9F" w:rsidRDefault="00533E9F" w:rsidP="00533E9F">
                      <w:pPr>
                        <w:jc w:val="center"/>
                        <w:rPr>
                          <w:rFonts w:ascii="Arial Rounded MT Bold" w:hAnsi="Arial Rounded MT Bold"/>
                          <w:sz w:val="14"/>
                          <w:szCs w:val="14"/>
                        </w:rPr>
                      </w:pPr>
                      <w:r w:rsidRPr="00FC6B42">
                        <w:rPr>
                          <w:rFonts w:ascii="Arial Rounded MT Bold" w:hAnsi="Arial Rounded MT Bold"/>
                          <w:sz w:val="14"/>
                          <w:szCs w:val="14"/>
                        </w:rPr>
                        <w:t>Commissioner</w:t>
                      </w:r>
                    </w:p>
                    <w:p w14:paraId="073D509F" w14:textId="77777777" w:rsidR="00533E9F" w:rsidRDefault="00533E9F" w:rsidP="00533E9F">
                      <w:pPr>
                        <w:jc w:val="center"/>
                        <w:rPr>
                          <w:rFonts w:ascii="Arial Rounded MT Bold" w:hAnsi="Arial Rounded MT Bold"/>
                          <w:sz w:val="14"/>
                          <w:szCs w:val="14"/>
                        </w:rPr>
                      </w:pPr>
                    </w:p>
                    <w:p w14:paraId="564A93DD" w14:textId="77777777" w:rsidR="00533E9F" w:rsidRPr="004813AC" w:rsidRDefault="00533E9F" w:rsidP="00533E9F">
                      <w:pPr>
                        <w:jc w:val="center"/>
                        <w:rPr>
                          <w:rFonts w:ascii="Arial" w:hAnsi="Arial" w:cs="Arial"/>
                          <w:b/>
                          <w:sz w:val="14"/>
                          <w:szCs w:val="14"/>
                        </w:rPr>
                      </w:pPr>
                      <w:r w:rsidRPr="004813AC">
                        <w:rPr>
                          <w:rFonts w:ascii="Arial" w:hAnsi="Arial" w:cs="Arial"/>
                          <w:b/>
                          <w:sz w:val="14"/>
                          <w:szCs w:val="14"/>
                        </w:rPr>
                        <w:t>Tel: 617-624-6000</w:t>
                      </w:r>
                    </w:p>
                    <w:p w14:paraId="061776A8" w14:textId="77777777" w:rsidR="00533E9F" w:rsidRPr="004813AC" w:rsidRDefault="00533E9F" w:rsidP="00533E9F">
                      <w:pPr>
                        <w:jc w:val="center"/>
                        <w:rPr>
                          <w:rFonts w:ascii="Arial" w:hAnsi="Arial" w:cs="Arial"/>
                          <w:b/>
                          <w:sz w:val="14"/>
                          <w:szCs w:val="14"/>
                          <w:lang w:val="fr-FR"/>
                        </w:rPr>
                      </w:pPr>
                      <w:r w:rsidRPr="004813AC">
                        <w:rPr>
                          <w:rFonts w:ascii="Arial" w:hAnsi="Arial" w:cs="Arial"/>
                          <w:b/>
                          <w:sz w:val="14"/>
                          <w:szCs w:val="14"/>
                          <w:lang w:val="fr-FR"/>
                        </w:rPr>
                        <w:t>www.mass.gov/dph</w:t>
                      </w:r>
                    </w:p>
                    <w:p w14:paraId="4D2FB7B0" w14:textId="77777777" w:rsidR="00533E9F" w:rsidRPr="00FC6B42" w:rsidRDefault="00533E9F" w:rsidP="00533E9F">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C78D606" wp14:editId="62B758B4">
                <wp:simplePos x="0" y="0"/>
                <wp:positionH relativeFrom="column">
                  <wp:posOffset>-1155700</wp:posOffset>
                </wp:positionH>
                <wp:positionV relativeFrom="paragraph">
                  <wp:posOffset>665480</wp:posOffset>
                </wp:positionV>
                <wp:extent cx="2686050" cy="895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D76E5" w14:textId="77777777" w:rsidR="00533E9F" w:rsidRDefault="00533E9F" w:rsidP="00533E9F">
                            <w:pPr>
                              <w:pStyle w:val="Governor"/>
                              <w:spacing w:after="0"/>
                              <w:rPr>
                                <w:sz w:val="16"/>
                              </w:rPr>
                            </w:pPr>
                          </w:p>
                          <w:p w14:paraId="15F701B1" w14:textId="77777777" w:rsidR="00533E9F" w:rsidRDefault="00533E9F" w:rsidP="00533E9F">
                            <w:pPr>
                              <w:pStyle w:val="Governor"/>
                              <w:spacing w:after="0"/>
                              <w:rPr>
                                <w:sz w:val="16"/>
                              </w:rPr>
                            </w:pPr>
                            <w:r>
                              <w:rPr>
                                <w:sz w:val="16"/>
                              </w:rPr>
                              <w:t>CHARLES D. BAKER</w:t>
                            </w:r>
                          </w:p>
                          <w:p w14:paraId="40089641" w14:textId="77777777" w:rsidR="00533E9F" w:rsidRDefault="00533E9F" w:rsidP="00533E9F">
                            <w:pPr>
                              <w:pStyle w:val="Governor"/>
                            </w:pPr>
                            <w:r>
                              <w:t>Governor</w:t>
                            </w:r>
                          </w:p>
                          <w:p w14:paraId="247902DF" w14:textId="77777777" w:rsidR="00533E9F" w:rsidRDefault="00533E9F" w:rsidP="00533E9F">
                            <w:pPr>
                              <w:pStyle w:val="Governor"/>
                              <w:spacing w:after="0"/>
                              <w:rPr>
                                <w:sz w:val="16"/>
                              </w:rPr>
                            </w:pPr>
                            <w:r>
                              <w:rPr>
                                <w:sz w:val="16"/>
                              </w:rPr>
                              <w:t>KARYN E. POLITO</w:t>
                            </w:r>
                          </w:p>
                          <w:p w14:paraId="516FF4E2" w14:textId="77777777" w:rsidR="00533E9F" w:rsidRDefault="00533E9F" w:rsidP="00533E9F">
                            <w:pPr>
                              <w:pStyle w:val="Governor"/>
                            </w:pPr>
                            <w:r>
                              <w:t>Lieutenant Governor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78D606" id="_x0000_s1027" type="#_x0000_t202" style="position:absolute;margin-left:-91pt;margin-top:52.4pt;width:211.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" stroked="f">
                <v:textbox>
                  <w:txbxContent>
                    <w:p w14:paraId="29ED76E5" w14:textId="77777777" w:rsidR="00533E9F" w:rsidRDefault="00533E9F" w:rsidP="00533E9F">
                      <w:pPr>
                        <w:pStyle w:val="Governor"/>
                        <w:spacing w:after="0"/>
                        <w:rPr>
                          <w:sz w:val="16"/>
                        </w:rPr>
                      </w:pPr>
                    </w:p>
                    <w:p w14:paraId="15F701B1" w14:textId="77777777" w:rsidR="00533E9F" w:rsidRDefault="00533E9F" w:rsidP="00533E9F">
                      <w:pPr>
                        <w:pStyle w:val="Governor"/>
                        <w:spacing w:after="0"/>
                        <w:rPr>
                          <w:sz w:val="16"/>
                        </w:rPr>
                      </w:pPr>
                      <w:r>
                        <w:rPr>
                          <w:sz w:val="16"/>
                        </w:rPr>
                        <w:t>CHARLES D. BAKER</w:t>
                      </w:r>
                    </w:p>
                    <w:p w14:paraId="40089641" w14:textId="77777777" w:rsidR="00533E9F" w:rsidRDefault="00533E9F" w:rsidP="00533E9F">
                      <w:pPr>
                        <w:pStyle w:val="Governor"/>
                      </w:pPr>
                      <w:r>
                        <w:t>Governor</w:t>
                      </w:r>
                    </w:p>
                    <w:p w14:paraId="247902DF" w14:textId="77777777" w:rsidR="00533E9F" w:rsidRDefault="00533E9F" w:rsidP="00533E9F">
                      <w:pPr>
                        <w:pStyle w:val="Governor"/>
                        <w:spacing w:after="0"/>
                        <w:rPr>
                          <w:sz w:val="16"/>
                        </w:rPr>
                      </w:pPr>
                      <w:r>
                        <w:rPr>
                          <w:sz w:val="16"/>
                        </w:rPr>
                        <w:t>KARYN E. POLITO</w:t>
                      </w:r>
                    </w:p>
                    <w:p w14:paraId="516FF4E2" w14:textId="77777777" w:rsidR="00533E9F" w:rsidRDefault="00533E9F" w:rsidP="00533E9F">
                      <w:pPr>
                        <w:pStyle w:val="Governor"/>
                      </w:pPr>
                      <w:r>
                        <w:t>Lieutenant Governor</w:t>
                      </w:r>
                    </w:p>
                  </w:txbxContent>
                </v:textbox>
              </v:shape>
            </w:pict>
          </mc:Fallback>
        </mc:AlternateContent>
      </w:r>
    </w:p>
    <w:p w14:paraId="70EA8294" w14:textId="77777777" w:rsidR="00533E9F" w:rsidRDefault="00533E9F" w:rsidP="00533E9F"/>
    <w:p w14:paraId="6FA062B8" w14:textId="77777777" w:rsidR="00533E9F" w:rsidRDefault="00533E9F" w:rsidP="00533E9F"/>
    <w:p w14:paraId="76F82FE4" w14:textId="77777777" w:rsidR="00533E9F" w:rsidRDefault="00533E9F" w:rsidP="00533E9F"/>
    <w:p w14:paraId="2A523232" w14:textId="77777777" w:rsidR="00533E9F" w:rsidRDefault="00533E9F" w:rsidP="00533E9F"/>
    <w:p w14:paraId="2E5C5F17" w14:textId="77777777" w:rsidR="00533E9F" w:rsidRDefault="00533E9F" w:rsidP="00533E9F"/>
    <w:p w14:paraId="28B8AE4D" w14:textId="77777777" w:rsidR="00533E9F" w:rsidRDefault="00533E9F" w:rsidP="00533E9F"/>
    <w:p w14:paraId="50039B9C" w14:textId="77777777" w:rsidR="00533E9F" w:rsidRDefault="00533E9F" w:rsidP="00533E9F">
      <w:pPr>
        <w:ind w:right="-1800"/>
        <w:jc w:val="both"/>
        <w:rPr>
          <w:color w:val="000000"/>
          <w:szCs w:val="24"/>
        </w:rPr>
      </w:pPr>
    </w:p>
    <w:p w14:paraId="35758F22" w14:textId="77777777" w:rsidR="00533E9F" w:rsidRDefault="00533E9F" w:rsidP="00533E9F">
      <w:pPr>
        <w:ind w:right="-1800"/>
        <w:jc w:val="both"/>
        <w:rPr>
          <w:color w:val="000000"/>
          <w:szCs w:val="24"/>
        </w:rPr>
      </w:pPr>
    </w:p>
    <w:p w14:paraId="7A00CE8F" w14:textId="77777777" w:rsidR="00533E9F" w:rsidRPr="004D1734" w:rsidRDefault="00533E9F" w:rsidP="00533E9F">
      <w:pPr>
        <w:ind w:right="-1800"/>
        <w:jc w:val="both"/>
        <w:rPr>
          <w:color w:val="000000"/>
          <w:szCs w:val="24"/>
        </w:rPr>
      </w:pPr>
      <w:r w:rsidRPr="004D1734">
        <w:rPr>
          <w:color w:val="000000"/>
          <w:szCs w:val="24"/>
        </w:rPr>
        <w:t>To:</w:t>
      </w:r>
      <w:r w:rsidRPr="004D1734">
        <w:rPr>
          <w:color w:val="000000"/>
          <w:szCs w:val="24"/>
        </w:rPr>
        <w:tab/>
        <w:t>Commissioner M</w:t>
      </w:r>
      <w:r>
        <w:rPr>
          <w:color w:val="000000"/>
          <w:szCs w:val="24"/>
        </w:rPr>
        <w:t>argret Cooke</w:t>
      </w:r>
      <w:r w:rsidRPr="004D1734">
        <w:rPr>
          <w:color w:val="000000"/>
          <w:szCs w:val="24"/>
        </w:rPr>
        <w:t xml:space="preserve"> and Members of the Public Health Council</w:t>
      </w:r>
    </w:p>
    <w:p w14:paraId="0C014188" w14:textId="77777777" w:rsidR="00533E9F" w:rsidRDefault="00533E9F" w:rsidP="00533E9F">
      <w:pPr>
        <w:jc w:val="both"/>
        <w:rPr>
          <w:color w:val="000000"/>
          <w:szCs w:val="24"/>
        </w:rPr>
      </w:pPr>
    </w:p>
    <w:p w14:paraId="273BC25E" w14:textId="77777777" w:rsidR="00533E9F" w:rsidRPr="004D1734" w:rsidRDefault="00533E9F" w:rsidP="00533E9F">
      <w:pPr>
        <w:jc w:val="both"/>
        <w:rPr>
          <w:color w:val="000000"/>
          <w:szCs w:val="24"/>
        </w:rPr>
      </w:pPr>
      <w:r w:rsidRPr="004D1734">
        <w:rPr>
          <w:color w:val="000000"/>
          <w:szCs w:val="24"/>
        </w:rPr>
        <w:t>From:</w:t>
      </w:r>
      <w:r w:rsidRPr="004D1734">
        <w:rPr>
          <w:color w:val="000000"/>
          <w:szCs w:val="24"/>
        </w:rPr>
        <w:tab/>
      </w:r>
      <w:r>
        <w:rPr>
          <w:color w:val="000000"/>
          <w:szCs w:val="24"/>
        </w:rPr>
        <w:t xml:space="preserve">Nalina Narain, </w:t>
      </w:r>
      <w:r w:rsidRPr="00F4256E">
        <w:rPr>
          <w:color w:val="000000"/>
          <w:szCs w:val="24"/>
        </w:rPr>
        <w:t>Bureau Director</w:t>
      </w:r>
      <w:r w:rsidRPr="004D1734">
        <w:rPr>
          <w:color w:val="000000"/>
          <w:szCs w:val="24"/>
        </w:rPr>
        <w:t xml:space="preserve">, Bureau of </w:t>
      </w:r>
      <w:r>
        <w:rPr>
          <w:color w:val="000000"/>
          <w:szCs w:val="24"/>
        </w:rPr>
        <w:t xml:space="preserve">Environmental </w:t>
      </w:r>
      <w:r w:rsidRPr="004D1734">
        <w:rPr>
          <w:color w:val="000000"/>
          <w:szCs w:val="24"/>
        </w:rPr>
        <w:t>Health</w:t>
      </w:r>
    </w:p>
    <w:p w14:paraId="3A9C6053" w14:textId="77777777" w:rsidR="00533E9F" w:rsidRDefault="00533E9F" w:rsidP="00533E9F">
      <w:pPr>
        <w:jc w:val="both"/>
        <w:rPr>
          <w:color w:val="000000"/>
          <w:szCs w:val="24"/>
        </w:rPr>
      </w:pPr>
    </w:p>
    <w:p w14:paraId="1C281144" w14:textId="2C2A9D57" w:rsidR="00533E9F" w:rsidRPr="004D1734" w:rsidRDefault="00533E9F" w:rsidP="00533E9F">
      <w:pPr>
        <w:tabs>
          <w:tab w:val="left" w:pos="720"/>
          <w:tab w:val="left" w:pos="1440"/>
          <w:tab w:val="left" w:pos="2160"/>
          <w:tab w:val="left" w:pos="2780"/>
        </w:tabs>
        <w:jc w:val="both"/>
        <w:rPr>
          <w:color w:val="000000"/>
          <w:szCs w:val="24"/>
        </w:rPr>
      </w:pPr>
      <w:r>
        <w:rPr>
          <w:color w:val="000000"/>
          <w:szCs w:val="24"/>
        </w:rPr>
        <w:t>Date:</w:t>
      </w:r>
      <w:r w:rsidRPr="004D1734">
        <w:rPr>
          <w:color w:val="000000"/>
          <w:szCs w:val="24"/>
        </w:rPr>
        <w:tab/>
      </w:r>
      <w:r w:rsidR="00722722">
        <w:rPr>
          <w:color w:val="000000"/>
          <w:szCs w:val="24"/>
        </w:rPr>
        <w:t>June 8</w:t>
      </w:r>
      <w:r>
        <w:rPr>
          <w:color w:val="000000"/>
          <w:szCs w:val="24"/>
        </w:rPr>
        <w:t>, 2022</w:t>
      </w:r>
    </w:p>
    <w:p w14:paraId="482B319F" w14:textId="77777777" w:rsidR="00533E9F" w:rsidRDefault="00533E9F" w:rsidP="00533E9F">
      <w:pPr>
        <w:ind w:left="720" w:hanging="720"/>
        <w:jc w:val="both"/>
        <w:rPr>
          <w:color w:val="000000"/>
          <w:szCs w:val="24"/>
        </w:rPr>
      </w:pPr>
    </w:p>
    <w:p w14:paraId="3C1B8B63" w14:textId="77777777" w:rsidR="00533E9F" w:rsidRPr="00F02568" w:rsidRDefault="00533E9F" w:rsidP="00533E9F">
      <w:pPr>
        <w:ind w:left="720" w:hanging="720"/>
        <w:rPr>
          <w:i/>
          <w:color w:val="000000"/>
        </w:rPr>
      </w:pPr>
      <w:r w:rsidRPr="004D1734">
        <w:rPr>
          <w:color w:val="000000"/>
          <w:szCs w:val="24"/>
        </w:rPr>
        <w:t>RE:</w:t>
      </w:r>
      <w:r w:rsidRPr="004D1734">
        <w:rPr>
          <w:color w:val="000000"/>
          <w:szCs w:val="24"/>
        </w:rPr>
        <w:tab/>
        <w:t>Informational Briefing o</w:t>
      </w:r>
      <w:r>
        <w:rPr>
          <w:color w:val="000000"/>
          <w:szCs w:val="24"/>
        </w:rPr>
        <w:t>n</w:t>
      </w:r>
      <w:r w:rsidRPr="004D1734">
        <w:rPr>
          <w:color w:val="000000"/>
          <w:szCs w:val="24"/>
        </w:rPr>
        <w:t xml:space="preserve"> Proposed </w:t>
      </w:r>
      <w:r>
        <w:rPr>
          <w:color w:val="000000"/>
          <w:szCs w:val="24"/>
        </w:rPr>
        <w:t xml:space="preserve">Amendments to 105 CMR 120.000, </w:t>
      </w:r>
      <w:r>
        <w:rPr>
          <w:bCs/>
          <w:i/>
          <w:szCs w:val="24"/>
        </w:rPr>
        <w:t>The Control of Radiation</w:t>
      </w:r>
    </w:p>
    <w:p w14:paraId="07BF1AA7" w14:textId="77777777" w:rsidR="00533E9F" w:rsidRPr="004D1734" w:rsidRDefault="00533E9F" w:rsidP="00533E9F">
      <w:pPr>
        <w:jc w:val="both"/>
        <w:rPr>
          <w:color w:val="000000"/>
          <w:szCs w:val="24"/>
        </w:rPr>
      </w:pPr>
      <w:r w:rsidRPr="004D1734">
        <w:rPr>
          <w:color w:val="000000"/>
          <w:szCs w:val="24"/>
        </w:rPr>
        <w:t>__________________________________________________________________________</w:t>
      </w:r>
    </w:p>
    <w:p w14:paraId="496E294C" w14:textId="77777777" w:rsidR="00533E9F" w:rsidRPr="00DE4957" w:rsidRDefault="00533E9F" w:rsidP="00533E9F">
      <w:pPr>
        <w:rPr>
          <w:color w:val="000000"/>
          <w:szCs w:val="24"/>
        </w:rPr>
      </w:pPr>
    </w:p>
    <w:p w14:paraId="22331E08" w14:textId="65EE140B" w:rsidR="00533E9F" w:rsidRPr="00722722" w:rsidRDefault="00533E9F" w:rsidP="00533E9F">
      <w:pPr>
        <w:rPr>
          <w:rStyle w:val="normalchar1"/>
          <w:rFonts w:ascii="Times New Roman" w:hAnsi="Times New Roman" w:cs="Times New Roman"/>
          <w:b/>
          <w:color w:val="000000"/>
          <w:szCs w:val="24"/>
        </w:rPr>
      </w:pPr>
      <w:r w:rsidRPr="00722722">
        <w:rPr>
          <w:rStyle w:val="normalchar1"/>
          <w:rFonts w:ascii="Times New Roman" w:hAnsi="Times New Roman" w:cs="Times New Roman"/>
          <w:b/>
          <w:color w:val="000000"/>
          <w:szCs w:val="24"/>
        </w:rPr>
        <w:t>I.</w:t>
      </w:r>
      <w:r w:rsidR="00F85BCF">
        <w:rPr>
          <w:rStyle w:val="normalchar1"/>
          <w:rFonts w:ascii="Times New Roman" w:hAnsi="Times New Roman" w:cs="Times New Roman"/>
          <w:b/>
          <w:color w:val="000000"/>
          <w:szCs w:val="24"/>
        </w:rPr>
        <w:t xml:space="preserve"> </w:t>
      </w:r>
      <w:r w:rsidRPr="00722722">
        <w:rPr>
          <w:rStyle w:val="normalchar1"/>
          <w:rFonts w:ascii="Times New Roman" w:hAnsi="Times New Roman" w:cs="Times New Roman"/>
          <w:b/>
          <w:color w:val="000000"/>
          <w:szCs w:val="24"/>
        </w:rPr>
        <w:t>Introduction</w:t>
      </w:r>
    </w:p>
    <w:p w14:paraId="1E13CF15" w14:textId="77777777" w:rsidR="00533E9F" w:rsidRPr="00DE4957" w:rsidRDefault="00533E9F" w:rsidP="00533E9F">
      <w:pPr>
        <w:rPr>
          <w:color w:val="000000"/>
          <w:szCs w:val="24"/>
        </w:rPr>
      </w:pPr>
    </w:p>
    <w:p w14:paraId="78FC189D" w14:textId="77777777" w:rsidR="00533E9F" w:rsidRPr="00E97047" w:rsidRDefault="00533E9F" w:rsidP="00533E9F">
      <w:pPr>
        <w:rPr>
          <w:color w:val="000000"/>
        </w:rPr>
      </w:pPr>
      <w:r w:rsidRPr="004D1734">
        <w:rPr>
          <w:color w:val="000000"/>
          <w:szCs w:val="24"/>
        </w:rPr>
        <w:t xml:space="preserve">The purpose of this memorandum is to provide the Public Health Council </w:t>
      </w:r>
      <w:r>
        <w:rPr>
          <w:color w:val="000000"/>
          <w:szCs w:val="24"/>
        </w:rPr>
        <w:t xml:space="preserve">(PHC) with information about </w:t>
      </w:r>
      <w:r w:rsidRPr="004D1734">
        <w:rPr>
          <w:color w:val="000000"/>
          <w:szCs w:val="24"/>
        </w:rPr>
        <w:t xml:space="preserve">proposed </w:t>
      </w:r>
      <w:r>
        <w:rPr>
          <w:color w:val="000000"/>
          <w:szCs w:val="24"/>
        </w:rPr>
        <w:t xml:space="preserve">amendments to 105 CMR 120.000, </w:t>
      </w:r>
      <w:r>
        <w:rPr>
          <w:i/>
          <w:iCs/>
          <w:color w:val="000000"/>
          <w:szCs w:val="24"/>
        </w:rPr>
        <w:t xml:space="preserve">The Control of Radiation. </w:t>
      </w:r>
      <w:r>
        <w:rPr>
          <w:szCs w:val="24"/>
        </w:rPr>
        <w:t>This regulation grants the Department’s Radiation Control Program (RCP) exclusive regulatory authority and responsibility in the Commonwealth for protecting people from the harmful aspects of radiation, pursuant to M.G.L. c. 111, § 5N.</w:t>
      </w:r>
    </w:p>
    <w:p w14:paraId="7A4943E1" w14:textId="77777777" w:rsidR="00533E9F" w:rsidRDefault="00533E9F" w:rsidP="00533E9F">
      <w:pPr>
        <w:widowControl w:val="0"/>
        <w:rPr>
          <w:szCs w:val="24"/>
        </w:rPr>
      </w:pPr>
    </w:p>
    <w:p w14:paraId="67BE10E3" w14:textId="77777777" w:rsidR="00533E9F" w:rsidRPr="009547E7" w:rsidRDefault="00533E9F" w:rsidP="00533E9F">
      <w:pPr>
        <w:widowControl w:val="0"/>
        <w:rPr>
          <w:color w:val="141414"/>
          <w:szCs w:val="24"/>
        </w:rPr>
      </w:pPr>
      <w:r w:rsidRPr="009547E7">
        <w:rPr>
          <w:color w:val="141414"/>
          <w:szCs w:val="24"/>
        </w:rPr>
        <w:t xml:space="preserve">In 1997, Massachusetts signed an agreement with the U.S. Nuclear Regulatory Commission (NRC), whereby the NRC delegated much of its regulatory authority regarding radiation safety to the Department/RCP. In exchange, RCP’s regulations must maintain conformance with NRC regulations. Massachusetts is among 39 “Agreement States” under the NRC. </w:t>
      </w:r>
    </w:p>
    <w:p w14:paraId="019AC1F0" w14:textId="77777777" w:rsidR="00533E9F" w:rsidRPr="009547E7" w:rsidRDefault="00533E9F" w:rsidP="00533E9F">
      <w:pPr>
        <w:widowControl w:val="0"/>
        <w:rPr>
          <w:color w:val="141414"/>
          <w:szCs w:val="24"/>
        </w:rPr>
      </w:pPr>
    </w:p>
    <w:p w14:paraId="290ED620" w14:textId="77777777" w:rsidR="00533E9F" w:rsidRDefault="00533E9F" w:rsidP="00533E9F">
      <w:pPr>
        <w:rPr>
          <w:color w:val="333333"/>
          <w:szCs w:val="24"/>
          <w:shd w:val="clear" w:color="auto" w:fill="FFFFFF"/>
        </w:rPr>
      </w:pPr>
      <w:r w:rsidRPr="009547E7">
        <w:rPr>
          <w:color w:val="141414"/>
          <w:szCs w:val="24"/>
        </w:rPr>
        <w:t>From 2018 through 2019, the U.S. NRC notified the Massachusetts RCP about five categories of amendments to federal regulations that it has made, and under the agreement, Massachusetts must promulgate compatible regulations. In response, RCP has prepared these proposed regulatory amendments, which conform to NRC’s five federal regulation amendments. These regulatory changes are required to maintain Agreement State status.</w:t>
      </w:r>
    </w:p>
    <w:p w14:paraId="39395D79" w14:textId="77777777" w:rsidR="00533E9F" w:rsidRDefault="00533E9F" w:rsidP="00533E9F">
      <w:pPr>
        <w:rPr>
          <w:color w:val="333333"/>
          <w:szCs w:val="24"/>
          <w:shd w:val="clear" w:color="auto" w:fill="FFFFFF"/>
        </w:rPr>
      </w:pPr>
    </w:p>
    <w:p w14:paraId="68C3B3BF" w14:textId="77777777" w:rsidR="00533E9F" w:rsidRDefault="00533E9F" w:rsidP="00533E9F">
      <w:pPr>
        <w:rPr>
          <w:rFonts w:cstheme="minorHAnsi"/>
          <w:szCs w:val="24"/>
        </w:rPr>
      </w:pPr>
      <w:r>
        <w:rPr>
          <w:rFonts w:cstheme="minorHAnsi"/>
          <w:szCs w:val="24"/>
        </w:rPr>
        <w:t>These proposed amendments are not expected to generate extensive comments nor be controversial, as the NRC has already involved stakeholders nationally through its process of amending its regulations, including soliciting for and resolving comments as published in the Federal Register prior to NRC issuing final regulations. The final NRC regulations have now been implemented nationally, in areas where NRC maintains jurisdiction, for two or more years.</w:t>
      </w:r>
    </w:p>
    <w:p w14:paraId="36D3A52B" w14:textId="77777777" w:rsidR="00533E9F" w:rsidRDefault="00533E9F" w:rsidP="00533E9F">
      <w:pPr>
        <w:rPr>
          <w:rFonts w:cstheme="minorHAnsi"/>
          <w:szCs w:val="24"/>
        </w:rPr>
      </w:pPr>
    </w:p>
    <w:p w14:paraId="76C1FA9E" w14:textId="77777777" w:rsidR="00533E9F" w:rsidRDefault="00533E9F" w:rsidP="00533E9F">
      <w:pPr>
        <w:contextualSpacing/>
        <w:rPr>
          <w:rFonts w:cstheme="minorHAnsi"/>
          <w:szCs w:val="24"/>
        </w:rPr>
      </w:pPr>
      <w:r>
        <w:rPr>
          <w:rFonts w:cstheme="minorHAnsi"/>
          <w:szCs w:val="24"/>
        </w:rPr>
        <w:lastRenderedPageBreak/>
        <w:t xml:space="preserve">All proposed amendments have been reviewed by NRC and all comments made by NRC have been addressed.  No fiscal impacts on licensees are expected. </w:t>
      </w:r>
    </w:p>
    <w:p w14:paraId="60D661C8" w14:textId="77777777" w:rsidR="00533E9F" w:rsidRDefault="00533E9F" w:rsidP="00533E9F">
      <w:pPr>
        <w:contextualSpacing/>
        <w:rPr>
          <w:rFonts w:cstheme="minorHAnsi"/>
          <w:szCs w:val="24"/>
        </w:rPr>
      </w:pPr>
    </w:p>
    <w:p w14:paraId="326EF883" w14:textId="187D1AC4" w:rsidR="00533E9F" w:rsidRDefault="00533E9F" w:rsidP="00533E9F">
      <w:pPr>
        <w:contextualSpacing/>
        <w:rPr>
          <w:b/>
          <w:color w:val="000000"/>
        </w:rPr>
      </w:pPr>
      <w:r w:rsidRPr="00533E9F">
        <w:rPr>
          <w:rFonts w:cstheme="minorHAnsi"/>
          <w:b/>
          <w:bCs/>
          <w:szCs w:val="24"/>
        </w:rPr>
        <w:t xml:space="preserve">II. </w:t>
      </w:r>
      <w:r>
        <w:rPr>
          <w:b/>
          <w:color w:val="000000"/>
        </w:rPr>
        <w:t>Summary of Proposed Changes</w:t>
      </w:r>
    </w:p>
    <w:p w14:paraId="1278986D" w14:textId="77777777" w:rsidR="00533E9F" w:rsidRPr="00533E9F" w:rsidRDefault="00533E9F" w:rsidP="00533E9F">
      <w:pPr>
        <w:contextualSpacing/>
        <w:rPr>
          <w:b/>
          <w:color w:val="000000"/>
        </w:rPr>
      </w:pPr>
    </w:p>
    <w:p w14:paraId="664080D8" w14:textId="77777777" w:rsidR="00533E9F" w:rsidRPr="00533E9F" w:rsidRDefault="00533E9F" w:rsidP="00533E9F">
      <w:pPr>
        <w:rPr>
          <w:szCs w:val="24"/>
        </w:rPr>
      </w:pPr>
      <w:r w:rsidRPr="00533E9F">
        <w:rPr>
          <w:szCs w:val="24"/>
        </w:rPr>
        <w:t xml:space="preserve">There are five categories of proposed amendments required to align with the federal updates. All appear in numerous places throughout the regulation, and prominent instances are noted below: </w:t>
      </w:r>
    </w:p>
    <w:p w14:paraId="539BD4B4" w14:textId="77777777" w:rsidR="00533E9F" w:rsidRDefault="00533E9F" w:rsidP="00533E9F">
      <w:pPr>
        <w:rPr>
          <w:b/>
          <w:bCs/>
          <w:szCs w:val="24"/>
          <w:u w:val="single"/>
        </w:rPr>
      </w:pPr>
    </w:p>
    <w:p w14:paraId="1C3BEF5C" w14:textId="77777777" w:rsidR="00533E9F" w:rsidRDefault="00533E9F" w:rsidP="00533E9F">
      <w:pPr>
        <w:pStyle w:val="ListParagraph"/>
        <w:widowControl w:val="0"/>
        <w:numPr>
          <w:ilvl w:val="0"/>
          <w:numId w:val="1"/>
        </w:numPr>
        <w:ind w:left="360"/>
      </w:pPr>
      <w:r>
        <w:rPr>
          <w:b/>
          <w:bCs/>
        </w:rPr>
        <w:t xml:space="preserve">Licensing of Radioactive Materials (105 CMR 120.100 and .500): </w:t>
      </w:r>
      <w:r>
        <w:t xml:space="preserve">Amends specific terms and conditions of certain licenses (generator elution, preparation of technetioum-99m and rubidium-82 radiopharmaceuticals) to require reporting of an exceedance of permissible concentrations of breakthrough or contaminate solutions of specific materials. </w:t>
      </w:r>
    </w:p>
    <w:p w14:paraId="425A5A76" w14:textId="77777777" w:rsidR="00533E9F" w:rsidRDefault="00533E9F" w:rsidP="00533E9F">
      <w:pPr>
        <w:widowControl w:val="0"/>
      </w:pPr>
    </w:p>
    <w:p w14:paraId="1F4D49FE" w14:textId="77777777" w:rsidR="00533E9F" w:rsidRDefault="00533E9F" w:rsidP="00533E9F">
      <w:pPr>
        <w:pStyle w:val="ListParagraph"/>
        <w:widowControl w:val="0"/>
        <w:numPr>
          <w:ilvl w:val="0"/>
          <w:numId w:val="1"/>
        </w:numPr>
        <w:ind w:left="360"/>
      </w:pPr>
      <w:r>
        <w:rPr>
          <w:b/>
          <w:bCs/>
        </w:rPr>
        <w:t>Radiation Safety Requirements of Industrial Radiographic (105 CMR 120.</w:t>
      </w:r>
      <w:r w:rsidRPr="00533E9F">
        <w:rPr>
          <w:b/>
          <w:bCs/>
        </w:rPr>
        <w:t>300)</w:t>
      </w:r>
      <w:r>
        <w:t xml:space="preserve">: The amended language requires advance notification of each location of radiographic operations, prior to exceeding 180 cumulative days of radiographic operations in a calendar year, for any location not listed on the license. </w:t>
      </w:r>
    </w:p>
    <w:p w14:paraId="23F6A7AF" w14:textId="77777777" w:rsidR="00533E9F" w:rsidRDefault="00533E9F" w:rsidP="00533E9F">
      <w:pPr>
        <w:widowControl w:val="0"/>
      </w:pPr>
    </w:p>
    <w:p w14:paraId="488BB293" w14:textId="77777777" w:rsidR="00533E9F" w:rsidRDefault="00533E9F" w:rsidP="00533E9F">
      <w:pPr>
        <w:pStyle w:val="ListParagraph"/>
        <w:widowControl w:val="0"/>
        <w:numPr>
          <w:ilvl w:val="0"/>
          <w:numId w:val="1"/>
        </w:numPr>
        <w:ind w:left="360"/>
        <w:rPr>
          <w:b/>
          <w:bCs/>
        </w:rPr>
      </w:pPr>
      <w:r>
        <w:rPr>
          <w:b/>
          <w:bCs/>
        </w:rPr>
        <w:t xml:space="preserve">Use of Radionuclides in the Healing Arts (105 CMR 120.500): </w:t>
      </w:r>
      <w:r>
        <w:t>Numerous sections have been revised to be compatible with U.S. NRC’s 10 Code of Federal Regulations (CFR) Parts 30, 32 and 35.</w:t>
      </w:r>
      <w:r>
        <w:rPr>
          <w:b/>
          <w:bCs/>
        </w:rPr>
        <w:t xml:space="preserve"> </w:t>
      </w:r>
      <w:r>
        <w:t>The amended language addresses:</w:t>
      </w:r>
    </w:p>
    <w:p w14:paraId="324E8E9D" w14:textId="77777777" w:rsidR="00533E9F" w:rsidRDefault="00533E9F" w:rsidP="00533E9F">
      <w:pPr>
        <w:pStyle w:val="ListParagraph"/>
        <w:widowControl w:val="0"/>
        <w:numPr>
          <w:ilvl w:val="0"/>
          <w:numId w:val="2"/>
        </w:numPr>
        <w:rPr>
          <w:b/>
          <w:bCs/>
        </w:rPr>
      </w:pPr>
      <w:r>
        <w:t>Medical event definitions and reporting/notification requirements</w:t>
      </w:r>
    </w:p>
    <w:p w14:paraId="0AC1F561" w14:textId="77777777" w:rsidR="00533E9F" w:rsidRDefault="00533E9F" w:rsidP="00533E9F">
      <w:pPr>
        <w:pStyle w:val="ListParagraph"/>
        <w:widowControl w:val="0"/>
        <w:numPr>
          <w:ilvl w:val="0"/>
          <w:numId w:val="2"/>
        </w:numPr>
        <w:rPr>
          <w:b/>
          <w:bCs/>
        </w:rPr>
      </w:pPr>
      <w:r>
        <w:t>Certification, training and appointing requirements for Associate and Radiation Safety Officers</w:t>
      </w:r>
    </w:p>
    <w:p w14:paraId="4DEF43A2" w14:textId="77777777" w:rsidR="00533E9F" w:rsidRDefault="00533E9F" w:rsidP="00533E9F">
      <w:pPr>
        <w:pStyle w:val="ListParagraph"/>
        <w:widowControl w:val="0"/>
        <w:numPr>
          <w:ilvl w:val="0"/>
          <w:numId w:val="2"/>
        </w:numPr>
        <w:rPr>
          <w:b/>
          <w:bCs/>
        </w:rPr>
      </w:pPr>
      <w:r>
        <w:t>Documentation requirements for implantation brachytherapy procedures and use of sealed sources in brachytherapy</w:t>
      </w:r>
    </w:p>
    <w:p w14:paraId="6F027CEF" w14:textId="02A65078" w:rsidR="00533E9F" w:rsidRDefault="00533E9F" w:rsidP="00533E9F">
      <w:pPr>
        <w:pStyle w:val="ListParagraph"/>
        <w:widowControl w:val="0"/>
        <w:numPr>
          <w:ilvl w:val="0"/>
          <w:numId w:val="2"/>
        </w:numPr>
        <w:rPr>
          <w:b/>
          <w:bCs/>
        </w:rPr>
      </w:pPr>
      <w:r>
        <w:t>Safety, experience, and training requirements for use of sealed sources for ophthalmic treatments</w:t>
      </w:r>
    </w:p>
    <w:p w14:paraId="4D7FC9EB" w14:textId="77777777" w:rsidR="00533E9F" w:rsidRDefault="00533E9F" w:rsidP="00533E9F">
      <w:pPr>
        <w:pStyle w:val="ListParagraph"/>
        <w:widowControl w:val="0"/>
        <w:numPr>
          <w:ilvl w:val="0"/>
          <w:numId w:val="2"/>
        </w:numPr>
        <w:rPr>
          <w:b/>
          <w:bCs/>
        </w:rPr>
      </w:pPr>
      <w:r>
        <w:t>Certification and training requirements for medical uses of byproduct materials</w:t>
      </w:r>
    </w:p>
    <w:p w14:paraId="3A722832" w14:textId="77777777" w:rsidR="00533E9F" w:rsidRDefault="00533E9F" w:rsidP="00533E9F">
      <w:pPr>
        <w:pStyle w:val="ListParagraph"/>
        <w:widowControl w:val="0"/>
        <w:numPr>
          <w:ilvl w:val="0"/>
          <w:numId w:val="2"/>
        </w:numPr>
        <w:rPr>
          <w:b/>
          <w:bCs/>
        </w:rPr>
      </w:pPr>
      <w:r>
        <w:t>Allowances for certain uses of byproduct material</w:t>
      </w:r>
    </w:p>
    <w:p w14:paraId="487CC840" w14:textId="77777777" w:rsidR="00533E9F" w:rsidRPr="009547E7" w:rsidRDefault="00533E9F" w:rsidP="00533E9F">
      <w:pPr>
        <w:pStyle w:val="ListParagraph"/>
        <w:widowControl w:val="0"/>
        <w:numPr>
          <w:ilvl w:val="0"/>
          <w:numId w:val="2"/>
        </w:numPr>
        <w:rPr>
          <w:b/>
          <w:bCs/>
        </w:rPr>
      </w:pPr>
      <w:r>
        <w:t>Training, experience, and safety requirements for authorized use of sealed and unsealed radioactive materials</w:t>
      </w:r>
    </w:p>
    <w:p w14:paraId="761B2107" w14:textId="77777777" w:rsidR="00533E9F" w:rsidRPr="009547E7" w:rsidRDefault="00533E9F" w:rsidP="00533E9F">
      <w:pPr>
        <w:widowControl w:val="0"/>
        <w:rPr>
          <w:b/>
          <w:bCs/>
        </w:rPr>
      </w:pPr>
    </w:p>
    <w:p w14:paraId="09CF0B53" w14:textId="77777777" w:rsidR="00533E9F" w:rsidRDefault="00533E9F" w:rsidP="00533E9F">
      <w:pPr>
        <w:pStyle w:val="ListParagraph"/>
        <w:widowControl w:val="0"/>
        <w:numPr>
          <w:ilvl w:val="0"/>
          <w:numId w:val="1"/>
        </w:numPr>
        <w:ind w:left="360"/>
      </w:pPr>
      <w:r>
        <w:rPr>
          <w:b/>
          <w:bCs/>
        </w:rPr>
        <w:t xml:space="preserve">Transportation of Radioactive Material (105 CMR 120.700): </w:t>
      </w:r>
      <w:r>
        <w:t>Amended to reference 105 CMR 120.016(L) (Deliberate Misconduct)</w:t>
      </w:r>
      <w:r>
        <w:rPr>
          <w:i/>
          <w:iCs/>
        </w:rPr>
        <w:t xml:space="preserve"> </w:t>
      </w:r>
      <w:r>
        <w:t>regarding compliance with the general license and the contact information for submitting first use of package information to the NRC. This means that the licensee must contact NRC in writing prior to first use of an NRC-approved package containing radioactive material.</w:t>
      </w:r>
    </w:p>
    <w:p w14:paraId="66F21357" w14:textId="77777777" w:rsidR="00533E9F" w:rsidRDefault="00533E9F" w:rsidP="00533E9F">
      <w:pPr>
        <w:widowControl w:val="0"/>
      </w:pPr>
    </w:p>
    <w:p w14:paraId="6FDCE68A" w14:textId="77777777" w:rsidR="00533E9F" w:rsidRPr="009547E7" w:rsidRDefault="00533E9F" w:rsidP="00533E9F">
      <w:pPr>
        <w:pStyle w:val="ListParagraph"/>
        <w:widowControl w:val="0"/>
        <w:numPr>
          <w:ilvl w:val="0"/>
          <w:numId w:val="1"/>
        </w:numPr>
        <w:ind w:left="360"/>
      </w:pPr>
      <w:r>
        <w:rPr>
          <w:b/>
          <w:bCs/>
        </w:rPr>
        <w:t xml:space="preserve">Miscellaneous Corrections and Organizational Amendments (105 CMR 120.000): </w:t>
      </w:r>
      <w:r>
        <w:t>Updates the online address (URL) of RCP’s website, updates oath and affirmation requirements, updates the contact information regarding fingerprint checks, and clarifies general security program requirements.</w:t>
      </w:r>
    </w:p>
    <w:p w14:paraId="08853898" w14:textId="5D77957D" w:rsidR="00533E9F" w:rsidRDefault="00533E9F" w:rsidP="00533E9F">
      <w:r>
        <w:t xml:space="preserve"> </w:t>
      </w:r>
    </w:p>
    <w:p w14:paraId="4FAECFE0" w14:textId="00699AB2" w:rsidR="00533E9F" w:rsidRDefault="00533E9F" w:rsidP="00533E9F"/>
    <w:p w14:paraId="6E605BBA" w14:textId="77777777" w:rsidR="00533E9F" w:rsidRDefault="00533E9F" w:rsidP="00533E9F"/>
    <w:p w14:paraId="79D8C774" w14:textId="77777777" w:rsidR="00533E9F" w:rsidRPr="004D1734" w:rsidRDefault="00533E9F" w:rsidP="00533E9F">
      <w:pPr>
        <w:pStyle w:val="BodyText"/>
        <w:spacing w:before="0"/>
        <w:jc w:val="left"/>
        <w:rPr>
          <w:b/>
          <w:color w:val="000000"/>
        </w:rPr>
      </w:pPr>
      <w:r>
        <w:rPr>
          <w:b/>
          <w:color w:val="000000"/>
        </w:rPr>
        <w:lastRenderedPageBreak/>
        <w:t>III</w:t>
      </w:r>
      <w:r w:rsidRPr="004D1734">
        <w:rPr>
          <w:b/>
          <w:color w:val="000000"/>
        </w:rPr>
        <w:t>.</w:t>
      </w:r>
      <w:r w:rsidRPr="004D1734">
        <w:rPr>
          <w:b/>
          <w:color w:val="000000"/>
        </w:rPr>
        <w:tab/>
      </w:r>
      <w:r>
        <w:rPr>
          <w:b/>
          <w:color w:val="000000"/>
        </w:rPr>
        <w:t>Next Steps</w:t>
      </w:r>
    </w:p>
    <w:p w14:paraId="0C689BBD" w14:textId="77777777" w:rsidR="00533E9F" w:rsidRDefault="00533E9F" w:rsidP="00533E9F">
      <w:pPr>
        <w:rPr>
          <w:szCs w:val="24"/>
          <w:shd w:val="clear" w:color="auto" w:fill="FFFFFF"/>
        </w:rPr>
      </w:pPr>
    </w:p>
    <w:p w14:paraId="242B5909" w14:textId="77777777" w:rsidR="00533E9F" w:rsidRDefault="00533E9F" w:rsidP="00533E9F">
      <w:pPr>
        <w:rPr>
          <w:rFonts w:eastAsia="@Batang"/>
          <w:color w:val="000000"/>
        </w:rPr>
      </w:pPr>
      <w:r>
        <w:rPr>
          <w:rFonts w:eastAsia="@Batang"/>
          <w:color w:val="000000"/>
        </w:rPr>
        <w:t>The Department intends to conduct a</w:t>
      </w:r>
      <w:r w:rsidRPr="00BE3075">
        <w:rPr>
          <w:rFonts w:eastAsia="@Batang"/>
          <w:color w:val="000000"/>
        </w:rPr>
        <w:t xml:space="preserve"> public comment hearing </w:t>
      </w:r>
      <w:r>
        <w:rPr>
          <w:rFonts w:eastAsia="@Batang"/>
          <w:color w:val="000000"/>
        </w:rPr>
        <w:t>a</w:t>
      </w:r>
      <w:r w:rsidRPr="00BE3075">
        <w:rPr>
          <w:rFonts w:eastAsia="@Batang"/>
          <w:color w:val="000000"/>
        </w:rPr>
        <w:t xml:space="preserve">nd </w:t>
      </w:r>
      <w:r>
        <w:rPr>
          <w:rFonts w:eastAsia="@Batang"/>
          <w:color w:val="000000"/>
        </w:rPr>
        <w:t>will then</w:t>
      </w:r>
      <w:r w:rsidRPr="00BE3075">
        <w:rPr>
          <w:rFonts w:eastAsia="@Batang"/>
          <w:color w:val="000000"/>
        </w:rPr>
        <w:t xml:space="preserve"> return to the PHC</w:t>
      </w:r>
      <w:r>
        <w:rPr>
          <w:rFonts w:eastAsia="@Batang"/>
          <w:color w:val="000000"/>
        </w:rPr>
        <w:t xml:space="preserve"> </w:t>
      </w:r>
      <w:r w:rsidRPr="00BE3075">
        <w:rPr>
          <w:rFonts w:eastAsia="@Batang"/>
          <w:color w:val="000000"/>
        </w:rPr>
        <w:t>to report on testimony and any recommended changes to the proposed amendment</w:t>
      </w:r>
      <w:r>
        <w:rPr>
          <w:rFonts w:eastAsia="@Batang"/>
          <w:color w:val="000000"/>
        </w:rPr>
        <w:t>s</w:t>
      </w:r>
      <w:r w:rsidRPr="00BE3075">
        <w:rPr>
          <w:rFonts w:eastAsia="@Batang"/>
          <w:color w:val="000000"/>
        </w:rPr>
        <w:t>.  Following final action by the PHC</w:t>
      </w:r>
      <w:r>
        <w:rPr>
          <w:rFonts w:eastAsia="@Batang"/>
          <w:color w:val="000000"/>
        </w:rPr>
        <w:t xml:space="preserve"> at a future meeting</w:t>
      </w:r>
      <w:r w:rsidRPr="00BE3075">
        <w:rPr>
          <w:rFonts w:eastAsia="@Batang"/>
          <w:color w:val="000000"/>
        </w:rPr>
        <w:t>, the Department will be able to file</w:t>
      </w:r>
      <w:r>
        <w:rPr>
          <w:rFonts w:eastAsia="@Batang"/>
          <w:color w:val="000000"/>
        </w:rPr>
        <w:t xml:space="preserve"> the</w:t>
      </w:r>
      <w:r w:rsidRPr="00BE3075">
        <w:rPr>
          <w:rFonts w:eastAsia="@Batang"/>
          <w:color w:val="000000"/>
        </w:rPr>
        <w:t xml:space="preserve"> final amendment</w:t>
      </w:r>
      <w:r>
        <w:rPr>
          <w:rFonts w:eastAsia="@Batang"/>
          <w:color w:val="000000"/>
        </w:rPr>
        <w:t>s</w:t>
      </w:r>
      <w:r w:rsidRPr="00BE3075">
        <w:rPr>
          <w:rFonts w:eastAsia="@Batang"/>
          <w:color w:val="000000"/>
        </w:rPr>
        <w:t xml:space="preserve"> with the Secretary of the Commonwealth.</w:t>
      </w:r>
    </w:p>
    <w:p w14:paraId="2E036AAA" w14:textId="77777777" w:rsidR="00533E9F" w:rsidRDefault="00533E9F" w:rsidP="00533E9F">
      <w:pPr>
        <w:rPr>
          <w:rFonts w:eastAsia="@Batang"/>
          <w:color w:val="000000"/>
        </w:rPr>
      </w:pPr>
    </w:p>
    <w:p w14:paraId="541FBEAB" w14:textId="77777777" w:rsidR="00533E9F" w:rsidRPr="0023473E" w:rsidRDefault="00533E9F" w:rsidP="00533E9F">
      <w:pPr>
        <w:rPr>
          <w:noProof/>
          <w:szCs w:val="24"/>
        </w:rPr>
      </w:pPr>
      <w:r w:rsidRPr="00002CCB">
        <w:rPr>
          <w:noProof/>
          <w:szCs w:val="24"/>
        </w:rPr>
        <w:t xml:space="preserve">The </w:t>
      </w:r>
      <w:r>
        <w:rPr>
          <w:noProof/>
          <w:szCs w:val="24"/>
        </w:rPr>
        <w:t xml:space="preserve">proposed amendments to </w:t>
      </w:r>
      <w:r w:rsidRPr="00002CCB">
        <w:rPr>
          <w:noProof/>
          <w:szCs w:val="24"/>
        </w:rPr>
        <w:t xml:space="preserve">105 CMR </w:t>
      </w:r>
      <w:r>
        <w:rPr>
          <w:noProof/>
          <w:szCs w:val="24"/>
        </w:rPr>
        <w:t xml:space="preserve">120.000 are </w:t>
      </w:r>
      <w:r w:rsidRPr="00002CCB">
        <w:rPr>
          <w:noProof/>
          <w:szCs w:val="24"/>
        </w:rPr>
        <w:t>attached to this memorandum</w:t>
      </w:r>
      <w:r>
        <w:rPr>
          <w:noProof/>
          <w:szCs w:val="24"/>
        </w:rPr>
        <w:t>.</w:t>
      </w:r>
    </w:p>
    <w:p w14:paraId="56B5F2D5" w14:textId="77777777" w:rsidR="00EC28E9" w:rsidRDefault="00544973"/>
    <w:sectPr w:rsidR="00EC28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EC24D" w14:textId="77777777" w:rsidR="00DB077D" w:rsidRDefault="00F85BCF">
      <w:r>
        <w:separator/>
      </w:r>
    </w:p>
  </w:endnote>
  <w:endnote w:type="continuationSeparator" w:id="0">
    <w:p w14:paraId="14EA8550" w14:textId="77777777" w:rsidR="00DB077D" w:rsidRDefault="00F8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AB1C" w14:textId="77777777" w:rsidR="00C32D8B" w:rsidRDefault="00544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D01B" w14:textId="77777777" w:rsidR="005E1C81" w:rsidRDefault="00533E9F">
    <w:pPr>
      <w:pStyle w:val="Footer"/>
      <w:jc w:val="center"/>
    </w:pPr>
    <w:r>
      <w:fldChar w:fldCharType="begin"/>
    </w:r>
    <w:r>
      <w:instrText xml:space="preserve"> PAGE   \* MERGEFORMAT </w:instrText>
    </w:r>
    <w:r>
      <w:fldChar w:fldCharType="separate"/>
    </w:r>
    <w:r>
      <w:rPr>
        <w:noProof/>
      </w:rPr>
      <w:t>1</w:t>
    </w:r>
    <w:r>
      <w:rPr>
        <w:noProof/>
      </w:rPr>
      <w:fldChar w:fldCharType="end"/>
    </w:r>
  </w:p>
  <w:p w14:paraId="0726689D" w14:textId="77777777" w:rsidR="005E1C81" w:rsidRDefault="00544973">
    <w:pPr>
      <w:spacing w:line="24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C305" w14:textId="77777777" w:rsidR="00C32D8B" w:rsidRDefault="00544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879BD" w14:textId="77777777" w:rsidR="00DB077D" w:rsidRDefault="00F85BCF">
      <w:r>
        <w:separator/>
      </w:r>
    </w:p>
  </w:footnote>
  <w:footnote w:type="continuationSeparator" w:id="0">
    <w:p w14:paraId="55DFA2F8" w14:textId="77777777" w:rsidR="00DB077D" w:rsidRDefault="00F85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D7E5" w14:textId="77777777" w:rsidR="007E5072" w:rsidRDefault="00544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94B8" w14:textId="77777777" w:rsidR="005E1C81" w:rsidRDefault="00533E9F">
    <w:pPr>
      <w:tabs>
        <w:tab w:val="center" w:pos="5100"/>
        <w:tab w:val="left" w:pos="7675"/>
      </w:tabs>
      <w:jc w:val="both"/>
    </w:pPr>
    <w:r>
      <w:tab/>
    </w:r>
  </w:p>
  <w:p w14:paraId="62133E05" w14:textId="77777777" w:rsidR="005E1C81" w:rsidRDefault="00544973">
    <w:pPr>
      <w:tabs>
        <w:tab w:val="left" w:pos="1200"/>
        <w:tab w:val="left" w:pos="1555"/>
        <w:tab w:val="left" w:pos="1915"/>
        <w:tab w:val="left" w:pos="2275"/>
        <w:tab w:val="left" w:pos="2635"/>
        <w:tab w:val="left" w:pos="2995"/>
        <w:tab w:val="left" w:pos="7675"/>
      </w:tabs>
      <w:jc w:val="both"/>
    </w:pPr>
  </w:p>
  <w:p w14:paraId="173F243B" w14:textId="77777777" w:rsidR="005E1C81" w:rsidRDefault="00544973">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813B" w14:textId="77777777" w:rsidR="007E5072" w:rsidRDefault="00544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F6E38"/>
    <w:multiLevelType w:val="hybridMultilevel"/>
    <w:tmpl w:val="63BEC5E4"/>
    <w:lvl w:ilvl="0" w:tplc="04090001">
      <w:start w:val="1"/>
      <w:numFmt w:val="bullet"/>
      <w:lvlText w:val=""/>
      <w:lvlJc w:val="left"/>
      <w:pPr>
        <w:ind w:left="1080" w:hanging="360"/>
      </w:pPr>
      <w:rPr>
        <w:rFonts w:ascii="Symbol" w:hAnsi="Symbol" w:hint="default"/>
        <w:b w:val="0"/>
        <w:bCs w:val="0"/>
      </w:rPr>
    </w:lvl>
    <w:lvl w:ilvl="1" w:tplc="FFFFFFFF">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 w15:restartNumberingAfterBreak="0">
    <w:nsid w:val="56164913"/>
    <w:multiLevelType w:val="hybridMultilevel"/>
    <w:tmpl w:val="EA8EC8D2"/>
    <w:lvl w:ilvl="0" w:tplc="9744A572">
      <w:start w:val="1"/>
      <w:numFmt w:val="decimal"/>
      <w:lvlText w:val="%1."/>
      <w:lvlJc w:val="left"/>
      <w:pPr>
        <w:ind w:left="720" w:hanging="360"/>
      </w:pPr>
      <w:rPr>
        <w:b w:val="0"/>
        <w:bCs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9F"/>
    <w:rsid w:val="001274EF"/>
    <w:rsid w:val="00533E9F"/>
    <w:rsid w:val="00544973"/>
    <w:rsid w:val="00722722"/>
    <w:rsid w:val="00976BDA"/>
    <w:rsid w:val="00D658CB"/>
    <w:rsid w:val="00DB077D"/>
    <w:rsid w:val="00F8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17523B0D"/>
  <w15:chartTrackingRefBased/>
  <w15:docId w15:val="{C2670937-C8C5-4865-B5A5-7C2408B5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E9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533E9F"/>
    <w:pPr>
      <w:framePr w:w="6927" w:hSpace="187" w:wrap="notBeside" w:vAnchor="text" w:hAnchor="page" w:x="3594" w:y="1"/>
      <w:jc w:val="center"/>
    </w:pPr>
    <w:rPr>
      <w:rFonts w:ascii="Arial" w:hAnsi="Arial"/>
      <w:sz w:val="28"/>
    </w:rPr>
  </w:style>
  <w:style w:type="paragraph" w:customStyle="1" w:styleId="Weld">
    <w:name w:val="Weld"/>
    <w:basedOn w:val="Normal"/>
    <w:rsid w:val="00533E9F"/>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533E9F"/>
    <w:pPr>
      <w:framePr w:hSpace="187" w:wrap="notBeside" w:vAnchor="text" w:hAnchor="page" w:x="546" w:y="141"/>
      <w:spacing w:after="120"/>
      <w:jc w:val="center"/>
    </w:pPr>
    <w:rPr>
      <w:rFonts w:ascii="Arial Rounded MT Bold" w:hAnsi="Arial Rounded MT Bold"/>
      <w:sz w:val="14"/>
    </w:rPr>
  </w:style>
  <w:style w:type="paragraph" w:styleId="Header">
    <w:name w:val="header"/>
    <w:basedOn w:val="Normal"/>
    <w:link w:val="HeaderChar"/>
    <w:rsid w:val="00533E9F"/>
    <w:pPr>
      <w:tabs>
        <w:tab w:val="center" w:pos="4320"/>
        <w:tab w:val="right" w:pos="8640"/>
      </w:tabs>
    </w:pPr>
  </w:style>
  <w:style w:type="character" w:customStyle="1" w:styleId="HeaderChar">
    <w:name w:val="Header Char"/>
    <w:basedOn w:val="DefaultParagraphFont"/>
    <w:link w:val="Header"/>
    <w:rsid w:val="00533E9F"/>
    <w:rPr>
      <w:rFonts w:ascii="Times New Roman" w:eastAsia="Times New Roman" w:hAnsi="Times New Roman" w:cs="Times New Roman"/>
      <w:sz w:val="24"/>
      <w:szCs w:val="20"/>
    </w:rPr>
  </w:style>
  <w:style w:type="paragraph" w:styleId="Footer">
    <w:name w:val="footer"/>
    <w:basedOn w:val="Normal"/>
    <w:link w:val="FooterChar"/>
    <w:uiPriority w:val="99"/>
    <w:rsid w:val="00533E9F"/>
    <w:pPr>
      <w:tabs>
        <w:tab w:val="center" w:pos="4320"/>
        <w:tab w:val="right" w:pos="8640"/>
      </w:tabs>
    </w:pPr>
  </w:style>
  <w:style w:type="character" w:customStyle="1" w:styleId="FooterChar">
    <w:name w:val="Footer Char"/>
    <w:basedOn w:val="DefaultParagraphFont"/>
    <w:link w:val="Footer"/>
    <w:uiPriority w:val="99"/>
    <w:rsid w:val="00533E9F"/>
    <w:rPr>
      <w:rFonts w:ascii="Times New Roman" w:eastAsia="Times New Roman" w:hAnsi="Times New Roman" w:cs="Times New Roman"/>
      <w:sz w:val="24"/>
      <w:szCs w:val="20"/>
    </w:rPr>
  </w:style>
  <w:style w:type="character" w:customStyle="1" w:styleId="normalchar1">
    <w:name w:val="normal__char1"/>
    <w:rsid w:val="00533E9F"/>
    <w:rPr>
      <w:rFonts w:ascii="Arial" w:hAnsi="Arial" w:cs="Arial" w:hint="default"/>
      <w:strike w:val="0"/>
      <w:dstrike w:val="0"/>
      <w:sz w:val="22"/>
      <w:szCs w:val="22"/>
      <w:u w:val="none"/>
      <w:effect w:val="none"/>
    </w:rPr>
  </w:style>
  <w:style w:type="paragraph" w:styleId="BodyText">
    <w:name w:val="Body Text"/>
    <w:basedOn w:val="Normal"/>
    <w:link w:val="BodyTextChar"/>
    <w:rsid w:val="00533E9F"/>
    <w:pPr>
      <w:spacing w:before="240"/>
      <w:jc w:val="both"/>
    </w:pPr>
    <w:rPr>
      <w:szCs w:val="24"/>
    </w:rPr>
  </w:style>
  <w:style w:type="character" w:customStyle="1" w:styleId="BodyTextChar">
    <w:name w:val="Body Text Char"/>
    <w:basedOn w:val="DefaultParagraphFont"/>
    <w:link w:val="BodyText"/>
    <w:rsid w:val="00533E9F"/>
    <w:rPr>
      <w:rFonts w:ascii="Times New Roman" w:eastAsia="Times New Roman" w:hAnsi="Times New Roman" w:cs="Times New Roman"/>
      <w:sz w:val="24"/>
      <w:szCs w:val="24"/>
    </w:rPr>
  </w:style>
  <w:style w:type="paragraph" w:styleId="ListParagraph">
    <w:name w:val="List Paragraph"/>
    <w:basedOn w:val="Normal"/>
    <w:uiPriority w:val="34"/>
    <w:qFormat/>
    <w:rsid w:val="00533E9F"/>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4338</Characters>
  <Application>Microsoft Office Word</Application>
  <DocSecurity>4</DocSecurity>
  <Lines>36</Lines>
  <Paragraphs>10</Paragraphs>
  <ScaleCrop>false</ScaleCrop>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Callahan, Kristopher (DPH)</dc:creator>
  <cp:keywords/>
  <dc:description/>
  <cp:lastModifiedBy>Ballin, James (DPH)</cp:lastModifiedBy>
  <cp:revision>2</cp:revision>
  <dcterms:created xsi:type="dcterms:W3CDTF">2022-06-01T14:58:00Z</dcterms:created>
  <dcterms:modified xsi:type="dcterms:W3CDTF">2022-06-01T14:58:00Z</dcterms:modified>
</cp:coreProperties>
</file>