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5C703C32" w14:textId="77777777" w:rsidR="007619BF" w:rsidRPr="00DC38EE" w:rsidRDefault="007619BF" w:rsidP="007619BF">
      <w:pPr>
        <w:rPr>
          <w:szCs w:val="24"/>
        </w:rPr>
      </w:pPr>
    </w:p>
    <w:p w14:paraId="266579FA" w14:textId="77777777" w:rsidR="007A118D" w:rsidRDefault="007A118D" w:rsidP="002621EA">
      <w:pPr>
        <w:rPr>
          <w:szCs w:val="24"/>
        </w:rPr>
      </w:pPr>
    </w:p>
    <w:p w14:paraId="7A7E94A1" w14:textId="77777777" w:rsidR="007A118D" w:rsidRPr="00835550" w:rsidRDefault="007A118D" w:rsidP="007A118D">
      <w:pPr>
        <w:jc w:val="center"/>
        <w:rPr>
          <w:b/>
          <w:szCs w:val="24"/>
        </w:rPr>
      </w:pPr>
      <w:r w:rsidRPr="00835550">
        <w:rPr>
          <w:b/>
          <w:szCs w:val="24"/>
        </w:rPr>
        <w:t>NOTICE OF PUBLIC HEARING</w:t>
      </w:r>
    </w:p>
    <w:p w14:paraId="6518E9C9" w14:textId="77777777" w:rsidR="007A118D" w:rsidRPr="00835550" w:rsidRDefault="007A118D" w:rsidP="007A118D">
      <w:pPr>
        <w:rPr>
          <w:szCs w:val="24"/>
        </w:rPr>
      </w:pPr>
    </w:p>
    <w:p w14:paraId="07CDA342" w14:textId="68155B31" w:rsidR="007A118D" w:rsidRPr="007A118D" w:rsidRDefault="007A118D" w:rsidP="007A118D">
      <w:pPr>
        <w:rPr>
          <w:i/>
          <w:iCs/>
          <w:szCs w:val="24"/>
        </w:rPr>
      </w:pPr>
      <w:r w:rsidRPr="00835550">
        <w:rPr>
          <w:szCs w:val="24"/>
        </w:rPr>
        <w:t>Notice is hereby given pursuant to M.G.L. c. 30A, §2, that the Department of Public Health</w:t>
      </w:r>
      <w:r>
        <w:rPr>
          <w:szCs w:val="24"/>
        </w:rPr>
        <w:t xml:space="preserve"> (the Department)</w:t>
      </w:r>
      <w:r w:rsidRPr="00835550">
        <w:rPr>
          <w:szCs w:val="24"/>
        </w:rPr>
        <w:t xml:space="preserve"> will hold a public hearing and comment period on the </w:t>
      </w:r>
      <w:r>
        <w:rPr>
          <w:szCs w:val="24"/>
        </w:rPr>
        <w:t>proposed</w:t>
      </w:r>
      <w:r w:rsidRPr="00835550">
        <w:rPr>
          <w:szCs w:val="24"/>
        </w:rPr>
        <w:t xml:space="preserve"> amendments</w:t>
      </w:r>
      <w:r>
        <w:rPr>
          <w:szCs w:val="24"/>
        </w:rPr>
        <w:t xml:space="preserve"> </w:t>
      </w:r>
      <w:r w:rsidRPr="00EC1AE5">
        <w:rPr>
          <w:szCs w:val="24"/>
        </w:rPr>
        <w:t xml:space="preserve">to </w:t>
      </w:r>
      <w:r>
        <w:rPr>
          <w:szCs w:val="24"/>
        </w:rPr>
        <w:t xml:space="preserve">Department of Public Health Regulation </w:t>
      </w:r>
      <w:r w:rsidR="004D3BE7" w:rsidRPr="186C6C20">
        <w:rPr>
          <w:szCs w:val="24"/>
        </w:rPr>
        <w:t xml:space="preserve">105 CMR </w:t>
      </w:r>
      <w:r w:rsidR="00A75AA3">
        <w:rPr>
          <w:szCs w:val="24"/>
        </w:rPr>
        <w:t>168.000</w:t>
      </w:r>
      <w:r w:rsidR="004D3BE7" w:rsidRPr="186C6C20">
        <w:rPr>
          <w:szCs w:val="24"/>
        </w:rPr>
        <w:t xml:space="preserve">, </w:t>
      </w:r>
      <w:r w:rsidR="00A75AA3">
        <w:rPr>
          <w:i/>
          <w:iCs/>
          <w:szCs w:val="24"/>
        </w:rPr>
        <w:t>Licensure of Alcohol and Drug Counselors</w:t>
      </w:r>
      <w:r>
        <w:rPr>
          <w:i/>
          <w:iCs/>
          <w:szCs w:val="24"/>
        </w:rPr>
        <w:t xml:space="preserve">. </w:t>
      </w:r>
      <w:r>
        <w:rPr>
          <w:szCs w:val="24"/>
        </w:rPr>
        <w:t>The proposed amendment w</w:t>
      </w:r>
      <w:r w:rsidR="00513005">
        <w:rPr>
          <w:szCs w:val="24"/>
        </w:rPr>
        <w:t>ill be</w:t>
      </w:r>
      <w:r>
        <w:rPr>
          <w:szCs w:val="24"/>
        </w:rPr>
        <w:t xml:space="preserve"> filed on </w:t>
      </w:r>
      <w:r w:rsidR="00D6652C">
        <w:rPr>
          <w:szCs w:val="24"/>
        </w:rPr>
        <w:t xml:space="preserve">or before </w:t>
      </w:r>
      <w:r w:rsidR="00513005">
        <w:rPr>
          <w:szCs w:val="24"/>
        </w:rPr>
        <w:t>March 27</w:t>
      </w:r>
      <w:r w:rsidR="00B3650C">
        <w:rPr>
          <w:szCs w:val="24"/>
        </w:rPr>
        <w:t>, 2026</w:t>
      </w:r>
      <w:r>
        <w:rPr>
          <w:szCs w:val="24"/>
        </w:rPr>
        <w:t>.</w:t>
      </w:r>
    </w:p>
    <w:p w14:paraId="7A4FBF91" w14:textId="77777777" w:rsidR="007A118D" w:rsidRDefault="007A118D" w:rsidP="007A118D">
      <w:pPr>
        <w:widowControl w:val="0"/>
        <w:rPr>
          <w:szCs w:val="24"/>
        </w:rPr>
      </w:pPr>
    </w:p>
    <w:p w14:paraId="0935E4D6" w14:textId="3743F8BE" w:rsidR="007A118D" w:rsidRDefault="00C471F3" w:rsidP="007A118D">
      <w:pPr>
        <w:widowControl w:val="0"/>
      </w:pPr>
      <w:bookmarkStart w:id="1" w:name="_Hlk199770492"/>
      <w:r>
        <w:t>105 CMR 168.000 governs the licensure of alcohol and drug counselors by the Department, which includes licensed alcohol and drug counselor I</w:t>
      </w:r>
      <w:r w:rsidR="009924EF">
        <w:t xml:space="preserve"> (LADC I), licensed alcohol and drug counselor II (LADC II), and licensed alcohol and drug counselor assistant (LADC Assistant). </w:t>
      </w:r>
      <w:r w:rsidR="0069155B">
        <w:t xml:space="preserve">This will be the first amendment to the regulation since its promulgation in 2004.  In addition to updating </w:t>
      </w:r>
      <w:r w:rsidR="002E2CCD">
        <w:t xml:space="preserve">the regulation to align with </w:t>
      </w:r>
      <w:r w:rsidR="00D86924">
        <w:t>industry standards and best practices</w:t>
      </w:r>
      <w:r w:rsidR="00A20F68">
        <w:t xml:space="preserve">, </w:t>
      </w:r>
      <w:r w:rsidR="00C440E9">
        <w:t xml:space="preserve">the regulation is updated in accordance with changes made to M.G.L. c. 111J pursuant to Chapter 285 of the Acts of 2024. </w:t>
      </w:r>
      <w:bookmarkEnd w:id="1"/>
    </w:p>
    <w:p w14:paraId="680D64A3" w14:textId="77777777" w:rsidR="007A118D" w:rsidRDefault="007A118D" w:rsidP="007A118D">
      <w:pPr>
        <w:widowControl w:val="0"/>
        <w:rPr>
          <w:szCs w:val="24"/>
        </w:rPr>
      </w:pPr>
    </w:p>
    <w:p w14:paraId="7C280E34" w14:textId="5F644A4E" w:rsidR="007A118D" w:rsidRPr="009D1697" w:rsidRDefault="007A118D" w:rsidP="007A118D">
      <w:pPr>
        <w:widowControl w:val="0"/>
        <w:rPr>
          <w:szCs w:val="24"/>
        </w:rPr>
      </w:pPr>
      <w:r w:rsidRPr="2CCC02CF">
        <w:rPr>
          <w:szCs w:val="24"/>
        </w:rPr>
        <w:t xml:space="preserve">Among other things, </w:t>
      </w:r>
      <w:r w:rsidR="00C440E9" w:rsidRPr="00C440E9">
        <w:rPr>
          <w:szCs w:val="24"/>
        </w:rPr>
        <w:t xml:space="preserve">the </w:t>
      </w:r>
      <w:r w:rsidR="00C451F5">
        <w:rPr>
          <w:szCs w:val="24"/>
        </w:rPr>
        <w:t xml:space="preserve">purposes of the amendments are to: </w:t>
      </w:r>
    </w:p>
    <w:p w14:paraId="27B5E19F" w14:textId="66FB0B75" w:rsidR="007A118D" w:rsidRPr="009D1697" w:rsidRDefault="00C451F5" w:rsidP="007A118D">
      <w:pPr>
        <w:widowControl w:val="0"/>
        <w:numPr>
          <w:ilvl w:val="0"/>
          <w:numId w:val="1"/>
        </w:numPr>
      </w:pPr>
      <w:r>
        <w:t xml:space="preserve">Modernize regulatory language </w:t>
      </w:r>
      <w:r w:rsidR="005659B7">
        <w:t xml:space="preserve">to align with current industry standards, best practices, and where applicable, with 105 CMR 164.000 </w:t>
      </w:r>
      <w:r w:rsidR="005659B7" w:rsidRPr="005659B7">
        <w:rPr>
          <w:i/>
          <w:iCs/>
        </w:rPr>
        <w:t xml:space="preserve">Licensure of Substance Use Disorder Treatment </w:t>
      </w:r>
      <w:proofErr w:type="gramStart"/>
      <w:r w:rsidR="005659B7" w:rsidRPr="005659B7">
        <w:rPr>
          <w:i/>
          <w:iCs/>
        </w:rPr>
        <w:t>Programs</w:t>
      </w:r>
      <w:r w:rsidR="006568D1">
        <w:t>;</w:t>
      </w:r>
      <w:proofErr w:type="gramEnd"/>
    </w:p>
    <w:p w14:paraId="079D46A4" w14:textId="3AF0198E" w:rsidR="007A118D" w:rsidRDefault="005659B7" w:rsidP="007A118D">
      <w:pPr>
        <w:widowControl w:val="0"/>
        <w:numPr>
          <w:ilvl w:val="0"/>
          <w:numId w:val="1"/>
        </w:numPr>
      </w:pPr>
      <w:r>
        <w:t xml:space="preserve">Reorganize sections for </w:t>
      </w:r>
      <w:r w:rsidR="00D6652C">
        <w:t xml:space="preserve">cohesion and </w:t>
      </w:r>
      <w:proofErr w:type="gramStart"/>
      <w:r>
        <w:t>continuity</w:t>
      </w:r>
      <w:r w:rsidR="006568D1">
        <w:t>;</w:t>
      </w:r>
      <w:proofErr w:type="gramEnd"/>
    </w:p>
    <w:p w14:paraId="7AF8EC48" w14:textId="554B2516" w:rsidR="007837D4" w:rsidRPr="00BB0C86" w:rsidRDefault="002514AC" w:rsidP="06313FF9">
      <w:pPr>
        <w:widowControl w:val="0"/>
        <w:numPr>
          <w:ilvl w:val="0"/>
          <w:numId w:val="1"/>
        </w:numPr>
        <w:rPr>
          <w:color w:val="000000" w:themeColor="text1"/>
        </w:rPr>
      </w:pPr>
      <w:r>
        <w:rPr>
          <w:color w:val="000000" w:themeColor="text1"/>
        </w:rPr>
        <w:t>Implement a new Standards of Practice section that supports the continuum of substance use disorder treatment and recovery-oriented</w:t>
      </w:r>
      <w:r w:rsidR="006568D1">
        <w:rPr>
          <w:color w:val="000000" w:themeColor="text1"/>
        </w:rPr>
        <w:t xml:space="preserve"> services in the Commonwealth.</w:t>
      </w:r>
    </w:p>
    <w:p w14:paraId="6182C14F" w14:textId="77777777" w:rsidR="006568D1" w:rsidRDefault="006568D1" w:rsidP="06313FF9">
      <w:pPr>
        <w:widowControl w:val="0"/>
        <w:rPr>
          <w:szCs w:val="24"/>
        </w:rPr>
      </w:pPr>
    </w:p>
    <w:p w14:paraId="26F6D0BC" w14:textId="3451140A" w:rsidR="00D86924" w:rsidRDefault="008177CB" w:rsidP="06313FF9">
      <w:pPr>
        <w:widowControl w:val="0"/>
        <w:rPr>
          <w:color w:val="000000" w:themeColor="text1"/>
        </w:rPr>
      </w:pPr>
      <w:r w:rsidRPr="06313FF9">
        <w:rPr>
          <w:color w:val="000000" w:themeColor="text1"/>
        </w:rPr>
        <w:t xml:space="preserve">The Department is proposing significant revisions to 105 CMR </w:t>
      </w:r>
      <w:r w:rsidR="006568D1">
        <w:rPr>
          <w:color w:val="000000" w:themeColor="text1"/>
        </w:rPr>
        <w:t>16</w:t>
      </w:r>
      <w:r w:rsidR="00D6652C">
        <w:rPr>
          <w:color w:val="000000" w:themeColor="text1"/>
        </w:rPr>
        <w:t>8</w:t>
      </w:r>
      <w:r w:rsidR="006568D1">
        <w:rPr>
          <w:color w:val="000000" w:themeColor="text1"/>
        </w:rPr>
        <w:t>.000</w:t>
      </w:r>
      <w:r w:rsidRPr="06313FF9">
        <w:rPr>
          <w:color w:val="000000" w:themeColor="text1"/>
        </w:rPr>
        <w:t xml:space="preserve"> to</w:t>
      </w:r>
      <w:r w:rsidR="00D86924">
        <w:rPr>
          <w:color w:val="000000" w:themeColor="text1"/>
        </w:rPr>
        <w:t xml:space="preserve"> align with</w:t>
      </w:r>
      <w:r w:rsidR="00475C20">
        <w:rPr>
          <w:color w:val="000000" w:themeColor="text1"/>
        </w:rPr>
        <w:t xml:space="preserve"> current</w:t>
      </w:r>
      <w:r w:rsidR="00D86924">
        <w:rPr>
          <w:color w:val="000000" w:themeColor="text1"/>
        </w:rPr>
        <w:t xml:space="preserve"> industry standards</w:t>
      </w:r>
      <w:r w:rsidR="00E70D1A">
        <w:rPr>
          <w:color w:val="000000" w:themeColor="text1"/>
        </w:rPr>
        <w:t xml:space="preserve"> and best practices.</w:t>
      </w:r>
    </w:p>
    <w:p w14:paraId="0D7062D3" w14:textId="77777777" w:rsidR="00D86924" w:rsidRDefault="00D86924" w:rsidP="06313FF9">
      <w:pPr>
        <w:widowControl w:val="0"/>
        <w:rPr>
          <w:color w:val="000000" w:themeColor="text1"/>
        </w:rPr>
      </w:pPr>
    </w:p>
    <w:p w14:paraId="73988E0D" w14:textId="49CD6CA5" w:rsidR="007A118D" w:rsidRPr="00835550" w:rsidRDefault="007A118D" w:rsidP="06313FF9">
      <w:pPr>
        <w:widowControl w:val="0"/>
      </w:pPr>
      <w:r>
        <w:t xml:space="preserve">The public hearing will be held on </w:t>
      </w:r>
      <w:r w:rsidR="00E70D1A">
        <w:rPr>
          <w:b/>
          <w:bCs/>
        </w:rPr>
        <w:t xml:space="preserve">April 27, </w:t>
      </w:r>
      <w:proofErr w:type="gramStart"/>
      <w:r w:rsidR="00E70D1A">
        <w:rPr>
          <w:b/>
          <w:bCs/>
        </w:rPr>
        <w:t>2026</w:t>
      </w:r>
      <w:proofErr w:type="gramEnd"/>
      <w:r w:rsidRPr="06313FF9">
        <w:rPr>
          <w:b/>
          <w:bCs/>
        </w:rPr>
        <w:t xml:space="preserve"> at </w:t>
      </w:r>
      <w:r w:rsidR="00C45E47">
        <w:rPr>
          <w:b/>
          <w:bCs/>
        </w:rPr>
        <w:t>1:00PM</w:t>
      </w:r>
      <w:r w:rsidRPr="06313FF9">
        <w:rPr>
          <w:b/>
          <w:bCs/>
        </w:rPr>
        <w:t>.</w:t>
      </w:r>
      <w:r>
        <w:t xml:space="preserve">  The hearing will be conducted on a </w:t>
      </w:r>
      <w:r w:rsidRPr="06313FF9">
        <w:rPr>
          <w:b/>
          <w:bCs/>
        </w:rPr>
        <w:t>moderated conference call</w:t>
      </w:r>
      <w:r>
        <w:t>.   The information for the moderated conference call is:</w:t>
      </w:r>
    </w:p>
    <w:p w14:paraId="3E8E7E49" w14:textId="77777777" w:rsidR="007A118D" w:rsidRPr="00835550" w:rsidRDefault="007A118D" w:rsidP="007A118D">
      <w:pPr>
        <w:ind w:left="52"/>
        <w:rPr>
          <w:szCs w:val="24"/>
        </w:rPr>
      </w:pPr>
    </w:p>
    <w:p w14:paraId="7B8F9035" w14:textId="45CDBD38" w:rsidR="007A118D" w:rsidRPr="00835550" w:rsidRDefault="007A118D" w:rsidP="007A118D">
      <w:pPr>
        <w:ind w:left="1440"/>
        <w:rPr>
          <w:b/>
          <w:bCs/>
          <w:szCs w:val="24"/>
        </w:rPr>
      </w:pPr>
      <w:r w:rsidRPr="00835550">
        <w:rPr>
          <w:color w:val="000000"/>
          <w:szCs w:val="24"/>
        </w:rPr>
        <w:t xml:space="preserve">Dial-in Telephone Number: </w:t>
      </w:r>
      <w:r w:rsidRPr="00835550">
        <w:rPr>
          <w:color w:val="000000"/>
          <w:szCs w:val="24"/>
        </w:rPr>
        <w:tab/>
      </w:r>
      <w:r w:rsidR="003872CD" w:rsidRPr="003872CD">
        <w:rPr>
          <w:b/>
          <w:bCs/>
          <w:color w:val="000000"/>
          <w:szCs w:val="24"/>
        </w:rPr>
        <w:t>888-</w:t>
      </w:r>
      <w:r w:rsidR="005B4BE5">
        <w:rPr>
          <w:b/>
          <w:bCs/>
          <w:color w:val="000000"/>
          <w:szCs w:val="24"/>
        </w:rPr>
        <w:t>603-7042</w:t>
      </w:r>
    </w:p>
    <w:p w14:paraId="4D9C2B5A" w14:textId="1D088CFF" w:rsidR="007A118D" w:rsidRPr="00835550" w:rsidRDefault="007A118D" w:rsidP="06313FF9">
      <w:pPr>
        <w:ind w:left="1440"/>
        <w:rPr>
          <w:color w:val="000000"/>
        </w:rPr>
      </w:pPr>
      <w:r w:rsidRPr="06313FF9">
        <w:rPr>
          <w:color w:val="000000" w:themeColor="text1"/>
        </w:rPr>
        <w:t>Participant Passcode:</w:t>
      </w:r>
      <w:r>
        <w:tab/>
      </w:r>
      <w:r>
        <w:tab/>
      </w:r>
      <w:r w:rsidR="00843BC5">
        <w:rPr>
          <w:b/>
          <w:bCs/>
        </w:rPr>
        <w:t>4279486</w:t>
      </w:r>
    </w:p>
    <w:p w14:paraId="7B37FD53" w14:textId="3E6559E6" w:rsidR="007A118D" w:rsidRPr="00835550" w:rsidRDefault="007A118D" w:rsidP="06313FF9">
      <w:pPr>
        <w:ind w:left="1440"/>
        <w:rPr>
          <w:color w:val="000000"/>
        </w:rPr>
      </w:pPr>
      <w:r w:rsidRPr="06313FF9">
        <w:rPr>
          <w:color w:val="000000" w:themeColor="text1"/>
        </w:rPr>
        <w:t>To Testify Press:</w:t>
      </w:r>
      <w:r>
        <w:tab/>
      </w:r>
      <w:r>
        <w:tab/>
      </w:r>
      <w:r w:rsidR="003872CD" w:rsidRPr="003872CD">
        <w:rPr>
          <w:b/>
          <w:bCs/>
        </w:rPr>
        <w:t>*1</w:t>
      </w:r>
    </w:p>
    <w:p w14:paraId="2DFE4CFE" w14:textId="77777777" w:rsidR="007A118D" w:rsidRPr="00835550" w:rsidRDefault="007A118D" w:rsidP="007A118D">
      <w:pPr>
        <w:ind w:left="52"/>
        <w:rPr>
          <w:szCs w:val="24"/>
        </w:rPr>
      </w:pPr>
    </w:p>
    <w:p w14:paraId="0FDC7F39" w14:textId="47FFA96E" w:rsidR="007A118D" w:rsidRPr="00835550" w:rsidRDefault="007A118D" w:rsidP="007A118D">
      <w:pPr>
        <w:ind w:left="52"/>
        <w:rPr>
          <w:szCs w:val="24"/>
        </w:rPr>
      </w:pPr>
      <w:r w:rsidRPr="00835550">
        <w:rPr>
          <w:szCs w:val="24"/>
        </w:rPr>
        <w:t xml:space="preserve">A copy of the proposed amendments to </w:t>
      </w:r>
      <w:r>
        <w:rPr>
          <w:szCs w:val="24"/>
        </w:rPr>
        <w:t xml:space="preserve">105 CMR </w:t>
      </w:r>
      <w:r w:rsidR="00843BC5">
        <w:rPr>
          <w:szCs w:val="24"/>
        </w:rPr>
        <w:t>168.000</w:t>
      </w:r>
      <w:r w:rsidRPr="00835550">
        <w:rPr>
          <w:szCs w:val="24"/>
        </w:rPr>
        <w:t xml:space="preserve"> may be viewed on the Department’s website at </w:t>
      </w:r>
      <w:hyperlink r:id="rId9" w:history="1">
        <w:r w:rsidRPr="00835550">
          <w:rPr>
            <w:color w:val="0000FF"/>
            <w:szCs w:val="24"/>
            <w:u w:val="single"/>
          </w:rPr>
          <w:t>http://mass.gov/dph/proposed-regulations</w:t>
        </w:r>
      </w:hyperlink>
      <w:r w:rsidRPr="00835550">
        <w:rPr>
          <w:szCs w:val="24"/>
        </w:rPr>
        <w:t xml:space="preserve"> or requested from the Office of the General Counsel by calling 617-624-5220.</w:t>
      </w:r>
    </w:p>
    <w:p w14:paraId="1909641C" w14:textId="77777777" w:rsidR="007A118D" w:rsidRPr="00835550" w:rsidRDefault="007A118D" w:rsidP="007A118D">
      <w:pPr>
        <w:ind w:left="52"/>
        <w:rPr>
          <w:szCs w:val="24"/>
        </w:rPr>
      </w:pPr>
    </w:p>
    <w:p w14:paraId="185234B5" w14:textId="43894C3A" w:rsidR="007A118D" w:rsidRPr="00835550" w:rsidRDefault="007A118D" w:rsidP="007A118D">
      <w:pPr>
        <w:ind w:left="52"/>
      </w:pPr>
      <w:r w:rsidRPr="06313FF9">
        <w:t xml:space="preserve">Speakers who testify at the public hearing are requested to provide a copy of their oral testimony. The Department encourages all interested parties to submit written testimony electronically to </w:t>
      </w:r>
      <w:hyperlink r:id="rId10" w:history="1">
        <w:r w:rsidRPr="06313FF9">
          <w:rPr>
            <w:rStyle w:val="Hyperlink"/>
            <w:snapToGrid w:val="0"/>
          </w:rPr>
          <w:t>Reg.Testimony@mass.gov</w:t>
        </w:r>
      </w:hyperlink>
      <w:r w:rsidRPr="06313FF9">
        <w:t xml:space="preserve">, or by mail to William Anderson, Office of the General Counsel, Department of Public Health, 250 Washington Street, Boston, MA 02108.  Please submit electronic testimony as an attached Word document and type “105 CMR </w:t>
      </w:r>
      <w:r w:rsidR="00843BC5">
        <w:t>168:</w:t>
      </w:r>
      <w:r w:rsidRPr="06313FF9">
        <w:t xml:space="preserve"> Department of Public Health</w:t>
      </w:r>
      <w:r w:rsidRPr="007A118D">
        <w:rPr>
          <w:szCs w:val="24"/>
        </w:rPr>
        <w:t xml:space="preserve"> </w:t>
      </w:r>
      <w:r w:rsidR="00843BC5">
        <w:t>Licensure of Alcohol and Drug Counselors</w:t>
      </w:r>
      <w:r w:rsidRPr="06313FF9">
        <w:t xml:space="preserve">” in the subject line of the email. All submitted testimony must include the sender’s full name and address. </w:t>
      </w:r>
    </w:p>
    <w:p w14:paraId="24BCAF84" w14:textId="77777777" w:rsidR="007A118D" w:rsidRPr="00835550" w:rsidRDefault="007A118D" w:rsidP="007A118D">
      <w:pPr>
        <w:rPr>
          <w:szCs w:val="24"/>
        </w:rPr>
      </w:pPr>
    </w:p>
    <w:p w14:paraId="75A6116C" w14:textId="689DDCA5" w:rsidR="007A118D" w:rsidRPr="00835550" w:rsidRDefault="007A118D" w:rsidP="007A118D">
      <w:pPr>
        <w:ind w:left="52"/>
      </w:pPr>
      <w:r>
        <w:t xml:space="preserve">The Department will post all electronic testimony that complies with these instructions on its website. </w:t>
      </w:r>
      <w:r w:rsidRPr="06313FF9">
        <w:rPr>
          <w:b/>
          <w:bCs/>
        </w:rPr>
        <w:t xml:space="preserve">All comments must be submitted by 5:00 p.m. on </w:t>
      </w:r>
      <w:r w:rsidR="00843BC5">
        <w:rPr>
          <w:b/>
          <w:bCs/>
        </w:rPr>
        <w:t>April 27</w:t>
      </w:r>
      <w:r w:rsidRPr="06313FF9">
        <w:rPr>
          <w:b/>
          <w:bCs/>
        </w:rPr>
        <w:t xml:space="preserve">, </w:t>
      </w:r>
      <w:proofErr w:type="gramStart"/>
      <w:r w:rsidRPr="06313FF9">
        <w:rPr>
          <w:b/>
          <w:bCs/>
        </w:rPr>
        <w:t>2026</w:t>
      </w:r>
      <w:proofErr w:type="gramEnd"/>
      <w:r>
        <w:t xml:space="preserve"> A</w:t>
      </w:r>
      <w:r w:rsidRPr="06313FF9">
        <w:rPr>
          <w:rFonts w:eastAsia="Batang"/>
          <w:lang w:eastAsia="ko-KR"/>
        </w:rPr>
        <w:t xml:space="preserve">ll comments received by the Department may be released in response to a request for public records. </w:t>
      </w:r>
    </w:p>
    <w:p w14:paraId="7EF75E75" w14:textId="77777777" w:rsidR="007A118D" w:rsidRPr="00835550" w:rsidRDefault="007A118D" w:rsidP="007A118D">
      <w:pPr>
        <w:jc w:val="both"/>
        <w:rPr>
          <w:szCs w:val="24"/>
        </w:rPr>
      </w:pPr>
    </w:p>
    <w:p w14:paraId="72EFA304" w14:textId="77777777" w:rsidR="007A118D" w:rsidRPr="00835550" w:rsidRDefault="007A118D" w:rsidP="06313FF9">
      <w:pPr>
        <w:rPr>
          <w:rFonts w:eastAsia="Calibri"/>
        </w:rPr>
      </w:pPr>
      <w:bookmarkStart w:id="2" w:name="_Hlk165560417"/>
      <w:r w:rsidRPr="06313FF9">
        <w:rPr>
          <w:rFonts w:eastAsia="Calibri"/>
        </w:rPr>
        <w:t>If you are deaf or hard of hearing, or are a person with a disability who requires accommodation, please contact Stacy Hart at least 5 days before the hearing at Tel #</w:t>
      </w:r>
      <w:r w:rsidRPr="06313FF9">
        <w:rPr>
          <w:rFonts w:eastAsia="Calibri"/>
          <w:b/>
          <w:bCs/>
        </w:rPr>
        <w:t>857-274-1120</w:t>
      </w:r>
      <w:r w:rsidRPr="06313FF9">
        <w:rPr>
          <w:rFonts w:eastAsia="Calibri"/>
        </w:rPr>
        <w:t xml:space="preserve">, or email </w:t>
      </w:r>
      <w:hyperlink r:id="rId11">
        <w:r w:rsidRPr="06313FF9">
          <w:rPr>
            <w:rStyle w:val="Hyperlink"/>
            <w:rFonts w:eastAsia="Calibri"/>
          </w:rPr>
          <w:t>Stacy.Hart@mass.gov</w:t>
        </w:r>
      </w:hyperlink>
      <w:r w:rsidRPr="06313FF9">
        <w:rPr>
          <w:rFonts w:eastAsia="Calibri"/>
        </w:rPr>
        <w:t>.</w:t>
      </w:r>
    </w:p>
    <w:bookmarkEnd w:id="2"/>
    <w:p w14:paraId="6E4DBBAC" w14:textId="77777777" w:rsidR="007A118D" w:rsidRPr="00835550" w:rsidRDefault="007A118D" w:rsidP="007A118D">
      <w:pPr>
        <w:rPr>
          <w:rFonts w:eastAsia="Calibri"/>
          <w:szCs w:val="24"/>
        </w:rPr>
      </w:pPr>
    </w:p>
    <w:p w14:paraId="3822F0FE" w14:textId="4DAE8CAB" w:rsidR="006048F5" w:rsidRPr="007A118D" w:rsidRDefault="007A118D" w:rsidP="007A118D">
      <w:pPr>
        <w:shd w:val="clear" w:color="auto" w:fill="FFFFFF"/>
        <w:spacing w:after="240"/>
        <w:jc w:val="center"/>
        <w:rPr>
          <w:rFonts w:ascii="Arial" w:hAnsi="Arial" w:cs="Arial"/>
          <w:color w:val="222222"/>
          <w:sz w:val="20"/>
        </w:rPr>
      </w:pPr>
      <w:r w:rsidRPr="00C06E74">
        <w:rPr>
          <w:rFonts w:ascii="Arial" w:hAnsi="Arial" w:cs="Arial"/>
          <w:noProof/>
          <w:color w:val="222222"/>
          <w:sz w:val="22"/>
          <w:szCs w:val="22"/>
        </w:rPr>
        <w:drawing>
          <wp:inline distT="0" distB="0" distL="0" distR="0" wp14:anchorId="3C507757" wp14:editId="75FF1FDD">
            <wp:extent cx="3300095" cy="679450"/>
            <wp:effectExtent l="0" t="0" r="0" b="6350"/>
            <wp:docPr id="1658828806" name="Picture 1" descr="Five white accessibility icons on a black background: 1) A keyboard with a telephone handset on top, representing the availability of a TTY/telecommunications device for the Deaf on site. 2) Hands signing, representing the availability of sign language interpreters. 3) Six dots forming a full Braille cell with the word Braille underneath, representing the availability of Braille materials. 4) A person sitting in a wheelchair, representing wheelchair accessibility. 5) A telephone handset with sound wa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ve white accessibility icons on a black background: 1) A keyboard with a telephone handset on top, representing the availability of a TTY/telecommunications device for the Deaf on site. 2) Hands signing, representing the availability of sign language interpreters. 3) Six dots forming a full Braille cell with the word Braille underneath, representing the availability of Braille materials. 4) A person sitting in a wheelchair, representing wheelchair accessibility. 5) A telephone handset with sound wave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00095" cy="679450"/>
                    </a:xfrm>
                    <a:prstGeom prst="rect">
                      <a:avLst/>
                    </a:prstGeom>
                    <a:noFill/>
                    <a:ln>
                      <a:noFill/>
                    </a:ln>
                  </pic:spPr>
                </pic:pic>
              </a:graphicData>
            </a:graphic>
          </wp:inline>
        </w:drawing>
      </w:r>
    </w:p>
    <w:sectPr w:rsidR="006048F5" w:rsidRPr="007A118D"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67724"/>
    <w:multiLevelType w:val="hybridMultilevel"/>
    <w:tmpl w:val="F378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CA29E7"/>
    <w:multiLevelType w:val="multilevel"/>
    <w:tmpl w:val="9A58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3614376">
    <w:abstractNumId w:val="0"/>
  </w:num>
  <w:num w:numId="2" w16cid:durableId="1626813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4635"/>
    <w:rsid w:val="000164B3"/>
    <w:rsid w:val="00033154"/>
    <w:rsid w:val="00042048"/>
    <w:rsid w:val="000537DA"/>
    <w:rsid w:val="000A1DE1"/>
    <w:rsid w:val="000B7D96"/>
    <w:rsid w:val="000C2E20"/>
    <w:rsid w:val="000F315B"/>
    <w:rsid w:val="001125C0"/>
    <w:rsid w:val="0015268B"/>
    <w:rsid w:val="0015709E"/>
    <w:rsid w:val="0017749A"/>
    <w:rsid w:val="00177C77"/>
    <w:rsid w:val="00193A72"/>
    <w:rsid w:val="001A4D65"/>
    <w:rsid w:val="001A7E66"/>
    <w:rsid w:val="001B6693"/>
    <w:rsid w:val="0021698C"/>
    <w:rsid w:val="00237280"/>
    <w:rsid w:val="002514AC"/>
    <w:rsid w:val="00260D54"/>
    <w:rsid w:val="002621EA"/>
    <w:rsid w:val="00276957"/>
    <w:rsid w:val="00276DCC"/>
    <w:rsid w:val="00282671"/>
    <w:rsid w:val="0028424E"/>
    <w:rsid w:val="002A132F"/>
    <w:rsid w:val="002D1C21"/>
    <w:rsid w:val="002E2CCD"/>
    <w:rsid w:val="00301022"/>
    <w:rsid w:val="00357A68"/>
    <w:rsid w:val="00375EAD"/>
    <w:rsid w:val="00385812"/>
    <w:rsid w:val="003872CD"/>
    <w:rsid w:val="00392D0B"/>
    <w:rsid w:val="003A7AFC"/>
    <w:rsid w:val="003B565F"/>
    <w:rsid w:val="003C60EF"/>
    <w:rsid w:val="003D2181"/>
    <w:rsid w:val="0043581E"/>
    <w:rsid w:val="00475C20"/>
    <w:rsid w:val="004813AC"/>
    <w:rsid w:val="00483D06"/>
    <w:rsid w:val="004B37A0"/>
    <w:rsid w:val="004B5CFB"/>
    <w:rsid w:val="004C0EE3"/>
    <w:rsid w:val="004D3BE7"/>
    <w:rsid w:val="004D6B39"/>
    <w:rsid w:val="004E0C3F"/>
    <w:rsid w:val="00512956"/>
    <w:rsid w:val="00513005"/>
    <w:rsid w:val="00530145"/>
    <w:rsid w:val="005448AA"/>
    <w:rsid w:val="005659B7"/>
    <w:rsid w:val="00572A6E"/>
    <w:rsid w:val="00587E83"/>
    <w:rsid w:val="005B4BE5"/>
    <w:rsid w:val="006048F5"/>
    <w:rsid w:val="006568D1"/>
    <w:rsid w:val="0069155B"/>
    <w:rsid w:val="006D06D9"/>
    <w:rsid w:val="006D77A6"/>
    <w:rsid w:val="00702109"/>
    <w:rsid w:val="007210FB"/>
    <w:rsid w:val="0072610D"/>
    <w:rsid w:val="007359C3"/>
    <w:rsid w:val="00757006"/>
    <w:rsid w:val="007619BF"/>
    <w:rsid w:val="00771FEB"/>
    <w:rsid w:val="007837D4"/>
    <w:rsid w:val="007A118D"/>
    <w:rsid w:val="007B3F4B"/>
    <w:rsid w:val="007B7347"/>
    <w:rsid w:val="007D10F3"/>
    <w:rsid w:val="007D1D51"/>
    <w:rsid w:val="007E06B4"/>
    <w:rsid w:val="007E7C87"/>
    <w:rsid w:val="007F3CDB"/>
    <w:rsid w:val="00802852"/>
    <w:rsid w:val="008177CB"/>
    <w:rsid w:val="00830A33"/>
    <w:rsid w:val="008375F9"/>
    <w:rsid w:val="00843BC5"/>
    <w:rsid w:val="00850407"/>
    <w:rsid w:val="0088305B"/>
    <w:rsid w:val="008F3108"/>
    <w:rsid w:val="00951305"/>
    <w:rsid w:val="009730E5"/>
    <w:rsid w:val="009908FF"/>
    <w:rsid w:val="009924EF"/>
    <w:rsid w:val="00995505"/>
    <w:rsid w:val="009C4428"/>
    <w:rsid w:val="009D48CD"/>
    <w:rsid w:val="00A20F68"/>
    <w:rsid w:val="00A5547C"/>
    <w:rsid w:val="00A65101"/>
    <w:rsid w:val="00A75AA3"/>
    <w:rsid w:val="00AC4070"/>
    <w:rsid w:val="00B33BAD"/>
    <w:rsid w:val="00B3650C"/>
    <w:rsid w:val="00B36A52"/>
    <w:rsid w:val="00B403BF"/>
    <w:rsid w:val="00B474B3"/>
    <w:rsid w:val="00B608D9"/>
    <w:rsid w:val="00BA15C5"/>
    <w:rsid w:val="00BA4055"/>
    <w:rsid w:val="00BA7FB6"/>
    <w:rsid w:val="00BB0C86"/>
    <w:rsid w:val="00BE5BC4"/>
    <w:rsid w:val="00C20BFE"/>
    <w:rsid w:val="00C440E9"/>
    <w:rsid w:val="00C451F5"/>
    <w:rsid w:val="00C45E47"/>
    <w:rsid w:val="00C46D29"/>
    <w:rsid w:val="00C471F3"/>
    <w:rsid w:val="00CC1778"/>
    <w:rsid w:val="00CD5946"/>
    <w:rsid w:val="00CE575B"/>
    <w:rsid w:val="00CF3DE8"/>
    <w:rsid w:val="00D0493F"/>
    <w:rsid w:val="00D10DDE"/>
    <w:rsid w:val="00D21C19"/>
    <w:rsid w:val="00D2308A"/>
    <w:rsid w:val="00D56F91"/>
    <w:rsid w:val="00D6652C"/>
    <w:rsid w:val="00D76119"/>
    <w:rsid w:val="00D8671C"/>
    <w:rsid w:val="00D86924"/>
    <w:rsid w:val="00D91390"/>
    <w:rsid w:val="00DA57C3"/>
    <w:rsid w:val="00DC3855"/>
    <w:rsid w:val="00E242A8"/>
    <w:rsid w:val="00E274B8"/>
    <w:rsid w:val="00E70D1A"/>
    <w:rsid w:val="00E72707"/>
    <w:rsid w:val="00E814A1"/>
    <w:rsid w:val="00E92038"/>
    <w:rsid w:val="00EE3732"/>
    <w:rsid w:val="00EE54AB"/>
    <w:rsid w:val="00EF0780"/>
    <w:rsid w:val="00F0586E"/>
    <w:rsid w:val="00F43932"/>
    <w:rsid w:val="00FA575E"/>
    <w:rsid w:val="00FC6B42"/>
    <w:rsid w:val="06313FF9"/>
    <w:rsid w:val="1ADBF3D6"/>
    <w:rsid w:val="248A1D21"/>
    <w:rsid w:val="407B6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297D066D-A8A7-4046-841F-92EA9A23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BodyTextIndent">
    <w:name w:val="Body Text Indent"/>
    <w:basedOn w:val="Normal"/>
    <w:link w:val="BodyTextIndentChar"/>
    <w:rsid w:val="006048F5"/>
    <w:pPr>
      <w:ind w:firstLine="720"/>
    </w:pPr>
  </w:style>
  <w:style w:type="character" w:customStyle="1" w:styleId="BodyTextIndentChar">
    <w:name w:val="Body Text Indent Char"/>
    <w:basedOn w:val="DefaultParagraphFont"/>
    <w:link w:val="BodyTextIndent"/>
    <w:rsid w:val="006048F5"/>
    <w:rPr>
      <w:sz w:val="24"/>
    </w:rPr>
  </w:style>
  <w:style w:type="character" w:styleId="CommentReference">
    <w:name w:val="annotation reference"/>
    <w:basedOn w:val="DefaultParagraphFont"/>
    <w:rsid w:val="006048F5"/>
    <w:rPr>
      <w:sz w:val="16"/>
      <w:szCs w:val="16"/>
    </w:rPr>
  </w:style>
  <w:style w:type="paragraph" w:styleId="CommentText">
    <w:name w:val="annotation text"/>
    <w:basedOn w:val="Normal"/>
    <w:link w:val="CommentTextChar"/>
    <w:rsid w:val="006048F5"/>
    <w:rPr>
      <w:sz w:val="20"/>
    </w:rPr>
  </w:style>
  <w:style w:type="character" w:customStyle="1" w:styleId="CommentTextChar">
    <w:name w:val="Comment Text Char"/>
    <w:basedOn w:val="DefaultParagraphFont"/>
    <w:link w:val="CommentText"/>
    <w:rsid w:val="00604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acy.Hart@mass.gov" TargetMode="External"/><Relationship Id="rId5" Type="http://schemas.openxmlformats.org/officeDocument/2006/relationships/styles" Target="styles.xml"/><Relationship Id="rId10" Type="http://schemas.openxmlformats.org/officeDocument/2006/relationships/hyperlink" Target="mailto:Reg.Testimony@mass.gov" TargetMode="External"/><Relationship Id="rId4" Type="http://schemas.openxmlformats.org/officeDocument/2006/relationships/numbering" Target="numbering.xml"/><Relationship Id="rId9" Type="http://schemas.openxmlformats.org/officeDocument/2006/relationships/hyperlink" Target="http://mass.gov/dph/proposed-regulation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9DC3FCF1D95A4296280FDD585B34ED" ma:contentTypeVersion="14" ma:contentTypeDescription="Create a new document." ma:contentTypeScope="" ma:versionID="62a3bf9aa89a4160d92c7fc05e434e83">
  <xsd:schema xmlns:xsd="http://www.w3.org/2001/XMLSchema" xmlns:xs="http://www.w3.org/2001/XMLSchema" xmlns:p="http://schemas.microsoft.com/office/2006/metadata/properties" xmlns:ns2="f13819f2-5213-4568-af44-8c751c038541" xmlns:ns3="282cd75b-23e5-4a6a-a05b-a5bacdda3bfd" targetNamespace="http://schemas.microsoft.com/office/2006/metadata/properties" ma:root="true" ma:fieldsID="667169ac13fea388a8023292b5603d85" ns2:_="" ns3:_="">
    <xsd:import namespace="f13819f2-5213-4568-af44-8c751c038541"/>
    <xsd:import namespace="282cd75b-23e5-4a6a-a05b-a5bacdda3b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3819f2-5213-4568-af44-8c751c038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2cd75b-23e5-4a6a-a05b-a5bacdda3b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31edf6e-2d4e-4939-936e-4d63e521f73f}" ma:internalName="TaxCatchAll" ma:showField="CatchAllData" ma:web="282cd75b-23e5-4a6a-a05b-a5bacdda3b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2cd75b-23e5-4a6a-a05b-a5bacdda3bfd" xsi:nil="true"/>
    <lcf76f155ced4ddcb4097134ff3c332f xmlns="f13819f2-5213-4568-af44-8c751c03854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90FDE-3C66-4069-8D96-D4F609E1B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3819f2-5213-4568-af44-8c751c038541"/>
    <ds:schemaRef ds:uri="282cd75b-23e5-4a6a-a05b-a5bacdda3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282cd75b-23e5-4a6a-a05b-a5bacdda3bfd"/>
    <ds:schemaRef ds:uri="f13819f2-5213-4568-af44-8c751c038541"/>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2</Pages>
  <Words>537</Words>
  <Characters>3061</Characters>
  <Application>Microsoft Office Word</Application>
  <DocSecurity>0</DocSecurity>
  <Lines>25</Lines>
  <Paragraphs>7</Paragraphs>
  <ScaleCrop>false</ScaleCrop>
  <Company>Commonwealth of Massachusetts</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2015-01-29T17:50:00Z</cp:lastPrinted>
  <dcterms:created xsi:type="dcterms:W3CDTF">2026-03-25T16:46:00Z</dcterms:created>
  <dcterms:modified xsi:type="dcterms:W3CDTF">2026-03-25T16:46:00Z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0x0101000A9DC3FCF1D95A4296280FDD585B34ED</vt:lpwstr>
  </property>
</Properties>
</file>