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C22A95" w:rsidRDefault="00C22A95" w:rsidP="00385FC7">
      <w:pPr>
        <w:pStyle w:val="ExecOffice"/>
        <w:framePr w:w="7556" w:wrap="notBeside" w:vAnchor="page" w:x="2526" w:y="1261"/>
      </w:pPr>
    </w:p>
    <w:p w:rsidR="00B47152" w:rsidRDefault="00511BE1"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511BE1"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511BE1" w:rsidP="0072610D">
      <w:r>
        <w:rPr>
          <w:noProof/>
          <w:sz w:val="22"/>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1152525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377ADC" w:rsidP="00511BE1">
                            <w:pPr>
                              <w:pStyle w:val="ExecOffice"/>
                              <w:rPr>
                                <w:rStyle w:val="Strong"/>
                                <w:rFonts w:cs="Arial"/>
                                <w:sz w:val="22"/>
                                <w:szCs w:val="22"/>
                              </w:rPr>
                            </w:pPr>
                            <w:hyperlink r:id="rId9" w:history="1">
                              <w:r w:rsidR="00511BE1" w:rsidRPr="00511BE1">
                                <w:rPr>
                                  <w:rStyle w:val="Hyperlink"/>
                                  <w:rFonts w:cs="Arial"/>
                                  <w:sz w:val="22"/>
                                  <w:szCs w:val="22"/>
                                </w:rPr>
                                <w:t>www.mass.gov/dph/epi</w:t>
                              </w:r>
                            </w:hyperlink>
                          </w:p>
                          <w:p w:rsidR="00511BE1" w:rsidRDefault="00377ADC" w:rsidP="00511BE1">
                            <w:pPr>
                              <w:jc w:val="center"/>
                            </w:pPr>
                            <w:hyperlink r:id="rId10" w:history="1">
                              <w:r w:rsidR="00511BE1"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90.75pt;width:262.5pt;height:8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hAIAABc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" stroked="f">
                <v:textbo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954F51" w:rsidP="00511BE1">
                      <w:pPr>
                        <w:pStyle w:val="ExecOffice"/>
                        <w:rPr>
                          <w:rStyle w:val="Strong"/>
                          <w:rFonts w:cs="Arial"/>
                          <w:sz w:val="22"/>
                          <w:szCs w:val="22"/>
                        </w:rPr>
                      </w:pPr>
                      <w:hyperlink r:id="rId11" w:history="1">
                        <w:r w:rsidR="00511BE1" w:rsidRPr="00511BE1">
                          <w:rPr>
                            <w:rStyle w:val="Hyperlink"/>
                            <w:rFonts w:cs="Arial"/>
                            <w:sz w:val="22"/>
                            <w:szCs w:val="22"/>
                          </w:rPr>
                          <w:t>www.mass.gov/dph/epi</w:t>
                        </w:r>
                      </w:hyperlink>
                    </w:p>
                    <w:p w:rsidR="00511BE1" w:rsidRDefault="00954F51" w:rsidP="00511BE1">
                      <w:pPr>
                        <w:jc w:val="center"/>
                      </w:pPr>
                      <w:hyperlink r:id="rId12" w:history="1">
                        <w:r w:rsidR="00511BE1" w:rsidRPr="00511BE1">
                          <w:rPr>
                            <w:rStyle w:val="Hyperlink"/>
                            <w:rFonts w:ascii="Arial" w:hAnsi="Arial" w:cs="Arial"/>
                            <w:sz w:val="22"/>
                            <w:szCs w:val="22"/>
                          </w:rPr>
                          <w:t>www.mass.gov/dph/imm</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ygQ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Pr="006217E2" w:rsidRDefault="00B47152" w:rsidP="006217E2">
      <w:pPr>
        <w:rPr>
          <w:b/>
          <w:color w:val="FF0000"/>
          <w:sz w:val="22"/>
          <w:szCs w:val="22"/>
        </w:rPr>
      </w:pPr>
    </w:p>
    <w:p w:rsidR="00E36DA8" w:rsidRDefault="00E36DA8" w:rsidP="0072610D">
      <w:pPr>
        <w:rPr>
          <w:rFonts w:ascii="Arial" w:hAnsi="Arial" w:cs="Arial"/>
          <w:sz w:val="22"/>
          <w:szCs w:val="22"/>
        </w:rPr>
      </w:pPr>
    </w:p>
    <w:p w:rsidR="00B47152" w:rsidRDefault="00A007B5" w:rsidP="0072610D">
      <w:pPr>
        <w:rPr>
          <w:rFonts w:ascii="Arial" w:hAnsi="Arial" w:cs="Arial"/>
          <w:sz w:val="22"/>
          <w:szCs w:val="22"/>
        </w:rPr>
      </w:pPr>
      <w:r>
        <w:rPr>
          <w:rFonts w:ascii="Arial" w:hAnsi="Arial" w:cs="Arial"/>
          <w:sz w:val="22"/>
          <w:szCs w:val="22"/>
        </w:rPr>
        <w:t>From:</w:t>
      </w:r>
      <w:r>
        <w:rPr>
          <w:rFonts w:ascii="Arial" w:hAnsi="Arial" w:cs="Arial"/>
          <w:sz w:val="22"/>
          <w:szCs w:val="22"/>
        </w:rPr>
        <w:tab/>
      </w:r>
      <w:r>
        <w:rPr>
          <w:rFonts w:ascii="Arial" w:hAnsi="Arial" w:cs="Arial"/>
          <w:sz w:val="22"/>
          <w:szCs w:val="22"/>
        </w:rPr>
        <w:tab/>
        <w:t>Pejman Talebian, MA, MPH, Director</w:t>
      </w:r>
    </w:p>
    <w:p w:rsidR="00A007B5" w:rsidRDefault="00A007B5" w:rsidP="0072610D">
      <w:pPr>
        <w:rPr>
          <w:rFonts w:ascii="Arial" w:hAnsi="Arial" w:cs="Arial"/>
          <w:sz w:val="22"/>
          <w:szCs w:val="22"/>
        </w:rPr>
      </w:pPr>
      <w:r>
        <w:rPr>
          <w:rFonts w:ascii="Arial" w:hAnsi="Arial" w:cs="Arial"/>
          <w:sz w:val="22"/>
          <w:szCs w:val="22"/>
        </w:rPr>
        <w:tab/>
      </w:r>
      <w:r>
        <w:rPr>
          <w:rFonts w:ascii="Arial" w:hAnsi="Arial" w:cs="Arial"/>
          <w:sz w:val="22"/>
          <w:szCs w:val="22"/>
        </w:rPr>
        <w:tab/>
        <w:t>Immunization Program</w:t>
      </w:r>
    </w:p>
    <w:p w:rsidR="004F3D39" w:rsidRPr="00B3213A" w:rsidRDefault="004F3D39" w:rsidP="004F3D39">
      <w:pPr>
        <w:ind w:left="1440"/>
        <w:rPr>
          <w:rFonts w:ascii="Arial" w:hAnsi="Arial" w:cs="Arial"/>
          <w:sz w:val="12"/>
          <w:szCs w:val="12"/>
        </w:rPr>
      </w:pPr>
    </w:p>
    <w:p w:rsidR="004F3D39" w:rsidRPr="00161AA3" w:rsidRDefault="004F3D39" w:rsidP="004F3D39">
      <w:pPr>
        <w:ind w:left="1440"/>
        <w:rPr>
          <w:rFonts w:ascii="Arial" w:hAnsi="Arial" w:cs="Arial"/>
          <w:sz w:val="22"/>
          <w:szCs w:val="22"/>
        </w:rPr>
      </w:pPr>
      <w:r w:rsidRPr="00161AA3">
        <w:rPr>
          <w:rFonts w:ascii="Arial" w:hAnsi="Arial" w:cs="Arial"/>
          <w:sz w:val="22"/>
          <w:szCs w:val="22"/>
        </w:rPr>
        <w:t>Susan M. Lett, MD, MPH</w:t>
      </w:r>
      <w:r w:rsidR="00B3213A" w:rsidRPr="00161AA3">
        <w:rPr>
          <w:rFonts w:ascii="Arial" w:hAnsi="Arial" w:cs="Arial"/>
          <w:sz w:val="22"/>
          <w:szCs w:val="22"/>
        </w:rPr>
        <w:t>, Medical Director</w:t>
      </w:r>
    </w:p>
    <w:p w:rsidR="004F3D39" w:rsidRPr="00161AA3" w:rsidRDefault="004F3D39" w:rsidP="004F3D39">
      <w:pPr>
        <w:ind w:left="1440"/>
        <w:rPr>
          <w:rFonts w:ascii="Arial" w:hAnsi="Arial" w:cs="Arial"/>
          <w:sz w:val="22"/>
          <w:szCs w:val="22"/>
        </w:rPr>
      </w:pPr>
      <w:r w:rsidRPr="00161AA3">
        <w:rPr>
          <w:rFonts w:ascii="Arial" w:hAnsi="Arial" w:cs="Arial"/>
          <w:sz w:val="22"/>
          <w:szCs w:val="22"/>
        </w:rPr>
        <w:t>Immunization Program</w:t>
      </w:r>
    </w:p>
    <w:p w:rsidR="00A007B5" w:rsidRPr="00161AA3" w:rsidRDefault="00A007B5" w:rsidP="0072610D">
      <w:pPr>
        <w:rPr>
          <w:rFonts w:ascii="Arial" w:hAnsi="Arial" w:cs="Arial"/>
          <w:sz w:val="16"/>
          <w:szCs w:val="16"/>
        </w:rPr>
      </w:pPr>
    </w:p>
    <w:p w:rsidR="00A007B5" w:rsidRPr="00161AA3" w:rsidRDefault="00A007B5" w:rsidP="0072610D">
      <w:pPr>
        <w:rPr>
          <w:rFonts w:ascii="Arial" w:hAnsi="Arial" w:cs="Arial"/>
          <w:sz w:val="22"/>
          <w:szCs w:val="22"/>
        </w:rPr>
      </w:pPr>
      <w:r w:rsidRPr="00161AA3">
        <w:rPr>
          <w:rFonts w:ascii="Arial" w:hAnsi="Arial" w:cs="Arial"/>
          <w:sz w:val="22"/>
          <w:szCs w:val="22"/>
        </w:rPr>
        <w:t>Date:</w:t>
      </w:r>
      <w:r w:rsidRPr="00161AA3">
        <w:rPr>
          <w:rFonts w:ascii="Arial" w:hAnsi="Arial" w:cs="Arial"/>
          <w:sz w:val="22"/>
          <w:szCs w:val="22"/>
        </w:rPr>
        <w:tab/>
      </w:r>
      <w:r w:rsidRPr="00161AA3">
        <w:rPr>
          <w:rFonts w:ascii="Arial" w:hAnsi="Arial" w:cs="Arial"/>
          <w:sz w:val="22"/>
          <w:szCs w:val="22"/>
        </w:rPr>
        <w:tab/>
      </w:r>
      <w:r w:rsidR="0058397E">
        <w:rPr>
          <w:rFonts w:ascii="Arial" w:hAnsi="Arial" w:cs="Arial"/>
          <w:sz w:val="22"/>
          <w:szCs w:val="22"/>
        </w:rPr>
        <w:t xml:space="preserve">April 27, </w:t>
      </w:r>
      <w:r w:rsidR="00B9757A" w:rsidRPr="00161AA3">
        <w:rPr>
          <w:rFonts w:ascii="Arial" w:hAnsi="Arial" w:cs="Arial"/>
          <w:sz w:val="22"/>
          <w:szCs w:val="22"/>
        </w:rPr>
        <w:t>2017</w:t>
      </w:r>
    </w:p>
    <w:p w:rsidR="00A007B5" w:rsidRPr="00161AA3" w:rsidRDefault="00A007B5" w:rsidP="0072610D">
      <w:pPr>
        <w:rPr>
          <w:rFonts w:ascii="Arial" w:hAnsi="Arial" w:cs="Arial"/>
          <w:sz w:val="16"/>
          <w:szCs w:val="16"/>
          <w:vertAlign w:val="subscript"/>
        </w:rPr>
      </w:pPr>
    </w:p>
    <w:p w:rsidR="00A007B5" w:rsidRPr="00161AA3" w:rsidRDefault="00A007B5" w:rsidP="0072610D">
      <w:pPr>
        <w:rPr>
          <w:rFonts w:ascii="Arial" w:hAnsi="Arial" w:cs="Arial"/>
          <w:sz w:val="22"/>
          <w:szCs w:val="22"/>
        </w:rPr>
      </w:pPr>
      <w:r w:rsidRPr="00161AA3">
        <w:rPr>
          <w:rFonts w:ascii="Arial" w:hAnsi="Arial" w:cs="Arial"/>
          <w:sz w:val="22"/>
          <w:szCs w:val="22"/>
        </w:rPr>
        <w:t>Subject:</w:t>
      </w:r>
      <w:r w:rsidRPr="00161AA3">
        <w:rPr>
          <w:rFonts w:ascii="Arial" w:hAnsi="Arial" w:cs="Arial"/>
          <w:sz w:val="22"/>
          <w:szCs w:val="22"/>
        </w:rPr>
        <w:tab/>
        <w:t xml:space="preserve">Availability of </w:t>
      </w:r>
      <w:r w:rsidR="00B9757A" w:rsidRPr="00161AA3">
        <w:rPr>
          <w:rFonts w:ascii="Arial" w:hAnsi="Arial" w:cs="Arial"/>
          <w:sz w:val="22"/>
          <w:szCs w:val="22"/>
        </w:rPr>
        <w:t>Quadracel</w:t>
      </w:r>
      <w:r w:rsidRPr="00161AA3">
        <w:rPr>
          <w:rFonts w:ascii="Arial" w:hAnsi="Arial" w:cs="Arial"/>
          <w:sz w:val="22"/>
          <w:szCs w:val="22"/>
          <w:vertAlign w:val="superscript"/>
        </w:rPr>
        <w:t>®</w:t>
      </w:r>
      <w:r w:rsidRPr="00161AA3">
        <w:rPr>
          <w:rFonts w:ascii="Arial" w:hAnsi="Arial" w:cs="Arial"/>
          <w:sz w:val="22"/>
          <w:szCs w:val="22"/>
        </w:rPr>
        <w:t xml:space="preserve"> </w:t>
      </w:r>
      <w:r w:rsidR="00296EFA" w:rsidRPr="00161AA3">
        <w:rPr>
          <w:rFonts w:ascii="Arial" w:hAnsi="Arial" w:cs="Arial"/>
          <w:sz w:val="22"/>
          <w:szCs w:val="22"/>
        </w:rPr>
        <w:t xml:space="preserve">(DTaP-IPV) </w:t>
      </w:r>
      <w:r w:rsidRPr="00161AA3">
        <w:rPr>
          <w:rFonts w:ascii="Arial" w:hAnsi="Arial" w:cs="Arial"/>
          <w:sz w:val="22"/>
          <w:szCs w:val="22"/>
        </w:rPr>
        <w:t>Vaccine</w:t>
      </w:r>
      <w:r w:rsidR="0052287E" w:rsidRPr="00161AA3">
        <w:rPr>
          <w:rFonts w:ascii="Arial" w:hAnsi="Arial" w:cs="Arial"/>
          <w:sz w:val="22"/>
          <w:szCs w:val="22"/>
        </w:rPr>
        <w:t xml:space="preserve"> and Recommendations for Use</w:t>
      </w:r>
    </w:p>
    <w:p w:rsidR="00A007B5" w:rsidRPr="00161AA3" w:rsidRDefault="00A007B5" w:rsidP="0072610D">
      <w:pPr>
        <w:pBdr>
          <w:bottom w:val="single" w:sz="12" w:space="1" w:color="auto"/>
        </w:pBdr>
        <w:rPr>
          <w:rFonts w:ascii="Arial" w:hAnsi="Arial" w:cs="Arial"/>
          <w:sz w:val="16"/>
          <w:szCs w:val="16"/>
        </w:rPr>
      </w:pPr>
    </w:p>
    <w:p w:rsidR="00A007B5" w:rsidRPr="00161AA3" w:rsidRDefault="00A007B5" w:rsidP="0072610D">
      <w:pPr>
        <w:rPr>
          <w:rFonts w:ascii="Arial" w:hAnsi="Arial" w:cs="Arial"/>
          <w:sz w:val="16"/>
          <w:szCs w:val="16"/>
        </w:rPr>
      </w:pPr>
    </w:p>
    <w:p w:rsidR="00A805C6" w:rsidRPr="00161AA3" w:rsidRDefault="00B9757A" w:rsidP="0072610D">
      <w:pPr>
        <w:rPr>
          <w:rFonts w:asciiTheme="minorHAnsi" w:hAnsiTheme="minorHAnsi" w:cs="Arial"/>
          <w:szCs w:val="24"/>
        </w:rPr>
      </w:pPr>
      <w:r w:rsidRPr="00161AA3">
        <w:rPr>
          <w:rFonts w:asciiTheme="minorHAnsi" w:hAnsiTheme="minorHAnsi" w:cs="Arial"/>
          <w:szCs w:val="24"/>
        </w:rPr>
        <w:t>T</w:t>
      </w:r>
      <w:r w:rsidR="00A007B5" w:rsidRPr="00161AA3">
        <w:rPr>
          <w:rFonts w:asciiTheme="minorHAnsi" w:hAnsiTheme="minorHAnsi" w:cs="Arial"/>
          <w:szCs w:val="24"/>
        </w:rPr>
        <w:t xml:space="preserve">he Massachusetts Department of Public Health (MDPH) is pleased to offer brand choice for </w:t>
      </w:r>
      <w:r w:rsidR="00296EFA" w:rsidRPr="00161AA3">
        <w:rPr>
          <w:rFonts w:asciiTheme="minorHAnsi" w:hAnsiTheme="minorHAnsi" w:cs="Arial"/>
          <w:szCs w:val="24"/>
        </w:rPr>
        <w:t>combination DTaP</w:t>
      </w:r>
      <w:r w:rsidRPr="00161AA3">
        <w:rPr>
          <w:rFonts w:asciiTheme="minorHAnsi" w:hAnsiTheme="minorHAnsi" w:cs="Arial"/>
          <w:szCs w:val="24"/>
        </w:rPr>
        <w:t>-IPV vaccines.  In addition to Kinrix</w:t>
      </w:r>
      <w:r w:rsidR="00F203EE" w:rsidRPr="00161AA3">
        <w:rPr>
          <w:rFonts w:asciiTheme="minorHAnsi" w:hAnsiTheme="minorHAnsi" w:cs="Arial"/>
          <w:szCs w:val="24"/>
          <w:vertAlign w:val="superscript"/>
        </w:rPr>
        <w:t>®</w:t>
      </w:r>
      <w:r w:rsidR="00D50233" w:rsidRPr="00161AA3">
        <w:rPr>
          <w:rFonts w:asciiTheme="minorHAnsi" w:hAnsiTheme="minorHAnsi" w:cs="Arial"/>
          <w:szCs w:val="24"/>
        </w:rPr>
        <w:t xml:space="preserve"> (DTaP-IPV)</w:t>
      </w:r>
      <w:r w:rsidRPr="00161AA3">
        <w:rPr>
          <w:rFonts w:asciiTheme="minorHAnsi" w:hAnsiTheme="minorHAnsi" w:cs="Arial"/>
          <w:szCs w:val="24"/>
        </w:rPr>
        <w:t xml:space="preserve"> vaccine</w:t>
      </w:r>
      <w:r w:rsidR="00F203EE" w:rsidRPr="00161AA3">
        <w:rPr>
          <w:rFonts w:asciiTheme="minorHAnsi" w:hAnsiTheme="minorHAnsi" w:cs="Arial"/>
          <w:szCs w:val="24"/>
        </w:rPr>
        <w:t xml:space="preserve"> manufactured by GlaxoSmithKline</w:t>
      </w:r>
      <w:r w:rsidRPr="00161AA3">
        <w:rPr>
          <w:rFonts w:asciiTheme="minorHAnsi" w:hAnsiTheme="minorHAnsi" w:cs="Arial"/>
          <w:szCs w:val="24"/>
        </w:rPr>
        <w:t>, Quadracel</w:t>
      </w:r>
      <w:r w:rsidR="00296EFA" w:rsidRPr="00161AA3">
        <w:rPr>
          <w:rFonts w:asciiTheme="minorHAnsi" w:hAnsiTheme="minorHAnsi" w:cs="Arial"/>
          <w:szCs w:val="24"/>
          <w:vertAlign w:val="superscript"/>
        </w:rPr>
        <w:t>®</w:t>
      </w:r>
      <w:r w:rsidR="00D50233" w:rsidRPr="00161AA3">
        <w:rPr>
          <w:rFonts w:asciiTheme="minorHAnsi" w:hAnsiTheme="minorHAnsi" w:cs="Arial"/>
          <w:szCs w:val="24"/>
          <w:vertAlign w:val="superscript"/>
        </w:rPr>
        <w:t xml:space="preserve"> </w:t>
      </w:r>
      <w:r w:rsidR="00D50233" w:rsidRPr="00161AA3">
        <w:rPr>
          <w:rFonts w:asciiTheme="minorHAnsi" w:hAnsiTheme="minorHAnsi" w:cs="Arial"/>
          <w:szCs w:val="24"/>
        </w:rPr>
        <w:t>(DTaP</w:t>
      </w:r>
      <w:r w:rsidR="00AF5D17" w:rsidRPr="00161AA3">
        <w:rPr>
          <w:rFonts w:asciiTheme="minorHAnsi" w:hAnsiTheme="minorHAnsi" w:cs="Arial"/>
          <w:szCs w:val="24"/>
        </w:rPr>
        <w:t>-IPV</w:t>
      </w:r>
      <w:r w:rsidR="00D50233" w:rsidRPr="00161AA3">
        <w:rPr>
          <w:rFonts w:asciiTheme="minorHAnsi" w:hAnsiTheme="minorHAnsi" w:cs="Arial"/>
          <w:szCs w:val="24"/>
        </w:rPr>
        <w:t>)</w:t>
      </w:r>
      <w:r w:rsidRPr="00161AA3">
        <w:rPr>
          <w:rFonts w:asciiTheme="minorHAnsi" w:hAnsiTheme="minorHAnsi" w:cs="Arial"/>
          <w:szCs w:val="24"/>
        </w:rPr>
        <w:t xml:space="preserve"> vaccine manufactured by Sanofi Pasteur is now available for routine ordering</w:t>
      </w:r>
      <w:r w:rsidR="00A340F9" w:rsidRPr="00161AA3">
        <w:rPr>
          <w:rFonts w:asciiTheme="minorHAnsi" w:hAnsiTheme="minorHAnsi" w:cs="Arial"/>
          <w:szCs w:val="24"/>
        </w:rPr>
        <w:t>.</w:t>
      </w:r>
      <w:r w:rsidR="00A805C6" w:rsidRPr="00161AA3">
        <w:rPr>
          <w:rFonts w:asciiTheme="minorHAnsi" w:hAnsiTheme="minorHAnsi" w:cs="Arial"/>
          <w:szCs w:val="24"/>
        </w:rPr>
        <w:t xml:space="preserve">  </w:t>
      </w:r>
    </w:p>
    <w:p w:rsidR="00A805C6" w:rsidRPr="00161AA3" w:rsidRDefault="00A805C6" w:rsidP="0072610D">
      <w:pPr>
        <w:rPr>
          <w:rFonts w:asciiTheme="minorHAnsi" w:hAnsiTheme="minorHAnsi" w:cs="Arial"/>
          <w:szCs w:val="24"/>
        </w:rPr>
      </w:pPr>
    </w:p>
    <w:p w:rsidR="00A805C6" w:rsidRPr="00161AA3" w:rsidRDefault="00A805C6" w:rsidP="0072610D">
      <w:pPr>
        <w:rPr>
          <w:rFonts w:asciiTheme="minorHAnsi" w:hAnsiTheme="minorHAnsi" w:cs="Arial"/>
          <w:b/>
          <w:szCs w:val="24"/>
        </w:rPr>
      </w:pPr>
      <w:r w:rsidRPr="00161AA3">
        <w:rPr>
          <w:rFonts w:asciiTheme="minorHAnsi" w:hAnsiTheme="minorHAnsi" w:cs="Arial"/>
          <w:b/>
          <w:szCs w:val="24"/>
        </w:rPr>
        <w:t>Vaccine Schedule</w:t>
      </w:r>
    </w:p>
    <w:p w:rsidR="00B9757A" w:rsidRPr="00161AA3" w:rsidRDefault="00B9757A" w:rsidP="00B9757A">
      <w:pPr>
        <w:rPr>
          <w:rFonts w:asciiTheme="minorHAnsi" w:hAnsiTheme="minorHAnsi"/>
          <w:szCs w:val="24"/>
        </w:rPr>
      </w:pPr>
      <w:r w:rsidRPr="00161AA3">
        <w:rPr>
          <w:rFonts w:asciiTheme="minorHAnsi" w:hAnsiTheme="minorHAnsi"/>
          <w:szCs w:val="24"/>
        </w:rPr>
        <w:t>Quadracel</w:t>
      </w:r>
      <w:r w:rsidR="006D40DA" w:rsidRPr="00161AA3">
        <w:rPr>
          <w:rFonts w:asciiTheme="minorHAnsi" w:hAnsiTheme="minorHAnsi" w:cs="Arial"/>
          <w:szCs w:val="24"/>
          <w:vertAlign w:val="superscript"/>
        </w:rPr>
        <w:t xml:space="preserve">® </w:t>
      </w:r>
      <w:r w:rsidR="006D40DA" w:rsidRPr="00161AA3">
        <w:rPr>
          <w:rFonts w:asciiTheme="minorHAnsi" w:hAnsiTheme="minorHAnsi" w:cs="Arial"/>
          <w:szCs w:val="24"/>
        </w:rPr>
        <w:t xml:space="preserve">(DTaP-IPV) </w:t>
      </w:r>
      <w:r w:rsidRPr="00161AA3">
        <w:rPr>
          <w:rFonts w:asciiTheme="minorHAnsi" w:hAnsiTheme="minorHAnsi"/>
          <w:szCs w:val="24"/>
        </w:rPr>
        <w:t>vaccine is a combinatio</w:t>
      </w:r>
      <w:r w:rsidR="00180E6D" w:rsidRPr="00161AA3">
        <w:rPr>
          <w:rFonts w:asciiTheme="minorHAnsi" w:hAnsiTheme="minorHAnsi"/>
          <w:szCs w:val="24"/>
        </w:rPr>
        <w:t xml:space="preserve">n vaccine approved for the 5th </w:t>
      </w:r>
      <w:r w:rsidRPr="00161AA3">
        <w:rPr>
          <w:rFonts w:asciiTheme="minorHAnsi" w:hAnsiTheme="minorHAnsi"/>
          <w:szCs w:val="24"/>
        </w:rPr>
        <w:t xml:space="preserve">dose of DTaP and </w:t>
      </w:r>
      <w:r w:rsidR="00180E6D" w:rsidRPr="00161AA3">
        <w:rPr>
          <w:rFonts w:asciiTheme="minorHAnsi" w:hAnsiTheme="minorHAnsi"/>
          <w:szCs w:val="24"/>
        </w:rPr>
        <w:t xml:space="preserve">the </w:t>
      </w:r>
      <w:r w:rsidRPr="00161AA3">
        <w:rPr>
          <w:rFonts w:asciiTheme="minorHAnsi" w:hAnsiTheme="minorHAnsi"/>
          <w:szCs w:val="24"/>
        </w:rPr>
        <w:t>4</w:t>
      </w:r>
      <w:r w:rsidRPr="00161AA3">
        <w:rPr>
          <w:rFonts w:asciiTheme="minorHAnsi" w:hAnsiTheme="minorHAnsi"/>
          <w:szCs w:val="24"/>
          <w:vertAlign w:val="superscript"/>
        </w:rPr>
        <w:t>th</w:t>
      </w:r>
      <w:r w:rsidRPr="00161AA3">
        <w:rPr>
          <w:rFonts w:asciiTheme="minorHAnsi" w:hAnsiTheme="minorHAnsi"/>
          <w:szCs w:val="24"/>
        </w:rPr>
        <w:t xml:space="preserve"> </w:t>
      </w:r>
      <w:r w:rsidR="00180E6D" w:rsidRPr="00161AA3">
        <w:rPr>
          <w:rFonts w:asciiTheme="minorHAnsi" w:hAnsiTheme="minorHAnsi"/>
          <w:szCs w:val="24"/>
        </w:rPr>
        <w:t>or 5</w:t>
      </w:r>
      <w:r w:rsidR="00180E6D" w:rsidRPr="00161AA3">
        <w:rPr>
          <w:rFonts w:asciiTheme="minorHAnsi" w:hAnsiTheme="minorHAnsi"/>
          <w:szCs w:val="24"/>
          <w:vertAlign w:val="superscript"/>
        </w:rPr>
        <w:t>th</w:t>
      </w:r>
      <w:r w:rsidR="00180E6D" w:rsidRPr="00161AA3">
        <w:rPr>
          <w:rFonts w:asciiTheme="minorHAnsi" w:hAnsiTheme="minorHAnsi"/>
          <w:szCs w:val="24"/>
        </w:rPr>
        <w:t xml:space="preserve"> </w:t>
      </w:r>
      <w:r w:rsidRPr="00161AA3">
        <w:rPr>
          <w:rFonts w:asciiTheme="minorHAnsi" w:hAnsiTheme="minorHAnsi"/>
          <w:szCs w:val="24"/>
        </w:rPr>
        <w:t>dose of IPV vaccines in children 4 through 6 years whose previous DTaP doses have been with Sanofi Pasteur’s Pentacel</w:t>
      </w:r>
      <w:r w:rsidR="00296EFA" w:rsidRPr="00161AA3">
        <w:rPr>
          <w:rFonts w:asciiTheme="minorHAnsi" w:hAnsiTheme="minorHAnsi" w:cs="Arial"/>
          <w:szCs w:val="24"/>
          <w:vertAlign w:val="superscript"/>
        </w:rPr>
        <w:t>®</w:t>
      </w:r>
      <w:r w:rsidRPr="00161AA3">
        <w:rPr>
          <w:rFonts w:asciiTheme="minorHAnsi" w:hAnsiTheme="minorHAnsi"/>
          <w:szCs w:val="24"/>
        </w:rPr>
        <w:t xml:space="preserve"> (DTaP</w:t>
      </w:r>
      <w:r w:rsidR="00296EFA" w:rsidRPr="00161AA3">
        <w:rPr>
          <w:rFonts w:asciiTheme="minorHAnsi" w:hAnsiTheme="minorHAnsi"/>
          <w:szCs w:val="24"/>
        </w:rPr>
        <w:t>-</w:t>
      </w:r>
      <w:r w:rsidRPr="00161AA3">
        <w:rPr>
          <w:rFonts w:asciiTheme="minorHAnsi" w:hAnsiTheme="minorHAnsi"/>
          <w:szCs w:val="24"/>
        </w:rPr>
        <w:t>Hib-IPV) and/or Sanofi’s Daptacel</w:t>
      </w:r>
      <w:r w:rsidR="00296EFA" w:rsidRPr="00161AA3">
        <w:rPr>
          <w:rFonts w:asciiTheme="minorHAnsi" w:hAnsiTheme="minorHAnsi" w:cs="Arial"/>
          <w:szCs w:val="24"/>
          <w:vertAlign w:val="superscript"/>
        </w:rPr>
        <w:t>®</w:t>
      </w:r>
      <w:r w:rsidRPr="00161AA3">
        <w:rPr>
          <w:rFonts w:asciiTheme="minorHAnsi" w:hAnsiTheme="minorHAnsi"/>
          <w:szCs w:val="24"/>
        </w:rPr>
        <w:t xml:space="preserve"> (DTaP).</w:t>
      </w:r>
    </w:p>
    <w:p w:rsidR="00B9757A" w:rsidRPr="00161AA3" w:rsidRDefault="00B9757A" w:rsidP="00B9757A">
      <w:pPr>
        <w:rPr>
          <w:rFonts w:asciiTheme="minorHAnsi" w:hAnsiTheme="minorHAnsi"/>
          <w:szCs w:val="24"/>
        </w:rPr>
      </w:pPr>
    </w:p>
    <w:p w:rsidR="00BC2690" w:rsidRPr="00161AA3" w:rsidRDefault="00BC2690" w:rsidP="00B9757A">
      <w:pPr>
        <w:rPr>
          <w:rFonts w:asciiTheme="minorHAnsi" w:hAnsiTheme="minorHAnsi"/>
          <w:b/>
          <w:szCs w:val="24"/>
        </w:rPr>
      </w:pPr>
      <w:r w:rsidRPr="00161AA3">
        <w:rPr>
          <w:rFonts w:asciiTheme="minorHAnsi" w:hAnsiTheme="minorHAnsi"/>
          <w:b/>
          <w:szCs w:val="24"/>
        </w:rPr>
        <w:t>Inadvertent Administration Out of Approved Age Range</w:t>
      </w:r>
    </w:p>
    <w:p w:rsidR="00251A05" w:rsidRPr="00161AA3" w:rsidRDefault="00180E6D" w:rsidP="008E68EE">
      <w:pPr>
        <w:rPr>
          <w:rFonts w:asciiTheme="minorHAnsi" w:hAnsiTheme="minorHAnsi"/>
          <w:szCs w:val="24"/>
        </w:rPr>
      </w:pPr>
      <w:r w:rsidRPr="00161AA3">
        <w:rPr>
          <w:rFonts w:asciiTheme="minorHAnsi" w:hAnsiTheme="minorHAnsi"/>
          <w:szCs w:val="24"/>
        </w:rPr>
        <w:t xml:space="preserve">This vaccine should </w:t>
      </w:r>
      <w:r w:rsidRPr="0058397E">
        <w:rPr>
          <w:rFonts w:asciiTheme="minorHAnsi" w:hAnsiTheme="minorHAnsi"/>
          <w:szCs w:val="24"/>
          <w:u w:val="single"/>
        </w:rPr>
        <w:t>not</w:t>
      </w:r>
      <w:r w:rsidRPr="00161AA3">
        <w:rPr>
          <w:rFonts w:asciiTheme="minorHAnsi" w:hAnsiTheme="minorHAnsi"/>
          <w:szCs w:val="24"/>
        </w:rPr>
        <w:t xml:space="preserve"> be administered before age 4 </w:t>
      </w:r>
      <w:r w:rsidR="00400FDC" w:rsidRPr="00161AA3">
        <w:rPr>
          <w:rFonts w:asciiTheme="minorHAnsi" w:hAnsiTheme="minorHAnsi"/>
          <w:szCs w:val="24"/>
        </w:rPr>
        <w:t xml:space="preserve">years </w:t>
      </w:r>
      <w:r w:rsidRPr="00161AA3">
        <w:rPr>
          <w:rFonts w:asciiTheme="minorHAnsi" w:hAnsiTheme="minorHAnsi"/>
          <w:szCs w:val="24"/>
        </w:rPr>
        <w:t>or to those 7 years and older</w:t>
      </w:r>
      <w:r w:rsidR="00251A05" w:rsidRPr="00161AA3">
        <w:rPr>
          <w:rFonts w:asciiTheme="minorHAnsi" w:hAnsiTheme="minorHAnsi"/>
          <w:szCs w:val="24"/>
        </w:rPr>
        <w:t>.</w:t>
      </w:r>
    </w:p>
    <w:p w:rsidR="00251A05" w:rsidRPr="00161AA3" w:rsidRDefault="00251A05" w:rsidP="008E68EE">
      <w:pPr>
        <w:pStyle w:val="ListParagraph"/>
        <w:numPr>
          <w:ilvl w:val="0"/>
          <w:numId w:val="3"/>
        </w:numPr>
        <w:spacing w:before="60"/>
        <w:rPr>
          <w:rFonts w:asciiTheme="minorHAnsi" w:hAnsiTheme="minorHAnsi"/>
          <w:b/>
          <w:szCs w:val="24"/>
        </w:rPr>
      </w:pPr>
      <w:r w:rsidRPr="00161AA3">
        <w:rPr>
          <w:rFonts w:asciiTheme="minorHAnsi" w:hAnsiTheme="minorHAnsi"/>
          <w:b/>
          <w:szCs w:val="24"/>
        </w:rPr>
        <w:t>If Given Before Age 4 Years</w:t>
      </w:r>
    </w:p>
    <w:p w:rsidR="006052CA" w:rsidRPr="00161AA3" w:rsidRDefault="00251A05" w:rsidP="00251A05">
      <w:pPr>
        <w:ind w:left="360"/>
        <w:rPr>
          <w:rFonts w:asciiTheme="minorHAnsi" w:hAnsiTheme="minorHAnsi"/>
        </w:rPr>
      </w:pPr>
      <w:r w:rsidRPr="00161AA3">
        <w:rPr>
          <w:rFonts w:asciiTheme="minorHAnsi" w:hAnsiTheme="minorHAnsi"/>
          <w:lang w:val="en"/>
        </w:rPr>
        <w:t>If</w:t>
      </w:r>
      <w:r w:rsidR="006052CA" w:rsidRPr="00161AA3">
        <w:rPr>
          <w:rFonts w:asciiTheme="minorHAnsi" w:hAnsiTheme="minorHAnsi"/>
          <w:lang w:val="en"/>
        </w:rPr>
        <w:t xml:space="preserve"> Quadrace</w:t>
      </w:r>
      <w:r w:rsidR="00D50233" w:rsidRPr="00161AA3">
        <w:rPr>
          <w:rFonts w:asciiTheme="minorHAnsi" w:hAnsiTheme="minorHAnsi"/>
          <w:lang w:val="en"/>
        </w:rPr>
        <w:t>l</w:t>
      </w:r>
      <w:r w:rsidR="00D50233" w:rsidRPr="00161AA3">
        <w:rPr>
          <w:rFonts w:asciiTheme="minorHAnsi" w:hAnsiTheme="minorHAnsi" w:cs="Arial"/>
          <w:szCs w:val="24"/>
          <w:vertAlign w:val="superscript"/>
        </w:rPr>
        <w:t>®</w:t>
      </w:r>
      <w:r w:rsidR="006052CA" w:rsidRPr="00161AA3">
        <w:rPr>
          <w:rFonts w:asciiTheme="minorHAnsi" w:hAnsiTheme="minorHAnsi"/>
          <w:lang w:val="en"/>
        </w:rPr>
        <w:t xml:space="preserve">vaccine is inadvertently administered </w:t>
      </w:r>
      <w:r w:rsidR="006052CA" w:rsidRPr="00161AA3">
        <w:rPr>
          <w:rFonts w:asciiTheme="minorHAnsi" w:hAnsiTheme="minorHAnsi"/>
          <w:b/>
          <w:lang w:val="en"/>
        </w:rPr>
        <w:t>before age 4 years</w:t>
      </w:r>
      <w:r w:rsidR="006052CA" w:rsidRPr="00161AA3">
        <w:rPr>
          <w:rFonts w:asciiTheme="minorHAnsi" w:hAnsiTheme="minorHAnsi"/>
          <w:lang w:val="en"/>
        </w:rPr>
        <w:t xml:space="preserve"> for an earlier dose of the DTaP and/or IPV series and if minimum interval requirements have been met, the dose may be counted as valid for the</w:t>
      </w:r>
      <w:r w:rsidR="007C3383" w:rsidRPr="00161AA3">
        <w:rPr>
          <w:rFonts w:asciiTheme="minorHAnsi" w:hAnsiTheme="minorHAnsi"/>
          <w:lang w:val="en"/>
        </w:rPr>
        <w:t xml:space="preserve"> DTaP and/or IPV series and does</w:t>
      </w:r>
      <w:r w:rsidR="006052CA" w:rsidRPr="00161AA3">
        <w:rPr>
          <w:rFonts w:asciiTheme="minorHAnsi" w:hAnsiTheme="minorHAnsi"/>
          <w:lang w:val="en"/>
        </w:rPr>
        <w:t xml:space="preserve"> not need to be repeated.</w:t>
      </w:r>
      <w:r w:rsidR="005A14DC" w:rsidRPr="00161AA3">
        <w:rPr>
          <w:rFonts w:asciiTheme="minorHAnsi" w:hAnsiTheme="minorHAnsi"/>
          <w:lang w:val="en"/>
        </w:rPr>
        <w:t xml:space="preserve">  Note that the final dose in the IPV series must be administered at age ≥4 years regardless of the number of previous doses, and with a minimum interval of 6 months from the previous dose.</w:t>
      </w:r>
    </w:p>
    <w:p w:rsidR="00647B93" w:rsidRPr="00161AA3" w:rsidRDefault="00251A05" w:rsidP="008E68EE">
      <w:pPr>
        <w:pStyle w:val="ListParagraph"/>
        <w:numPr>
          <w:ilvl w:val="0"/>
          <w:numId w:val="3"/>
        </w:numPr>
        <w:spacing w:before="60"/>
        <w:rPr>
          <w:rFonts w:asciiTheme="minorHAnsi" w:hAnsiTheme="minorHAnsi"/>
          <w:b/>
        </w:rPr>
      </w:pPr>
      <w:r w:rsidRPr="00161AA3">
        <w:rPr>
          <w:rFonts w:asciiTheme="minorHAnsi" w:hAnsiTheme="minorHAnsi"/>
          <w:b/>
        </w:rPr>
        <w:t>If Given At Age 7 Years or Older</w:t>
      </w:r>
    </w:p>
    <w:p w:rsidR="00FA41B5" w:rsidRPr="00161AA3" w:rsidRDefault="00251A05" w:rsidP="00251A05">
      <w:pPr>
        <w:ind w:left="360"/>
        <w:rPr>
          <w:rFonts w:asciiTheme="minorHAnsi" w:hAnsiTheme="minorHAnsi"/>
        </w:rPr>
      </w:pPr>
      <w:r w:rsidRPr="00161AA3">
        <w:rPr>
          <w:rFonts w:asciiTheme="minorHAnsi" w:hAnsiTheme="minorHAnsi"/>
        </w:rPr>
        <w:t>If Quadracel</w:t>
      </w:r>
      <w:r w:rsidR="00D50233" w:rsidRPr="00161AA3">
        <w:rPr>
          <w:rFonts w:asciiTheme="minorHAnsi" w:hAnsiTheme="minorHAnsi" w:cs="Arial"/>
          <w:szCs w:val="24"/>
          <w:vertAlign w:val="superscript"/>
        </w:rPr>
        <w:t>®</w:t>
      </w:r>
      <w:r w:rsidRPr="00161AA3">
        <w:rPr>
          <w:rFonts w:asciiTheme="minorHAnsi" w:hAnsiTheme="minorHAnsi"/>
        </w:rPr>
        <w:t xml:space="preserve"> is</w:t>
      </w:r>
      <w:r w:rsidR="00A80F50" w:rsidRPr="00161AA3">
        <w:rPr>
          <w:rFonts w:asciiTheme="minorHAnsi" w:hAnsiTheme="minorHAnsi"/>
        </w:rPr>
        <w:t xml:space="preserve"> inadvertently administered to someone </w:t>
      </w:r>
      <w:r w:rsidR="00A80F50" w:rsidRPr="00161AA3">
        <w:rPr>
          <w:rFonts w:asciiTheme="minorHAnsi" w:hAnsiTheme="minorHAnsi"/>
          <w:b/>
        </w:rPr>
        <w:t xml:space="preserve">7 years or </w:t>
      </w:r>
      <w:proofErr w:type="gramStart"/>
      <w:r w:rsidR="00A80F50" w:rsidRPr="00161AA3">
        <w:rPr>
          <w:rFonts w:asciiTheme="minorHAnsi" w:hAnsiTheme="minorHAnsi"/>
          <w:b/>
        </w:rPr>
        <w:t>older</w:t>
      </w:r>
      <w:r w:rsidR="00A80F50" w:rsidRPr="00161AA3">
        <w:rPr>
          <w:rFonts w:asciiTheme="minorHAnsi" w:hAnsiTheme="minorHAnsi"/>
        </w:rPr>
        <w:t>,</w:t>
      </w:r>
      <w:proofErr w:type="gramEnd"/>
      <w:r w:rsidR="00A80F50" w:rsidRPr="00161AA3">
        <w:rPr>
          <w:rFonts w:asciiTheme="minorHAnsi" w:hAnsiTheme="minorHAnsi"/>
        </w:rPr>
        <w:t xml:space="preserve"> it can be counted as a </w:t>
      </w:r>
      <w:r w:rsidR="00A80F50" w:rsidRPr="00161AA3">
        <w:rPr>
          <w:rFonts w:asciiTheme="minorHAnsi" w:hAnsiTheme="minorHAnsi"/>
          <w:b/>
        </w:rPr>
        <w:t>valid dose of IPV</w:t>
      </w:r>
      <w:r w:rsidR="00A80F50" w:rsidRPr="00161AA3">
        <w:rPr>
          <w:rFonts w:asciiTheme="minorHAnsi" w:hAnsiTheme="minorHAnsi"/>
        </w:rPr>
        <w:t>.  For those 7 through 10 years of age</w:t>
      </w:r>
      <w:r w:rsidR="000304CF" w:rsidRPr="00161AA3">
        <w:rPr>
          <w:rFonts w:asciiTheme="minorHAnsi" w:hAnsiTheme="minorHAnsi"/>
        </w:rPr>
        <w:t>,</w:t>
      </w:r>
      <w:r w:rsidR="00A71718" w:rsidRPr="00161AA3">
        <w:rPr>
          <w:rFonts w:asciiTheme="minorHAnsi" w:hAnsiTheme="minorHAnsi"/>
        </w:rPr>
        <w:t xml:space="preserve"> </w:t>
      </w:r>
      <w:r w:rsidR="000134EA" w:rsidRPr="00161AA3">
        <w:rPr>
          <w:rFonts w:asciiTheme="minorHAnsi" w:hAnsiTheme="minorHAnsi"/>
        </w:rPr>
        <w:t xml:space="preserve">the provider has the option of </w:t>
      </w:r>
      <w:r w:rsidR="00A71718" w:rsidRPr="00161AA3">
        <w:rPr>
          <w:rFonts w:asciiTheme="minorHAnsi" w:hAnsiTheme="minorHAnsi"/>
        </w:rPr>
        <w:t>count</w:t>
      </w:r>
      <w:r w:rsidR="000134EA" w:rsidRPr="00161AA3">
        <w:rPr>
          <w:rFonts w:asciiTheme="minorHAnsi" w:hAnsiTheme="minorHAnsi"/>
        </w:rPr>
        <w:t xml:space="preserve">ing the </w:t>
      </w:r>
      <w:r w:rsidR="000134EA" w:rsidRPr="00161AA3">
        <w:rPr>
          <w:rFonts w:asciiTheme="minorHAnsi" w:hAnsiTheme="minorHAnsi"/>
          <w:b/>
        </w:rPr>
        <w:t>DTaP dose</w:t>
      </w:r>
      <w:r w:rsidR="00A71718" w:rsidRPr="00161AA3">
        <w:rPr>
          <w:rFonts w:asciiTheme="minorHAnsi" w:hAnsiTheme="minorHAnsi"/>
        </w:rPr>
        <w:t xml:space="preserve"> as a dose of Tdap; or the</w:t>
      </w:r>
      <w:r w:rsidR="000134EA" w:rsidRPr="00161AA3">
        <w:rPr>
          <w:rFonts w:asciiTheme="minorHAnsi" w:hAnsiTheme="minorHAnsi"/>
        </w:rPr>
        <w:t xml:space="preserve">y can </w:t>
      </w:r>
      <w:r w:rsidR="000134EA" w:rsidRPr="00161AA3">
        <w:rPr>
          <w:rFonts w:asciiTheme="minorHAnsi" w:hAnsiTheme="minorHAnsi"/>
          <w:b/>
        </w:rPr>
        <w:t xml:space="preserve">give another dose of </w:t>
      </w:r>
      <w:r w:rsidR="00A71718" w:rsidRPr="00161AA3">
        <w:rPr>
          <w:rFonts w:asciiTheme="minorHAnsi" w:hAnsiTheme="minorHAnsi"/>
          <w:b/>
        </w:rPr>
        <w:t>Tdap</w:t>
      </w:r>
      <w:r w:rsidR="00A71718" w:rsidRPr="00161AA3">
        <w:rPr>
          <w:rFonts w:asciiTheme="minorHAnsi" w:hAnsiTheme="minorHAnsi"/>
        </w:rPr>
        <w:t xml:space="preserve"> routinely at </w:t>
      </w:r>
      <w:r w:rsidR="000304CF" w:rsidRPr="00161AA3">
        <w:rPr>
          <w:rFonts w:asciiTheme="minorHAnsi" w:hAnsiTheme="minorHAnsi"/>
        </w:rPr>
        <w:t>11</w:t>
      </w:r>
      <w:r w:rsidR="009152F1" w:rsidRPr="00161AA3">
        <w:rPr>
          <w:rFonts w:asciiTheme="minorHAnsi" w:hAnsiTheme="minorHAnsi"/>
        </w:rPr>
        <w:t>-</w:t>
      </w:r>
      <w:r w:rsidR="000304CF" w:rsidRPr="00161AA3">
        <w:rPr>
          <w:rFonts w:asciiTheme="minorHAnsi" w:hAnsiTheme="minorHAnsi"/>
        </w:rPr>
        <w:t>12 year</w:t>
      </w:r>
      <w:r w:rsidR="00A71718" w:rsidRPr="00161AA3">
        <w:rPr>
          <w:rFonts w:asciiTheme="minorHAnsi" w:hAnsiTheme="minorHAnsi"/>
        </w:rPr>
        <w:t xml:space="preserve">s of age </w:t>
      </w:r>
      <w:r w:rsidR="00FA41B5" w:rsidRPr="00161AA3">
        <w:rPr>
          <w:rFonts w:asciiTheme="minorHAnsi" w:hAnsiTheme="minorHAnsi"/>
        </w:rPr>
        <w:t>(</w:t>
      </w:r>
      <w:r w:rsidR="000304CF" w:rsidRPr="00161AA3">
        <w:rPr>
          <w:rFonts w:asciiTheme="minorHAnsi" w:hAnsiTheme="minorHAnsi"/>
        </w:rPr>
        <w:t>or when next recommended</w:t>
      </w:r>
      <w:r w:rsidR="00FA41B5" w:rsidRPr="00161AA3">
        <w:rPr>
          <w:rFonts w:asciiTheme="minorHAnsi" w:hAnsiTheme="minorHAnsi"/>
        </w:rPr>
        <w:t>)</w:t>
      </w:r>
      <w:r w:rsidR="000304CF" w:rsidRPr="00161AA3">
        <w:rPr>
          <w:rFonts w:asciiTheme="minorHAnsi" w:hAnsiTheme="minorHAnsi"/>
        </w:rPr>
        <w:t>.</w:t>
      </w:r>
      <w:r w:rsidR="00A71718" w:rsidRPr="00161AA3">
        <w:rPr>
          <w:rFonts w:asciiTheme="minorHAnsi" w:hAnsiTheme="minorHAnsi"/>
        </w:rPr>
        <w:t xml:space="preserve"> </w:t>
      </w:r>
      <w:r w:rsidR="000304CF" w:rsidRPr="00161AA3">
        <w:rPr>
          <w:rFonts w:asciiTheme="minorHAnsi" w:hAnsiTheme="minorHAnsi"/>
        </w:rPr>
        <w:t xml:space="preserve"> </w:t>
      </w:r>
      <w:r w:rsidR="00A80F50" w:rsidRPr="00161AA3">
        <w:rPr>
          <w:rFonts w:asciiTheme="minorHAnsi" w:hAnsiTheme="minorHAnsi"/>
        </w:rPr>
        <w:t>For those older than 10 years of age</w:t>
      </w:r>
      <w:r w:rsidR="009152F1" w:rsidRPr="00161AA3">
        <w:rPr>
          <w:rFonts w:asciiTheme="minorHAnsi" w:hAnsiTheme="minorHAnsi"/>
        </w:rPr>
        <w:t>,</w:t>
      </w:r>
      <w:r w:rsidR="00A80F50" w:rsidRPr="00161AA3">
        <w:rPr>
          <w:rFonts w:asciiTheme="minorHAnsi" w:hAnsiTheme="minorHAnsi"/>
        </w:rPr>
        <w:t xml:space="preserve"> the dose of DTaP counts as the </w:t>
      </w:r>
      <w:r w:rsidR="00FA41B5" w:rsidRPr="00161AA3">
        <w:rPr>
          <w:rFonts w:asciiTheme="minorHAnsi" w:hAnsiTheme="minorHAnsi"/>
        </w:rPr>
        <w:t>adolescent Tdap dose</w:t>
      </w:r>
      <w:r w:rsidR="009152F1" w:rsidRPr="00161AA3">
        <w:rPr>
          <w:rFonts w:asciiTheme="minorHAnsi" w:hAnsiTheme="minorHAnsi"/>
        </w:rPr>
        <w:t>.</w:t>
      </w:r>
    </w:p>
    <w:p w:rsidR="00954F51" w:rsidRPr="00161AA3" w:rsidRDefault="00954F51" w:rsidP="00B9757A">
      <w:pPr>
        <w:rPr>
          <w:rFonts w:asciiTheme="minorHAnsi" w:hAnsiTheme="minorHAnsi"/>
          <w:szCs w:val="24"/>
        </w:rPr>
      </w:pPr>
    </w:p>
    <w:p w:rsidR="00BC2690" w:rsidRPr="00161AA3" w:rsidRDefault="00BC2690" w:rsidP="00B9757A">
      <w:pPr>
        <w:rPr>
          <w:rFonts w:asciiTheme="minorHAnsi" w:hAnsiTheme="minorHAnsi"/>
          <w:b/>
          <w:szCs w:val="24"/>
        </w:rPr>
      </w:pPr>
      <w:r w:rsidRPr="00161AA3">
        <w:rPr>
          <w:rFonts w:asciiTheme="minorHAnsi" w:hAnsiTheme="minorHAnsi"/>
          <w:b/>
          <w:szCs w:val="24"/>
        </w:rPr>
        <w:lastRenderedPageBreak/>
        <w:t xml:space="preserve">Use of </w:t>
      </w:r>
      <w:r w:rsidR="00A85FDC" w:rsidRPr="00161AA3">
        <w:rPr>
          <w:rFonts w:asciiTheme="minorHAnsi" w:hAnsiTheme="minorHAnsi"/>
          <w:b/>
          <w:szCs w:val="24"/>
        </w:rPr>
        <w:t>S</w:t>
      </w:r>
      <w:r w:rsidRPr="00161AA3">
        <w:rPr>
          <w:rFonts w:asciiTheme="minorHAnsi" w:hAnsiTheme="minorHAnsi"/>
          <w:b/>
          <w:szCs w:val="24"/>
        </w:rPr>
        <w:t xml:space="preserve">ame </w:t>
      </w:r>
      <w:r w:rsidR="00A85FDC" w:rsidRPr="00161AA3">
        <w:rPr>
          <w:rFonts w:asciiTheme="minorHAnsi" w:hAnsiTheme="minorHAnsi"/>
          <w:b/>
          <w:szCs w:val="24"/>
        </w:rPr>
        <w:t>M</w:t>
      </w:r>
      <w:r w:rsidRPr="00161AA3">
        <w:rPr>
          <w:rFonts w:asciiTheme="minorHAnsi" w:hAnsiTheme="minorHAnsi"/>
          <w:b/>
          <w:szCs w:val="24"/>
        </w:rPr>
        <w:t xml:space="preserve">anufacturer </w:t>
      </w:r>
      <w:r w:rsidR="00A85FDC" w:rsidRPr="00161AA3">
        <w:rPr>
          <w:rFonts w:asciiTheme="minorHAnsi" w:hAnsiTheme="minorHAnsi"/>
          <w:b/>
          <w:szCs w:val="24"/>
        </w:rPr>
        <w:t>R</w:t>
      </w:r>
      <w:r w:rsidRPr="00161AA3">
        <w:rPr>
          <w:rFonts w:asciiTheme="minorHAnsi" w:hAnsiTheme="minorHAnsi"/>
          <w:b/>
          <w:szCs w:val="24"/>
        </w:rPr>
        <w:t xml:space="preserve">ecommended </w:t>
      </w:r>
      <w:r w:rsidR="00A85FDC" w:rsidRPr="00161AA3">
        <w:rPr>
          <w:rFonts w:asciiTheme="minorHAnsi" w:hAnsiTheme="minorHAnsi"/>
          <w:b/>
          <w:szCs w:val="24"/>
        </w:rPr>
        <w:t>W</w:t>
      </w:r>
      <w:r w:rsidRPr="00161AA3">
        <w:rPr>
          <w:rFonts w:asciiTheme="minorHAnsi" w:hAnsiTheme="minorHAnsi"/>
          <w:b/>
          <w:szCs w:val="24"/>
        </w:rPr>
        <w:t xml:space="preserve">hen </w:t>
      </w:r>
      <w:r w:rsidR="00A85FDC" w:rsidRPr="00161AA3">
        <w:rPr>
          <w:rFonts w:asciiTheme="minorHAnsi" w:hAnsiTheme="minorHAnsi"/>
          <w:b/>
          <w:szCs w:val="24"/>
        </w:rPr>
        <w:t>F</w:t>
      </w:r>
      <w:r w:rsidRPr="00161AA3">
        <w:rPr>
          <w:rFonts w:asciiTheme="minorHAnsi" w:hAnsiTheme="minorHAnsi"/>
          <w:b/>
          <w:szCs w:val="24"/>
        </w:rPr>
        <w:t>easible</w:t>
      </w:r>
    </w:p>
    <w:p w:rsidR="00B9757A" w:rsidRPr="00161AA3" w:rsidRDefault="0087728D" w:rsidP="00B9757A">
      <w:pPr>
        <w:rPr>
          <w:rFonts w:asciiTheme="minorHAnsi" w:hAnsiTheme="minorHAnsi"/>
          <w:szCs w:val="24"/>
        </w:rPr>
      </w:pPr>
      <w:r w:rsidRPr="00161AA3">
        <w:rPr>
          <w:rFonts w:asciiTheme="minorHAnsi" w:hAnsiTheme="minorHAnsi"/>
          <w:szCs w:val="24"/>
        </w:rPr>
        <w:t>T</w:t>
      </w:r>
      <w:r w:rsidR="00B9757A" w:rsidRPr="00161AA3">
        <w:rPr>
          <w:rFonts w:asciiTheme="minorHAnsi" w:hAnsiTheme="minorHAnsi"/>
          <w:szCs w:val="24"/>
        </w:rPr>
        <w:t>he Advisory Committee on Immunization Practices (ACIP) recommends that</w:t>
      </w:r>
      <w:r w:rsidRPr="00161AA3">
        <w:rPr>
          <w:rFonts w:asciiTheme="minorHAnsi" w:hAnsiTheme="minorHAnsi"/>
          <w:szCs w:val="24"/>
        </w:rPr>
        <w:t>, whenever feasible,</w:t>
      </w:r>
      <w:r w:rsidR="00B9757A" w:rsidRPr="00161AA3">
        <w:rPr>
          <w:rFonts w:asciiTheme="minorHAnsi" w:hAnsiTheme="minorHAnsi"/>
          <w:szCs w:val="24"/>
        </w:rPr>
        <w:t xml:space="preserve"> </w:t>
      </w:r>
      <w:r w:rsidR="00393447" w:rsidRPr="00161AA3">
        <w:rPr>
          <w:rFonts w:asciiTheme="minorHAnsi" w:hAnsiTheme="minorHAnsi"/>
          <w:szCs w:val="24"/>
        </w:rPr>
        <w:t>the same manufacturer’s DTaP vaccines should be used for each dose in the series.</w:t>
      </w:r>
      <w:r w:rsidR="00BC2690" w:rsidRPr="00161AA3">
        <w:rPr>
          <w:rFonts w:asciiTheme="minorHAnsi" w:hAnsiTheme="minorHAnsi"/>
          <w:szCs w:val="24"/>
        </w:rPr>
        <w:t xml:space="preserve"> </w:t>
      </w:r>
      <w:r w:rsidR="00B9757A" w:rsidRPr="00161AA3">
        <w:rPr>
          <w:rFonts w:asciiTheme="minorHAnsi" w:hAnsiTheme="minorHAnsi"/>
          <w:szCs w:val="24"/>
        </w:rPr>
        <w:t xml:space="preserve"> </w:t>
      </w:r>
      <w:r w:rsidRPr="00161AA3">
        <w:rPr>
          <w:rFonts w:asciiTheme="minorHAnsi" w:hAnsiTheme="minorHAnsi"/>
          <w:szCs w:val="24"/>
        </w:rPr>
        <w:t xml:space="preserve">However, to avoid missed opportunities, they </w:t>
      </w:r>
      <w:r w:rsidR="00B9757A" w:rsidRPr="00161AA3">
        <w:rPr>
          <w:rFonts w:asciiTheme="minorHAnsi" w:hAnsiTheme="minorHAnsi"/>
          <w:szCs w:val="24"/>
        </w:rPr>
        <w:t xml:space="preserve">recommend </w:t>
      </w:r>
      <w:r w:rsidR="00393447" w:rsidRPr="00161AA3">
        <w:rPr>
          <w:rFonts w:asciiTheme="minorHAnsi" w:hAnsiTheme="minorHAnsi"/>
          <w:szCs w:val="24"/>
        </w:rPr>
        <w:t xml:space="preserve">vaccination should </w:t>
      </w:r>
      <w:r w:rsidR="009E492D" w:rsidRPr="00161AA3">
        <w:rPr>
          <w:rFonts w:asciiTheme="minorHAnsi" w:hAnsiTheme="minorHAnsi"/>
          <w:szCs w:val="24"/>
        </w:rPr>
        <w:t xml:space="preserve">be considered valid and </w:t>
      </w:r>
      <w:r w:rsidR="00393447" w:rsidRPr="00161AA3">
        <w:rPr>
          <w:rFonts w:asciiTheme="minorHAnsi" w:hAnsiTheme="minorHAnsi"/>
          <w:szCs w:val="24"/>
        </w:rPr>
        <w:t xml:space="preserve">not be deferred </w:t>
      </w:r>
      <w:r w:rsidR="009E492D" w:rsidRPr="00161AA3">
        <w:rPr>
          <w:rFonts w:asciiTheme="minorHAnsi" w:hAnsiTheme="minorHAnsi"/>
          <w:szCs w:val="24"/>
        </w:rPr>
        <w:t xml:space="preserve">when </w:t>
      </w:r>
      <w:r w:rsidR="00393447" w:rsidRPr="00161AA3">
        <w:rPr>
          <w:rFonts w:asciiTheme="minorHAnsi" w:hAnsiTheme="minorHAnsi"/>
          <w:szCs w:val="24"/>
        </w:rPr>
        <w:t xml:space="preserve">the type of DTaP vaccine previously administered is not available or is not known.  </w:t>
      </w:r>
      <w:r w:rsidR="00B9757A" w:rsidRPr="00161AA3">
        <w:rPr>
          <w:rFonts w:asciiTheme="minorHAnsi" w:hAnsiTheme="minorHAnsi"/>
          <w:szCs w:val="24"/>
        </w:rPr>
        <w:t>Providers wishing to decrease the number of injections may choose to use Quadracel</w:t>
      </w:r>
      <w:r w:rsidR="00296EFA" w:rsidRPr="00161AA3">
        <w:rPr>
          <w:rFonts w:asciiTheme="minorHAnsi" w:hAnsiTheme="minorHAnsi" w:cs="Arial"/>
          <w:szCs w:val="24"/>
          <w:vertAlign w:val="superscript"/>
        </w:rPr>
        <w:t>®</w:t>
      </w:r>
      <w:r w:rsidR="00B9757A" w:rsidRPr="00161AA3">
        <w:rPr>
          <w:rFonts w:asciiTheme="minorHAnsi" w:hAnsiTheme="minorHAnsi"/>
          <w:szCs w:val="24"/>
        </w:rPr>
        <w:t xml:space="preserve"> or Kinrix</w:t>
      </w:r>
      <w:r w:rsidR="00296EFA" w:rsidRPr="00161AA3">
        <w:rPr>
          <w:rFonts w:asciiTheme="minorHAnsi" w:hAnsiTheme="minorHAnsi" w:cs="Arial"/>
          <w:szCs w:val="24"/>
          <w:vertAlign w:val="superscript"/>
        </w:rPr>
        <w:t>®</w:t>
      </w:r>
      <w:r w:rsidR="00B9757A" w:rsidRPr="00161AA3">
        <w:rPr>
          <w:rFonts w:asciiTheme="minorHAnsi" w:hAnsiTheme="minorHAnsi"/>
          <w:szCs w:val="24"/>
        </w:rPr>
        <w:t xml:space="preserve"> in children who received other vaccines for their earlier doses in the series.  </w:t>
      </w:r>
    </w:p>
    <w:p w:rsidR="00296EFA" w:rsidRPr="00161AA3" w:rsidRDefault="00296EFA" w:rsidP="00B9757A">
      <w:pPr>
        <w:rPr>
          <w:rFonts w:asciiTheme="minorHAnsi" w:hAnsiTheme="minorHAnsi"/>
          <w:szCs w:val="24"/>
        </w:rPr>
      </w:pPr>
    </w:p>
    <w:p w:rsidR="00BC2690" w:rsidRPr="00161AA3" w:rsidRDefault="00BC2690" w:rsidP="00B9757A">
      <w:pPr>
        <w:rPr>
          <w:rFonts w:asciiTheme="minorHAnsi" w:hAnsiTheme="minorHAnsi"/>
          <w:b/>
          <w:szCs w:val="24"/>
        </w:rPr>
      </w:pPr>
      <w:r w:rsidRPr="00161AA3">
        <w:rPr>
          <w:rFonts w:asciiTheme="minorHAnsi" w:hAnsiTheme="minorHAnsi"/>
          <w:b/>
          <w:szCs w:val="24"/>
        </w:rPr>
        <w:t>Additional Guidance</w:t>
      </w:r>
    </w:p>
    <w:p w:rsidR="009A352D" w:rsidRPr="00161AA3" w:rsidRDefault="009A352D" w:rsidP="009A352D">
      <w:pPr>
        <w:pStyle w:val="ListParagraph"/>
        <w:numPr>
          <w:ilvl w:val="0"/>
          <w:numId w:val="2"/>
        </w:numPr>
        <w:rPr>
          <w:rFonts w:asciiTheme="minorHAnsi" w:hAnsiTheme="minorHAnsi"/>
          <w:szCs w:val="24"/>
        </w:rPr>
      </w:pPr>
      <w:r w:rsidRPr="00161AA3">
        <w:rPr>
          <w:rFonts w:asciiTheme="minorHAnsi" w:hAnsiTheme="minorHAnsi"/>
          <w:szCs w:val="24"/>
        </w:rPr>
        <w:t xml:space="preserve">The recommendations of the Advisory Committee on Immunization Practices (ACIP) </w:t>
      </w:r>
      <w:r w:rsidR="00477863" w:rsidRPr="00161AA3">
        <w:rPr>
          <w:rFonts w:asciiTheme="minorHAnsi" w:hAnsiTheme="minorHAnsi"/>
          <w:szCs w:val="24"/>
        </w:rPr>
        <w:t>about</w:t>
      </w:r>
      <w:r w:rsidR="00296EFA" w:rsidRPr="00161AA3">
        <w:rPr>
          <w:rFonts w:asciiTheme="minorHAnsi" w:hAnsiTheme="minorHAnsi"/>
          <w:szCs w:val="24"/>
        </w:rPr>
        <w:t xml:space="preserve"> Quadracel</w:t>
      </w:r>
      <w:r w:rsidR="00296EFA" w:rsidRPr="00161AA3">
        <w:rPr>
          <w:rFonts w:asciiTheme="minorHAnsi" w:hAnsiTheme="minorHAnsi" w:cs="Arial"/>
          <w:szCs w:val="24"/>
          <w:vertAlign w:val="superscript"/>
        </w:rPr>
        <w:t>®</w:t>
      </w:r>
      <w:r w:rsidR="00296EFA" w:rsidRPr="00161AA3">
        <w:rPr>
          <w:rFonts w:asciiTheme="minorHAnsi" w:hAnsiTheme="minorHAnsi"/>
          <w:szCs w:val="24"/>
        </w:rPr>
        <w:t xml:space="preserve"> </w:t>
      </w:r>
      <w:r w:rsidR="00491BA3" w:rsidRPr="00161AA3">
        <w:rPr>
          <w:rFonts w:asciiTheme="minorHAnsi" w:hAnsiTheme="minorHAnsi"/>
          <w:szCs w:val="24"/>
        </w:rPr>
        <w:t>(</w:t>
      </w:r>
      <w:r w:rsidR="00296EFA" w:rsidRPr="00161AA3">
        <w:rPr>
          <w:rFonts w:asciiTheme="minorHAnsi" w:hAnsiTheme="minorHAnsi"/>
          <w:szCs w:val="24"/>
        </w:rPr>
        <w:t xml:space="preserve">MMWR </w:t>
      </w:r>
      <w:r w:rsidR="00491BA3" w:rsidRPr="00161AA3">
        <w:rPr>
          <w:rFonts w:asciiTheme="minorHAnsi" w:hAnsiTheme="minorHAnsi"/>
          <w:szCs w:val="24"/>
        </w:rPr>
        <w:t>2015;64</w:t>
      </w:r>
      <w:r w:rsidR="00954F51" w:rsidRPr="00161AA3">
        <w:rPr>
          <w:rFonts w:asciiTheme="minorHAnsi" w:hAnsiTheme="minorHAnsi"/>
          <w:szCs w:val="24"/>
        </w:rPr>
        <w:t>, No34</w:t>
      </w:r>
      <w:r w:rsidR="00491BA3" w:rsidRPr="00161AA3">
        <w:rPr>
          <w:rFonts w:asciiTheme="minorHAnsi" w:hAnsiTheme="minorHAnsi"/>
          <w:szCs w:val="24"/>
        </w:rPr>
        <w:t>:948</w:t>
      </w:r>
      <w:r w:rsidR="00DE1EE4" w:rsidRPr="00161AA3">
        <w:rPr>
          <w:rFonts w:asciiTheme="minorHAnsi" w:hAnsiTheme="minorHAnsi"/>
          <w:szCs w:val="24"/>
        </w:rPr>
        <w:t>.</w:t>
      </w:r>
      <w:r w:rsidR="00491BA3" w:rsidRPr="00161AA3">
        <w:rPr>
          <w:rFonts w:asciiTheme="minorHAnsi" w:hAnsiTheme="minorHAnsi"/>
          <w:szCs w:val="24"/>
        </w:rPr>
        <w:t>)</w:t>
      </w:r>
      <w:r w:rsidRPr="00161AA3">
        <w:rPr>
          <w:rFonts w:asciiTheme="minorHAnsi" w:hAnsiTheme="minorHAnsi"/>
          <w:szCs w:val="24"/>
        </w:rPr>
        <w:t xml:space="preserve"> can be found at:</w:t>
      </w:r>
      <w:r w:rsidR="00491BA3" w:rsidRPr="00161AA3">
        <w:rPr>
          <w:rFonts w:asciiTheme="minorHAnsi" w:hAnsiTheme="minorHAnsi"/>
          <w:szCs w:val="24"/>
        </w:rPr>
        <w:t xml:space="preserve"> </w:t>
      </w:r>
      <w:hyperlink r:id="rId13" w:history="1">
        <w:r w:rsidR="00296EFA" w:rsidRPr="00161AA3">
          <w:rPr>
            <w:rStyle w:val="Hyperlink"/>
            <w:rFonts w:asciiTheme="minorHAnsi" w:hAnsiTheme="minorHAnsi"/>
            <w:szCs w:val="24"/>
          </w:rPr>
          <w:t>https://www.cdc.gov/mmwr/preview/mmwrhtml/mm6434a5.htm</w:t>
        </w:r>
      </w:hyperlink>
      <w:r w:rsidRPr="00161AA3">
        <w:rPr>
          <w:rFonts w:asciiTheme="minorHAnsi" w:hAnsiTheme="minorHAnsi"/>
          <w:szCs w:val="24"/>
        </w:rPr>
        <w:t>;</w:t>
      </w:r>
    </w:p>
    <w:p w:rsidR="009A352D" w:rsidRPr="00161AA3" w:rsidRDefault="009A352D" w:rsidP="009A352D">
      <w:pPr>
        <w:pStyle w:val="ListParagraph"/>
        <w:numPr>
          <w:ilvl w:val="0"/>
          <w:numId w:val="2"/>
        </w:numPr>
        <w:rPr>
          <w:rFonts w:asciiTheme="minorHAnsi" w:hAnsiTheme="minorHAnsi"/>
          <w:szCs w:val="24"/>
        </w:rPr>
      </w:pPr>
      <w:r w:rsidRPr="00161AA3">
        <w:rPr>
          <w:rFonts w:asciiTheme="minorHAnsi" w:hAnsiTheme="minorHAnsi"/>
          <w:szCs w:val="24"/>
        </w:rPr>
        <w:t xml:space="preserve">The </w:t>
      </w:r>
      <w:r w:rsidR="00477863" w:rsidRPr="00161AA3">
        <w:rPr>
          <w:rFonts w:asciiTheme="minorHAnsi" w:hAnsiTheme="minorHAnsi"/>
          <w:szCs w:val="24"/>
        </w:rPr>
        <w:t>2017 Childhood</w:t>
      </w:r>
      <w:r w:rsidR="00852DB6" w:rsidRPr="00161AA3">
        <w:rPr>
          <w:rFonts w:asciiTheme="minorHAnsi" w:hAnsiTheme="minorHAnsi"/>
          <w:szCs w:val="24"/>
        </w:rPr>
        <w:t xml:space="preserve"> and Ado</w:t>
      </w:r>
      <w:r w:rsidRPr="00161AA3">
        <w:rPr>
          <w:rFonts w:asciiTheme="minorHAnsi" w:hAnsiTheme="minorHAnsi"/>
          <w:szCs w:val="24"/>
        </w:rPr>
        <w:t>lescent Immunization Schedule (s</w:t>
      </w:r>
      <w:r w:rsidR="00852DB6" w:rsidRPr="00161AA3">
        <w:rPr>
          <w:rFonts w:asciiTheme="minorHAnsi" w:hAnsiTheme="minorHAnsi"/>
          <w:szCs w:val="24"/>
        </w:rPr>
        <w:t>ee footnote</w:t>
      </w:r>
      <w:r w:rsidR="00DF31C5" w:rsidRPr="00161AA3">
        <w:rPr>
          <w:rFonts w:asciiTheme="minorHAnsi" w:hAnsiTheme="minorHAnsi"/>
          <w:szCs w:val="24"/>
        </w:rPr>
        <w:t>s 6 and 12)</w:t>
      </w:r>
      <w:r w:rsidRPr="00161AA3">
        <w:rPr>
          <w:rFonts w:asciiTheme="minorHAnsi" w:hAnsiTheme="minorHAnsi"/>
          <w:szCs w:val="24"/>
        </w:rPr>
        <w:t xml:space="preserve"> can be found at:</w:t>
      </w:r>
      <w:r w:rsidR="00DF31C5" w:rsidRPr="00161AA3">
        <w:rPr>
          <w:rFonts w:asciiTheme="minorHAnsi" w:hAnsiTheme="minorHAnsi"/>
          <w:szCs w:val="24"/>
        </w:rPr>
        <w:t xml:space="preserve"> </w:t>
      </w:r>
      <w:hyperlink r:id="rId14" w:history="1">
        <w:r w:rsidR="00137523" w:rsidRPr="00161AA3">
          <w:rPr>
            <w:rStyle w:val="Hyperlink"/>
            <w:rFonts w:asciiTheme="minorHAnsi" w:hAnsiTheme="minorHAnsi"/>
            <w:szCs w:val="24"/>
          </w:rPr>
          <w:t>https://www.cdc.gov/vaccines/schedules/downloads/child/0-18yrs-child-combined-schedule.pdf</w:t>
        </w:r>
      </w:hyperlink>
      <w:r w:rsidR="00137523" w:rsidRPr="00161AA3">
        <w:rPr>
          <w:rFonts w:asciiTheme="minorHAnsi" w:hAnsiTheme="minorHAnsi"/>
          <w:szCs w:val="24"/>
        </w:rPr>
        <w:t>.</w:t>
      </w:r>
    </w:p>
    <w:p w:rsidR="00137523" w:rsidRPr="00161AA3" w:rsidRDefault="00DE1EE4" w:rsidP="00B9757A">
      <w:pPr>
        <w:pStyle w:val="ListParagraph"/>
        <w:numPr>
          <w:ilvl w:val="0"/>
          <w:numId w:val="2"/>
        </w:numPr>
        <w:rPr>
          <w:rFonts w:asciiTheme="minorHAnsi" w:hAnsiTheme="minorHAnsi"/>
          <w:szCs w:val="24"/>
        </w:rPr>
      </w:pPr>
      <w:r w:rsidRPr="00161AA3">
        <w:rPr>
          <w:rFonts w:asciiTheme="minorHAnsi" w:hAnsiTheme="minorHAnsi"/>
          <w:szCs w:val="24"/>
        </w:rPr>
        <w:t>The package insert can be found at:</w:t>
      </w:r>
      <w:r w:rsidR="009A352D" w:rsidRPr="00161AA3">
        <w:rPr>
          <w:rFonts w:asciiTheme="minorHAnsi" w:hAnsiTheme="minorHAnsi"/>
          <w:szCs w:val="24"/>
        </w:rPr>
        <w:t xml:space="preserve"> </w:t>
      </w:r>
      <w:hyperlink r:id="rId15" w:history="1">
        <w:r w:rsidRPr="00161AA3">
          <w:rPr>
            <w:rStyle w:val="Hyperlink"/>
            <w:rFonts w:asciiTheme="minorHAnsi" w:hAnsiTheme="minorHAnsi"/>
            <w:szCs w:val="24"/>
          </w:rPr>
          <w:t>https://www.fda.gov/downloads/BiologicsBloodVaccines/Vaccines/ApprovedProducts/UCM439903.pdf</w:t>
        </w:r>
      </w:hyperlink>
      <w:r w:rsidRPr="00161AA3">
        <w:rPr>
          <w:rFonts w:asciiTheme="minorHAnsi" w:hAnsiTheme="minorHAnsi"/>
          <w:szCs w:val="24"/>
        </w:rPr>
        <w:t>.</w:t>
      </w:r>
    </w:p>
    <w:p w:rsidR="00DE1EE4" w:rsidRPr="00161AA3" w:rsidRDefault="00DE1EE4" w:rsidP="00B9757A">
      <w:pPr>
        <w:rPr>
          <w:rFonts w:asciiTheme="minorHAnsi" w:hAnsiTheme="minorHAnsi"/>
          <w:b/>
          <w:szCs w:val="24"/>
        </w:rPr>
      </w:pPr>
    </w:p>
    <w:p w:rsidR="007C3383" w:rsidRPr="00161AA3" w:rsidRDefault="007C3383" w:rsidP="007C3383">
      <w:pPr>
        <w:rPr>
          <w:rFonts w:asciiTheme="minorHAnsi" w:hAnsiTheme="minorHAnsi" w:cs="Arial"/>
          <w:b/>
          <w:szCs w:val="24"/>
        </w:rPr>
      </w:pPr>
      <w:r w:rsidRPr="00161AA3">
        <w:rPr>
          <w:rFonts w:asciiTheme="minorHAnsi" w:hAnsiTheme="minorHAnsi" w:cs="Arial"/>
          <w:b/>
          <w:szCs w:val="24"/>
        </w:rPr>
        <w:t>Vaccine Ordering</w:t>
      </w:r>
    </w:p>
    <w:p w:rsidR="007C3383" w:rsidRPr="00161AA3" w:rsidRDefault="007C3383" w:rsidP="007C3383">
      <w:pPr>
        <w:rPr>
          <w:rFonts w:asciiTheme="minorHAnsi" w:hAnsiTheme="minorHAnsi" w:cs="Arial"/>
          <w:szCs w:val="24"/>
        </w:rPr>
      </w:pPr>
      <w:r w:rsidRPr="00161AA3">
        <w:rPr>
          <w:rFonts w:asciiTheme="minorHAnsi" w:hAnsiTheme="minorHAnsi" w:cs="Arial"/>
          <w:szCs w:val="24"/>
        </w:rPr>
        <w:t>Because Quadracel</w:t>
      </w:r>
      <w:r w:rsidRPr="00161AA3">
        <w:rPr>
          <w:rFonts w:asciiTheme="minorHAnsi" w:hAnsiTheme="minorHAnsi" w:cs="Arial"/>
          <w:szCs w:val="24"/>
          <w:vertAlign w:val="superscript"/>
        </w:rPr>
        <w:t>®</w:t>
      </w:r>
      <w:r w:rsidRPr="00161AA3">
        <w:rPr>
          <w:rFonts w:asciiTheme="minorHAnsi" w:hAnsiTheme="minorHAnsi" w:cs="Arial"/>
          <w:szCs w:val="24"/>
        </w:rPr>
        <w:t xml:space="preserve"> is not currently in your inventory, you will need to perform an additional step the first time you order this vaccine.  You will need to select “Add Vaccine” at the bottom of the screen after you request doses of the other vaccines you are ordering.  From the drop down menu, select “DTaP-IPV” vaccine, and then select </w:t>
      </w:r>
      <w:r w:rsidR="005D54E7" w:rsidRPr="00161AA3">
        <w:rPr>
          <w:rFonts w:asciiTheme="minorHAnsi" w:hAnsiTheme="minorHAnsi" w:cs="Arial"/>
          <w:szCs w:val="24"/>
        </w:rPr>
        <w:t>“</w:t>
      </w:r>
      <w:r w:rsidRPr="00161AA3">
        <w:rPr>
          <w:rFonts w:asciiTheme="minorHAnsi" w:hAnsiTheme="minorHAnsi" w:cs="Arial"/>
          <w:szCs w:val="24"/>
        </w:rPr>
        <w:t>Quadracel</w:t>
      </w:r>
      <w:r w:rsidR="005D54E7" w:rsidRPr="00161AA3">
        <w:rPr>
          <w:rFonts w:asciiTheme="minorHAnsi" w:hAnsiTheme="minorHAnsi" w:cs="Arial"/>
          <w:szCs w:val="24"/>
        </w:rPr>
        <w:t>”</w:t>
      </w:r>
      <w:r w:rsidRPr="00161AA3">
        <w:rPr>
          <w:rFonts w:asciiTheme="minorHAnsi" w:hAnsiTheme="minorHAnsi" w:cs="Arial"/>
          <w:szCs w:val="24"/>
        </w:rPr>
        <w:t>. You should only stock one formulation of DTaP-IPV combination vaccine and it should match your other DTaP combination vaccine (Pediarix</w:t>
      </w:r>
      <w:r w:rsidRPr="00161AA3">
        <w:rPr>
          <w:rFonts w:asciiTheme="minorHAnsi" w:hAnsiTheme="minorHAnsi" w:cs="Arial"/>
          <w:szCs w:val="24"/>
          <w:vertAlign w:val="superscript"/>
        </w:rPr>
        <w:t>®</w:t>
      </w:r>
      <w:r w:rsidRPr="00161AA3">
        <w:rPr>
          <w:rFonts w:asciiTheme="minorHAnsi" w:hAnsiTheme="minorHAnsi" w:cs="Arial"/>
          <w:szCs w:val="24"/>
        </w:rPr>
        <w:t xml:space="preserve"> or Pentacel</w:t>
      </w:r>
      <w:r w:rsidRPr="00161AA3">
        <w:rPr>
          <w:rFonts w:asciiTheme="minorHAnsi" w:hAnsiTheme="minorHAnsi" w:cs="Arial"/>
          <w:szCs w:val="24"/>
          <w:vertAlign w:val="superscript"/>
        </w:rPr>
        <w:t>®</w:t>
      </w:r>
      <w:r w:rsidRPr="00161AA3">
        <w:rPr>
          <w:rFonts w:asciiTheme="minorHAnsi" w:hAnsiTheme="minorHAnsi" w:cs="Arial"/>
          <w:szCs w:val="24"/>
        </w:rPr>
        <w:t>) that you have in inventory.   If you do change formulations of DTaP-IPV combination vaccine</w:t>
      </w:r>
      <w:r w:rsidR="005D54E7" w:rsidRPr="00161AA3">
        <w:rPr>
          <w:rFonts w:asciiTheme="minorHAnsi" w:hAnsiTheme="minorHAnsi" w:cs="Arial"/>
          <w:szCs w:val="24"/>
        </w:rPr>
        <w:t>,</w:t>
      </w:r>
      <w:r w:rsidRPr="00161AA3">
        <w:rPr>
          <w:rFonts w:asciiTheme="minorHAnsi" w:hAnsiTheme="minorHAnsi" w:cs="Arial"/>
          <w:szCs w:val="24"/>
        </w:rPr>
        <w:t xml:space="preserve"> please make sure you use all of your doses of Kinrix</w:t>
      </w:r>
      <w:r w:rsidRPr="00161AA3">
        <w:rPr>
          <w:rFonts w:asciiTheme="minorHAnsi" w:hAnsiTheme="minorHAnsi" w:cs="Arial"/>
          <w:szCs w:val="24"/>
          <w:vertAlign w:val="superscript"/>
        </w:rPr>
        <w:t>®</w:t>
      </w:r>
      <w:r w:rsidRPr="00161AA3">
        <w:rPr>
          <w:rFonts w:asciiTheme="minorHAnsi" w:hAnsiTheme="minorHAnsi" w:cs="Arial"/>
          <w:szCs w:val="24"/>
        </w:rPr>
        <w:t>.</w:t>
      </w:r>
    </w:p>
    <w:p w:rsidR="00BC2690" w:rsidRPr="00161AA3" w:rsidRDefault="00BC2690" w:rsidP="007C3383">
      <w:pPr>
        <w:rPr>
          <w:rFonts w:asciiTheme="minorHAnsi" w:hAnsiTheme="minorHAnsi" w:cs="Arial"/>
          <w:szCs w:val="24"/>
        </w:rPr>
      </w:pPr>
    </w:p>
    <w:p w:rsidR="007C3383" w:rsidRPr="00161AA3" w:rsidRDefault="00BC2690" w:rsidP="007C3383">
      <w:pPr>
        <w:rPr>
          <w:rFonts w:asciiTheme="minorHAnsi" w:hAnsiTheme="minorHAnsi" w:cs="Arial"/>
          <w:b/>
          <w:szCs w:val="24"/>
        </w:rPr>
      </w:pPr>
      <w:r w:rsidRPr="00161AA3">
        <w:rPr>
          <w:rFonts w:asciiTheme="minorHAnsi" w:hAnsiTheme="minorHAnsi" w:cs="Arial"/>
          <w:b/>
          <w:szCs w:val="24"/>
        </w:rPr>
        <w:t>Questions</w:t>
      </w:r>
    </w:p>
    <w:p w:rsidR="00BC60FA" w:rsidRPr="00BC60FA" w:rsidRDefault="00BC60FA" w:rsidP="00BC60FA">
      <w:pPr>
        <w:rPr>
          <w:rFonts w:asciiTheme="minorHAnsi" w:hAnsiTheme="minorHAnsi" w:cs="Arial"/>
          <w:szCs w:val="24"/>
        </w:rPr>
      </w:pPr>
      <w:r w:rsidRPr="00161AA3">
        <w:rPr>
          <w:rFonts w:asciiTheme="minorHAnsi" w:hAnsiTheme="minorHAnsi" w:cs="Arial"/>
          <w:szCs w:val="24"/>
        </w:rPr>
        <w:t>For questions about state supplied vaccine availability and ordering, please contact the Vaccine Management Unit at 617-983-6828.  For questions about Quadracel</w:t>
      </w:r>
      <w:r w:rsidRPr="00161AA3">
        <w:rPr>
          <w:rFonts w:asciiTheme="minorHAnsi" w:hAnsiTheme="minorHAnsi" w:cs="Arial"/>
          <w:szCs w:val="24"/>
          <w:vertAlign w:val="superscript"/>
        </w:rPr>
        <w:t>®</w:t>
      </w:r>
      <w:r w:rsidRPr="00161AA3">
        <w:rPr>
          <w:rFonts w:asciiTheme="minorHAnsi" w:hAnsiTheme="minorHAnsi" w:cs="Arial"/>
          <w:szCs w:val="24"/>
        </w:rPr>
        <w:t xml:space="preserve"> recommendations and administration, please call the Immunization Program at 617-983-6800 and ask to speak to an immunization epidemiologist.</w:t>
      </w:r>
    </w:p>
    <w:p w:rsidR="007C3383" w:rsidRPr="00BC60FA" w:rsidRDefault="007C3383" w:rsidP="0072610D">
      <w:pPr>
        <w:rPr>
          <w:rFonts w:asciiTheme="minorHAnsi" w:hAnsiTheme="minorHAnsi" w:cs="Arial"/>
          <w:b/>
          <w:szCs w:val="24"/>
        </w:rPr>
      </w:pPr>
    </w:p>
    <w:sectPr w:rsidR="007C3383" w:rsidRPr="00BC60FA" w:rsidSect="00944CB1">
      <w:footerReference w:type="default" r:id="rId16"/>
      <w:pgSz w:w="12240" w:h="15840"/>
      <w:pgMar w:top="864" w:right="1296" w:bottom="864" w:left="1296"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0C" w:rsidRDefault="00EE5C0C" w:rsidP="009136CF">
      <w:r>
        <w:separator/>
      </w:r>
    </w:p>
  </w:endnote>
  <w:endnote w:type="continuationSeparator" w:id="0">
    <w:p w:rsidR="00EE5C0C" w:rsidRDefault="00EE5C0C" w:rsidP="0091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6CF" w:rsidRPr="00E61106" w:rsidRDefault="00296EFA" w:rsidP="00E61106">
    <w:pPr>
      <w:pStyle w:val="Footer"/>
      <w:rPr>
        <w:sz w:val="18"/>
        <w:szCs w:val="18"/>
      </w:rPr>
    </w:pPr>
    <w:r>
      <w:rPr>
        <w:rFonts w:ascii="Arial" w:hAnsi="Arial" w:cs="Arial"/>
        <w:sz w:val="16"/>
        <w:szCs w:val="18"/>
      </w:rPr>
      <w:t>Quadracel Availability</w:t>
    </w:r>
    <w:r w:rsidR="00A60309" w:rsidRPr="00E36DA8">
      <w:rPr>
        <w:rFonts w:ascii="Arial" w:hAnsi="Arial" w:cs="Arial"/>
        <w:sz w:val="16"/>
        <w:szCs w:val="18"/>
      </w:rPr>
      <w:t>, MDPH</w:t>
    </w:r>
    <w:r w:rsidR="00A60309">
      <w:rPr>
        <w:rFonts w:ascii="Arial" w:hAnsi="Arial" w:cs="Arial"/>
        <w:sz w:val="18"/>
        <w:szCs w:val="18"/>
      </w:rPr>
      <w:tab/>
    </w:r>
    <w:r w:rsidR="00E36DA8" w:rsidRPr="005739F5">
      <w:rPr>
        <w:rFonts w:ascii="Arial" w:hAnsi="Arial" w:cs="Arial"/>
        <w:sz w:val="18"/>
        <w:szCs w:val="18"/>
      </w:rPr>
      <w:fldChar w:fldCharType="begin"/>
    </w:r>
    <w:r w:rsidR="00E36DA8" w:rsidRPr="005739F5">
      <w:rPr>
        <w:rFonts w:ascii="Arial" w:hAnsi="Arial" w:cs="Arial"/>
        <w:sz w:val="18"/>
        <w:szCs w:val="18"/>
      </w:rPr>
      <w:instrText xml:space="preserve"> PAGE   \* MERGEFORMAT </w:instrText>
    </w:r>
    <w:r w:rsidR="00E36DA8" w:rsidRPr="005739F5">
      <w:rPr>
        <w:rFonts w:ascii="Arial" w:hAnsi="Arial" w:cs="Arial"/>
        <w:sz w:val="18"/>
        <w:szCs w:val="18"/>
      </w:rPr>
      <w:fldChar w:fldCharType="separate"/>
    </w:r>
    <w:r w:rsidR="00377ADC">
      <w:rPr>
        <w:rFonts w:ascii="Arial" w:hAnsi="Arial" w:cs="Arial"/>
        <w:noProof/>
        <w:sz w:val="18"/>
        <w:szCs w:val="18"/>
      </w:rPr>
      <w:t>1</w:t>
    </w:r>
    <w:r w:rsidR="00E36DA8" w:rsidRPr="005739F5">
      <w:rPr>
        <w:rFonts w:ascii="Arial" w:hAnsi="Arial" w:cs="Arial"/>
        <w:noProof/>
        <w:sz w:val="18"/>
        <w:szCs w:val="18"/>
      </w:rPr>
      <w:fldChar w:fldCharType="end"/>
    </w:r>
    <w:r w:rsidR="005739F5" w:rsidRPr="005739F5">
      <w:rPr>
        <w:rFonts w:ascii="Arial" w:hAnsi="Arial" w:cs="Arial"/>
        <w:sz w:val="18"/>
        <w:szCs w:val="18"/>
      </w:rPr>
      <w:tab/>
    </w:r>
    <w:r w:rsidR="0058397E">
      <w:rPr>
        <w:rFonts w:ascii="Arial" w:hAnsi="Arial" w:cs="Arial"/>
        <w:sz w:val="16"/>
        <w:szCs w:val="18"/>
      </w:rPr>
      <w:t xml:space="preserve">April 27, </w:t>
    </w:r>
    <w:r w:rsidR="00E61106">
      <w:rPr>
        <w:rFonts w:ascii="Arial" w:hAnsi="Arial" w:cs="Arial"/>
        <w:sz w:val="16"/>
        <w:szCs w:val="18"/>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0C" w:rsidRDefault="00EE5C0C" w:rsidP="009136CF">
      <w:r>
        <w:separator/>
      </w:r>
    </w:p>
  </w:footnote>
  <w:footnote w:type="continuationSeparator" w:id="0">
    <w:p w:rsidR="00EE5C0C" w:rsidRDefault="00EE5C0C" w:rsidP="00913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68A4"/>
    <w:multiLevelType w:val="hybridMultilevel"/>
    <w:tmpl w:val="5CE41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12063"/>
    <w:multiLevelType w:val="hybridMultilevel"/>
    <w:tmpl w:val="2E2A4E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DCC4AA4"/>
    <w:multiLevelType w:val="hybridMultilevel"/>
    <w:tmpl w:val="82EA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134EA"/>
    <w:rsid w:val="000304CF"/>
    <w:rsid w:val="00033154"/>
    <w:rsid w:val="00042048"/>
    <w:rsid w:val="000537DA"/>
    <w:rsid w:val="00077B7B"/>
    <w:rsid w:val="000D61FF"/>
    <w:rsid w:val="000E59E8"/>
    <w:rsid w:val="000F1F00"/>
    <w:rsid w:val="000F315B"/>
    <w:rsid w:val="001278E9"/>
    <w:rsid w:val="00137523"/>
    <w:rsid w:val="0015268B"/>
    <w:rsid w:val="00161AA3"/>
    <w:rsid w:val="0016654F"/>
    <w:rsid w:val="00174433"/>
    <w:rsid w:val="00177A60"/>
    <w:rsid w:val="00177C77"/>
    <w:rsid w:val="00180E6D"/>
    <w:rsid w:val="001A5680"/>
    <w:rsid w:val="001B0512"/>
    <w:rsid w:val="0025183F"/>
    <w:rsid w:val="00251A05"/>
    <w:rsid w:val="00274D45"/>
    <w:rsid w:val="00276957"/>
    <w:rsid w:val="00276DCC"/>
    <w:rsid w:val="00296EFA"/>
    <w:rsid w:val="002C185A"/>
    <w:rsid w:val="002C3A70"/>
    <w:rsid w:val="002C731F"/>
    <w:rsid w:val="00336987"/>
    <w:rsid w:val="00377ADC"/>
    <w:rsid w:val="00385812"/>
    <w:rsid w:val="00385FC7"/>
    <w:rsid w:val="00392D0B"/>
    <w:rsid w:val="00393447"/>
    <w:rsid w:val="003A7AFC"/>
    <w:rsid w:val="003C60EF"/>
    <w:rsid w:val="003F4C08"/>
    <w:rsid w:val="00400FDC"/>
    <w:rsid w:val="00403287"/>
    <w:rsid w:val="00476AF3"/>
    <w:rsid w:val="00477863"/>
    <w:rsid w:val="004813AC"/>
    <w:rsid w:val="00491BA3"/>
    <w:rsid w:val="004B37A0"/>
    <w:rsid w:val="004D6B39"/>
    <w:rsid w:val="004E29DA"/>
    <w:rsid w:val="004F3D39"/>
    <w:rsid w:val="00511BE1"/>
    <w:rsid w:val="0052287E"/>
    <w:rsid w:val="005448AA"/>
    <w:rsid w:val="00570DEB"/>
    <w:rsid w:val="005739F5"/>
    <w:rsid w:val="005757F9"/>
    <w:rsid w:val="005809E2"/>
    <w:rsid w:val="00583680"/>
    <w:rsid w:val="0058397E"/>
    <w:rsid w:val="005A14DC"/>
    <w:rsid w:val="005D54E7"/>
    <w:rsid w:val="005F110D"/>
    <w:rsid w:val="006052CA"/>
    <w:rsid w:val="006217E2"/>
    <w:rsid w:val="0064794B"/>
    <w:rsid w:val="00647B93"/>
    <w:rsid w:val="006D06D9"/>
    <w:rsid w:val="006D40DA"/>
    <w:rsid w:val="006D77A6"/>
    <w:rsid w:val="00702109"/>
    <w:rsid w:val="0072610D"/>
    <w:rsid w:val="007A39D4"/>
    <w:rsid w:val="007A50F0"/>
    <w:rsid w:val="007B3F4B"/>
    <w:rsid w:val="007B7347"/>
    <w:rsid w:val="007C3383"/>
    <w:rsid w:val="007D10F3"/>
    <w:rsid w:val="00801092"/>
    <w:rsid w:val="00830AA2"/>
    <w:rsid w:val="00833F50"/>
    <w:rsid w:val="008425A7"/>
    <w:rsid w:val="00852DB6"/>
    <w:rsid w:val="00855064"/>
    <w:rsid w:val="008633D6"/>
    <w:rsid w:val="0087728D"/>
    <w:rsid w:val="008A1605"/>
    <w:rsid w:val="008C15D2"/>
    <w:rsid w:val="008E68EE"/>
    <w:rsid w:val="009136CF"/>
    <w:rsid w:val="009152F1"/>
    <w:rsid w:val="00921B25"/>
    <w:rsid w:val="00932B9D"/>
    <w:rsid w:val="0094428F"/>
    <w:rsid w:val="00944CB1"/>
    <w:rsid w:val="00954F51"/>
    <w:rsid w:val="00955ABD"/>
    <w:rsid w:val="009643A9"/>
    <w:rsid w:val="00977BA4"/>
    <w:rsid w:val="00982C5F"/>
    <w:rsid w:val="009908FF"/>
    <w:rsid w:val="0099542E"/>
    <w:rsid w:val="00995505"/>
    <w:rsid w:val="009A352D"/>
    <w:rsid w:val="009A50F8"/>
    <w:rsid w:val="009E492D"/>
    <w:rsid w:val="009E4F08"/>
    <w:rsid w:val="00A007B5"/>
    <w:rsid w:val="00A16A1D"/>
    <w:rsid w:val="00A340F9"/>
    <w:rsid w:val="00A350F0"/>
    <w:rsid w:val="00A53540"/>
    <w:rsid w:val="00A60309"/>
    <w:rsid w:val="00A65101"/>
    <w:rsid w:val="00A71718"/>
    <w:rsid w:val="00A805C6"/>
    <w:rsid w:val="00A80F50"/>
    <w:rsid w:val="00A85FDC"/>
    <w:rsid w:val="00AE3F85"/>
    <w:rsid w:val="00AE6E3C"/>
    <w:rsid w:val="00AF5D17"/>
    <w:rsid w:val="00B3213A"/>
    <w:rsid w:val="00B403BF"/>
    <w:rsid w:val="00B47152"/>
    <w:rsid w:val="00B57B68"/>
    <w:rsid w:val="00B608D9"/>
    <w:rsid w:val="00B82386"/>
    <w:rsid w:val="00B9757A"/>
    <w:rsid w:val="00BA4055"/>
    <w:rsid w:val="00BA6211"/>
    <w:rsid w:val="00BA7A10"/>
    <w:rsid w:val="00BA7FB6"/>
    <w:rsid w:val="00BC2690"/>
    <w:rsid w:val="00BC60FA"/>
    <w:rsid w:val="00C16C39"/>
    <w:rsid w:val="00C20BFE"/>
    <w:rsid w:val="00C21B92"/>
    <w:rsid w:val="00C22A95"/>
    <w:rsid w:val="00C54333"/>
    <w:rsid w:val="00CC1778"/>
    <w:rsid w:val="00CE575B"/>
    <w:rsid w:val="00CF0F53"/>
    <w:rsid w:val="00CF240E"/>
    <w:rsid w:val="00CF3DE8"/>
    <w:rsid w:val="00D0493F"/>
    <w:rsid w:val="00D059BF"/>
    <w:rsid w:val="00D44DFC"/>
    <w:rsid w:val="00D50233"/>
    <w:rsid w:val="00D56F91"/>
    <w:rsid w:val="00D7402B"/>
    <w:rsid w:val="00D82667"/>
    <w:rsid w:val="00D8671C"/>
    <w:rsid w:val="00DA57C3"/>
    <w:rsid w:val="00DC3855"/>
    <w:rsid w:val="00DD06C4"/>
    <w:rsid w:val="00DE1EE4"/>
    <w:rsid w:val="00DE2A28"/>
    <w:rsid w:val="00DF31C5"/>
    <w:rsid w:val="00DF3496"/>
    <w:rsid w:val="00E274B8"/>
    <w:rsid w:val="00E36DA8"/>
    <w:rsid w:val="00E61106"/>
    <w:rsid w:val="00E72707"/>
    <w:rsid w:val="00EA0ABA"/>
    <w:rsid w:val="00EE433A"/>
    <w:rsid w:val="00EE5C0C"/>
    <w:rsid w:val="00F0586E"/>
    <w:rsid w:val="00F203EE"/>
    <w:rsid w:val="00F43932"/>
    <w:rsid w:val="00F84A86"/>
    <w:rsid w:val="00FA41B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ListParagraph">
    <w:name w:val="List Paragraph"/>
    <w:basedOn w:val="Normal"/>
    <w:uiPriority w:val="34"/>
    <w:qFormat/>
    <w:rsid w:val="00077B7B"/>
    <w:pPr>
      <w:ind w:left="720"/>
      <w:contextualSpacing/>
    </w:pPr>
  </w:style>
  <w:style w:type="paragraph" w:styleId="Header">
    <w:name w:val="header"/>
    <w:basedOn w:val="Normal"/>
    <w:link w:val="HeaderChar"/>
    <w:uiPriority w:val="99"/>
    <w:unhideWhenUsed/>
    <w:rsid w:val="009136CF"/>
    <w:pPr>
      <w:tabs>
        <w:tab w:val="center" w:pos="4680"/>
        <w:tab w:val="right" w:pos="9360"/>
      </w:tabs>
    </w:pPr>
  </w:style>
  <w:style w:type="character" w:customStyle="1" w:styleId="HeaderChar">
    <w:name w:val="Header Char"/>
    <w:basedOn w:val="DefaultParagraphFont"/>
    <w:link w:val="Header"/>
    <w:uiPriority w:val="99"/>
    <w:rsid w:val="009136CF"/>
    <w:rPr>
      <w:sz w:val="24"/>
      <w:szCs w:val="20"/>
    </w:rPr>
  </w:style>
  <w:style w:type="paragraph" w:styleId="Footer">
    <w:name w:val="footer"/>
    <w:basedOn w:val="Normal"/>
    <w:link w:val="FooterChar"/>
    <w:uiPriority w:val="99"/>
    <w:unhideWhenUsed/>
    <w:rsid w:val="009136CF"/>
    <w:pPr>
      <w:tabs>
        <w:tab w:val="center" w:pos="4680"/>
        <w:tab w:val="right" w:pos="9360"/>
      </w:tabs>
    </w:pPr>
  </w:style>
  <w:style w:type="character" w:customStyle="1" w:styleId="FooterChar">
    <w:name w:val="Footer Char"/>
    <w:basedOn w:val="DefaultParagraphFont"/>
    <w:link w:val="Footer"/>
    <w:uiPriority w:val="99"/>
    <w:rsid w:val="009136CF"/>
    <w:rPr>
      <w:sz w:val="24"/>
      <w:szCs w:val="20"/>
    </w:rPr>
  </w:style>
  <w:style w:type="character" w:styleId="FollowedHyperlink">
    <w:name w:val="FollowedHyperlink"/>
    <w:basedOn w:val="DefaultParagraphFont"/>
    <w:uiPriority w:val="99"/>
    <w:semiHidden/>
    <w:unhideWhenUsed/>
    <w:rsid w:val="00491BA3"/>
    <w:rPr>
      <w:color w:val="800080" w:themeColor="followedHyperlink"/>
      <w:u w:val="single"/>
    </w:rPr>
  </w:style>
  <w:style w:type="character" w:styleId="Emphasis">
    <w:name w:val="Emphasis"/>
    <w:basedOn w:val="DefaultParagraphFont"/>
    <w:qFormat/>
    <w:locked/>
    <w:rsid w:val="009152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ListParagraph">
    <w:name w:val="List Paragraph"/>
    <w:basedOn w:val="Normal"/>
    <w:uiPriority w:val="34"/>
    <w:qFormat/>
    <w:rsid w:val="00077B7B"/>
    <w:pPr>
      <w:ind w:left="720"/>
      <w:contextualSpacing/>
    </w:pPr>
  </w:style>
  <w:style w:type="paragraph" w:styleId="Header">
    <w:name w:val="header"/>
    <w:basedOn w:val="Normal"/>
    <w:link w:val="HeaderChar"/>
    <w:uiPriority w:val="99"/>
    <w:unhideWhenUsed/>
    <w:rsid w:val="009136CF"/>
    <w:pPr>
      <w:tabs>
        <w:tab w:val="center" w:pos="4680"/>
        <w:tab w:val="right" w:pos="9360"/>
      </w:tabs>
    </w:pPr>
  </w:style>
  <w:style w:type="character" w:customStyle="1" w:styleId="HeaderChar">
    <w:name w:val="Header Char"/>
    <w:basedOn w:val="DefaultParagraphFont"/>
    <w:link w:val="Header"/>
    <w:uiPriority w:val="99"/>
    <w:rsid w:val="009136CF"/>
    <w:rPr>
      <w:sz w:val="24"/>
      <w:szCs w:val="20"/>
    </w:rPr>
  </w:style>
  <w:style w:type="paragraph" w:styleId="Footer">
    <w:name w:val="footer"/>
    <w:basedOn w:val="Normal"/>
    <w:link w:val="FooterChar"/>
    <w:uiPriority w:val="99"/>
    <w:unhideWhenUsed/>
    <w:rsid w:val="009136CF"/>
    <w:pPr>
      <w:tabs>
        <w:tab w:val="center" w:pos="4680"/>
        <w:tab w:val="right" w:pos="9360"/>
      </w:tabs>
    </w:pPr>
  </w:style>
  <w:style w:type="character" w:customStyle="1" w:styleId="FooterChar">
    <w:name w:val="Footer Char"/>
    <w:basedOn w:val="DefaultParagraphFont"/>
    <w:link w:val="Footer"/>
    <w:uiPriority w:val="99"/>
    <w:rsid w:val="009136CF"/>
    <w:rPr>
      <w:sz w:val="24"/>
      <w:szCs w:val="20"/>
    </w:rPr>
  </w:style>
  <w:style w:type="character" w:styleId="FollowedHyperlink">
    <w:name w:val="FollowedHyperlink"/>
    <w:basedOn w:val="DefaultParagraphFont"/>
    <w:uiPriority w:val="99"/>
    <w:semiHidden/>
    <w:unhideWhenUsed/>
    <w:rsid w:val="00491BA3"/>
    <w:rPr>
      <w:color w:val="800080" w:themeColor="followedHyperlink"/>
      <w:u w:val="single"/>
    </w:rPr>
  </w:style>
  <w:style w:type="character" w:styleId="Emphasis">
    <w:name w:val="Emphasis"/>
    <w:basedOn w:val="DefaultParagraphFont"/>
    <w:qFormat/>
    <w:locked/>
    <w:rsid w:val="00915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imm"/>
  <Relationship Id="rId11" Type="http://schemas.openxmlformats.org/officeDocument/2006/relationships/hyperlink" TargetMode="External" Target="http://www.mass.gov/dph/epi"/>
  <Relationship Id="rId12" Type="http://schemas.openxmlformats.org/officeDocument/2006/relationships/hyperlink" TargetMode="External" Target="http://www.mass.gov/dph/imm"/>
  <Relationship Id="rId13" Type="http://schemas.openxmlformats.org/officeDocument/2006/relationships/hyperlink" TargetMode="External" Target="https://www.cdc.gov/mmwr/preview/mmwrhtml/mm6434a5.htm"/>
  <Relationship Id="rId14" Type="http://schemas.openxmlformats.org/officeDocument/2006/relationships/hyperlink" TargetMode="External" Target="https://www.cdc.gov/vaccines/schedules/downloads/child/0-18yrs-child-combined-schedule.pdf"/>
  <Relationship Id="rId15" Type="http://schemas.openxmlformats.org/officeDocument/2006/relationships/hyperlink" TargetMode="External" Target="https://www.fda.gov/downloads/BiologicsBloodVaccines/Vaccines/ApprovedProducts/UCM439903.pdf"/>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mass.gov/dph/epi"/>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2</Pages>
  <Words>677</Words>
  <Characters>3862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4530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2017-05-02T13:46:00Z</dcterms:created>
  <dc:creator>Kyle Marshall</dc:creator>
  <lastModifiedBy/>
  <lastPrinted>2017-04-26T20:58:00Z</lastPrinted>
  <dcterms:modified xsi:type="dcterms:W3CDTF">2017-05-02T13:46:00Z</dcterms:modified>
  <revision>2</revision>
  <dc:title>The Commonwealth of Massachusetts</dc:title>
</coreProperties>
</file>