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11FFA" w:rsidRDefault="00411FFA" w:rsidP="003663B1">
      <w:pPr>
        <w:tabs>
          <w:tab w:val="left" w:pos="720"/>
        </w:tabs>
        <w:jc w:val="center"/>
        <w:rPr>
          <w:b/>
        </w:rPr>
      </w:pPr>
    </w:p>
    <w:p w:rsidR="003663B1" w:rsidRDefault="00411FFA" w:rsidP="003663B1">
      <w:pPr>
        <w:jc w:val="center"/>
        <w:rPr>
          <w:b/>
          <w:sz w:val="28"/>
        </w:rPr>
      </w:pPr>
      <w:r>
        <w:rPr>
          <w:b/>
          <w:sz w:val="28"/>
        </w:rPr>
        <w:t>Division of Watershed Management</w:t>
      </w:r>
    </w:p>
    <w:p w:rsidR="00411FFA" w:rsidRDefault="00411FFA" w:rsidP="003663B1">
      <w:pPr>
        <w:jc w:val="center"/>
        <w:rPr>
          <w:b/>
          <w:sz w:val="28"/>
        </w:rPr>
      </w:pPr>
      <w:r>
        <w:rPr>
          <w:b/>
          <w:sz w:val="28"/>
        </w:rPr>
        <w:t>Department of Environmental Protection</w:t>
      </w:r>
    </w:p>
    <w:p w:rsidR="00411FFA" w:rsidRDefault="00411FFA" w:rsidP="003663B1">
      <w:pPr>
        <w:jc w:val="center"/>
        <w:rPr>
          <w:b/>
          <w:sz w:val="28"/>
        </w:rPr>
      </w:pPr>
      <w:smartTag w:uri="urn:schemas-microsoft-com:office:smarttags" w:element="Street">
        <w:smartTag w:uri="urn:schemas-microsoft-com:office:smarttags" w:element="address">
          <w:r>
            <w:rPr>
              <w:b/>
              <w:sz w:val="28"/>
            </w:rPr>
            <w:t>627 Main Street</w:t>
          </w:r>
        </w:smartTag>
      </w:smartTag>
      <w:r>
        <w:rPr>
          <w:b/>
          <w:sz w:val="28"/>
        </w:rPr>
        <w:t>, Second Floor</w:t>
      </w:r>
    </w:p>
    <w:p w:rsidR="00411FFA" w:rsidRDefault="00411FFA" w:rsidP="003663B1">
      <w:pPr>
        <w:pStyle w:val="Heading2"/>
        <w:jc w:val="center"/>
      </w:pPr>
      <w:smartTag w:uri="urn:schemas-microsoft-com:office:smarttags" w:element="place">
        <w:smartTag w:uri="urn:schemas-microsoft-com:office:smarttags" w:element="City">
          <w:r>
            <w:t>Worcester</w:t>
          </w:r>
        </w:smartTag>
        <w:r>
          <w:t xml:space="preserve">, </w:t>
        </w:r>
        <w:smartTag w:uri="urn:schemas-microsoft-com:office:smarttags" w:element="State">
          <w:r>
            <w:t>MA</w:t>
          </w:r>
        </w:smartTag>
      </w:smartTag>
    </w:p>
    <w:p w:rsidR="00411FFA" w:rsidRPr="00B41C18" w:rsidRDefault="00411FFA" w:rsidP="003663B1">
      <w:pPr>
        <w:pStyle w:val="Heading1"/>
        <w:jc w:val="center"/>
        <w:rPr>
          <w:sz w:val="22"/>
          <w:szCs w:val="22"/>
        </w:rPr>
      </w:pPr>
      <w:r w:rsidRPr="00B41C18">
        <w:rPr>
          <w:sz w:val="22"/>
          <w:szCs w:val="22"/>
        </w:rPr>
        <w:t>Standard Operating Procedure</w:t>
      </w:r>
    </w:p>
    <w:p w:rsidR="00B41C18" w:rsidRDefault="00E916BF" w:rsidP="00E916BF">
      <w:pPr>
        <w:tabs>
          <w:tab w:val="left" w:pos="6657"/>
        </w:tabs>
        <w:rPr>
          <w:b/>
        </w:rPr>
      </w:pPr>
      <w:r>
        <w:rPr>
          <w:b/>
        </w:rPr>
        <w:tab/>
      </w:r>
    </w:p>
    <w:p w:rsidR="00411FFA" w:rsidRDefault="00411FFA" w:rsidP="00411FFA">
      <w:pPr>
        <w:rPr>
          <w:b/>
          <w:u w:val="single"/>
        </w:rPr>
      </w:pPr>
      <w:r>
        <w:rPr>
          <w:b/>
        </w:rPr>
        <w:t xml:space="preserve">Title: </w:t>
      </w:r>
      <w:r w:rsidR="00B41C18">
        <w:rPr>
          <w:b/>
        </w:rPr>
        <w:t xml:space="preserve">    </w:t>
      </w:r>
      <w:r w:rsidR="00B41C18" w:rsidRPr="008C454F">
        <w:rPr>
          <w:rFonts w:asciiTheme="minorHAnsi" w:hAnsiTheme="minorHAnsi" w:cstheme="minorHAnsi"/>
          <w:b/>
        </w:rPr>
        <w:t>SOP for Phycocyanin Cyclops Probe and DataBank Datalogger</w:t>
      </w:r>
    </w:p>
    <w:p w:rsidR="00411FFA" w:rsidRDefault="00411FFA" w:rsidP="00411FFA">
      <w:pPr>
        <w:rPr>
          <w:b/>
          <w:u w:val="single"/>
        </w:rPr>
      </w:pPr>
    </w:p>
    <w:p w:rsidR="00411FFA" w:rsidRDefault="00411FFA" w:rsidP="00411FFA">
      <w:pPr>
        <w:rPr>
          <w:u w:val="single"/>
        </w:rPr>
      </w:pPr>
      <w:r>
        <w:rPr>
          <w:b/>
        </w:rPr>
        <w:t xml:space="preserve">CN:  </w:t>
      </w:r>
      <w:r w:rsidR="00AE4448">
        <w:rPr>
          <w:b/>
        </w:rPr>
        <w:t xml:space="preserve"> </w:t>
      </w:r>
      <w:r w:rsidR="00AE4448" w:rsidRPr="00AE4448">
        <w:t>409.0</w:t>
      </w:r>
      <w:r>
        <w:tab/>
      </w:r>
      <w:r>
        <w:tab/>
      </w:r>
      <w:r>
        <w:tab/>
      </w:r>
      <w:r>
        <w:tab/>
      </w:r>
      <w:r>
        <w:tab/>
      </w:r>
      <w:r>
        <w:rPr>
          <w:b/>
        </w:rPr>
        <w:t>Date:</w:t>
      </w:r>
      <w:r w:rsidR="00AE4448">
        <w:rPr>
          <w:b/>
        </w:rPr>
        <w:t xml:space="preserve">   </w:t>
      </w:r>
      <w:r w:rsidR="001A21C5">
        <w:t>August 6, 2015</w:t>
      </w:r>
      <w:r>
        <w:rPr>
          <w:u w:val="single"/>
        </w:rPr>
        <w:t xml:space="preserve">  </w:t>
      </w:r>
    </w:p>
    <w:p w:rsidR="00411FFA" w:rsidRDefault="00411FFA" w:rsidP="00411FFA">
      <w:pPr>
        <w:rPr>
          <w:u w:val="single"/>
        </w:rPr>
      </w:pPr>
    </w:p>
    <w:p w:rsidR="00411FFA" w:rsidRDefault="00411FFA" w:rsidP="00411FFA">
      <w:pPr>
        <w:rPr>
          <w:u w:val="single"/>
        </w:rPr>
      </w:pPr>
    </w:p>
    <w:p w:rsidR="00411FFA" w:rsidRDefault="00411FFA" w:rsidP="00411FFA">
      <w:pPr>
        <w:rPr>
          <w:u w:val="single"/>
        </w:rPr>
      </w:pPr>
      <w:r>
        <w:rPr>
          <w:u w:val="single"/>
        </w:rPr>
        <w:t xml:space="preserve"> </w:t>
      </w:r>
    </w:p>
    <w:p w:rsidR="00411FFA" w:rsidRDefault="00411FFA" w:rsidP="00411FFA">
      <w:pPr>
        <w:rPr>
          <w:b/>
          <w:u w:val="single"/>
        </w:rPr>
      </w:pPr>
      <w:r>
        <w:rPr>
          <w:b/>
        </w:rPr>
        <w:t>Prepared By:</w:t>
      </w:r>
      <w:r>
        <w:rPr>
          <w:b/>
        </w:rPr>
        <w:tab/>
      </w:r>
      <w:r>
        <w:rPr>
          <w:b/>
        </w:rPr>
        <w:tab/>
      </w:r>
      <w:r>
        <w:rPr>
          <w:b/>
          <w:u w:val="single"/>
        </w:rPr>
        <w:tab/>
      </w:r>
      <w:r>
        <w:rPr>
          <w:b/>
          <w:u w:val="single"/>
        </w:rPr>
        <w:tab/>
      </w:r>
      <w:r>
        <w:rPr>
          <w:b/>
          <w:u w:val="single"/>
        </w:rPr>
        <w:tab/>
      </w:r>
    </w:p>
    <w:p w:rsidR="00411FFA" w:rsidRDefault="00411FFA" w:rsidP="00411FFA">
      <w:pPr>
        <w:rPr>
          <w:b/>
        </w:rPr>
      </w:pPr>
      <w:r>
        <w:rPr>
          <w:b/>
        </w:rPr>
        <w:tab/>
      </w:r>
      <w:r>
        <w:rPr>
          <w:b/>
        </w:rPr>
        <w:tab/>
      </w:r>
      <w:r>
        <w:rPr>
          <w:b/>
        </w:rPr>
        <w:tab/>
      </w:r>
      <w:r>
        <w:t>(Joan Beskenis)</w:t>
      </w:r>
      <w:r>
        <w:rPr>
          <w:b/>
        </w:rPr>
        <w:tab/>
      </w:r>
    </w:p>
    <w:p w:rsidR="00411FFA" w:rsidRDefault="00411FFA" w:rsidP="00411FFA">
      <w:pPr>
        <w:pStyle w:val="Header"/>
        <w:ind w:left="2160" w:hanging="2160"/>
        <w:rPr>
          <w:b/>
        </w:rPr>
      </w:pPr>
      <w:r>
        <w:rPr>
          <w:b/>
        </w:rPr>
        <w:t>Monitoring</w:t>
      </w:r>
    </w:p>
    <w:p w:rsidR="00411FFA" w:rsidRDefault="00411FFA" w:rsidP="00411FFA">
      <w:pPr>
        <w:pStyle w:val="Header"/>
        <w:ind w:left="2160" w:hanging="2160"/>
        <w:rPr>
          <w:b/>
          <w:u w:val="single"/>
        </w:rPr>
      </w:pPr>
      <w:r>
        <w:rPr>
          <w:b/>
        </w:rPr>
        <w:t xml:space="preserve">Coordinator:       </w:t>
      </w:r>
      <w:r>
        <w:rPr>
          <w:b/>
        </w:rPr>
        <w:tab/>
      </w:r>
      <w:r>
        <w:rPr>
          <w:b/>
          <w:u w:val="single"/>
        </w:rPr>
        <w:tab/>
      </w:r>
    </w:p>
    <w:p w:rsidR="00411FFA" w:rsidRDefault="00411FFA" w:rsidP="00411FFA">
      <w:pPr>
        <w:pStyle w:val="Header"/>
        <w:ind w:left="2160" w:hanging="2160"/>
      </w:pPr>
      <w:r>
        <w:tab/>
        <w:t>(Arthur Johnson)</w:t>
      </w:r>
    </w:p>
    <w:p w:rsidR="00411FFA" w:rsidRDefault="00411FFA" w:rsidP="00411FFA">
      <w:pPr>
        <w:pStyle w:val="Header"/>
        <w:ind w:left="2160" w:hanging="2160"/>
      </w:pPr>
    </w:p>
    <w:p w:rsidR="00411FFA" w:rsidRDefault="00411FFA" w:rsidP="00411FFA">
      <w:pPr>
        <w:pStyle w:val="Header"/>
        <w:ind w:left="2160" w:hanging="2160"/>
        <w:rPr>
          <w:b/>
          <w:u w:val="single"/>
        </w:rPr>
      </w:pPr>
      <w:r>
        <w:rPr>
          <w:b/>
        </w:rPr>
        <w:t>QA/QC Officer:</w:t>
      </w:r>
      <w:r>
        <w:rPr>
          <w:b/>
        </w:rPr>
        <w:tab/>
      </w:r>
      <w:r>
        <w:rPr>
          <w:b/>
          <w:u w:val="single"/>
        </w:rPr>
        <w:tab/>
      </w:r>
    </w:p>
    <w:p w:rsidR="00411FFA" w:rsidRDefault="00411FFA" w:rsidP="00411FFA">
      <w:pPr>
        <w:pStyle w:val="Header"/>
        <w:ind w:left="2160" w:hanging="2160"/>
        <w:rPr>
          <w:b/>
        </w:rPr>
      </w:pPr>
      <w:r>
        <w:rPr>
          <w:b/>
        </w:rPr>
        <w:tab/>
      </w:r>
      <w:r>
        <w:t>(Richard Chase)</w:t>
      </w:r>
      <w:r>
        <w:rPr>
          <w:b/>
        </w:rPr>
        <w:t xml:space="preserve">   </w:t>
      </w:r>
    </w:p>
    <w:p w:rsidR="00411FFA" w:rsidRDefault="00411FFA" w:rsidP="00411FFA">
      <w:pPr>
        <w:pStyle w:val="Header"/>
        <w:rPr>
          <w:u w:val="single"/>
        </w:rPr>
      </w:pPr>
    </w:p>
    <w:p w:rsidR="00411FFA" w:rsidRDefault="00411FFA" w:rsidP="00411FFA">
      <w:pPr>
        <w:pStyle w:val="Header"/>
      </w:pPr>
    </w:p>
    <w:p w:rsidR="00411FFA" w:rsidRDefault="00411FFA" w:rsidP="00411FFA">
      <w:pPr>
        <w:pStyle w:val="Header"/>
        <w:ind w:left="2160" w:hanging="2160"/>
        <w:rPr>
          <w:b/>
          <w:u w:val="single"/>
        </w:rPr>
      </w:pPr>
      <w:r>
        <w:rPr>
          <w:b/>
        </w:rPr>
        <w:t>Program Director:</w:t>
      </w:r>
      <w:r>
        <w:rPr>
          <w:b/>
        </w:rPr>
        <w:tab/>
      </w:r>
      <w:r>
        <w:rPr>
          <w:b/>
          <w:u w:val="single"/>
        </w:rPr>
        <w:tab/>
      </w:r>
    </w:p>
    <w:p w:rsidR="00411FFA" w:rsidRDefault="00411FFA" w:rsidP="00411FFA">
      <w:pPr>
        <w:pStyle w:val="Header"/>
        <w:ind w:left="2160" w:hanging="2160"/>
        <w:rPr>
          <w:b/>
        </w:rPr>
      </w:pPr>
      <w:r>
        <w:tab/>
      </w:r>
      <w:r>
        <w:rPr>
          <w:b/>
        </w:rPr>
        <w:tab/>
      </w:r>
      <w:r>
        <w:rPr>
          <w:b/>
        </w:rPr>
        <w:tab/>
      </w:r>
    </w:p>
    <w:p w:rsidR="00411FFA" w:rsidRPr="00411FFA" w:rsidRDefault="00411FFA" w:rsidP="00411FFA">
      <w:pPr>
        <w:pStyle w:val="Header"/>
        <w:ind w:left="2160" w:hanging="2160"/>
      </w:pPr>
      <w:r>
        <w:rPr>
          <w:b/>
        </w:rPr>
        <w:tab/>
      </w:r>
      <w:r w:rsidRPr="00411FFA">
        <w:t>(Kim Groff)</w:t>
      </w:r>
    </w:p>
    <w:p w:rsidR="00411FFA" w:rsidRDefault="00411FFA" w:rsidP="00411FFA">
      <w:pPr>
        <w:tabs>
          <w:tab w:val="left" w:pos="720"/>
        </w:tabs>
        <w:rPr>
          <w:b/>
        </w:rPr>
      </w:pPr>
    </w:p>
    <w:p w:rsidR="00411FFA" w:rsidRDefault="00411FFA" w:rsidP="00411FFA">
      <w:pPr>
        <w:tabs>
          <w:tab w:val="left" w:pos="720"/>
        </w:tabs>
        <w:rPr>
          <w:b/>
        </w:rPr>
      </w:pPr>
    </w:p>
    <w:p w:rsidR="00411FFA" w:rsidRDefault="00411FFA" w:rsidP="00411FFA">
      <w:pPr>
        <w:tabs>
          <w:tab w:val="left" w:pos="720"/>
        </w:tabs>
        <w:rPr>
          <w:b/>
        </w:rPr>
      </w:pPr>
    </w:p>
    <w:p w:rsidR="00411FFA" w:rsidRDefault="00411FFA" w:rsidP="00411FFA">
      <w:pPr>
        <w:tabs>
          <w:tab w:val="left" w:pos="720"/>
        </w:tabs>
        <w:rPr>
          <w:b/>
        </w:rPr>
      </w:pPr>
    </w:p>
    <w:p w:rsidR="00411FFA" w:rsidRDefault="00411FFA">
      <w:pPr>
        <w:rPr>
          <w:rFonts w:asciiTheme="minorHAnsi" w:hAnsiTheme="minorHAnsi" w:cstheme="minorHAnsi"/>
          <w:b/>
        </w:rPr>
      </w:pPr>
      <w:r>
        <w:rPr>
          <w:rFonts w:asciiTheme="minorHAnsi" w:hAnsiTheme="minorHAnsi" w:cstheme="minorHAnsi"/>
          <w:b/>
        </w:rPr>
        <w:br w:type="page"/>
      </w:r>
    </w:p>
    <w:p w:rsidR="00637DC6" w:rsidRDefault="00637DC6">
      <w:pPr>
        <w:rPr>
          <w:rFonts w:asciiTheme="minorHAnsi" w:hAnsiTheme="minorHAnsi" w:cstheme="minorHAnsi"/>
        </w:rPr>
      </w:pPr>
      <w:r>
        <w:rPr>
          <w:rFonts w:asciiTheme="minorHAnsi" w:hAnsiTheme="minorHAnsi" w:cstheme="minorHAnsi"/>
        </w:rPr>
        <w:lastRenderedPageBreak/>
        <w:t>1.0</w:t>
      </w:r>
      <w:r>
        <w:rPr>
          <w:rFonts w:asciiTheme="minorHAnsi" w:hAnsiTheme="minorHAnsi" w:cstheme="minorHAnsi"/>
        </w:rPr>
        <w:tab/>
        <w:t>SCOPE AND APPLICATION</w:t>
      </w:r>
    </w:p>
    <w:p w:rsidR="00F66D65" w:rsidRPr="00011039" w:rsidRDefault="00F66D65" w:rsidP="00F66D65">
      <w:pPr>
        <w:rPr>
          <w:rFonts w:asciiTheme="minorHAnsi" w:hAnsiTheme="minorHAnsi" w:cstheme="minorHAnsi"/>
          <w:b/>
        </w:rPr>
      </w:pPr>
      <w:r w:rsidRPr="00011039">
        <w:rPr>
          <w:rFonts w:asciiTheme="minorHAnsi" w:hAnsiTheme="minorHAnsi" w:cstheme="minorHAnsi"/>
          <w:b/>
        </w:rPr>
        <w:t>Background</w:t>
      </w:r>
    </w:p>
    <w:p w:rsidR="00F66D65" w:rsidRDefault="00F66D65" w:rsidP="00F66D65">
      <w:pPr>
        <w:rPr>
          <w:rFonts w:asciiTheme="minorHAnsi" w:hAnsiTheme="minorHAnsi" w:cstheme="minorHAnsi"/>
        </w:rPr>
      </w:pPr>
      <w:r>
        <w:rPr>
          <w:rFonts w:asciiTheme="minorHAnsi" w:hAnsiTheme="minorHAnsi" w:cstheme="minorHAnsi"/>
        </w:rPr>
        <w:t xml:space="preserve">The phycocyanin probe </w:t>
      </w:r>
      <w:r w:rsidR="0052626C">
        <w:rPr>
          <w:rFonts w:asciiTheme="minorHAnsi" w:hAnsiTheme="minorHAnsi" w:cstheme="minorHAnsi"/>
        </w:rPr>
        <w:t>(Cyclops 7,</w:t>
      </w:r>
      <w:r w:rsidR="0052626C" w:rsidRPr="0052626C">
        <w:rPr>
          <w:rFonts w:asciiTheme="minorHAnsi" w:hAnsiTheme="minorHAnsi" w:cstheme="minorHAnsi"/>
        </w:rPr>
        <w:t xml:space="preserve"> </w:t>
      </w:r>
      <w:r w:rsidR="0052626C">
        <w:rPr>
          <w:rFonts w:asciiTheme="minorHAnsi" w:hAnsiTheme="minorHAnsi" w:cstheme="minorHAnsi"/>
        </w:rPr>
        <w:t xml:space="preserve">Turner Designs, Inc) </w:t>
      </w:r>
      <w:r>
        <w:rPr>
          <w:rFonts w:asciiTheme="minorHAnsi" w:hAnsiTheme="minorHAnsi" w:cstheme="minorHAnsi"/>
        </w:rPr>
        <w:t xml:space="preserve">and DataBank DataLogger </w:t>
      </w:r>
      <w:r w:rsidR="0052626C">
        <w:rPr>
          <w:rFonts w:asciiTheme="minorHAnsi" w:hAnsiTheme="minorHAnsi" w:cstheme="minorHAnsi"/>
        </w:rPr>
        <w:t>(Turner Designs, Inc) can provide real</w:t>
      </w:r>
      <w:r>
        <w:rPr>
          <w:rFonts w:asciiTheme="minorHAnsi" w:hAnsiTheme="minorHAnsi" w:cstheme="minorHAnsi"/>
        </w:rPr>
        <w:t xml:space="preserve"> benefit </w:t>
      </w:r>
      <w:r w:rsidR="0052626C">
        <w:rPr>
          <w:rFonts w:asciiTheme="minorHAnsi" w:hAnsiTheme="minorHAnsi" w:cstheme="minorHAnsi"/>
        </w:rPr>
        <w:t xml:space="preserve">to </w:t>
      </w:r>
      <w:r>
        <w:rPr>
          <w:rFonts w:asciiTheme="minorHAnsi" w:hAnsiTheme="minorHAnsi" w:cstheme="minorHAnsi"/>
        </w:rPr>
        <w:t>emergency respon</w:t>
      </w:r>
      <w:r w:rsidR="0052626C">
        <w:rPr>
          <w:rFonts w:asciiTheme="minorHAnsi" w:hAnsiTheme="minorHAnsi" w:cstheme="minorHAnsi"/>
        </w:rPr>
        <w:t xml:space="preserve">ders or others </w:t>
      </w:r>
      <w:r>
        <w:rPr>
          <w:rFonts w:asciiTheme="minorHAnsi" w:hAnsiTheme="minorHAnsi" w:cstheme="minorHAnsi"/>
        </w:rPr>
        <w:t xml:space="preserve">monitoring recreational </w:t>
      </w:r>
      <w:r w:rsidR="0052626C">
        <w:rPr>
          <w:rFonts w:asciiTheme="minorHAnsi" w:hAnsiTheme="minorHAnsi" w:cstheme="minorHAnsi"/>
        </w:rPr>
        <w:t>water bodies or drinking water reservoirs</w:t>
      </w:r>
      <w:r w:rsidR="0052626C" w:rsidRPr="0052626C">
        <w:rPr>
          <w:rFonts w:asciiTheme="minorHAnsi" w:hAnsiTheme="minorHAnsi" w:cstheme="minorHAnsi"/>
        </w:rPr>
        <w:t xml:space="preserve"> </w:t>
      </w:r>
      <w:r w:rsidR="0052626C">
        <w:rPr>
          <w:rFonts w:asciiTheme="minorHAnsi" w:hAnsiTheme="minorHAnsi" w:cstheme="minorHAnsi"/>
        </w:rPr>
        <w:t>for possible cyanobacterial blooms</w:t>
      </w:r>
      <w:r>
        <w:rPr>
          <w:rFonts w:asciiTheme="minorHAnsi" w:hAnsiTheme="minorHAnsi" w:cstheme="minorHAnsi"/>
        </w:rPr>
        <w:t xml:space="preserve">. </w:t>
      </w:r>
      <w:r w:rsidR="002E1137">
        <w:rPr>
          <w:rFonts w:asciiTheme="minorHAnsi" w:hAnsiTheme="minorHAnsi" w:cstheme="minorHAnsi"/>
        </w:rPr>
        <w:t xml:space="preserve">Phycocyanin is </w:t>
      </w:r>
      <w:r w:rsidR="00595656">
        <w:rPr>
          <w:rFonts w:asciiTheme="minorHAnsi" w:hAnsiTheme="minorHAnsi" w:cstheme="minorHAnsi"/>
        </w:rPr>
        <w:t xml:space="preserve">a pigment </w:t>
      </w:r>
      <w:r w:rsidR="002E1137">
        <w:rPr>
          <w:rFonts w:asciiTheme="minorHAnsi" w:hAnsiTheme="minorHAnsi" w:cstheme="minorHAnsi"/>
        </w:rPr>
        <w:t xml:space="preserve">found almost exclusively in cyanobacteria ensuring specificity </w:t>
      </w:r>
      <w:r w:rsidR="0052626C">
        <w:rPr>
          <w:rFonts w:asciiTheme="minorHAnsi" w:hAnsiTheme="minorHAnsi" w:cstheme="minorHAnsi"/>
        </w:rPr>
        <w:t xml:space="preserve">in </w:t>
      </w:r>
      <w:r w:rsidR="002E1137">
        <w:rPr>
          <w:rFonts w:asciiTheme="minorHAnsi" w:hAnsiTheme="minorHAnsi" w:cstheme="minorHAnsi"/>
        </w:rPr>
        <w:t xml:space="preserve">the results.  </w:t>
      </w:r>
      <w:r>
        <w:rPr>
          <w:rFonts w:asciiTheme="minorHAnsi" w:hAnsiTheme="minorHAnsi" w:cstheme="minorHAnsi"/>
        </w:rPr>
        <w:t xml:space="preserve">The probe </w:t>
      </w:r>
      <w:r w:rsidR="00DA21E7">
        <w:rPr>
          <w:rFonts w:asciiTheme="minorHAnsi" w:hAnsiTheme="minorHAnsi" w:cstheme="minorHAnsi"/>
        </w:rPr>
        <w:t xml:space="preserve">provides </w:t>
      </w:r>
      <w:r>
        <w:rPr>
          <w:rFonts w:asciiTheme="minorHAnsi" w:hAnsiTheme="minorHAnsi" w:cstheme="minorHAnsi"/>
        </w:rPr>
        <w:t>instantaneous results</w:t>
      </w:r>
      <w:r w:rsidR="00BE6A15">
        <w:rPr>
          <w:rFonts w:asciiTheme="minorHAnsi" w:hAnsiTheme="minorHAnsi" w:cstheme="minorHAnsi"/>
        </w:rPr>
        <w:t xml:space="preserve"> and </w:t>
      </w:r>
      <w:r>
        <w:rPr>
          <w:rFonts w:asciiTheme="minorHAnsi" w:hAnsiTheme="minorHAnsi" w:cstheme="minorHAnsi"/>
        </w:rPr>
        <w:t xml:space="preserve">can provide </w:t>
      </w:r>
      <w:r w:rsidR="00DA21E7">
        <w:rPr>
          <w:rFonts w:asciiTheme="minorHAnsi" w:hAnsiTheme="minorHAnsi" w:cstheme="minorHAnsi"/>
        </w:rPr>
        <w:t xml:space="preserve">measurements </w:t>
      </w:r>
      <w:r>
        <w:rPr>
          <w:rFonts w:asciiTheme="minorHAnsi" w:hAnsiTheme="minorHAnsi" w:cstheme="minorHAnsi"/>
        </w:rPr>
        <w:t>ov</w:t>
      </w:r>
      <w:r w:rsidR="00DA21E7">
        <w:rPr>
          <w:rFonts w:asciiTheme="minorHAnsi" w:hAnsiTheme="minorHAnsi" w:cstheme="minorHAnsi"/>
        </w:rPr>
        <w:t>er a large spatial area quickly.</w:t>
      </w:r>
      <w:r>
        <w:rPr>
          <w:rFonts w:asciiTheme="minorHAnsi" w:hAnsiTheme="minorHAnsi" w:cstheme="minorHAnsi"/>
        </w:rPr>
        <w:t xml:space="preserve">  The quickness of the results could help alert public health or drinking water officials </w:t>
      </w:r>
      <w:r w:rsidR="00DA21E7">
        <w:rPr>
          <w:rFonts w:asciiTheme="minorHAnsi" w:hAnsiTheme="minorHAnsi" w:cstheme="minorHAnsi"/>
        </w:rPr>
        <w:t xml:space="preserve">to the potential for </w:t>
      </w:r>
      <w:r>
        <w:rPr>
          <w:rFonts w:asciiTheme="minorHAnsi" w:hAnsiTheme="minorHAnsi" w:cstheme="minorHAnsi"/>
        </w:rPr>
        <w:t xml:space="preserve">cyanotoxins </w:t>
      </w:r>
      <w:r w:rsidR="00DA21E7">
        <w:rPr>
          <w:rFonts w:asciiTheme="minorHAnsi" w:hAnsiTheme="minorHAnsi" w:cstheme="minorHAnsi"/>
        </w:rPr>
        <w:t xml:space="preserve">to be present in the water.  Cyanotoxins are </w:t>
      </w:r>
      <w:r>
        <w:rPr>
          <w:rFonts w:asciiTheme="minorHAnsi" w:hAnsiTheme="minorHAnsi" w:cstheme="minorHAnsi"/>
        </w:rPr>
        <w:t xml:space="preserve">not measured </w:t>
      </w:r>
      <w:r w:rsidR="00DA21E7">
        <w:rPr>
          <w:rFonts w:asciiTheme="minorHAnsi" w:hAnsiTheme="minorHAnsi" w:cstheme="minorHAnsi"/>
        </w:rPr>
        <w:t xml:space="preserve">directly </w:t>
      </w:r>
      <w:r>
        <w:rPr>
          <w:rFonts w:asciiTheme="minorHAnsi" w:hAnsiTheme="minorHAnsi" w:cstheme="minorHAnsi"/>
        </w:rPr>
        <w:t>by the phycocyanin probe</w:t>
      </w:r>
      <w:r w:rsidR="00DA21E7">
        <w:rPr>
          <w:rFonts w:asciiTheme="minorHAnsi" w:hAnsiTheme="minorHAnsi" w:cstheme="minorHAnsi"/>
        </w:rPr>
        <w:t xml:space="preserve">, but there is a </w:t>
      </w:r>
      <w:r>
        <w:rPr>
          <w:rFonts w:asciiTheme="minorHAnsi" w:hAnsiTheme="minorHAnsi" w:cstheme="minorHAnsi"/>
        </w:rPr>
        <w:t xml:space="preserve">relationship between the amount of cyanobacteria present </w:t>
      </w:r>
      <w:r w:rsidR="00DA21E7">
        <w:rPr>
          <w:rFonts w:asciiTheme="minorHAnsi" w:hAnsiTheme="minorHAnsi" w:cstheme="minorHAnsi"/>
        </w:rPr>
        <w:t xml:space="preserve">as indicated by the </w:t>
      </w:r>
      <w:r>
        <w:rPr>
          <w:rFonts w:asciiTheme="minorHAnsi" w:hAnsiTheme="minorHAnsi" w:cstheme="minorHAnsi"/>
        </w:rPr>
        <w:t>phycocyanin</w:t>
      </w:r>
      <w:r w:rsidR="00DA21E7">
        <w:rPr>
          <w:rFonts w:asciiTheme="minorHAnsi" w:hAnsiTheme="minorHAnsi" w:cstheme="minorHAnsi"/>
        </w:rPr>
        <w:t xml:space="preserve"> readings and the amount of cyanotoxins that biomass could represent</w:t>
      </w:r>
      <w:r>
        <w:rPr>
          <w:rFonts w:asciiTheme="minorHAnsi" w:hAnsiTheme="minorHAnsi" w:cstheme="minorHAnsi"/>
        </w:rPr>
        <w:t xml:space="preserve">.  </w:t>
      </w:r>
      <w:r w:rsidR="00876E93">
        <w:rPr>
          <w:rFonts w:asciiTheme="minorHAnsi" w:hAnsiTheme="minorHAnsi" w:cstheme="minorHAnsi"/>
        </w:rPr>
        <w:t>T</w:t>
      </w:r>
      <w:r w:rsidR="00786196">
        <w:rPr>
          <w:rFonts w:asciiTheme="minorHAnsi" w:hAnsiTheme="minorHAnsi" w:cstheme="minorHAnsi"/>
        </w:rPr>
        <w:t xml:space="preserve">he phycocyanin measurements </w:t>
      </w:r>
      <w:r w:rsidR="00876E93">
        <w:rPr>
          <w:rFonts w:asciiTheme="minorHAnsi" w:hAnsiTheme="minorHAnsi" w:cstheme="minorHAnsi"/>
        </w:rPr>
        <w:t xml:space="preserve">are more informative if </w:t>
      </w:r>
      <w:r>
        <w:rPr>
          <w:rFonts w:asciiTheme="minorHAnsi" w:hAnsiTheme="minorHAnsi" w:cstheme="minorHAnsi"/>
        </w:rPr>
        <w:t xml:space="preserve"> identifications of the cyanobacteria </w:t>
      </w:r>
      <w:r w:rsidR="00786196">
        <w:rPr>
          <w:rFonts w:asciiTheme="minorHAnsi" w:hAnsiTheme="minorHAnsi" w:cstheme="minorHAnsi"/>
        </w:rPr>
        <w:t xml:space="preserve">are </w:t>
      </w:r>
      <w:r w:rsidR="00876E93">
        <w:rPr>
          <w:rFonts w:asciiTheme="minorHAnsi" w:hAnsiTheme="minorHAnsi" w:cstheme="minorHAnsi"/>
        </w:rPr>
        <w:t xml:space="preserve">made </w:t>
      </w:r>
      <w:r w:rsidR="00786196">
        <w:rPr>
          <w:rFonts w:asciiTheme="minorHAnsi" w:hAnsiTheme="minorHAnsi" w:cstheme="minorHAnsi"/>
        </w:rPr>
        <w:t xml:space="preserve">to determine if they are </w:t>
      </w:r>
      <w:r>
        <w:rPr>
          <w:rFonts w:asciiTheme="minorHAnsi" w:hAnsiTheme="minorHAnsi" w:cstheme="minorHAnsi"/>
        </w:rPr>
        <w:t>know</w:t>
      </w:r>
      <w:r w:rsidR="00786196">
        <w:rPr>
          <w:rFonts w:asciiTheme="minorHAnsi" w:hAnsiTheme="minorHAnsi" w:cstheme="minorHAnsi"/>
        </w:rPr>
        <w:t xml:space="preserve">n to </w:t>
      </w:r>
      <w:r>
        <w:rPr>
          <w:rFonts w:asciiTheme="minorHAnsi" w:hAnsiTheme="minorHAnsi" w:cstheme="minorHAnsi"/>
        </w:rPr>
        <w:t>potentially</w:t>
      </w:r>
      <w:r w:rsidR="00786196">
        <w:rPr>
          <w:rFonts w:asciiTheme="minorHAnsi" w:hAnsiTheme="minorHAnsi" w:cstheme="minorHAnsi"/>
        </w:rPr>
        <w:t xml:space="preserve"> produce toxins</w:t>
      </w:r>
      <w:r w:rsidR="00A4106F">
        <w:rPr>
          <w:rFonts w:asciiTheme="minorHAnsi" w:hAnsiTheme="minorHAnsi" w:cstheme="minorHAnsi"/>
        </w:rPr>
        <w:t>.</w:t>
      </w:r>
      <w:r w:rsidR="00BE6A15">
        <w:rPr>
          <w:rFonts w:asciiTheme="minorHAnsi" w:hAnsiTheme="minorHAnsi" w:cstheme="minorHAnsi"/>
        </w:rPr>
        <w:t xml:space="preserve">  The difficulty remains however in that n</w:t>
      </w:r>
      <w:r w:rsidR="00876E93">
        <w:rPr>
          <w:rFonts w:asciiTheme="minorHAnsi" w:hAnsiTheme="minorHAnsi" w:cstheme="minorHAnsi"/>
        </w:rPr>
        <w:t>ot all cyanobacteria produce toxins</w:t>
      </w:r>
      <w:r w:rsidR="00BE6A15">
        <w:rPr>
          <w:rFonts w:asciiTheme="minorHAnsi" w:hAnsiTheme="minorHAnsi" w:cstheme="minorHAnsi"/>
        </w:rPr>
        <w:t xml:space="preserve"> and </w:t>
      </w:r>
      <w:r w:rsidR="00876E93">
        <w:rPr>
          <w:rFonts w:asciiTheme="minorHAnsi" w:hAnsiTheme="minorHAnsi" w:cstheme="minorHAnsi"/>
        </w:rPr>
        <w:t xml:space="preserve"> blooms of cyanobacteria look the same whether they are toxic or not.</w:t>
      </w:r>
    </w:p>
    <w:p w:rsidR="00F66D65" w:rsidRDefault="00F66D65" w:rsidP="00F66D65">
      <w:pPr>
        <w:rPr>
          <w:rFonts w:asciiTheme="minorHAnsi" w:hAnsiTheme="minorHAnsi" w:cstheme="minorHAnsi"/>
          <w:b/>
        </w:rPr>
      </w:pPr>
      <w:r w:rsidRPr="00011039">
        <w:rPr>
          <w:rFonts w:asciiTheme="minorHAnsi" w:hAnsiTheme="minorHAnsi" w:cstheme="minorHAnsi"/>
          <w:b/>
        </w:rPr>
        <w:t>What phycocyanin values are of concern?</w:t>
      </w:r>
    </w:p>
    <w:p w:rsidR="008650BD" w:rsidRDefault="00E4387B" w:rsidP="00187494">
      <w:pPr>
        <w:rPr>
          <w:rFonts w:asciiTheme="minorHAnsi" w:hAnsiTheme="minorHAnsi" w:cstheme="minorHAnsi"/>
        </w:rPr>
      </w:pPr>
      <w:r>
        <w:rPr>
          <w:rFonts w:asciiTheme="minorHAnsi" w:hAnsiTheme="minorHAnsi" w:cstheme="minorHAnsi"/>
        </w:rPr>
        <w:t>P</w:t>
      </w:r>
      <w:r w:rsidR="007E78FA">
        <w:rPr>
          <w:rFonts w:asciiTheme="minorHAnsi" w:hAnsiTheme="minorHAnsi" w:cstheme="minorHAnsi"/>
        </w:rPr>
        <w:t>hycocyanin</w:t>
      </w:r>
      <w:r w:rsidR="00DF0114">
        <w:rPr>
          <w:rFonts w:asciiTheme="minorHAnsi" w:hAnsiTheme="minorHAnsi" w:cstheme="minorHAnsi"/>
        </w:rPr>
        <w:t xml:space="preserve"> (PC)</w:t>
      </w:r>
      <w:r w:rsidR="007E78FA">
        <w:rPr>
          <w:rFonts w:asciiTheme="minorHAnsi" w:hAnsiTheme="minorHAnsi" w:cstheme="minorHAnsi"/>
        </w:rPr>
        <w:t xml:space="preserve"> </w:t>
      </w:r>
      <w:r>
        <w:rPr>
          <w:rFonts w:asciiTheme="minorHAnsi" w:hAnsiTheme="minorHAnsi" w:cstheme="minorHAnsi"/>
        </w:rPr>
        <w:t xml:space="preserve">can be used as a screening tool to determine the presence or absence of cyanobacteria.  </w:t>
      </w:r>
      <w:r w:rsidR="006503E6">
        <w:rPr>
          <w:rFonts w:asciiTheme="minorHAnsi" w:hAnsiTheme="minorHAnsi" w:cstheme="minorHAnsi"/>
        </w:rPr>
        <w:t xml:space="preserve">  </w:t>
      </w:r>
      <w:r w:rsidR="00024371">
        <w:rPr>
          <w:rFonts w:asciiTheme="minorHAnsi" w:hAnsiTheme="minorHAnsi" w:cstheme="minorHAnsi"/>
        </w:rPr>
        <w:t>The p</w:t>
      </w:r>
      <w:r w:rsidR="0030791A">
        <w:rPr>
          <w:rFonts w:asciiTheme="minorHAnsi" w:hAnsiTheme="minorHAnsi" w:cstheme="minorHAnsi"/>
        </w:rPr>
        <w:t xml:space="preserve">hycocyanin readings </w:t>
      </w:r>
      <w:r>
        <w:rPr>
          <w:rFonts w:asciiTheme="minorHAnsi" w:hAnsiTheme="minorHAnsi" w:cstheme="minorHAnsi"/>
        </w:rPr>
        <w:t xml:space="preserve">can also be </w:t>
      </w:r>
      <w:r w:rsidR="00876E93">
        <w:rPr>
          <w:rFonts w:asciiTheme="minorHAnsi" w:hAnsiTheme="minorHAnsi" w:cstheme="minorHAnsi"/>
        </w:rPr>
        <w:t xml:space="preserve">correlated </w:t>
      </w:r>
      <w:r w:rsidR="0030791A">
        <w:rPr>
          <w:rFonts w:asciiTheme="minorHAnsi" w:hAnsiTheme="minorHAnsi" w:cstheme="minorHAnsi"/>
        </w:rPr>
        <w:t xml:space="preserve">to another known </w:t>
      </w:r>
      <w:r w:rsidR="00BB5D2A">
        <w:rPr>
          <w:rFonts w:asciiTheme="minorHAnsi" w:hAnsiTheme="minorHAnsi" w:cstheme="minorHAnsi"/>
        </w:rPr>
        <w:t xml:space="preserve">parameter </w:t>
      </w:r>
      <w:r w:rsidR="0030791A">
        <w:rPr>
          <w:rFonts w:asciiTheme="minorHAnsi" w:hAnsiTheme="minorHAnsi" w:cstheme="minorHAnsi"/>
        </w:rPr>
        <w:t>e.g. cell counts, chlorophyll a</w:t>
      </w:r>
      <w:r w:rsidR="00024371">
        <w:rPr>
          <w:rFonts w:asciiTheme="minorHAnsi" w:hAnsiTheme="minorHAnsi" w:cstheme="minorHAnsi"/>
        </w:rPr>
        <w:t xml:space="preserve"> or </w:t>
      </w:r>
      <w:r w:rsidR="0030791A">
        <w:rPr>
          <w:rFonts w:asciiTheme="minorHAnsi" w:hAnsiTheme="minorHAnsi" w:cstheme="minorHAnsi"/>
        </w:rPr>
        <w:t>microcystin values</w:t>
      </w:r>
      <w:r>
        <w:rPr>
          <w:rFonts w:asciiTheme="minorHAnsi" w:hAnsiTheme="minorHAnsi" w:cstheme="minorHAnsi"/>
        </w:rPr>
        <w:t xml:space="preserve">, to evaluate the </w:t>
      </w:r>
      <w:r w:rsidR="00592876">
        <w:rPr>
          <w:rFonts w:asciiTheme="minorHAnsi" w:hAnsiTheme="minorHAnsi" w:cstheme="minorHAnsi"/>
        </w:rPr>
        <w:t>level of risk that may be present for the user of the water body.</w:t>
      </w:r>
      <w:r w:rsidR="0030791A">
        <w:rPr>
          <w:rFonts w:asciiTheme="minorHAnsi" w:hAnsiTheme="minorHAnsi" w:cstheme="minorHAnsi"/>
        </w:rPr>
        <w:t xml:space="preserve">  </w:t>
      </w:r>
      <w:r w:rsidR="00817822">
        <w:rPr>
          <w:rFonts w:asciiTheme="minorHAnsi" w:hAnsiTheme="minorHAnsi" w:cstheme="minorHAnsi"/>
        </w:rPr>
        <w:t xml:space="preserve"> </w:t>
      </w:r>
      <w:r w:rsidR="00C3238C">
        <w:rPr>
          <w:rFonts w:asciiTheme="minorHAnsi" w:hAnsiTheme="minorHAnsi" w:cstheme="minorHAnsi"/>
        </w:rPr>
        <w:t xml:space="preserve">Literature </w:t>
      </w:r>
      <w:r w:rsidR="00C3277B">
        <w:rPr>
          <w:rFonts w:asciiTheme="minorHAnsi" w:hAnsiTheme="minorHAnsi" w:cstheme="minorHAnsi"/>
        </w:rPr>
        <w:t xml:space="preserve">values </w:t>
      </w:r>
      <w:r w:rsidR="00C3238C">
        <w:rPr>
          <w:rFonts w:asciiTheme="minorHAnsi" w:hAnsiTheme="minorHAnsi" w:cstheme="minorHAnsi"/>
        </w:rPr>
        <w:t xml:space="preserve">for phycocyanin concentrations </w:t>
      </w:r>
      <w:r w:rsidR="00681ED3">
        <w:rPr>
          <w:rFonts w:asciiTheme="minorHAnsi" w:hAnsiTheme="minorHAnsi" w:cstheme="minorHAnsi"/>
        </w:rPr>
        <w:t xml:space="preserve">will be used </w:t>
      </w:r>
      <w:r w:rsidR="00C3277B">
        <w:rPr>
          <w:rFonts w:asciiTheme="minorHAnsi" w:hAnsiTheme="minorHAnsi" w:cstheme="minorHAnsi"/>
        </w:rPr>
        <w:t xml:space="preserve">to help </w:t>
      </w:r>
      <w:r w:rsidR="00681ED3">
        <w:rPr>
          <w:rFonts w:asciiTheme="minorHAnsi" w:hAnsiTheme="minorHAnsi" w:cstheme="minorHAnsi"/>
        </w:rPr>
        <w:t xml:space="preserve">determine if a cyanobacterial bloom is </w:t>
      </w:r>
      <w:r w:rsidR="00C3238C">
        <w:rPr>
          <w:rFonts w:asciiTheme="minorHAnsi" w:hAnsiTheme="minorHAnsi" w:cstheme="minorHAnsi"/>
        </w:rPr>
        <w:t>present</w:t>
      </w:r>
      <w:r w:rsidR="00681ED3">
        <w:rPr>
          <w:rFonts w:asciiTheme="minorHAnsi" w:hAnsiTheme="minorHAnsi" w:cstheme="minorHAnsi"/>
        </w:rPr>
        <w:t xml:space="preserve">. </w:t>
      </w:r>
      <w:r w:rsidR="00C3277B">
        <w:rPr>
          <w:rFonts w:asciiTheme="minorHAnsi" w:hAnsiTheme="minorHAnsi" w:cstheme="minorHAnsi"/>
        </w:rPr>
        <w:t xml:space="preserve"> </w:t>
      </w:r>
      <w:r w:rsidR="00673A7A">
        <w:rPr>
          <w:rFonts w:asciiTheme="minorHAnsi" w:hAnsiTheme="minorHAnsi" w:cstheme="minorHAnsi"/>
        </w:rPr>
        <w:t xml:space="preserve">Readings of around 100 µg /L phycocyanin indicates a bloom of cyanobacteria is occurring and could indicate a cell count of </w:t>
      </w:r>
      <w:proofErr w:type="spellStart"/>
      <w:r w:rsidR="00A25DC0" w:rsidRPr="00A25DC0">
        <w:rPr>
          <w:rFonts w:asciiTheme="minorHAnsi" w:hAnsiTheme="minorHAnsi" w:cstheme="minorHAnsi"/>
          <w:i/>
        </w:rPr>
        <w:t>Microcystis</w:t>
      </w:r>
      <w:proofErr w:type="spellEnd"/>
      <w:r w:rsidR="00A25DC0">
        <w:rPr>
          <w:rFonts w:asciiTheme="minorHAnsi" w:hAnsiTheme="minorHAnsi" w:cstheme="minorHAnsi"/>
        </w:rPr>
        <w:t xml:space="preserve"> sp. of </w:t>
      </w:r>
      <w:proofErr w:type="gramStart"/>
      <w:r w:rsidR="00673A7A">
        <w:rPr>
          <w:rFonts w:asciiTheme="minorHAnsi" w:hAnsiTheme="minorHAnsi" w:cstheme="minorHAnsi"/>
        </w:rPr>
        <w:t>approximately  100,000</w:t>
      </w:r>
      <w:proofErr w:type="gramEnd"/>
      <w:r w:rsidR="00673A7A">
        <w:rPr>
          <w:rFonts w:asciiTheme="minorHAnsi" w:hAnsiTheme="minorHAnsi" w:cstheme="minorHAnsi"/>
        </w:rPr>
        <w:t xml:space="preserve"> cells/ml based upon the calibration concentration.  </w:t>
      </w:r>
      <w:r w:rsidR="003F0724">
        <w:rPr>
          <w:rFonts w:asciiTheme="minorHAnsi" w:hAnsiTheme="minorHAnsi" w:cstheme="minorHAnsi"/>
        </w:rPr>
        <w:t xml:space="preserve"> </w:t>
      </w:r>
      <w:r w:rsidR="00673A7A">
        <w:rPr>
          <w:rFonts w:asciiTheme="minorHAnsi" w:hAnsiTheme="minorHAnsi" w:cstheme="minorHAnsi"/>
        </w:rPr>
        <w:t>Brient et. al. (2008)</w:t>
      </w:r>
      <w:r w:rsidR="003F0724">
        <w:rPr>
          <w:rFonts w:asciiTheme="minorHAnsi" w:hAnsiTheme="minorHAnsi" w:cstheme="minorHAnsi"/>
        </w:rPr>
        <w:t>, for example,</w:t>
      </w:r>
      <w:r w:rsidR="00673A7A">
        <w:rPr>
          <w:rFonts w:asciiTheme="minorHAnsi" w:hAnsiTheme="minorHAnsi" w:cstheme="minorHAnsi"/>
        </w:rPr>
        <w:t xml:space="preserve"> examined the relationship between PC </w:t>
      </w:r>
      <w:r w:rsidR="003F0724">
        <w:rPr>
          <w:rFonts w:asciiTheme="minorHAnsi" w:hAnsiTheme="minorHAnsi" w:cstheme="minorHAnsi"/>
        </w:rPr>
        <w:t>µ</w:t>
      </w:r>
      <w:r w:rsidR="00673A7A">
        <w:rPr>
          <w:rFonts w:asciiTheme="minorHAnsi" w:hAnsiTheme="minorHAnsi" w:cstheme="minorHAnsi"/>
        </w:rPr>
        <w:t xml:space="preserve">g/L and cell  counts of the cyanobacteria </w:t>
      </w:r>
      <w:r w:rsidR="00673A7A" w:rsidRPr="00D35A71">
        <w:rPr>
          <w:rFonts w:asciiTheme="minorHAnsi" w:hAnsiTheme="minorHAnsi" w:cstheme="minorHAnsi"/>
          <w:i/>
        </w:rPr>
        <w:t>Planktothrix agardhii</w:t>
      </w:r>
      <w:r w:rsidR="00673A7A">
        <w:rPr>
          <w:rFonts w:asciiTheme="minorHAnsi" w:hAnsiTheme="minorHAnsi" w:cstheme="minorHAnsi"/>
        </w:rPr>
        <w:t xml:space="preserve"> .  </w:t>
      </w:r>
      <w:r w:rsidR="00D35A71">
        <w:rPr>
          <w:rFonts w:asciiTheme="minorHAnsi" w:hAnsiTheme="minorHAnsi" w:cstheme="minorHAnsi"/>
        </w:rPr>
        <w:t>A</w:t>
      </w:r>
      <w:r w:rsidR="00673A7A">
        <w:rPr>
          <w:rFonts w:asciiTheme="minorHAnsi" w:hAnsiTheme="minorHAnsi" w:cstheme="minorHAnsi"/>
        </w:rPr>
        <w:t xml:space="preserve">t 98 </w:t>
      </w:r>
      <w:r w:rsidR="003F0724">
        <w:rPr>
          <w:rFonts w:asciiTheme="minorHAnsi" w:hAnsiTheme="minorHAnsi" w:cstheme="minorHAnsi"/>
        </w:rPr>
        <w:t>µ</w:t>
      </w:r>
      <w:r w:rsidR="00673A7A">
        <w:rPr>
          <w:rFonts w:asciiTheme="minorHAnsi" w:hAnsiTheme="minorHAnsi" w:cstheme="minorHAnsi"/>
        </w:rPr>
        <w:t xml:space="preserve">g/L </w:t>
      </w:r>
      <w:r w:rsidR="003F0724">
        <w:rPr>
          <w:rFonts w:asciiTheme="minorHAnsi" w:hAnsiTheme="minorHAnsi" w:cstheme="minorHAnsi"/>
        </w:rPr>
        <w:t xml:space="preserve">of </w:t>
      </w:r>
      <w:r w:rsidR="00673A7A">
        <w:rPr>
          <w:rFonts w:asciiTheme="minorHAnsi" w:hAnsiTheme="minorHAnsi" w:cstheme="minorHAnsi"/>
        </w:rPr>
        <w:t>phycocyanin the cell count ranged from 86,691-117,116 cells/ml</w:t>
      </w:r>
      <w:r w:rsidR="00D35A71">
        <w:rPr>
          <w:rFonts w:asciiTheme="minorHAnsi" w:hAnsiTheme="minorHAnsi" w:cstheme="minorHAnsi"/>
        </w:rPr>
        <w:t xml:space="preserve"> with a 95% confidence interval </w:t>
      </w:r>
      <w:r w:rsidR="00673A7A">
        <w:rPr>
          <w:rFonts w:asciiTheme="minorHAnsi" w:hAnsiTheme="minorHAnsi" w:cstheme="minorHAnsi"/>
        </w:rPr>
        <w:t>.</w:t>
      </w:r>
      <w:r w:rsidR="00DF0114">
        <w:rPr>
          <w:rFonts w:asciiTheme="minorHAnsi" w:hAnsiTheme="minorHAnsi" w:cstheme="minorHAnsi"/>
        </w:rPr>
        <w:t xml:space="preserve">  Brient et. al. (2008) found a </w:t>
      </w:r>
      <w:r w:rsidR="00673A7A">
        <w:rPr>
          <w:rFonts w:asciiTheme="minorHAnsi" w:hAnsiTheme="minorHAnsi" w:cstheme="minorHAnsi"/>
        </w:rPr>
        <w:t>significant correlation between phycocyanin and cyanobacterial cell numbers (R</w:t>
      </w:r>
      <w:r w:rsidR="00673A7A" w:rsidRPr="00B85FA3">
        <w:rPr>
          <w:rFonts w:asciiTheme="minorHAnsi" w:hAnsiTheme="minorHAnsi" w:cstheme="minorHAnsi"/>
          <w:vertAlign w:val="superscript"/>
        </w:rPr>
        <w:t>2</w:t>
      </w:r>
      <w:r w:rsidR="00673A7A">
        <w:rPr>
          <w:rFonts w:asciiTheme="minorHAnsi" w:hAnsiTheme="minorHAnsi" w:cstheme="minorHAnsi"/>
        </w:rPr>
        <w:t>=0.73)</w:t>
      </w:r>
      <w:r w:rsidR="00A4106F">
        <w:rPr>
          <w:rFonts w:asciiTheme="minorHAnsi" w:hAnsiTheme="minorHAnsi" w:cstheme="minorHAnsi"/>
        </w:rPr>
        <w:t>,</w:t>
      </w:r>
      <w:r w:rsidR="003F0724">
        <w:rPr>
          <w:rFonts w:asciiTheme="minorHAnsi" w:hAnsiTheme="minorHAnsi" w:cstheme="minorHAnsi"/>
        </w:rPr>
        <w:t xml:space="preserve"> which indicates that</w:t>
      </w:r>
      <w:r w:rsidR="00673A7A">
        <w:rPr>
          <w:rFonts w:asciiTheme="minorHAnsi" w:hAnsiTheme="minorHAnsi" w:cstheme="minorHAnsi"/>
        </w:rPr>
        <w:t xml:space="preserve"> phycocyanin concentrations are a good substitute for cyanobacterial cell counts.    </w:t>
      </w:r>
    </w:p>
    <w:p w:rsidR="00A25DC0" w:rsidRDefault="008C1236" w:rsidP="00187494">
      <w:pPr>
        <w:rPr>
          <w:rFonts w:asciiTheme="minorHAnsi" w:hAnsiTheme="minorHAnsi" w:cstheme="minorHAnsi"/>
        </w:rPr>
      </w:pPr>
      <w:r>
        <w:rPr>
          <w:rFonts w:asciiTheme="minorHAnsi" w:hAnsiTheme="minorHAnsi" w:cstheme="minorHAnsi"/>
        </w:rPr>
        <w:t xml:space="preserve">Regulators of drinking water and recreational water quality make use of this relationship. </w:t>
      </w:r>
      <w:r w:rsidR="008650BD">
        <w:rPr>
          <w:rFonts w:asciiTheme="minorHAnsi" w:hAnsiTheme="minorHAnsi" w:cstheme="minorHAnsi"/>
        </w:rPr>
        <w:t xml:space="preserve">Table 1 includes  </w:t>
      </w:r>
      <w:r>
        <w:rPr>
          <w:rFonts w:asciiTheme="minorHAnsi" w:hAnsiTheme="minorHAnsi" w:cstheme="minorHAnsi"/>
        </w:rPr>
        <w:t>examples of</w:t>
      </w:r>
      <w:r w:rsidR="008650BD">
        <w:rPr>
          <w:rFonts w:asciiTheme="minorHAnsi" w:hAnsiTheme="minorHAnsi" w:cstheme="minorHAnsi"/>
        </w:rPr>
        <w:t xml:space="preserve"> cell counts limits and likely phycocyanin concentrations </w:t>
      </w:r>
      <w:r w:rsidR="00DD224E">
        <w:rPr>
          <w:rFonts w:asciiTheme="minorHAnsi" w:hAnsiTheme="minorHAnsi" w:cstheme="minorHAnsi"/>
        </w:rPr>
        <w:t xml:space="preserve">that would be found if our Cyclops phycocyanin probe was used.   </w:t>
      </w:r>
      <w:r w:rsidR="009D53F9">
        <w:rPr>
          <w:rFonts w:asciiTheme="minorHAnsi" w:hAnsiTheme="minorHAnsi" w:cstheme="minorHAnsi"/>
        </w:rPr>
        <w:t>The phycocyanin probe (Cyclops 7)</w:t>
      </w:r>
      <w:r w:rsidR="00510DB6">
        <w:rPr>
          <w:rFonts w:asciiTheme="minorHAnsi" w:hAnsiTheme="minorHAnsi" w:cstheme="minorHAnsi"/>
        </w:rPr>
        <w:t xml:space="preserve">, </w:t>
      </w:r>
      <w:r w:rsidR="00160D88">
        <w:rPr>
          <w:rFonts w:asciiTheme="minorHAnsi" w:hAnsiTheme="minorHAnsi" w:cstheme="minorHAnsi"/>
        </w:rPr>
        <w:t xml:space="preserve">has a detection level </w:t>
      </w:r>
      <w:proofErr w:type="gramStart"/>
      <w:r w:rsidR="00160D88">
        <w:rPr>
          <w:rFonts w:asciiTheme="minorHAnsi" w:hAnsiTheme="minorHAnsi" w:cstheme="minorHAnsi"/>
        </w:rPr>
        <w:t>of 2 µg/L,</w:t>
      </w:r>
      <w:proofErr w:type="gramEnd"/>
      <w:r w:rsidR="00160D88">
        <w:rPr>
          <w:rFonts w:asciiTheme="minorHAnsi" w:hAnsiTheme="minorHAnsi" w:cstheme="minorHAnsi"/>
        </w:rPr>
        <w:t xml:space="preserve"> so any value above this confirms the </w:t>
      </w:r>
      <w:r w:rsidR="00FF0D96">
        <w:rPr>
          <w:rFonts w:asciiTheme="minorHAnsi" w:hAnsiTheme="minorHAnsi" w:cstheme="minorHAnsi"/>
        </w:rPr>
        <w:t xml:space="preserve">presence of </w:t>
      </w:r>
      <w:proofErr w:type="spellStart"/>
      <w:r w:rsidR="00FF0D96">
        <w:rPr>
          <w:rFonts w:asciiTheme="minorHAnsi" w:hAnsiTheme="minorHAnsi" w:cstheme="minorHAnsi"/>
        </w:rPr>
        <w:t>phycocyanin</w:t>
      </w:r>
      <w:proofErr w:type="spellEnd"/>
      <w:r w:rsidR="005303F4">
        <w:rPr>
          <w:rFonts w:asciiTheme="minorHAnsi" w:hAnsiTheme="minorHAnsi" w:cstheme="minorHAnsi"/>
        </w:rPr>
        <w:t>.</w:t>
      </w:r>
      <w:r w:rsidR="00A55D39">
        <w:rPr>
          <w:rFonts w:asciiTheme="minorHAnsi" w:hAnsiTheme="minorHAnsi" w:cstheme="minorHAnsi"/>
        </w:rPr>
        <w:t xml:space="preserve"> </w:t>
      </w:r>
      <w:r w:rsidR="00160D88">
        <w:rPr>
          <w:rFonts w:asciiTheme="minorHAnsi" w:hAnsiTheme="minorHAnsi" w:cstheme="minorHAnsi"/>
        </w:rPr>
        <w:t xml:space="preserve">However, differences in cell volumes between different species of </w:t>
      </w:r>
      <w:proofErr w:type="spellStart"/>
      <w:r w:rsidR="00160D88">
        <w:rPr>
          <w:rFonts w:asciiTheme="minorHAnsi" w:hAnsiTheme="minorHAnsi" w:cstheme="minorHAnsi"/>
        </w:rPr>
        <w:t>cyanobacteria</w:t>
      </w:r>
      <w:proofErr w:type="spellEnd"/>
      <w:r w:rsidR="00160D88">
        <w:rPr>
          <w:rFonts w:asciiTheme="minorHAnsi" w:hAnsiTheme="minorHAnsi" w:cstheme="minorHAnsi"/>
        </w:rPr>
        <w:t xml:space="preserve"> and other environmental factors have made determining a ‘safe’ low threshold difficult.  Until more data is collected, </w:t>
      </w:r>
      <w:r w:rsidR="00A25DC0">
        <w:rPr>
          <w:rFonts w:asciiTheme="minorHAnsi" w:hAnsiTheme="minorHAnsi" w:cstheme="minorHAnsi"/>
        </w:rPr>
        <w:t>readings of 50</w:t>
      </w:r>
      <w:r w:rsidR="00A25DC0" w:rsidRPr="00A25DC0">
        <w:rPr>
          <w:rFonts w:asciiTheme="minorHAnsi" w:hAnsiTheme="minorHAnsi" w:cstheme="minorHAnsi"/>
        </w:rPr>
        <w:t xml:space="preserve"> </w:t>
      </w:r>
      <w:r w:rsidR="00A25DC0">
        <w:rPr>
          <w:rFonts w:asciiTheme="minorHAnsi" w:hAnsiTheme="minorHAnsi" w:cstheme="minorHAnsi"/>
        </w:rPr>
        <w:t xml:space="preserve">µg /L </w:t>
      </w:r>
      <w:proofErr w:type="spellStart"/>
      <w:r w:rsidR="00A25DC0">
        <w:rPr>
          <w:rFonts w:asciiTheme="minorHAnsi" w:hAnsiTheme="minorHAnsi" w:cstheme="minorHAnsi"/>
        </w:rPr>
        <w:t>phycocyanin</w:t>
      </w:r>
      <w:proofErr w:type="spellEnd"/>
      <w:r w:rsidR="00A25DC0">
        <w:rPr>
          <w:rFonts w:asciiTheme="minorHAnsi" w:hAnsiTheme="minorHAnsi" w:cstheme="minorHAnsi"/>
        </w:rPr>
        <w:t xml:space="preserve"> should be considered bloom condition, but whether the 70,000 cells/</w:t>
      </w:r>
      <w:proofErr w:type="spellStart"/>
      <w:r w:rsidR="00A25DC0">
        <w:rPr>
          <w:rFonts w:asciiTheme="minorHAnsi" w:hAnsiTheme="minorHAnsi" w:cstheme="minorHAnsi"/>
        </w:rPr>
        <w:t>mL</w:t>
      </w:r>
      <w:proofErr w:type="spellEnd"/>
      <w:r w:rsidR="00A25DC0">
        <w:rPr>
          <w:rFonts w:asciiTheme="minorHAnsi" w:hAnsiTheme="minorHAnsi" w:cstheme="minorHAnsi"/>
        </w:rPr>
        <w:t xml:space="preserve"> (MA DPH recreational protocol) or the 14 ppb </w:t>
      </w:r>
      <w:proofErr w:type="spellStart"/>
      <w:r w:rsidR="00A25DC0">
        <w:rPr>
          <w:rFonts w:asciiTheme="minorHAnsi" w:hAnsiTheme="minorHAnsi" w:cstheme="minorHAnsi"/>
        </w:rPr>
        <w:t>microcystin</w:t>
      </w:r>
      <w:proofErr w:type="spellEnd"/>
      <w:r w:rsidR="00A25DC0">
        <w:rPr>
          <w:rFonts w:asciiTheme="minorHAnsi" w:hAnsiTheme="minorHAnsi" w:cstheme="minorHAnsi"/>
        </w:rPr>
        <w:t xml:space="preserve"> level have been reached would still need to be confirmed. There are other </w:t>
      </w:r>
      <w:proofErr w:type="spellStart"/>
      <w:r w:rsidR="00A25DC0">
        <w:rPr>
          <w:rFonts w:asciiTheme="minorHAnsi" w:hAnsiTheme="minorHAnsi" w:cstheme="minorHAnsi"/>
        </w:rPr>
        <w:t>phycocyanin</w:t>
      </w:r>
      <w:proofErr w:type="spellEnd"/>
      <w:r w:rsidR="00A25DC0">
        <w:rPr>
          <w:rFonts w:asciiTheme="minorHAnsi" w:hAnsiTheme="minorHAnsi" w:cstheme="minorHAnsi"/>
        </w:rPr>
        <w:t xml:space="preserve"> concentrations that have been used by other agencies or countries</w:t>
      </w:r>
      <w:r w:rsidR="0046024A">
        <w:rPr>
          <w:rFonts w:asciiTheme="minorHAnsi" w:hAnsiTheme="minorHAnsi" w:cstheme="minorHAnsi"/>
        </w:rPr>
        <w:t>.  T</w:t>
      </w:r>
      <w:r w:rsidR="00A25DC0">
        <w:rPr>
          <w:rFonts w:asciiTheme="minorHAnsi" w:hAnsiTheme="minorHAnsi" w:cstheme="minorHAnsi"/>
        </w:rPr>
        <w:t xml:space="preserve">hey are included in table 1 </w:t>
      </w:r>
      <w:r w:rsidR="0046024A">
        <w:rPr>
          <w:rFonts w:asciiTheme="minorHAnsi" w:hAnsiTheme="minorHAnsi" w:cstheme="minorHAnsi"/>
        </w:rPr>
        <w:t>as a means of evaluating risk levels.</w:t>
      </w:r>
    </w:p>
    <w:p w:rsidR="006C20B3" w:rsidRPr="006C20B3" w:rsidRDefault="006C20B3" w:rsidP="00F66D65">
      <w:pPr>
        <w:rPr>
          <w:rFonts w:asciiTheme="minorHAnsi" w:hAnsiTheme="minorHAnsi" w:cstheme="minorHAnsi"/>
        </w:rPr>
      </w:pPr>
      <w:r w:rsidRPr="006C20B3">
        <w:rPr>
          <w:rFonts w:asciiTheme="minorHAnsi" w:hAnsiTheme="minorHAnsi" w:cstheme="minorHAnsi"/>
          <w:sz w:val="18"/>
          <w:szCs w:val="18"/>
        </w:rPr>
        <w:t>Table 1</w:t>
      </w:r>
      <w:r>
        <w:rPr>
          <w:rFonts w:asciiTheme="minorHAnsi" w:hAnsiTheme="minorHAnsi" w:cstheme="minorHAnsi"/>
          <w:sz w:val="18"/>
          <w:szCs w:val="18"/>
        </w:rPr>
        <w:t xml:space="preserve">:  </w:t>
      </w:r>
      <w:proofErr w:type="spellStart"/>
      <w:r>
        <w:rPr>
          <w:rFonts w:asciiTheme="minorHAnsi" w:hAnsiTheme="minorHAnsi" w:cstheme="minorHAnsi"/>
        </w:rPr>
        <w:t>Phycocyanin</w:t>
      </w:r>
      <w:proofErr w:type="spellEnd"/>
      <w:r>
        <w:rPr>
          <w:rFonts w:asciiTheme="minorHAnsi" w:hAnsiTheme="minorHAnsi" w:cstheme="minorHAnsi"/>
        </w:rPr>
        <w:t xml:space="preserve"> numbers to </w:t>
      </w:r>
      <w:r w:rsidR="00A75E2A">
        <w:rPr>
          <w:rFonts w:asciiTheme="minorHAnsi" w:hAnsiTheme="minorHAnsi" w:cstheme="minorHAnsi"/>
        </w:rPr>
        <w:t>aid</w:t>
      </w:r>
      <w:r w:rsidR="00092846">
        <w:rPr>
          <w:rFonts w:asciiTheme="minorHAnsi" w:hAnsiTheme="minorHAnsi" w:cstheme="minorHAnsi"/>
        </w:rPr>
        <w:t>e</w:t>
      </w:r>
      <w:r w:rsidR="00A75E2A">
        <w:rPr>
          <w:rFonts w:asciiTheme="minorHAnsi" w:hAnsiTheme="minorHAnsi" w:cstheme="minorHAnsi"/>
        </w:rPr>
        <w:t xml:space="preserve"> </w:t>
      </w:r>
      <w:r>
        <w:rPr>
          <w:rFonts w:asciiTheme="minorHAnsi" w:hAnsiTheme="minorHAnsi" w:cstheme="minorHAnsi"/>
        </w:rPr>
        <w:t>in interpreting single visit data collection</w:t>
      </w:r>
    </w:p>
    <w:tbl>
      <w:tblPr>
        <w:tblStyle w:val="TableGrid"/>
        <w:tblW w:w="9918" w:type="dxa"/>
        <w:tblLook w:val="04A0"/>
      </w:tblPr>
      <w:tblGrid>
        <w:gridCol w:w="2538"/>
        <w:gridCol w:w="2610"/>
        <w:gridCol w:w="4770"/>
      </w:tblGrid>
      <w:tr w:rsidR="00D0140B" w:rsidTr="00FD4C34">
        <w:trPr>
          <w:cantSplit/>
          <w:tblHeader/>
        </w:trPr>
        <w:tc>
          <w:tcPr>
            <w:tcW w:w="2538" w:type="dxa"/>
            <w:shd w:val="clear" w:color="auto" w:fill="BFBFBF" w:themeFill="background1" w:themeFillShade="BF"/>
          </w:tcPr>
          <w:p w:rsidR="00D0140B" w:rsidRDefault="00D0140B" w:rsidP="00F66D65">
            <w:pPr>
              <w:rPr>
                <w:rFonts w:asciiTheme="minorHAnsi" w:hAnsiTheme="minorHAnsi" w:cstheme="minorHAnsi"/>
              </w:rPr>
            </w:pPr>
            <w:r>
              <w:rPr>
                <w:rFonts w:asciiTheme="minorHAnsi" w:hAnsiTheme="minorHAnsi" w:cstheme="minorHAnsi"/>
              </w:rPr>
              <w:t>Approximate phycocyanin reading µg /L</w:t>
            </w:r>
          </w:p>
        </w:tc>
        <w:tc>
          <w:tcPr>
            <w:tcW w:w="2610" w:type="dxa"/>
            <w:shd w:val="clear" w:color="auto" w:fill="BFBFBF" w:themeFill="background1" w:themeFillShade="BF"/>
          </w:tcPr>
          <w:p w:rsidR="00D0140B" w:rsidRDefault="00D0140B" w:rsidP="00F66D65">
            <w:pPr>
              <w:rPr>
                <w:rFonts w:asciiTheme="minorHAnsi" w:hAnsiTheme="minorHAnsi" w:cstheme="minorHAnsi"/>
              </w:rPr>
            </w:pPr>
            <w:r>
              <w:rPr>
                <w:rFonts w:asciiTheme="minorHAnsi" w:hAnsiTheme="minorHAnsi" w:cstheme="minorHAnsi"/>
              </w:rPr>
              <w:t>Approximate Cell Count/ml</w:t>
            </w:r>
          </w:p>
        </w:tc>
        <w:tc>
          <w:tcPr>
            <w:tcW w:w="4770" w:type="dxa"/>
            <w:shd w:val="clear" w:color="auto" w:fill="BFBFBF" w:themeFill="background1" w:themeFillShade="BF"/>
          </w:tcPr>
          <w:p w:rsidR="00D0140B" w:rsidRDefault="00D0140B" w:rsidP="00D0140B">
            <w:pPr>
              <w:rPr>
                <w:rFonts w:asciiTheme="minorHAnsi" w:hAnsiTheme="minorHAnsi" w:cstheme="minorHAnsi"/>
              </w:rPr>
            </w:pPr>
            <w:r>
              <w:rPr>
                <w:rFonts w:asciiTheme="minorHAnsi" w:hAnsiTheme="minorHAnsi" w:cstheme="minorHAnsi"/>
              </w:rPr>
              <w:t xml:space="preserve">Alert </w:t>
            </w:r>
          </w:p>
        </w:tc>
      </w:tr>
      <w:tr w:rsidR="00D0140B" w:rsidTr="00FD4C34">
        <w:trPr>
          <w:cantSplit/>
        </w:trPr>
        <w:tc>
          <w:tcPr>
            <w:tcW w:w="2538" w:type="dxa"/>
          </w:tcPr>
          <w:p w:rsidR="00D0140B" w:rsidRDefault="00A55D39" w:rsidP="00A55D39">
            <w:pPr>
              <w:rPr>
                <w:rFonts w:asciiTheme="minorHAnsi" w:hAnsiTheme="minorHAnsi" w:cstheme="minorHAnsi"/>
              </w:rPr>
            </w:pPr>
            <w:r>
              <w:rPr>
                <w:rFonts w:asciiTheme="minorHAnsi" w:hAnsiTheme="minorHAnsi" w:cstheme="minorHAnsi"/>
              </w:rPr>
              <w:t>&gt;</w:t>
            </w:r>
            <w:r w:rsidR="00D0140B">
              <w:rPr>
                <w:rFonts w:asciiTheme="minorHAnsi" w:hAnsiTheme="minorHAnsi" w:cstheme="minorHAnsi"/>
              </w:rPr>
              <w:t>2</w:t>
            </w:r>
          </w:p>
        </w:tc>
        <w:tc>
          <w:tcPr>
            <w:tcW w:w="2610" w:type="dxa"/>
          </w:tcPr>
          <w:p w:rsidR="00D0140B" w:rsidRDefault="00A55D39" w:rsidP="00F66D65">
            <w:pPr>
              <w:rPr>
                <w:rFonts w:asciiTheme="minorHAnsi" w:hAnsiTheme="minorHAnsi" w:cstheme="minorHAnsi"/>
              </w:rPr>
            </w:pPr>
            <w:r>
              <w:rPr>
                <w:rFonts w:asciiTheme="minorHAnsi" w:hAnsiTheme="minorHAnsi" w:cstheme="minorHAnsi"/>
              </w:rPr>
              <w:t>&gt;</w:t>
            </w:r>
            <w:r w:rsidR="00D0140B">
              <w:rPr>
                <w:rFonts w:asciiTheme="minorHAnsi" w:hAnsiTheme="minorHAnsi" w:cstheme="minorHAnsi"/>
              </w:rPr>
              <w:t>2000</w:t>
            </w:r>
          </w:p>
        </w:tc>
        <w:tc>
          <w:tcPr>
            <w:tcW w:w="4770" w:type="dxa"/>
          </w:tcPr>
          <w:p w:rsidR="00D0140B" w:rsidRDefault="00A55D39" w:rsidP="00D0140B">
            <w:pPr>
              <w:rPr>
                <w:rFonts w:asciiTheme="minorHAnsi" w:hAnsiTheme="minorHAnsi" w:cstheme="minorHAnsi"/>
              </w:rPr>
            </w:pPr>
            <w:r>
              <w:rPr>
                <w:rFonts w:asciiTheme="minorHAnsi" w:hAnsiTheme="minorHAnsi" w:cstheme="minorHAnsi"/>
              </w:rPr>
              <w:t>Alert</w:t>
            </w:r>
            <w:r w:rsidR="00E9388C">
              <w:rPr>
                <w:rFonts w:asciiTheme="minorHAnsi" w:hAnsiTheme="minorHAnsi" w:cstheme="minorHAnsi"/>
              </w:rPr>
              <w:t xml:space="preserve"> </w:t>
            </w:r>
            <w:r w:rsidR="00B633C5">
              <w:rPr>
                <w:rFonts w:asciiTheme="minorHAnsi" w:hAnsiTheme="minorHAnsi" w:cstheme="minorHAnsi"/>
              </w:rPr>
              <w:t>level</w:t>
            </w:r>
            <w:r>
              <w:rPr>
                <w:rFonts w:asciiTheme="minorHAnsi" w:hAnsiTheme="minorHAnsi" w:cstheme="minorHAnsi"/>
              </w:rPr>
              <w:t xml:space="preserve"> 1</w:t>
            </w:r>
            <w:r w:rsidR="00B633C5">
              <w:rPr>
                <w:rFonts w:asciiTheme="minorHAnsi" w:hAnsiTheme="minorHAnsi" w:cstheme="minorHAnsi"/>
              </w:rPr>
              <w:t xml:space="preserve"> NZ drinking water</w:t>
            </w:r>
            <w:r>
              <w:rPr>
                <w:rFonts w:asciiTheme="minorHAnsi" w:hAnsiTheme="minorHAnsi" w:cstheme="minorHAnsi"/>
              </w:rPr>
              <w:t xml:space="preserve"> is ~2000cells/ml</w:t>
            </w:r>
            <w:r w:rsidR="00DD224E">
              <w:rPr>
                <w:rFonts w:asciiTheme="minorHAnsi" w:hAnsiTheme="minorHAnsi" w:cstheme="minorHAnsi"/>
              </w:rPr>
              <w:t xml:space="preserve"> (New Zealand Ministry of Health 2013)</w:t>
            </w:r>
          </w:p>
        </w:tc>
      </w:tr>
      <w:tr w:rsidR="00B5188F" w:rsidTr="00FD4C34">
        <w:trPr>
          <w:cantSplit/>
        </w:trPr>
        <w:tc>
          <w:tcPr>
            <w:tcW w:w="2538" w:type="dxa"/>
          </w:tcPr>
          <w:p w:rsidR="00B5188F" w:rsidRDefault="00B5188F" w:rsidP="00A55D39">
            <w:pPr>
              <w:rPr>
                <w:rFonts w:asciiTheme="minorHAnsi" w:hAnsiTheme="minorHAnsi" w:cstheme="minorHAnsi"/>
              </w:rPr>
            </w:pPr>
            <w:r>
              <w:rPr>
                <w:rFonts w:asciiTheme="minorHAnsi" w:hAnsiTheme="minorHAnsi" w:cstheme="minorHAnsi"/>
              </w:rPr>
              <w:t>20</w:t>
            </w:r>
          </w:p>
        </w:tc>
        <w:tc>
          <w:tcPr>
            <w:tcW w:w="2610" w:type="dxa"/>
          </w:tcPr>
          <w:p w:rsidR="00B5188F" w:rsidRDefault="00B5188F" w:rsidP="00F66D65">
            <w:pPr>
              <w:rPr>
                <w:rFonts w:asciiTheme="minorHAnsi" w:hAnsiTheme="minorHAnsi" w:cstheme="minorHAnsi"/>
              </w:rPr>
            </w:pPr>
            <w:r>
              <w:rPr>
                <w:rFonts w:asciiTheme="minorHAnsi" w:hAnsiTheme="minorHAnsi" w:cstheme="minorHAnsi"/>
              </w:rPr>
              <w:t>20,000</w:t>
            </w:r>
          </w:p>
        </w:tc>
        <w:tc>
          <w:tcPr>
            <w:tcW w:w="4770" w:type="dxa"/>
          </w:tcPr>
          <w:p w:rsidR="00B5188F" w:rsidRDefault="00B5188F" w:rsidP="00B5188F">
            <w:pPr>
              <w:rPr>
                <w:rFonts w:asciiTheme="minorHAnsi" w:hAnsiTheme="minorHAnsi" w:cstheme="minorHAnsi"/>
              </w:rPr>
            </w:pPr>
            <w:r>
              <w:rPr>
                <w:rFonts w:asciiTheme="minorHAnsi" w:hAnsiTheme="minorHAnsi" w:cstheme="minorHAnsi"/>
              </w:rPr>
              <w:t>Guidance Level 1 WHO (Bartram and Chorus 1999)</w:t>
            </w:r>
          </w:p>
        </w:tc>
      </w:tr>
      <w:tr w:rsidR="00D0140B" w:rsidTr="00FD4C34">
        <w:trPr>
          <w:cantSplit/>
        </w:trPr>
        <w:tc>
          <w:tcPr>
            <w:tcW w:w="2538" w:type="dxa"/>
          </w:tcPr>
          <w:p w:rsidR="00D0140B" w:rsidRDefault="00D0140B" w:rsidP="00F66D65">
            <w:pPr>
              <w:rPr>
                <w:rFonts w:asciiTheme="minorHAnsi" w:hAnsiTheme="minorHAnsi" w:cstheme="minorHAnsi"/>
              </w:rPr>
            </w:pPr>
            <w:r>
              <w:rPr>
                <w:rFonts w:asciiTheme="minorHAnsi" w:hAnsiTheme="minorHAnsi" w:cstheme="minorHAnsi"/>
              </w:rPr>
              <w:lastRenderedPageBreak/>
              <w:t>70</w:t>
            </w:r>
          </w:p>
        </w:tc>
        <w:tc>
          <w:tcPr>
            <w:tcW w:w="2610" w:type="dxa"/>
          </w:tcPr>
          <w:p w:rsidR="00D0140B" w:rsidRDefault="00D0140B" w:rsidP="00F66D65">
            <w:pPr>
              <w:rPr>
                <w:rFonts w:asciiTheme="minorHAnsi" w:hAnsiTheme="minorHAnsi" w:cstheme="minorHAnsi"/>
              </w:rPr>
            </w:pPr>
            <w:r>
              <w:rPr>
                <w:rFonts w:asciiTheme="minorHAnsi" w:hAnsiTheme="minorHAnsi" w:cstheme="minorHAnsi"/>
              </w:rPr>
              <w:t>70,000</w:t>
            </w:r>
          </w:p>
        </w:tc>
        <w:tc>
          <w:tcPr>
            <w:tcW w:w="4770" w:type="dxa"/>
          </w:tcPr>
          <w:p w:rsidR="00D0140B" w:rsidRDefault="00D0140B" w:rsidP="00D0140B">
            <w:pPr>
              <w:rPr>
                <w:rFonts w:asciiTheme="minorHAnsi" w:hAnsiTheme="minorHAnsi" w:cstheme="minorHAnsi"/>
              </w:rPr>
            </w:pPr>
            <w:r>
              <w:rPr>
                <w:rFonts w:asciiTheme="minorHAnsi" w:hAnsiTheme="minorHAnsi" w:cstheme="minorHAnsi"/>
              </w:rPr>
              <w:t>MADPH advisory level-recreational waters</w:t>
            </w:r>
            <w:r w:rsidR="00DD224E">
              <w:rPr>
                <w:rFonts w:asciiTheme="minorHAnsi" w:hAnsiTheme="minorHAnsi" w:cstheme="minorHAnsi"/>
              </w:rPr>
              <w:t xml:space="preserve"> (MADPH 2009)</w:t>
            </w:r>
          </w:p>
        </w:tc>
      </w:tr>
      <w:tr w:rsidR="00D0140B" w:rsidTr="00FD4C34">
        <w:trPr>
          <w:cantSplit/>
        </w:trPr>
        <w:tc>
          <w:tcPr>
            <w:tcW w:w="2538" w:type="dxa"/>
          </w:tcPr>
          <w:p w:rsidR="00D0140B" w:rsidRDefault="00D0140B" w:rsidP="00F66D65">
            <w:pPr>
              <w:rPr>
                <w:rFonts w:asciiTheme="minorHAnsi" w:hAnsiTheme="minorHAnsi" w:cstheme="minorHAnsi"/>
              </w:rPr>
            </w:pPr>
            <w:r>
              <w:rPr>
                <w:rFonts w:asciiTheme="minorHAnsi" w:hAnsiTheme="minorHAnsi" w:cstheme="minorHAnsi"/>
              </w:rPr>
              <w:t>100</w:t>
            </w:r>
          </w:p>
        </w:tc>
        <w:tc>
          <w:tcPr>
            <w:tcW w:w="2610" w:type="dxa"/>
          </w:tcPr>
          <w:p w:rsidR="00D0140B" w:rsidRDefault="00D0140B" w:rsidP="00F66D65">
            <w:pPr>
              <w:rPr>
                <w:rFonts w:asciiTheme="minorHAnsi" w:hAnsiTheme="minorHAnsi" w:cstheme="minorHAnsi"/>
              </w:rPr>
            </w:pPr>
            <w:r>
              <w:rPr>
                <w:rFonts w:asciiTheme="minorHAnsi" w:hAnsiTheme="minorHAnsi" w:cstheme="minorHAnsi"/>
              </w:rPr>
              <w:t xml:space="preserve">100,000 </w:t>
            </w:r>
          </w:p>
        </w:tc>
        <w:tc>
          <w:tcPr>
            <w:tcW w:w="4770" w:type="dxa"/>
          </w:tcPr>
          <w:p w:rsidR="00D0140B" w:rsidRDefault="00D0140B" w:rsidP="001C68F8">
            <w:pPr>
              <w:rPr>
                <w:rFonts w:asciiTheme="minorHAnsi" w:hAnsiTheme="minorHAnsi" w:cstheme="minorHAnsi"/>
              </w:rPr>
            </w:pPr>
            <w:r>
              <w:rPr>
                <w:rFonts w:asciiTheme="minorHAnsi" w:hAnsiTheme="minorHAnsi" w:cstheme="minorHAnsi"/>
              </w:rPr>
              <w:t>WH</w:t>
            </w:r>
            <w:r w:rsidR="00B5188F">
              <w:rPr>
                <w:rFonts w:asciiTheme="minorHAnsi" w:hAnsiTheme="minorHAnsi" w:cstheme="minorHAnsi"/>
              </w:rPr>
              <w:t xml:space="preserve">O </w:t>
            </w:r>
            <w:r>
              <w:rPr>
                <w:rFonts w:asciiTheme="minorHAnsi" w:hAnsiTheme="minorHAnsi" w:cstheme="minorHAnsi"/>
              </w:rPr>
              <w:t xml:space="preserve">Alert Level </w:t>
            </w:r>
            <w:r w:rsidR="00B5188F">
              <w:rPr>
                <w:rFonts w:asciiTheme="minorHAnsi" w:hAnsiTheme="minorHAnsi" w:cstheme="minorHAnsi"/>
              </w:rPr>
              <w:t xml:space="preserve"> </w:t>
            </w:r>
            <w:r>
              <w:rPr>
                <w:rFonts w:asciiTheme="minorHAnsi" w:hAnsiTheme="minorHAnsi" w:cstheme="minorHAnsi"/>
              </w:rPr>
              <w:t>2-</w:t>
            </w:r>
            <w:r w:rsidR="001C68F8">
              <w:rPr>
                <w:rFonts w:asciiTheme="minorHAnsi" w:hAnsiTheme="minorHAnsi" w:cstheme="minorHAnsi"/>
              </w:rPr>
              <w:t xml:space="preserve">drinking </w:t>
            </w:r>
            <w:r>
              <w:rPr>
                <w:rFonts w:asciiTheme="minorHAnsi" w:hAnsiTheme="minorHAnsi" w:cstheme="minorHAnsi"/>
              </w:rPr>
              <w:t>water (moderate risk)</w:t>
            </w:r>
            <w:r w:rsidR="00B5188F">
              <w:rPr>
                <w:rFonts w:asciiTheme="minorHAnsi" w:hAnsiTheme="minorHAnsi" w:cstheme="minorHAnsi"/>
              </w:rPr>
              <w:t xml:space="preserve">, Guidance Level  2 recreational water </w:t>
            </w:r>
            <w:r w:rsidR="00DD224E">
              <w:rPr>
                <w:rFonts w:asciiTheme="minorHAnsi" w:hAnsiTheme="minorHAnsi" w:cstheme="minorHAnsi"/>
              </w:rPr>
              <w:t>(Bartram and Chorus 1999)</w:t>
            </w:r>
          </w:p>
        </w:tc>
      </w:tr>
    </w:tbl>
    <w:p w:rsidR="00AF34DC" w:rsidRDefault="00AF34DC" w:rsidP="00F66D65">
      <w:pPr>
        <w:rPr>
          <w:rFonts w:asciiTheme="minorHAnsi" w:hAnsiTheme="minorHAnsi" w:cstheme="minorHAnsi"/>
        </w:rPr>
      </w:pPr>
    </w:p>
    <w:p w:rsidR="00637DC6" w:rsidRDefault="00637DC6">
      <w:pPr>
        <w:rPr>
          <w:rFonts w:asciiTheme="minorHAnsi" w:hAnsiTheme="minorHAnsi" w:cstheme="minorHAnsi"/>
        </w:rPr>
      </w:pPr>
      <w:r>
        <w:rPr>
          <w:rFonts w:asciiTheme="minorHAnsi" w:hAnsiTheme="minorHAnsi" w:cstheme="minorHAnsi"/>
        </w:rPr>
        <w:t>2.0</w:t>
      </w:r>
      <w:r>
        <w:rPr>
          <w:rFonts w:asciiTheme="minorHAnsi" w:hAnsiTheme="minorHAnsi" w:cstheme="minorHAnsi"/>
        </w:rPr>
        <w:tab/>
        <w:t>SUMMARY</w:t>
      </w:r>
    </w:p>
    <w:p w:rsidR="00EF4C46" w:rsidRDefault="005A1FBF" w:rsidP="00266A01">
      <w:pPr>
        <w:jc w:val="both"/>
        <w:rPr>
          <w:rFonts w:asciiTheme="minorHAnsi" w:hAnsiTheme="minorHAnsi" w:cstheme="minorHAnsi"/>
        </w:rPr>
      </w:pPr>
      <w:r>
        <w:rPr>
          <w:rFonts w:asciiTheme="minorHAnsi" w:hAnsiTheme="minorHAnsi" w:cstheme="minorHAnsi"/>
        </w:rPr>
        <w:t xml:space="preserve">MassDEP personnel receive reports of cyanobacteria blooms from several sources including </w:t>
      </w:r>
      <w:r w:rsidR="00EF4C46">
        <w:rPr>
          <w:rFonts w:asciiTheme="minorHAnsi" w:hAnsiTheme="minorHAnsi" w:cstheme="minorHAnsi"/>
        </w:rPr>
        <w:t xml:space="preserve">state agency personnel, watershed associations and lake shore property owners.  In most cases, there is little or no warning given </w:t>
      </w:r>
      <w:r w:rsidR="006903F2">
        <w:rPr>
          <w:rFonts w:asciiTheme="minorHAnsi" w:hAnsiTheme="minorHAnsi" w:cstheme="minorHAnsi"/>
        </w:rPr>
        <w:t xml:space="preserve">prior </w:t>
      </w:r>
      <w:r w:rsidR="00EF4C46">
        <w:rPr>
          <w:rFonts w:asciiTheme="minorHAnsi" w:hAnsiTheme="minorHAnsi" w:cstheme="minorHAnsi"/>
        </w:rPr>
        <w:t xml:space="preserve">to the need for </w:t>
      </w:r>
      <w:r w:rsidR="006903F2">
        <w:rPr>
          <w:rFonts w:asciiTheme="minorHAnsi" w:hAnsiTheme="minorHAnsi" w:cstheme="minorHAnsi"/>
        </w:rPr>
        <w:t xml:space="preserve">immediate </w:t>
      </w:r>
      <w:r w:rsidR="00EF4C46">
        <w:rPr>
          <w:rFonts w:asciiTheme="minorHAnsi" w:hAnsiTheme="minorHAnsi" w:cstheme="minorHAnsi"/>
        </w:rPr>
        <w:t xml:space="preserve">sampling and use of the phycocyanin probe to determine cyanobacteria densities.  </w:t>
      </w:r>
      <w:r w:rsidR="006903F2">
        <w:rPr>
          <w:rFonts w:asciiTheme="minorHAnsi" w:hAnsiTheme="minorHAnsi" w:cstheme="minorHAnsi"/>
        </w:rPr>
        <w:t xml:space="preserve">However, some </w:t>
      </w:r>
      <w:r w:rsidR="00EF4C46">
        <w:rPr>
          <w:rFonts w:asciiTheme="minorHAnsi" w:hAnsiTheme="minorHAnsi" w:cstheme="minorHAnsi"/>
        </w:rPr>
        <w:t xml:space="preserve">lakes and rivers that have experienced cyanobacteria blooms in the past are re-sampled on a scheduled basis which provides more lead time </w:t>
      </w:r>
      <w:r w:rsidR="009310A9">
        <w:rPr>
          <w:rFonts w:asciiTheme="minorHAnsi" w:hAnsiTheme="minorHAnsi" w:cstheme="minorHAnsi"/>
        </w:rPr>
        <w:t>for response</w:t>
      </w:r>
      <w:r w:rsidR="00F72B7C">
        <w:rPr>
          <w:rFonts w:asciiTheme="minorHAnsi" w:hAnsiTheme="minorHAnsi" w:cstheme="minorHAnsi"/>
        </w:rPr>
        <w:t>.</w:t>
      </w:r>
      <w:r w:rsidR="00266A01">
        <w:rPr>
          <w:rFonts w:asciiTheme="minorHAnsi" w:hAnsiTheme="minorHAnsi" w:cstheme="minorHAnsi"/>
        </w:rPr>
        <w:t xml:space="preserve">  </w:t>
      </w:r>
      <w:r w:rsidR="00A24D94">
        <w:rPr>
          <w:rFonts w:asciiTheme="minorHAnsi" w:hAnsiTheme="minorHAnsi" w:cstheme="minorHAnsi"/>
        </w:rPr>
        <w:t>Operators of</w:t>
      </w:r>
      <w:r w:rsidR="00266A01">
        <w:rPr>
          <w:rFonts w:asciiTheme="minorHAnsi" w:hAnsiTheme="minorHAnsi" w:cstheme="minorHAnsi"/>
        </w:rPr>
        <w:t xml:space="preserve"> drinking water facilities </w:t>
      </w:r>
      <w:r w:rsidR="00A24D94">
        <w:rPr>
          <w:rFonts w:asciiTheme="minorHAnsi" w:hAnsiTheme="minorHAnsi" w:cstheme="minorHAnsi"/>
        </w:rPr>
        <w:t xml:space="preserve">are encouraged </w:t>
      </w:r>
      <w:r w:rsidR="00266A01">
        <w:rPr>
          <w:rFonts w:asciiTheme="minorHAnsi" w:hAnsiTheme="minorHAnsi" w:cstheme="minorHAnsi"/>
        </w:rPr>
        <w:t xml:space="preserve">to develop monitoring programs for their reservoirs </w:t>
      </w:r>
      <w:r w:rsidR="00A24D94">
        <w:rPr>
          <w:rFonts w:asciiTheme="minorHAnsi" w:hAnsiTheme="minorHAnsi" w:cstheme="minorHAnsi"/>
        </w:rPr>
        <w:t xml:space="preserve">so that developing blooms </w:t>
      </w:r>
      <w:r w:rsidR="004347BD">
        <w:rPr>
          <w:rFonts w:asciiTheme="minorHAnsi" w:hAnsiTheme="minorHAnsi" w:cstheme="minorHAnsi"/>
        </w:rPr>
        <w:t>and other changes in their reservoirs can</w:t>
      </w:r>
      <w:r w:rsidR="00A24D94">
        <w:rPr>
          <w:rFonts w:asciiTheme="minorHAnsi" w:hAnsiTheme="minorHAnsi" w:cstheme="minorHAnsi"/>
        </w:rPr>
        <w:t xml:space="preserve"> be observed early </w:t>
      </w:r>
      <w:r w:rsidR="0025417E">
        <w:rPr>
          <w:rFonts w:asciiTheme="minorHAnsi" w:hAnsiTheme="minorHAnsi" w:cstheme="minorHAnsi"/>
        </w:rPr>
        <w:t>and</w:t>
      </w:r>
      <w:r w:rsidR="004347BD">
        <w:rPr>
          <w:rFonts w:asciiTheme="minorHAnsi" w:hAnsiTheme="minorHAnsi" w:cstheme="minorHAnsi"/>
        </w:rPr>
        <w:t xml:space="preserve"> remediation efforts can </w:t>
      </w:r>
      <w:r w:rsidR="007F4CFC">
        <w:rPr>
          <w:rFonts w:asciiTheme="minorHAnsi" w:hAnsiTheme="minorHAnsi" w:cstheme="minorHAnsi"/>
        </w:rPr>
        <w:t xml:space="preserve">be </w:t>
      </w:r>
      <w:r w:rsidR="004347BD">
        <w:rPr>
          <w:rFonts w:asciiTheme="minorHAnsi" w:hAnsiTheme="minorHAnsi" w:cstheme="minorHAnsi"/>
        </w:rPr>
        <w:t>initiated.</w:t>
      </w:r>
      <w:r w:rsidR="00266A01">
        <w:rPr>
          <w:rFonts w:asciiTheme="minorHAnsi" w:hAnsiTheme="minorHAnsi" w:cstheme="minorHAnsi"/>
        </w:rPr>
        <w:t xml:space="preserve"> </w:t>
      </w:r>
    </w:p>
    <w:p w:rsidR="007C0F2C" w:rsidRDefault="007C0F2C">
      <w:pPr>
        <w:rPr>
          <w:rFonts w:asciiTheme="minorHAnsi" w:hAnsiTheme="minorHAnsi" w:cstheme="minorHAnsi"/>
        </w:rPr>
      </w:pPr>
      <w:r>
        <w:rPr>
          <w:rFonts w:asciiTheme="minorHAnsi" w:hAnsiTheme="minorHAnsi" w:cstheme="minorHAnsi"/>
        </w:rPr>
        <w:t>Phycocyanin will be m</w:t>
      </w:r>
      <w:r w:rsidR="002925B6">
        <w:rPr>
          <w:rFonts w:asciiTheme="minorHAnsi" w:hAnsiTheme="minorHAnsi" w:cstheme="minorHAnsi"/>
        </w:rPr>
        <w:t>easured using a Cyclops-7 probe</w:t>
      </w:r>
      <w:r>
        <w:rPr>
          <w:rFonts w:asciiTheme="minorHAnsi" w:hAnsiTheme="minorHAnsi" w:cstheme="minorHAnsi"/>
        </w:rPr>
        <w:t xml:space="preserve"> </w:t>
      </w:r>
      <w:r w:rsidR="002925B6">
        <w:rPr>
          <w:rFonts w:asciiTheme="minorHAnsi" w:hAnsiTheme="minorHAnsi" w:cstheme="minorHAnsi"/>
        </w:rPr>
        <w:t>(</w:t>
      </w:r>
      <w:r>
        <w:rPr>
          <w:rFonts w:asciiTheme="minorHAnsi" w:hAnsiTheme="minorHAnsi" w:cstheme="minorHAnsi"/>
        </w:rPr>
        <w:t xml:space="preserve">Turner </w:t>
      </w:r>
      <w:r w:rsidR="002925B6">
        <w:rPr>
          <w:rFonts w:asciiTheme="minorHAnsi" w:hAnsiTheme="minorHAnsi" w:cstheme="minorHAnsi"/>
        </w:rPr>
        <w:t xml:space="preserve">Designs, Inc).  The data will be stored using a DataBanks Datalogger (Turner Design, Inc).  Readings will be collected by either wading into the water and immersing the probe to the depth desired or from a dock where the probe can be lowered to a maximum of 5 meters. </w:t>
      </w:r>
      <w:r w:rsidR="006903F2">
        <w:rPr>
          <w:rFonts w:asciiTheme="minorHAnsi" w:hAnsiTheme="minorHAnsi" w:cstheme="minorHAnsi"/>
        </w:rPr>
        <w:t xml:space="preserve">Phycocyanin measurements will be made </w:t>
      </w:r>
      <w:r w:rsidR="002F03D5">
        <w:rPr>
          <w:rFonts w:asciiTheme="minorHAnsi" w:hAnsiTheme="minorHAnsi" w:cstheme="minorHAnsi"/>
        </w:rPr>
        <w:t xml:space="preserve">and the readings used </w:t>
      </w:r>
      <w:r w:rsidR="006903F2">
        <w:rPr>
          <w:rFonts w:asciiTheme="minorHAnsi" w:hAnsiTheme="minorHAnsi" w:cstheme="minorHAnsi"/>
        </w:rPr>
        <w:t xml:space="preserve">to </w:t>
      </w:r>
      <w:r w:rsidR="00900D63">
        <w:rPr>
          <w:rFonts w:asciiTheme="minorHAnsi" w:hAnsiTheme="minorHAnsi" w:cstheme="minorHAnsi"/>
        </w:rPr>
        <w:t xml:space="preserve">determine </w:t>
      </w:r>
      <w:r w:rsidR="002F03D5">
        <w:rPr>
          <w:rFonts w:asciiTheme="minorHAnsi" w:hAnsiTheme="minorHAnsi" w:cstheme="minorHAnsi"/>
        </w:rPr>
        <w:t>risk</w:t>
      </w:r>
      <w:r w:rsidR="000579B1">
        <w:rPr>
          <w:rFonts w:asciiTheme="minorHAnsi" w:hAnsiTheme="minorHAnsi" w:cstheme="minorHAnsi"/>
        </w:rPr>
        <w:t xml:space="preserve">.  </w:t>
      </w:r>
      <w:r w:rsidR="00660AB0">
        <w:rPr>
          <w:rFonts w:asciiTheme="minorHAnsi" w:hAnsiTheme="minorHAnsi" w:cstheme="minorHAnsi"/>
        </w:rPr>
        <w:t>A</w:t>
      </w:r>
      <w:r w:rsidR="00900D63">
        <w:rPr>
          <w:rFonts w:asciiTheme="minorHAnsi" w:hAnsiTheme="minorHAnsi" w:cstheme="minorHAnsi"/>
        </w:rPr>
        <w:t xml:space="preserve"> phycocyanin reading </w:t>
      </w:r>
      <w:proofErr w:type="gramStart"/>
      <w:r w:rsidR="00900D63">
        <w:rPr>
          <w:rFonts w:asciiTheme="minorHAnsi" w:hAnsiTheme="minorHAnsi" w:cstheme="minorHAnsi"/>
        </w:rPr>
        <w:t xml:space="preserve">greater than </w:t>
      </w:r>
      <w:r w:rsidR="001C17B4">
        <w:rPr>
          <w:rFonts w:asciiTheme="minorHAnsi" w:hAnsiTheme="minorHAnsi" w:cstheme="minorHAnsi"/>
        </w:rPr>
        <w:t>2 µ</w:t>
      </w:r>
      <w:r w:rsidR="00900D63">
        <w:rPr>
          <w:rFonts w:asciiTheme="minorHAnsi" w:hAnsiTheme="minorHAnsi" w:cstheme="minorHAnsi"/>
        </w:rPr>
        <w:t xml:space="preserve">g/L </w:t>
      </w:r>
      <w:r w:rsidR="007F4CFC">
        <w:rPr>
          <w:rFonts w:asciiTheme="minorHAnsi" w:hAnsiTheme="minorHAnsi" w:cstheme="minorHAnsi"/>
        </w:rPr>
        <w:t>–the detection limit-</w:t>
      </w:r>
      <w:proofErr w:type="gramEnd"/>
      <w:r w:rsidR="007F4CFC">
        <w:rPr>
          <w:rFonts w:asciiTheme="minorHAnsi" w:hAnsiTheme="minorHAnsi" w:cstheme="minorHAnsi"/>
        </w:rPr>
        <w:t xml:space="preserve"> </w:t>
      </w:r>
      <w:r w:rsidR="00900D63">
        <w:rPr>
          <w:rFonts w:asciiTheme="minorHAnsi" w:hAnsiTheme="minorHAnsi" w:cstheme="minorHAnsi"/>
        </w:rPr>
        <w:t xml:space="preserve">is considered to be positive for cyanobacteria.  </w:t>
      </w:r>
      <w:r w:rsidR="00326AF5">
        <w:rPr>
          <w:rFonts w:asciiTheme="minorHAnsi" w:hAnsiTheme="minorHAnsi" w:cstheme="minorHAnsi"/>
        </w:rPr>
        <w:t xml:space="preserve">Readings </w:t>
      </w:r>
      <w:r w:rsidR="009310A9">
        <w:rPr>
          <w:rFonts w:asciiTheme="minorHAnsi" w:hAnsiTheme="minorHAnsi" w:cstheme="minorHAnsi"/>
        </w:rPr>
        <w:t xml:space="preserve">between 50 </w:t>
      </w:r>
      <w:proofErr w:type="gramStart"/>
      <w:r w:rsidR="009310A9">
        <w:rPr>
          <w:rFonts w:asciiTheme="minorHAnsi" w:hAnsiTheme="minorHAnsi" w:cstheme="minorHAnsi"/>
        </w:rPr>
        <w:t xml:space="preserve">and </w:t>
      </w:r>
      <w:r w:rsidR="007F4CFC">
        <w:rPr>
          <w:rFonts w:asciiTheme="minorHAnsi" w:hAnsiTheme="minorHAnsi" w:cstheme="minorHAnsi"/>
        </w:rPr>
        <w:t xml:space="preserve"> 100</w:t>
      </w:r>
      <w:proofErr w:type="gramEnd"/>
      <w:r w:rsidR="007F4CFC" w:rsidRPr="007F4CFC">
        <w:rPr>
          <w:rFonts w:asciiTheme="minorHAnsi" w:hAnsiTheme="minorHAnsi" w:cstheme="minorHAnsi"/>
        </w:rPr>
        <w:t xml:space="preserve"> </w:t>
      </w:r>
      <w:r w:rsidR="007F4CFC">
        <w:rPr>
          <w:rFonts w:asciiTheme="minorHAnsi" w:hAnsiTheme="minorHAnsi" w:cstheme="minorHAnsi"/>
        </w:rPr>
        <w:t xml:space="preserve">µg/L </w:t>
      </w:r>
      <w:r w:rsidR="00660AB0">
        <w:rPr>
          <w:rFonts w:asciiTheme="minorHAnsi" w:hAnsiTheme="minorHAnsi" w:cstheme="minorHAnsi"/>
        </w:rPr>
        <w:t xml:space="preserve"> </w:t>
      </w:r>
      <w:r w:rsidR="00326AF5">
        <w:rPr>
          <w:rFonts w:asciiTheme="minorHAnsi" w:hAnsiTheme="minorHAnsi" w:cstheme="minorHAnsi"/>
        </w:rPr>
        <w:t xml:space="preserve">PC would indicate that </w:t>
      </w:r>
      <w:r w:rsidR="00900D63">
        <w:rPr>
          <w:rFonts w:asciiTheme="minorHAnsi" w:hAnsiTheme="minorHAnsi" w:cstheme="minorHAnsi"/>
        </w:rPr>
        <w:t xml:space="preserve">the </w:t>
      </w:r>
      <w:proofErr w:type="spellStart"/>
      <w:r w:rsidR="00900D63">
        <w:rPr>
          <w:rFonts w:asciiTheme="minorHAnsi" w:hAnsiTheme="minorHAnsi" w:cstheme="minorHAnsi"/>
        </w:rPr>
        <w:t>waterbody</w:t>
      </w:r>
      <w:proofErr w:type="spellEnd"/>
      <w:r w:rsidR="00900D63">
        <w:rPr>
          <w:rFonts w:asciiTheme="minorHAnsi" w:hAnsiTheme="minorHAnsi" w:cstheme="minorHAnsi"/>
        </w:rPr>
        <w:t xml:space="preserve"> </w:t>
      </w:r>
      <w:r w:rsidR="001C17B4">
        <w:rPr>
          <w:rFonts w:asciiTheme="minorHAnsi" w:hAnsiTheme="minorHAnsi" w:cstheme="minorHAnsi"/>
        </w:rPr>
        <w:t xml:space="preserve">is </w:t>
      </w:r>
      <w:r w:rsidR="007F4CFC">
        <w:rPr>
          <w:rFonts w:asciiTheme="minorHAnsi" w:hAnsiTheme="minorHAnsi" w:cstheme="minorHAnsi"/>
        </w:rPr>
        <w:t xml:space="preserve">experiencing a bloom </w:t>
      </w:r>
      <w:r w:rsidR="009310A9">
        <w:rPr>
          <w:rFonts w:asciiTheme="minorHAnsi" w:hAnsiTheme="minorHAnsi" w:cstheme="minorHAnsi"/>
        </w:rPr>
        <w:t xml:space="preserve">of </w:t>
      </w:r>
      <w:proofErr w:type="spellStart"/>
      <w:r w:rsidR="009310A9">
        <w:rPr>
          <w:rFonts w:asciiTheme="minorHAnsi" w:hAnsiTheme="minorHAnsi" w:cstheme="minorHAnsi"/>
        </w:rPr>
        <w:t>cyanobacteria</w:t>
      </w:r>
      <w:proofErr w:type="spellEnd"/>
      <w:r w:rsidR="009310A9">
        <w:rPr>
          <w:rFonts w:asciiTheme="minorHAnsi" w:hAnsiTheme="minorHAnsi" w:cstheme="minorHAnsi"/>
        </w:rPr>
        <w:t xml:space="preserve"> which may contain </w:t>
      </w:r>
      <w:r w:rsidR="007F4CFC">
        <w:rPr>
          <w:rFonts w:asciiTheme="minorHAnsi" w:hAnsiTheme="minorHAnsi" w:cstheme="minorHAnsi"/>
        </w:rPr>
        <w:t>&gt; 70,000 cells/</w:t>
      </w:r>
      <w:proofErr w:type="spellStart"/>
      <w:r w:rsidR="007F4CFC">
        <w:rPr>
          <w:rFonts w:asciiTheme="minorHAnsi" w:hAnsiTheme="minorHAnsi" w:cstheme="minorHAnsi"/>
        </w:rPr>
        <w:t>mL</w:t>
      </w:r>
      <w:proofErr w:type="spellEnd"/>
      <w:r w:rsidR="007F4CFC">
        <w:rPr>
          <w:rFonts w:asciiTheme="minorHAnsi" w:hAnsiTheme="minorHAnsi" w:cstheme="minorHAnsi"/>
        </w:rPr>
        <w:t xml:space="preserve">  </w:t>
      </w:r>
      <w:r w:rsidR="00326AF5">
        <w:rPr>
          <w:rFonts w:asciiTheme="minorHAnsi" w:hAnsiTheme="minorHAnsi" w:cstheme="minorHAnsi"/>
        </w:rPr>
        <w:t xml:space="preserve">the </w:t>
      </w:r>
      <w:r w:rsidR="007F4CFC">
        <w:rPr>
          <w:rFonts w:asciiTheme="minorHAnsi" w:hAnsiTheme="minorHAnsi" w:cstheme="minorHAnsi"/>
        </w:rPr>
        <w:t xml:space="preserve">MADPH </w:t>
      </w:r>
      <w:r w:rsidR="00AD638D">
        <w:rPr>
          <w:rFonts w:asciiTheme="minorHAnsi" w:hAnsiTheme="minorHAnsi" w:cstheme="minorHAnsi"/>
        </w:rPr>
        <w:t>criteria</w:t>
      </w:r>
      <w:r w:rsidR="00326AF5">
        <w:rPr>
          <w:rFonts w:asciiTheme="minorHAnsi" w:hAnsiTheme="minorHAnsi" w:cstheme="minorHAnsi"/>
        </w:rPr>
        <w:t xml:space="preserve"> when it’s likely that </w:t>
      </w:r>
      <w:r w:rsidR="001C17B4">
        <w:rPr>
          <w:rFonts w:asciiTheme="minorHAnsi" w:hAnsiTheme="minorHAnsi" w:cstheme="minorHAnsi"/>
        </w:rPr>
        <w:t>a recreational use advisory might be issued (MDPH 2009)</w:t>
      </w:r>
      <w:r w:rsidR="00900D63">
        <w:rPr>
          <w:rFonts w:asciiTheme="minorHAnsi" w:hAnsiTheme="minorHAnsi" w:cstheme="minorHAnsi"/>
        </w:rPr>
        <w:t>.</w:t>
      </w:r>
      <w:r w:rsidR="00336120">
        <w:rPr>
          <w:rFonts w:asciiTheme="minorHAnsi" w:hAnsiTheme="minorHAnsi" w:cstheme="minorHAnsi"/>
        </w:rPr>
        <w:t xml:space="preserve">  </w:t>
      </w:r>
      <w:r w:rsidR="0025417E">
        <w:rPr>
          <w:rFonts w:asciiTheme="minorHAnsi" w:hAnsiTheme="minorHAnsi" w:cstheme="minorHAnsi"/>
        </w:rPr>
        <w:t xml:space="preserve">To know more about the potential risk present, a </w:t>
      </w:r>
      <w:r w:rsidR="00336120">
        <w:rPr>
          <w:rFonts w:asciiTheme="minorHAnsi" w:hAnsiTheme="minorHAnsi" w:cstheme="minorHAnsi"/>
        </w:rPr>
        <w:t>cyanobacteria sample should be collected for identification and counts.</w:t>
      </w:r>
      <w:r w:rsidR="00AD638D">
        <w:rPr>
          <w:rFonts w:asciiTheme="minorHAnsi" w:hAnsiTheme="minorHAnsi" w:cstheme="minorHAnsi"/>
        </w:rPr>
        <w:t xml:space="preserve">  </w:t>
      </w:r>
      <w:proofErr w:type="spellStart"/>
      <w:r w:rsidR="00AD638D">
        <w:rPr>
          <w:rFonts w:asciiTheme="minorHAnsi" w:hAnsiTheme="minorHAnsi" w:cstheme="minorHAnsi"/>
        </w:rPr>
        <w:t>Phycocyanin</w:t>
      </w:r>
      <w:proofErr w:type="spellEnd"/>
      <w:r w:rsidR="00AD638D">
        <w:rPr>
          <w:rFonts w:asciiTheme="minorHAnsi" w:hAnsiTheme="minorHAnsi" w:cstheme="minorHAnsi"/>
        </w:rPr>
        <w:t xml:space="preserve"> readings at this time can only confirm presence absence, help find hot spots and provide indications as to the severity and spatial parameters of a bloom.</w:t>
      </w:r>
    </w:p>
    <w:p w:rsidR="00637DC6" w:rsidRDefault="00637DC6">
      <w:pPr>
        <w:rPr>
          <w:rFonts w:asciiTheme="minorHAnsi" w:hAnsiTheme="minorHAnsi" w:cstheme="minorHAnsi"/>
        </w:rPr>
      </w:pPr>
      <w:r>
        <w:rPr>
          <w:rFonts w:asciiTheme="minorHAnsi" w:hAnsiTheme="minorHAnsi" w:cstheme="minorHAnsi"/>
        </w:rPr>
        <w:t>3.0</w:t>
      </w:r>
      <w:r>
        <w:rPr>
          <w:rFonts w:asciiTheme="minorHAnsi" w:hAnsiTheme="minorHAnsi" w:cstheme="minorHAnsi"/>
        </w:rPr>
        <w:tab/>
        <w:t>SAFETY CONSIDERATIONS</w:t>
      </w:r>
    </w:p>
    <w:p w:rsidR="00B71C0A" w:rsidRDefault="00B71C0A">
      <w:pPr>
        <w:rPr>
          <w:rFonts w:asciiTheme="minorHAnsi" w:hAnsiTheme="minorHAnsi" w:cstheme="minorHAnsi"/>
        </w:rPr>
      </w:pPr>
      <w:r>
        <w:rPr>
          <w:rFonts w:asciiTheme="minorHAnsi" w:hAnsiTheme="minorHAnsi" w:cstheme="minorHAnsi"/>
        </w:rPr>
        <w:t>As with ot</w:t>
      </w:r>
      <w:r w:rsidR="002614DF">
        <w:rPr>
          <w:rFonts w:asciiTheme="minorHAnsi" w:hAnsiTheme="minorHAnsi" w:cstheme="minorHAnsi"/>
        </w:rPr>
        <w:t xml:space="preserve">her field sampling, </w:t>
      </w:r>
      <w:r>
        <w:rPr>
          <w:rFonts w:asciiTheme="minorHAnsi" w:hAnsiTheme="minorHAnsi" w:cstheme="minorHAnsi"/>
        </w:rPr>
        <w:t xml:space="preserve">sun screen </w:t>
      </w:r>
      <w:r w:rsidR="006437D8">
        <w:rPr>
          <w:rFonts w:asciiTheme="minorHAnsi" w:hAnsiTheme="minorHAnsi" w:cstheme="minorHAnsi"/>
        </w:rPr>
        <w:t xml:space="preserve">should be used </w:t>
      </w:r>
      <w:r w:rsidR="002614DF">
        <w:rPr>
          <w:rFonts w:asciiTheme="minorHAnsi" w:hAnsiTheme="minorHAnsi" w:cstheme="minorHAnsi"/>
        </w:rPr>
        <w:t xml:space="preserve">and </w:t>
      </w:r>
      <w:r w:rsidR="005E1AED">
        <w:rPr>
          <w:rFonts w:asciiTheme="minorHAnsi" w:hAnsiTheme="minorHAnsi" w:cstheme="minorHAnsi"/>
        </w:rPr>
        <w:t xml:space="preserve">precautions should be made </w:t>
      </w:r>
      <w:r w:rsidR="006437D8">
        <w:rPr>
          <w:rFonts w:asciiTheme="minorHAnsi" w:hAnsiTheme="minorHAnsi" w:cstheme="minorHAnsi"/>
        </w:rPr>
        <w:t xml:space="preserve">to avoid contact with poison ivy </w:t>
      </w:r>
      <w:r w:rsidR="005E1AED">
        <w:rPr>
          <w:rFonts w:asciiTheme="minorHAnsi" w:hAnsiTheme="minorHAnsi" w:cstheme="minorHAnsi"/>
        </w:rPr>
        <w:t xml:space="preserve">or </w:t>
      </w:r>
      <w:r w:rsidR="006437D8">
        <w:rPr>
          <w:rFonts w:asciiTheme="minorHAnsi" w:hAnsiTheme="minorHAnsi" w:cstheme="minorHAnsi"/>
        </w:rPr>
        <w:t>placing equipment down in areas with poison ivy present.</w:t>
      </w:r>
      <w:r>
        <w:rPr>
          <w:rFonts w:asciiTheme="minorHAnsi" w:hAnsiTheme="minorHAnsi" w:cstheme="minorHAnsi"/>
        </w:rPr>
        <w:t xml:space="preserve"> </w:t>
      </w:r>
      <w:r w:rsidR="00A7353A">
        <w:rPr>
          <w:rFonts w:asciiTheme="minorHAnsi" w:hAnsiTheme="minorHAnsi" w:cstheme="minorHAnsi"/>
        </w:rPr>
        <w:t xml:space="preserve"> </w:t>
      </w:r>
      <w:r w:rsidR="005E1AED">
        <w:rPr>
          <w:rFonts w:asciiTheme="minorHAnsi" w:hAnsiTheme="minorHAnsi" w:cstheme="minorHAnsi"/>
        </w:rPr>
        <w:t xml:space="preserve">Efforts should also be made </w:t>
      </w:r>
      <w:r w:rsidR="00A7353A">
        <w:rPr>
          <w:rFonts w:asciiTheme="minorHAnsi" w:hAnsiTheme="minorHAnsi" w:cstheme="minorHAnsi"/>
        </w:rPr>
        <w:t xml:space="preserve">to protect </w:t>
      </w:r>
      <w:proofErr w:type="gramStart"/>
      <w:r w:rsidR="00A7353A">
        <w:rPr>
          <w:rFonts w:asciiTheme="minorHAnsi" w:hAnsiTheme="minorHAnsi" w:cstheme="minorHAnsi"/>
        </w:rPr>
        <w:t>yourself</w:t>
      </w:r>
      <w:proofErr w:type="gramEnd"/>
      <w:r w:rsidR="00A7353A">
        <w:rPr>
          <w:rFonts w:asciiTheme="minorHAnsi" w:hAnsiTheme="minorHAnsi" w:cstheme="minorHAnsi"/>
        </w:rPr>
        <w:t xml:space="preserve"> from mosquito bites </w:t>
      </w:r>
      <w:r w:rsidR="005E1AED">
        <w:rPr>
          <w:rFonts w:asciiTheme="minorHAnsi" w:hAnsiTheme="minorHAnsi" w:cstheme="minorHAnsi"/>
        </w:rPr>
        <w:t xml:space="preserve">with the use of repellants.  </w:t>
      </w:r>
      <w:r w:rsidR="000C629A">
        <w:rPr>
          <w:rFonts w:asciiTheme="minorHAnsi" w:hAnsiTheme="minorHAnsi" w:cstheme="minorHAnsi"/>
        </w:rPr>
        <w:t xml:space="preserve"> </w:t>
      </w:r>
      <w:r w:rsidR="0075442B">
        <w:rPr>
          <w:rFonts w:asciiTheme="minorHAnsi" w:hAnsiTheme="minorHAnsi" w:cstheme="minorHAnsi"/>
        </w:rPr>
        <w:t>W</w:t>
      </w:r>
      <w:r w:rsidR="000C629A">
        <w:rPr>
          <w:rFonts w:asciiTheme="minorHAnsi" w:hAnsiTheme="minorHAnsi" w:cstheme="minorHAnsi"/>
        </w:rPr>
        <w:t>earing l</w:t>
      </w:r>
      <w:r w:rsidR="00A7353A">
        <w:rPr>
          <w:rFonts w:asciiTheme="minorHAnsi" w:hAnsiTheme="minorHAnsi" w:cstheme="minorHAnsi"/>
        </w:rPr>
        <w:t xml:space="preserve">ight colored long sleeve shirt and pants </w:t>
      </w:r>
      <w:r w:rsidR="000C629A">
        <w:rPr>
          <w:rFonts w:asciiTheme="minorHAnsi" w:hAnsiTheme="minorHAnsi" w:cstheme="minorHAnsi"/>
        </w:rPr>
        <w:t xml:space="preserve">will </w:t>
      </w:r>
      <w:r w:rsidR="00A7353A">
        <w:rPr>
          <w:rFonts w:asciiTheme="minorHAnsi" w:hAnsiTheme="minorHAnsi" w:cstheme="minorHAnsi"/>
        </w:rPr>
        <w:t xml:space="preserve">aid in searching for ticks after you leave the field. </w:t>
      </w:r>
      <w:r>
        <w:rPr>
          <w:rFonts w:asciiTheme="minorHAnsi" w:hAnsiTheme="minorHAnsi" w:cstheme="minorHAnsi"/>
        </w:rPr>
        <w:t xml:space="preserve"> </w:t>
      </w:r>
      <w:r w:rsidR="000C629A">
        <w:rPr>
          <w:rFonts w:asciiTheme="minorHAnsi" w:hAnsiTheme="minorHAnsi" w:cstheme="minorHAnsi"/>
        </w:rPr>
        <w:t>The ‘buddy system’ should be used when conducting sampling</w:t>
      </w:r>
      <w:r>
        <w:rPr>
          <w:rFonts w:asciiTheme="minorHAnsi" w:hAnsiTheme="minorHAnsi" w:cstheme="minorHAnsi"/>
        </w:rPr>
        <w:t>.</w:t>
      </w:r>
    </w:p>
    <w:p w:rsidR="00ED7D28" w:rsidRDefault="00637DC6">
      <w:pPr>
        <w:rPr>
          <w:rFonts w:asciiTheme="minorHAnsi" w:hAnsiTheme="minorHAnsi" w:cstheme="minorHAnsi"/>
        </w:rPr>
      </w:pPr>
      <w:r w:rsidRPr="00CE0E23">
        <w:rPr>
          <w:rFonts w:asciiTheme="minorHAnsi" w:hAnsiTheme="minorHAnsi" w:cstheme="minorHAnsi"/>
        </w:rPr>
        <w:t>4.0</w:t>
      </w:r>
      <w:r w:rsidRPr="00CE0E23">
        <w:rPr>
          <w:rFonts w:asciiTheme="minorHAnsi" w:hAnsiTheme="minorHAnsi" w:cstheme="minorHAnsi"/>
        </w:rPr>
        <w:tab/>
        <w:t>SAMPLE COLLECTION, PRESERVATION AND HANDLING</w:t>
      </w:r>
    </w:p>
    <w:p w:rsidR="003B1FEF" w:rsidRDefault="00B40232">
      <w:pPr>
        <w:rPr>
          <w:rFonts w:asciiTheme="minorHAnsi" w:hAnsiTheme="minorHAnsi" w:cstheme="minorHAnsi"/>
        </w:rPr>
      </w:pPr>
      <w:r>
        <w:rPr>
          <w:rFonts w:asciiTheme="minorHAnsi" w:hAnsiTheme="minorHAnsi" w:cstheme="minorHAnsi"/>
        </w:rPr>
        <w:t xml:space="preserve">A glass or plastic container can be used if </w:t>
      </w:r>
      <w:r w:rsidR="003B1FEF">
        <w:rPr>
          <w:rFonts w:asciiTheme="minorHAnsi" w:hAnsiTheme="minorHAnsi" w:cstheme="minorHAnsi"/>
        </w:rPr>
        <w:t>a sample is collected for cyanobacteria identification</w:t>
      </w:r>
      <w:r>
        <w:rPr>
          <w:rFonts w:asciiTheme="minorHAnsi" w:hAnsiTheme="minorHAnsi" w:cstheme="minorHAnsi"/>
        </w:rPr>
        <w:t xml:space="preserve">s.  </w:t>
      </w:r>
      <w:r w:rsidR="0007775B">
        <w:rPr>
          <w:rFonts w:asciiTheme="minorHAnsi" w:hAnsiTheme="minorHAnsi" w:cstheme="minorHAnsi"/>
        </w:rPr>
        <w:t xml:space="preserve"> It should be stored in the dark on ice for identification within 24 hours.  Samples to be held longer than that sho</w:t>
      </w:r>
      <w:r w:rsidR="006437D8">
        <w:rPr>
          <w:rFonts w:asciiTheme="minorHAnsi" w:hAnsiTheme="minorHAnsi" w:cstheme="minorHAnsi"/>
        </w:rPr>
        <w:t>u</w:t>
      </w:r>
      <w:r w:rsidR="0007775B">
        <w:rPr>
          <w:rFonts w:asciiTheme="minorHAnsi" w:hAnsiTheme="minorHAnsi" w:cstheme="minorHAnsi"/>
        </w:rPr>
        <w:t>ld be preserved with Lugol’s solution-2 mls/100 mls of sample.</w:t>
      </w:r>
    </w:p>
    <w:p w:rsidR="006437D8" w:rsidRPr="00CE0E23" w:rsidRDefault="006437D8">
      <w:pPr>
        <w:rPr>
          <w:rFonts w:asciiTheme="minorHAnsi" w:hAnsiTheme="minorHAnsi" w:cstheme="minorHAnsi"/>
        </w:rPr>
      </w:pPr>
      <w:r>
        <w:rPr>
          <w:rFonts w:asciiTheme="minorHAnsi" w:hAnsiTheme="minorHAnsi" w:cstheme="minorHAnsi"/>
        </w:rPr>
        <w:t>If a sample is collected for microcystin analysis ambe</w:t>
      </w:r>
      <w:r w:rsidR="000D6E2B">
        <w:rPr>
          <w:rFonts w:asciiTheme="minorHAnsi" w:hAnsiTheme="minorHAnsi" w:cstheme="minorHAnsi"/>
        </w:rPr>
        <w:t xml:space="preserve">r, glass bottles should be used.  Clear glass jars or </w:t>
      </w:r>
      <w:r>
        <w:rPr>
          <w:rFonts w:asciiTheme="minorHAnsi" w:hAnsiTheme="minorHAnsi" w:cstheme="minorHAnsi"/>
        </w:rPr>
        <w:t>bottles can be wrapped in foil</w:t>
      </w:r>
      <w:r w:rsidR="000579B1">
        <w:rPr>
          <w:rFonts w:asciiTheme="minorHAnsi" w:hAnsiTheme="minorHAnsi" w:cstheme="minorHAnsi"/>
        </w:rPr>
        <w:t>.  Samples should be kept</w:t>
      </w:r>
      <w:r w:rsidR="000D25E6">
        <w:rPr>
          <w:rFonts w:asciiTheme="minorHAnsi" w:hAnsiTheme="minorHAnsi" w:cstheme="minorHAnsi"/>
        </w:rPr>
        <w:t xml:space="preserve"> cool and in the dark until processing.</w:t>
      </w:r>
    </w:p>
    <w:p w:rsidR="00F66D65" w:rsidRDefault="00637DC6" w:rsidP="00F66D65">
      <w:pPr>
        <w:rPr>
          <w:rFonts w:asciiTheme="minorHAnsi" w:hAnsiTheme="minorHAnsi" w:cstheme="minorHAnsi"/>
        </w:rPr>
      </w:pPr>
      <w:r w:rsidRPr="00CE0E23">
        <w:rPr>
          <w:rFonts w:asciiTheme="minorHAnsi" w:hAnsiTheme="minorHAnsi" w:cstheme="minorHAnsi"/>
        </w:rPr>
        <w:t>5.0</w:t>
      </w:r>
      <w:r w:rsidR="00F66D65" w:rsidRPr="00CE0E23">
        <w:rPr>
          <w:rFonts w:asciiTheme="minorHAnsi" w:hAnsiTheme="minorHAnsi" w:cstheme="minorHAnsi"/>
        </w:rPr>
        <w:t xml:space="preserve"> </w:t>
      </w:r>
      <w:r w:rsidR="00F66D65" w:rsidRPr="00CE0E23">
        <w:rPr>
          <w:rFonts w:asciiTheme="minorHAnsi" w:hAnsiTheme="minorHAnsi" w:cstheme="minorHAnsi"/>
        </w:rPr>
        <w:tab/>
        <w:t>APPARATUS, EQUIPMENT, MATERIALS</w:t>
      </w:r>
    </w:p>
    <w:p w:rsidR="00704FED" w:rsidRPr="00B561E8" w:rsidRDefault="00704FED" w:rsidP="00F66D65">
      <w:pPr>
        <w:rPr>
          <w:rFonts w:asciiTheme="minorHAnsi" w:hAnsiTheme="minorHAnsi" w:cstheme="minorHAnsi"/>
          <w:b/>
        </w:rPr>
      </w:pPr>
      <w:r w:rsidRPr="00B561E8">
        <w:rPr>
          <w:rFonts w:asciiTheme="minorHAnsi" w:hAnsiTheme="minorHAnsi" w:cstheme="minorHAnsi"/>
          <w:b/>
        </w:rPr>
        <w:t>Calibration</w:t>
      </w:r>
    </w:p>
    <w:p w:rsidR="00F66D65" w:rsidRPr="00FD4C34" w:rsidRDefault="00393840" w:rsidP="00FD4C34">
      <w:pPr>
        <w:pStyle w:val="ListParagraph"/>
        <w:numPr>
          <w:ilvl w:val="0"/>
          <w:numId w:val="9"/>
        </w:numPr>
        <w:spacing w:line="240" w:lineRule="auto"/>
        <w:rPr>
          <w:rFonts w:asciiTheme="minorHAnsi" w:hAnsiTheme="minorHAnsi" w:cstheme="minorHAnsi"/>
        </w:rPr>
      </w:pPr>
      <w:r w:rsidRPr="00FD4C34">
        <w:rPr>
          <w:rFonts w:asciiTheme="minorHAnsi" w:hAnsiTheme="minorHAnsi" w:cstheme="minorHAnsi"/>
        </w:rPr>
        <w:lastRenderedPageBreak/>
        <w:t xml:space="preserve">Carrier case </w:t>
      </w:r>
      <w:r w:rsidR="00F66D65" w:rsidRPr="00FD4C34">
        <w:rPr>
          <w:rFonts w:asciiTheme="minorHAnsi" w:hAnsiTheme="minorHAnsi" w:cstheme="minorHAnsi"/>
        </w:rPr>
        <w:t>containing DataBank</w:t>
      </w:r>
      <w:r w:rsidR="005428EA" w:rsidRPr="00FD4C34">
        <w:rPr>
          <w:rFonts w:asciiTheme="minorHAnsi" w:hAnsiTheme="minorHAnsi" w:cstheme="minorHAnsi"/>
        </w:rPr>
        <w:t>,</w:t>
      </w:r>
      <w:r w:rsidR="00F66D65" w:rsidRPr="00FD4C34">
        <w:rPr>
          <w:rFonts w:asciiTheme="minorHAnsi" w:hAnsiTheme="minorHAnsi" w:cstheme="minorHAnsi"/>
        </w:rPr>
        <w:t xml:space="preserve"> cables</w:t>
      </w:r>
      <w:r w:rsidR="005428EA" w:rsidRPr="00FD4C34">
        <w:rPr>
          <w:rFonts w:asciiTheme="minorHAnsi" w:hAnsiTheme="minorHAnsi" w:cstheme="minorHAnsi"/>
        </w:rPr>
        <w:t xml:space="preserve"> and Cyclops-7 probe</w:t>
      </w:r>
      <w:r w:rsidR="00595656" w:rsidRPr="00FD4C34">
        <w:rPr>
          <w:rFonts w:asciiTheme="minorHAnsi" w:hAnsiTheme="minorHAnsi" w:cstheme="minorHAnsi"/>
        </w:rPr>
        <w:t xml:space="preserve">  </w:t>
      </w:r>
    </w:p>
    <w:p w:rsidR="00207A6D" w:rsidRPr="00FD4C34" w:rsidRDefault="00207A6D" w:rsidP="00FD4C34">
      <w:pPr>
        <w:pStyle w:val="ListParagraph"/>
        <w:numPr>
          <w:ilvl w:val="0"/>
          <w:numId w:val="9"/>
        </w:numPr>
        <w:spacing w:line="240" w:lineRule="auto"/>
        <w:rPr>
          <w:rFonts w:asciiTheme="minorHAnsi" w:hAnsiTheme="minorHAnsi" w:cstheme="minorHAnsi"/>
        </w:rPr>
      </w:pPr>
      <w:r w:rsidRPr="00FD4C34">
        <w:rPr>
          <w:rFonts w:asciiTheme="minorHAnsi" w:hAnsiTheme="minorHAnsi" w:cstheme="minorHAnsi"/>
        </w:rPr>
        <w:t>c-phycocyanin (</w:t>
      </w:r>
      <w:r w:rsidRPr="00FD4C34">
        <w:rPr>
          <w:rFonts w:asciiTheme="minorHAnsi" w:hAnsiTheme="minorHAnsi" w:cstheme="minorHAnsi"/>
          <w:i/>
        </w:rPr>
        <w:t>Spirulina platensis</w:t>
      </w:r>
      <w:r w:rsidRPr="00FD4C34">
        <w:rPr>
          <w:rFonts w:asciiTheme="minorHAnsi" w:hAnsiTheme="minorHAnsi" w:cstheme="minorHAnsi"/>
        </w:rPr>
        <w:t>) standard (keep refrigerated) from Prozyme, Inc.</w:t>
      </w:r>
    </w:p>
    <w:p w:rsidR="00212B1A" w:rsidRPr="00FD4C34" w:rsidRDefault="0007775B" w:rsidP="00FD4C34">
      <w:pPr>
        <w:pStyle w:val="ListParagraph"/>
        <w:numPr>
          <w:ilvl w:val="0"/>
          <w:numId w:val="9"/>
        </w:numPr>
        <w:spacing w:line="240" w:lineRule="auto"/>
        <w:rPr>
          <w:rFonts w:asciiTheme="minorHAnsi" w:hAnsiTheme="minorHAnsi" w:cstheme="minorHAnsi"/>
        </w:rPr>
      </w:pPr>
      <w:r w:rsidRPr="00FD4C34">
        <w:rPr>
          <w:rFonts w:asciiTheme="minorHAnsi" w:hAnsiTheme="minorHAnsi" w:cstheme="minorHAnsi"/>
        </w:rPr>
        <w:t>Lap</w:t>
      </w:r>
      <w:r w:rsidR="005428EA" w:rsidRPr="00FD4C34">
        <w:rPr>
          <w:rFonts w:asciiTheme="minorHAnsi" w:hAnsiTheme="minorHAnsi" w:cstheme="minorHAnsi"/>
        </w:rPr>
        <w:t xml:space="preserve">top, kept in </w:t>
      </w:r>
      <w:r w:rsidR="00704FED" w:rsidRPr="00FD4C34">
        <w:rPr>
          <w:rFonts w:asciiTheme="minorHAnsi" w:hAnsiTheme="minorHAnsi" w:cstheme="minorHAnsi"/>
        </w:rPr>
        <w:t>room 117</w:t>
      </w:r>
      <w:r w:rsidR="005428EA" w:rsidRPr="00FD4C34">
        <w:rPr>
          <w:rFonts w:asciiTheme="minorHAnsi" w:hAnsiTheme="minorHAnsi" w:cstheme="minorHAnsi"/>
        </w:rPr>
        <w:t xml:space="preserve"> </w:t>
      </w:r>
    </w:p>
    <w:p w:rsidR="00212B1A" w:rsidRPr="00FD4C34" w:rsidRDefault="002B43EE" w:rsidP="00FD4C34">
      <w:pPr>
        <w:pStyle w:val="ListParagraph"/>
        <w:numPr>
          <w:ilvl w:val="0"/>
          <w:numId w:val="9"/>
        </w:numPr>
        <w:spacing w:line="240" w:lineRule="auto"/>
        <w:rPr>
          <w:rFonts w:asciiTheme="minorHAnsi" w:hAnsiTheme="minorHAnsi" w:cstheme="minorHAnsi"/>
        </w:rPr>
      </w:pPr>
      <w:r w:rsidRPr="00FD4C34">
        <w:rPr>
          <w:rFonts w:asciiTheme="minorHAnsi" w:hAnsiTheme="minorHAnsi" w:cstheme="minorHAnsi"/>
        </w:rPr>
        <w:t xml:space="preserve">Two </w:t>
      </w:r>
      <w:r w:rsidR="00212B1A" w:rsidRPr="00FD4C34">
        <w:rPr>
          <w:rFonts w:asciiTheme="minorHAnsi" w:hAnsiTheme="minorHAnsi" w:cstheme="minorHAnsi"/>
        </w:rPr>
        <w:t xml:space="preserve">0.5 liter </w:t>
      </w:r>
      <w:r w:rsidRPr="00FD4C34">
        <w:rPr>
          <w:rFonts w:asciiTheme="minorHAnsi" w:hAnsiTheme="minorHAnsi" w:cstheme="minorHAnsi"/>
        </w:rPr>
        <w:t xml:space="preserve">and </w:t>
      </w:r>
      <w:r w:rsidR="004B247B" w:rsidRPr="00FD4C34">
        <w:rPr>
          <w:rFonts w:asciiTheme="minorHAnsi" w:hAnsiTheme="minorHAnsi" w:cstheme="minorHAnsi"/>
        </w:rPr>
        <w:t xml:space="preserve">three  </w:t>
      </w:r>
      <w:r w:rsidR="00212B1A" w:rsidRPr="00FD4C34">
        <w:rPr>
          <w:rFonts w:asciiTheme="minorHAnsi" w:hAnsiTheme="minorHAnsi" w:cstheme="minorHAnsi"/>
        </w:rPr>
        <w:t xml:space="preserve">1 Liter volumetric flask, 400 mL flask,  </w:t>
      </w:r>
      <w:r w:rsidRPr="00FD4C34">
        <w:rPr>
          <w:rFonts w:asciiTheme="minorHAnsi" w:hAnsiTheme="minorHAnsi" w:cstheme="minorHAnsi"/>
        </w:rPr>
        <w:t xml:space="preserve">two </w:t>
      </w:r>
      <w:r w:rsidR="00212B1A" w:rsidRPr="00FD4C34">
        <w:rPr>
          <w:rFonts w:asciiTheme="minorHAnsi" w:hAnsiTheme="minorHAnsi" w:cstheme="minorHAnsi"/>
        </w:rPr>
        <w:t xml:space="preserve">500 mL +/- glass measuring </w:t>
      </w:r>
      <w:r w:rsidR="00DB18CA" w:rsidRPr="00FD4C34">
        <w:rPr>
          <w:rFonts w:asciiTheme="minorHAnsi" w:hAnsiTheme="minorHAnsi" w:cstheme="minorHAnsi"/>
        </w:rPr>
        <w:t xml:space="preserve"> </w:t>
      </w:r>
      <w:r w:rsidR="00212B1A" w:rsidRPr="00FD4C34">
        <w:rPr>
          <w:rFonts w:asciiTheme="minorHAnsi" w:hAnsiTheme="minorHAnsi" w:cstheme="minorHAnsi"/>
        </w:rPr>
        <w:t xml:space="preserve">jar </w:t>
      </w:r>
      <w:r w:rsidR="00453F4E" w:rsidRPr="00FD4C34">
        <w:rPr>
          <w:rFonts w:asciiTheme="minorHAnsi" w:hAnsiTheme="minorHAnsi" w:cstheme="minorHAnsi"/>
        </w:rPr>
        <w:t xml:space="preserve">, </w:t>
      </w:r>
      <w:r w:rsidRPr="00FD4C34">
        <w:rPr>
          <w:rFonts w:asciiTheme="minorHAnsi" w:hAnsiTheme="minorHAnsi" w:cstheme="minorHAnsi"/>
        </w:rPr>
        <w:t xml:space="preserve">four 2 L </w:t>
      </w:r>
      <w:r w:rsidR="00453F4E" w:rsidRPr="00FD4C34">
        <w:rPr>
          <w:rFonts w:asciiTheme="minorHAnsi" w:hAnsiTheme="minorHAnsi" w:cstheme="minorHAnsi"/>
        </w:rPr>
        <w:t>beakers</w:t>
      </w:r>
    </w:p>
    <w:p w:rsidR="00453F4E" w:rsidRPr="00FD4C34" w:rsidRDefault="000579B1" w:rsidP="00FD4C34">
      <w:pPr>
        <w:pStyle w:val="ListParagraph"/>
        <w:numPr>
          <w:ilvl w:val="0"/>
          <w:numId w:val="9"/>
        </w:numPr>
        <w:spacing w:line="240" w:lineRule="auto"/>
        <w:rPr>
          <w:rFonts w:asciiTheme="minorHAnsi" w:hAnsiTheme="minorHAnsi" w:cstheme="minorHAnsi"/>
        </w:rPr>
      </w:pPr>
      <w:r w:rsidRPr="00FD4C34">
        <w:rPr>
          <w:rFonts w:asciiTheme="minorHAnsi" w:hAnsiTheme="minorHAnsi" w:cstheme="minorHAnsi"/>
        </w:rPr>
        <w:t>A board or table top with a n</w:t>
      </w:r>
      <w:r w:rsidR="00453F4E" w:rsidRPr="00FD4C34">
        <w:rPr>
          <w:rFonts w:asciiTheme="minorHAnsi" w:hAnsiTheme="minorHAnsi" w:cstheme="minorHAnsi"/>
        </w:rPr>
        <w:t>on reflective black surface to place</w:t>
      </w:r>
      <w:r w:rsidRPr="00FD4C34">
        <w:rPr>
          <w:rFonts w:asciiTheme="minorHAnsi" w:hAnsiTheme="minorHAnsi" w:cstheme="minorHAnsi"/>
        </w:rPr>
        <w:t xml:space="preserve"> </w:t>
      </w:r>
      <w:r w:rsidR="00453F4E" w:rsidRPr="00FD4C34">
        <w:rPr>
          <w:rFonts w:asciiTheme="minorHAnsi" w:hAnsiTheme="minorHAnsi" w:cstheme="minorHAnsi"/>
        </w:rPr>
        <w:t xml:space="preserve">under volumetric flasks and beakers </w:t>
      </w:r>
      <w:r w:rsidR="000D6E2B">
        <w:rPr>
          <w:rFonts w:asciiTheme="minorHAnsi" w:hAnsiTheme="minorHAnsi" w:cstheme="minorHAnsi"/>
        </w:rPr>
        <w:t>–not necessary if the shade cap is used.</w:t>
      </w:r>
    </w:p>
    <w:p w:rsidR="00212B1A" w:rsidRPr="00FD4C34" w:rsidRDefault="00212B1A" w:rsidP="00FD4C34">
      <w:pPr>
        <w:pStyle w:val="ListParagraph"/>
        <w:numPr>
          <w:ilvl w:val="0"/>
          <w:numId w:val="9"/>
        </w:numPr>
        <w:spacing w:before="50" w:after="50"/>
        <w:ind w:right="2"/>
        <w:rPr>
          <w:rFonts w:asciiTheme="minorHAnsi" w:hAnsiTheme="minorHAnsi" w:cstheme="minorHAnsi"/>
        </w:rPr>
      </w:pPr>
      <w:r w:rsidRPr="00FD4C34">
        <w:rPr>
          <w:rFonts w:asciiTheme="minorHAnsi" w:hAnsiTheme="minorHAnsi" w:cstheme="minorHAnsi"/>
        </w:rPr>
        <w:t xml:space="preserve">Eppendorf Reference micropipette and pipette tips </w:t>
      </w:r>
    </w:p>
    <w:p w:rsidR="00212B1A" w:rsidRPr="00FD4C34" w:rsidRDefault="00212B1A" w:rsidP="00FD4C34">
      <w:pPr>
        <w:pStyle w:val="ListParagraph"/>
        <w:numPr>
          <w:ilvl w:val="0"/>
          <w:numId w:val="9"/>
        </w:numPr>
        <w:spacing w:before="50" w:after="50"/>
        <w:ind w:right="2"/>
        <w:rPr>
          <w:rFonts w:asciiTheme="minorHAnsi" w:hAnsiTheme="minorHAnsi" w:cstheme="minorHAnsi"/>
        </w:rPr>
      </w:pPr>
      <w:r w:rsidRPr="00FD4C34">
        <w:rPr>
          <w:rFonts w:asciiTheme="minorHAnsi" w:hAnsiTheme="minorHAnsi" w:cstheme="minorHAnsi"/>
        </w:rPr>
        <w:t>Magnetic stirrer</w:t>
      </w:r>
    </w:p>
    <w:p w:rsidR="00212B1A" w:rsidRPr="00FD4C34" w:rsidRDefault="00212B1A" w:rsidP="00FD4C34">
      <w:pPr>
        <w:pStyle w:val="ListParagraph"/>
        <w:numPr>
          <w:ilvl w:val="0"/>
          <w:numId w:val="9"/>
        </w:numPr>
        <w:spacing w:before="50" w:after="50"/>
        <w:ind w:right="2"/>
        <w:rPr>
          <w:rFonts w:asciiTheme="minorHAnsi" w:hAnsiTheme="minorHAnsi" w:cstheme="minorHAnsi"/>
        </w:rPr>
      </w:pPr>
      <w:r w:rsidRPr="00FD4C34">
        <w:rPr>
          <w:rFonts w:asciiTheme="minorHAnsi" w:hAnsiTheme="minorHAnsi" w:cstheme="minorHAnsi"/>
        </w:rPr>
        <w:t>Thermometer</w:t>
      </w:r>
    </w:p>
    <w:p w:rsidR="00453F4E" w:rsidRPr="00FD4C34" w:rsidRDefault="00212B1A" w:rsidP="00FD4C34">
      <w:pPr>
        <w:pStyle w:val="ListParagraph"/>
        <w:numPr>
          <w:ilvl w:val="0"/>
          <w:numId w:val="9"/>
        </w:numPr>
        <w:spacing w:line="240" w:lineRule="auto"/>
        <w:rPr>
          <w:rFonts w:asciiTheme="minorHAnsi" w:hAnsiTheme="minorHAnsi" w:cstheme="minorHAnsi"/>
        </w:rPr>
      </w:pPr>
      <w:r w:rsidRPr="00FD4C34">
        <w:rPr>
          <w:rFonts w:asciiTheme="minorHAnsi" w:hAnsiTheme="minorHAnsi" w:cstheme="minorHAnsi"/>
        </w:rPr>
        <w:t>Soft, clean cloths to wipe outside of the Cyclops probe and DataBank</w:t>
      </w:r>
    </w:p>
    <w:p w:rsidR="00453F4E" w:rsidRPr="00FD4C34" w:rsidRDefault="00453F4E" w:rsidP="00FD4C34">
      <w:pPr>
        <w:pStyle w:val="ListParagraph"/>
        <w:numPr>
          <w:ilvl w:val="0"/>
          <w:numId w:val="9"/>
        </w:numPr>
        <w:spacing w:line="240" w:lineRule="auto"/>
        <w:rPr>
          <w:rFonts w:asciiTheme="minorHAnsi" w:hAnsiTheme="minorHAnsi" w:cstheme="minorHAnsi"/>
        </w:rPr>
      </w:pPr>
      <w:r w:rsidRPr="00FD4C34">
        <w:rPr>
          <w:rFonts w:asciiTheme="minorHAnsi" w:hAnsiTheme="minorHAnsi" w:cstheme="minorHAnsi"/>
        </w:rPr>
        <w:t xml:space="preserve">3-5 liters of Deionized (DI) water </w:t>
      </w:r>
    </w:p>
    <w:p w:rsidR="00453F4E" w:rsidRPr="00FD4C34" w:rsidRDefault="00453F4E" w:rsidP="00FD4C34">
      <w:pPr>
        <w:pStyle w:val="ListParagraph"/>
        <w:numPr>
          <w:ilvl w:val="0"/>
          <w:numId w:val="9"/>
        </w:numPr>
        <w:spacing w:line="240" w:lineRule="auto"/>
        <w:rPr>
          <w:rFonts w:asciiTheme="minorHAnsi" w:hAnsiTheme="minorHAnsi" w:cstheme="minorHAnsi"/>
        </w:rPr>
      </w:pPr>
      <w:r w:rsidRPr="00FD4C34">
        <w:rPr>
          <w:rFonts w:asciiTheme="minorHAnsi" w:hAnsiTheme="minorHAnsi" w:cstheme="minorHAnsi"/>
        </w:rPr>
        <w:t>Squeeze bottle containing DI water</w:t>
      </w:r>
    </w:p>
    <w:p w:rsidR="00453F4E" w:rsidRPr="00FD4C34" w:rsidRDefault="00453F4E" w:rsidP="00FD4C34">
      <w:pPr>
        <w:pStyle w:val="ListParagraph"/>
        <w:numPr>
          <w:ilvl w:val="0"/>
          <w:numId w:val="9"/>
        </w:numPr>
        <w:spacing w:line="240" w:lineRule="auto"/>
        <w:rPr>
          <w:rFonts w:asciiTheme="minorHAnsi" w:hAnsiTheme="minorHAnsi" w:cstheme="minorHAnsi"/>
        </w:rPr>
      </w:pPr>
      <w:r w:rsidRPr="00FD4C34">
        <w:rPr>
          <w:rFonts w:asciiTheme="minorHAnsi" w:hAnsiTheme="minorHAnsi" w:cstheme="minorHAnsi"/>
        </w:rPr>
        <w:t>Lens paper</w:t>
      </w:r>
    </w:p>
    <w:p w:rsidR="005428EA" w:rsidRPr="00B561E8" w:rsidRDefault="00453F4E" w:rsidP="005D1DEA">
      <w:pPr>
        <w:spacing w:line="240" w:lineRule="auto"/>
        <w:rPr>
          <w:rFonts w:asciiTheme="minorHAnsi" w:hAnsiTheme="minorHAnsi" w:cstheme="minorHAnsi"/>
          <w:b/>
        </w:rPr>
      </w:pPr>
      <w:r w:rsidRPr="00B561E8">
        <w:rPr>
          <w:rFonts w:asciiTheme="minorHAnsi" w:hAnsiTheme="minorHAnsi" w:cstheme="minorHAnsi"/>
          <w:b/>
        </w:rPr>
        <w:t>Field</w:t>
      </w:r>
    </w:p>
    <w:p w:rsidR="00A4106F" w:rsidRPr="00FD4C34" w:rsidRDefault="00A4106F" w:rsidP="00A4106F">
      <w:pPr>
        <w:pStyle w:val="ListParagraph"/>
        <w:numPr>
          <w:ilvl w:val="0"/>
          <w:numId w:val="10"/>
        </w:numPr>
        <w:spacing w:line="240" w:lineRule="auto"/>
        <w:rPr>
          <w:rFonts w:asciiTheme="minorHAnsi" w:hAnsiTheme="minorHAnsi" w:cstheme="minorHAnsi"/>
        </w:rPr>
      </w:pPr>
      <w:r w:rsidRPr="00FD4C34">
        <w:rPr>
          <w:rFonts w:asciiTheme="minorHAnsi" w:hAnsiTheme="minorHAnsi" w:cstheme="minorHAnsi"/>
        </w:rPr>
        <w:t xml:space="preserve">Carrier case containing DataBank, cables and Cyclops-7 probe  </w:t>
      </w:r>
    </w:p>
    <w:p w:rsidR="00F66D65" w:rsidRPr="00FD4C34" w:rsidRDefault="00F66D65" w:rsidP="00FD4C34">
      <w:pPr>
        <w:pStyle w:val="ListParagraph"/>
        <w:numPr>
          <w:ilvl w:val="0"/>
          <w:numId w:val="10"/>
        </w:numPr>
        <w:spacing w:line="240" w:lineRule="auto"/>
        <w:rPr>
          <w:rFonts w:asciiTheme="minorHAnsi" w:hAnsiTheme="minorHAnsi" w:cstheme="minorHAnsi"/>
        </w:rPr>
      </w:pPr>
      <w:r w:rsidRPr="00FD4C34">
        <w:rPr>
          <w:rFonts w:asciiTheme="minorHAnsi" w:hAnsiTheme="minorHAnsi" w:cstheme="minorHAnsi"/>
        </w:rPr>
        <w:t>Field Sheets</w:t>
      </w:r>
      <w:r w:rsidR="00453F4E" w:rsidRPr="00FD4C34">
        <w:rPr>
          <w:rFonts w:asciiTheme="minorHAnsi" w:hAnsiTheme="minorHAnsi" w:cstheme="minorHAnsi"/>
        </w:rPr>
        <w:t xml:space="preserve"> </w:t>
      </w:r>
    </w:p>
    <w:p w:rsidR="00453F4E" w:rsidRPr="00FD4C34" w:rsidRDefault="00453F4E" w:rsidP="00FD4C34">
      <w:pPr>
        <w:pStyle w:val="ListParagraph"/>
        <w:numPr>
          <w:ilvl w:val="0"/>
          <w:numId w:val="10"/>
        </w:numPr>
        <w:spacing w:line="240" w:lineRule="auto"/>
        <w:rPr>
          <w:rFonts w:asciiTheme="minorHAnsi" w:hAnsiTheme="minorHAnsi" w:cstheme="minorHAnsi"/>
        </w:rPr>
      </w:pPr>
      <w:r w:rsidRPr="00FD4C34">
        <w:rPr>
          <w:rFonts w:asciiTheme="minorHAnsi" w:hAnsiTheme="minorHAnsi" w:cstheme="minorHAnsi"/>
        </w:rPr>
        <w:t>Clipboard</w:t>
      </w:r>
    </w:p>
    <w:p w:rsidR="00207A6D" w:rsidRPr="00FD4C34" w:rsidRDefault="00207A6D" w:rsidP="00FD4C34">
      <w:pPr>
        <w:pStyle w:val="ListParagraph"/>
        <w:numPr>
          <w:ilvl w:val="0"/>
          <w:numId w:val="10"/>
        </w:numPr>
        <w:spacing w:line="240" w:lineRule="auto"/>
        <w:rPr>
          <w:rFonts w:asciiTheme="minorHAnsi" w:hAnsiTheme="minorHAnsi" w:cstheme="minorHAnsi"/>
        </w:rPr>
      </w:pPr>
      <w:r w:rsidRPr="00FD4C34">
        <w:rPr>
          <w:rFonts w:asciiTheme="minorHAnsi" w:hAnsiTheme="minorHAnsi" w:cstheme="minorHAnsi"/>
        </w:rPr>
        <w:t>Small cooler with ice</w:t>
      </w:r>
    </w:p>
    <w:p w:rsidR="00207A6D" w:rsidRPr="00FD4C34" w:rsidRDefault="00207A6D" w:rsidP="00FD4C34">
      <w:pPr>
        <w:pStyle w:val="ListParagraph"/>
        <w:numPr>
          <w:ilvl w:val="0"/>
          <w:numId w:val="10"/>
        </w:numPr>
        <w:spacing w:line="240" w:lineRule="auto"/>
        <w:rPr>
          <w:rFonts w:asciiTheme="minorHAnsi" w:hAnsiTheme="minorHAnsi" w:cstheme="minorHAnsi"/>
        </w:rPr>
      </w:pPr>
      <w:r w:rsidRPr="00FD4C34">
        <w:rPr>
          <w:rFonts w:asciiTheme="minorHAnsi" w:hAnsiTheme="minorHAnsi" w:cstheme="minorHAnsi"/>
        </w:rPr>
        <w:t>Wide mouth, .5 L plastic jars</w:t>
      </w:r>
      <w:r w:rsidR="00E814A5" w:rsidRPr="00FD4C34">
        <w:rPr>
          <w:rFonts w:asciiTheme="minorHAnsi" w:hAnsiTheme="minorHAnsi" w:cstheme="minorHAnsi"/>
        </w:rPr>
        <w:t xml:space="preserve"> with screw caps</w:t>
      </w:r>
    </w:p>
    <w:p w:rsidR="00E814A5" w:rsidRPr="00FD4C34" w:rsidRDefault="00E814A5" w:rsidP="00FD4C34">
      <w:pPr>
        <w:pStyle w:val="ListParagraph"/>
        <w:numPr>
          <w:ilvl w:val="0"/>
          <w:numId w:val="10"/>
        </w:numPr>
        <w:spacing w:line="240" w:lineRule="auto"/>
        <w:rPr>
          <w:rFonts w:asciiTheme="minorHAnsi" w:hAnsiTheme="minorHAnsi" w:cstheme="minorHAnsi"/>
        </w:rPr>
      </w:pPr>
      <w:r w:rsidRPr="00FD4C34">
        <w:rPr>
          <w:rFonts w:asciiTheme="minorHAnsi" w:hAnsiTheme="minorHAnsi" w:cstheme="minorHAnsi"/>
        </w:rPr>
        <w:t>Wide mouth, 1 L plastic jars with screw caps</w:t>
      </w:r>
    </w:p>
    <w:p w:rsidR="00F66D65" w:rsidRPr="00FD4C34" w:rsidRDefault="00F66D65" w:rsidP="00FD4C34">
      <w:pPr>
        <w:pStyle w:val="ListParagraph"/>
        <w:numPr>
          <w:ilvl w:val="0"/>
          <w:numId w:val="10"/>
        </w:numPr>
        <w:spacing w:line="240" w:lineRule="auto"/>
        <w:rPr>
          <w:rFonts w:asciiTheme="minorHAnsi" w:hAnsiTheme="minorHAnsi" w:cstheme="minorHAnsi"/>
        </w:rPr>
      </w:pPr>
      <w:r w:rsidRPr="00FD4C34">
        <w:rPr>
          <w:rFonts w:asciiTheme="minorHAnsi" w:hAnsiTheme="minorHAnsi" w:cstheme="minorHAnsi"/>
        </w:rPr>
        <w:t>Boots</w:t>
      </w:r>
    </w:p>
    <w:p w:rsidR="00F66D65" w:rsidRPr="00FD4C34" w:rsidRDefault="00F66D65" w:rsidP="00FD4C34">
      <w:pPr>
        <w:pStyle w:val="ListParagraph"/>
        <w:numPr>
          <w:ilvl w:val="0"/>
          <w:numId w:val="10"/>
        </w:numPr>
        <w:spacing w:line="240" w:lineRule="auto"/>
        <w:rPr>
          <w:rFonts w:asciiTheme="minorHAnsi" w:hAnsiTheme="minorHAnsi" w:cstheme="minorHAnsi"/>
        </w:rPr>
      </w:pPr>
      <w:r w:rsidRPr="00FD4C34">
        <w:rPr>
          <w:rFonts w:asciiTheme="minorHAnsi" w:hAnsiTheme="minorHAnsi" w:cstheme="minorHAnsi"/>
        </w:rPr>
        <w:t>Gloves</w:t>
      </w:r>
    </w:p>
    <w:p w:rsidR="00F66D65" w:rsidRPr="00FD4C34" w:rsidRDefault="00F66D65" w:rsidP="00FD4C34">
      <w:pPr>
        <w:pStyle w:val="ListParagraph"/>
        <w:numPr>
          <w:ilvl w:val="0"/>
          <w:numId w:val="10"/>
        </w:numPr>
        <w:spacing w:line="240" w:lineRule="auto"/>
        <w:rPr>
          <w:rFonts w:asciiTheme="minorHAnsi" w:hAnsiTheme="minorHAnsi" w:cstheme="minorHAnsi"/>
        </w:rPr>
      </w:pPr>
      <w:r w:rsidRPr="00FD4C34">
        <w:rPr>
          <w:rFonts w:asciiTheme="minorHAnsi" w:hAnsiTheme="minorHAnsi" w:cstheme="minorHAnsi"/>
        </w:rPr>
        <w:t>GPS unit with extra batteries</w:t>
      </w:r>
    </w:p>
    <w:p w:rsidR="005428EA" w:rsidRPr="00FD4C34" w:rsidRDefault="008C454F" w:rsidP="00FD4C34">
      <w:pPr>
        <w:pStyle w:val="ListParagraph"/>
        <w:numPr>
          <w:ilvl w:val="0"/>
          <w:numId w:val="10"/>
        </w:numPr>
        <w:spacing w:line="240" w:lineRule="auto"/>
        <w:rPr>
          <w:rFonts w:asciiTheme="minorHAnsi" w:hAnsiTheme="minorHAnsi" w:cstheme="minorHAnsi"/>
        </w:rPr>
      </w:pPr>
      <w:r w:rsidRPr="00FD4C34">
        <w:rPr>
          <w:rFonts w:asciiTheme="minorHAnsi" w:hAnsiTheme="minorHAnsi" w:cstheme="minorHAnsi"/>
        </w:rPr>
        <w:t>3-5</w:t>
      </w:r>
      <w:r w:rsidR="00E814A5" w:rsidRPr="00FD4C34">
        <w:rPr>
          <w:rFonts w:asciiTheme="minorHAnsi" w:hAnsiTheme="minorHAnsi" w:cstheme="minorHAnsi"/>
        </w:rPr>
        <w:t xml:space="preserve"> </w:t>
      </w:r>
      <w:r w:rsidRPr="00FD4C34">
        <w:rPr>
          <w:rFonts w:asciiTheme="minorHAnsi" w:hAnsiTheme="minorHAnsi" w:cstheme="minorHAnsi"/>
        </w:rPr>
        <w:t>liters of</w:t>
      </w:r>
      <w:r w:rsidR="00CF3955" w:rsidRPr="00FD4C34">
        <w:rPr>
          <w:rFonts w:asciiTheme="minorHAnsi" w:hAnsiTheme="minorHAnsi" w:cstheme="minorHAnsi"/>
        </w:rPr>
        <w:t xml:space="preserve"> </w:t>
      </w:r>
      <w:r w:rsidR="005428EA" w:rsidRPr="00FD4C34">
        <w:rPr>
          <w:rFonts w:asciiTheme="minorHAnsi" w:hAnsiTheme="minorHAnsi" w:cstheme="minorHAnsi"/>
        </w:rPr>
        <w:t xml:space="preserve">Deionized (DI) water </w:t>
      </w:r>
    </w:p>
    <w:p w:rsidR="005428EA" w:rsidRPr="00FD4C34" w:rsidRDefault="009C1BB0" w:rsidP="00FD4C34">
      <w:pPr>
        <w:pStyle w:val="ListParagraph"/>
        <w:numPr>
          <w:ilvl w:val="0"/>
          <w:numId w:val="10"/>
        </w:numPr>
        <w:spacing w:line="240" w:lineRule="auto"/>
        <w:rPr>
          <w:rFonts w:asciiTheme="minorHAnsi" w:hAnsiTheme="minorHAnsi" w:cstheme="minorHAnsi"/>
        </w:rPr>
      </w:pPr>
      <w:r w:rsidRPr="00FD4C34">
        <w:rPr>
          <w:rFonts w:asciiTheme="minorHAnsi" w:hAnsiTheme="minorHAnsi" w:cstheme="minorHAnsi"/>
        </w:rPr>
        <w:t>S</w:t>
      </w:r>
      <w:r w:rsidR="00F66D65" w:rsidRPr="00FD4C34">
        <w:rPr>
          <w:rFonts w:asciiTheme="minorHAnsi" w:hAnsiTheme="minorHAnsi" w:cstheme="minorHAnsi"/>
        </w:rPr>
        <w:t>queeze bottle</w:t>
      </w:r>
      <w:r w:rsidRPr="00FD4C34">
        <w:rPr>
          <w:rFonts w:asciiTheme="minorHAnsi" w:hAnsiTheme="minorHAnsi" w:cstheme="minorHAnsi"/>
        </w:rPr>
        <w:t xml:space="preserve"> containing DI water</w:t>
      </w:r>
    </w:p>
    <w:p w:rsidR="00F66D65" w:rsidRPr="00FD4C34" w:rsidRDefault="00F66D65" w:rsidP="00FD4C34">
      <w:pPr>
        <w:pStyle w:val="ListParagraph"/>
        <w:numPr>
          <w:ilvl w:val="0"/>
          <w:numId w:val="10"/>
        </w:numPr>
        <w:spacing w:line="240" w:lineRule="auto"/>
        <w:rPr>
          <w:rFonts w:asciiTheme="minorHAnsi" w:hAnsiTheme="minorHAnsi" w:cstheme="minorHAnsi"/>
        </w:rPr>
      </w:pPr>
      <w:r w:rsidRPr="00FD4C34">
        <w:rPr>
          <w:rFonts w:asciiTheme="minorHAnsi" w:hAnsiTheme="minorHAnsi" w:cstheme="minorHAnsi"/>
        </w:rPr>
        <w:t>Lens paper</w:t>
      </w:r>
    </w:p>
    <w:p w:rsidR="005D1DEA" w:rsidRPr="00FD4C34" w:rsidRDefault="00F66D65" w:rsidP="00FD4C34">
      <w:pPr>
        <w:pStyle w:val="ListParagraph"/>
        <w:numPr>
          <w:ilvl w:val="0"/>
          <w:numId w:val="10"/>
        </w:numPr>
        <w:spacing w:line="240" w:lineRule="auto"/>
        <w:rPr>
          <w:rFonts w:asciiTheme="minorHAnsi" w:hAnsiTheme="minorHAnsi" w:cstheme="minorHAnsi"/>
        </w:rPr>
      </w:pPr>
      <w:r w:rsidRPr="00FD4C34">
        <w:rPr>
          <w:rFonts w:asciiTheme="minorHAnsi" w:hAnsiTheme="minorHAnsi" w:cstheme="minorHAnsi"/>
        </w:rPr>
        <w:t>Soft</w:t>
      </w:r>
      <w:r w:rsidR="004D09F1" w:rsidRPr="00FD4C34">
        <w:rPr>
          <w:rFonts w:asciiTheme="minorHAnsi" w:hAnsiTheme="minorHAnsi" w:cstheme="minorHAnsi"/>
        </w:rPr>
        <w:t>, clean</w:t>
      </w:r>
      <w:r w:rsidRPr="00FD4C34">
        <w:rPr>
          <w:rFonts w:asciiTheme="minorHAnsi" w:hAnsiTheme="minorHAnsi" w:cstheme="minorHAnsi"/>
        </w:rPr>
        <w:t xml:space="preserve"> cloths to wipe outside of the Cyclops probe and DataBank</w:t>
      </w:r>
    </w:p>
    <w:p w:rsidR="00D65CF7" w:rsidRPr="00FD4C34" w:rsidRDefault="00207A6D" w:rsidP="00FD4C34">
      <w:pPr>
        <w:pStyle w:val="ListParagraph"/>
        <w:numPr>
          <w:ilvl w:val="0"/>
          <w:numId w:val="10"/>
        </w:numPr>
        <w:spacing w:before="50" w:after="50"/>
        <w:ind w:right="2"/>
        <w:rPr>
          <w:rFonts w:asciiTheme="minorHAnsi" w:hAnsiTheme="minorHAnsi" w:cstheme="minorHAnsi"/>
        </w:rPr>
      </w:pPr>
      <w:r w:rsidRPr="00FD4C34">
        <w:rPr>
          <w:rFonts w:asciiTheme="minorHAnsi" w:hAnsiTheme="minorHAnsi" w:cstheme="minorHAnsi"/>
        </w:rPr>
        <w:t>T</w:t>
      </w:r>
      <w:r w:rsidR="005428EA" w:rsidRPr="00FD4C34">
        <w:rPr>
          <w:rFonts w:asciiTheme="minorHAnsi" w:hAnsiTheme="minorHAnsi" w:cstheme="minorHAnsi"/>
        </w:rPr>
        <w:t>hermometer</w:t>
      </w:r>
    </w:p>
    <w:p w:rsidR="00D65CF7" w:rsidRPr="00FD4C34" w:rsidRDefault="001517B4" w:rsidP="00FD4C34">
      <w:pPr>
        <w:pStyle w:val="ListParagraph"/>
        <w:numPr>
          <w:ilvl w:val="0"/>
          <w:numId w:val="10"/>
        </w:numPr>
        <w:spacing w:before="50" w:after="50"/>
        <w:ind w:right="2"/>
        <w:rPr>
          <w:rFonts w:asciiTheme="minorHAnsi" w:hAnsiTheme="minorHAnsi" w:cstheme="minorHAnsi"/>
        </w:rPr>
      </w:pPr>
      <w:r w:rsidRPr="00FD4C34">
        <w:rPr>
          <w:rFonts w:asciiTheme="minorHAnsi" w:hAnsiTheme="minorHAnsi" w:cstheme="minorHAnsi"/>
        </w:rPr>
        <w:t>Camera</w:t>
      </w:r>
    </w:p>
    <w:p w:rsidR="00F66D65" w:rsidRPr="00A7353A" w:rsidRDefault="00637DC6">
      <w:pPr>
        <w:rPr>
          <w:rFonts w:asciiTheme="minorHAnsi" w:hAnsiTheme="minorHAnsi" w:cstheme="minorHAnsi"/>
          <w:b/>
        </w:rPr>
      </w:pPr>
      <w:r w:rsidRPr="00A7353A">
        <w:rPr>
          <w:rFonts w:asciiTheme="minorHAnsi" w:hAnsiTheme="minorHAnsi" w:cstheme="minorHAnsi"/>
          <w:b/>
        </w:rPr>
        <w:tab/>
      </w:r>
    </w:p>
    <w:p w:rsidR="00C21E57" w:rsidRDefault="00637DC6">
      <w:pPr>
        <w:rPr>
          <w:rFonts w:asciiTheme="minorHAnsi" w:hAnsiTheme="minorHAnsi" w:cstheme="minorHAnsi"/>
        </w:rPr>
      </w:pPr>
      <w:r w:rsidRPr="0007775B">
        <w:rPr>
          <w:rFonts w:asciiTheme="minorHAnsi" w:hAnsiTheme="minorHAnsi" w:cstheme="minorHAnsi"/>
        </w:rPr>
        <w:t>6.0</w:t>
      </w:r>
      <w:r w:rsidRPr="0007775B">
        <w:rPr>
          <w:rFonts w:asciiTheme="minorHAnsi" w:hAnsiTheme="minorHAnsi" w:cstheme="minorHAnsi"/>
        </w:rPr>
        <w:tab/>
        <w:t>REAGENTS</w:t>
      </w:r>
    </w:p>
    <w:p w:rsidR="0007775B" w:rsidRDefault="000D6E2B">
      <w:pPr>
        <w:rPr>
          <w:rFonts w:asciiTheme="minorHAnsi" w:hAnsiTheme="minorHAnsi" w:cstheme="minorHAnsi"/>
        </w:rPr>
      </w:pPr>
      <w:proofErr w:type="spellStart"/>
      <w:r>
        <w:rPr>
          <w:rFonts w:asciiTheme="minorHAnsi" w:hAnsiTheme="minorHAnsi" w:cstheme="minorHAnsi"/>
        </w:rPr>
        <w:t>Lugol’s</w:t>
      </w:r>
      <w:proofErr w:type="spellEnd"/>
      <w:r>
        <w:rPr>
          <w:rFonts w:asciiTheme="minorHAnsi" w:hAnsiTheme="minorHAnsi" w:cstheme="minorHAnsi"/>
        </w:rPr>
        <w:t xml:space="preserve"> solution should be used to preserve </w:t>
      </w:r>
      <w:r w:rsidR="0007775B">
        <w:rPr>
          <w:rFonts w:asciiTheme="minorHAnsi" w:hAnsiTheme="minorHAnsi" w:cstheme="minorHAnsi"/>
        </w:rPr>
        <w:t xml:space="preserve">a sample </w:t>
      </w:r>
      <w:r>
        <w:rPr>
          <w:rFonts w:asciiTheme="minorHAnsi" w:hAnsiTheme="minorHAnsi" w:cstheme="minorHAnsi"/>
        </w:rPr>
        <w:t xml:space="preserve">if </w:t>
      </w:r>
      <w:proofErr w:type="gramStart"/>
      <w:r>
        <w:rPr>
          <w:rFonts w:asciiTheme="minorHAnsi" w:hAnsiTheme="minorHAnsi" w:cstheme="minorHAnsi"/>
        </w:rPr>
        <w:t xml:space="preserve">it </w:t>
      </w:r>
      <w:r w:rsidR="00842211">
        <w:rPr>
          <w:rFonts w:asciiTheme="minorHAnsi" w:hAnsiTheme="minorHAnsi" w:cstheme="minorHAnsi"/>
        </w:rPr>
        <w:t xml:space="preserve"> cann</w:t>
      </w:r>
      <w:r>
        <w:rPr>
          <w:rFonts w:asciiTheme="minorHAnsi" w:hAnsiTheme="minorHAnsi" w:cstheme="minorHAnsi"/>
        </w:rPr>
        <w:t>ot</w:t>
      </w:r>
      <w:proofErr w:type="gramEnd"/>
      <w:r>
        <w:rPr>
          <w:rFonts w:asciiTheme="minorHAnsi" w:hAnsiTheme="minorHAnsi" w:cstheme="minorHAnsi"/>
        </w:rPr>
        <w:t xml:space="preserve"> be processed within 24 hours</w:t>
      </w:r>
      <w:r w:rsidR="0007775B">
        <w:rPr>
          <w:rFonts w:asciiTheme="minorHAnsi" w:hAnsiTheme="minorHAnsi" w:cstheme="minorHAnsi"/>
        </w:rPr>
        <w:t>,  The dose rate is 2</w:t>
      </w:r>
      <w:r w:rsidR="005D1DEA">
        <w:rPr>
          <w:rFonts w:asciiTheme="minorHAnsi" w:hAnsiTheme="minorHAnsi" w:cstheme="minorHAnsi"/>
        </w:rPr>
        <w:t xml:space="preserve"> </w:t>
      </w:r>
      <w:r w:rsidR="0007775B">
        <w:rPr>
          <w:rFonts w:asciiTheme="minorHAnsi" w:hAnsiTheme="minorHAnsi" w:cstheme="minorHAnsi"/>
        </w:rPr>
        <w:t>mls/100 mls of sample.</w:t>
      </w:r>
    </w:p>
    <w:p w:rsidR="005E5E48" w:rsidRDefault="00637DC6" w:rsidP="007C028C">
      <w:pPr>
        <w:rPr>
          <w:rFonts w:asciiTheme="minorHAnsi" w:hAnsiTheme="minorHAnsi" w:cstheme="minorHAnsi"/>
          <w:b/>
        </w:rPr>
      </w:pPr>
      <w:r>
        <w:rPr>
          <w:rFonts w:asciiTheme="minorHAnsi" w:hAnsiTheme="minorHAnsi" w:cstheme="minorHAnsi"/>
        </w:rPr>
        <w:t>7.0</w:t>
      </w:r>
      <w:r>
        <w:rPr>
          <w:rFonts w:asciiTheme="minorHAnsi" w:hAnsiTheme="minorHAnsi" w:cstheme="minorHAnsi"/>
        </w:rPr>
        <w:tab/>
      </w:r>
      <w:r w:rsidRPr="00B561E8">
        <w:rPr>
          <w:rFonts w:asciiTheme="minorHAnsi" w:hAnsiTheme="minorHAnsi" w:cstheme="minorHAnsi"/>
        </w:rPr>
        <w:t>CALIBRATION</w:t>
      </w:r>
      <w:r w:rsidR="005E5E48" w:rsidRPr="00B561E8">
        <w:rPr>
          <w:rFonts w:asciiTheme="minorHAnsi" w:hAnsiTheme="minorHAnsi" w:cstheme="minorHAnsi"/>
        </w:rPr>
        <w:t>-2-POINT</w:t>
      </w:r>
    </w:p>
    <w:p w:rsidR="008A2FB9" w:rsidRPr="00A7353A" w:rsidRDefault="00484E38" w:rsidP="008A2FB9">
      <w:pPr>
        <w:spacing w:line="240" w:lineRule="auto"/>
        <w:rPr>
          <w:rFonts w:asciiTheme="minorHAnsi" w:hAnsiTheme="minorHAnsi" w:cstheme="minorHAnsi"/>
        </w:rPr>
      </w:pPr>
      <w:r>
        <w:rPr>
          <w:rFonts w:asciiTheme="minorHAnsi" w:hAnsiTheme="minorHAnsi" w:cstheme="minorHAnsi"/>
        </w:rPr>
        <w:t xml:space="preserve">Following purchase of </w:t>
      </w:r>
      <w:r w:rsidRPr="00A7353A">
        <w:rPr>
          <w:rFonts w:asciiTheme="minorHAnsi" w:hAnsiTheme="minorHAnsi" w:cstheme="minorHAnsi"/>
        </w:rPr>
        <w:t>c-phycocyanin (</w:t>
      </w:r>
      <w:r w:rsidRPr="00A7353A">
        <w:rPr>
          <w:rFonts w:asciiTheme="minorHAnsi" w:hAnsiTheme="minorHAnsi" w:cstheme="minorHAnsi"/>
          <w:i/>
        </w:rPr>
        <w:t>Spirulina platensis</w:t>
      </w:r>
      <w:r w:rsidRPr="00A7353A">
        <w:rPr>
          <w:rFonts w:asciiTheme="minorHAnsi" w:hAnsiTheme="minorHAnsi" w:cstheme="minorHAnsi"/>
        </w:rPr>
        <w:t xml:space="preserve">) standard </w:t>
      </w:r>
      <w:r>
        <w:rPr>
          <w:rFonts w:asciiTheme="minorHAnsi" w:hAnsiTheme="minorHAnsi" w:cstheme="minorHAnsi"/>
        </w:rPr>
        <w:t>(</w:t>
      </w:r>
      <w:r w:rsidRPr="00A7353A">
        <w:rPr>
          <w:rFonts w:asciiTheme="minorHAnsi" w:hAnsiTheme="minorHAnsi" w:cstheme="minorHAnsi"/>
        </w:rPr>
        <w:t>Prozyme, Inc.</w:t>
      </w:r>
      <w:r>
        <w:rPr>
          <w:rFonts w:asciiTheme="minorHAnsi" w:hAnsiTheme="minorHAnsi" w:cstheme="minorHAnsi"/>
        </w:rPr>
        <w:t xml:space="preserve">).   </w:t>
      </w:r>
      <w:r w:rsidR="005E5E48" w:rsidRPr="005E5E48">
        <w:rPr>
          <w:rFonts w:asciiTheme="minorHAnsi" w:hAnsiTheme="minorHAnsi" w:cstheme="minorHAnsi"/>
        </w:rPr>
        <w:t xml:space="preserve">Calibration </w:t>
      </w:r>
      <w:r w:rsidR="005E5E48">
        <w:rPr>
          <w:rFonts w:asciiTheme="minorHAnsi" w:hAnsiTheme="minorHAnsi" w:cstheme="minorHAnsi"/>
        </w:rPr>
        <w:t xml:space="preserve">of the Cyclops phycocyanin probe will be conducted </w:t>
      </w:r>
      <w:r w:rsidR="003F6381">
        <w:rPr>
          <w:rFonts w:asciiTheme="minorHAnsi" w:hAnsiTheme="minorHAnsi" w:cstheme="minorHAnsi"/>
        </w:rPr>
        <w:t xml:space="preserve">in late spring </w:t>
      </w:r>
      <w:r w:rsidR="005E5E48">
        <w:rPr>
          <w:rFonts w:asciiTheme="minorHAnsi" w:hAnsiTheme="minorHAnsi" w:cstheme="minorHAnsi"/>
        </w:rPr>
        <w:t xml:space="preserve">before the </w:t>
      </w:r>
      <w:r w:rsidR="008A2FB9">
        <w:rPr>
          <w:rFonts w:asciiTheme="minorHAnsi" w:hAnsiTheme="minorHAnsi" w:cstheme="minorHAnsi"/>
        </w:rPr>
        <w:t xml:space="preserve">likely </w:t>
      </w:r>
      <w:r w:rsidR="005E5E48">
        <w:rPr>
          <w:rFonts w:asciiTheme="minorHAnsi" w:hAnsiTheme="minorHAnsi" w:cstheme="minorHAnsi"/>
        </w:rPr>
        <w:t xml:space="preserve">start of </w:t>
      </w:r>
      <w:r w:rsidR="008A2FB9">
        <w:rPr>
          <w:rFonts w:asciiTheme="minorHAnsi" w:hAnsiTheme="minorHAnsi" w:cstheme="minorHAnsi"/>
        </w:rPr>
        <w:t>cyanobacteria blooms</w:t>
      </w:r>
      <w:r w:rsidR="00786DB6">
        <w:rPr>
          <w:rFonts w:asciiTheme="minorHAnsi" w:hAnsiTheme="minorHAnsi" w:cstheme="minorHAnsi"/>
        </w:rPr>
        <w:t xml:space="preserve">.  </w:t>
      </w:r>
      <w:r w:rsidR="008A2FB9">
        <w:rPr>
          <w:rFonts w:asciiTheme="minorHAnsi" w:hAnsiTheme="minorHAnsi" w:cstheme="minorHAnsi"/>
        </w:rPr>
        <w:t xml:space="preserve">The </w:t>
      </w:r>
      <w:r w:rsidR="00786DB6">
        <w:rPr>
          <w:rFonts w:asciiTheme="minorHAnsi" w:hAnsiTheme="minorHAnsi" w:cstheme="minorHAnsi"/>
        </w:rPr>
        <w:t>c-phycocyanin</w:t>
      </w:r>
      <w:r w:rsidR="008A2FB9">
        <w:rPr>
          <w:rFonts w:asciiTheme="minorHAnsi" w:hAnsiTheme="minorHAnsi" w:cstheme="minorHAnsi"/>
        </w:rPr>
        <w:t xml:space="preserve"> standard is </w:t>
      </w:r>
      <w:r w:rsidR="00947301">
        <w:rPr>
          <w:rFonts w:asciiTheme="minorHAnsi" w:hAnsiTheme="minorHAnsi" w:cstheme="minorHAnsi"/>
        </w:rPr>
        <w:t xml:space="preserve">compromised </w:t>
      </w:r>
      <w:r w:rsidR="008A2FB9">
        <w:rPr>
          <w:rFonts w:asciiTheme="minorHAnsi" w:hAnsiTheme="minorHAnsi" w:cstheme="minorHAnsi"/>
        </w:rPr>
        <w:t>by light and increasing temperatures</w:t>
      </w:r>
      <w:r w:rsidR="00613E33">
        <w:rPr>
          <w:rFonts w:asciiTheme="minorHAnsi" w:hAnsiTheme="minorHAnsi" w:cstheme="minorHAnsi"/>
        </w:rPr>
        <w:t xml:space="preserve">, so </w:t>
      </w:r>
      <w:r w:rsidR="00B40232">
        <w:rPr>
          <w:rFonts w:asciiTheme="minorHAnsi" w:hAnsiTheme="minorHAnsi" w:cstheme="minorHAnsi"/>
        </w:rPr>
        <w:t>its’</w:t>
      </w:r>
      <w:r w:rsidR="00C01F5E">
        <w:rPr>
          <w:rFonts w:asciiTheme="minorHAnsi" w:hAnsiTheme="minorHAnsi" w:cstheme="minorHAnsi"/>
        </w:rPr>
        <w:t xml:space="preserve"> </w:t>
      </w:r>
      <w:r w:rsidR="00947301">
        <w:rPr>
          <w:rFonts w:asciiTheme="minorHAnsi" w:hAnsiTheme="minorHAnsi" w:cstheme="minorHAnsi"/>
        </w:rPr>
        <w:t>exposure to light should be minimized</w:t>
      </w:r>
      <w:r w:rsidR="00C01F5E">
        <w:rPr>
          <w:rFonts w:asciiTheme="minorHAnsi" w:hAnsiTheme="minorHAnsi" w:cstheme="minorHAnsi"/>
        </w:rPr>
        <w:t xml:space="preserve">. </w:t>
      </w:r>
      <w:r w:rsidR="00613E33">
        <w:rPr>
          <w:rFonts w:asciiTheme="minorHAnsi" w:hAnsiTheme="minorHAnsi" w:cstheme="minorHAnsi"/>
        </w:rPr>
        <w:t xml:space="preserve">  </w:t>
      </w:r>
      <w:r w:rsidR="009908D0">
        <w:rPr>
          <w:rFonts w:asciiTheme="minorHAnsi" w:hAnsiTheme="minorHAnsi" w:cstheme="minorHAnsi"/>
        </w:rPr>
        <w:t>A</w:t>
      </w:r>
      <w:r w:rsidR="00613E33">
        <w:rPr>
          <w:rFonts w:asciiTheme="minorHAnsi" w:hAnsiTheme="minorHAnsi" w:cstheme="minorHAnsi"/>
        </w:rPr>
        <w:t xml:space="preserve"> solid secondary standard for the Cyclops phycocyanin probe (Turner Design, Inc.) is calibrated concurrently with the pure phycocyanin.  </w:t>
      </w:r>
      <w:r w:rsidR="006F5C76">
        <w:rPr>
          <w:rFonts w:asciiTheme="minorHAnsi" w:hAnsiTheme="minorHAnsi" w:cstheme="minorHAnsi"/>
        </w:rPr>
        <w:t xml:space="preserve">It should be </w:t>
      </w:r>
      <w:r w:rsidR="009908D0">
        <w:rPr>
          <w:rFonts w:asciiTheme="minorHAnsi" w:hAnsiTheme="minorHAnsi" w:cstheme="minorHAnsi"/>
        </w:rPr>
        <w:t xml:space="preserve">also be </w:t>
      </w:r>
      <w:r w:rsidR="006F5C76">
        <w:rPr>
          <w:rFonts w:asciiTheme="minorHAnsi" w:hAnsiTheme="minorHAnsi" w:cstheme="minorHAnsi"/>
        </w:rPr>
        <w:t xml:space="preserve">used at the </w:t>
      </w:r>
      <w:r w:rsidR="00AD5DAD">
        <w:rPr>
          <w:rFonts w:asciiTheme="minorHAnsi" w:hAnsiTheme="minorHAnsi" w:cstheme="minorHAnsi"/>
        </w:rPr>
        <w:t xml:space="preserve">start </w:t>
      </w:r>
      <w:proofErr w:type="gramStart"/>
      <w:r w:rsidR="00AD5DAD">
        <w:rPr>
          <w:rFonts w:asciiTheme="minorHAnsi" w:hAnsiTheme="minorHAnsi" w:cstheme="minorHAnsi"/>
        </w:rPr>
        <w:t xml:space="preserve">of </w:t>
      </w:r>
      <w:r w:rsidR="006F5C76">
        <w:rPr>
          <w:rFonts w:asciiTheme="minorHAnsi" w:hAnsiTheme="minorHAnsi" w:cstheme="minorHAnsi"/>
        </w:rPr>
        <w:t xml:space="preserve"> </w:t>
      </w:r>
      <w:r w:rsidR="00AD5DAD">
        <w:rPr>
          <w:rFonts w:asciiTheme="minorHAnsi" w:hAnsiTheme="minorHAnsi" w:cstheme="minorHAnsi"/>
        </w:rPr>
        <w:t>the</w:t>
      </w:r>
      <w:proofErr w:type="gramEnd"/>
      <w:r w:rsidR="00AD5DAD">
        <w:rPr>
          <w:rFonts w:asciiTheme="minorHAnsi" w:hAnsiTheme="minorHAnsi" w:cstheme="minorHAnsi"/>
        </w:rPr>
        <w:t xml:space="preserve"> </w:t>
      </w:r>
      <w:r w:rsidR="006F5C76">
        <w:rPr>
          <w:rFonts w:asciiTheme="minorHAnsi" w:hAnsiTheme="minorHAnsi" w:cstheme="minorHAnsi"/>
        </w:rPr>
        <w:t>sampling day to</w:t>
      </w:r>
      <w:r w:rsidR="00613E33">
        <w:rPr>
          <w:rFonts w:asciiTheme="minorHAnsi" w:hAnsiTheme="minorHAnsi" w:cstheme="minorHAnsi"/>
        </w:rPr>
        <w:t xml:space="preserve"> check if the calibration is holding. </w:t>
      </w:r>
      <w:r w:rsidR="006161A8">
        <w:rPr>
          <w:rFonts w:asciiTheme="minorHAnsi" w:hAnsiTheme="minorHAnsi" w:cstheme="minorHAnsi"/>
        </w:rPr>
        <w:t xml:space="preserve"> The value obtained from the secondary standard should be recorded </w:t>
      </w:r>
      <w:r w:rsidR="00146814">
        <w:rPr>
          <w:rFonts w:asciiTheme="minorHAnsi" w:hAnsiTheme="minorHAnsi" w:cstheme="minorHAnsi"/>
        </w:rPr>
        <w:t xml:space="preserve">at </w:t>
      </w:r>
      <w:r w:rsidR="006161A8">
        <w:rPr>
          <w:rFonts w:asciiTheme="minorHAnsi" w:hAnsiTheme="minorHAnsi" w:cstheme="minorHAnsi"/>
        </w:rPr>
        <w:t xml:space="preserve">the </w:t>
      </w:r>
      <w:r w:rsidR="004B1534">
        <w:rPr>
          <w:rFonts w:asciiTheme="minorHAnsi" w:hAnsiTheme="minorHAnsi" w:cstheme="minorHAnsi"/>
        </w:rPr>
        <w:t xml:space="preserve">top </w:t>
      </w:r>
      <w:r w:rsidR="00146814">
        <w:rPr>
          <w:rFonts w:asciiTheme="minorHAnsi" w:hAnsiTheme="minorHAnsi" w:cstheme="minorHAnsi"/>
        </w:rPr>
        <w:t xml:space="preserve">of the </w:t>
      </w:r>
      <w:r w:rsidR="006161A8">
        <w:rPr>
          <w:rFonts w:asciiTheme="minorHAnsi" w:hAnsiTheme="minorHAnsi" w:cstheme="minorHAnsi"/>
        </w:rPr>
        <w:t xml:space="preserve">field </w:t>
      </w:r>
      <w:r w:rsidR="00FE17C8">
        <w:rPr>
          <w:rFonts w:asciiTheme="minorHAnsi" w:hAnsiTheme="minorHAnsi" w:cstheme="minorHAnsi"/>
        </w:rPr>
        <w:t>sheet</w:t>
      </w:r>
      <w:r w:rsidR="004B1534">
        <w:rPr>
          <w:rFonts w:asciiTheme="minorHAnsi" w:hAnsiTheme="minorHAnsi" w:cstheme="minorHAnsi"/>
        </w:rPr>
        <w:t>.</w:t>
      </w:r>
      <w:r w:rsidR="00613E33">
        <w:rPr>
          <w:rFonts w:asciiTheme="minorHAnsi" w:hAnsiTheme="minorHAnsi" w:cstheme="minorHAnsi"/>
        </w:rPr>
        <w:t xml:space="preserve">  </w:t>
      </w:r>
      <w:r w:rsidR="0068281A">
        <w:rPr>
          <w:rFonts w:asciiTheme="minorHAnsi" w:hAnsiTheme="minorHAnsi" w:cstheme="minorHAnsi"/>
        </w:rPr>
        <w:t xml:space="preserve">If </w:t>
      </w:r>
      <w:r w:rsidR="005E6D61">
        <w:rPr>
          <w:rFonts w:asciiTheme="minorHAnsi" w:hAnsiTheme="minorHAnsi" w:cstheme="minorHAnsi"/>
        </w:rPr>
        <w:t>the readings of the solid secondary standard are off by 20% the instrument should be re-calibrated.</w:t>
      </w:r>
    </w:p>
    <w:p w:rsidR="005E5E48" w:rsidRPr="00DB46C7" w:rsidRDefault="00DB46C7" w:rsidP="007C028C">
      <w:pPr>
        <w:rPr>
          <w:rFonts w:asciiTheme="minorHAnsi" w:hAnsiTheme="minorHAnsi" w:cstheme="minorHAnsi"/>
        </w:rPr>
      </w:pPr>
      <w:r>
        <w:rPr>
          <w:rFonts w:asciiTheme="minorHAnsi" w:hAnsiTheme="minorHAnsi" w:cstheme="minorHAnsi"/>
        </w:rPr>
        <w:lastRenderedPageBreak/>
        <w:t>The following steps should be followed when calibrating the Cyclops probe</w:t>
      </w:r>
      <w:r w:rsidR="00D712C3">
        <w:rPr>
          <w:rFonts w:asciiTheme="minorHAnsi" w:hAnsiTheme="minorHAnsi" w:cstheme="minorHAnsi"/>
        </w:rPr>
        <w:t xml:space="preserve"> (Appendix A) Clark and Fitzgerald 2013)</w:t>
      </w:r>
      <w:r>
        <w:rPr>
          <w:rFonts w:asciiTheme="minorHAnsi" w:hAnsiTheme="minorHAnsi" w:cstheme="minorHAnsi"/>
        </w:rPr>
        <w:t>.</w:t>
      </w:r>
    </w:p>
    <w:p w:rsidR="001D002A" w:rsidRPr="00FD4C34" w:rsidRDefault="001D002A" w:rsidP="00FD4C34">
      <w:pPr>
        <w:pStyle w:val="ListParagraph"/>
        <w:numPr>
          <w:ilvl w:val="0"/>
          <w:numId w:val="11"/>
        </w:numPr>
        <w:rPr>
          <w:rFonts w:asciiTheme="minorHAnsi" w:hAnsiTheme="minorHAnsi" w:cstheme="minorHAnsi"/>
        </w:rPr>
      </w:pPr>
      <w:r w:rsidRPr="00FD4C34">
        <w:rPr>
          <w:rFonts w:asciiTheme="minorHAnsi" w:hAnsiTheme="minorHAnsi" w:cstheme="minorHAnsi"/>
        </w:rPr>
        <w:t>Rinse the optical window in the probe with Dionized (DI) water and clean/wipe dry with lens paper</w:t>
      </w:r>
      <w:r w:rsidR="00697AA4" w:rsidRPr="00FD4C34">
        <w:rPr>
          <w:rFonts w:asciiTheme="minorHAnsi" w:hAnsiTheme="minorHAnsi" w:cstheme="minorHAnsi"/>
        </w:rPr>
        <w:t xml:space="preserve"> or a soft, clean cloth</w:t>
      </w:r>
      <w:r w:rsidRPr="00FD4C34">
        <w:rPr>
          <w:rFonts w:asciiTheme="minorHAnsi" w:hAnsiTheme="minorHAnsi" w:cstheme="minorHAnsi"/>
        </w:rPr>
        <w:t>. Reattach the slotted black plastic shade cap to the probe.</w:t>
      </w:r>
    </w:p>
    <w:p w:rsidR="001D002A" w:rsidRPr="00FD4C34" w:rsidRDefault="000E0CF9" w:rsidP="00FD4C34">
      <w:pPr>
        <w:pStyle w:val="ListParagraph"/>
        <w:numPr>
          <w:ilvl w:val="0"/>
          <w:numId w:val="11"/>
        </w:numPr>
        <w:rPr>
          <w:rFonts w:asciiTheme="minorHAnsi" w:hAnsiTheme="minorHAnsi" w:cstheme="minorHAnsi"/>
        </w:rPr>
      </w:pPr>
      <w:r w:rsidRPr="00FD4C34">
        <w:rPr>
          <w:rFonts w:asciiTheme="minorHAnsi" w:hAnsiTheme="minorHAnsi" w:cstheme="minorHAnsi"/>
        </w:rPr>
        <w:t xml:space="preserve">Turn on the laptop, but </w:t>
      </w:r>
      <w:r w:rsidRPr="00FD4C34">
        <w:rPr>
          <w:rFonts w:asciiTheme="minorHAnsi" w:hAnsiTheme="minorHAnsi" w:cstheme="minorHAnsi"/>
          <w:i/>
          <w:u w:val="single"/>
        </w:rPr>
        <w:t>do not open the DataBank GUI program yet</w:t>
      </w:r>
      <w:r w:rsidRPr="00FD4C34">
        <w:rPr>
          <w:rFonts w:asciiTheme="minorHAnsi" w:hAnsiTheme="minorHAnsi" w:cstheme="minorHAnsi"/>
        </w:rPr>
        <w:t>.</w:t>
      </w:r>
    </w:p>
    <w:p w:rsidR="001D002A" w:rsidRPr="00FD4C34" w:rsidRDefault="000E0CF9" w:rsidP="00FD4C34">
      <w:pPr>
        <w:pStyle w:val="ListParagraph"/>
        <w:numPr>
          <w:ilvl w:val="0"/>
          <w:numId w:val="11"/>
        </w:numPr>
        <w:rPr>
          <w:rFonts w:asciiTheme="minorHAnsi" w:hAnsiTheme="minorHAnsi" w:cstheme="minorHAnsi"/>
        </w:rPr>
      </w:pPr>
      <w:r w:rsidRPr="00FD4C34">
        <w:rPr>
          <w:rFonts w:asciiTheme="minorHAnsi" w:hAnsiTheme="minorHAnsi" w:cstheme="minorHAnsi"/>
        </w:rPr>
        <w:t xml:space="preserve">Connect the USB interface cable to the DataBank unit using the pin connector, but </w:t>
      </w:r>
      <w:r w:rsidRPr="00FD4C34">
        <w:rPr>
          <w:rFonts w:asciiTheme="minorHAnsi" w:hAnsiTheme="minorHAnsi" w:cstheme="minorHAnsi"/>
          <w:i/>
          <w:u w:val="single"/>
        </w:rPr>
        <w:t>do not turn on the DataBank yet</w:t>
      </w:r>
      <w:r w:rsidRPr="00FD4C34">
        <w:rPr>
          <w:rFonts w:asciiTheme="minorHAnsi" w:hAnsiTheme="minorHAnsi" w:cstheme="minorHAnsi"/>
        </w:rPr>
        <w:t>.  Be sure to properly align the pins in the adapter to the sockets on the data logger.  Screw the connector ring onto the data logger to hold it in place</w:t>
      </w:r>
      <w:r w:rsidR="00904C45" w:rsidRPr="00FD4C34">
        <w:rPr>
          <w:rFonts w:asciiTheme="minorHAnsi" w:hAnsiTheme="minorHAnsi" w:cstheme="minorHAnsi"/>
        </w:rPr>
        <w:t>.</w:t>
      </w:r>
      <w:r w:rsidR="00584CB4" w:rsidRPr="00FD4C34">
        <w:rPr>
          <w:rFonts w:asciiTheme="minorHAnsi" w:hAnsiTheme="minorHAnsi" w:cstheme="minorHAnsi"/>
        </w:rPr>
        <w:t xml:space="preserve">  </w:t>
      </w:r>
      <w:r w:rsidRPr="00FD4C34">
        <w:rPr>
          <w:rFonts w:asciiTheme="minorHAnsi" w:hAnsiTheme="minorHAnsi" w:cstheme="minorHAnsi"/>
        </w:rPr>
        <w:t xml:space="preserve">Plug the USB end of the USB interface cable into the </w:t>
      </w:r>
      <w:r w:rsidRPr="00FD4C34">
        <w:rPr>
          <w:rFonts w:asciiTheme="minorHAnsi" w:hAnsiTheme="minorHAnsi" w:cstheme="minorHAnsi"/>
          <w:b/>
          <w:u w:val="single"/>
        </w:rPr>
        <w:t>top</w:t>
      </w:r>
      <w:r w:rsidRPr="00FD4C34">
        <w:rPr>
          <w:rFonts w:asciiTheme="minorHAnsi" w:hAnsiTheme="minorHAnsi" w:cstheme="minorHAnsi"/>
        </w:rPr>
        <w:t xml:space="preserve"> USB port on the </w:t>
      </w:r>
      <w:r w:rsidRPr="00FD4C34">
        <w:rPr>
          <w:rFonts w:asciiTheme="minorHAnsi" w:hAnsiTheme="minorHAnsi" w:cstheme="minorHAnsi"/>
          <w:b/>
          <w:u w:val="single"/>
        </w:rPr>
        <w:t>right side, back corner</w:t>
      </w:r>
      <w:r w:rsidRPr="00FD4C34">
        <w:rPr>
          <w:rFonts w:asciiTheme="minorHAnsi" w:hAnsiTheme="minorHAnsi" w:cstheme="minorHAnsi"/>
        </w:rPr>
        <w:t xml:space="preserve"> of the laptop</w:t>
      </w:r>
      <w:r w:rsidR="00DB46C7" w:rsidRPr="00FD4C34">
        <w:rPr>
          <w:rFonts w:asciiTheme="minorHAnsi" w:hAnsiTheme="minorHAnsi" w:cstheme="minorHAnsi"/>
        </w:rPr>
        <w:t xml:space="preserve"> assigned for chlorophyll/phycocyanin analysis.  It is currently stored in room</w:t>
      </w:r>
      <w:r w:rsidR="00616FE9" w:rsidRPr="00FD4C34">
        <w:rPr>
          <w:rFonts w:asciiTheme="minorHAnsi" w:hAnsiTheme="minorHAnsi" w:cstheme="minorHAnsi"/>
        </w:rPr>
        <w:t xml:space="preserve"> 117</w:t>
      </w:r>
      <w:r w:rsidR="001D002A" w:rsidRPr="00FD4C34">
        <w:rPr>
          <w:rFonts w:asciiTheme="minorHAnsi" w:hAnsiTheme="minorHAnsi" w:cstheme="minorHAnsi"/>
        </w:rPr>
        <w:t>.  A “device connected” message may appear on the laptop; ignore this message.</w:t>
      </w:r>
    </w:p>
    <w:p w:rsidR="001D002A" w:rsidRPr="00FD4C34" w:rsidRDefault="001D002A" w:rsidP="00FD4C34">
      <w:pPr>
        <w:pStyle w:val="ListParagraph"/>
        <w:numPr>
          <w:ilvl w:val="0"/>
          <w:numId w:val="11"/>
        </w:numPr>
        <w:rPr>
          <w:rFonts w:asciiTheme="minorHAnsi" w:hAnsiTheme="minorHAnsi" w:cstheme="minorHAnsi"/>
        </w:rPr>
      </w:pPr>
      <w:r w:rsidRPr="00FD4C34">
        <w:rPr>
          <w:rFonts w:asciiTheme="minorHAnsi" w:hAnsiTheme="minorHAnsi" w:cstheme="minorHAnsi"/>
        </w:rPr>
        <w:t xml:space="preserve">Press and release the </w:t>
      </w:r>
      <w:r w:rsidRPr="00FD4C34">
        <w:rPr>
          <w:rFonts w:asciiTheme="minorHAnsi" w:hAnsiTheme="minorHAnsi" w:cstheme="minorHAnsi"/>
          <w:b/>
        </w:rPr>
        <w:t>Power/Off</w:t>
      </w:r>
      <w:r w:rsidRPr="00FD4C34">
        <w:rPr>
          <w:rFonts w:asciiTheme="minorHAnsi" w:hAnsiTheme="minorHAnsi" w:cstheme="minorHAnsi"/>
        </w:rPr>
        <w:t xml:space="preserve"> button on the DataBank.  Warm-up time is about five seconds.  </w:t>
      </w:r>
    </w:p>
    <w:p w:rsidR="001D002A" w:rsidRPr="00FD4C34" w:rsidRDefault="001D002A" w:rsidP="00FD4C34">
      <w:pPr>
        <w:pStyle w:val="ListParagraph"/>
        <w:numPr>
          <w:ilvl w:val="0"/>
          <w:numId w:val="11"/>
        </w:numPr>
        <w:rPr>
          <w:rFonts w:asciiTheme="minorHAnsi" w:hAnsiTheme="minorHAnsi" w:cstheme="minorHAnsi"/>
        </w:rPr>
      </w:pPr>
      <w:r w:rsidRPr="00FD4C34">
        <w:rPr>
          <w:rFonts w:asciiTheme="minorHAnsi" w:hAnsiTheme="minorHAnsi" w:cstheme="minorHAnsi"/>
        </w:rPr>
        <w:t>Open</w:t>
      </w:r>
      <w:r w:rsidR="000E0CF9" w:rsidRPr="00FD4C34">
        <w:rPr>
          <w:rFonts w:asciiTheme="minorHAnsi" w:hAnsiTheme="minorHAnsi" w:cstheme="minorHAnsi"/>
        </w:rPr>
        <w:t xml:space="preserve"> the DataBank GUI program by double clicking on the desktop icon.  The DataBank GUI program should automatically initiate a connection with the data logger in approximately 5 seconds.  When connected, you should see the words “Data Bank:  S/N 2900270 Ver. 3.06” under the </w:t>
      </w:r>
      <w:r w:rsidR="000E0CF9" w:rsidRPr="00FD4C34">
        <w:rPr>
          <w:rFonts w:asciiTheme="minorHAnsi" w:hAnsiTheme="minorHAnsi" w:cstheme="minorHAnsi"/>
          <w:b/>
        </w:rPr>
        <w:t>Setup Options</w:t>
      </w:r>
      <w:r w:rsidR="000E0CF9" w:rsidRPr="00FD4C34">
        <w:rPr>
          <w:rFonts w:asciiTheme="minorHAnsi" w:hAnsiTheme="minorHAnsi" w:cstheme="minorHAnsi"/>
        </w:rPr>
        <w:t xml:space="preserve"> tab in the DataBank GUI window.  Click on the </w:t>
      </w:r>
      <w:r w:rsidR="000E0CF9" w:rsidRPr="00FD4C34">
        <w:rPr>
          <w:rFonts w:asciiTheme="minorHAnsi" w:hAnsiTheme="minorHAnsi" w:cstheme="minorHAnsi"/>
          <w:b/>
        </w:rPr>
        <w:t>Calibration</w:t>
      </w:r>
      <w:r w:rsidR="000E0CF9" w:rsidRPr="00FD4C34">
        <w:rPr>
          <w:rFonts w:asciiTheme="minorHAnsi" w:hAnsiTheme="minorHAnsi" w:cstheme="minorHAnsi"/>
        </w:rPr>
        <w:t xml:space="preserve"> tab in the DataBank GUI window.</w:t>
      </w:r>
    </w:p>
    <w:p w:rsidR="001D002A" w:rsidRPr="00FD4C34" w:rsidRDefault="000E0CF9" w:rsidP="00FD4C34">
      <w:pPr>
        <w:pStyle w:val="ListParagraph"/>
        <w:numPr>
          <w:ilvl w:val="0"/>
          <w:numId w:val="11"/>
        </w:numPr>
        <w:rPr>
          <w:rFonts w:asciiTheme="minorHAnsi" w:hAnsiTheme="minorHAnsi" w:cstheme="minorHAnsi"/>
        </w:rPr>
      </w:pPr>
      <w:r w:rsidRPr="00FD4C34">
        <w:rPr>
          <w:rFonts w:asciiTheme="minorHAnsi" w:hAnsiTheme="minorHAnsi" w:cstheme="minorHAnsi"/>
        </w:rPr>
        <w:t xml:space="preserve">Select the parameter group to be calibrated using the </w:t>
      </w:r>
      <w:r w:rsidRPr="00FD4C34">
        <w:rPr>
          <w:rFonts w:asciiTheme="minorHAnsi" w:hAnsiTheme="minorHAnsi" w:cstheme="minorHAnsi"/>
          <w:b/>
        </w:rPr>
        <w:t>Group #</w:t>
      </w:r>
      <w:r w:rsidRPr="00FD4C34">
        <w:rPr>
          <w:rFonts w:asciiTheme="minorHAnsi" w:hAnsiTheme="minorHAnsi" w:cstheme="minorHAnsi"/>
        </w:rPr>
        <w:t xml:space="preserve"> drop-down menu.  You must click on the drop-down menu and then select a number in order to proceed to the next step.</w:t>
      </w:r>
    </w:p>
    <w:p w:rsidR="001D002A" w:rsidRPr="00FD4C34" w:rsidRDefault="000E0CF9" w:rsidP="00FD4C34">
      <w:pPr>
        <w:pStyle w:val="ListParagraph"/>
        <w:numPr>
          <w:ilvl w:val="0"/>
          <w:numId w:val="11"/>
        </w:numPr>
        <w:rPr>
          <w:rFonts w:asciiTheme="minorHAnsi" w:hAnsiTheme="minorHAnsi" w:cstheme="minorHAnsi"/>
        </w:rPr>
      </w:pPr>
      <w:r w:rsidRPr="00FD4C34">
        <w:rPr>
          <w:rFonts w:asciiTheme="minorHAnsi" w:hAnsiTheme="minorHAnsi" w:cstheme="minorHAnsi"/>
        </w:rPr>
        <w:t xml:space="preserve">Enter µg/L in the </w:t>
      </w:r>
      <w:r w:rsidRPr="00FD4C34">
        <w:rPr>
          <w:rFonts w:asciiTheme="minorHAnsi" w:hAnsiTheme="minorHAnsi" w:cstheme="minorHAnsi"/>
          <w:b/>
        </w:rPr>
        <w:t>Title</w:t>
      </w:r>
      <w:r w:rsidRPr="00FD4C34">
        <w:rPr>
          <w:rFonts w:asciiTheme="minorHAnsi" w:hAnsiTheme="minorHAnsi" w:cstheme="minorHAnsi"/>
        </w:rPr>
        <w:t xml:space="preserve"> box.  The </w:t>
      </w:r>
      <w:r w:rsidRPr="00FD4C34">
        <w:rPr>
          <w:rFonts w:asciiTheme="minorHAnsi" w:hAnsiTheme="minorHAnsi" w:cstheme="minorHAnsi"/>
          <w:b/>
        </w:rPr>
        <w:t>Gain Values</w:t>
      </w:r>
      <w:r w:rsidRPr="00FD4C34">
        <w:rPr>
          <w:rFonts w:asciiTheme="minorHAnsi" w:hAnsiTheme="minorHAnsi" w:cstheme="minorHAnsi"/>
        </w:rPr>
        <w:t xml:space="preserve"> box should now read “x1, x10, x100”.</w:t>
      </w:r>
    </w:p>
    <w:p w:rsidR="00EB6F08" w:rsidRDefault="00D65CF7">
      <w:pPr>
        <w:shd w:val="clear" w:color="auto" w:fill="D9D9D9" w:themeFill="background1" w:themeFillShade="D9"/>
        <w:spacing w:before="50" w:after="50"/>
        <w:ind w:right="2"/>
        <w:rPr>
          <w:rFonts w:asciiTheme="minorHAnsi" w:hAnsiTheme="minorHAnsi" w:cstheme="minorHAnsi"/>
          <w:i/>
        </w:rPr>
      </w:pPr>
      <w:r w:rsidRPr="00D65CF7">
        <w:rPr>
          <w:rFonts w:asciiTheme="minorHAnsi" w:hAnsiTheme="minorHAnsi" w:cstheme="minorHAnsi"/>
          <w:i/>
        </w:rPr>
        <w:t xml:space="preserve">Laboratory use of the Cyclops-7 requires that certain practices are followed (based on Turner-Designs Cyclops-7 Submersible Sensors User’s Manual version 1.6, 2007) </w:t>
      </w:r>
    </w:p>
    <w:p w:rsidR="00EB6F08" w:rsidRDefault="00D65CF7">
      <w:pPr>
        <w:pStyle w:val="ListParagraph"/>
        <w:numPr>
          <w:ilvl w:val="0"/>
          <w:numId w:val="1"/>
        </w:numPr>
        <w:shd w:val="clear" w:color="auto" w:fill="D9D9D9" w:themeFill="background1" w:themeFillShade="D9"/>
        <w:spacing w:before="50" w:after="50" w:line="240" w:lineRule="auto"/>
        <w:ind w:right="2"/>
        <w:rPr>
          <w:rFonts w:asciiTheme="minorHAnsi" w:hAnsiTheme="minorHAnsi" w:cstheme="minorHAnsi"/>
          <w:i/>
        </w:rPr>
      </w:pPr>
      <w:r w:rsidRPr="00D65CF7">
        <w:rPr>
          <w:rFonts w:asciiTheme="minorHAnsi" w:hAnsiTheme="minorHAnsi" w:cstheme="minorHAnsi"/>
          <w:i/>
        </w:rPr>
        <w:t>Use a glass beaker as plastic beakers may fluoresce</w:t>
      </w:r>
    </w:p>
    <w:p w:rsidR="00EB6F08" w:rsidRDefault="00D65CF7">
      <w:pPr>
        <w:pStyle w:val="ListParagraph"/>
        <w:numPr>
          <w:ilvl w:val="0"/>
          <w:numId w:val="1"/>
        </w:numPr>
        <w:shd w:val="clear" w:color="auto" w:fill="D9D9D9" w:themeFill="background1" w:themeFillShade="D9"/>
        <w:spacing w:before="50" w:after="50" w:line="240" w:lineRule="auto"/>
        <w:ind w:right="2"/>
        <w:rPr>
          <w:rFonts w:asciiTheme="minorHAnsi" w:hAnsiTheme="minorHAnsi" w:cstheme="minorHAnsi"/>
          <w:i/>
        </w:rPr>
      </w:pPr>
      <w:r w:rsidRPr="00D65CF7">
        <w:rPr>
          <w:rFonts w:asciiTheme="minorHAnsi" w:hAnsiTheme="minorHAnsi" w:cstheme="minorHAnsi"/>
          <w:i/>
        </w:rPr>
        <w:t>Place the beaker on a non-reflectiv</w:t>
      </w:r>
      <w:r w:rsidR="00541C5A">
        <w:rPr>
          <w:rFonts w:asciiTheme="minorHAnsi" w:hAnsiTheme="minorHAnsi" w:cstheme="minorHAnsi"/>
          <w:i/>
        </w:rPr>
        <w:t>e surface (black is recommended.  This is not needed if the shade cap is used.</w:t>
      </w:r>
    </w:p>
    <w:p w:rsidR="00D65CF7" w:rsidRPr="00D65CF7" w:rsidRDefault="00D65CF7" w:rsidP="00CB5F93">
      <w:pPr>
        <w:pStyle w:val="ListParagraph"/>
        <w:numPr>
          <w:ilvl w:val="0"/>
          <w:numId w:val="1"/>
        </w:numPr>
        <w:shd w:val="clear" w:color="auto" w:fill="D9D9D9" w:themeFill="background1" w:themeFillShade="D9"/>
        <w:spacing w:before="50" w:after="50"/>
        <w:ind w:right="2"/>
        <w:rPr>
          <w:rFonts w:asciiTheme="minorHAnsi" w:hAnsiTheme="minorHAnsi" w:cstheme="minorHAnsi"/>
          <w:i/>
        </w:rPr>
      </w:pPr>
      <w:r w:rsidRPr="00D65CF7">
        <w:rPr>
          <w:rFonts w:asciiTheme="minorHAnsi" w:hAnsiTheme="minorHAnsi" w:cstheme="minorHAnsi"/>
          <w:i/>
        </w:rPr>
        <w:t xml:space="preserve">The sensor should be held ~3 inches above the bottom of the beaker and at the same height for each sample.  This could be done using a lab stand or for most readings the shade cap can be affixed and this will keep </w:t>
      </w:r>
      <w:r w:rsidR="002C47E9" w:rsidRPr="00D65CF7">
        <w:rPr>
          <w:rFonts w:asciiTheme="minorHAnsi" w:hAnsiTheme="minorHAnsi" w:cstheme="minorHAnsi"/>
          <w:i/>
        </w:rPr>
        <w:t>everything</w:t>
      </w:r>
      <w:r w:rsidRPr="00D65CF7">
        <w:rPr>
          <w:rFonts w:asciiTheme="minorHAnsi" w:hAnsiTheme="minorHAnsi" w:cstheme="minorHAnsi"/>
          <w:i/>
        </w:rPr>
        <w:t xml:space="preserve"> at the correct height.  There should also be at least 2 inches of clearance between the sensor and the inside of the beaker.</w:t>
      </w:r>
      <w:r w:rsidR="00541C5A">
        <w:rPr>
          <w:rFonts w:asciiTheme="minorHAnsi" w:hAnsiTheme="minorHAnsi" w:cstheme="minorHAnsi"/>
          <w:i/>
        </w:rPr>
        <w:t xml:space="preserve">  This clearance is reduced if the shade cap is installed.</w:t>
      </w:r>
    </w:p>
    <w:p w:rsidR="00EB6F08" w:rsidRDefault="00D65CF7">
      <w:pPr>
        <w:pStyle w:val="ListParagraph"/>
        <w:numPr>
          <w:ilvl w:val="0"/>
          <w:numId w:val="1"/>
        </w:numPr>
        <w:shd w:val="clear" w:color="auto" w:fill="D9D9D9" w:themeFill="background1" w:themeFillShade="D9"/>
        <w:spacing w:before="50" w:after="50"/>
        <w:ind w:right="2"/>
        <w:rPr>
          <w:rFonts w:asciiTheme="minorHAnsi" w:hAnsiTheme="minorHAnsi" w:cstheme="minorHAnsi"/>
          <w:i/>
        </w:rPr>
      </w:pPr>
      <w:r w:rsidRPr="00D65CF7">
        <w:rPr>
          <w:rFonts w:asciiTheme="minorHAnsi" w:hAnsiTheme="minorHAnsi" w:cstheme="minorHAnsi"/>
          <w:i/>
        </w:rPr>
        <w:t>The lens should be checked for air bubbles</w:t>
      </w:r>
    </w:p>
    <w:p w:rsidR="00D65CF7" w:rsidRPr="003A7BFA" w:rsidRDefault="00D65CF7" w:rsidP="007C028C">
      <w:pPr>
        <w:rPr>
          <w:rFonts w:asciiTheme="minorHAnsi" w:hAnsiTheme="minorHAnsi" w:cstheme="minorHAnsi"/>
        </w:rPr>
      </w:pPr>
    </w:p>
    <w:p w:rsidR="00364261" w:rsidRPr="003A7BFA" w:rsidRDefault="000E0CF9" w:rsidP="00FD4C34">
      <w:pPr>
        <w:pStyle w:val="ListParagraph"/>
        <w:numPr>
          <w:ilvl w:val="0"/>
          <w:numId w:val="11"/>
        </w:numPr>
        <w:spacing w:before="50" w:after="50"/>
        <w:ind w:right="2"/>
        <w:rPr>
          <w:rFonts w:asciiTheme="minorHAnsi" w:hAnsiTheme="minorHAnsi" w:cstheme="minorHAnsi"/>
        </w:rPr>
      </w:pPr>
      <w:r w:rsidRPr="003A7BFA">
        <w:rPr>
          <w:rFonts w:asciiTheme="minorHAnsi" w:hAnsiTheme="minorHAnsi" w:cstheme="minorHAnsi"/>
        </w:rPr>
        <w:t xml:space="preserve">BLANK CALIBRATION:  </w:t>
      </w:r>
    </w:p>
    <w:p w:rsidR="001D002A" w:rsidRPr="00FD4C34" w:rsidRDefault="000E0CF9" w:rsidP="00FD4C34">
      <w:pPr>
        <w:pStyle w:val="ListParagraph"/>
        <w:numPr>
          <w:ilvl w:val="1"/>
          <w:numId w:val="11"/>
        </w:numPr>
        <w:spacing w:before="50" w:after="50"/>
        <w:ind w:right="2"/>
        <w:rPr>
          <w:rFonts w:asciiTheme="minorHAnsi" w:hAnsiTheme="minorHAnsi" w:cstheme="minorHAnsi"/>
        </w:rPr>
      </w:pPr>
      <w:r w:rsidRPr="00FD4C34">
        <w:rPr>
          <w:rFonts w:asciiTheme="minorHAnsi" w:hAnsiTheme="minorHAnsi" w:cstheme="minorHAnsi"/>
        </w:rPr>
        <w:t>Pour DI water into a 500 mL +/- glass jar.  Place the probe (with shade cap attached) into the jar, all the way to the bottom.  Ensure that there are no air bubbles present on the optical window</w:t>
      </w:r>
      <w:r w:rsidR="00616FE9" w:rsidRPr="00FD4C34">
        <w:rPr>
          <w:rFonts w:asciiTheme="minorHAnsi" w:hAnsiTheme="minorHAnsi" w:cstheme="minorHAnsi"/>
        </w:rPr>
        <w:t>.</w:t>
      </w:r>
    </w:p>
    <w:p w:rsidR="001D002A" w:rsidRPr="00FD4C34" w:rsidRDefault="000E0CF9" w:rsidP="00FD4C34">
      <w:pPr>
        <w:pStyle w:val="ListParagraph"/>
        <w:numPr>
          <w:ilvl w:val="0"/>
          <w:numId w:val="11"/>
        </w:numPr>
        <w:rPr>
          <w:rFonts w:asciiTheme="minorHAnsi" w:hAnsiTheme="minorHAnsi" w:cstheme="minorHAnsi"/>
        </w:rPr>
      </w:pPr>
      <w:r w:rsidRPr="00FD4C34">
        <w:rPr>
          <w:rFonts w:asciiTheme="minorHAnsi" w:hAnsiTheme="minorHAnsi" w:cstheme="minorHAnsi"/>
        </w:rPr>
        <w:t xml:space="preserve">Click on the </w:t>
      </w:r>
      <w:r w:rsidRPr="00FD4C34">
        <w:rPr>
          <w:rFonts w:asciiTheme="minorHAnsi" w:hAnsiTheme="minorHAnsi" w:cstheme="minorHAnsi"/>
          <w:b/>
        </w:rPr>
        <w:t>OK – PROCEED TO STEP 2</w:t>
      </w:r>
      <w:r w:rsidRPr="00FD4C34">
        <w:rPr>
          <w:rFonts w:asciiTheme="minorHAnsi" w:hAnsiTheme="minorHAnsi" w:cstheme="minorHAnsi"/>
        </w:rPr>
        <w:t xml:space="preserve"> button.  Wait while the DataBank GUI program collects data from the sensor at each gain setting.  This process usually takes around 20 seconds.</w:t>
      </w:r>
    </w:p>
    <w:p w:rsidR="001D002A" w:rsidRPr="00FD4C34" w:rsidRDefault="000E0CF9" w:rsidP="00FD4C34">
      <w:pPr>
        <w:pStyle w:val="ListParagraph"/>
        <w:numPr>
          <w:ilvl w:val="0"/>
          <w:numId w:val="11"/>
        </w:numPr>
        <w:rPr>
          <w:rFonts w:asciiTheme="minorHAnsi" w:hAnsiTheme="minorHAnsi" w:cstheme="minorHAnsi"/>
        </w:rPr>
      </w:pPr>
      <w:r w:rsidRPr="00FD4C34">
        <w:rPr>
          <w:rFonts w:asciiTheme="minorHAnsi" w:hAnsiTheme="minorHAnsi" w:cstheme="minorHAnsi"/>
        </w:rPr>
        <w:t xml:space="preserve">When the DataBank GUI program is finished with step 2, “The gathering of Blank data has been completed.” will be displayed.  Click the </w:t>
      </w:r>
      <w:r w:rsidRPr="00FD4C34">
        <w:rPr>
          <w:rFonts w:asciiTheme="minorHAnsi" w:hAnsiTheme="minorHAnsi" w:cstheme="minorHAnsi"/>
          <w:b/>
        </w:rPr>
        <w:t>OK – PROCEED TO STEP 3</w:t>
      </w:r>
      <w:r w:rsidRPr="00FD4C34">
        <w:rPr>
          <w:rFonts w:asciiTheme="minorHAnsi" w:hAnsiTheme="minorHAnsi" w:cstheme="minorHAnsi"/>
        </w:rPr>
        <w:t>.  Prepare the calibration solution as described below</w:t>
      </w:r>
    </w:p>
    <w:p w:rsidR="001D002A" w:rsidRPr="00FD4C34" w:rsidRDefault="000E0CF9" w:rsidP="00FD4C34">
      <w:pPr>
        <w:pStyle w:val="ListParagraph"/>
        <w:numPr>
          <w:ilvl w:val="0"/>
          <w:numId w:val="11"/>
        </w:numPr>
        <w:rPr>
          <w:rFonts w:asciiTheme="minorHAnsi" w:hAnsiTheme="minorHAnsi" w:cstheme="minorHAnsi"/>
        </w:rPr>
      </w:pPr>
      <w:r w:rsidRPr="00FD4C34">
        <w:rPr>
          <w:rFonts w:asciiTheme="minorHAnsi" w:hAnsiTheme="minorHAnsi" w:cstheme="minorHAnsi"/>
        </w:rPr>
        <w:t xml:space="preserve">Pour exactly 200 mL of DI water into a 400 mL </w:t>
      </w:r>
      <w:r w:rsidR="008245EC" w:rsidRPr="00FD4C34">
        <w:rPr>
          <w:rFonts w:asciiTheme="minorHAnsi" w:hAnsiTheme="minorHAnsi" w:cstheme="minorHAnsi"/>
        </w:rPr>
        <w:t xml:space="preserve">widemouth </w:t>
      </w:r>
      <w:r w:rsidRPr="00FD4C34">
        <w:rPr>
          <w:rFonts w:asciiTheme="minorHAnsi" w:hAnsiTheme="minorHAnsi" w:cstheme="minorHAnsi"/>
        </w:rPr>
        <w:t>flask.  Place a magnetic stirrer bar into the flask, and set the flask on a stirrer plate</w:t>
      </w:r>
      <w:r w:rsidR="00406138">
        <w:rPr>
          <w:rFonts w:asciiTheme="minorHAnsi" w:hAnsiTheme="minorHAnsi" w:cstheme="minorHAnsi"/>
        </w:rPr>
        <w:t xml:space="preserve"> or swirl the flask gently to mix the sample.</w:t>
      </w:r>
    </w:p>
    <w:p w:rsidR="004E402F" w:rsidRPr="00FD4C34" w:rsidRDefault="000E0CF9" w:rsidP="00FD4C34">
      <w:pPr>
        <w:pStyle w:val="ListParagraph"/>
        <w:numPr>
          <w:ilvl w:val="0"/>
          <w:numId w:val="11"/>
        </w:numPr>
        <w:rPr>
          <w:rFonts w:asciiTheme="minorHAnsi" w:hAnsiTheme="minorHAnsi" w:cstheme="minorHAnsi"/>
        </w:rPr>
      </w:pPr>
      <w:r w:rsidRPr="00FD4C34">
        <w:rPr>
          <w:rFonts w:asciiTheme="minorHAnsi" w:hAnsiTheme="minorHAnsi" w:cstheme="minorHAnsi"/>
        </w:rPr>
        <w:t xml:space="preserve">Obtain the c-phycocyanin “vial” standard from the refrigerator.  Check the vial label to </w:t>
      </w:r>
      <w:r w:rsidR="006324BC" w:rsidRPr="00FD4C34">
        <w:rPr>
          <w:rFonts w:asciiTheme="minorHAnsi" w:hAnsiTheme="minorHAnsi" w:cstheme="minorHAnsi"/>
        </w:rPr>
        <w:t xml:space="preserve">learn </w:t>
      </w:r>
      <w:r w:rsidRPr="00FD4C34">
        <w:rPr>
          <w:rFonts w:asciiTheme="minorHAnsi" w:hAnsiTheme="minorHAnsi" w:cstheme="minorHAnsi"/>
        </w:rPr>
        <w:t>its concentration (</w:t>
      </w:r>
      <w:r w:rsidR="006324BC" w:rsidRPr="00FD4C34">
        <w:rPr>
          <w:rFonts w:asciiTheme="minorHAnsi" w:hAnsiTheme="minorHAnsi" w:cstheme="minorHAnsi"/>
        </w:rPr>
        <w:t xml:space="preserve">the c-phycocyanin concentration </w:t>
      </w:r>
      <w:r w:rsidR="00584EF0" w:rsidRPr="00FD4C34">
        <w:rPr>
          <w:rFonts w:asciiTheme="minorHAnsi" w:hAnsiTheme="minorHAnsi" w:cstheme="minorHAnsi"/>
        </w:rPr>
        <w:t>from lot #24101</w:t>
      </w:r>
      <w:r w:rsidR="00E003D1">
        <w:rPr>
          <w:rFonts w:asciiTheme="minorHAnsi" w:hAnsiTheme="minorHAnsi" w:cstheme="minorHAnsi"/>
        </w:rPr>
        <w:t>4</w:t>
      </w:r>
      <w:r w:rsidR="00584EF0" w:rsidRPr="00FD4C34">
        <w:rPr>
          <w:rFonts w:asciiTheme="minorHAnsi" w:hAnsiTheme="minorHAnsi" w:cstheme="minorHAnsi"/>
        </w:rPr>
        <w:t xml:space="preserve"> </w:t>
      </w:r>
      <w:r w:rsidR="006324BC" w:rsidRPr="00FD4C34">
        <w:rPr>
          <w:rFonts w:asciiTheme="minorHAnsi" w:hAnsiTheme="minorHAnsi" w:cstheme="minorHAnsi"/>
        </w:rPr>
        <w:t>in 201</w:t>
      </w:r>
      <w:r w:rsidR="00E003D1">
        <w:rPr>
          <w:rFonts w:asciiTheme="minorHAnsi" w:hAnsiTheme="minorHAnsi" w:cstheme="minorHAnsi"/>
        </w:rPr>
        <w:t>5</w:t>
      </w:r>
      <w:r w:rsidR="006324BC" w:rsidRPr="00FD4C34">
        <w:rPr>
          <w:rFonts w:asciiTheme="minorHAnsi" w:hAnsiTheme="minorHAnsi" w:cstheme="minorHAnsi"/>
        </w:rPr>
        <w:t xml:space="preserve"> was 2</w:t>
      </w:r>
      <w:r w:rsidR="00E003D1">
        <w:rPr>
          <w:rFonts w:asciiTheme="minorHAnsi" w:hAnsiTheme="minorHAnsi" w:cstheme="minorHAnsi"/>
        </w:rPr>
        <w:t xml:space="preserve">4.2 </w:t>
      </w:r>
      <w:r w:rsidR="006324BC" w:rsidRPr="00FD4C34">
        <w:rPr>
          <w:rFonts w:asciiTheme="minorHAnsi" w:hAnsiTheme="minorHAnsi" w:cstheme="minorHAnsi"/>
        </w:rPr>
        <w:t>mg/ml (or µg/µL)</w:t>
      </w:r>
      <w:r w:rsidR="009613B8" w:rsidRPr="00FD4C34">
        <w:rPr>
          <w:rFonts w:asciiTheme="minorHAnsi" w:hAnsiTheme="minorHAnsi" w:cstheme="minorHAnsi"/>
        </w:rPr>
        <w:t>.</w:t>
      </w:r>
    </w:p>
    <w:p w:rsidR="00584CB4" w:rsidRPr="00FD4C34" w:rsidRDefault="000E0CF9" w:rsidP="00FD4C34">
      <w:pPr>
        <w:pStyle w:val="ListParagraph"/>
        <w:numPr>
          <w:ilvl w:val="0"/>
          <w:numId w:val="11"/>
        </w:numPr>
        <w:rPr>
          <w:rFonts w:asciiTheme="minorHAnsi" w:hAnsiTheme="minorHAnsi" w:cstheme="minorHAnsi"/>
        </w:rPr>
      </w:pPr>
      <w:r w:rsidRPr="00FD4C34">
        <w:rPr>
          <w:rFonts w:asciiTheme="minorHAnsi" w:hAnsiTheme="minorHAnsi" w:cstheme="minorHAnsi"/>
        </w:rPr>
        <w:lastRenderedPageBreak/>
        <w:t xml:space="preserve">Use the 10 µL Eppendorf Reference micropipette (found in the cabinet below the Trilogy fluorometer in room </w:t>
      </w:r>
      <w:r w:rsidR="00616FE9" w:rsidRPr="00FD4C34">
        <w:rPr>
          <w:rFonts w:asciiTheme="minorHAnsi" w:hAnsiTheme="minorHAnsi" w:cstheme="minorHAnsi"/>
        </w:rPr>
        <w:t>117,</w:t>
      </w:r>
      <w:r w:rsidRPr="00FD4C34">
        <w:rPr>
          <w:rFonts w:asciiTheme="minorHAnsi" w:hAnsiTheme="minorHAnsi" w:cstheme="minorHAnsi"/>
        </w:rPr>
        <w:t xml:space="preserve"> pipette tips are found there as well) to obtain a 7 µL </w:t>
      </w:r>
      <w:r w:rsidR="009613B8" w:rsidRPr="00FD4C34">
        <w:rPr>
          <w:rFonts w:asciiTheme="minorHAnsi" w:hAnsiTheme="minorHAnsi" w:cstheme="minorHAnsi"/>
        </w:rPr>
        <w:t xml:space="preserve">volume </w:t>
      </w:r>
      <w:r w:rsidRPr="00FD4C34">
        <w:rPr>
          <w:rFonts w:asciiTheme="minorHAnsi" w:hAnsiTheme="minorHAnsi" w:cstheme="minorHAnsi"/>
        </w:rPr>
        <w:t xml:space="preserve">of the c-phycocyanin standard.  Set the control dial on the top of the micropipette to 7 µL.  </w:t>
      </w:r>
    </w:p>
    <w:p w:rsidR="00EB6F08" w:rsidRPr="00FD4C34" w:rsidRDefault="00D9003E" w:rsidP="00FD4C34">
      <w:pPr>
        <w:pStyle w:val="ListParagraph"/>
        <w:numPr>
          <w:ilvl w:val="0"/>
          <w:numId w:val="11"/>
        </w:numPr>
        <w:shd w:val="clear" w:color="auto" w:fill="D9D9D9" w:themeFill="background1" w:themeFillShade="D9"/>
        <w:rPr>
          <w:rFonts w:asciiTheme="minorHAnsi" w:hAnsiTheme="minorHAnsi" w:cstheme="minorHAnsi"/>
          <w:i/>
        </w:rPr>
      </w:pPr>
      <w:r w:rsidRPr="00FD4C34">
        <w:rPr>
          <w:rFonts w:asciiTheme="minorHAnsi" w:hAnsiTheme="minorHAnsi" w:cstheme="minorHAnsi"/>
          <w:i/>
        </w:rPr>
        <w:t>The pipette must be pre-wetted in order to obtain an accurate volume.  To do this push the pipette tip onto the micropipette, then put the pipette tip below the surface of the standard.  Press the control button to the first stop release it and repeat.  Next press the control button to the first stop.  Hold down the control button and pull the tip up the inner wall of the flask (Eppendorf 2001).  Totally empty the pipette by pressing  the control button down to the second stop (blow-out).To eject the tip press the control button down to the last stop.</w:t>
      </w:r>
    </w:p>
    <w:p w:rsidR="008040C9" w:rsidRPr="00FD4C34" w:rsidRDefault="000E0CF9" w:rsidP="00FD4C34">
      <w:pPr>
        <w:pStyle w:val="ListParagraph"/>
        <w:numPr>
          <w:ilvl w:val="0"/>
          <w:numId w:val="11"/>
        </w:numPr>
        <w:spacing w:before="60" w:after="60"/>
        <w:ind w:right="2"/>
        <w:jc w:val="both"/>
        <w:rPr>
          <w:rFonts w:asciiTheme="minorHAnsi" w:hAnsiTheme="minorHAnsi" w:cstheme="minorHAnsi"/>
        </w:rPr>
      </w:pPr>
      <w:r w:rsidRPr="00FD4C34">
        <w:rPr>
          <w:rFonts w:asciiTheme="minorHAnsi" w:hAnsiTheme="minorHAnsi" w:cstheme="minorHAnsi"/>
        </w:rPr>
        <w:t xml:space="preserve">PRIMARY STANDARD:  Inject the 7 µL of the c-phycocyanin standard into the 200 mL of DI water in the 400 mL flask, placing the pipette just below the water surface. Operate the stirrer on medium speed for 2 minutes.   Calculate the concentration of phycocyanin in the 400 mL flask in units of µg/mL:  </w:t>
      </w:r>
    </w:p>
    <w:p w:rsidR="008040C9" w:rsidRPr="00FD4C34" w:rsidRDefault="000E0CF9" w:rsidP="003A7BFA">
      <w:pPr>
        <w:pStyle w:val="ListParagraph"/>
        <w:ind w:firstLine="720"/>
        <w:rPr>
          <w:rFonts w:asciiTheme="minorHAnsi" w:hAnsiTheme="minorHAnsi" w:cstheme="minorHAnsi"/>
        </w:rPr>
      </w:pPr>
      <w:r w:rsidRPr="00FD4C34">
        <w:rPr>
          <w:rFonts w:asciiTheme="minorHAnsi" w:hAnsiTheme="minorHAnsi" w:cstheme="minorHAnsi"/>
          <w:b/>
        </w:rPr>
        <w:t xml:space="preserve">[7 </w:t>
      </w:r>
      <w:r w:rsidRPr="00FD4C34">
        <w:rPr>
          <w:rFonts w:asciiTheme="minorHAnsi" w:hAnsiTheme="minorHAnsi" w:cstheme="minorHAnsi"/>
          <w:b/>
          <w:i/>
        </w:rPr>
        <w:t xml:space="preserve">µL of standard </w:t>
      </w:r>
      <w:r w:rsidRPr="00FD4C34">
        <w:rPr>
          <w:rFonts w:asciiTheme="minorHAnsi" w:hAnsiTheme="minorHAnsi" w:cstheme="minorHAnsi"/>
          <w:b/>
        </w:rPr>
        <w:t xml:space="preserve"> x  </w:t>
      </w:r>
      <w:r w:rsidRPr="00FD4C34">
        <w:rPr>
          <w:rFonts w:asciiTheme="minorHAnsi" w:hAnsiTheme="minorHAnsi" w:cstheme="minorHAnsi"/>
          <w:b/>
          <w:i/>
        </w:rPr>
        <w:t xml:space="preserve">µg/µL conc of standard] / 200 mL </w:t>
      </w:r>
      <w:r w:rsidRPr="00FD4C34">
        <w:rPr>
          <w:rFonts w:asciiTheme="minorHAnsi" w:hAnsiTheme="minorHAnsi" w:cstheme="minorHAnsi"/>
          <w:i/>
        </w:rPr>
        <w:t xml:space="preserve">   </w:t>
      </w:r>
      <w:r w:rsidRPr="00FD4C34">
        <w:rPr>
          <w:rFonts w:asciiTheme="minorHAnsi" w:hAnsiTheme="minorHAnsi" w:cstheme="minorHAnsi"/>
        </w:rPr>
        <w:t>(</w:t>
      </w:r>
      <w:r w:rsidRPr="00FD4C34">
        <w:rPr>
          <w:rFonts w:asciiTheme="minorHAnsi" w:hAnsiTheme="minorHAnsi" w:cstheme="minorHAnsi"/>
          <w:i/>
        </w:rPr>
        <w:t>about 0.87 µg/mL</w:t>
      </w:r>
      <w:r w:rsidRPr="00FD4C34">
        <w:rPr>
          <w:rFonts w:asciiTheme="minorHAnsi" w:hAnsiTheme="minorHAnsi" w:cstheme="minorHAnsi"/>
        </w:rPr>
        <w:t>)</w:t>
      </w:r>
      <w:r w:rsidR="007C0AFC" w:rsidRPr="00FD4C34">
        <w:rPr>
          <w:rFonts w:asciiTheme="minorHAnsi" w:hAnsiTheme="minorHAnsi" w:cstheme="minorHAnsi"/>
        </w:rPr>
        <w:t>-solution A</w:t>
      </w:r>
    </w:p>
    <w:p w:rsidR="008040C9" w:rsidRPr="00FD4C34" w:rsidRDefault="000E0CF9" w:rsidP="00FD4C34">
      <w:pPr>
        <w:pStyle w:val="ListParagraph"/>
        <w:numPr>
          <w:ilvl w:val="0"/>
          <w:numId w:val="11"/>
        </w:numPr>
        <w:spacing w:before="100"/>
        <w:ind w:right="2"/>
        <w:jc w:val="both"/>
        <w:rPr>
          <w:rFonts w:asciiTheme="minorHAnsi" w:hAnsiTheme="minorHAnsi" w:cstheme="minorHAnsi"/>
        </w:rPr>
      </w:pPr>
      <w:r w:rsidRPr="00FD4C34">
        <w:rPr>
          <w:rFonts w:asciiTheme="minorHAnsi" w:hAnsiTheme="minorHAnsi" w:cstheme="minorHAnsi"/>
        </w:rPr>
        <w:t>SECONDARY STANDARD for CALIBRATION: Transfer 100 mL of the Primary dilution standard from the 400 mL flask to a 1 Liter volumetric flask.  Add DI water to bring the total volume to exactly 1 liter. Cover and invert the 1 L flask several times to mix.  Calculate the concentration of phycocyanin in the 1 liter flask:</w:t>
      </w:r>
    </w:p>
    <w:p w:rsidR="001D002A" w:rsidRPr="00FD4C34" w:rsidRDefault="000E0CF9" w:rsidP="003A7BFA">
      <w:pPr>
        <w:pStyle w:val="ListParagraph"/>
        <w:ind w:firstLine="720"/>
        <w:rPr>
          <w:rFonts w:asciiTheme="minorHAnsi" w:hAnsiTheme="minorHAnsi" w:cstheme="minorHAnsi"/>
        </w:rPr>
      </w:pPr>
      <w:r w:rsidRPr="00FD4C34">
        <w:rPr>
          <w:rFonts w:asciiTheme="minorHAnsi" w:hAnsiTheme="minorHAnsi" w:cstheme="minorHAnsi"/>
          <w:b/>
          <w:i/>
        </w:rPr>
        <w:t xml:space="preserve">[µg/mL in 400 mL flask (A)  x  100 mL] / 1 L    </w:t>
      </w:r>
      <w:r w:rsidRPr="00FD4C34">
        <w:rPr>
          <w:rFonts w:asciiTheme="minorHAnsi" w:hAnsiTheme="minorHAnsi" w:cstheme="minorHAnsi"/>
        </w:rPr>
        <w:t>(</w:t>
      </w:r>
      <w:r w:rsidRPr="00FD4C34">
        <w:rPr>
          <w:rFonts w:asciiTheme="minorHAnsi" w:hAnsiTheme="minorHAnsi" w:cstheme="minorHAnsi"/>
          <w:i/>
        </w:rPr>
        <w:t>about 87 µg/L</w:t>
      </w:r>
      <w:r w:rsidRPr="00FD4C34">
        <w:rPr>
          <w:rFonts w:asciiTheme="minorHAnsi" w:hAnsiTheme="minorHAnsi" w:cstheme="minorHAnsi"/>
        </w:rPr>
        <w:t>)</w:t>
      </w:r>
      <w:r w:rsidR="007C0AFC" w:rsidRPr="00FD4C34">
        <w:rPr>
          <w:rFonts w:asciiTheme="minorHAnsi" w:hAnsiTheme="minorHAnsi" w:cstheme="minorHAnsi"/>
        </w:rPr>
        <w:t>-solution B</w:t>
      </w:r>
    </w:p>
    <w:p w:rsidR="008040C9" w:rsidRPr="00FD4C34" w:rsidRDefault="000E0CF9" w:rsidP="00FD4C34">
      <w:pPr>
        <w:pStyle w:val="ListParagraph"/>
        <w:numPr>
          <w:ilvl w:val="0"/>
          <w:numId w:val="11"/>
        </w:numPr>
        <w:rPr>
          <w:rFonts w:asciiTheme="minorHAnsi" w:hAnsiTheme="minorHAnsi" w:cstheme="minorHAnsi"/>
        </w:rPr>
      </w:pPr>
      <w:r w:rsidRPr="00FD4C34">
        <w:rPr>
          <w:rFonts w:asciiTheme="minorHAnsi" w:hAnsiTheme="minorHAnsi" w:cstheme="minorHAnsi"/>
        </w:rPr>
        <w:t xml:space="preserve">Pour all of the 1 liter of the (about 87 µg/L) Secondary Standard (B) (1 L volumetric) into a 2 L +/- glass beaker.   Place the probe (with shade cap attached) into the </w:t>
      </w:r>
      <w:r w:rsidR="00EB7C7A" w:rsidRPr="00FD4C34">
        <w:rPr>
          <w:rFonts w:asciiTheme="minorHAnsi" w:hAnsiTheme="minorHAnsi" w:cstheme="minorHAnsi"/>
        </w:rPr>
        <w:t>beaker</w:t>
      </w:r>
      <w:r w:rsidRPr="00FD4C34">
        <w:rPr>
          <w:rFonts w:asciiTheme="minorHAnsi" w:hAnsiTheme="minorHAnsi" w:cstheme="minorHAnsi"/>
        </w:rPr>
        <w:t xml:space="preserve">, all the way to the bottom.  Ensure that there are no air bubbles present on the </w:t>
      </w:r>
      <w:r w:rsidR="00AA08D9" w:rsidRPr="00FD4C34">
        <w:rPr>
          <w:rFonts w:asciiTheme="minorHAnsi" w:hAnsiTheme="minorHAnsi" w:cstheme="minorHAnsi"/>
        </w:rPr>
        <w:t>lens surface</w:t>
      </w:r>
      <w:r w:rsidRPr="00FD4C34">
        <w:rPr>
          <w:rFonts w:asciiTheme="minorHAnsi" w:hAnsiTheme="minorHAnsi" w:cstheme="minorHAnsi"/>
        </w:rPr>
        <w:t xml:space="preserve">, and that the </w:t>
      </w:r>
      <w:r w:rsidR="00AA08D9" w:rsidRPr="00FD4C34">
        <w:rPr>
          <w:rFonts w:asciiTheme="minorHAnsi" w:hAnsiTheme="minorHAnsi" w:cstheme="minorHAnsi"/>
        </w:rPr>
        <w:t>lens</w:t>
      </w:r>
      <w:r w:rsidR="00E06806" w:rsidRPr="00FD4C34">
        <w:rPr>
          <w:rFonts w:asciiTheme="minorHAnsi" w:hAnsiTheme="minorHAnsi" w:cstheme="minorHAnsi"/>
        </w:rPr>
        <w:t xml:space="preserve"> </w:t>
      </w:r>
      <w:r w:rsidR="001913E9" w:rsidRPr="00FD4C34">
        <w:rPr>
          <w:rFonts w:asciiTheme="minorHAnsi" w:hAnsiTheme="minorHAnsi" w:cstheme="minorHAnsi"/>
        </w:rPr>
        <w:t xml:space="preserve"> is </w:t>
      </w:r>
      <w:r w:rsidR="00E06806" w:rsidRPr="00FD4C34">
        <w:rPr>
          <w:rFonts w:asciiTheme="minorHAnsi" w:hAnsiTheme="minorHAnsi" w:cstheme="minorHAnsi"/>
        </w:rPr>
        <w:t>two inches above the bottom of the beaker</w:t>
      </w:r>
      <w:r w:rsidRPr="00FD4C34">
        <w:rPr>
          <w:rFonts w:asciiTheme="minorHAnsi" w:hAnsiTheme="minorHAnsi" w:cstheme="minorHAnsi"/>
        </w:rPr>
        <w:t xml:space="preserve">.  Record the temperature of the solution in the </w:t>
      </w:r>
      <w:r w:rsidR="00EB7C7A" w:rsidRPr="00FD4C34">
        <w:rPr>
          <w:rFonts w:asciiTheme="minorHAnsi" w:hAnsiTheme="minorHAnsi" w:cstheme="minorHAnsi"/>
        </w:rPr>
        <w:t>beaker</w:t>
      </w:r>
      <w:r w:rsidRPr="00FD4C34">
        <w:rPr>
          <w:rFonts w:asciiTheme="minorHAnsi" w:hAnsiTheme="minorHAnsi" w:cstheme="minorHAnsi"/>
        </w:rPr>
        <w:t>.</w:t>
      </w:r>
    </w:p>
    <w:p w:rsidR="008040C9" w:rsidRPr="00FD4C34" w:rsidRDefault="000E0CF9" w:rsidP="00FD4C34">
      <w:pPr>
        <w:pStyle w:val="ListParagraph"/>
        <w:numPr>
          <w:ilvl w:val="0"/>
          <w:numId w:val="11"/>
        </w:numPr>
        <w:rPr>
          <w:rFonts w:asciiTheme="minorHAnsi" w:hAnsiTheme="minorHAnsi" w:cstheme="minorHAnsi"/>
        </w:rPr>
      </w:pPr>
      <w:r w:rsidRPr="00FD4C34">
        <w:rPr>
          <w:rFonts w:asciiTheme="minorHAnsi" w:hAnsiTheme="minorHAnsi" w:cstheme="minorHAnsi"/>
        </w:rPr>
        <w:t xml:space="preserve">In the DataBank GUI program, in the </w:t>
      </w:r>
      <w:r w:rsidRPr="00FD4C34">
        <w:rPr>
          <w:rFonts w:asciiTheme="minorHAnsi" w:hAnsiTheme="minorHAnsi" w:cstheme="minorHAnsi"/>
          <w:b/>
        </w:rPr>
        <w:t>Enter Standard Value</w:t>
      </w:r>
      <w:r w:rsidRPr="00FD4C34">
        <w:rPr>
          <w:rFonts w:asciiTheme="minorHAnsi" w:hAnsiTheme="minorHAnsi" w:cstheme="minorHAnsi"/>
        </w:rPr>
        <w:t xml:space="preserve"> box, enter the concentration of the calibration solution you prepared in step 17 (</w:t>
      </w:r>
      <w:r w:rsidR="009B215A">
        <w:rPr>
          <w:rFonts w:asciiTheme="minorHAnsi" w:hAnsiTheme="minorHAnsi" w:cstheme="minorHAnsi"/>
        </w:rPr>
        <w:t>e.g.,</w:t>
      </w:r>
      <w:r w:rsidRPr="00FD4C34">
        <w:rPr>
          <w:rFonts w:asciiTheme="minorHAnsi" w:hAnsiTheme="minorHAnsi" w:cstheme="minorHAnsi"/>
        </w:rPr>
        <w:t xml:space="preserve"> about 87 µg/L</w:t>
      </w:r>
      <w:r w:rsidR="009B215A">
        <w:rPr>
          <w:rFonts w:asciiTheme="minorHAnsi" w:hAnsiTheme="minorHAnsi" w:cstheme="minorHAnsi"/>
        </w:rPr>
        <w:t xml:space="preserve"> for standard used in 2014</w:t>
      </w:r>
      <w:r w:rsidRPr="00FD4C34">
        <w:rPr>
          <w:rFonts w:asciiTheme="minorHAnsi" w:hAnsiTheme="minorHAnsi" w:cstheme="minorHAnsi"/>
        </w:rPr>
        <w:t xml:space="preserve">).  Using the </w:t>
      </w:r>
      <w:r w:rsidRPr="00FD4C34">
        <w:rPr>
          <w:rFonts w:asciiTheme="minorHAnsi" w:hAnsiTheme="minorHAnsi" w:cstheme="minorHAnsi"/>
          <w:b/>
        </w:rPr>
        <w:t>Units</w:t>
      </w:r>
      <w:r w:rsidRPr="00FD4C34">
        <w:rPr>
          <w:rFonts w:asciiTheme="minorHAnsi" w:hAnsiTheme="minorHAnsi" w:cstheme="minorHAnsi"/>
        </w:rPr>
        <w:t xml:space="preserve"> drop-down menu, select</w:t>
      </w:r>
      <w:r w:rsidR="002C47E9" w:rsidRPr="00FD4C34">
        <w:rPr>
          <w:rFonts w:asciiTheme="minorHAnsi" w:hAnsiTheme="minorHAnsi" w:cstheme="minorHAnsi"/>
        </w:rPr>
        <w:t xml:space="preserve"> </w:t>
      </w:r>
      <w:r w:rsidRPr="00FD4C34">
        <w:rPr>
          <w:rFonts w:asciiTheme="minorHAnsi" w:hAnsiTheme="minorHAnsi" w:cstheme="minorHAnsi"/>
        </w:rPr>
        <w:t xml:space="preserve">µg/L.  Make sure that the correct </w:t>
      </w:r>
      <w:r w:rsidRPr="00FD4C34">
        <w:rPr>
          <w:rFonts w:asciiTheme="minorHAnsi" w:hAnsiTheme="minorHAnsi" w:cstheme="minorHAnsi"/>
          <w:b/>
        </w:rPr>
        <w:t>Group #</w:t>
      </w:r>
      <w:r w:rsidRPr="00FD4C34">
        <w:rPr>
          <w:rFonts w:asciiTheme="minorHAnsi" w:hAnsiTheme="minorHAnsi" w:cstheme="minorHAnsi"/>
        </w:rPr>
        <w:t xml:space="preserve"> and </w:t>
      </w:r>
      <w:r w:rsidRPr="00FD4C34">
        <w:rPr>
          <w:rFonts w:asciiTheme="minorHAnsi" w:hAnsiTheme="minorHAnsi" w:cstheme="minorHAnsi"/>
          <w:b/>
        </w:rPr>
        <w:t>Title</w:t>
      </w:r>
      <w:r w:rsidRPr="00FD4C34">
        <w:rPr>
          <w:rFonts w:asciiTheme="minorHAnsi" w:hAnsiTheme="minorHAnsi" w:cstheme="minorHAnsi"/>
        </w:rPr>
        <w:t xml:space="preserve"> are displayed.  </w:t>
      </w:r>
    </w:p>
    <w:p w:rsidR="008040C9" w:rsidRPr="00FD4C34" w:rsidRDefault="000E0CF9" w:rsidP="00FD4C34">
      <w:pPr>
        <w:pStyle w:val="ListParagraph"/>
        <w:numPr>
          <w:ilvl w:val="0"/>
          <w:numId w:val="11"/>
        </w:numPr>
        <w:rPr>
          <w:rFonts w:asciiTheme="minorHAnsi" w:hAnsiTheme="minorHAnsi" w:cstheme="minorHAnsi"/>
        </w:rPr>
      </w:pPr>
      <w:r w:rsidRPr="00FD4C34">
        <w:rPr>
          <w:rFonts w:asciiTheme="minorHAnsi" w:hAnsiTheme="minorHAnsi" w:cstheme="minorHAnsi"/>
        </w:rPr>
        <w:t xml:space="preserve">Click the </w:t>
      </w:r>
      <w:r w:rsidRPr="00FD4C34">
        <w:rPr>
          <w:rFonts w:asciiTheme="minorHAnsi" w:hAnsiTheme="minorHAnsi" w:cstheme="minorHAnsi"/>
          <w:b/>
        </w:rPr>
        <w:t>PROCEED TO STEP 4</w:t>
      </w:r>
      <w:r w:rsidRPr="00FD4C34">
        <w:rPr>
          <w:rFonts w:asciiTheme="minorHAnsi" w:hAnsiTheme="minorHAnsi" w:cstheme="minorHAnsi"/>
        </w:rPr>
        <w:t xml:space="preserve"> button.  Wait while the DataBank GUI program collects data from the sensor at each gain setting (there will be 3 consecutive countdowns; takes 20 sec +/-)</w:t>
      </w:r>
    </w:p>
    <w:p w:rsidR="008040C9" w:rsidRPr="00FD4C34" w:rsidRDefault="000E0CF9" w:rsidP="00FD4C34">
      <w:pPr>
        <w:pStyle w:val="ListParagraph"/>
        <w:numPr>
          <w:ilvl w:val="0"/>
          <w:numId w:val="11"/>
        </w:numPr>
        <w:rPr>
          <w:rFonts w:asciiTheme="minorHAnsi" w:hAnsiTheme="minorHAnsi" w:cstheme="minorHAnsi"/>
        </w:rPr>
      </w:pPr>
      <w:r w:rsidRPr="00FD4C34">
        <w:rPr>
          <w:rFonts w:asciiTheme="minorHAnsi" w:hAnsiTheme="minorHAnsi" w:cstheme="minorHAnsi"/>
        </w:rPr>
        <w:t xml:space="preserve">When the DataBank GUI program is finished, the message “Ready to Calculate and Transmit Results.” will be displayed.  Click the </w:t>
      </w:r>
      <w:r w:rsidRPr="00FD4C34">
        <w:rPr>
          <w:rFonts w:asciiTheme="minorHAnsi" w:hAnsiTheme="minorHAnsi" w:cstheme="minorHAnsi"/>
          <w:b/>
        </w:rPr>
        <w:t>FINALIZE CALCULATIONS</w:t>
      </w:r>
      <w:r w:rsidRPr="00FD4C34">
        <w:rPr>
          <w:rFonts w:asciiTheme="minorHAnsi" w:hAnsiTheme="minorHAnsi" w:cstheme="minorHAnsi"/>
        </w:rPr>
        <w:t xml:space="preserve"> button.  </w:t>
      </w:r>
    </w:p>
    <w:p w:rsidR="008040C9" w:rsidRPr="00FD4C34" w:rsidRDefault="000E0CF9" w:rsidP="00FD4C34">
      <w:pPr>
        <w:pStyle w:val="ListParagraph"/>
        <w:numPr>
          <w:ilvl w:val="0"/>
          <w:numId w:val="11"/>
        </w:numPr>
        <w:rPr>
          <w:rFonts w:asciiTheme="minorHAnsi" w:hAnsiTheme="minorHAnsi" w:cstheme="minorHAnsi"/>
        </w:rPr>
      </w:pPr>
      <w:r w:rsidRPr="00FD4C34">
        <w:rPr>
          <w:rFonts w:asciiTheme="minorHAnsi" w:hAnsiTheme="minorHAnsi" w:cstheme="minorHAnsi"/>
        </w:rPr>
        <w:t xml:space="preserve">After a few seconds, the message </w:t>
      </w:r>
      <w:r w:rsidRPr="00FD4C34">
        <w:rPr>
          <w:rFonts w:asciiTheme="minorHAnsi" w:hAnsiTheme="minorHAnsi" w:cstheme="minorHAnsi"/>
          <w:b/>
        </w:rPr>
        <w:t>“This Calibration is Complete. The Data Bank is programmed.”</w:t>
      </w:r>
      <w:r w:rsidRPr="00FD4C34">
        <w:rPr>
          <w:rFonts w:asciiTheme="minorHAnsi" w:hAnsiTheme="minorHAnsi" w:cstheme="minorHAnsi"/>
        </w:rPr>
        <w:t xml:space="preserve"> will be displayed in a small box.  Click the </w:t>
      </w:r>
      <w:r w:rsidRPr="00FD4C34">
        <w:rPr>
          <w:rFonts w:asciiTheme="minorHAnsi" w:hAnsiTheme="minorHAnsi" w:cstheme="minorHAnsi"/>
          <w:b/>
        </w:rPr>
        <w:t>OK</w:t>
      </w:r>
      <w:r w:rsidRPr="00FD4C34">
        <w:rPr>
          <w:rFonts w:asciiTheme="minorHAnsi" w:hAnsiTheme="minorHAnsi" w:cstheme="minorHAnsi"/>
        </w:rPr>
        <w:t xml:space="preserve"> button.  The calibration procedure is now complete.  Close the DataBank GUI program, and remove the USB interface cable.   </w:t>
      </w:r>
    </w:p>
    <w:p w:rsidR="008040C9" w:rsidRPr="00FD4C34" w:rsidRDefault="000E0CF9" w:rsidP="00FD4C34">
      <w:pPr>
        <w:pStyle w:val="ListParagraph"/>
        <w:numPr>
          <w:ilvl w:val="0"/>
          <w:numId w:val="11"/>
        </w:numPr>
        <w:spacing w:before="40" w:after="40"/>
        <w:ind w:right="2"/>
        <w:rPr>
          <w:rFonts w:asciiTheme="minorHAnsi" w:hAnsiTheme="minorHAnsi" w:cstheme="minorHAnsi"/>
        </w:rPr>
      </w:pPr>
      <w:r w:rsidRPr="00FD4C34">
        <w:rPr>
          <w:rFonts w:asciiTheme="minorHAnsi" w:hAnsiTheme="minorHAnsi" w:cstheme="minorHAnsi"/>
        </w:rPr>
        <w:t xml:space="preserve">CHECK STANDARDS:  Immediately make up additional solutions of the phycocyanin standard, by dilutions of the Primary and Secondary Dilution standards.  Begin by pouring the contents of the 500 mL +/- glass jar back into the 0.5 L flask (the Secondary Dilution Standard).  </w:t>
      </w:r>
    </w:p>
    <w:p w:rsidR="008040C9" w:rsidRPr="00FD4C34" w:rsidRDefault="000E0CF9" w:rsidP="00FD4C34">
      <w:pPr>
        <w:pStyle w:val="ListParagraph"/>
        <w:numPr>
          <w:ilvl w:val="0"/>
          <w:numId w:val="11"/>
        </w:numPr>
        <w:spacing w:before="40" w:after="40"/>
        <w:ind w:right="2"/>
        <w:rPr>
          <w:rFonts w:asciiTheme="minorHAnsi" w:hAnsiTheme="minorHAnsi" w:cstheme="minorHAnsi"/>
        </w:rPr>
      </w:pPr>
      <w:r w:rsidRPr="00FD4C34">
        <w:rPr>
          <w:rFonts w:asciiTheme="minorHAnsi" w:hAnsiTheme="minorHAnsi" w:cstheme="minorHAnsi"/>
        </w:rPr>
        <w:t xml:space="preserve">Dispense 50 mL of </w:t>
      </w:r>
      <w:r w:rsidRPr="00FD4C34">
        <w:rPr>
          <w:rFonts w:asciiTheme="minorHAnsi" w:hAnsiTheme="minorHAnsi" w:cstheme="minorHAnsi"/>
          <w:b/>
        </w:rPr>
        <w:t>the Secondary Dilution Standard</w:t>
      </w:r>
      <w:r w:rsidRPr="00FD4C34">
        <w:rPr>
          <w:rFonts w:asciiTheme="minorHAnsi" w:hAnsiTheme="minorHAnsi" w:cstheme="minorHAnsi"/>
        </w:rPr>
        <w:t xml:space="preserve"> </w:t>
      </w:r>
      <w:r w:rsidR="00021B1E" w:rsidRPr="00FD4C34">
        <w:rPr>
          <w:rFonts w:asciiTheme="minorHAnsi" w:hAnsiTheme="minorHAnsi" w:cstheme="minorHAnsi"/>
        </w:rPr>
        <w:t>(B)</w:t>
      </w:r>
      <w:r w:rsidRPr="00FD4C34">
        <w:rPr>
          <w:rFonts w:asciiTheme="minorHAnsi" w:hAnsiTheme="minorHAnsi" w:cstheme="minorHAnsi"/>
        </w:rPr>
        <w:t>(</w:t>
      </w:r>
      <w:r w:rsidR="00021B1E" w:rsidRPr="00FD4C34">
        <w:rPr>
          <w:rFonts w:asciiTheme="minorHAnsi" w:hAnsiTheme="minorHAnsi" w:cstheme="minorHAnsi"/>
        </w:rPr>
        <w:t>2 L beaker</w:t>
      </w:r>
      <w:r w:rsidRPr="00FD4C34">
        <w:rPr>
          <w:rFonts w:asciiTheme="minorHAnsi" w:hAnsiTheme="minorHAnsi" w:cstheme="minorHAnsi"/>
        </w:rPr>
        <w:t>) into a 1 L flask</w:t>
      </w:r>
      <w:r w:rsidR="009B215A">
        <w:rPr>
          <w:rFonts w:asciiTheme="minorHAnsi" w:hAnsiTheme="minorHAnsi" w:cstheme="minorHAnsi"/>
        </w:rPr>
        <w:t xml:space="preserve"> (20X dilution)</w:t>
      </w:r>
      <w:r w:rsidRPr="00FD4C34">
        <w:rPr>
          <w:rFonts w:asciiTheme="minorHAnsi" w:hAnsiTheme="minorHAnsi" w:cstheme="minorHAnsi"/>
        </w:rPr>
        <w:t xml:space="preserve">. Fill to volume with DI water.  Cover and invert the flask several times to mix.  Calculate the concentration of phycocyanin (should be about 4 µg/L). Pour all of the 4 µg/L solution into a </w:t>
      </w:r>
      <w:r w:rsidR="00021B1E" w:rsidRPr="00FD4C34">
        <w:rPr>
          <w:rFonts w:asciiTheme="minorHAnsi" w:hAnsiTheme="minorHAnsi" w:cstheme="minorHAnsi"/>
        </w:rPr>
        <w:t>2</w:t>
      </w:r>
      <w:r w:rsidRPr="00FD4C34">
        <w:rPr>
          <w:rFonts w:asciiTheme="minorHAnsi" w:hAnsiTheme="minorHAnsi" w:cstheme="minorHAnsi"/>
        </w:rPr>
        <w:t xml:space="preserve"> L </w:t>
      </w:r>
      <w:r w:rsidR="00021B1E" w:rsidRPr="00FD4C34">
        <w:rPr>
          <w:rFonts w:asciiTheme="minorHAnsi" w:hAnsiTheme="minorHAnsi" w:cstheme="minorHAnsi"/>
        </w:rPr>
        <w:t>beaker</w:t>
      </w:r>
      <w:r w:rsidRPr="00FD4C34">
        <w:rPr>
          <w:rFonts w:asciiTheme="minorHAnsi" w:hAnsiTheme="minorHAnsi" w:cstheme="minorHAnsi"/>
        </w:rPr>
        <w:t>.  Analyze on DataBank and record reading.</w:t>
      </w:r>
    </w:p>
    <w:p w:rsidR="008040C9" w:rsidRPr="00FD4C34" w:rsidRDefault="000E0CF9" w:rsidP="00FD4C34">
      <w:pPr>
        <w:pStyle w:val="ListParagraph"/>
        <w:numPr>
          <w:ilvl w:val="0"/>
          <w:numId w:val="11"/>
        </w:numPr>
        <w:rPr>
          <w:rFonts w:asciiTheme="minorHAnsi" w:hAnsiTheme="minorHAnsi" w:cstheme="minorHAnsi"/>
        </w:rPr>
      </w:pPr>
      <w:r w:rsidRPr="00FD4C34">
        <w:rPr>
          <w:rFonts w:asciiTheme="minorHAnsi" w:hAnsiTheme="minorHAnsi" w:cstheme="minorHAnsi"/>
        </w:rPr>
        <w:t xml:space="preserve">Use a second 1 Liter Flask.  Pour 500 mLs of the remaining contents of the </w:t>
      </w:r>
      <w:r w:rsidRPr="00FD4C34">
        <w:rPr>
          <w:rFonts w:asciiTheme="minorHAnsi" w:hAnsiTheme="minorHAnsi" w:cstheme="minorHAnsi"/>
          <w:b/>
        </w:rPr>
        <w:t>Secondary Dilution Standard</w:t>
      </w:r>
      <w:r w:rsidRPr="00FD4C34">
        <w:rPr>
          <w:rFonts w:asciiTheme="minorHAnsi" w:hAnsiTheme="minorHAnsi" w:cstheme="minorHAnsi"/>
        </w:rPr>
        <w:t xml:space="preserve"> (</w:t>
      </w:r>
      <w:r w:rsidR="00021B1E" w:rsidRPr="00FD4C34">
        <w:rPr>
          <w:rFonts w:asciiTheme="minorHAnsi" w:hAnsiTheme="minorHAnsi" w:cstheme="minorHAnsi"/>
        </w:rPr>
        <w:t>2L beaker</w:t>
      </w:r>
      <w:r w:rsidRPr="00FD4C34">
        <w:rPr>
          <w:rFonts w:asciiTheme="minorHAnsi" w:hAnsiTheme="minorHAnsi" w:cstheme="minorHAnsi"/>
        </w:rPr>
        <w:t>) into the 1 Liter Flask, and adjust to volume with DI.  Cover and invert the flask several times to mix.  Calculate concentration of phycocyanin (should be about 44 µg/L). Pour all of this solution into a 2 L +/- glass beaker.   Analyze and record.</w:t>
      </w:r>
    </w:p>
    <w:p w:rsidR="008040C9" w:rsidRPr="00FD4C34" w:rsidRDefault="000E0CF9" w:rsidP="00FD4C34">
      <w:pPr>
        <w:pStyle w:val="ListParagraph"/>
        <w:numPr>
          <w:ilvl w:val="0"/>
          <w:numId w:val="11"/>
        </w:numPr>
        <w:rPr>
          <w:rFonts w:asciiTheme="minorHAnsi" w:hAnsiTheme="minorHAnsi" w:cstheme="minorHAnsi"/>
        </w:rPr>
      </w:pPr>
      <w:r w:rsidRPr="00FD4C34">
        <w:rPr>
          <w:rFonts w:asciiTheme="minorHAnsi" w:hAnsiTheme="minorHAnsi" w:cstheme="minorHAnsi"/>
        </w:rPr>
        <w:t xml:space="preserve">Empty and rinse the 0.5 L volumetric flask.  Pour 100 mLs of the remaining contents of the </w:t>
      </w:r>
      <w:r w:rsidRPr="00FD4C34">
        <w:rPr>
          <w:rFonts w:asciiTheme="minorHAnsi" w:hAnsiTheme="minorHAnsi" w:cstheme="minorHAnsi"/>
          <w:b/>
        </w:rPr>
        <w:t>Primary Dilution Standard</w:t>
      </w:r>
      <w:r w:rsidRPr="00FD4C34">
        <w:rPr>
          <w:rFonts w:asciiTheme="minorHAnsi" w:hAnsiTheme="minorHAnsi" w:cstheme="minorHAnsi"/>
        </w:rPr>
        <w:t xml:space="preserve"> (A) into the 0.5 L Volumetric Flask, and adjust to volume with DI</w:t>
      </w:r>
      <w:r w:rsidR="009B215A">
        <w:rPr>
          <w:rFonts w:asciiTheme="minorHAnsi" w:hAnsiTheme="minorHAnsi" w:cstheme="minorHAnsi"/>
        </w:rPr>
        <w:t xml:space="preserve"> (5X dilution)</w:t>
      </w:r>
      <w:r w:rsidRPr="00FD4C34">
        <w:rPr>
          <w:rFonts w:asciiTheme="minorHAnsi" w:hAnsiTheme="minorHAnsi" w:cstheme="minorHAnsi"/>
        </w:rPr>
        <w:t xml:space="preserve">.  Cover </w:t>
      </w:r>
      <w:r w:rsidRPr="00FD4C34">
        <w:rPr>
          <w:rFonts w:asciiTheme="minorHAnsi" w:hAnsiTheme="minorHAnsi" w:cstheme="minorHAnsi"/>
        </w:rPr>
        <w:lastRenderedPageBreak/>
        <w:t xml:space="preserve">and invert the flask several times to mix.  Calculate concentration of phycocyanin (should be about 175 µg/L). Pour all .5 L of this solution into a 500 mL +/- glass </w:t>
      </w:r>
      <w:r w:rsidR="008245EC" w:rsidRPr="00FD4C34">
        <w:rPr>
          <w:rFonts w:asciiTheme="minorHAnsi" w:hAnsiTheme="minorHAnsi" w:cstheme="minorHAnsi"/>
        </w:rPr>
        <w:t xml:space="preserve">glass </w:t>
      </w:r>
      <w:r w:rsidRPr="00FD4C34">
        <w:rPr>
          <w:rFonts w:asciiTheme="minorHAnsi" w:hAnsiTheme="minorHAnsi" w:cstheme="minorHAnsi"/>
        </w:rPr>
        <w:t>jar.   Analyze and record.</w:t>
      </w:r>
    </w:p>
    <w:p w:rsidR="0016798E" w:rsidRDefault="000E0CF9" w:rsidP="003A7BFA">
      <w:pPr>
        <w:pStyle w:val="ListParagraph"/>
        <w:numPr>
          <w:ilvl w:val="0"/>
          <w:numId w:val="11"/>
        </w:numPr>
        <w:rPr>
          <w:rFonts w:asciiTheme="minorHAnsi" w:hAnsiTheme="minorHAnsi" w:cstheme="minorHAnsi"/>
        </w:rPr>
      </w:pPr>
      <w:r w:rsidRPr="0016798E">
        <w:rPr>
          <w:rFonts w:asciiTheme="minorHAnsi" w:hAnsiTheme="minorHAnsi" w:cstheme="minorHAnsi"/>
        </w:rPr>
        <w:t>All DataBank readings for check solutions should compare within +/- 10% of the calculated solution concentration.</w:t>
      </w:r>
    </w:p>
    <w:p w:rsidR="00A4106F" w:rsidRDefault="00EB7C7A" w:rsidP="008040C9">
      <w:pPr>
        <w:pStyle w:val="ListParagraph"/>
        <w:numPr>
          <w:ilvl w:val="0"/>
          <w:numId w:val="11"/>
        </w:numPr>
        <w:rPr>
          <w:rFonts w:asciiTheme="minorHAnsi" w:hAnsiTheme="minorHAnsi" w:cstheme="minorHAnsi"/>
        </w:rPr>
      </w:pPr>
      <w:r w:rsidRPr="00A4106F">
        <w:rPr>
          <w:rFonts w:asciiTheme="minorHAnsi" w:hAnsiTheme="minorHAnsi" w:cstheme="minorHAnsi"/>
        </w:rPr>
        <w:t>At this point the secondary solid standard can be calibrated.</w:t>
      </w:r>
    </w:p>
    <w:p w:rsidR="00EB7C7A" w:rsidRPr="00A4106F" w:rsidRDefault="006C6D18" w:rsidP="00A4106F">
      <w:pPr>
        <w:ind w:left="360"/>
        <w:rPr>
          <w:rFonts w:asciiTheme="minorHAnsi" w:hAnsiTheme="minorHAnsi" w:cstheme="minorHAnsi"/>
        </w:rPr>
      </w:pPr>
      <w:r w:rsidRPr="00A4106F">
        <w:rPr>
          <w:rFonts w:asciiTheme="minorHAnsi" w:hAnsiTheme="minorHAnsi" w:cstheme="minorHAnsi"/>
        </w:rPr>
        <w:t>S</w:t>
      </w:r>
      <w:r w:rsidR="00EB7C7A" w:rsidRPr="00A4106F">
        <w:rPr>
          <w:rFonts w:asciiTheme="minorHAnsi" w:hAnsiTheme="minorHAnsi" w:cstheme="minorHAnsi"/>
        </w:rPr>
        <w:t>econda</w:t>
      </w:r>
      <w:r w:rsidRPr="00A4106F">
        <w:rPr>
          <w:rFonts w:asciiTheme="minorHAnsi" w:hAnsiTheme="minorHAnsi" w:cstheme="minorHAnsi"/>
        </w:rPr>
        <w:t>ry Solid S</w:t>
      </w:r>
      <w:r w:rsidR="00EB7C7A" w:rsidRPr="00A4106F">
        <w:rPr>
          <w:rFonts w:asciiTheme="minorHAnsi" w:hAnsiTheme="minorHAnsi" w:cstheme="minorHAnsi"/>
        </w:rPr>
        <w:t xml:space="preserve">tandard </w:t>
      </w:r>
    </w:p>
    <w:p w:rsidR="00D65CF7" w:rsidRDefault="005236A3">
      <w:pPr>
        <w:pStyle w:val="ListParagraph"/>
        <w:numPr>
          <w:ilvl w:val="0"/>
          <w:numId w:val="2"/>
        </w:numPr>
        <w:rPr>
          <w:rFonts w:asciiTheme="minorHAnsi" w:hAnsiTheme="minorHAnsi" w:cstheme="minorHAnsi"/>
        </w:rPr>
      </w:pPr>
      <w:r>
        <w:rPr>
          <w:rFonts w:asciiTheme="minorHAnsi" w:hAnsiTheme="minorHAnsi" w:cstheme="minorHAnsi"/>
        </w:rPr>
        <w:t xml:space="preserve"> The optical surface of the Cyclops-7 must be clean and dry before the solid standard is attached.  </w:t>
      </w:r>
    </w:p>
    <w:p w:rsidR="00D65CF7" w:rsidRDefault="005236A3">
      <w:pPr>
        <w:pStyle w:val="ListParagraph"/>
        <w:numPr>
          <w:ilvl w:val="0"/>
          <w:numId w:val="2"/>
        </w:numPr>
        <w:rPr>
          <w:rFonts w:asciiTheme="minorHAnsi" w:hAnsiTheme="minorHAnsi" w:cstheme="minorHAnsi"/>
        </w:rPr>
      </w:pPr>
      <w:r>
        <w:rPr>
          <w:rFonts w:asciiTheme="minorHAnsi" w:hAnsiTheme="minorHAnsi" w:cstheme="minorHAnsi"/>
        </w:rPr>
        <w:t>To install press the solid standard on to the optical end of the Cyclops-7 and then rotate it until you can feel the solid standard ‘indexing ball’ click into the ‘indexing mark’ on the Cyclops.</w:t>
      </w:r>
    </w:p>
    <w:p w:rsidR="00D65CF7" w:rsidRDefault="002F1F71">
      <w:pPr>
        <w:pStyle w:val="ListParagraph"/>
        <w:numPr>
          <w:ilvl w:val="0"/>
          <w:numId w:val="2"/>
        </w:numPr>
        <w:rPr>
          <w:rFonts w:asciiTheme="minorHAnsi" w:hAnsiTheme="minorHAnsi" w:cstheme="minorHAnsi"/>
        </w:rPr>
      </w:pPr>
      <w:r>
        <w:rPr>
          <w:rFonts w:asciiTheme="minorHAnsi" w:hAnsiTheme="minorHAnsi" w:cstheme="minorHAnsi"/>
        </w:rPr>
        <w:t>To start, a flat-head screwdriver is used to unscrew the locking nut as far as it will go</w:t>
      </w:r>
    </w:p>
    <w:p w:rsidR="00D65CF7" w:rsidRDefault="002F1F71">
      <w:pPr>
        <w:pStyle w:val="ListParagraph"/>
        <w:numPr>
          <w:ilvl w:val="0"/>
          <w:numId w:val="2"/>
        </w:numPr>
        <w:rPr>
          <w:rFonts w:asciiTheme="minorHAnsi" w:hAnsiTheme="minorHAnsi" w:cstheme="minorHAnsi"/>
        </w:rPr>
      </w:pPr>
      <w:r>
        <w:rPr>
          <w:rFonts w:asciiTheme="minorHAnsi" w:hAnsiTheme="minorHAnsi" w:cstheme="minorHAnsi"/>
        </w:rPr>
        <w:t>The included green screwd</w:t>
      </w:r>
      <w:r w:rsidR="008245EC">
        <w:rPr>
          <w:rFonts w:asciiTheme="minorHAnsi" w:hAnsiTheme="minorHAnsi" w:cstheme="minorHAnsi"/>
        </w:rPr>
        <w:t>r</w:t>
      </w:r>
      <w:r>
        <w:rPr>
          <w:rFonts w:asciiTheme="minorHAnsi" w:hAnsiTheme="minorHAnsi" w:cstheme="minorHAnsi"/>
        </w:rPr>
        <w:t>iver is used to change the signal level by inserting the screwdriver blade through the hole in the locking n</w:t>
      </w:r>
      <w:r w:rsidR="00D02A6F">
        <w:rPr>
          <w:rFonts w:asciiTheme="minorHAnsi" w:hAnsiTheme="minorHAnsi" w:cstheme="minorHAnsi"/>
        </w:rPr>
        <w:t>u</w:t>
      </w:r>
      <w:r>
        <w:rPr>
          <w:rFonts w:asciiTheme="minorHAnsi" w:hAnsiTheme="minorHAnsi" w:cstheme="minorHAnsi"/>
        </w:rPr>
        <w:t>t (found in the</w:t>
      </w:r>
      <w:r w:rsidR="00D02A6F">
        <w:rPr>
          <w:rFonts w:asciiTheme="minorHAnsi" w:hAnsiTheme="minorHAnsi" w:cstheme="minorHAnsi"/>
        </w:rPr>
        <w:t xml:space="preserve"> center of the solid standard).</w:t>
      </w:r>
    </w:p>
    <w:p w:rsidR="00E003D1" w:rsidRPr="00E003D1" w:rsidRDefault="00D02A6F" w:rsidP="00E003D1">
      <w:pPr>
        <w:pStyle w:val="ListParagraph"/>
        <w:numPr>
          <w:ilvl w:val="0"/>
          <w:numId w:val="2"/>
        </w:numPr>
        <w:rPr>
          <w:rFonts w:asciiTheme="minorHAnsi" w:hAnsiTheme="minorHAnsi" w:cstheme="minorHAnsi"/>
        </w:rPr>
      </w:pPr>
      <w:r w:rsidRPr="00E003D1">
        <w:rPr>
          <w:rFonts w:asciiTheme="minorHAnsi" w:hAnsiTheme="minorHAnsi" w:cstheme="minorHAnsi"/>
        </w:rPr>
        <w:t>The adjustment screw is located beneath the locking nut.  It is turned to obtain a signal level similar to the phycocyanin standard</w:t>
      </w:r>
      <w:r w:rsidR="00695989" w:rsidRPr="00E003D1">
        <w:rPr>
          <w:rFonts w:asciiTheme="minorHAnsi" w:hAnsiTheme="minorHAnsi" w:cstheme="minorHAnsi"/>
        </w:rPr>
        <w:t xml:space="preserve"> (clockwise produces a lower signal). </w:t>
      </w:r>
      <w:r w:rsidR="002F1F71" w:rsidRPr="00E003D1">
        <w:rPr>
          <w:rFonts w:asciiTheme="minorHAnsi" w:hAnsiTheme="minorHAnsi" w:cstheme="minorHAnsi"/>
        </w:rPr>
        <w:t xml:space="preserve"> </w:t>
      </w:r>
    </w:p>
    <w:p w:rsidR="00E003D1" w:rsidRPr="00E003D1" w:rsidRDefault="00E003D1" w:rsidP="00E003D1">
      <w:pPr>
        <w:pStyle w:val="ListParagraph"/>
        <w:rPr>
          <w:rFonts w:asciiTheme="minorHAnsi" w:hAnsiTheme="minorHAnsi" w:cstheme="minorHAnsi"/>
        </w:rPr>
      </w:pPr>
      <w:r>
        <w:rPr>
          <w:rFonts w:asciiTheme="minorHAnsi" w:hAnsiTheme="minorHAnsi" w:cstheme="minorHAnsi"/>
        </w:rPr>
        <w:tab/>
      </w:r>
      <w:r>
        <w:rPr>
          <w:rFonts w:asciiTheme="minorHAnsi" w:hAnsiTheme="minorHAnsi" w:cstheme="minorHAnsi"/>
        </w:rPr>
        <w:tab/>
      </w:r>
      <w:r>
        <w:rPr>
          <w:rFonts w:asciiTheme="minorHAnsi" w:hAnsiTheme="minorHAnsi" w:cstheme="minorHAnsi"/>
        </w:rPr>
        <w:br/>
      </w:r>
      <w:r w:rsidRPr="00E003D1">
        <w:rPr>
          <w:rFonts w:asciiTheme="minorHAnsi" w:hAnsiTheme="minorHAnsi" w:cstheme="minorHAnsi"/>
        </w:rPr>
        <w:t>8.0</w:t>
      </w:r>
      <w:r w:rsidRPr="00E003D1">
        <w:rPr>
          <w:rFonts w:asciiTheme="minorHAnsi" w:hAnsiTheme="minorHAnsi" w:cstheme="minorHAnsi"/>
        </w:rPr>
        <w:tab/>
        <w:t>PROCEDURE</w:t>
      </w:r>
    </w:p>
    <w:p w:rsidR="00E003D1" w:rsidRDefault="00E003D1" w:rsidP="00E003D1">
      <w:pPr>
        <w:pStyle w:val="ListParagraph"/>
        <w:rPr>
          <w:rFonts w:asciiTheme="minorHAnsi" w:hAnsiTheme="minorHAnsi" w:cstheme="minorHAnsi"/>
        </w:rPr>
      </w:pPr>
    </w:p>
    <w:p w:rsidR="00B60FF8" w:rsidRPr="003C38E4" w:rsidRDefault="00D61C62" w:rsidP="00B60FF8">
      <w:pPr>
        <w:rPr>
          <w:rFonts w:asciiTheme="minorHAnsi" w:hAnsiTheme="minorHAnsi" w:cstheme="minorHAnsi"/>
          <w:b/>
        </w:rPr>
      </w:pPr>
      <w:r>
        <w:rPr>
          <w:rFonts w:asciiTheme="minorHAnsi" w:hAnsiTheme="minorHAnsi" w:cstheme="minorHAnsi"/>
          <w:b/>
        </w:rPr>
        <w:t>Office Preparations</w:t>
      </w:r>
    </w:p>
    <w:p w:rsidR="00B60FF8" w:rsidRPr="003A7BFA" w:rsidRDefault="00B60FF8" w:rsidP="003A7BFA">
      <w:pPr>
        <w:pStyle w:val="ListParagraph"/>
        <w:numPr>
          <w:ilvl w:val="0"/>
          <w:numId w:val="14"/>
        </w:numPr>
        <w:rPr>
          <w:rFonts w:asciiTheme="minorHAnsi" w:hAnsiTheme="minorHAnsi" w:cstheme="minorHAnsi"/>
          <w:b/>
        </w:rPr>
      </w:pPr>
      <w:r w:rsidRPr="003A7BFA">
        <w:rPr>
          <w:rFonts w:asciiTheme="minorHAnsi" w:hAnsiTheme="minorHAnsi" w:cstheme="minorHAnsi"/>
          <w:b/>
        </w:rPr>
        <w:t>Check or Charge battery</w:t>
      </w:r>
    </w:p>
    <w:p w:rsidR="00B60FF8" w:rsidRPr="003A7BFA" w:rsidRDefault="00B60FF8" w:rsidP="003A7BFA">
      <w:pPr>
        <w:pStyle w:val="ListParagraph"/>
        <w:numPr>
          <w:ilvl w:val="0"/>
          <w:numId w:val="14"/>
        </w:numPr>
        <w:rPr>
          <w:rFonts w:asciiTheme="minorHAnsi" w:hAnsiTheme="minorHAnsi" w:cstheme="minorHAnsi"/>
        </w:rPr>
      </w:pPr>
      <w:r w:rsidRPr="003A7BFA">
        <w:rPr>
          <w:rFonts w:asciiTheme="minorHAnsi" w:hAnsiTheme="minorHAnsi" w:cstheme="minorHAnsi"/>
        </w:rPr>
        <w:t>Turn on DataBank by pressing power toggle</w:t>
      </w:r>
      <w:r w:rsidR="00E003D1">
        <w:rPr>
          <w:rFonts w:asciiTheme="minorHAnsi" w:hAnsiTheme="minorHAnsi" w:cstheme="minorHAnsi"/>
        </w:rPr>
        <w:t>.</w:t>
      </w:r>
    </w:p>
    <w:p w:rsidR="00243E21" w:rsidRDefault="00C61E94" w:rsidP="003A7BFA">
      <w:pPr>
        <w:pStyle w:val="ListParagraph"/>
        <w:numPr>
          <w:ilvl w:val="0"/>
          <w:numId w:val="14"/>
        </w:numPr>
        <w:rPr>
          <w:rFonts w:asciiTheme="minorHAnsi" w:hAnsiTheme="minorHAnsi" w:cstheme="minorHAnsi"/>
        </w:rPr>
      </w:pPr>
      <w:r w:rsidRPr="00243E21">
        <w:rPr>
          <w:rFonts w:asciiTheme="minorHAnsi" w:hAnsiTheme="minorHAnsi" w:cstheme="minorHAnsi"/>
        </w:rPr>
        <w:t>A</w:t>
      </w:r>
      <w:r w:rsidR="00B60FF8" w:rsidRPr="00243E21">
        <w:rPr>
          <w:rFonts w:asciiTheme="minorHAnsi" w:hAnsiTheme="minorHAnsi" w:cstheme="minorHAnsi"/>
        </w:rPr>
        <w:t xml:space="preserve">ttach the cable </w:t>
      </w:r>
      <w:r w:rsidR="00E003D1" w:rsidRPr="00243E21">
        <w:rPr>
          <w:rFonts w:asciiTheme="minorHAnsi" w:hAnsiTheme="minorHAnsi" w:cstheme="minorHAnsi"/>
        </w:rPr>
        <w:t xml:space="preserve">to the top of the </w:t>
      </w:r>
      <w:proofErr w:type="spellStart"/>
      <w:r w:rsidR="00E003D1" w:rsidRPr="00243E21">
        <w:rPr>
          <w:rFonts w:asciiTheme="minorHAnsi" w:hAnsiTheme="minorHAnsi" w:cstheme="minorHAnsi"/>
        </w:rPr>
        <w:t>DataBank</w:t>
      </w:r>
      <w:proofErr w:type="spellEnd"/>
      <w:r w:rsidR="00E003D1" w:rsidRPr="00243E21">
        <w:rPr>
          <w:rFonts w:asciiTheme="minorHAnsi" w:hAnsiTheme="minorHAnsi" w:cstheme="minorHAnsi"/>
        </w:rPr>
        <w:t xml:space="preserve"> </w:t>
      </w:r>
      <w:proofErr w:type="spellStart"/>
      <w:r w:rsidR="00E003D1" w:rsidRPr="00243E21">
        <w:rPr>
          <w:rFonts w:asciiTheme="minorHAnsi" w:hAnsiTheme="minorHAnsi" w:cstheme="minorHAnsi"/>
        </w:rPr>
        <w:t>Datalogger</w:t>
      </w:r>
      <w:proofErr w:type="spellEnd"/>
      <w:r w:rsidR="00243E21" w:rsidRPr="00243E21">
        <w:rPr>
          <w:rFonts w:asciiTheme="minorHAnsi" w:hAnsiTheme="minorHAnsi" w:cstheme="minorHAnsi"/>
        </w:rPr>
        <w:t xml:space="preserve">.  Align the notch on the plug to the one on the top of the </w:t>
      </w:r>
      <w:proofErr w:type="spellStart"/>
      <w:r w:rsidR="00243E21" w:rsidRPr="00243E21">
        <w:rPr>
          <w:rFonts w:asciiTheme="minorHAnsi" w:hAnsiTheme="minorHAnsi" w:cstheme="minorHAnsi"/>
        </w:rPr>
        <w:t>DataBank</w:t>
      </w:r>
      <w:proofErr w:type="spellEnd"/>
      <w:r w:rsidR="00243E21" w:rsidRPr="00243E21">
        <w:rPr>
          <w:rFonts w:asciiTheme="minorHAnsi" w:hAnsiTheme="minorHAnsi" w:cstheme="minorHAnsi"/>
        </w:rPr>
        <w:t xml:space="preserve">.  The rest of the cable has </w:t>
      </w:r>
      <w:r w:rsidR="00D00F84" w:rsidRPr="00243E21">
        <w:rPr>
          <w:rFonts w:asciiTheme="minorHAnsi" w:hAnsiTheme="minorHAnsi" w:cstheme="minorHAnsi"/>
        </w:rPr>
        <w:t xml:space="preserve">two ends, one has a round </w:t>
      </w:r>
      <w:proofErr w:type="gramStart"/>
      <w:r w:rsidR="00D00F84" w:rsidRPr="00243E21">
        <w:rPr>
          <w:rFonts w:asciiTheme="minorHAnsi" w:hAnsiTheme="minorHAnsi" w:cstheme="minorHAnsi"/>
        </w:rPr>
        <w:t>hole</w:t>
      </w:r>
      <w:proofErr w:type="gramEnd"/>
      <w:r w:rsidR="00D00F84" w:rsidRPr="00243E21">
        <w:rPr>
          <w:rFonts w:asciiTheme="minorHAnsi" w:hAnsiTheme="minorHAnsi" w:cstheme="minorHAnsi"/>
        </w:rPr>
        <w:t xml:space="preserve"> plug </w:t>
      </w:r>
      <w:r w:rsidRPr="00243E21">
        <w:rPr>
          <w:rFonts w:asciiTheme="minorHAnsi" w:hAnsiTheme="minorHAnsi" w:cstheme="minorHAnsi"/>
        </w:rPr>
        <w:t xml:space="preserve">for attaching to the </w:t>
      </w:r>
      <w:r w:rsidR="00243E21" w:rsidRPr="00243E21">
        <w:rPr>
          <w:rFonts w:asciiTheme="minorHAnsi" w:hAnsiTheme="minorHAnsi" w:cstheme="minorHAnsi"/>
        </w:rPr>
        <w:t xml:space="preserve">external power source and the other is a USB end.  To charge the battery attach the external power source and turn on the </w:t>
      </w:r>
      <w:proofErr w:type="spellStart"/>
      <w:proofErr w:type="gramStart"/>
      <w:r w:rsidRPr="00243E21">
        <w:rPr>
          <w:rFonts w:asciiTheme="minorHAnsi" w:hAnsiTheme="minorHAnsi" w:cstheme="minorHAnsi"/>
        </w:rPr>
        <w:t>DataBank</w:t>
      </w:r>
      <w:proofErr w:type="spellEnd"/>
      <w:r w:rsidRPr="00243E21">
        <w:rPr>
          <w:rFonts w:asciiTheme="minorHAnsi" w:hAnsiTheme="minorHAnsi" w:cstheme="minorHAnsi"/>
        </w:rPr>
        <w:t xml:space="preserve"> </w:t>
      </w:r>
      <w:r w:rsidR="00243E21" w:rsidRPr="00243E21">
        <w:rPr>
          <w:rFonts w:asciiTheme="minorHAnsi" w:hAnsiTheme="minorHAnsi" w:cstheme="minorHAnsi"/>
        </w:rPr>
        <w:t>.</w:t>
      </w:r>
      <w:proofErr w:type="gramEnd"/>
      <w:r w:rsidR="00243E21" w:rsidRPr="00243E21">
        <w:rPr>
          <w:rFonts w:asciiTheme="minorHAnsi" w:hAnsiTheme="minorHAnsi" w:cstheme="minorHAnsi"/>
        </w:rPr>
        <w:t xml:space="preserve">  </w:t>
      </w:r>
      <w:r w:rsidR="00B60FF8" w:rsidRPr="00243E21">
        <w:rPr>
          <w:rFonts w:asciiTheme="minorHAnsi" w:hAnsiTheme="minorHAnsi" w:cstheme="minorHAnsi"/>
        </w:rPr>
        <w:t xml:space="preserve">The battery when charged should flash done and </w:t>
      </w:r>
      <w:proofErr w:type="gramStart"/>
      <w:r w:rsidR="00B60FF8" w:rsidRPr="00243E21">
        <w:rPr>
          <w:rFonts w:asciiTheme="minorHAnsi" w:hAnsiTheme="minorHAnsi" w:cstheme="minorHAnsi"/>
          <w:b/>
        </w:rPr>
        <w:t>pv</w:t>
      </w:r>
      <w:proofErr w:type="gramEnd"/>
      <w:r w:rsidR="00B60FF8" w:rsidRPr="00243E21">
        <w:rPr>
          <w:rFonts w:asciiTheme="minorHAnsi" w:hAnsiTheme="minorHAnsi" w:cstheme="minorHAnsi"/>
          <w:b/>
        </w:rPr>
        <w:t>.</w:t>
      </w:r>
      <w:r w:rsidR="00E27BE6" w:rsidRPr="00243E21">
        <w:rPr>
          <w:rFonts w:asciiTheme="minorHAnsi" w:hAnsiTheme="minorHAnsi" w:cstheme="minorHAnsi"/>
        </w:rPr>
        <w:t xml:space="preserve">  </w:t>
      </w:r>
      <w:r w:rsidR="00243E21" w:rsidRPr="00243E21">
        <w:rPr>
          <w:rFonts w:asciiTheme="minorHAnsi" w:hAnsiTheme="minorHAnsi" w:cstheme="minorHAnsi"/>
        </w:rPr>
        <w:t xml:space="preserve">If it starts to flash </w:t>
      </w:r>
      <w:proofErr w:type="spellStart"/>
      <w:proofErr w:type="gramStart"/>
      <w:r w:rsidR="00243E21" w:rsidRPr="00243E21">
        <w:rPr>
          <w:rFonts w:asciiTheme="minorHAnsi" w:hAnsiTheme="minorHAnsi" w:cstheme="minorHAnsi"/>
          <w:b/>
        </w:rPr>
        <w:t>ot</w:t>
      </w:r>
      <w:proofErr w:type="spellEnd"/>
      <w:proofErr w:type="gramEnd"/>
      <w:r w:rsidR="00243E21" w:rsidRPr="00243E21">
        <w:rPr>
          <w:rFonts w:asciiTheme="minorHAnsi" w:hAnsiTheme="minorHAnsi" w:cstheme="minorHAnsi"/>
        </w:rPr>
        <w:t xml:space="preserve"> (over temperature) you need to unplug it let it cool down and then plug in again.  </w:t>
      </w:r>
      <w:r w:rsidR="00C04C6D" w:rsidRPr="00243E21">
        <w:rPr>
          <w:rFonts w:asciiTheme="minorHAnsi" w:hAnsiTheme="minorHAnsi" w:cstheme="minorHAnsi"/>
        </w:rPr>
        <w:t>The battery should be</w:t>
      </w:r>
      <w:r w:rsidR="00243E21">
        <w:rPr>
          <w:rFonts w:asciiTheme="minorHAnsi" w:hAnsiTheme="minorHAnsi" w:cstheme="minorHAnsi"/>
        </w:rPr>
        <w:t xml:space="preserve"> charged before each sample run.</w:t>
      </w:r>
    </w:p>
    <w:p w:rsidR="00B60FF8" w:rsidRPr="00243E21" w:rsidRDefault="00B60FF8" w:rsidP="003A7BFA">
      <w:pPr>
        <w:pStyle w:val="ListParagraph"/>
        <w:numPr>
          <w:ilvl w:val="0"/>
          <w:numId w:val="14"/>
        </w:numPr>
        <w:rPr>
          <w:rFonts w:asciiTheme="minorHAnsi" w:hAnsiTheme="minorHAnsi" w:cstheme="minorHAnsi"/>
        </w:rPr>
      </w:pPr>
      <w:r w:rsidRPr="00243E21">
        <w:rPr>
          <w:rFonts w:asciiTheme="minorHAnsi" w:hAnsiTheme="minorHAnsi" w:cstheme="minorHAnsi"/>
        </w:rPr>
        <w:t>If you’re taking readings and it say</w:t>
      </w:r>
      <w:r w:rsidR="00196A36" w:rsidRPr="00243E21">
        <w:rPr>
          <w:rFonts w:asciiTheme="minorHAnsi" w:hAnsiTheme="minorHAnsi" w:cstheme="minorHAnsi"/>
        </w:rPr>
        <w:t xml:space="preserve">s </w:t>
      </w:r>
      <w:proofErr w:type="gramStart"/>
      <w:r w:rsidR="00196A36" w:rsidRPr="00243E21">
        <w:rPr>
          <w:rFonts w:asciiTheme="minorHAnsi" w:hAnsiTheme="minorHAnsi" w:cstheme="minorHAnsi"/>
        </w:rPr>
        <w:t>‘</w:t>
      </w:r>
      <w:r w:rsidRPr="00243E21">
        <w:rPr>
          <w:rFonts w:asciiTheme="minorHAnsi" w:hAnsiTheme="minorHAnsi" w:cstheme="minorHAnsi"/>
        </w:rPr>
        <w:t xml:space="preserve"> low</w:t>
      </w:r>
      <w:r w:rsidR="00196A36" w:rsidRPr="00243E21">
        <w:rPr>
          <w:rFonts w:asciiTheme="minorHAnsi" w:hAnsiTheme="minorHAnsi" w:cstheme="minorHAnsi"/>
        </w:rPr>
        <w:t>’</w:t>
      </w:r>
      <w:proofErr w:type="gramEnd"/>
      <w:r w:rsidRPr="00243E21">
        <w:rPr>
          <w:rFonts w:asciiTheme="minorHAnsi" w:hAnsiTheme="minorHAnsi" w:cstheme="minorHAnsi"/>
        </w:rPr>
        <w:t xml:space="preserve"> </w:t>
      </w:r>
      <w:r w:rsidR="0023181C" w:rsidRPr="00243E21">
        <w:rPr>
          <w:rFonts w:asciiTheme="minorHAnsi" w:hAnsiTheme="minorHAnsi" w:cstheme="minorHAnsi"/>
        </w:rPr>
        <w:t xml:space="preserve">in the upper right hand corner it </w:t>
      </w:r>
      <w:r w:rsidRPr="00243E21">
        <w:rPr>
          <w:rFonts w:asciiTheme="minorHAnsi" w:hAnsiTheme="minorHAnsi" w:cstheme="minorHAnsi"/>
        </w:rPr>
        <w:t xml:space="preserve">means that the low level of fluorescence </w:t>
      </w:r>
      <w:r w:rsidR="00C04C6D" w:rsidRPr="00243E21">
        <w:rPr>
          <w:rFonts w:asciiTheme="minorHAnsi" w:hAnsiTheme="minorHAnsi" w:cstheme="minorHAnsi"/>
        </w:rPr>
        <w:t xml:space="preserve"> gain i</w:t>
      </w:r>
      <w:r w:rsidRPr="00243E21">
        <w:rPr>
          <w:rFonts w:asciiTheme="minorHAnsi" w:hAnsiTheme="minorHAnsi" w:cstheme="minorHAnsi"/>
        </w:rPr>
        <w:t>s being used.  It is not an indicator for the battery charger.</w:t>
      </w:r>
    </w:p>
    <w:p w:rsidR="003A7BFA" w:rsidRDefault="00B60FF8" w:rsidP="00B60FF8">
      <w:pPr>
        <w:rPr>
          <w:rFonts w:asciiTheme="minorHAnsi" w:hAnsiTheme="minorHAnsi" w:cstheme="minorHAnsi"/>
          <w:b/>
        </w:rPr>
      </w:pPr>
      <w:r w:rsidRPr="00ED7D28">
        <w:rPr>
          <w:rFonts w:asciiTheme="minorHAnsi" w:hAnsiTheme="minorHAnsi" w:cstheme="minorHAnsi"/>
          <w:b/>
        </w:rPr>
        <w:t>Setup and Operation DataBank</w:t>
      </w:r>
    </w:p>
    <w:p w:rsidR="00B60FF8" w:rsidRPr="003A7BFA" w:rsidRDefault="00B60FF8" w:rsidP="003A7BFA">
      <w:pPr>
        <w:pStyle w:val="ListParagraph"/>
        <w:numPr>
          <w:ilvl w:val="0"/>
          <w:numId w:val="15"/>
        </w:numPr>
        <w:rPr>
          <w:rFonts w:asciiTheme="minorHAnsi" w:hAnsiTheme="minorHAnsi" w:cstheme="minorHAnsi"/>
        </w:rPr>
      </w:pPr>
      <w:r w:rsidRPr="003A7BFA">
        <w:rPr>
          <w:rFonts w:asciiTheme="minorHAnsi" w:hAnsiTheme="minorHAnsi" w:cstheme="minorHAnsi"/>
        </w:rPr>
        <w:t xml:space="preserve">After charging the battery, remove the power cable and return the cap.  </w:t>
      </w:r>
    </w:p>
    <w:p w:rsidR="00B60FF8" w:rsidRPr="003A7BFA" w:rsidRDefault="00B60FF8" w:rsidP="003A7BFA">
      <w:pPr>
        <w:pStyle w:val="ListParagraph"/>
        <w:numPr>
          <w:ilvl w:val="0"/>
          <w:numId w:val="15"/>
        </w:numPr>
        <w:rPr>
          <w:rFonts w:asciiTheme="minorHAnsi" w:hAnsiTheme="minorHAnsi" w:cstheme="minorHAnsi"/>
        </w:rPr>
      </w:pPr>
      <w:r w:rsidRPr="003A7BFA">
        <w:rPr>
          <w:rFonts w:asciiTheme="minorHAnsi" w:hAnsiTheme="minorHAnsi" w:cstheme="minorHAnsi"/>
        </w:rPr>
        <w:t>Familiarize yourself with the DataBank</w:t>
      </w:r>
      <w:r w:rsidR="00DD4237" w:rsidRPr="003A7BFA">
        <w:rPr>
          <w:rFonts w:asciiTheme="minorHAnsi" w:hAnsiTheme="minorHAnsi" w:cstheme="minorHAnsi"/>
        </w:rPr>
        <w:t xml:space="preserve"> (figure 1)</w:t>
      </w:r>
      <w:r w:rsidRPr="003A7BFA">
        <w:rPr>
          <w:rFonts w:asciiTheme="minorHAnsi" w:hAnsiTheme="minorHAnsi" w:cstheme="minorHAnsi"/>
        </w:rPr>
        <w:t xml:space="preserve"> functions before you go into the field.  There are 4 toggles switches</w:t>
      </w:r>
      <w:r w:rsidR="00C731EC" w:rsidRPr="003A7BFA">
        <w:rPr>
          <w:rFonts w:asciiTheme="minorHAnsi" w:hAnsiTheme="minorHAnsi" w:cstheme="minorHAnsi"/>
        </w:rPr>
        <w:t>,</w:t>
      </w:r>
      <w:r w:rsidRPr="003A7BFA">
        <w:rPr>
          <w:rFonts w:asciiTheme="minorHAnsi" w:hAnsiTheme="minorHAnsi" w:cstheme="minorHAnsi"/>
        </w:rPr>
        <w:t xml:space="preserve">  each with two functions</w:t>
      </w:r>
      <w:r w:rsidR="0057601B" w:rsidRPr="003A7BFA">
        <w:rPr>
          <w:rFonts w:asciiTheme="minorHAnsi" w:hAnsiTheme="minorHAnsi" w:cstheme="minorHAnsi"/>
        </w:rPr>
        <w:t xml:space="preserve">.  </w:t>
      </w:r>
      <w:r w:rsidR="0057601B" w:rsidRPr="003A7BFA">
        <w:rPr>
          <w:rFonts w:asciiTheme="minorHAnsi" w:hAnsiTheme="minorHAnsi" w:cstheme="minorHAnsi"/>
          <w:b/>
        </w:rPr>
        <w:t>P</w:t>
      </w:r>
      <w:r w:rsidRPr="003A7BFA">
        <w:rPr>
          <w:rFonts w:asciiTheme="minorHAnsi" w:hAnsiTheme="minorHAnsi" w:cstheme="minorHAnsi"/>
          <w:b/>
        </w:rPr>
        <w:t>ress down</w:t>
      </w:r>
      <w:r w:rsidRPr="003A7BFA">
        <w:rPr>
          <w:rFonts w:asciiTheme="minorHAnsi" w:hAnsiTheme="minorHAnsi" w:cstheme="minorHAnsi"/>
        </w:rPr>
        <w:t xml:space="preserve"> for the functions listed across the top-power, store, recall, select and </w:t>
      </w:r>
      <w:r w:rsidRPr="003A7BFA">
        <w:rPr>
          <w:rFonts w:asciiTheme="minorHAnsi" w:hAnsiTheme="minorHAnsi" w:cstheme="minorHAnsi"/>
          <w:b/>
        </w:rPr>
        <w:t>hold</w:t>
      </w:r>
      <w:r w:rsidRPr="003A7BFA">
        <w:rPr>
          <w:rFonts w:asciiTheme="minorHAnsi" w:hAnsiTheme="minorHAnsi" w:cstheme="minorHAnsi"/>
        </w:rPr>
        <w:t xml:space="preserve"> the toggle down to get the functions listed below-off, log, erase, #01.  When the power is on</w:t>
      </w:r>
      <w:r w:rsidR="00C731EC" w:rsidRPr="003A7BFA">
        <w:rPr>
          <w:rFonts w:asciiTheme="minorHAnsi" w:hAnsiTheme="minorHAnsi" w:cstheme="minorHAnsi"/>
        </w:rPr>
        <w:t xml:space="preserve">, </w:t>
      </w:r>
      <w:r w:rsidRPr="003A7BFA">
        <w:rPr>
          <w:rFonts w:asciiTheme="minorHAnsi" w:hAnsiTheme="minorHAnsi" w:cstheme="minorHAnsi"/>
        </w:rPr>
        <w:t xml:space="preserve"> pressing the power button will turn on and off the backlight too.</w:t>
      </w:r>
    </w:p>
    <w:p w:rsidR="0016798E" w:rsidRDefault="0016798E">
      <w:pPr>
        <w:rPr>
          <w:rFonts w:asciiTheme="minorHAnsi" w:hAnsiTheme="minorHAnsi" w:cstheme="minorHAnsi"/>
        </w:rPr>
      </w:pPr>
      <w:r>
        <w:rPr>
          <w:rFonts w:asciiTheme="minorHAnsi" w:hAnsiTheme="minorHAnsi" w:cstheme="minorHAnsi"/>
        </w:rPr>
        <w:br w:type="page"/>
      </w:r>
    </w:p>
    <w:p w:rsidR="00DD4237" w:rsidRDefault="00DD4237" w:rsidP="00B60FF8">
      <w:pPr>
        <w:rPr>
          <w:rFonts w:asciiTheme="minorHAnsi" w:hAnsiTheme="minorHAnsi" w:cstheme="minorHAnsi"/>
        </w:rPr>
      </w:pPr>
      <w:r>
        <w:rPr>
          <w:rFonts w:asciiTheme="minorHAnsi" w:hAnsiTheme="minorHAnsi" w:cstheme="minorHAnsi"/>
        </w:rPr>
        <w:lastRenderedPageBreak/>
        <w:t>Figure 1 DataBank</w:t>
      </w:r>
    </w:p>
    <w:p w:rsidR="00B60FF8" w:rsidRDefault="00B60FF8" w:rsidP="00B60FF8">
      <w:pPr>
        <w:rPr>
          <w:rFonts w:asciiTheme="minorHAnsi" w:hAnsiTheme="minorHAnsi" w:cstheme="minorHAnsi"/>
        </w:rPr>
      </w:pPr>
      <w:r>
        <w:rPr>
          <w:rFonts w:asciiTheme="minorHAnsi" w:hAnsiTheme="minorHAnsi" w:cstheme="minorHAnsi"/>
          <w:noProof/>
        </w:rPr>
        <w:drawing>
          <wp:inline distT="0" distB="0" distL="0" distR="0">
            <wp:extent cx="2755356" cy="2006047"/>
            <wp:effectExtent l="19050" t="0" r="6894" b="0"/>
            <wp:docPr id="4" name="Picture 1" descr="C:\Users\JBeskenis\AppData\Local\Microsoft\Windows\Temporary Internet Files\Content.Outlook\AHWGJF3X\photo (1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JBeskenis\AppData\Local\Microsoft\Windows\Temporary Internet Files\Content.Outlook\AHWGJF3X\photo (13).JPG"/>
                    <pic:cNvPicPr>
                      <a:picLocks noChangeAspect="1" noChangeArrowheads="1"/>
                    </pic:cNvPicPr>
                  </pic:nvPicPr>
                  <pic:blipFill>
                    <a:blip r:embed="rId8" cstate="print"/>
                    <a:srcRect/>
                    <a:stretch>
                      <a:fillRect/>
                    </a:stretch>
                  </pic:blipFill>
                  <pic:spPr bwMode="auto">
                    <a:xfrm>
                      <a:off x="0" y="0"/>
                      <a:ext cx="2758283" cy="2008178"/>
                    </a:xfrm>
                    <a:prstGeom prst="rect">
                      <a:avLst/>
                    </a:prstGeom>
                    <a:noFill/>
                    <a:ln w="9525">
                      <a:noFill/>
                      <a:miter lim="800000"/>
                      <a:headEnd/>
                      <a:tailEnd/>
                    </a:ln>
                  </pic:spPr>
                </pic:pic>
              </a:graphicData>
            </a:graphic>
          </wp:inline>
        </w:drawing>
      </w:r>
    </w:p>
    <w:p w:rsidR="00B60FF8" w:rsidRDefault="00B60FF8" w:rsidP="00B60FF8">
      <w:pPr>
        <w:rPr>
          <w:rFonts w:asciiTheme="minorHAnsi" w:hAnsiTheme="minorHAnsi" w:cstheme="minorHAnsi"/>
        </w:rPr>
      </w:pPr>
    </w:p>
    <w:p w:rsidR="00B60FF8" w:rsidRDefault="00D228C6" w:rsidP="00B60FF8">
      <w:pPr>
        <w:rPr>
          <w:rFonts w:asciiTheme="minorHAnsi" w:hAnsiTheme="minorHAnsi" w:cstheme="minorHAnsi"/>
        </w:rPr>
      </w:pPr>
      <w:r>
        <w:rPr>
          <w:rFonts w:asciiTheme="minorHAnsi" w:hAnsiTheme="minorHAnsi" w:cstheme="minorHAnsi"/>
        </w:rPr>
        <w:t>Table 1 Description of functions of DataBank buttons</w:t>
      </w:r>
    </w:p>
    <w:tbl>
      <w:tblPr>
        <w:tblStyle w:val="MediumShading2-Accent11"/>
        <w:tblW w:w="0" w:type="auto"/>
        <w:tblLook w:val="04A0"/>
      </w:tblPr>
      <w:tblGrid>
        <w:gridCol w:w="3192"/>
        <w:gridCol w:w="3192"/>
        <w:gridCol w:w="3192"/>
      </w:tblGrid>
      <w:tr w:rsidR="00B60FF8" w:rsidTr="005428EA">
        <w:trPr>
          <w:cnfStyle w:val="100000000000"/>
        </w:trPr>
        <w:tc>
          <w:tcPr>
            <w:cnfStyle w:val="001000000100"/>
            <w:tcW w:w="3192" w:type="dxa"/>
          </w:tcPr>
          <w:p w:rsidR="00B60FF8" w:rsidRDefault="00B60FF8" w:rsidP="005428EA">
            <w:pPr>
              <w:rPr>
                <w:rFonts w:asciiTheme="minorHAnsi" w:hAnsiTheme="minorHAnsi" w:cstheme="minorHAnsi"/>
              </w:rPr>
            </w:pPr>
            <w:r>
              <w:rPr>
                <w:rFonts w:asciiTheme="minorHAnsi" w:hAnsiTheme="minorHAnsi" w:cstheme="minorHAnsi"/>
              </w:rPr>
              <w:t>Button</w:t>
            </w:r>
          </w:p>
        </w:tc>
        <w:tc>
          <w:tcPr>
            <w:tcW w:w="3192" w:type="dxa"/>
          </w:tcPr>
          <w:p w:rsidR="00B60FF8" w:rsidRDefault="00B60FF8" w:rsidP="005428EA">
            <w:pPr>
              <w:cnfStyle w:val="100000000000"/>
              <w:rPr>
                <w:rFonts w:asciiTheme="minorHAnsi" w:hAnsiTheme="minorHAnsi" w:cstheme="minorHAnsi"/>
              </w:rPr>
            </w:pPr>
            <w:r>
              <w:rPr>
                <w:rFonts w:asciiTheme="minorHAnsi" w:hAnsiTheme="minorHAnsi" w:cstheme="minorHAnsi"/>
              </w:rPr>
              <w:t>Press- &lt;1 second</w:t>
            </w:r>
          </w:p>
        </w:tc>
        <w:tc>
          <w:tcPr>
            <w:tcW w:w="3192" w:type="dxa"/>
          </w:tcPr>
          <w:p w:rsidR="00B60FF8" w:rsidRDefault="00B60FF8" w:rsidP="005428EA">
            <w:pPr>
              <w:cnfStyle w:val="100000000000"/>
              <w:rPr>
                <w:rFonts w:asciiTheme="minorHAnsi" w:hAnsiTheme="minorHAnsi" w:cstheme="minorHAnsi"/>
              </w:rPr>
            </w:pPr>
            <w:r>
              <w:rPr>
                <w:rFonts w:asciiTheme="minorHAnsi" w:hAnsiTheme="minorHAnsi" w:cstheme="minorHAnsi"/>
              </w:rPr>
              <w:t>Hold&gt; 1 second</w:t>
            </w:r>
          </w:p>
        </w:tc>
      </w:tr>
      <w:tr w:rsidR="00B60FF8" w:rsidTr="005428EA">
        <w:trPr>
          <w:cnfStyle w:val="000000100000"/>
        </w:trPr>
        <w:tc>
          <w:tcPr>
            <w:cnfStyle w:val="001000000000"/>
            <w:tcW w:w="3192" w:type="dxa"/>
          </w:tcPr>
          <w:p w:rsidR="00B60FF8" w:rsidRDefault="00B60FF8" w:rsidP="005428EA">
            <w:pPr>
              <w:rPr>
                <w:rFonts w:asciiTheme="minorHAnsi" w:hAnsiTheme="minorHAnsi" w:cstheme="minorHAnsi"/>
              </w:rPr>
            </w:pPr>
            <w:r>
              <w:rPr>
                <w:rFonts w:asciiTheme="minorHAnsi" w:hAnsiTheme="minorHAnsi" w:cstheme="minorHAnsi"/>
              </w:rPr>
              <w:t>Power</w:t>
            </w:r>
          </w:p>
        </w:tc>
        <w:tc>
          <w:tcPr>
            <w:tcW w:w="3192" w:type="dxa"/>
          </w:tcPr>
          <w:p w:rsidR="00B60FF8" w:rsidRDefault="00B60FF8" w:rsidP="005428EA">
            <w:pPr>
              <w:cnfStyle w:val="000000100000"/>
              <w:rPr>
                <w:rFonts w:asciiTheme="minorHAnsi" w:hAnsiTheme="minorHAnsi" w:cstheme="minorHAnsi"/>
              </w:rPr>
            </w:pPr>
            <w:r>
              <w:rPr>
                <w:rFonts w:asciiTheme="minorHAnsi" w:hAnsiTheme="minorHAnsi" w:cstheme="minorHAnsi"/>
              </w:rPr>
              <w:t>Turn DataBank on</w:t>
            </w:r>
          </w:p>
          <w:p w:rsidR="00B60FF8" w:rsidRDefault="00B60FF8" w:rsidP="005428EA">
            <w:pPr>
              <w:cnfStyle w:val="000000100000"/>
              <w:rPr>
                <w:rFonts w:asciiTheme="minorHAnsi" w:hAnsiTheme="minorHAnsi" w:cstheme="minorHAnsi"/>
              </w:rPr>
            </w:pPr>
            <w:r>
              <w:rPr>
                <w:rFonts w:asciiTheme="minorHAnsi" w:hAnsiTheme="minorHAnsi" w:cstheme="minorHAnsi"/>
              </w:rPr>
              <w:t>also</w:t>
            </w:r>
          </w:p>
          <w:p w:rsidR="00B60FF8" w:rsidRDefault="00B60FF8" w:rsidP="005428EA">
            <w:pPr>
              <w:cnfStyle w:val="000000100000"/>
              <w:rPr>
                <w:rFonts w:asciiTheme="minorHAnsi" w:hAnsiTheme="minorHAnsi" w:cstheme="minorHAnsi"/>
              </w:rPr>
            </w:pPr>
            <w:r>
              <w:rPr>
                <w:rFonts w:asciiTheme="minorHAnsi" w:hAnsiTheme="minorHAnsi" w:cstheme="minorHAnsi"/>
              </w:rPr>
              <w:t>If unit is in logging mode pressing power will stop logging</w:t>
            </w:r>
          </w:p>
        </w:tc>
        <w:tc>
          <w:tcPr>
            <w:tcW w:w="3192" w:type="dxa"/>
          </w:tcPr>
          <w:p w:rsidR="00B60FF8" w:rsidRDefault="00B60FF8" w:rsidP="005428EA">
            <w:pPr>
              <w:cnfStyle w:val="000000100000"/>
              <w:rPr>
                <w:rFonts w:asciiTheme="minorHAnsi" w:hAnsiTheme="minorHAnsi" w:cstheme="minorHAnsi"/>
              </w:rPr>
            </w:pPr>
            <w:r>
              <w:rPr>
                <w:rFonts w:asciiTheme="minorHAnsi" w:hAnsiTheme="minorHAnsi" w:cstheme="minorHAnsi"/>
              </w:rPr>
              <w:t>Turn DataBank off</w:t>
            </w:r>
          </w:p>
          <w:p w:rsidR="00B60FF8" w:rsidRDefault="00B60FF8" w:rsidP="005428EA">
            <w:pPr>
              <w:cnfStyle w:val="000000100000"/>
              <w:rPr>
                <w:rFonts w:asciiTheme="minorHAnsi" w:hAnsiTheme="minorHAnsi" w:cstheme="minorHAnsi"/>
              </w:rPr>
            </w:pPr>
          </w:p>
        </w:tc>
      </w:tr>
      <w:tr w:rsidR="00B60FF8" w:rsidTr="005428EA">
        <w:tc>
          <w:tcPr>
            <w:cnfStyle w:val="001000000000"/>
            <w:tcW w:w="3192" w:type="dxa"/>
          </w:tcPr>
          <w:p w:rsidR="00B60FF8" w:rsidRDefault="00B60FF8" w:rsidP="005428EA">
            <w:pPr>
              <w:rPr>
                <w:rFonts w:asciiTheme="minorHAnsi" w:hAnsiTheme="minorHAnsi" w:cstheme="minorHAnsi"/>
              </w:rPr>
            </w:pPr>
            <w:r>
              <w:rPr>
                <w:rFonts w:asciiTheme="minorHAnsi" w:hAnsiTheme="minorHAnsi" w:cstheme="minorHAnsi"/>
              </w:rPr>
              <w:t>Store</w:t>
            </w:r>
          </w:p>
        </w:tc>
        <w:tc>
          <w:tcPr>
            <w:tcW w:w="3192" w:type="dxa"/>
          </w:tcPr>
          <w:p w:rsidR="00B60FF8" w:rsidRDefault="00B60FF8" w:rsidP="005428EA">
            <w:pPr>
              <w:cnfStyle w:val="000000000000"/>
              <w:rPr>
                <w:rFonts w:asciiTheme="minorHAnsi" w:hAnsiTheme="minorHAnsi" w:cstheme="minorHAnsi"/>
              </w:rPr>
            </w:pPr>
            <w:r>
              <w:rPr>
                <w:rFonts w:asciiTheme="minorHAnsi" w:hAnsiTheme="minorHAnsi" w:cstheme="minorHAnsi"/>
              </w:rPr>
              <w:t>Stores current reading displayed</w:t>
            </w:r>
          </w:p>
        </w:tc>
        <w:tc>
          <w:tcPr>
            <w:tcW w:w="3192" w:type="dxa"/>
          </w:tcPr>
          <w:p w:rsidR="00B60FF8" w:rsidRPr="009E5A0B" w:rsidRDefault="00B60FF8" w:rsidP="005428EA">
            <w:pPr>
              <w:cnfStyle w:val="000000000000"/>
              <w:rPr>
                <w:rFonts w:asciiTheme="minorHAnsi" w:hAnsiTheme="minorHAnsi" w:cstheme="minorHAnsi"/>
              </w:rPr>
            </w:pPr>
            <w:r>
              <w:rPr>
                <w:rFonts w:asciiTheme="minorHAnsi" w:hAnsiTheme="minorHAnsi" w:cstheme="minorHAnsi"/>
              </w:rPr>
              <w:t xml:space="preserve">Starts </w:t>
            </w:r>
            <w:r w:rsidRPr="00CC299D">
              <w:rPr>
                <w:rFonts w:asciiTheme="minorHAnsi" w:hAnsiTheme="minorHAnsi" w:cstheme="minorHAnsi"/>
                <w:b/>
                <w:i/>
              </w:rPr>
              <w:t>logging mode</w:t>
            </w:r>
            <w:r>
              <w:rPr>
                <w:rFonts w:asciiTheme="minorHAnsi" w:hAnsiTheme="minorHAnsi" w:cstheme="minorHAnsi"/>
              </w:rPr>
              <w:t xml:space="preserve"> when logging mode has begun the screen will display-</w:t>
            </w:r>
            <w:r w:rsidRPr="009E5A0B">
              <w:rPr>
                <w:rFonts w:asciiTheme="minorHAnsi" w:hAnsiTheme="minorHAnsi" w:cstheme="minorHAnsi"/>
                <w:b/>
              </w:rPr>
              <w:t>Logging Mode Entered</w:t>
            </w:r>
          </w:p>
        </w:tc>
      </w:tr>
      <w:tr w:rsidR="00B60FF8" w:rsidTr="005428EA">
        <w:trPr>
          <w:cnfStyle w:val="000000100000"/>
        </w:trPr>
        <w:tc>
          <w:tcPr>
            <w:cnfStyle w:val="001000000000"/>
            <w:tcW w:w="3192" w:type="dxa"/>
          </w:tcPr>
          <w:p w:rsidR="00B60FF8" w:rsidRDefault="00B60FF8" w:rsidP="005428EA">
            <w:pPr>
              <w:rPr>
                <w:rFonts w:asciiTheme="minorHAnsi" w:hAnsiTheme="minorHAnsi" w:cstheme="minorHAnsi"/>
              </w:rPr>
            </w:pPr>
            <w:r>
              <w:rPr>
                <w:rFonts w:asciiTheme="minorHAnsi" w:hAnsiTheme="minorHAnsi" w:cstheme="minorHAnsi"/>
              </w:rPr>
              <w:t>Recall</w:t>
            </w:r>
          </w:p>
        </w:tc>
        <w:tc>
          <w:tcPr>
            <w:tcW w:w="3192" w:type="dxa"/>
          </w:tcPr>
          <w:p w:rsidR="00B60FF8" w:rsidRDefault="00B60FF8" w:rsidP="005428EA">
            <w:pPr>
              <w:cnfStyle w:val="000000100000"/>
              <w:rPr>
                <w:rFonts w:asciiTheme="minorHAnsi" w:hAnsiTheme="minorHAnsi" w:cstheme="minorHAnsi"/>
              </w:rPr>
            </w:pPr>
            <w:r>
              <w:rPr>
                <w:rFonts w:asciiTheme="minorHAnsi" w:hAnsiTheme="minorHAnsi" w:cstheme="minorHAnsi"/>
              </w:rPr>
              <w:t>Displays the last record stored</w:t>
            </w:r>
          </w:p>
          <w:p w:rsidR="00B60FF8" w:rsidRDefault="00B60FF8" w:rsidP="005428EA">
            <w:pPr>
              <w:cnfStyle w:val="000000100000"/>
              <w:rPr>
                <w:rFonts w:asciiTheme="minorHAnsi" w:hAnsiTheme="minorHAnsi" w:cstheme="minorHAnsi"/>
              </w:rPr>
            </w:pPr>
            <w:r>
              <w:rPr>
                <w:rFonts w:asciiTheme="minorHAnsi" w:hAnsiTheme="minorHAnsi" w:cstheme="minorHAnsi"/>
              </w:rPr>
              <w:t>Pressing this button again will ‘decrement’ to the next record stored until the first record stored is reached then it will increment to the last record stored</w:t>
            </w:r>
          </w:p>
        </w:tc>
        <w:tc>
          <w:tcPr>
            <w:tcW w:w="3192" w:type="dxa"/>
          </w:tcPr>
          <w:p w:rsidR="00B60FF8" w:rsidRDefault="00B60FF8" w:rsidP="005428EA">
            <w:pPr>
              <w:cnfStyle w:val="000000100000"/>
              <w:rPr>
                <w:rFonts w:asciiTheme="minorHAnsi" w:hAnsiTheme="minorHAnsi" w:cstheme="minorHAnsi"/>
              </w:rPr>
            </w:pPr>
            <w:r>
              <w:rPr>
                <w:rFonts w:asciiTheme="minorHAnsi" w:hAnsiTheme="minorHAnsi" w:cstheme="minorHAnsi"/>
              </w:rPr>
              <w:t>Erases the last record stored</w:t>
            </w:r>
          </w:p>
          <w:p w:rsidR="00B60FF8" w:rsidRPr="005624CB" w:rsidRDefault="00B60FF8" w:rsidP="005428EA">
            <w:pPr>
              <w:cnfStyle w:val="000000100000"/>
              <w:rPr>
                <w:rFonts w:asciiTheme="minorHAnsi" w:hAnsiTheme="minorHAnsi" w:cstheme="minorHAnsi"/>
                <w:b/>
                <w:i/>
              </w:rPr>
            </w:pPr>
            <w:r>
              <w:rPr>
                <w:rFonts w:asciiTheme="minorHAnsi" w:hAnsiTheme="minorHAnsi" w:cstheme="minorHAnsi"/>
              </w:rPr>
              <w:t>Display will show-</w:t>
            </w:r>
            <w:r w:rsidRPr="005624CB">
              <w:rPr>
                <w:rFonts w:asciiTheme="minorHAnsi" w:hAnsiTheme="minorHAnsi" w:cstheme="minorHAnsi"/>
                <w:b/>
                <w:i/>
              </w:rPr>
              <w:t>Caution about to clear</w:t>
            </w:r>
            <w:r>
              <w:rPr>
                <w:rFonts w:asciiTheme="minorHAnsi" w:hAnsiTheme="minorHAnsi" w:cstheme="minorHAnsi"/>
              </w:rPr>
              <w:t>-which is followed by-</w:t>
            </w:r>
            <w:r>
              <w:rPr>
                <w:rFonts w:asciiTheme="minorHAnsi" w:hAnsiTheme="minorHAnsi" w:cstheme="minorHAnsi"/>
                <w:b/>
                <w:i/>
              </w:rPr>
              <w:t>Cleared top record</w:t>
            </w:r>
          </w:p>
        </w:tc>
      </w:tr>
      <w:tr w:rsidR="00B60FF8" w:rsidTr="005428EA">
        <w:tc>
          <w:tcPr>
            <w:cnfStyle w:val="001000000000"/>
            <w:tcW w:w="3192" w:type="dxa"/>
          </w:tcPr>
          <w:p w:rsidR="00B60FF8" w:rsidRDefault="00B60FF8" w:rsidP="005428EA">
            <w:pPr>
              <w:rPr>
                <w:rFonts w:asciiTheme="minorHAnsi" w:hAnsiTheme="minorHAnsi" w:cstheme="minorHAnsi"/>
              </w:rPr>
            </w:pPr>
            <w:r>
              <w:rPr>
                <w:rFonts w:asciiTheme="minorHAnsi" w:hAnsiTheme="minorHAnsi" w:cstheme="minorHAnsi"/>
              </w:rPr>
              <w:t>Select</w:t>
            </w:r>
          </w:p>
        </w:tc>
        <w:tc>
          <w:tcPr>
            <w:tcW w:w="3192" w:type="dxa"/>
          </w:tcPr>
          <w:p w:rsidR="00B60FF8" w:rsidRDefault="00B60FF8" w:rsidP="005428EA">
            <w:pPr>
              <w:cnfStyle w:val="000000000000"/>
              <w:rPr>
                <w:rFonts w:asciiTheme="minorHAnsi" w:hAnsiTheme="minorHAnsi" w:cstheme="minorHAnsi"/>
              </w:rPr>
            </w:pPr>
            <w:r>
              <w:rPr>
                <w:rFonts w:asciiTheme="minorHAnsi" w:hAnsiTheme="minorHAnsi" w:cstheme="minorHAnsi"/>
              </w:rPr>
              <w:t>Selects a parameter group</w:t>
            </w:r>
          </w:p>
        </w:tc>
        <w:tc>
          <w:tcPr>
            <w:tcW w:w="3192" w:type="dxa"/>
          </w:tcPr>
          <w:p w:rsidR="00B60FF8" w:rsidRDefault="00B60FF8" w:rsidP="005428EA">
            <w:pPr>
              <w:cnfStyle w:val="000000000000"/>
              <w:rPr>
                <w:rFonts w:asciiTheme="minorHAnsi" w:hAnsiTheme="minorHAnsi" w:cstheme="minorHAnsi"/>
              </w:rPr>
            </w:pPr>
            <w:r>
              <w:rPr>
                <w:rFonts w:asciiTheme="minorHAnsi" w:hAnsiTheme="minorHAnsi" w:cstheme="minorHAnsi"/>
              </w:rPr>
              <w:t>Reverts to first parameter group</w:t>
            </w:r>
          </w:p>
        </w:tc>
      </w:tr>
      <w:tr w:rsidR="00B60FF8" w:rsidTr="005428EA">
        <w:trPr>
          <w:cnfStyle w:val="000000100000"/>
        </w:trPr>
        <w:tc>
          <w:tcPr>
            <w:cnfStyle w:val="001000000000"/>
            <w:tcW w:w="3192" w:type="dxa"/>
          </w:tcPr>
          <w:p w:rsidR="00B60FF8" w:rsidRDefault="00B60FF8" w:rsidP="005428EA">
            <w:pPr>
              <w:rPr>
                <w:rFonts w:asciiTheme="minorHAnsi" w:hAnsiTheme="minorHAnsi" w:cstheme="minorHAnsi"/>
              </w:rPr>
            </w:pPr>
          </w:p>
        </w:tc>
        <w:tc>
          <w:tcPr>
            <w:tcW w:w="3192" w:type="dxa"/>
          </w:tcPr>
          <w:p w:rsidR="00B60FF8" w:rsidRDefault="00B60FF8" w:rsidP="005428EA">
            <w:pPr>
              <w:cnfStyle w:val="000000100000"/>
              <w:rPr>
                <w:rFonts w:asciiTheme="minorHAnsi" w:hAnsiTheme="minorHAnsi" w:cstheme="minorHAnsi"/>
              </w:rPr>
            </w:pPr>
          </w:p>
        </w:tc>
        <w:tc>
          <w:tcPr>
            <w:tcW w:w="3192" w:type="dxa"/>
          </w:tcPr>
          <w:p w:rsidR="00B60FF8" w:rsidRDefault="00B60FF8" w:rsidP="005428EA">
            <w:pPr>
              <w:cnfStyle w:val="000000100000"/>
              <w:rPr>
                <w:rFonts w:asciiTheme="minorHAnsi" w:hAnsiTheme="minorHAnsi" w:cstheme="minorHAnsi"/>
              </w:rPr>
            </w:pPr>
          </w:p>
        </w:tc>
      </w:tr>
      <w:tr w:rsidR="00B60FF8" w:rsidTr="005428EA">
        <w:tc>
          <w:tcPr>
            <w:cnfStyle w:val="001000000000"/>
            <w:tcW w:w="3192" w:type="dxa"/>
          </w:tcPr>
          <w:p w:rsidR="00B60FF8" w:rsidRDefault="00B60FF8" w:rsidP="005428EA">
            <w:pPr>
              <w:rPr>
                <w:rFonts w:asciiTheme="minorHAnsi" w:hAnsiTheme="minorHAnsi" w:cstheme="minorHAnsi"/>
              </w:rPr>
            </w:pPr>
          </w:p>
        </w:tc>
        <w:tc>
          <w:tcPr>
            <w:tcW w:w="3192" w:type="dxa"/>
          </w:tcPr>
          <w:p w:rsidR="00B60FF8" w:rsidRDefault="00B60FF8" w:rsidP="005428EA">
            <w:pPr>
              <w:cnfStyle w:val="000000000000"/>
              <w:rPr>
                <w:rFonts w:asciiTheme="minorHAnsi" w:hAnsiTheme="minorHAnsi" w:cstheme="minorHAnsi"/>
              </w:rPr>
            </w:pPr>
          </w:p>
        </w:tc>
        <w:tc>
          <w:tcPr>
            <w:tcW w:w="3192" w:type="dxa"/>
          </w:tcPr>
          <w:p w:rsidR="00B60FF8" w:rsidRDefault="00B60FF8" w:rsidP="005428EA">
            <w:pPr>
              <w:cnfStyle w:val="000000000000"/>
              <w:rPr>
                <w:rFonts w:asciiTheme="minorHAnsi" w:hAnsiTheme="minorHAnsi" w:cstheme="minorHAnsi"/>
              </w:rPr>
            </w:pPr>
          </w:p>
        </w:tc>
      </w:tr>
    </w:tbl>
    <w:p w:rsidR="00B60FF8" w:rsidRDefault="00B60FF8" w:rsidP="00B60FF8">
      <w:pPr>
        <w:rPr>
          <w:rFonts w:asciiTheme="minorHAnsi" w:hAnsiTheme="minorHAnsi" w:cstheme="minorHAnsi"/>
        </w:rPr>
      </w:pPr>
    </w:p>
    <w:p w:rsidR="00B60FF8" w:rsidRPr="003C38E4" w:rsidRDefault="0057601B" w:rsidP="00B60FF8">
      <w:pPr>
        <w:rPr>
          <w:rFonts w:asciiTheme="minorHAnsi" w:hAnsiTheme="minorHAnsi" w:cstheme="minorHAnsi"/>
        </w:rPr>
      </w:pPr>
      <w:r>
        <w:rPr>
          <w:rFonts w:asciiTheme="minorHAnsi" w:hAnsiTheme="minorHAnsi" w:cstheme="minorHAnsi"/>
          <w:b/>
        </w:rPr>
        <w:t>Field Measurements</w:t>
      </w:r>
    </w:p>
    <w:p w:rsidR="00B60FF8" w:rsidRDefault="005E4C81" w:rsidP="003A7BFA">
      <w:pPr>
        <w:pStyle w:val="ListParagraph"/>
        <w:numPr>
          <w:ilvl w:val="0"/>
          <w:numId w:val="16"/>
        </w:numPr>
        <w:rPr>
          <w:rFonts w:asciiTheme="minorHAnsi" w:hAnsiTheme="minorHAnsi" w:cstheme="minorHAnsi"/>
        </w:rPr>
      </w:pPr>
      <w:r w:rsidRPr="003A7BFA">
        <w:rPr>
          <w:rFonts w:asciiTheme="minorHAnsi" w:hAnsiTheme="minorHAnsi" w:cstheme="minorHAnsi"/>
        </w:rPr>
        <w:t xml:space="preserve">Before entering the water, </w:t>
      </w:r>
      <w:r w:rsidR="00B60FF8" w:rsidRPr="003A7BFA">
        <w:rPr>
          <w:rFonts w:asciiTheme="minorHAnsi" w:hAnsiTheme="minorHAnsi" w:cstheme="minorHAnsi"/>
        </w:rPr>
        <w:t xml:space="preserve">attach </w:t>
      </w:r>
      <w:r w:rsidRPr="003A7BFA">
        <w:rPr>
          <w:rFonts w:asciiTheme="minorHAnsi" w:hAnsiTheme="minorHAnsi" w:cstheme="minorHAnsi"/>
        </w:rPr>
        <w:t xml:space="preserve">the </w:t>
      </w:r>
      <w:proofErr w:type="spellStart"/>
      <w:r w:rsidRPr="003A7BFA">
        <w:rPr>
          <w:rFonts w:asciiTheme="minorHAnsi" w:hAnsiTheme="minorHAnsi" w:cstheme="minorHAnsi"/>
        </w:rPr>
        <w:t>Cylops</w:t>
      </w:r>
      <w:proofErr w:type="spellEnd"/>
      <w:r w:rsidRPr="003A7BFA">
        <w:rPr>
          <w:rFonts w:asciiTheme="minorHAnsi" w:hAnsiTheme="minorHAnsi" w:cstheme="minorHAnsi"/>
        </w:rPr>
        <w:t xml:space="preserve"> 7 cable</w:t>
      </w:r>
      <w:r w:rsidR="00B60FF8" w:rsidRPr="003A7BFA">
        <w:rPr>
          <w:rFonts w:asciiTheme="minorHAnsi" w:hAnsiTheme="minorHAnsi" w:cstheme="minorHAnsi"/>
        </w:rPr>
        <w:t xml:space="preserve"> to the </w:t>
      </w:r>
      <w:proofErr w:type="spellStart"/>
      <w:r w:rsidR="00B60FF8" w:rsidRPr="003A7BFA">
        <w:rPr>
          <w:rFonts w:asciiTheme="minorHAnsi" w:hAnsiTheme="minorHAnsi" w:cstheme="minorHAnsi"/>
        </w:rPr>
        <w:t>DataBank</w:t>
      </w:r>
      <w:proofErr w:type="spellEnd"/>
      <w:r w:rsidRPr="003A7BFA">
        <w:rPr>
          <w:rFonts w:asciiTheme="minorHAnsi" w:hAnsiTheme="minorHAnsi" w:cstheme="minorHAnsi"/>
        </w:rPr>
        <w:t>.  M</w:t>
      </w:r>
      <w:r w:rsidR="00B60FF8" w:rsidRPr="003A7BFA">
        <w:rPr>
          <w:rFonts w:asciiTheme="minorHAnsi" w:hAnsiTheme="minorHAnsi" w:cstheme="minorHAnsi"/>
        </w:rPr>
        <w:t>ak</w:t>
      </w:r>
      <w:r w:rsidRPr="003A7BFA">
        <w:rPr>
          <w:rFonts w:asciiTheme="minorHAnsi" w:hAnsiTheme="minorHAnsi" w:cstheme="minorHAnsi"/>
        </w:rPr>
        <w:t>e</w:t>
      </w:r>
      <w:r w:rsidR="00B60FF8" w:rsidRPr="003A7BFA">
        <w:rPr>
          <w:rFonts w:asciiTheme="minorHAnsi" w:hAnsiTheme="minorHAnsi" w:cstheme="minorHAnsi"/>
        </w:rPr>
        <w:t xml:space="preserve"> sure that the pins align with the proper holes</w:t>
      </w:r>
    </w:p>
    <w:p w:rsidR="003A7BFA" w:rsidRPr="003A7BFA" w:rsidRDefault="003A7BFA" w:rsidP="003A7BFA">
      <w:pPr>
        <w:pStyle w:val="ListParagraph"/>
        <w:numPr>
          <w:ilvl w:val="0"/>
          <w:numId w:val="16"/>
        </w:numPr>
        <w:rPr>
          <w:rFonts w:asciiTheme="minorHAnsi" w:hAnsiTheme="minorHAnsi" w:cstheme="minorHAnsi"/>
        </w:rPr>
      </w:pPr>
      <w:r w:rsidRPr="003A7BFA">
        <w:rPr>
          <w:rFonts w:asciiTheme="minorHAnsi" w:hAnsiTheme="minorHAnsi" w:cstheme="minorHAnsi"/>
        </w:rPr>
        <w:t>Attach Cyclops 7 (the actual probe for making the phycocyanin measurements) to the other end of the cable and then attach the slotted plastic shade cap.</w:t>
      </w:r>
    </w:p>
    <w:p w:rsidR="003A7BFA" w:rsidRPr="003A7BFA" w:rsidRDefault="003A7BFA" w:rsidP="003A7BFA">
      <w:pPr>
        <w:pStyle w:val="ListParagraph"/>
        <w:numPr>
          <w:ilvl w:val="0"/>
          <w:numId w:val="16"/>
        </w:numPr>
        <w:rPr>
          <w:rFonts w:asciiTheme="minorHAnsi" w:hAnsiTheme="minorHAnsi" w:cstheme="minorHAnsi"/>
        </w:rPr>
      </w:pPr>
      <w:r w:rsidRPr="003A7BFA">
        <w:rPr>
          <w:rFonts w:asciiTheme="minorHAnsi" w:hAnsiTheme="minorHAnsi" w:cstheme="minorHAnsi"/>
        </w:rPr>
        <w:t>Press power button -warm up is 5 sec</w:t>
      </w:r>
    </w:p>
    <w:p w:rsidR="003A7BFA" w:rsidRPr="003A7BFA" w:rsidRDefault="003A7BFA" w:rsidP="003A7BFA">
      <w:pPr>
        <w:pStyle w:val="ListParagraph"/>
        <w:numPr>
          <w:ilvl w:val="0"/>
          <w:numId w:val="16"/>
        </w:numPr>
        <w:rPr>
          <w:rFonts w:asciiTheme="minorHAnsi" w:hAnsiTheme="minorHAnsi" w:cstheme="minorHAnsi"/>
        </w:rPr>
      </w:pPr>
      <w:r w:rsidRPr="003A7BFA">
        <w:rPr>
          <w:rFonts w:asciiTheme="minorHAnsi" w:hAnsiTheme="minorHAnsi" w:cstheme="minorHAnsi"/>
        </w:rPr>
        <w:t>Get a reading of your location by the shore and record on field sheet</w:t>
      </w:r>
    </w:p>
    <w:p w:rsidR="003A7BFA" w:rsidRPr="003A7BFA" w:rsidRDefault="003A7BFA" w:rsidP="003A7BFA">
      <w:pPr>
        <w:pStyle w:val="ListParagraph"/>
        <w:rPr>
          <w:rFonts w:asciiTheme="minorHAnsi" w:hAnsiTheme="minorHAnsi" w:cstheme="minorHAnsi"/>
        </w:rPr>
      </w:pPr>
    </w:p>
    <w:p w:rsidR="00B60FF8" w:rsidRPr="003A7BFA" w:rsidRDefault="00B60FF8" w:rsidP="003A7BFA">
      <w:pPr>
        <w:pStyle w:val="ListParagraph"/>
        <w:rPr>
          <w:rFonts w:asciiTheme="minorHAnsi" w:hAnsiTheme="minorHAnsi" w:cstheme="minorHAnsi"/>
        </w:rPr>
      </w:pPr>
      <w:r>
        <w:rPr>
          <w:noProof/>
        </w:rPr>
        <w:lastRenderedPageBreak/>
        <w:drawing>
          <wp:inline distT="0" distB="0" distL="0" distR="0">
            <wp:extent cx="2270608" cy="1953957"/>
            <wp:effectExtent l="19050" t="0" r="0" b="0"/>
            <wp:docPr id="5" name="Picture 2" descr="C:\Users\JBeskenis\AppData\Local\Microsoft\Windows\Temporary Internet Files\Content.Outlook\AHWGJF3X\photo (13)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JBeskenis\AppData\Local\Microsoft\Windows\Temporary Internet Files\Content.Outlook\AHWGJF3X\photo (13) (2).JPG"/>
                    <pic:cNvPicPr>
                      <a:picLocks noChangeAspect="1" noChangeArrowheads="1"/>
                    </pic:cNvPicPr>
                  </pic:nvPicPr>
                  <pic:blipFill>
                    <a:blip r:embed="rId9" cstate="print"/>
                    <a:srcRect/>
                    <a:stretch>
                      <a:fillRect/>
                    </a:stretch>
                  </pic:blipFill>
                  <pic:spPr bwMode="auto">
                    <a:xfrm>
                      <a:off x="0" y="0"/>
                      <a:ext cx="2277589" cy="1959965"/>
                    </a:xfrm>
                    <a:prstGeom prst="rect">
                      <a:avLst/>
                    </a:prstGeom>
                    <a:noFill/>
                    <a:ln w="9525">
                      <a:noFill/>
                      <a:miter lim="800000"/>
                      <a:headEnd/>
                      <a:tailEnd/>
                    </a:ln>
                  </pic:spPr>
                </pic:pic>
              </a:graphicData>
            </a:graphic>
          </wp:inline>
        </w:drawing>
      </w:r>
    </w:p>
    <w:p w:rsidR="00B60FF8" w:rsidRPr="003C38E4" w:rsidRDefault="00B60FF8" w:rsidP="00B60FF8">
      <w:pPr>
        <w:rPr>
          <w:rFonts w:asciiTheme="minorHAnsi" w:hAnsiTheme="minorHAnsi" w:cstheme="minorHAnsi"/>
        </w:rPr>
      </w:pPr>
    </w:p>
    <w:p w:rsidR="00675A23" w:rsidRPr="00A95E25" w:rsidRDefault="00675A23" w:rsidP="00675A23">
      <w:pPr>
        <w:shd w:val="clear" w:color="auto" w:fill="D6E3BC" w:themeFill="accent3" w:themeFillTint="66"/>
        <w:rPr>
          <w:rFonts w:asciiTheme="minorHAnsi" w:hAnsiTheme="minorHAnsi" w:cstheme="minorHAnsi"/>
        </w:rPr>
      </w:pPr>
      <w:r w:rsidRPr="00A31173">
        <w:rPr>
          <w:rFonts w:asciiTheme="minorHAnsi" w:hAnsiTheme="minorHAnsi" w:cstheme="minorHAnsi"/>
        </w:rPr>
        <w:t>Field Procedure for Phycocyanin Measurements</w:t>
      </w:r>
    </w:p>
    <w:p w:rsidR="00675A23" w:rsidRDefault="00675A23" w:rsidP="00675A23">
      <w:pPr>
        <w:pStyle w:val="ListParagraph"/>
        <w:numPr>
          <w:ilvl w:val="0"/>
          <w:numId w:val="6"/>
        </w:numPr>
        <w:shd w:val="clear" w:color="auto" w:fill="D6E3BC" w:themeFill="accent3" w:themeFillTint="66"/>
        <w:rPr>
          <w:rFonts w:asciiTheme="minorHAnsi" w:hAnsiTheme="minorHAnsi" w:cstheme="minorHAnsi"/>
        </w:rPr>
      </w:pPr>
      <w:r w:rsidRPr="00A31173">
        <w:rPr>
          <w:rFonts w:asciiTheme="minorHAnsi" w:hAnsiTheme="minorHAnsi" w:cstheme="minorHAnsi"/>
        </w:rPr>
        <w:t>Take temperature of water using hand held thermometer, record on field sheet</w:t>
      </w:r>
    </w:p>
    <w:p w:rsidR="001330B9" w:rsidRPr="00A95E25" w:rsidRDefault="001330B9" w:rsidP="00675A23">
      <w:pPr>
        <w:pStyle w:val="ListParagraph"/>
        <w:numPr>
          <w:ilvl w:val="0"/>
          <w:numId w:val="6"/>
        </w:numPr>
        <w:shd w:val="clear" w:color="auto" w:fill="D6E3BC" w:themeFill="accent3" w:themeFillTint="66"/>
        <w:rPr>
          <w:rFonts w:asciiTheme="minorHAnsi" w:hAnsiTheme="minorHAnsi" w:cstheme="minorHAnsi"/>
        </w:rPr>
      </w:pPr>
      <w:r>
        <w:rPr>
          <w:rFonts w:asciiTheme="minorHAnsi" w:hAnsiTheme="minorHAnsi" w:cstheme="minorHAnsi"/>
        </w:rPr>
        <w:t xml:space="preserve">From the shore take a GPS reading of your location and record it.  </w:t>
      </w:r>
    </w:p>
    <w:p w:rsidR="00675A23" w:rsidRPr="00A95E25" w:rsidRDefault="00C365C2" w:rsidP="00675A23">
      <w:pPr>
        <w:pStyle w:val="ListParagraph"/>
        <w:numPr>
          <w:ilvl w:val="0"/>
          <w:numId w:val="6"/>
        </w:numPr>
        <w:shd w:val="clear" w:color="auto" w:fill="D6E3BC" w:themeFill="accent3" w:themeFillTint="66"/>
        <w:rPr>
          <w:rFonts w:asciiTheme="minorHAnsi" w:hAnsiTheme="minorHAnsi" w:cstheme="minorHAnsi"/>
        </w:rPr>
      </w:pPr>
      <w:r>
        <w:rPr>
          <w:rFonts w:asciiTheme="minorHAnsi" w:hAnsiTheme="minorHAnsi" w:cstheme="minorHAnsi"/>
        </w:rPr>
        <w:t>The probe can be deployed by e</w:t>
      </w:r>
      <w:r w:rsidR="00675A23" w:rsidRPr="00A31173">
        <w:rPr>
          <w:rFonts w:asciiTheme="minorHAnsi" w:hAnsiTheme="minorHAnsi" w:cstheme="minorHAnsi"/>
        </w:rPr>
        <w:t>ither walk</w:t>
      </w:r>
      <w:r>
        <w:rPr>
          <w:rFonts w:asciiTheme="minorHAnsi" w:hAnsiTheme="minorHAnsi" w:cstheme="minorHAnsi"/>
        </w:rPr>
        <w:t>ing</w:t>
      </w:r>
      <w:r w:rsidR="00675A23" w:rsidRPr="00A31173">
        <w:rPr>
          <w:rFonts w:asciiTheme="minorHAnsi" w:hAnsiTheme="minorHAnsi" w:cstheme="minorHAnsi"/>
        </w:rPr>
        <w:t xml:space="preserve"> into the water with the probe or</w:t>
      </w:r>
      <w:r>
        <w:rPr>
          <w:rFonts w:asciiTheme="minorHAnsi" w:hAnsiTheme="minorHAnsi" w:cstheme="minorHAnsi"/>
        </w:rPr>
        <w:t xml:space="preserve"> by</w:t>
      </w:r>
      <w:r w:rsidR="00851286">
        <w:rPr>
          <w:rFonts w:asciiTheme="minorHAnsi" w:hAnsiTheme="minorHAnsi" w:cstheme="minorHAnsi"/>
        </w:rPr>
        <w:t xml:space="preserve"> lowering the </w:t>
      </w:r>
      <w:r w:rsidR="00675A23" w:rsidRPr="00A31173">
        <w:rPr>
          <w:rFonts w:asciiTheme="minorHAnsi" w:hAnsiTheme="minorHAnsi" w:cstheme="minorHAnsi"/>
        </w:rPr>
        <w:t>probe from dock to obtain measurements</w:t>
      </w:r>
    </w:p>
    <w:p w:rsidR="00675A23" w:rsidRPr="00A95E25" w:rsidRDefault="00675A23" w:rsidP="00675A23">
      <w:pPr>
        <w:pStyle w:val="ListParagraph"/>
        <w:numPr>
          <w:ilvl w:val="0"/>
          <w:numId w:val="6"/>
        </w:numPr>
        <w:shd w:val="clear" w:color="auto" w:fill="D6E3BC" w:themeFill="accent3" w:themeFillTint="66"/>
        <w:rPr>
          <w:rFonts w:asciiTheme="minorHAnsi" w:hAnsiTheme="minorHAnsi" w:cstheme="minorHAnsi"/>
        </w:rPr>
      </w:pPr>
      <w:r w:rsidRPr="00A31173">
        <w:rPr>
          <w:rFonts w:asciiTheme="minorHAnsi" w:hAnsiTheme="minorHAnsi" w:cstheme="minorHAnsi"/>
        </w:rPr>
        <w:t>Wade into water to knee depth.  Wait for the sediments to settle before beginning readings</w:t>
      </w:r>
    </w:p>
    <w:p w:rsidR="00675A23" w:rsidRPr="00A95E25" w:rsidRDefault="00675A23" w:rsidP="00675A23">
      <w:pPr>
        <w:pStyle w:val="ListParagraph"/>
        <w:numPr>
          <w:ilvl w:val="0"/>
          <w:numId w:val="6"/>
        </w:numPr>
        <w:shd w:val="clear" w:color="auto" w:fill="D6E3BC" w:themeFill="accent3" w:themeFillTint="66"/>
        <w:rPr>
          <w:rFonts w:asciiTheme="minorHAnsi" w:hAnsiTheme="minorHAnsi" w:cstheme="minorHAnsi"/>
        </w:rPr>
      </w:pPr>
      <w:r w:rsidRPr="00A31173">
        <w:rPr>
          <w:rFonts w:asciiTheme="minorHAnsi" w:hAnsiTheme="minorHAnsi" w:cstheme="minorHAnsi"/>
        </w:rPr>
        <w:t xml:space="preserve">Submerge the probe end to allow it to acclimate </w:t>
      </w:r>
      <w:r w:rsidR="00B22367">
        <w:rPr>
          <w:rFonts w:asciiTheme="minorHAnsi" w:hAnsiTheme="minorHAnsi" w:cstheme="minorHAnsi"/>
        </w:rPr>
        <w:t xml:space="preserve"> at least one minute </w:t>
      </w:r>
      <w:r w:rsidRPr="00A31173">
        <w:rPr>
          <w:rFonts w:asciiTheme="minorHAnsi" w:hAnsiTheme="minorHAnsi" w:cstheme="minorHAnsi"/>
        </w:rPr>
        <w:t>to the water temperature before starting to record readings</w:t>
      </w:r>
      <w:r w:rsidR="0093088F">
        <w:rPr>
          <w:rFonts w:asciiTheme="minorHAnsi" w:hAnsiTheme="minorHAnsi" w:cstheme="minorHAnsi"/>
        </w:rPr>
        <w:t xml:space="preserve"> </w:t>
      </w:r>
    </w:p>
    <w:p w:rsidR="00675A23" w:rsidRDefault="00675A23" w:rsidP="00675A23">
      <w:pPr>
        <w:pStyle w:val="ListParagraph"/>
        <w:numPr>
          <w:ilvl w:val="0"/>
          <w:numId w:val="6"/>
        </w:numPr>
        <w:shd w:val="clear" w:color="auto" w:fill="D6E3BC" w:themeFill="accent3" w:themeFillTint="66"/>
        <w:rPr>
          <w:rFonts w:asciiTheme="minorHAnsi" w:hAnsiTheme="minorHAnsi" w:cstheme="minorHAnsi"/>
        </w:rPr>
      </w:pPr>
      <w:r w:rsidRPr="00A31173">
        <w:rPr>
          <w:rFonts w:asciiTheme="minorHAnsi" w:hAnsiTheme="minorHAnsi" w:cstheme="minorHAnsi"/>
        </w:rPr>
        <w:t>Lower probe to depth desired for first reading (0.25 m</w:t>
      </w:r>
      <w:r w:rsidR="006328B2">
        <w:rPr>
          <w:rFonts w:asciiTheme="minorHAnsi" w:hAnsiTheme="minorHAnsi" w:cstheme="minorHAnsi"/>
        </w:rPr>
        <w:t xml:space="preserve"> matches MADPH protocol</w:t>
      </w:r>
      <w:r w:rsidRPr="00A31173">
        <w:rPr>
          <w:rFonts w:asciiTheme="minorHAnsi" w:hAnsiTheme="minorHAnsi" w:cstheme="minorHAnsi"/>
        </w:rPr>
        <w:t>).  A yellow tape marks this depth. (If there is a visible ‘algal scum’ the probe end could be lowered just below the surface- Position the probe so that the entire shade cap is immersed and an inch or more of the probe is in the water.  Begin by pressing store and then press recall to obtain the last reading and record on field sheet.   Write down the time of the reading and the phycocyanin value.</w:t>
      </w:r>
    </w:p>
    <w:p w:rsidR="009E69D2" w:rsidRDefault="00DB382F" w:rsidP="00675A23">
      <w:pPr>
        <w:pStyle w:val="ListParagraph"/>
        <w:numPr>
          <w:ilvl w:val="0"/>
          <w:numId w:val="6"/>
        </w:numPr>
        <w:shd w:val="clear" w:color="auto" w:fill="D6E3BC" w:themeFill="accent3" w:themeFillTint="66"/>
        <w:rPr>
          <w:rFonts w:asciiTheme="minorHAnsi" w:hAnsiTheme="minorHAnsi" w:cstheme="minorHAnsi"/>
        </w:rPr>
      </w:pPr>
      <w:r>
        <w:rPr>
          <w:rFonts w:asciiTheme="minorHAnsi" w:hAnsiTheme="minorHAnsi" w:cstheme="minorHAnsi"/>
        </w:rPr>
        <w:t xml:space="preserve">Either this value can be used for the depth or to check for variability 4 readings can be obtained and </w:t>
      </w:r>
      <w:proofErr w:type="gramStart"/>
      <w:r>
        <w:rPr>
          <w:rFonts w:asciiTheme="minorHAnsi" w:hAnsiTheme="minorHAnsi" w:cstheme="minorHAnsi"/>
        </w:rPr>
        <w:t>this same depth by hitting store</w:t>
      </w:r>
      <w:proofErr w:type="gramEnd"/>
      <w:r>
        <w:rPr>
          <w:rFonts w:asciiTheme="minorHAnsi" w:hAnsiTheme="minorHAnsi" w:cstheme="minorHAnsi"/>
        </w:rPr>
        <w:t xml:space="preserve"> a series of four times.  If it is desired to obtain more data at this depth hold down the </w:t>
      </w:r>
      <w:r w:rsidR="009E69D2">
        <w:rPr>
          <w:rFonts w:asciiTheme="minorHAnsi" w:hAnsiTheme="minorHAnsi" w:cstheme="minorHAnsi"/>
        </w:rPr>
        <w:t>Store toggle and the DataBank will start logging mode.  Once the probe is in logging mode it will take a reading every 15 seconds</w:t>
      </w:r>
      <w:r>
        <w:rPr>
          <w:rFonts w:asciiTheme="minorHAnsi" w:hAnsiTheme="minorHAnsi" w:cstheme="minorHAnsi"/>
        </w:rPr>
        <w:t xml:space="preserve"> until you wish to stop</w:t>
      </w:r>
      <w:r w:rsidR="009E69D2">
        <w:rPr>
          <w:rFonts w:asciiTheme="minorHAnsi" w:hAnsiTheme="minorHAnsi" w:cstheme="minorHAnsi"/>
        </w:rPr>
        <w:t xml:space="preserve">.  </w:t>
      </w:r>
      <w:r w:rsidR="009E69D2" w:rsidRPr="00735A95">
        <w:rPr>
          <w:rFonts w:asciiTheme="minorHAnsi" w:hAnsiTheme="minorHAnsi" w:cstheme="minorHAnsi"/>
        </w:rPr>
        <w:t xml:space="preserve"> </w:t>
      </w:r>
      <w:r w:rsidR="009E69D2">
        <w:rPr>
          <w:rFonts w:asciiTheme="minorHAnsi" w:hAnsiTheme="minorHAnsi" w:cstheme="minorHAnsi"/>
        </w:rPr>
        <w:t>To stop logging mode press the Power button quickly.  To review any data, press  the Recall button</w:t>
      </w:r>
      <w:r w:rsidR="00C00601">
        <w:rPr>
          <w:rFonts w:asciiTheme="minorHAnsi" w:hAnsiTheme="minorHAnsi" w:cstheme="minorHAnsi"/>
        </w:rPr>
        <w:t xml:space="preserve">.  Stop logging </w:t>
      </w:r>
      <w:r w:rsidR="00B22367">
        <w:rPr>
          <w:rFonts w:asciiTheme="minorHAnsi" w:hAnsiTheme="minorHAnsi" w:cstheme="minorHAnsi"/>
        </w:rPr>
        <w:t xml:space="preserve">with </w:t>
      </w:r>
      <w:r w:rsidR="00C00601">
        <w:rPr>
          <w:rFonts w:asciiTheme="minorHAnsi" w:hAnsiTheme="minorHAnsi" w:cstheme="minorHAnsi"/>
        </w:rPr>
        <w:t>each change in depth</w:t>
      </w:r>
      <w:r>
        <w:rPr>
          <w:rFonts w:asciiTheme="minorHAnsi" w:hAnsiTheme="minorHAnsi" w:cstheme="minorHAnsi"/>
        </w:rPr>
        <w:t xml:space="preserve"> and make sure that you have written down the time and the value of the firs t and last reading before continuing to another depth.</w:t>
      </w:r>
    </w:p>
    <w:p w:rsidR="009E69D2" w:rsidRDefault="009E69D2" w:rsidP="00675A23">
      <w:pPr>
        <w:pStyle w:val="ListParagraph"/>
        <w:numPr>
          <w:ilvl w:val="0"/>
          <w:numId w:val="6"/>
        </w:numPr>
        <w:shd w:val="clear" w:color="auto" w:fill="D6E3BC" w:themeFill="accent3" w:themeFillTint="66"/>
        <w:rPr>
          <w:rFonts w:asciiTheme="minorHAnsi" w:hAnsiTheme="minorHAnsi" w:cstheme="minorHAnsi"/>
        </w:rPr>
      </w:pPr>
      <w:r>
        <w:rPr>
          <w:rFonts w:asciiTheme="minorHAnsi" w:hAnsiTheme="minorHAnsi" w:cstheme="minorHAnsi"/>
        </w:rPr>
        <w:t xml:space="preserve">Repeating this sequence with every change in depth or location within a waterbody will make it easier to group the readings after the data is downloaded.  </w:t>
      </w:r>
    </w:p>
    <w:p w:rsidR="009E69D2" w:rsidRPr="009E69D2" w:rsidRDefault="009E69D2" w:rsidP="00112CD0">
      <w:pPr>
        <w:pStyle w:val="ListParagraph"/>
        <w:numPr>
          <w:ilvl w:val="0"/>
          <w:numId w:val="6"/>
        </w:numPr>
        <w:shd w:val="clear" w:color="auto" w:fill="D6E3BC" w:themeFill="accent3" w:themeFillTint="66"/>
        <w:rPr>
          <w:rFonts w:asciiTheme="minorHAnsi" w:hAnsiTheme="minorHAnsi" w:cstheme="minorHAnsi"/>
        </w:rPr>
      </w:pPr>
      <w:r w:rsidRPr="009E69D2">
        <w:rPr>
          <w:rFonts w:asciiTheme="minorHAnsi" w:hAnsiTheme="minorHAnsi" w:cstheme="minorHAnsi"/>
        </w:rPr>
        <w:t>At least one stored value should be recorde</w:t>
      </w:r>
      <w:r w:rsidR="008A3A2A">
        <w:rPr>
          <w:rFonts w:asciiTheme="minorHAnsi" w:hAnsiTheme="minorHAnsi" w:cstheme="minorHAnsi"/>
        </w:rPr>
        <w:t>d on the field sheet (Appendix B</w:t>
      </w:r>
      <w:r w:rsidRPr="009E69D2">
        <w:rPr>
          <w:rFonts w:asciiTheme="minorHAnsi" w:hAnsiTheme="minorHAnsi" w:cstheme="minorHAnsi"/>
        </w:rPr>
        <w:t>) for each location or depth that is evaluated.</w:t>
      </w:r>
    </w:p>
    <w:p w:rsidR="009E69D2" w:rsidRDefault="009E69D2" w:rsidP="00112CD0">
      <w:pPr>
        <w:pStyle w:val="ListParagraph"/>
        <w:numPr>
          <w:ilvl w:val="0"/>
          <w:numId w:val="6"/>
        </w:numPr>
        <w:shd w:val="clear" w:color="auto" w:fill="D6E3BC" w:themeFill="accent3" w:themeFillTint="66"/>
        <w:rPr>
          <w:rFonts w:asciiTheme="minorHAnsi" w:hAnsiTheme="minorHAnsi" w:cstheme="minorHAnsi"/>
        </w:rPr>
      </w:pPr>
      <w:r w:rsidRPr="009E69D2">
        <w:rPr>
          <w:rFonts w:asciiTheme="minorHAnsi" w:hAnsiTheme="minorHAnsi" w:cstheme="minorHAnsi"/>
        </w:rPr>
        <w:t>To determine if a possible  cyanobacteria bloom is present, follow the procedure above.  Yellow tape marks 0.25 meters, 0.5 and subsequent meters down to 5.  Start by taking readings just below the s</w:t>
      </w:r>
      <w:r w:rsidR="00E13950">
        <w:rPr>
          <w:rFonts w:asciiTheme="minorHAnsi" w:hAnsiTheme="minorHAnsi" w:cstheme="minorHAnsi"/>
        </w:rPr>
        <w:t>urface</w:t>
      </w:r>
      <w:r w:rsidRPr="009E69D2">
        <w:rPr>
          <w:rFonts w:asciiTheme="minorHAnsi" w:hAnsiTheme="minorHAnsi" w:cstheme="minorHAnsi"/>
        </w:rPr>
        <w:t xml:space="preserve"> if a bloom is present.  Lower the probe.25 meter (~9 inches) repeat the readings  at 0.5 m and 1 meter.  Depending upon the needs of the study, a profile down to 5 m can be made using this probe and available cable.</w:t>
      </w:r>
    </w:p>
    <w:p w:rsidR="0077386A" w:rsidRPr="0077386A" w:rsidRDefault="00851286" w:rsidP="002650E0">
      <w:pPr>
        <w:pStyle w:val="ListParagraph"/>
        <w:numPr>
          <w:ilvl w:val="0"/>
          <w:numId w:val="6"/>
        </w:numPr>
        <w:shd w:val="clear" w:color="auto" w:fill="D6E3BC" w:themeFill="accent3" w:themeFillTint="66"/>
        <w:rPr>
          <w:rFonts w:asciiTheme="minorHAnsi" w:hAnsiTheme="minorHAnsi" w:cstheme="minorHAnsi"/>
        </w:rPr>
      </w:pPr>
      <w:r>
        <w:rPr>
          <w:rFonts w:asciiTheme="minorHAnsi" w:hAnsiTheme="minorHAnsi" w:cstheme="minorHAnsi"/>
        </w:rPr>
        <w:t xml:space="preserve">To power off the </w:t>
      </w:r>
      <w:proofErr w:type="spellStart"/>
      <w:r>
        <w:rPr>
          <w:rFonts w:asciiTheme="minorHAnsi" w:hAnsiTheme="minorHAnsi" w:cstheme="minorHAnsi"/>
        </w:rPr>
        <w:t>DataBank</w:t>
      </w:r>
      <w:proofErr w:type="spellEnd"/>
      <w:r>
        <w:rPr>
          <w:rFonts w:asciiTheme="minorHAnsi" w:hAnsiTheme="minorHAnsi" w:cstheme="minorHAnsi"/>
        </w:rPr>
        <w:t xml:space="preserve"> hold down the power button for &gt;1 sec.</w:t>
      </w:r>
    </w:p>
    <w:p w:rsidR="0077386A" w:rsidRPr="0077386A" w:rsidRDefault="0077386A" w:rsidP="002650E0">
      <w:pPr>
        <w:pStyle w:val="ListParagraph"/>
        <w:numPr>
          <w:ilvl w:val="0"/>
          <w:numId w:val="6"/>
        </w:numPr>
        <w:shd w:val="clear" w:color="auto" w:fill="D6E3BC" w:themeFill="accent3" w:themeFillTint="66"/>
        <w:rPr>
          <w:rFonts w:asciiTheme="minorHAnsi" w:hAnsiTheme="minorHAnsi" w:cstheme="minorHAnsi"/>
        </w:rPr>
      </w:pPr>
      <w:r w:rsidRPr="0077386A">
        <w:rPr>
          <w:rFonts w:asciiTheme="minorHAnsi" w:hAnsiTheme="minorHAnsi" w:cstheme="minorHAnsi"/>
        </w:rPr>
        <w:t>Take off the shade cap and wipe it, probe and cable with clean rags.</w:t>
      </w:r>
    </w:p>
    <w:p w:rsidR="0077386A" w:rsidRPr="0077386A" w:rsidRDefault="0077386A" w:rsidP="002650E0">
      <w:pPr>
        <w:pStyle w:val="ListParagraph"/>
        <w:numPr>
          <w:ilvl w:val="0"/>
          <w:numId w:val="6"/>
        </w:numPr>
        <w:shd w:val="clear" w:color="auto" w:fill="D6E3BC" w:themeFill="accent3" w:themeFillTint="66"/>
        <w:rPr>
          <w:rFonts w:asciiTheme="minorHAnsi" w:hAnsiTheme="minorHAnsi" w:cstheme="minorHAnsi"/>
        </w:rPr>
      </w:pPr>
      <w:r w:rsidRPr="0077386A">
        <w:rPr>
          <w:rFonts w:asciiTheme="minorHAnsi" w:hAnsiTheme="minorHAnsi" w:cstheme="minorHAnsi"/>
        </w:rPr>
        <w:lastRenderedPageBreak/>
        <w:t xml:space="preserve">Rinse the probe lens with DI water, </w:t>
      </w:r>
      <w:r w:rsidRPr="0077386A">
        <w:rPr>
          <w:rFonts w:asciiTheme="minorHAnsi" w:hAnsiTheme="minorHAnsi" w:cstheme="minorHAnsi"/>
          <w:b/>
        </w:rPr>
        <w:t>gently</w:t>
      </w:r>
      <w:r w:rsidRPr="0077386A">
        <w:rPr>
          <w:rFonts w:asciiTheme="minorHAnsi" w:hAnsiTheme="minorHAnsi" w:cstheme="minorHAnsi"/>
        </w:rPr>
        <w:t xml:space="preserve"> blot with a clean cloth, if it’s really dirty bring it back to the lab and put it in soapy water for an hour or so and then rinse well with DI.</w:t>
      </w:r>
    </w:p>
    <w:p w:rsidR="0077386A" w:rsidRPr="0077386A" w:rsidRDefault="0077386A" w:rsidP="002650E0">
      <w:pPr>
        <w:pStyle w:val="ListParagraph"/>
        <w:numPr>
          <w:ilvl w:val="0"/>
          <w:numId w:val="6"/>
        </w:numPr>
        <w:shd w:val="clear" w:color="auto" w:fill="D6E3BC" w:themeFill="accent3" w:themeFillTint="66"/>
        <w:rPr>
          <w:rFonts w:asciiTheme="minorHAnsi" w:hAnsiTheme="minorHAnsi" w:cstheme="minorHAnsi"/>
        </w:rPr>
      </w:pPr>
      <w:r w:rsidRPr="0077386A">
        <w:rPr>
          <w:rFonts w:asciiTheme="minorHAnsi" w:hAnsiTheme="minorHAnsi" w:cstheme="minorHAnsi"/>
        </w:rPr>
        <w:t>After cleaning, return the probe and shade cover to the carrier case.</w:t>
      </w:r>
    </w:p>
    <w:p w:rsidR="0077386A" w:rsidRPr="0077386A" w:rsidRDefault="00ED3BAB" w:rsidP="002650E0">
      <w:pPr>
        <w:pStyle w:val="ListParagraph"/>
        <w:numPr>
          <w:ilvl w:val="0"/>
          <w:numId w:val="6"/>
        </w:numPr>
        <w:shd w:val="clear" w:color="auto" w:fill="D6E3BC" w:themeFill="accent3" w:themeFillTint="66"/>
        <w:rPr>
          <w:rFonts w:asciiTheme="minorHAnsi" w:hAnsiTheme="minorHAnsi" w:cstheme="minorHAnsi"/>
        </w:rPr>
      </w:pPr>
      <w:r>
        <w:rPr>
          <w:rFonts w:asciiTheme="minorHAnsi" w:hAnsiTheme="minorHAnsi" w:cstheme="minorHAnsi"/>
        </w:rPr>
        <w:t>Wipe off the cable and c</w:t>
      </w:r>
      <w:r w:rsidR="0077386A" w:rsidRPr="0077386A">
        <w:rPr>
          <w:rFonts w:asciiTheme="minorHAnsi" w:hAnsiTheme="minorHAnsi" w:cstheme="minorHAnsi"/>
        </w:rPr>
        <w:t xml:space="preserve">oil </w:t>
      </w:r>
      <w:r>
        <w:rPr>
          <w:rFonts w:asciiTheme="minorHAnsi" w:hAnsiTheme="minorHAnsi" w:cstheme="minorHAnsi"/>
        </w:rPr>
        <w:t>it</w:t>
      </w:r>
      <w:r w:rsidR="0077386A" w:rsidRPr="0077386A">
        <w:rPr>
          <w:rFonts w:asciiTheme="minorHAnsi" w:hAnsiTheme="minorHAnsi" w:cstheme="minorHAnsi"/>
        </w:rPr>
        <w:t xml:space="preserve"> in loose coils and </w:t>
      </w:r>
      <w:r>
        <w:rPr>
          <w:rFonts w:asciiTheme="minorHAnsi" w:hAnsiTheme="minorHAnsi" w:cstheme="minorHAnsi"/>
        </w:rPr>
        <w:t>place</w:t>
      </w:r>
      <w:r w:rsidRPr="0077386A">
        <w:rPr>
          <w:rFonts w:asciiTheme="minorHAnsi" w:hAnsiTheme="minorHAnsi" w:cstheme="minorHAnsi"/>
        </w:rPr>
        <w:t xml:space="preserve"> </w:t>
      </w:r>
      <w:r w:rsidR="0077386A" w:rsidRPr="0077386A">
        <w:rPr>
          <w:rFonts w:asciiTheme="minorHAnsi" w:hAnsiTheme="minorHAnsi" w:cstheme="minorHAnsi"/>
        </w:rPr>
        <w:t>to the carrier case.</w:t>
      </w:r>
    </w:p>
    <w:p w:rsidR="00E13950" w:rsidRDefault="00E13950" w:rsidP="002650E0">
      <w:pPr>
        <w:pStyle w:val="ListParagraph"/>
        <w:numPr>
          <w:ilvl w:val="0"/>
          <w:numId w:val="6"/>
        </w:numPr>
        <w:shd w:val="clear" w:color="auto" w:fill="D6E3BC" w:themeFill="accent3" w:themeFillTint="66"/>
      </w:pPr>
      <w:r>
        <w:rPr>
          <w:rFonts w:asciiTheme="minorHAnsi" w:hAnsiTheme="minorHAnsi" w:cstheme="minorHAnsi"/>
        </w:rPr>
        <w:t>Back at the lab</w:t>
      </w:r>
      <w:r w:rsidR="004E23FF">
        <w:rPr>
          <w:rFonts w:asciiTheme="minorHAnsi" w:hAnsiTheme="minorHAnsi" w:cstheme="minorHAnsi"/>
        </w:rPr>
        <w:t>,</w:t>
      </w:r>
      <w:r w:rsidRPr="00E13950">
        <w:rPr>
          <w:rFonts w:asciiTheme="minorHAnsi" w:hAnsiTheme="minorHAnsi" w:cstheme="minorHAnsi"/>
        </w:rPr>
        <w:t xml:space="preserve"> the stored data can be accessed and downloaded into Excel.  </w:t>
      </w:r>
    </w:p>
    <w:p w:rsidR="00B60FF8" w:rsidRDefault="00B60FF8" w:rsidP="00B60FF8">
      <w:pPr>
        <w:rPr>
          <w:rFonts w:asciiTheme="minorHAnsi" w:hAnsiTheme="minorHAnsi" w:cstheme="minorHAnsi"/>
        </w:rPr>
      </w:pPr>
      <w:r>
        <w:rPr>
          <w:rFonts w:asciiTheme="minorHAnsi" w:hAnsiTheme="minorHAnsi" w:cstheme="minorHAnsi"/>
        </w:rPr>
        <w:t xml:space="preserve">This </w:t>
      </w:r>
      <w:r w:rsidR="00CE4B2D">
        <w:rPr>
          <w:rFonts w:asciiTheme="minorHAnsi" w:hAnsiTheme="minorHAnsi" w:cstheme="minorHAnsi"/>
        </w:rPr>
        <w:t>sampling</w:t>
      </w:r>
      <w:r>
        <w:rPr>
          <w:rFonts w:asciiTheme="minorHAnsi" w:hAnsiTheme="minorHAnsi" w:cstheme="minorHAnsi"/>
        </w:rPr>
        <w:t xml:space="preserve"> routine </w:t>
      </w:r>
      <w:r w:rsidR="00CE4B2D">
        <w:rPr>
          <w:rFonts w:asciiTheme="minorHAnsi" w:hAnsiTheme="minorHAnsi" w:cstheme="minorHAnsi"/>
        </w:rPr>
        <w:t xml:space="preserve">will help you </w:t>
      </w:r>
      <w:r>
        <w:rPr>
          <w:rFonts w:asciiTheme="minorHAnsi" w:hAnsiTheme="minorHAnsi" w:cstheme="minorHAnsi"/>
        </w:rPr>
        <w:t xml:space="preserve">determine if a blue-green coloration of the water is </w:t>
      </w:r>
      <w:proofErr w:type="spellStart"/>
      <w:r>
        <w:rPr>
          <w:rFonts w:asciiTheme="minorHAnsi" w:hAnsiTheme="minorHAnsi" w:cstheme="minorHAnsi"/>
        </w:rPr>
        <w:t>cyanobacteria</w:t>
      </w:r>
      <w:proofErr w:type="spellEnd"/>
      <w:r>
        <w:rPr>
          <w:rFonts w:asciiTheme="minorHAnsi" w:hAnsiTheme="minorHAnsi" w:cstheme="minorHAnsi"/>
        </w:rPr>
        <w:t xml:space="preserve"> or not, </w:t>
      </w:r>
      <w:r w:rsidR="006C47D6">
        <w:rPr>
          <w:rFonts w:asciiTheme="minorHAnsi" w:hAnsiTheme="minorHAnsi" w:cstheme="minorHAnsi"/>
        </w:rPr>
        <w:t xml:space="preserve">how </w:t>
      </w:r>
      <w:proofErr w:type="gramStart"/>
      <w:r>
        <w:rPr>
          <w:rFonts w:asciiTheme="minorHAnsi" w:hAnsiTheme="minorHAnsi" w:cstheme="minorHAnsi"/>
        </w:rPr>
        <w:t>dense</w:t>
      </w:r>
      <w:r w:rsidR="00851286">
        <w:rPr>
          <w:rFonts w:asciiTheme="minorHAnsi" w:hAnsiTheme="minorHAnsi" w:cstheme="minorHAnsi"/>
        </w:rPr>
        <w:t xml:space="preserve"> </w:t>
      </w:r>
      <w:r>
        <w:rPr>
          <w:rFonts w:asciiTheme="minorHAnsi" w:hAnsiTheme="minorHAnsi" w:cstheme="minorHAnsi"/>
        </w:rPr>
        <w:t xml:space="preserve"> a</w:t>
      </w:r>
      <w:proofErr w:type="gramEnd"/>
      <w:r>
        <w:rPr>
          <w:rFonts w:asciiTheme="minorHAnsi" w:hAnsiTheme="minorHAnsi" w:cstheme="minorHAnsi"/>
        </w:rPr>
        <w:t xml:space="preserve"> </w:t>
      </w:r>
      <w:proofErr w:type="spellStart"/>
      <w:r>
        <w:rPr>
          <w:rFonts w:asciiTheme="minorHAnsi" w:hAnsiTheme="minorHAnsi" w:cstheme="minorHAnsi"/>
        </w:rPr>
        <w:t>cyanobacteria</w:t>
      </w:r>
      <w:proofErr w:type="spellEnd"/>
      <w:r>
        <w:rPr>
          <w:rFonts w:asciiTheme="minorHAnsi" w:hAnsiTheme="minorHAnsi" w:cstheme="minorHAnsi"/>
        </w:rPr>
        <w:t xml:space="preserve"> bloom is, </w:t>
      </w:r>
      <w:r w:rsidR="005768F4">
        <w:rPr>
          <w:rFonts w:asciiTheme="minorHAnsi" w:hAnsiTheme="minorHAnsi" w:cstheme="minorHAnsi"/>
        </w:rPr>
        <w:t xml:space="preserve">what depth it is found at </w:t>
      </w:r>
      <w:r w:rsidR="006C47D6">
        <w:rPr>
          <w:rFonts w:asciiTheme="minorHAnsi" w:hAnsiTheme="minorHAnsi" w:cstheme="minorHAnsi"/>
        </w:rPr>
        <w:t xml:space="preserve">as well as </w:t>
      </w:r>
      <w:r w:rsidR="005768F4">
        <w:rPr>
          <w:rFonts w:asciiTheme="minorHAnsi" w:hAnsiTheme="minorHAnsi" w:cstheme="minorHAnsi"/>
        </w:rPr>
        <w:t xml:space="preserve">its spatial extent. </w:t>
      </w:r>
      <w:r w:rsidR="00CE4B2D">
        <w:rPr>
          <w:rFonts w:asciiTheme="minorHAnsi" w:hAnsiTheme="minorHAnsi" w:cstheme="minorHAnsi"/>
        </w:rPr>
        <w:t xml:space="preserve">Obtaining </w:t>
      </w:r>
      <w:r>
        <w:rPr>
          <w:rFonts w:asciiTheme="minorHAnsi" w:hAnsiTheme="minorHAnsi" w:cstheme="minorHAnsi"/>
        </w:rPr>
        <w:t>m</w:t>
      </w:r>
      <w:r w:rsidR="0067691F">
        <w:rPr>
          <w:rFonts w:asciiTheme="minorHAnsi" w:hAnsiTheme="minorHAnsi" w:cstheme="minorHAnsi"/>
        </w:rPr>
        <w:t xml:space="preserve">easurements within this </w:t>
      </w:r>
      <w:r>
        <w:rPr>
          <w:rFonts w:asciiTheme="minorHAnsi" w:hAnsiTheme="minorHAnsi" w:cstheme="minorHAnsi"/>
        </w:rPr>
        <w:t>upper part of the water column will quickly help you determine if you hav</w:t>
      </w:r>
      <w:r w:rsidR="0067691F">
        <w:rPr>
          <w:rFonts w:asciiTheme="minorHAnsi" w:hAnsiTheme="minorHAnsi" w:cstheme="minorHAnsi"/>
        </w:rPr>
        <w:t xml:space="preserve">e a cyanobacteria bloom present. </w:t>
      </w:r>
    </w:p>
    <w:p w:rsidR="00A52FEE" w:rsidRDefault="00055759" w:rsidP="00A52FEE">
      <w:pPr>
        <w:rPr>
          <w:rFonts w:asciiTheme="minorHAnsi" w:hAnsiTheme="minorHAnsi" w:cstheme="minorHAnsi"/>
        </w:rPr>
      </w:pPr>
      <w:r>
        <w:rPr>
          <w:rFonts w:asciiTheme="minorHAnsi" w:hAnsiTheme="minorHAnsi" w:cstheme="minorHAnsi"/>
        </w:rPr>
        <w:t>For more complete information, g</w:t>
      </w:r>
      <w:r w:rsidR="00737683">
        <w:rPr>
          <w:rFonts w:asciiTheme="minorHAnsi" w:hAnsiTheme="minorHAnsi" w:cstheme="minorHAnsi"/>
        </w:rPr>
        <w:t xml:space="preserve">rab samples of the scum or within the water column </w:t>
      </w:r>
      <w:r>
        <w:rPr>
          <w:rFonts w:asciiTheme="minorHAnsi" w:hAnsiTheme="minorHAnsi" w:cstheme="minorHAnsi"/>
        </w:rPr>
        <w:t xml:space="preserve">could </w:t>
      </w:r>
      <w:r w:rsidR="00737683">
        <w:rPr>
          <w:rFonts w:asciiTheme="minorHAnsi" w:hAnsiTheme="minorHAnsi" w:cstheme="minorHAnsi"/>
        </w:rPr>
        <w:t xml:space="preserve">be collected for </w:t>
      </w:r>
      <w:r w:rsidR="00A52FEE">
        <w:rPr>
          <w:rFonts w:asciiTheme="minorHAnsi" w:hAnsiTheme="minorHAnsi" w:cstheme="minorHAnsi"/>
        </w:rPr>
        <w:t>identification and counts</w:t>
      </w:r>
      <w:r w:rsidR="0078794D">
        <w:rPr>
          <w:rFonts w:asciiTheme="minorHAnsi" w:hAnsiTheme="minorHAnsi" w:cstheme="minorHAnsi"/>
        </w:rPr>
        <w:t xml:space="preserve">.  </w:t>
      </w:r>
      <w:r w:rsidR="00737683">
        <w:rPr>
          <w:rFonts w:asciiTheme="minorHAnsi" w:hAnsiTheme="minorHAnsi" w:cstheme="minorHAnsi"/>
        </w:rPr>
        <w:t xml:space="preserve">If the information may be used by Mass. Dept of Public Health (MADPH) to determine </w:t>
      </w:r>
      <w:r w:rsidR="0078794D">
        <w:rPr>
          <w:rFonts w:asciiTheme="minorHAnsi" w:hAnsiTheme="minorHAnsi" w:cstheme="minorHAnsi"/>
        </w:rPr>
        <w:t xml:space="preserve"> </w:t>
      </w:r>
      <w:r w:rsidR="00737683">
        <w:rPr>
          <w:rFonts w:asciiTheme="minorHAnsi" w:hAnsiTheme="minorHAnsi" w:cstheme="minorHAnsi"/>
        </w:rPr>
        <w:t xml:space="preserve">if a waterbody is safe for recreational use, </w:t>
      </w:r>
      <w:r>
        <w:rPr>
          <w:rFonts w:asciiTheme="minorHAnsi" w:hAnsiTheme="minorHAnsi" w:cstheme="minorHAnsi"/>
        </w:rPr>
        <w:t xml:space="preserve">collection of </w:t>
      </w:r>
      <w:r w:rsidR="00737683">
        <w:rPr>
          <w:rFonts w:asciiTheme="minorHAnsi" w:hAnsiTheme="minorHAnsi" w:cstheme="minorHAnsi"/>
        </w:rPr>
        <w:t xml:space="preserve">the sample </w:t>
      </w:r>
      <w:r w:rsidR="0078794D">
        <w:rPr>
          <w:rFonts w:asciiTheme="minorHAnsi" w:hAnsiTheme="minorHAnsi" w:cstheme="minorHAnsi"/>
        </w:rPr>
        <w:t xml:space="preserve">should </w:t>
      </w:r>
      <w:r w:rsidR="00737683">
        <w:rPr>
          <w:rFonts w:asciiTheme="minorHAnsi" w:hAnsiTheme="minorHAnsi" w:cstheme="minorHAnsi"/>
        </w:rPr>
        <w:t xml:space="preserve">follow their protocols and be collected by inverting a clean glass or plastic jar and submerging it down to the </w:t>
      </w:r>
      <w:r w:rsidR="0078794D">
        <w:rPr>
          <w:rFonts w:asciiTheme="minorHAnsi" w:hAnsiTheme="minorHAnsi" w:cstheme="minorHAnsi"/>
        </w:rPr>
        <w:t xml:space="preserve"> 0.25 m depth</w:t>
      </w:r>
      <w:r w:rsidR="001C185E">
        <w:rPr>
          <w:rFonts w:asciiTheme="minorHAnsi" w:hAnsiTheme="minorHAnsi" w:cstheme="minorHAnsi"/>
        </w:rPr>
        <w:t xml:space="preserve"> (approximately 9 inches)</w:t>
      </w:r>
      <w:r w:rsidR="0078794D">
        <w:rPr>
          <w:rFonts w:asciiTheme="minorHAnsi" w:hAnsiTheme="minorHAnsi" w:cstheme="minorHAnsi"/>
        </w:rPr>
        <w:t>.</w:t>
      </w:r>
      <w:r w:rsidR="00737683">
        <w:rPr>
          <w:rFonts w:asciiTheme="minorHAnsi" w:hAnsiTheme="minorHAnsi" w:cstheme="minorHAnsi"/>
        </w:rPr>
        <w:t xml:space="preserve"> </w:t>
      </w:r>
      <w:r>
        <w:rPr>
          <w:rFonts w:asciiTheme="minorHAnsi" w:hAnsiTheme="minorHAnsi" w:cstheme="minorHAnsi"/>
        </w:rPr>
        <w:t>Then c</w:t>
      </w:r>
      <w:r w:rsidR="00737683">
        <w:rPr>
          <w:rFonts w:asciiTheme="minorHAnsi" w:hAnsiTheme="minorHAnsi" w:cstheme="minorHAnsi"/>
        </w:rPr>
        <w:t>ap it underwater and bring it back up to the surface.</w:t>
      </w:r>
      <w:r w:rsidR="00A52FEE">
        <w:rPr>
          <w:rFonts w:asciiTheme="minorHAnsi" w:hAnsiTheme="minorHAnsi" w:cstheme="minorHAnsi"/>
        </w:rPr>
        <w:t xml:space="preserve"> </w:t>
      </w:r>
      <w:r w:rsidR="0077386A">
        <w:rPr>
          <w:rFonts w:asciiTheme="minorHAnsi" w:hAnsiTheme="minorHAnsi" w:cstheme="minorHAnsi"/>
        </w:rPr>
        <w:t xml:space="preserve">  </w:t>
      </w:r>
      <w:r>
        <w:rPr>
          <w:rFonts w:asciiTheme="minorHAnsi" w:hAnsiTheme="minorHAnsi" w:cstheme="minorHAnsi"/>
        </w:rPr>
        <w:t xml:space="preserve">The sample </w:t>
      </w:r>
      <w:r w:rsidR="0077386A">
        <w:rPr>
          <w:rFonts w:asciiTheme="minorHAnsi" w:hAnsiTheme="minorHAnsi" w:cstheme="minorHAnsi"/>
        </w:rPr>
        <w:t>should be kept in the dark and on ice for analysis within 24 hours</w:t>
      </w:r>
      <w:r>
        <w:rPr>
          <w:rFonts w:asciiTheme="minorHAnsi" w:hAnsiTheme="minorHAnsi" w:cstheme="minorHAnsi"/>
        </w:rPr>
        <w:t xml:space="preserve">.  It could alternatively be </w:t>
      </w:r>
      <w:r w:rsidR="0077386A">
        <w:rPr>
          <w:rFonts w:asciiTheme="minorHAnsi" w:hAnsiTheme="minorHAnsi" w:cstheme="minorHAnsi"/>
        </w:rPr>
        <w:t>preserved with Lugol’s</w:t>
      </w:r>
      <w:r>
        <w:rPr>
          <w:rFonts w:asciiTheme="minorHAnsi" w:hAnsiTheme="minorHAnsi" w:cstheme="minorHAnsi"/>
        </w:rPr>
        <w:t xml:space="preserve"> solution</w:t>
      </w:r>
      <w:r w:rsidR="0077386A">
        <w:rPr>
          <w:rFonts w:asciiTheme="minorHAnsi" w:hAnsiTheme="minorHAnsi" w:cstheme="minorHAnsi"/>
        </w:rPr>
        <w:t>.</w:t>
      </w:r>
    </w:p>
    <w:p w:rsidR="003E5D8D" w:rsidRDefault="00584FCA" w:rsidP="00151222">
      <w:pPr>
        <w:rPr>
          <w:rFonts w:asciiTheme="minorHAnsi" w:hAnsiTheme="minorHAnsi" w:cstheme="minorHAnsi"/>
          <w:b/>
        </w:rPr>
      </w:pPr>
      <w:r>
        <w:rPr>
          <w:rFonts w:asciiTheme="minorHAnsi" w:hAnsiTheme="minorHAnsi" w:cstheme="minorHAnsi"/>
          <w:b/>
        </w:rPr>
        <w:t>S</w:t>
      </w:r>
      <w:r w:rsidR="00FC2E1D">
        <w:rPr>
          <w:rFonts w:asciiTheme="minorHAnsi" w:hAnsiTheme="minorHAnsi" w:cstheme="minorHAnsi"/>
          <w:b/>
        </w:rPr>
        <w:t xml:space="preserve">amples for lab analysis </w:t>
      </w:r>
      <w:r w:rsidR="003A7BFA">
        <w:rPr>
          <w:rFonts w:asciiTheme="minorHAnsi" w:hAnsiTheme="minorHAnsi" w:cstheme="minorHAnsi"/>
          <w:b/>
        </w:rPr>
        <w:t>(</w:t>
      </w:r>
      <w:r>
        <w:rPr>
          <w:rFonts w:asciiTheme="minorHAnsi" w:hAnsiTheme="minorHAnsi" w:cstheme="minorHAnsi"/>
          <w:b/>
        </w:rPr>
        <w:t>in place of field samples</w:t>
      </w:r>
      <w:r w:rsidR="003A7BFA">
        <w:rPr>
          <w:rFonts w:asciiTheme="minorHAnsi" w:hAnsiTheme="minorHAnsi" w:cstheme="minorHAnsi"/>
          <w:b/>
        </w:rPr>
        <w:t>)</w:t>
      </w:r>
    </w:p>
    <w:p w:rsidR="003E5D8D" w:rsidRDefault="00DE6A3B" w:rsidP="00151222">
      <w:pPr>
        <w:rPr>
          <w:rFonts w:asciiTheme="minorHAnsi" w:hAnsiTheme="minorHAnsi" w:cstheme="minorHAnsi"/>
        </w:rPr>
      </w:pPr>
      <w:r>
        <w:rPr>
          <w:rFonts w:asciiTheme="minorHAnsi" w:hAnsiTheme="minorHAnsi" w:cstheme="minorHAnsi"/>
        </w:rPr>
        <w:t>If the probe is not available to take out in the field, s</w:t>
      </w:r>
      <w:r w:rsidR="000E0CF9" w:rsidRPr="000E0CF9">
        <w:rPr>
          <w:rFonts w:asciiTheme="minorHAnsi" w:hAnsiTheme="minorHAnsi" w:cstheme="minorHAnsi"/>
        </w:rPr>
        <w:t xml:space="preserve">amples </w:t>
      </w:r>
      <w:r w:rsidR="00F430AB">
        <w:rPr>
          <w:rFonts w:asciiTheme="minorHAnsi" w:hAnsiTheme="minorHAnsi" w:cstheme="minorHAnsi"/>
        </w:rPr>
        <w:t xml:space="preserve">(of at least a liter of sample water) </w:t>
      </w:r>
      <w:r w:rsidR="000E0CF9" w:rsidRPr="000E0CF9">
        <w:rPr>
          <w:rFonts w:asciiTheme="minorHAnsi" w:hAnsiTheme="minorHAnsi" w:cstheme="minorHAnsi"/>
        </w:rPr>
        <w:t xml:space="preserve">can be </w:t>
      </w:r>
      <w:r w:rsidR="003E5D8D">
        <w:rPr>
          <w:rFonts w:asciiTheme="minorHAnsi" w:hAnsiTheme="minorHAnsi" w:cstheme="minorHAnsi"/>
        </w:rPr>
        <w:t>brought</w:t>
      </w:r>
      <w:r w:rsidR="000E0CF9" w:rsidRPr="000E0CF9">
        <w:rPr>
          <w:rFonts w:asciiTheme="minorHAnsi" w:hAnsiTheme="minorHAnsi" w:cstheme="minorHAnsi"/>
        </w:rPr>
        <w:t xml:space="preserve"> back </w:t>
      </w:r>
      <w:r w:rsidR="003E5D8D">
        <w:rPr>
          <w:rFonts w:asciiTheme="minorHAnsi" w:hAnsiTheme="minorHAnsi" w:cstheme="minorHAnsi"/>
        </w:rPr>
        <w:t>to</w:t>
      </w:r>
      <w:r w:rsidR="000E0CF9" w:rsidRPr="000E0CF9">
        <w:rPr>
          <w:rFonts w:asciiTheme="minorHAnsi" w:hAnsiTheme="minorHAnsi" w:cstheme="minorHAnsi"/>
        </w:rPr>
        <w:t xml:space="preserve"> the l</w:t>
      </w:r>
      <w:r w:rsidR="003E5D8D">
        <w:rPr>
          <w:rFonts w:asciiTheme="minorHAnsi" w:hAnsiTheme="minorHAnsi" w:cstheme="minorHAnsi"/>
        </w:rPr>
        <w:t>ab for analys</w:t>
      </w:r>
      <w:r w:rsidR="00902DDB">
        <w:rPr>
          <w:rFonts w:asciiTheme="minorHAnsi" w:hAnsiTheme="minorHAnsi" w:cstheme="minorHAnsi"/>
        </w:rPr>
        <w:t>i</w:t>
      </w:r>
      <w:r w:rsidR="003E5D8D">
        <w:rPr>
          <w:rFonts w:asciiTheme="minorHAnsi" w:hAnsiTheme="minorHAnsi" w:cstheme="minorHAnsi"/>
        </w:rPr>
        <w:t>s</w:t>
      </w:r>
      <w:r w:rsidR="00F430AB">
        <w:rPr>
          <w:rFonts w:asciiTheme="minorHAnsi" w:hAnsiTheme="minorHAnsi" w:cstheme="minorHAnsi"/>
        </w:rPr>
        <w:t xml:space="preserve">.  </w:t>
      </w:r>
      <w:r w:rsidR="002B5C67">
        <w:rPr>
          <w:rFonts w:asciiTheme="minorHAnsi" w:hAnsiTheme="minorHAnsi" w:cstheme="minorHAnsi"/>
        </w:rPr>
        <w:t xml:space="preserve">  Samples are collected by wading into the water to ~ knee depth and then inverting the sample jar and plunging it into the water to a depth of approximately </w:t>
      </w:r>
      <w:r w:rsidR="007A5200">
        <w:rPr>
          <w:rFonts w:asciiTheme="minorHAnsi" w:hAnsiTheme="minorHAnsi" w:cstheme="minorHAnsi"/>
        </w:rPr>
        <w:t>9</w:t>
      </w:r>
      <w:r w:rsidR="002B5C67">
        <w:rPr>
          <w:rFonts w:asciiTheme="minorHAnsi" w:hAnsiTheme="minorHAnsi" w:cstheme="minorHAnsi"/>
        </w:rPr>
        <w:t xml:space="preserve"> inches.</w:t>
      </w:r>
      <w:r w:rsidR="007A5200">
        <w:rPr>
          <w:rFonts w:asciiTheme="minorHAnsi" w:hAnsiTheme="minorHAnsi" w:cstheme="minorHAnsi"/>
        </w:rPr>
        <w:t xml:space="preserve"> The sample jar is brought back up, capped, labeled and put into a cooler containing ice for transport to the DEP-DWM lab in the Central Regio</w:t>
      </w:r>
      <w:r w:rsidR="00D65CF7">
        <w:rPr>
          <w:rFonts w:asciiTheme="minorHAnsi" w:hAnsiTheme="minorHAnsi" w:cstheme="minorHAnsi"/>
        </w:rPr>
        <w:t xml:space="preserve">nal </w:t>
      </w:r>
      <w:r w:rsidR="007A5200">
        <w:rPr>
          <w:rFonts w:asciiTheme="minorHAnsi" w:hAnsiTheme="minorHAnsi" w:cstheme="minorHAnsi"/>
        </w:rPr>
        <w:t>Office bui</w:t>
      </w:r>
      <w:r w:rsidR="00D65CF7">
        <w:rPr>
          <w:rFonts w:asciiTheme="minorHAnsi" w:hAnsiTheme="minorHAnsi" w:cstheme="minorHAnsi"/>
        </w:rPr>
        <w:t>l</w:t>
      </w:r>
      <w:r w:rsidR="007A5200">
        <w:rPr>
          <w:rFonts w:asciiTheme="minorHAnsi" w:hAnsiTheme="minorHAnsi" w:cstheme="minorHAnsi"/>
        </w:rPr>
        <w:t xml:space="preserve">ding in Worcester.  </w:t>
      </w:r>
    </w:p>
    <w:p w:rsidR="00CF6546" w:rsidRDefault="007A5200" w:rsidP="00151222">
      <w:pPr>
        <w:rPr>
          <w:rFonts w:asciiTheme="minorHAnsi" w:hAnsiTheme="minorHAnsi" w:cstheme="minorHAnsi"/>
        </w:rPr>
      </w:pPr>
      <w:r>
        <w:rPr>
          <w:rFonts w:asciiTheme="minorHAnsi" w:hAnsiTheme="minorHAnsi" w:cstheme="minorHAnsi"/>
        </w:rPr>
        <w:t xml:space="preserve">At the lab, set up the probe as described in section </w:t>
      </w:r>
      <w:r w:rsidR="00AE6E7F">
        <w:rPr>
          <w:rFonts w:asciiTheme="minorHAnsi" w:hAnsiTheme="minorHAnsi" w:cstheme="minorHAnsi"/>
        </w:rPr>
        <w:t>8</w:t>
      </w:r>
      <w:r>
        <w:rPr>
          <w:rFonts w:asciiTheme="minorHAnsi" w:hAnsiTheme="minorHAnsi" w:cstheme="minorHAnsi"/>
        </w:rPr>
        <w:t xml:space="preserve"> </w:t>
      </w:r>
      <w:r w:rsidR="003E1E31">
        <w:rPr>
          <w:rFonts w:asciiTheme="minorHAnsi" w:hAnsiTheme="minorHAnsi" w:cstheme="minorHAnsi"/>
        </w:rPr>
        <w:t>on the non-reflective black surface</w:t>
      </w:r>
      <w:r>
        <w:rPr>
          <w:rFonts w:asciiTheme="minorHAnsi" w:hAnsiTheme="minorHAnsi" w:cstheme="minorHAnsi"/>
        </w:rPr>
        <w:t xml:space="preserve">. </w:t>
      </w:r>
      <w:r w:rsidR="00817CCF">
        <w:rPr>
          <w:rFonts w:asciiTheme="minorHAnsi" w:hAnsiTheme="minorHAnsi" w:cstheme="minorHAnsi"/>
        </w:rPr>
        <w:t xml:space="preserve"> If the samples were held in the refrigerator take them out ~2 hours before you expect to do your analysis</w:t>
      </w:r>
      <w:r w:rsidR="00DE6A3B">
        <w:rPr>
          <w:rFonts w:asciiTheme="minorHAnsi" w:hAnsiTheme="minorHAnsi" w:cstheme="minorHAnsi"/>
        </w:rPr>
        <w:t xml:space="preserve"> to allow them to come to room temperature, </w:t>
      </w:r>
      <w:r w:rsidR="00817CCF">
        <w:rPr>
          <w:rFonts w:asciiTheme="minorHAnsi" w:hAnsiTheme="minorHAnsi" w:cstheme="minorHAnsi"/>
        </w:rPr>
        <w:t xml:space="preserve">but still keep them in the dark.  Samples </w:t>
      </w:r>
      <w:r w:rsidR="00CF6546">
        <w:rPr>
          <w:rFonts w:asciiTheme="minorHAnsi" w:hAnsiTheme="minorHAnsi" w:cstheme="minorHAnsi"/>
        </w:rPr>
        <w:t>should be at</w:t>
      </w:r>
      <w:r w:rsidR="00817CCF">
        <w:rPr>
          <w:rFonts w:asciiTheme="minorHAnsi" w:hAnsiTheme="minorHAnsi" w:cstheme="minorHAnsi"/>
        </w:rPr>
        <w:t xml:space="preserve"> room temperature.  </w:t>
      </w:r>
      <w:r w:rsidR="00CF6546">
        <w:rPr>
          <w:rFonts w:asciiTheme="minorHAnsi" w:hAnsiTheme="minorHAnsi" w:cstheme="minorHAnsi"/>
        </w:rPr>
        <w:t>Other equipment needed</w:t>
      </w:r>
      <w:r w:rsidR="005F6F24">
        <w:rPr>
          <w:rFonts w:asciiTheme="minorHAnsi" w:hAnsiTheme="minorHAnsi" w:cstheme="minorHAnsi"/>
        </w:rPr>
        <w:t xml:space="preserve"> are </w:t>
      </w:r>
      <w:r w:rsidR="003E1E31">
        <w:rPr>
          <w:rFonts w:asciiTheme="minorHAnsi" w:hAnsiTheme="minorHAnsi" w:cstheme="minorHAnsi"/>
        </w:rPr>
        <w:t xml:space="preserve">two </w:t>
      </w:r>
      <w:r w:rsidR="005F6F24">
        <w:rPr>
          <w:rFonts w:asciiTheme="minorHAnsi" w:hAnsiTheme="minorHAnsi" w:cstheme="minorHAnsi"/>
        </w:rPr>
        <w:t xml:space="preserve">2 L beakers </w:t>
      </w:r>
      <w:r w:rsidR="00CF6546">
        <w:rPr>
          <w:rFonts w:asciiTheme="minorHAnsi" w:hAnsiTheme="minorHAnsi" w:cstheme="minorHAnsi"/>
        </w:rPr>
        <w:t>(</w:t>
      </w:r>
      <w:r w:rsidR="005F6F24">
        <w:rPr>
          <w:rFonts w:asciiTheme="minorHAnsi" w:hAnsiTheme="minorHAnsi" w:cstheme="minorHAnsi"/>
        </w:rPr>
        <w:t xml:space="preserve">stored in the cabinet above chlorophyll analysis area </w:t>
      </w:r>
      <w:r w:rsidR="00CF6546">
        <w:rPr>
          <w:rFonts w:asciiTheme="minorHAnsi" w:hAnsiTheme="minorHAnsi" w:cstheme="minorHAnsi"/>
        </w:rPr>
        <w:t>)</w:t>
      </w:r>
      <w:r w:rsidR="005F6F24">
        <w:rPr>
          <w:rFonts w:asciiTheme="minorHAnsi" w:hAnsiTheme="minorHAnsi" w:cstheme="minorHAnsi"/>
        </w:rPr>
        <w:t xml:space="preserve">(room </w:t>
      </w:r>
      <w:r w:rsidR="003E1E31">
        <w:rPr>
          <w:rFonts w:asciiTheme="minorHAnsi" w:hAnsiTheme="minorHAnsi" w:cstheme="minorHAnsi"/>
        </w:rPr>
        <w:t>117</w:t>
      </w:r>
      <w:r w:rsidR="005F6F24">
        <w:rPr>
          <w:rFonts w:asciiTheme="minorHAnsi" w:hAnsiTheme="minorHAnsi" w:cstheme="minorHAnsi"/>
        </w:rPr>
        <w:t xml:space="preserve">), </w:t>
      </w:r>
      <w:r w:rsidR="00CF6546">
        <w:rPr>
          <w:rFonts w:asciiTheme="minorHAnsi" w:hAnsiTheme="minorHAnsi" w:cstheme="minorHAnsi"/>
        </w:rPr>
        <w:t xml:space="preserve">and </w:t>
      </w:r>
      <w:r w:rsidR="005F6F24">
        <w:rPr>
          <w:rFonts w:asciiTheme="minorHAnsi" w:hAnsiTheme="minorHAnsi" w:cstheme="minorHAnsi"/>
        </w:rPr>
        <w:t>the shade cap to keep the probe at the correct height</w:t>
      </w:r>
      <w:r w:rsidR="00CF6546">
        <w:rPr>
          <w:rFonts w:asciiTheme="minorHAnsi" w:hAnsiTheme="minorHAnsi" w:cstheme="minorHAnsi"/>
        </w:rPr>
        <w:t xml:space="preserve"> in the beaker</w:t>
      </w:r>
      <w:r w:rsidR="001F609B">
        <w:rPr>
          <w:rFonts w:asciiTheme="minorHAnsi" w:hAnsiTheme="minorHAnsi" w:cstheme="minorHAnsi"/>
        </w:rPr>
        <w:t xml:space="preserve">.  </w:t>
      </w:r>
    </w:p>
    <w:p w:rsidR="00A11CF4" w:rsidRDefault="006C372E" w:rsidP="00A11CF4">
      <w:pPr>
        <w:pStyle w:val="ListParagraph"/>
        <w:numPr>
          <w:ilvl w:val="0"/>
          <w:numId w:val="7"/>
        </w:numPr>
        <w:shd w:val="clear" w:color="auto" w:fill="D6E3BC" w:themeFill="accent3" w:themeFillTint="66"/>
        <w:rPr>
          <w:rFonts w:asciiTheme="minorHAnsi" w:hAnsiTheme="minorHAnsi" w:cstheme="minorHAnsi"/>
        </w:rPr>
      </w:pPr>
      <w:r>
        <w:rPr>
          <w:rFonts w:asciiTheme="minorHAnsi" w:hAnsiTheme="minorHAnsi" w:cstheme="minorHAnsi"/>
        </w:rPr>
        <w:t>First fill one 2 L beaker with DI water, submerge the probe, allow it to acclimate to room temperature and then take a reading.  The reading should be &lt;2 µg/L.</w:t>
      </w:r>
    </w:p>
    <w:p w:rsidR="00A11CF4" w:rsidRDefault="00806447" w:rsidP="00A11CF4">
      <w:pPr>
        <w:pStyle w:val="ListParagraph"/>
        <w:numPr>
          <w:ilvl w:val="0"/>
          <w:numId w:val="7"/>
        </w:numPr>
        <w:shd w:val="clear" w:color="auto" w:fill="D6E3BC" w:themeFill="accent3" w:themeFillTint="66"/>
        <w:rPr>
          <w:rFonts w:asciiTheme="minorHAnsi" w:hAnsiTheme="minorHAnsi" w:cstheme="minorHAnsi"/>
        </w:rPr>
      </w:pPr>
      <w:r>
        <w:rPr>
          <w:rFonts w:asciiTheme="minorHAnsi" w:hAnsiTheme="minorHAnsi" w:cstheme="minorHAnsi"/>
        </w:rPr>
        <w:t>S</w:t>
      </w:r>
      <w:r w:rsidR="006C372E">
        <w:rPr>
          <w:rFonts w:asciiTheme="minorHAnsi" w:hAnsiTheme="minorHAnsi" w:cstheme="minorHAnsi"/>
        </w:rPr>
        <w:t>hake the sample  container well to mix the sample and fill the second beaker with the liter of water.</w:t>
      </w:r>
    </w:p>
    <w:p w:rsidR="00A11CF4" w:rsidRDefault="006C372E" w:rsidP="00A11CF4">
      <w:pPr>
        <w:pStyle w:val="ListParagraph"/>
        <w:numPr>
          <w:ilvl w:val="0"/>
          <w:numId w:val="7"/>
        </w:numPr>
        <w:shd w:val="clear" w:color="auto" w:fill="D6E3BC" w:themeFill="accent3" w:themeFillTint="66"/>
        <w:rPr>
          <w:rFonts w:asciiTheme="minorHAnsi" w:hAnsiTheme="minorHAnsi" w:cstheme="minorHAnsi"/>
        </w:rPr>
      </w:pPr>
      <w:r>
        <w:rPr>
          <w:rFonts w:asciiTheme="minorHAnsi" w:hAnsiTheme="minorHAnsi" w:cstheme="minorHAnsi"/>
        </w:rPr>
        <w:t>Gently lower the probe down into the water.  Make sure that air bubbles do not form on the lens surface.</w:t>
      </w:r>
    </w:p>
    <w:p w:rsidR="00A11CF4" w:rsidRDefault="006C372E" w:rsidP="00A11CF4">
      <w:pPr>
        <w:pStyle w:val="ListParagraph"/>
        <w:numPr>
          <w:ilvl w:val="0"/>
          <w:numId w:val="7"/>
        </w:numPr>
        <w:shd w:val="clear" w:color="auto" w:fill="D6E3BC" w:themeFill="accent3" w:themeFillTint="66"/>
        <w:rPr>
          <w:rFonts w:asciiTheme="minorHAnsi" w:hAnsiTheme="minorHAnsi" w:cstheme="minorHAnsi"/>
        </w:rPr>
      </w:pPr>
      <w:r>
        <w:rPr>
          <w:rFonts w:asciiTheme="minorHAnsi" w:hAnsiTheme="minorHAnsi" w:cstheme="minorHAnsi"/>
        </w:rPr>
        <w:t xml:space="preserve">Let the probe acclimate for 1 minute and then either record one reading or hold down the store button to record for one minute.  </w:t>
      </w:r>
    </w:p>
    <w:p w:rsidR="00A11CF4" w:rsidRDefault="006C372E" w:rsidP="00A11CF4">
      <w:pPr>
        <w:pStyle w:val="ListParagraph"/>
        <w:numPr>
          <w:ilvl w:val="0"/>
          <w:numId w:val="7"/>
        </w:numPr>
        <w:shd w:val="clear" w:color="auto" w:fill="D6E3BC" w:themeFill="accent3" w:themeFillTint="66"/>
        <w:rPr>
          <w:rFonts w:asciiTheme="minorHAnsi" w:hAnsiTheme="minorHAnsi" w:cstheme="minorHAnsi"/>
        </w:rPr>
      </w:pPr>
      <w:r w:rsidRPr="00110454">
        <w:rPr>
          <w:rFonts w:asciiTheme="minorHAnsi" w:hAnsiTheme="minorHAnsi" w:cstheme="minorHAnsi"/>
        </w:rPr>
        <w:t xml:space="preserve">If more than one reading is made per minute the results should be averaged. </w:t>
      </w:r>
    </w:p>
    <w:p w:rsidR="0016798E" w:rsidRDefault="0016798E">
      <w:pPr>
        <w:rPr>
          <w:rFonts w:asciiTheme="minorHAnsi" w:hAnsiTheme="minorHAnsi" w:cstheme="minorHAnsi"/>
          <w:b/>
        </w:rPr>
      </w:pPr>
      <w:r>
        <w:rPr>
          <w:rFonts w:asciiTheme="minorHAnsi" w:hAnsiTheme="minorHAnsi" w:cstheme="minorHAnsi"/>
          <w:b/>
        </w:rPr>
        <w:br w:type="page"/>
      </w:r>
    </w:p>
    <w:p w:rsidR="00C00601" w:rsidRDefault="00C00601" w:rsidP="00B04D27">
      <w:pPr>
        <w:rPr>
          <w:rFonts w:asciiTheme="minorHAnsi" w:hAnsiTheme="minorHAnsi" w:cstheme="minorHAnsi"/>
          <w:b/>
        </w:rPr>
      </w:pPr>
    </w:p>
    <w:p w:rsidR="00B04D27" w:rsidRPr="001A48E2" w:rsidRDefault="00B04D27" w:rsidP="00B04D27">
      <w:pPr>
        <w:rPr>
          <w:rFonts w:asciiTheme="minorHAnsi" w:hAnsiTheme="minorHAnsi" w:cstheme="minorHAnsi"/>
          <w:b/>
        </w:rPr>
      </w:pPr>
      <w:r w:rsidRPr="001A48E2">
        <w:rPr>
          <w:rFonts w:asciiTheme="minorHAnsi" w:hAnsiTheme="minorHAnsi" w:cstheme="minorHAnsi"/>
          <w:b/>
        </w:rPr>
        <w:t>To access the data</w:t>
      </w:r>
    </w:p>
    <w:p w:rsidR="00A11CF4" w:rsidRDefault="0088679A" w:rsidP="00A11CF4">
      <w:pPr>
        <w:pStyle w:val="ListParagraph"/>
        <w:numPr>
          <w:ilvl w:val="0"/>
          <w:numId w:val="8"/>
        </w:numPr>
        <w:shd w:val="clear" w:color="auto" w:fill="D6E3BC" w:themeFill="accent3" w:themeFillTint="66"/>
        <w:rPr>
          <w:rFonts w:asciiTheme="minorHAnsi" w:hAnsiTheme="minorHAnsi" w:cstheme="minorHAnsi"/>
        </w:rPr>
      </w:pPr>
      <w:r w:rsidRPr="004376C9">
        <w:rPr>
          <w:rFonts w:asciiTheme="minorHAnsi" w:hAnsiTheme="minorHAnsi" w:cstheme="minorHAnsi"/>
        </w:rPr>
        <w:t xml:space="preserve">Data can either be transferred from the field sheet or accessed by plugging the Datalogger into the laptop using the cable with the 8 pin end which is connected to the top of the DataBank Datalogger.  </w:t>
      </w:r>
    </w:p>
    <w:p w:rsidR="00A11CF4" w:rsidRDefault="0088679A" w:rsidP="00A11CF4">
      <w:pPr>
        <w:pStyle w:val="ListParagraph"/>
        <w:numPr>
          <w:ilvl w:val="0"/>
          <w:numId w:val="8"/>
        </w:numPr>
        <w:shd w:val="clear" w:color="auto" w:fill="D6E3BC" w:themeFill="accent3" w:themeFillTint="66"/>
        <w:rPr>
          <w:rFonts w:asciiTheme="minorHAnsi" w:hAnsiTheme="minorHAnsi" w:cstheme="minorHAnsi"/>
        </w:rPr>
      </w:pPr>
      <w:r w:rsidRPr="004376C9">
        <w:rPr>
          <w:rFonts w:asciiTheme="minorHAnsi" w:hAnsiTheme="minorHAnsi" w:cstheme="minorHAnsi"/>
        </w:rPr>
        <w:t xml:space="preserve">The other USB end is plugged into the laptop computer used solely for chlorophyll and phycocyanin.  </w:t>
      </w:r>
    </w:p>
    <w:p w:rsidR="00A11CF4" w:rsidRDefault="0088679A" w:rsidP="00A11CF4">
      <w:pPr>
        <w:pStyle w:val="ListParagraph"/>
        <w:numPr>
          <w:ilvl w:val="0"/>
          <w:numId w:val="8"/>
        </w:numPr>
        <w:shd w:val="clear" w:color="auto" w:fill="D6E3BC" w:themeFill="accent3" w:themeFillTint="66"/>
        <w:rPr>
          <w:rFonts w:asciiTheme="minorHAnsi" w:hAnsiTheme="minorHAnsi" w:cstheme="minorHAnsi"/>
        </w:rPr>
      </w:pPr>
      <w:r w:rsidRPr="004376C9">
        <w:rPr>
          <w:rFonts w:asciiTheme="minorHAnsi" w:hAnsiTheme="minorHAnsi" w:cstheme="minorHAnsi"/>
        </w:rPr>
        <w:t>The Datalogger program is started up and the tab SAVE DATABANK RECORDS is selected. Currently, the files should be saved to</w:t>
      </w:r>
      <w:r w:rsidR="000B3097">
        <w:rPr>
          <w:rFonts w:asciiTheme="minorHAnsi" w:hAnsiTheme="minorHAnsi" w:cstheme="minorHAnsi"/>
        </w:rPr>
        <w:t xml:space="preserve"> </w:t>
      </w:r>
      <w:r w:rsidR="00C00601">
        <w:rPr>
          <w:rFonts w:asciiTheme="minorHAnsi" w:hAnsiTheme="minorHAnsi" w:cstheme="minorHAnsi"/>
        </w:rPr>
        <w:t xml:space="preserve">laptop C: drive (local) AND </w:t>
      </w:r>
      <w:r w:rsidR="00750E36">
        <w:rPr>
          <w:rFonts w:asciiTheme="minorHAnsi" w:hAnsiTheme="minorHAnsi" w:cstheme="minorHAnsi"/>
        </w:rPr>
        <w:t xml:space="preserve">  </w:t>
      </w:r>
      <w:r w:rsidR="00750E36" w:rsidRPr="00750E36">
        <w:rPr>
          <w:rFonts w:asciiTheme="minorHAnsi" w:hAnsiTheme="minorHAnsi" w:cstheme="minorHAnsi"/>
        </w:rPr>
        <w:t xml:space="preserve">N:\cyanobacteria </w:t>
      </w:r>
      <w:proofErr w:type="spellStart"/>
      <w:r w:rsidR="00750E36" w:rsidRPr="00750E36">
        <w:rPr>
          <w:rFonts w:asciiTheme="minorHAnsi" w:hAnsiTheme="minorHAnsi" w:cstheme="minorHAnsi"/>
        </w:rPr>
        <w:t>phycocyanin</w:t>
      </w:r>
      <w:proofErr w:type="spellEnd"/>
      <w:r w:rsidR="00750E36" w:rsidRPr="00750E36">
        <w:rPr>
          <w:rFonts w:asciiTheme="minorHAnsi" w:hAnsiTheme="minorHAnsi" w:cstheme="minorHAnsi"/>
        </w:rPr>
        <w:t xml:space="preserve"> probe data</w:t>
      </w:r>
    </w:p>
    <w:p w:rsidR="00A11CF4" w:rsidRDefault="0088679A" w:rsidP="00A11CF4">
      <w:pPr>
        <w:pStyle w:val="ListParagraph"/>
        <w:numPr>
          <w:ilvl w:val="0"/>
          <w:numId w:val="8"/>
        </w:numPr>
        <w:shd w:val="clear" w:color="auto" w:fill="D6E3BC" w:themeFill="accent3" w:themeFillTint="66"/>
        <w:rPr>
          <w:rFonts w:asciiTheme="minorHAnsi" w:hAnsiTheme="minorHAnsi" w:cstheme="minorHAnsi"/>
        </w:rPr>
      </w:pPr>
      <w:r w:rsidRPr="004376C9">
        <w:rPr>
          <w:rFonts w:asciiTheme="minorHAnsi" w:hAnsiTheme="minorHAnsi" w:cstheme="minorHAnsi"/>
        </w:rPr>
        <w:t xml:space="preserve"> </w:t>
      </w:r>
      <w:r w:rsidR="004376C9" w:rsidRPr="004376C9">
        <w:rPr>
          <w:rFonts w:asciiTheme="minorHAnsi" w:hAnsiTheme="minorHAnsi" w:cstheme="minorHAnsi"/>
        </w:rPr>
        <w:t>Name the file for the date the readings were recorded e.g. 11Jul14.txt.  If a single waterbody was sampled include the name e.g. CharlesR11Jul14.txt.  The file extension .txt should be included in the filename.  The file is comma delimited.</w:t>
      </w:r>
    </w:p>
    <w:p w:rsidR="00A11CF4" w:rsidRDefault="004376C9" w:rsidP="00A11CF4">
      <w:pPr>
        <w:pStyle w:val="ListParagraph"/>
        <w:numPr>
          <w:ilvl w:val="0"/>
          <w:numId w:val="8"/>
        </w:numPr>
        <w:shd w:val="clear" w:color="auto" w:fill="D6E3BC" w:themeFill="accent3" w:themeFillTint="66"/>
        <w:rPr>
          <w:rFonts w:asciiTheme="minorHAnsi" w:hAnsiTheme="minorHAnsi" w:cstheme="minorHAnsi"/>
        </w:rPr>
      </w:pPr>
      <w:r w:rsidRPr="004376C9">
        <w:rPr>
          <w:rFonts w:asciiTheme="minorHAnsi" w:hAnsiTheme="minorHAnsi" w:cstheme="minorHAnsi"/>
        </w:rPr>
        <w:t>Cho</w:t>
      </w:r>
      <w:r w:rsidR="00806447">
        <w:rPr>
          <w:rFonts w:asciiTheme="minorHAnsi" w:hAnsiTheme="minorHAnsi" w:cstheme="minorHAnsi"/>
        </w:rPr>
        <w:t>o</w:t>
      </w:r>
      <w:r w:rsidRPr="004376C9">
        <w:rPr>
          <w:rFonts w:asciiTheme="minorHAnsi" w:hAnsiTheme="minorHAnsi" w:cstheme="minorHAnsi"/>
        </w:rPr>
        <w:t xml:space="preserve">se to replace the file.  </w:t>
      </w:r>
    </w:p>
    <w:p w:rsidR="00A11CF4" w:rsidRDefault="004376C9" w:rsidP="00A11CF4">
      <w:pPr>
        <w:pStyle w:val="ListParagraph"/>
        <w:numPr>
          <w:ilvl w:val="0"/>
          <w:numId w:val="8"/>
        </w:numPr>
        <w:shd w:val="clear" w:color="auto" w:fill="D6E3BC" w:themeFill="accent3" w:themeFillTint="66"/>
        <w:rPr>
          <w:rFonts w:asciiTheme="minorHAnsi" w:hAnsiTheme="minorHAnsi" w:cstheme="minorHAnsi"/>
        </w:rPr>
      </w:pPr>
      <w:r w:rsidRPr="004376C9">
        <w:rPr>
          <w:rFonts w:asciiTheme="minorHAnsi" w:hAnsiTheme="minorHAnsi" w:cstheme="minorHAnsi"/>
        </w:rPr>
        <w:t>Cho</w:t>
      </w:r>
      <w:r w:rsidR="00806447">
        <w:rPr>
          <w:rFonts w:asciiTheme="minorHAnsi" w:hAnsiTheme="minorHAnsi" w:cstheme="minorHAnsi"/>
        </w:rPr>
        <w:t>o</w:t>
      </w:r>
      <w:r w:rsidRPr="004376C9">
        <w:rPr>
          <w:rFonts w:asciiTheme="minorHAnsi" w:hAnsiTheme="minorHAnsi" w:cstheme="minorHAnsi"/>
        </w:rPr>
        <w:t xml:space="preserve">se to </w:t>
      </w:r>
      <w:r w:rsidRPr="004376C9">
        <w:rPr>
          <w:rFonts w:asciiTheme="minorHAnsi" w:hAnsiTheme="minorHAnsi" w:cstheme="minorHAnsi"/>
          <w:b/>
        </w:rPr>
        <w:t>record all records as stored</w:t>
      </w:r>
      <w:r w:rsidRPr="004376C9">
        <w:rPr>
          <w:rFonts w:asciiTheme="minorHAnsi" w:hAnsiTheme="minorHAnsi" w:cstheme="minorHAnsi"/>
        </w:rPr>
        <w:t>.</w:t>
      </w:r>
    </w:p>
    <w:p w:rsidR="00A11CF4" w:rsidRDefault="004376C9" w:rsidP="00A11CF4">
      <w:pPr>
        <w:pStyle w:val="ListParagraph"/>
        <w:numPr>
          <w:ilvl w:val="0"/>
          <w:numId w:val="8"/>
        </w:numPr>
        <w:shd w:val="clear" w:color="auto" w:fill="D6E3BC" w:themeFill="accent3" w:themeFillTint="66"/>
        <w:rPr>
          <w:rFonts w:asciiTheme="minorHAnsi" w:hAnsiTheme="minorHAnsi" w:cstheme="minorHAnsi"/>
        </w:rPr>
      </w:pPr>
      <w:r w:rsidRPr="004376C9">
        <w:rPr>
          <w:rFonts w:asciiTheme="minorHAnsi" w:hAnsiTheme="minorHAnsi" w:cstheme="minorHAnsi"/>
        </w:rPr>
        <w:t xml:space="preserve">Confirm that the records were transferred over.  </w:t>
      </w:r>
    </w:p>
    <w:p w:rsidR="00A11CF4" w:rsidRDefault="004376C9" w:rsidP="00A11CF4">
      <w:pPr>
        <w:pStyle w:val="ListParagraph"/>
        <w:numPr>
          <w:ilvl w:val="0"/>
          <w:numId w:val="8"/>
        </w:numPr>
        <w:shd w:val="clear" w:color="auto" w:fill="D6E3BC" w:themeFill="accent3" w:themeFillTint="66"/>
        <w:rPr>
          <w:rFonts w:asciiTheme="minorHAnsi" w:hAnsiTheme="minorHAnsi" w:cstheme="minorHAnsi"/>
        </w:rPr>
      </w:pPr>
      <w:r w:rsidRPr="004376C9">
        <w:rPr>
          <w:rFonts w:asciiTheme="minorHAnsi" w:hAnsiTheme="minorHAnsi" w:cstheme="minorHAnsi"/>
        </w:rPr>
        <w:t xml:space="preserve">Next go to Excel-file import, locate the file and then download it to Excel.  Save it with same name, but </w:t>
      </w:r>
      <w:r w:rsidR="005E4B60">
        <w:rPr>
          <w:rFonts w:asciiTheme="minorHAnsi" w:hAnsiTheme="minorHAnsi" w:cstheme="minorHAnsi"/>
        </w:rPr>
        <w:t>with</w:t>
      </w:r>
      <w:r w:rsidR="005E4B60" w:rsidRPr="004376C9">
        <w:rPr>
          <w:rFonts w:asciiTheme="minorHAnsi" w:hAnsiTheme="minorHAnsi" w:cstheme="minorHAnsi"/>
        </w:rPr>
        <w:t xml:space="preserve"> </w:t>
      </w:r>
      <w:r w:rsidRPr="004376C9">
        <w:rPr>
          <w:rFonts w:asciiTheme="minorHAnsi" w:hAnsiTheme="minorHAnsi" w:cstheme="minorHAnsi"/>
        </w:rPr>
        <w:t>extension</w:t>
      </w:r>
      <w:r w:rsidR="005E4B60">
        <w:rPr>
          <w:rFonts w:asciiTheme="minorHAnsi" w:hAnsiTheme="minorHAnsi" w:cstheme="minorHAnsi"/>
        </w:rPr>
        <w:t xml:space="preserve"> .</w:t>
      </w:r>
      <w:proofErr w:type="spellStart"/>
      <w:r w:rsidR="00F270F1">
        <w:rPr>
          <w:rFonts w:asciiTheme="minorHAnsi" w:hAnsiTheme="minorHAnsi" w:cstheme="minorHAnsi"/>
        </w:rPr>
        <w:t>xls</w:t>
      </w:r>
      <w:proofErr w:type="spellEnd"/>
      <w:r w:rsidRPr="004376C9">
        <w:rPr>
          <w:rFonts w:asciiTheme="minorHAnsi" w:hAnsiTheme="minorHAnsi" w:cstheme="minorHAnsi"/>
        </w:rPr>
        <w:t xml:space="preserve">.  </w:t>
      </w:r>
    </w:p>
    <w:p w:rsidR="005E4B60" w:rsidRDefault="004376C9" w:rsidP="005E4B60">
      <w:pPr>
        <w:pStyle w:val="ListParagraph"/>
        <w:numPr>
          <w:ilvl w:val="0"/>
          <w:numId w:val="8"/>
        </w:numPr>
        <w:shd w:val="clear" w:color="auto" w:fill="D6E3BC" w:themeFill="accent3" w:themeFillTint="66"/>
        <w:rPr>
          <w:rFonts w:asciiTheme="minorHAnsi" w:hAnsiTheme="minorHAnsi" w:cstheme="minorHAnsi"/>
        </w:rPr>
      </w:pPr>
      <w:r w:rsidRPr="005E4B60">
        <w:rPr>
          <w:rFonts w:asciiTheme="minorHAnsi" w:hAnsiTheme="minorHAnsi" w:cstheme="minorHAnsi"/>
        </w:rPr>
        <w:t>Insert a line and add the names of the columns</w:t>
      </w:r>
      <w:r w:rsidR="000B3097" w:rsidRPr="005E4B60">
        <w:rPr>
          <w:rFonts w:asciiTheme="minorHAnsi" w:hAnsiTheme="minorHAnsi" w:cstheme="minorHAnsi"/>
        </w:rPr>
        <w:t>;</w:t>
      </w:r>
      <w:r w:rsidRPr="005E4B60">
        <w:rPr>
          <w:rFonts w:asciiTheme="minorHAnsi" w:hAnsiTheme="minorHAnsi" w:cstheme="minorHAnsi"/>
        </w:rPr>
        <w:t xml:space="preserve"> e.g Record #, Range used, Date and Time (24 hr clock), Sensor mV, Concentration µg/L.</w:t>
      </w:r>
      <w:r w:rsidR="005E4B60">
        <w:rPr>
          <w:rFonts w:asciiTheme="minorHAnsi" w:hAnsiTheme="minorHAnsi" w:cstheme="minorHAnsi"/>
        </w:rPr>
        <w:t xml:space="preserve">  </w:t>
      </w:r>
    </w:p>
    <w:p w:rsidR="00F60552" w:rsidRPr="00F60552" w:rsidRDefault="00F60552" w:rsidP="00F60552">
      <w:pPr>
        <w:pStyle w:val="ListParagraph"/>
        <w:numPr>
          <w:ilvl w:val="0"/>
          <w:numId w:val="8"/>
        </w:numPr>
        <w:shd w:val="clear" w:color="auto" w:fill="D6E3BC" w:themeFill="accent3" w:themeFillTint="66"/>
        <w:rPr>
          <w:rFonts w:asciiTheme="minorHAnsi" w:hAnsiTheme="minorHAnsi" w:cstheme="minorHAnsi"/>
        </w:rPr>
      </w:pPr>
      <w:r w:rsidRPr="00F60552">
        <w:rPr>
          <w:rFonts w:asciiTheme="minorHAnsi" w:hAnsiTheme="minorHAnsi" w:cstheme="minorHAnsi"/>
        </w:rPr>
        <w:t xml:space="preserve">At this time the </w:t>
      </w:r>
      <w:proofErr w:type="spellStart"/>
      <w:r w:rsidRPr="00F60552">
        <w:rPr>
          <w:rFonts w:asciiTheme="minorHAnsi" w:hAnsiTheme="minorHAnsi" w:cstheme="minorHAnsi"/>
        </w:rPr>
        <w:t>DataBank</w:t>
      </w:r>
      <w:proofErr w:type="spellEnd"/>
      <w:r w:rsidRPr="00F60552">
        <w:rPr>
          <w:rFonts w:asciiTheme="minorHAnsi" w:hAnsiTheme="minorHAnsi" w:cstheme="minorHAnsi"/>
        </w:rPr>
        <w:t xml:space="preserve"> records can safely be deleted</w:t>
      </w:r>
    </w:p>
    <w:p w:rsidR="00F60552" w:rsidRDefault="00F60552" w:rsidP="00F60552">
      <w:pPr>
        <w:pStyle w:val="ListParagraph"/>
        <w:shd w:val="clear" w:color="auto" w:fill="D6E3BC" w:themeFill="accent3" w:themeFillTint="66"/>
        <w:ind w:left="810"/>
        <w:rPr>
          <w:rFonts w:asciiTheme="minorHAnsi" w:hAnsiTheme="minorHAnsi" w:cstheme="minorHAnsi"/>
        </w:rPr>
      </w:pPr>
    </w:p>
    <w:p w:rsidR="00637DC6" w:rsidRDefault="00637DC6" w:rsidP="007C028C">
      <w:pPr>
        <w:rPr>
          <w:rFonts w:asciiTheme="minorHAnsi" w:hAnsiTheme="minorHAnsi" w:cstheme="minorHAnsi"/>
        </w:rPr>
      </w:pPr>
      <w:r>
        <w:rPr>
          <w:rFonts w:asciiTheme="minorHAnsi" w:hAnsiTheme="minorHAnsi" w:cstheme="minorHAnsi"/>
        </w:rPr>
        <w:t>9.0</w:t>
      </w:r>
      <w:r>
        <w:rPr>
          <w:rFonts w:asciiTheme="minorHAnsi" w:hAnsiTheme="minorHAnsi" w:cstheme="minorHAnsi"/>
        </w:rPr>
        <w:tab/>
        <w:t>CLEANING PROCEDURE</w:t>
      </w:r>
    </w:p>
    <w:p w:rsidR="00B60FF8" w:rsidRDefault="00B60FF8" w:rsidP="00B60FF8">
      <w:pPr>
        <w:rPr>
          <w:rFonts w:asciiTheme="minorHAnsi" w:hAnsiTheme="minorHAnsi" w:cstheme="minorHAnsi"/>
        </w:rPr>
      </w:pPr>
      <w:r>
        <w:rPr>
          <w:rFonts w:asciiTheme="minorHAnsi" w:hAnsiTheme="minorHAnsi" w:cstheme="minorHAnsi"/>
        </w:rPr>
        <w:t xml:space="preserve">Wipe </w:t>
      </w:r>
      <w:r w:rsidR="0004286D">
        <w:rPr>
          <w:rFonts w:asciiTheme="minorHAnsi" w:hAnsiTheme="minorHAnsi" w:cstheme="minorHAnsi"/>
        </w:rPr>
        <w:t xml:space="preserve">Cyclops </w:t>
      </w:r>
      <w:r>
        <w:rPr>
          <w:rFonts w:asciiTheme="minorHAnsi" w:hAnsiTheme="minorHAnsi" w:cstheme="minorHAnsi"/>
        </w:rPr>
        <w:t xml:space="preserve">probe and cable with </w:t>
      </w:r>
      <w:r w:rsidR="00F52886">
        <w:rPr>
          <w:rFonts w:asciiTheme="minorHAnsi" w:hAnsiTheme="minorHAnsi" w:cstheme="minorHAnsi"/>
        </w:rPr>
        <w:t xml:space="preserve">clean, </w:t>
      </w:r>
      <w:r>
        <w:rPr>
          <w:rFonts w:asciiTheme="minorHAnsi" w:hAnsiTheme="minorHAnsi" w:cstheme="minorHAnsi"/>
        </w:rPr>
        <w:t xml:space="preserve">absorbent </w:t>
      </w:r>
      <w:r w:rsidR="00F52886">
        <w:rPr>
          <w:rFonts w:asciiTheme="minorHAnsi" w:hAnsiTheme="minorHAnsi" w:cstheme="minorHAnsi"/>
        </w:rPr>
        <w:t>cloths.</w:t>
      </w:r>
    </w:p>
    <w:p w:rsidR="00B60FF8" w:rsidRDefault="00B60FF8" w:rsidP="00B60FF8">
      <w:pPr>
        <w:rPr>
          <w:rFonts w:asciiTheme="minorHAnsi" w:hAnsiTheme="minorHAnsi" w:cstheme="minorHAnsi"/>
        </w:rPr>
      </w:pPr>
      <w:r>
        <w:rPr>
          <w:rFonts w:asciiTheme="minorHAnsi" w:hAnsiTheme="minorHAnsi" w:cstheme="minorHAnsi"/>
        </w:rPr>
        <w:t xml:space="preserve">Rinse the probe lens with DI water, </w:t>
      </w:r>
      <w:r w:rsidRPr="008144E6">
        <w:rPr>
          <w:rFonts w:asciiTheme="minorHAnsi" w:hAnsiTheme="minorHAnsi" w:cstheme="minorHAnsi"/>
          <w:b/>
        </w:rPr>
        <w:t>gently</w:t>
      </w:r>
      <w:r>
        <w:rPr>
          <w:rFonts w:asciiTheme="minorHAnsi" w:hAnsiTheme="minorHAnsi" w:cstheme="minorHAnsi"/>
        </w:rPr>
        <w:t xml:space="preserve"> blot with a clean cloth, if it’s really dirty bring it back to the lab and put it in soapy water for an hour or so and then rinse well with DI</w:t>
      </w:r>
      <w:r w:rsidR="00144487">
        <w:rPr>
          <w:rFonts w:asciiTheme="minorHAnsi" w:hAnsiTheme="minorHAnsi" w:cstheme="minorHAnsi"/>
        </w:rPr>
        <w:t>.</w:t>
      </w:r>
      <w:r w:rsidR="0004286D">
        <w:rPr>
          <w:rFonts w:asciiTheme="minorHAnsi" w:hAnsiTheme="minorHAnsi" w:cstheme="minorHAnsi"/>
        </w:rPr>
        <w:t xml:space="preserve">  </w:t>
      </w:r>
      <w:r w:rsidR="00BC7608">
        <w:rPr>
          <w:rFonts w:asciiTheme="minorHAnsi" w:hAnsiTheme="minorHAnsi" w:cstheme="minorHAnsi"/>
        </w:rPr>
        <w:t>Any cleaning of the lens should be done with microscope/optical lens paper.</w:t>
      </w:r>
    </w:p>
    <w:p w:rsidR="00637DC6" w:rsidRDefault="00637DC6" w:rsidP="007C028C">
      <w:pPr>
        <w:rPr>
          <w:rFonts w:asciiTheme="minorHAnsi" w:hAnsiTheme="minorHAnsi" w:cstheme="minorHAnsi"/>
        </w:rPr>
      </w:pPr>
      <w:r>
        <w:rPr>
          <w:rFonts w:asciiTheme="minorHAnsi" w:hAnsiTheme="minorHAnsi" w:cstheme="minorHAnsi"/>
        </w:rPr>
        <w:t>10.0</w:t>
      </w:r>
      <w:r>
        <w:rPr>
          <w:rFonts w:asciiTheme="minorHAnsi" w:hAnsiTheme="minorHAnsi" w:cstheme="minorHAnsi"/>
        </w:rPr>
        <w:tab/>
        <w:t>QUALITY CONTROL</w:t>
      </w:r>
    </w:p>
    <w:p w:rsidR="00B60FF8" w:rsidRDefault="00B60FF8" w:rsidP="007C028C">
      <w:pPr>
        <w:rPr>
          <w:rFonts w:asciiTheme="minorHAnsi" w:hAnsiTheme="minorHAnsi" w:cstheme="minorHAnsi"/>
        </w:rPr>
      </w:pPr>
      <w:r>
        <w:rPr>
          <w:rFonts w:asciiTheme="minorHAnsi" w:hAnsiTheme="minorHAnsi" w:cstheme="minorHAnsi"/>
        </w:rPr>
        <w:t xml:space="preserve">There is a solid secondary standard for use with the DataBank.  </w:t>
      </w:r>
      <w:r w:rsidR="003C7EA3">
        <w:rPr>
          <w:rFonts w:asciiTheme="minorHAnsi" w:hAnsiTheme="minorHAnsi" w:cstheme="minorHAnsi"/>
        </w:rPr>
        <w:t>To use it a</w:t>
      </w:r>
      <w:r>
        <w:rPr>
          <w:rFonts w:asciiTheme="minorHAnsi" w:hAnsiTheme="minorHAnsi" w:cstheme="minorHAnsi"/>
        </w:rPr>
        <w:t>ttach</w:t>
      </w:r>
      <w:r w:rsidR="003C7EA3">
        <w:rPr>
          <w:rFonts w:asciiTheme="minorHAnsi" w:hAnsiTheme="minorHAnsi" w:cstheme="minorHAnsi"/>
        </w:rPr>
        <w:t xml:space="preserve"> it</w:t>
      </w:r>
      <w:r>
        <w:rPr>
          <w:rFonts w:asciiTheme="minorHAnsi" w:hAnsiTheme="minorHAnsi" w:cstheme="minorHAnsi"/>
        </w:rPr>
        <w:t xml:space="preserve"> to the probe end</w:t>
      </w:r>
      <w:r w:rsidR="00692450">
        <w:rPr>
          <w:rFonts w:asciiTheme="minorHAnsi" w:hAnsiTheme="minorHAnsi" w:cstheme="minorHAnsi"/>
        </w:rPr>
        <w:t>.  T</w:t>
      </w:r>
      <w:r>
        <w:rPr>
          <w:rFonts w:asciiTheme="minorHAnsi" w:hAnsiTheme="minorHAnsi" w:cstheme="minorHAnsi"/>
        </w:rPr>
        <w:t xml:space="preserve">he value read should be within 20% of the value that was initially set </w:t>
      </w:r>
      <w:r w:rsidR="008F3286">
        <w:rPr>
          <w:rFonts w:asciiTheme="minorHAnsi" w:hAnsiTheme="minorHAnsi" w:cstheme="minorHAnsi"/>
        </w:rPr>
        <w:t xml:space="preserve">(e.g., </w:t>
      </w:r>
      <w:proofErr w:type="gramStart"/>
      <w:r w:rsidR="00DB382F">
        <w:rPr>
          <w:rFonts w:asciiTheme="minorHAnsi" w:hAnsiTheme="minorHAnsi" w:cstheme="minorHAnsi"/>
        </w:rPr>
        <w:t>100</w:t>
      </w:r>
      <w:r w:rsidR="008F3286">
        <w:rPr>
          <w:rFonts w:asciiTheme="minorHAnsi" w:hAnsiTheme="minorHAnsi" w:cstheme="minorHAnsi"/>
        </w:rPr>
        <w:t xml:space="preserve"> ug/l for secondary calibration standard</w:t>
      </w:r>
      <w:proofErr w:type="gramEnd"/>
      <w:r w:rsidR="008F3286">
        <w:rPr>
          <w:rFonts w:asciiTheme="minorHAnsi" w:hAnsiTheme="minorHAnsi" w:cstheme="minorHAnsi"/>
        </w:rPr>
        <w:t xml:space="preserve"> used in 201</w:t>
      </w:r>
      <w:r w:rsidR="00DB382F">
        <w:rPr>
          <w:rFonts w:asciiTheme="minorHAnsi" w:hAnsiTheme="minorHAnsi" w:cstheme="minorHAnsi"/>
        </w:rPr>
        <w:t xml:space="preserve">5.  </w:t>
      </w:r>
      <w:r w:rsidR="001A48E2">
        <w:rPr>
          <w:rFonts w:asciiTheme="minorHAnsi" w:hAnsiTheme="minorHAnsi" w:cstheme="minorHAnsi"/>
        </w:rPr>
        <w:t xml:space="preserve"> Use the </w:t>
      </w:r>
      <w:r w:rsidR="008F3286">
        <w:rPr>
          <w:rFonts w:asciiTheme="minorHAnsi" w:hAnsiTheme="minorHAnsi" w:cstheme="minorHAnsi"/>
        </w:rPr>
        <w:t xml:space="preserve">solid </w:t>
      </w:r>
      <w:r w:rsidR="001A48E2">
        <w:rPr>
          <w:rFonts w:asciiTheme="minorHAnsi" w:hAnsiTheme="minorHAnsi" w:cstheme="minorHAnsi"/>
        </w:rPr>
        <w:t xml:space="preserve">secondary standard </w:t>
      </w:r>
      <w:r w:rsidR="00DB382F">
        <w:rPr>
          <w:rFonts w:asciiTheme="minorHAnsi" w:hAnsiTheme="minorHAnsi" w:cstheme="minorHAnsi"/>
        </w:rPr>
        <w:t>prior to going out in the field</w:t>
      </w:r>
      <w:r w:rsidR="001A48E2">
        <w:rPr>
          <w:rFonts w:asciiTheme="minorHAnsi" w:hAnsiTheme="minorHAnsi" w:cstheme="minorHAnsi"/>
        </w:rPr>
        <w:t xml:space="preserve"> to check the probe calibration</w:t>
      </w:r>
      <w:r w:rsidR="008F3286">
        <w:rPr>
          <w:rFonts w:asciiTheme="minorHAnsi" w:hAnsiTheme="minorHAnsi" w:cstheme="minorHAnsi"/>
        </w:rPr>
        <w:t xml:space="preserve">.  </w:t>
      </w:r>
      <w:r w:rsidR="001A48E2">
        <w:rPr>
          <w:rFonts w:asciiTheme="minorHAnsi" w:hAnsiTheme="minorHAnsi" w:cstheme="minorHAnsi"/>
        </w:rPr>
        <w:t xml:space="preserve">Record result on the field </w:t>
      </w:r>
      <w:proofErr w:type="gramStart"/>
      <w:r w:rsidR="001A48E2">
        <w:rPr>
          <w:rFonts w:asciiTheme="minorHAnsi" w:hAnsiTheme="minorHAnsi" w:cstheme="minorHAnsi"/>
        </w:rPr>
        <w:t>sheet</w:t>
      </w:r>
      <w:r w:rsidR="003774D8">
        <w:rPr>
          <w:rFonts w:asciiTheme="minorHAnsi" w:hAnsiTheme="minorHAnsi" w:cstheme="minorHAnsi"/>
        </w:rPr>
        <w:t xml:space="preserve"> </w:t>
      </w:r>
      <w:r w:rsidR="00AA456A">
        <w:rPr>
          <w:rFonts w:asciiTheme="minorHAnsi" w:hAnsiTheme="minorHAnsi" w:cstheme="minorHAnsi"/>
        </w:rPr>
        <w:t xml:space="preserve"> (</w:t>
      </w:r>
      <w:proofErr w:type="gramEnd"/>
      <w:r w:rsidR="00AA456A">
        <w:rPr>
          <w:rFonts w:asciiTheme="minorHAnsi" w:hAnsiTheme="minorHAnsi" w:cstheme="minorHAnsi"/>
        </w:rPr>
        <w:t xml:space="preserve">Appendix </w:t>
      </w:r>
      <w:r w:rsidR="008A3A2A">
        <w:rPr>
          <w:rFonts w:asciiTheme="minorHAnsi" w:hAnsiTheme="minorHAnsi" w:cstheme="minorHAnsi"/>
        </w:rPr>
        <w:t>B</w:t>
      </w:r>
      <w:r w:rsidR="00AA456A">
        <w:rPr>
          <w:rFonts w:asciiTheme="minorHAnsi" w:hAnsiTheme="minorHAnsi" w:cstheme="minorHAnsi"/>
        </w:rPr>
        <w:t xml:space="preserve">) </w:t>
      </w:r>
      <w:r w:rsidR="003774D8">
        <w:rPr>
          <w:rFonts w:asciiTheme="minorHAnsi" w:hAnsiTheme="minorHAnsi" w:cstheme="minorHAnsi"/>
        </w:rPr>
        <w:t>and on the C</w:t>
      </w:r>
      <w:r w:rsidR="00AA456A">
        <w:rPr>
          <w:rFonts w:asciiTheme="minorHAnsi" w:hAnsiTheme="minorHAnsi" w:cstheme="minorHAnsi"/>
        </w:rPr>
        <w:t>a</w:t>
      </w:r>
      <w:r w:rsidR="003774D8">
        <w:rPr>
          <w:rFonts w:asciiTheme="minorHAnsi" w:hAnsiTheme="minorHAnsi" w:cstheme="minorHAnsi"/>
        </w:rPr>
        <w:t>libration Record</w:t>
      </w:r>
      <w:r w:rsidR="00AA456A">
        <w:rPr>
          <w:rFonts w:asciiTheme="minorHAnsi" w:hAnsiTheme="minorHAnsi" w:cstheme="minorHAnsi"/>
        </w:rPr>
        <w:t xml:space="preserve"> Sheet</w:t>
      </w:r>
      <w:r w:rsidR="008A3A2A">
        <w:rPr>
          <w:rFonts w:asciiTheme="minorHAnsi" w:hAnsiTheme="minorHAnsi" w:cstheme="minorHAnsi"/>
        </w:rPr>
        <w:t xml:space="preserve"> (Appendix C</w:t>
      </w:r>
      <w:r w:rsidR="003774D8">
        <w:rPr>
          <w:rFonts w:asciiTheme="minorHAnsi" w:hAnsiTheme="minorHAnsi" w:cstheme="minorHAnsi"/>
        </w:rPr>
        <w:t>)</w:t>
      </w:r>
      <w:r w:rsidR="001A21C5">
        <w:rPr>
          <w:rFonts w:asciiTheme="minorHAnsi" w:hAnsiTheme="minorHAnsi" w:cstheme="minorHAnsi"/>
        </w:rPr>
        <w:t xml:space="preserve"> kept in the </w:t>
      </w:r>
      <w:proofErr w:type="spellStart"/>
      <w:r w:rsidR="001A21C5">
        <w:rPr>
          <w:rFonts w:asciiTheme="minorHAnsi" w:hAnsiTheme="minorHAnsi" w:cstheme="minorHAnsi"/>
        </w:rPr>
        <w:t>Phycocyanin</w:t>
      </w:r>
      <w:proofErr w:type="spellEnd"/>
      <w:r w:rsidR="001A21C5">
        <w:rPr>
          <w:rFonts w:asciiTheme="minorHAnsi" w:hAnsiTheme="minorHAnsi" w:cstheme="minorHAnsi"/>
        </w:rPr>
        <w:t xml:space="preserve"> drawer in the room 117.</w:t>
      </w:r>
    </w:p>
    <w:p w:rsidR="00637DC6" w:rsidRDefault="00637DC6" w:rsidP="007C028C">
      <w:pPr>
        <w:rPr>
          <w:rFonts w:asciiTheme="minorHAnsi" w:hAnsiTheme="minorHAnsi" w:cstheme="minorHAnsi"/>
        </w:rPr>
      </w:pPr>
      <w:r>
        <w:rPr>
          <w:rFonts w:asciiTheme="minorHAnsi" w:hAnsiTheme="minorHAnsi" w:cstheme="minorHAnsi"/>
        </w:rPr>
        <w:t>11.0</w:t>
      </w:r>
      <w:r>
        <w:rPr>
          <w:rFonts w:asciiTheme="minorHAnsi" w:hAnsiTheme="minorHAnsi" w:cstheme="minorHAnsi"/>
        </w:rPr>
        <w:tab/>
        <w:t>INTERFERENCES</w:t>
      </w:r>
    </w:p>
    <w:p w:rsidR="00251726" w:rsidRDefault="00B53D01" w:rsidP="007C028C">
      <w:pPr>
        <w:rPr>
          <w:rFonts w:asciiTheme="minorHAnsi" w:hAnsiTheme="minorHAnsi" w:cstheme="minorHAnsi"/>
        </w:rPr>
      </w:pPr>
      <w:r w:rsidRPr="00692450">
        <w:rPr>
          <w:rFonts w:asciiTheme="minorHAnsi" w:hAnsiTheme="minorHAnsi" w:cstheme="minorHAnsi"/>
        </w:rPr>
        <w:t xml:space="preserve">Humic acid can cause interference with phycocyanin readings, but according to </w:t>
      </w:r>
      <w:r w:rsidRPr="00D0307C">
        <w:rPr>
          <w:rFonts w:asciiTheme="minorHAnsi" w:hAnsiTheme="minorHAnsi" w:cstheme="minorHAnsi"/>
          <w:i/>
        </w:rPr>
        <w:t>Turner Designs Fluorometer Application Notes</w:t>
      </w:r>
      <w:r w:rsidRPr="00692450">
        <w:rPr>
          <w:rFonts w:asciiTheme="minorHAnsi" w:hAnsiTheme="minorHAnsi" w:cstheme="minorHAnsi"/>
        </w:rPr>
        <w:t xml:space="preserve"> ‘humic interference while detectable is statistically insignificant’</w:t>
      </w:r>
      <w:r w:rsidR="00692450">
        <w:rPr>
          <w:rFonts w:asciiTheme="minorHAnsi" w:hAnsiTheme="minorHAnsi" w:cstheme="minorHAnsi"/>
        </w:rPr>
        <w:t xml:space="preserve">.  </w:t>
      </w:r>
    </w:p>
    <w:p w:rsidR="00637DC6" w:rsidRDefault="00637DC6" w:rsidP="007C028C">
      <w:pPr>
        <w:rPr>
          <w:rFonts w:asciiTheme="minorHAnsi" w:hAnsiTheme="minorHAnsi" w:cstheme="minorHAnsi"/>
        </w:rPr>
      </w:pPr>
      <w:r>
        <w:rPr>
          <w:rFonts w:asciiTheme="minorHAnsi" w:hAnsiTheme="minorHAnsi" w:cstheme="minorHAnsi"/>
        </w:rPr>
        <w:t xml:space="preserve">12.0 </w:t>
      </w:r>
      <w:r>
        <w:rPr>
          <w:rFonts w:asciiTheme="minorHAnsi" w:hAnsiTheme="minorHAnsi" w:cstheme="minorHAnsi"/>
        </w:rPr>
        <w:tab/>
        <w:t>PREVENTIVE MAINTENANCE</w:t>
      </w:r>
    </w:p>
    <w:p w:rsidR="009C3177" w:rsidRDefault="009C3177" w:rsidP="007C028C">
      <w:pPr>
        <w:rPr>
          <w:rFonts w:asciiTheme="minorHAnsi" w:hAnsiTheme="minorHAnsi" w:cstheme="minorHAnsi"/>
        </w:rPr>
      </w:pPr>
      <w:r>
        <w:rPr>
          <w:rFonts w:asciiTheme="minorHAnsi" w:hAnsiTheme="minorHAnsi" w:cstheme="minorHAnsi"/>
        </w:rPr>
        <w:t xml:space="preserve">The phycocyanin probe lens should be rinsed with DI water.  If very dirty, it can be soaked in a mild detergent and then rinsed in DI.  Never </w:t>
      </w:r>
      <w:r w:rsidR="0004286D">
        <w:rPr>
          <w:rFonts w:asciiTheme="minorHAnsi" w:hAnsiTheme="minorHAnsi" w:cstheme="minorHAnsi"/>
        </w:rPr>
        <w:t xml:space="preserve">clean the lens </w:t>
      </w:r>
      <w:r>
        <w:rPr>
          <w:rFonts w:asciiTheme="minorHAnsi" w:hAnsiTheme="minorHAnsi" w:cstheme="minorHAnsi"/>
        </w:rPr>
        <w:t>with anything other than microscope lens paper.</w:t>
      </w:r>
      <w:r w:rsidR="00BA26C8">
        <w:rPr>
          <w:rFonts w:asciiTheme="minorHAnsi" w:hAnsiTheme="minorHAnsi" w:cstheme="minorHAnsi"/>
        </w:rPr>
        <w:t xml:space="preserve"> </w:t>
      </w:r>
      <w:r w:rsidR="000E0CF9" w:rsidRPr="000E0CF9">
        <w:rPr>
          <w:rFonts w:asciiTheme="minorHAnsi" w:hAnsiTheme="minorHAnsi" w:cstheme="minorHAnsi"/>
          <w:b/>
        </w:rPr>
        <w:t xml:space="preserve">Do not </w:t>
      </w:r>
      <w:r w:rsidR="00BA26C8">
        <w:rPr>
          <w:rFonts w:asciiTheme="minorHAnsi" w:hAnsiTheme="minorHAnsi" w:cstheme="minorHAnsi"/>
        </w:rPr>
        <w:t>use Kimwipes, paper towels</w:t>
      </w:r>
      <w:r w:rsidR="00894D08">
        <w:rPr>
          <w:rFonts w:asciiTheme="minorHAnsi" w:hAnsiTheme="minorHAnsi" w:cstheme="minorHAnsi"/>
        </w:rPr>
        <w:t xml:space="preserve"> or </w:t>
      </w:r>
      <w:r w:rsidR="00BA26C8">
        <w:rPr>
          <w:rFonts w:asciiTheme="minorHAnsi" w:hAnsiTheme="minorHAnsi" w:cstheme="minorHAnsi"/>
        </w:rPr>
        <w:t>tissue paper.  All contain abrasives that can permanently damage the lens.</w:t>
      </w:r>
    </w:p>
    <w:p w:rsidR="008F3286" w:rsidRDefault="009C3177" w:rsidP="007C028C">
      <w:pPr>
        <w:rPr>
          <w:rFonts w:asciiTheme="minorHAnsi" w:hAnsiTheme="minorHAnsi" w:cstheme="minorHAnsi"/>
        </w:rPr>
      </w:pPr>
      <w:r>
        <w:rPr>
          <w:rFonts w:asciiTheme="minorHAnsi" w:hAnsiTheme="minorHAnsi" w:cstheme="minorHAnsi"/>
        </w:rPr>
        <w:lastRenderedPageBreak/>
        <w:t xml:space="preserve">The battery does best if it is charged regularly </w:t>
      </w:r>
      <w:r w:rsidR="0004286D">
        <w:rPr>
          <w:rFonts w:asciiTheme="minorHAnsi" w:hAnsiTheme="minorHAnsi" w:cstheme="minorHAnsi"/>
        </w:rPr>
        <w:t xml:space="preserve">before </w:t>
      </w:r>
      <w:r>
        <w:rPr>
          <w:rFonts w:asciiTheme="minorHAnsi" w:hAnsiTheme="minorHAnsi" w:cstheme="minorHAnsi"/>
        </w:rPr>
        <w:t xml:space="preserve">a lot of </w:t>
      </w:r>
      <w:r w:rsidR="003C7EA3">
        <w:rPr>
          <w:rFonts w:asciiTheme="minorHAnsi" w:hAnsiTheme="minorHAnsi" w:cstheme="minorHAnsi"/>
        </w:rPr>
        <w:t>the</w:t>
      </w:r>
      <w:r>
        <w:rPr>
          <w:rFonts w:asciiTheme="minorHAnsi" w:hAnsiTheme="minorHAnsi" w:cstheme="minorHAnsi"/>
        </w:rPr>
        <w:t xml:space="preserve"> storage capacity </w:t>
      </w:r>
      <w:r w:rsidR="00B142DA">
        <w:rPr>
          <w:rFonts w:asciiTheme="minorHAnsi" w:hAnsiTheme="minorHAnsi" w:cstheme="minorHAnsi"/>
        </w:rPr>
        <w:t xml:space="preserve">is </w:t>
      </w:r>
      <w:r>
        <w:rPr>
          <w:rFonts w:asciiTheme="minorHAnsi" w:hAnsiTheme="minorHAnsi" w:cstheme="minorHAnsi"/>
        </w:rPr>
        <w:t xml:space="preserve">used up. </w:t>
      </w:r>
    </w:p>
    <w:p w:rsidR="00EC283F" w:rsidRDefault="00637DC6" w:rsidP="007C028C">
      <w:pPr>
        <w:rPr>
          <w:rFonts w:asciiTheme="minorHAnsi" w:hAnsiTheme="minorHAnsi" w:cstheme="minorHAnsi"/>
        </w:rPr>
      </w:pPr>
      <w:r>
        <w:rPr>
          <w:rFonts w:asciiTheme="minorHAnsi" w:hAnsiTheme="minorHAnsi" w:cstheme="minorHAnsi"/>
        </w:rPr>
        <w:t>13.0</w:t>
      </w:r>
      <w:r>
        <w:rPr>
          <w:rFonts w:asciiTheme="minorHAnsi" w:hAnsiTheme="minorHAnsi" w:cstheme="minorHAnsi"/>
        </w:rPr>
        <w:tab/>
        <w:t>CORRECTIVE ACTIONS</w:t>
      </w:r>
    </w:p>
    <w:p w:rsidR="00637DC6" w:rsidRDefault="00EC283F" w:rsidP="007C028C">
      <w:pPr>
        <w:rPr>
          <w:rFonts w:asciiTheme="minorHAnsi" w:hAnsiTheme="minorHAnsi" w:cstheme="minorHAnsi"/>
        </w:rPr>
      </w:pPr>
      <w:r>
        <w:rPr>
          <w:rFonts w:asciiTheme="minorHAnsi" w:hAnsiTheme="minorHAnsi" w:cstheme="minorHAnsi"/>
        </w:rPr>
        <w:t xml:space="preserve">If when charging the battery an </w:t>
      </w:r>
      <w:r w:rsidRPr="003C7EA3">
        <w:rPr>
          <w:rFonts w:asciiTheme="minorHAnsi" w:hAnsiTheme="minorHAnsi" w:cstheme="minorHAnsi"/>
          <w:b/>
        </w:rPr>
        <w:t>‘ot’</w:t>
      </w:r>
      <w:r>
        <w:rPr>
          <w:rFonts w:asciiTheme="minorHAnsi" w:hAnsiTheme="minorHAnsi" w:cstheme="minorHAnsi"/>
        </w:rPr>
        <w:t xml:space="preserve"> signal appears, this means that the battery is overheated and should be unplugged, allowed to cool and then plugged in again so that the charging can resume.</w:t>
      </w:r>
    </w:p>
    <w:p w:rsidR="00637DC6" w:rsidRDefault="00637DC6" w:rsidP="007C028C">
      <w:pPr>
        <w:rPr>
          <w:rFonts w:asciiTheme="minorHAnsi" w:hAnsiTheme="minorHAnsi" w:cstheme="minorHAnsi"/>
        </w:rPr>
      </w:pPr>
      <w:r>
        <w:rPr>
          <w:rFonts w:asciiTheme="minorHAnsi" w:hAnsiTheme="minorHAnsi" w:cstheme="minorHAnsi"/>
        </w:rPr>
        <w:t>14.0</w:t>
      </w:r>
      <w:r>
        <w:rPr>
          <w:rFonts w:asciiTheme="minorHAnsi" w:hAnsiTheme="minorHAnsi" w:cstheme="minorHAnsi"/>
        </w:rPr>
        <w:tab/>
        <w:t>WASTE AND POLLUTION PREVENTION</w:t>
      </w:r>
    </w:p>
    <w:p w:rsidR="00D0307C" w:rsidRDefault="00D0307C" w:rsidP="007C028C">
      <w:pPr>
        <w:rPr>
          <w:rFonts w:asciiTheme="minorHAnsi" w:hAnsiTheme="minorHAnsi" w:cstheme="minorHAnsi"/>
        </w:rPr>
      </w:pPr>
      <w:r>
        <w:rPr>
          <w:rFonts w:asciiTheme="minorHAnsi" w:hAnsiTheme="minorHAnsi" w:cstheme="minorHAnsi"/>
        </w:rPr>
        <w:t>Since phycocyanin is water soluble</w:t>
      </w:r>
      <w:r w:rsidR="008F3286">
        <w:rPr>
          <w:rFonts w:asciiTheme="minorHAnsi" w:hAnsiTheme="minorHAnsi" w:cstheme="minorHAnsi"/>
        </w:rPr>
        <w:t xml:space="preserve"> and non-toxic</w:t>
      </w:r>
      <w:r>
        <w:rPr>
          <w:rFonts w:asciiTheme="minorHAnsi" w:hAnsiTheme="minorHAnsi" w:cstheme="minorHAnsi"/>
        </w:rPr>
        <w:t>, waste solvents</w:t>
      </w:r>
      <w:r w:rsidR="00144487" w:rsidRPr="00144487">
        <w:rPr>
          <w:rFonts w:asciiTheme="minorHAnsi" w:hAnsiTheme="minorHAnsi" w:cstheme="minorHAnsi"/>
        </w:rPr>
        <w:t xml:space="preserve"> </w:t>
      </w:r>
      <w:r w:rsidR="00144487">
        <w:rPr>
          <w:rFonts w:asciiTheme="minorHAnsi" w:hAnsiTheme="minorHAnsi" w:cstheme="minorHAnsi"/>
        </w:rPr>
        <w:t>are not a problem</w:t>
      </w:r>
      <w:r>
        <w:rPr>
          <w:rFonts w:asciiTheme="minorHAnsi" w:hAnsiTheme="minorHAnsi" w:cstheme="minorHAnsi"/>
        </w:rPr>
        <w:t xml:space="preserve">. </w:t>
      </w:r>
      <w:r w:rsidR="00144487">
        <w:rPr>
          <w:rFonts w:asciiTheme="minorHAnsi" w:hAnsiTheme="minorHAnsi" w:cstheme="minorHAnsi"/>
        </w:rPr>
        <w:t>All c</w:t>
      </w:r>
      <w:r>
        <w:rPr>
          <w:rFonts w:asciiTheme="minorHAnsi" w:hAnsiTheme="minorHAnsi" w:cstheme="minorHAnsi"/>
        </w:rPr>
        <w:t xml:space="preserve">ontainers </w:t>
      </w:r>
      <w:r w:rsidR="00894D08">
        <w:rPr>
          <w:rFonts w:asciiTheme="minorHAnsi" w:hAnsiTheme="minorHAnsi" w:cstheme="minorHAnsi"/>
        </w:rPr>
        <w:t xml:space="preserve">should be </w:t>
      </w:r>
      <w:r>
        <w:rPr>
          <w:rFonts w:asciiTheme="minorHAnsi" w:hAnsiTheme="minorHAnsi" w:cstheme="minorHAnsi"/>
        </w:rPr>
        <w:t>washed with a mild detergent and rinsed three times-twice with tap water and the last with DI water</w:t>
      </w:r>
      <w:r w:rsidR="008F3286">
        <w:rPr>
          <w:rFonts w:asciiTheme="minorHAnsi" w:hAnsiTheme="minorHAnsi" w:cstheme="minorHAnsi"/>
        </w:rPr>
        <w:t>, with wastewater disposal down the drain.</w:t>
      </w:r>
    </w:p>
    <w:p w:rsidR="00A52FEE" w:rsidRDefault="00637DC6" w:rsidP="007C028C">
      <w:pPr>
        <w:rPr>
          <w:rFonts w:asciiTheme="minorHAnsi" w:hAnsiTheme="minorHAnsi" w:cstheme="minorHAnsi"/>
        </w:rPr>
      </w:pPr>
      <w:r>
        <w:rPr>
          <w:rFonts w:asciiTheme="minorHAnsi" w:hAnsiTheme="minorHAnsi" w:cstheme="minorHAnsi"/>
        </w:rPr>
        <w:t>15.0</w:t>
      </w:r>
      <w:r>
        <w:rPr>
          <w:rFonts w:asciiTheme="minorHAnsi" w:hAnsiTheme="minorHAnsi" w:cstheme="minorHAnsi"/>
        </w:rPr>
        <w:tab/>
        <w:t>REFERENCES</w:t>
      </w:r>
    </w:p>
    <w:p w:rsidR="008F611A" w:rsidRDefault="008F611A" w:rsidP="008F611A">
      <w:pPr>
        <w:rPr>
          <w:rFonts w:asciiTheme="minorHAnsi" w:hAnsiTheme="minorHAnsi" w:cstheme="minorHAnsi"/>
        </w:rPr>
      </w:pPr>
      <w:r>
        <w:rPr>
          <w:rFonts w:asciiTheme="minorHAnsi" w:hAnsiTheme="minorHAnsi" w:cstheme="minorHAnsi"/>
        </w:rPr>
        <w:t xml:space="preserve">Brient, L., Lengronne, M., Bertrand, E., Rolland, D., Sipel, A., Steinmann, D, Baudin, I., Legeas, M., Le Rouzic, B. and M. Bormans. 2008.  A phycocyanin probe as a tool for monitoring cyanobacteria in freshwater bodies.  </w:t>
      </w:r>
      <w:r w:rsidRPr="00F468DC">
        <w:rPr>
          <w:rFonts w:asciiTheme="minorHAnsi" w:hAnsiTheme="minorHAnsi" w:cstheme="minorHAnsi"/>
          <w:i/>
        </w:rPr>
        <w:t>J. Environ. Monit.</w:t>
      </w:r>
      <w:r>
        <w:rPr>
          <w:rFonts w:asciiTheme="minorHAnsi" w:hAnsiTheme="minorHAnsi" w:cstheme="minorHAnsi"/>
        </w:rPr>
        <w:t xml:space="preserve"> 10:248-255.</w:t>
      </w:r>
    </w:p>
    <w:p w:rsidR="00B757B7" w:rsidRDefault="00B757B7" w:rsidP="008F611A">
      <w:pPr>
        <w:rPr>
          <w:rFonts w:asciiTheme="minorHAnsi" w:hAnsiTheme="minorHAnsi" w:cstheme="minorHAnsi"/>
        </w:rPr>
      </w:pPr>
      <w:r>
        <w:rPr>
          <w:rFonts w:asciiTheme="minorHAnsi" w:hAnsiTheme="minorHAnsi" w:cstheme="minorHAnsi"/>
        </w:rPr>
        <w:t xml:space="preserve">Chorus, I. and J. Bartram.1999.  </w:t>
      </w:r>
      <w:r w:rsidRPr="003D1E89">
        <w:rPr>
          <w:rFonts w:asciiTheme="minorHAnsi" w:hAnsiTheme="minorHAnsi" w:cstheme="minorHAnsi"/>
          <w:i/>
        </w:rPr>
        <w:t>Toxic Cyanobacteria in Water: A Guide to Their Public Health Consequences, Monitoring and Management</w:t>
      </w:r>
      <w:r>
        <w:rPr>
          <w:rFonts w:asciiTheme="minorHAnsi" w:hAnsiTheme="minorHAnsi" w:cstheme="minorHAnsi"/>
        </w:rPr>
        <w:t>. World Health Organization. Spon Press. London.</w:t>
      </w:r>
    </w:p>
    <w:p w:rsidR="008C5F85" w:rsidRDefault="005771A4">
      <w:pPr>
        <w:rPr>
          <w:rFonts w:asciiTheme="minorHAnsi" w:hAnsiTheme="minorHAnsi" w:cstheme="minorHAnsi"/>
        </w:rPr>
      </w:pPr>
      <w:r>
        <w:rPr>
          <w:rFonts w:asciiTheme="minorHAnsi" w:hAnsiTheme="minorHAnsi" w:cstheme="minorHAnsi"/>
        </w:rPr>
        <w:t xml:space="preserve">Clark, A. and J. Fitzgerald. 2012.  </w:t>
      </w:r>
      <w:r w:rsidRPr="003D1E89">
        <w:rPr>
          <w:rFonts w:asciiTheme="minorHAnsi" w:hAnsiTheme="minorHAnsi" w:cstheme="minorHAnsi"/>
          <w:i/>
        </w:rPr>
        <w:t>Phycocyanin Meter Calibration</w:t>
      </w:r>
      <w:r>
        <w:rPr>
          <w:rFonts w:asciiTheme="minorHAnsi" w:hAnsiTheme="minorHAnsi" w:cstheme="minorHAnsi"/>
        </w:rPr>
        <w:t>.  MA Dept of Environmental Protection. Wakefield, MA</w:t>
      </w:r>
      <w:r w:rsidR="005C317A">
        <w:rPr>
          <w:rFonts w:asciiTheme="minorHAnsi" w:hAnsiTheme="minorHAnsi" w:cstheme="minorHAnsi"/>
        </w:rPr>
        <w:t>.</w:t>
      </w:r>
    </w:p>
    <w:p w:rsidR="0040505C" w:rsidRDefault="0040505C">
      <w:pPr>
        <w:rPr>
          <w:rFonts w:asciiTheme="minorHAnsi" w:hAnsiTheme="minorHAnsi" w:cstheme="minorHAnsi"/>
        </w:rPr>
      </w:pPr>
      <w:r>
        <w:rPr>
          <w:rFonts w:asciiTheme="minorHAnsi" w:hAnsiTheme="minorHAnsi" w:cstheme="minorHAnsi"/>
        </w:rPr>
        <w:t xml:space="preserve">Clark, A. and J. Fitzgerald. 2013.  </w:t>
      </w:r>
      <w:r>
        <w:rPr>
          <w:rFonts w:asciiTheme="minorHAnsi" w:hAnsiTheme="minorHAnsi" w:cstheme="minorHAnsi"/>
          <w:i/>
        </w:rPr>
        <w:t>NERO Cheet Sheet</w:t>
      </w:r>
      <w:r>
        <w:rPr>
          <w:rFonts w:asciiTheme="minorHAnsi" w:hAnsiTheme="minorHAnsi" w:cstheme="minorHAnsi"/>
        </w:rPr>
        <w:t>.  MA Dept of Environmental Protection. Wakefield, MA</w:t>
      </w:r>
    </w:p>
    <w:p w:rsidR="00F63AD9" w:rsidRDefault="00F63AD9">
      <w:pPr>
        <w:rPr>
          <w:rFonts w:asciiTheme="minorHAnsi" w:hAnsiTheme="minorHAnsi" w:cstheme="minorHAnsi"/>
        </w:rPr>
      </w:pPr>
      <w:r>
        <w:rPr>
          <w:rFonts w:asciiTheme="minorHAnsi" w:hAnsiTheme="minorHAnsi" w:cstheme="minorHAnsi"/>
        </w:rPr>
        <w:t xml:space="preserve">Eppendorf.2001.  </w:t>
      </w:r>
      <w:r w:rsidRPr="00F63AD9">
        <w:rPr>
          <w:rFonts w:asciiTheme="minorHAnsi" w:hAnsiTheme="minorHAnsi" w:cstheme="minorHAnsi"/>
          <w:i/>
        </w:rPr>
        <w:t>Eppendorf Reference Manual</w:t>
      </w:r>
      <w:r>
        <w:rPr>
          <w:rFonts w:asciiTheme="minorHAnsi" w:hAnsiTheme="minorHAnsi" w:cstheme="minorHAnsi"/>
        </w:rPr>
        <w:t>. Hamburg, Germany</w:t>
      </w:r>
    </w:p>
    <w:p w:rsidR="006C3B95" w:rsidRDefault="005C317A">
      <w:pPr>
        <w:rPr>
          <w:rFonts w:asciiTheme="minorHAnsi" w:hAnsiTheme="minorHAnsi" w:cstheme="minorHAnsi"/>
        </w:rPr>
      </w:pPr>
      <w:r>
        <w:rPr>
          <w:rFonts w:asciiTheme="minorHAnsi" w:hAnsiTheme="minorHAnsi" w:cstheme="minorHAnsi"/>
        </w:rPr>
        <w:t>Marion, J.W., Lee, J., Wilkins, J.R., Lemeshow, S</w:t>
      </w:r>
      <w:r w:rsidR="006C3B95">
        <w:rPr>
          <w:rFonts w:asciiTheme="minorHAnsi" w:hAnsiTheme="minorHAnsi" w:cstheme="minorHAnsi"/>
        </w:rPr>
        <w:t xml:space="preserve">., Lee, C., Waletzko, E.J. and T.J. Buckley. 2012. </w:t>
      </w:r>
      <w:r w:rsidR="006C3B95" w:rsidRPr="005C317A">
        <w:rPr>
          <w:rFonts w:asciiTheme="minorHAnsi" w:hAnsiTheme="minorHAnsi" w:cstheme="minorHAnsi"/>
          <w:i/>
        </w:rPr>
        <w:t>In vivo</w:t>
      </w:r>
      <w:r w:rsidR="006C3B95">
        <w:rPr>
          <w:rFonts w:asciiTheme="minorHAnsi" w:hAnsiTheme="minorHAnsi" w:cstheme="minorHAnsi"/>
        </w:rPr>
        <w:t xml:space="preserve"> phycocyanin fluorometry as a potential rapid screening tool for predicting elevated microcystin concentrations at eutrophic lakes. </w:t>
      </w:r>
      <w:r w:rsidR="006C3B95" w:rsidRPr="003D1E89">
        <w:rPr>
          <w:rFonts w:asciiTheme="minorHAnsi" w:hAnsiTheme="minorHAnsi" w:cstheme="minorHAnsi"/>
          <w:i/>
        </w:rPr>
        <w:t>Environmental Science and Technology</w:t>
      </w:r>
      <w:r w:rsidR="006C3B95">
        <w:rPr>
          <w:rFonts w:asciiTheme="minorHAnsi" w:hAnsiTheme="minorHAnsi" w:cstheme="minorHAnsi"/>
        </w:rPr>
        <w:t>. 46:4523-4531.</w:t>
      </w:r>
    </w:p>
    <w:p w:rsidR="0040505C" w:rsidRDefault="00160B26" w:rsidP="005C317A">
      <w:pPr>
        <w:autoSpaceDE w:val="0"/>
        <w:autoSpaceDN w:val="0"/>
        <w:adjustRightInd w:val="0"/>
        <w:spacing w:after="0" w:line="240" w:lineRule="auto"/>
        <w:rPr>
          <w:rFonts w:asciiTheme="minorHAnsi" w:hAnsiTheme="minorHAnsi" w:cstheme="minorHAnsi"/>
          <w:color w:val="000000"/>
        </w:rPr>
      </w:pPr>
      <w:r w:rsidRPr="00160B26">
        <w:rPr>
          <w:rFonts w:asciiTheme="minorHAnsi" w:hAnsiTheme="minorHAnsi" w:cstheme="minorHAnsi"/>
          <w:color w:val="000000"/>
        </w:rPr>
        <w:t>Massa</w:t>
      </w:r>
      <w:r>
        <w:rPr>
          <w:rFonts w:asciiTheme="minorHAnsi" w:hAnsiTheme="minorHAnsi" w:cstheme="minorHAnsi"/>
          <w:color w:val="000000"/>
        </w:rPr>
        <w:t xml:space="preserve">chusetts Dept of Public Health.2009. </w:t>
      </w:r>
      <w:r w:rsidRPr="003D1E89">
        <w:rPr>
          <w:rFonts w:asciiTheme="minorHAnsi" w:hAnsiTheme="minorHAnsi" w:cstheme="minorHAnsi"/>
          <w:i/>
          <w:color w:val="000000"/>
        </w:rPr>
        <w:t>MDPH Guidelines for Cyanobacteria in Freshwater Recreational Water Bodies in Massachusetts</w:t>
      </w:r>
      <w:r>
        <w:rPr>
          <w:rFonts w:asciiTheme="minorHAnsi" w:hAnsiTheme="minorHAnsi" w:cstheme="minorHAnsi"/>
          <w:color w:val="000000"/>
        </w:rPr>
        <w:t>.  Boston, MA</w:t>
      </w:r>
      <w:r w:rsidR="005C317A">
        <w:rPr>
          <w:rFonts w:asciiTheme="minorHAnsi" w:hAnsiTheme="minorHAnsi" w:cstheme="minorHAnsi"/>
          <w:color w:val="000000"/>
        </w:rPr>
        <w:t>.</w:t>
      </w:r>
    </w:p>
    <w:p w:rsidR="005C317A" w:rsidRDefault="005C317A" w:rsidP="005C317A">
      <w:pPr>
        <w:autoSpaceDE w:val="0"/>
        <w:autoSpaceDN w:val="0"/>
        <w:adjustRightInd w:val="0"/>
        <w:spacing w:after="0" w:line="240" w:lineRule="auto"/>
        <w:rPr>
          <w:rFonts w:asciiTheme="minorHAnsi" w:hAnsiTheme="minorHAnsi" w:cstheme="minorHAnsi"/>
        </w:rPr>
      </w:pPr>
    </w:p>
    <w:p w:rsidR="00CE5544" w:rsidRPr="003C38E4" w:rsidRDefault="00CE5544">
      <w:pPr>
        <w:rPr>
          <w:rFonts w:asciiTheme="minorHAnsi" w:hAnsiTheme="minorHAnsi" w:cstheme="minorHAnsi"/>
        </w:rPr>
      </w:pPr>
      <w:r>
        <w:rPr>
          <w:rFonts w:asciiTheme="minorHAnsi" w:hAnsiTheme="minorHAnsi" w:cstheme="minorHAnsi"/>
        </w:rPr>
        <w:t xml:space="preserve">New Zealand Ministry of Health. 2013. </w:t>
      </w:r>
      <w:r w:rsidRPr="003D1E89">
        <w:rPr>
          <w:rFonts w:asciiTheme="minorHAnsi" w:hAnsiTheme="minorHAnsi" w:cstheme="minorHAnsi"/>
          <w:i/>
        </w:rPr>
        <w:t>Guidelines for Drinking-wa</w:t>
      </w:r>
      <w:r w:rsidR="003D1E89" w:rsidRPr="003D1E89">
        <w:rPr>
          <w:rFonts w:asciiTheme="minorHAnsi" w:hAnsiTheme="minorHAnsi" w:cstheme="minorHAnsi"/>
          <w:i/>
        </w:rPr>
        <w:t>t</w:t>
      </w:r>
      <w:r w:rsidRPr="003D1E89">
        <w:rPr>
          <w:rFonts w:asciiTheme="minorHAnsi" w:hAnsiTheme="minorHAnsi" w:cstheme="minorHAnsi"/>
          <w:i/>
        </w:rPr>
        <w:t>er Quality Management for New Zealand 2013</w:t>
      </w:r>
      <w:r>
        <w:rPr>
          <w:rFonts w:asciiTheme="minorHAnsi" w:hAnsiTheme="minorHAnsi" w:cstheme="minorHAnsi"/>
        </w:rPr>
        <w:t>. 3 rd edit. Wellington, NZ.</w:t>
      </w:r>
    </w:p>
    <w:p w:rsidR="009C3177" w:rsidRDefault="00991FF2" w:rsidP="009C3177">
      <w:pPr>
        <w:rPr>
          <w:rFonts w:asciiTheme="minorHAnsi" w:hAnsiTheme="minorHAnsi" w:cstheme="minorHAnsi"/>
          <w:bCs/>
          <w:color w:val="000000" w:themeColor="text1"/>
          <w:lang w:val="en-GB"/>
        </w:rPr>
      </w:pPr>
      <w:r w:rsidRPr="00E24265">
        <w:rPr>
          <w:rFonts w:asciiTheme="minorHAnsi" w:hAnsiTheme="minorHAnsi" w:cstheme="minorHAnsi"/>
          <w:bCs/>
          <w:color w:val="000000" w:themeColor="text1"/>
          <w:lang w:val="en-GB"/>
        </w:rPr>
        <w:t xml:space="preserve">Turner Designs, Inc. 2012.  </w:t>
      </w:r>
      <w:r w:rsidR="000E0CF9" w:rsidRPr="000E0CF9">
        <w:rPr>
          <w:rFonts w:asciiTheme="minorHAnsi" w:hAnsiTheme="minorHAnsi" w:cstheme="minorHAnsi"/>
          <w:bCs/>
          <w:i/>
          <w:color w:val="000000" w:themeColor="text1"/>
          <w:lang w:val="en-GB"/>
        </w:rPr>
        <w:t>Cyanobacteria / Blue-Green Algae (Phycoerythrin and Phycocyanin)</w:t>
      </w:r>
      <w:r w:rsidR="009C3177" w:rsidRPr="00E24265">
        <w:rPr>
          <w:rFonts w:asciiTheme="minorHAnsi" w:hAnsiTheme="minorHAnsi" w:cstheme="minorHAnsi"/>
          <w:bCs/>
          <w:color w:val="000000" w:themeColor="text1"/>
          <w:lang w:val="en-GB"/>
        </w:rPr>
        <w:t xml:space="preserve"> - </w:t>
      </w:r>
      <w:r w:rsidR="009C3177" w:rsidRPr="003D1E89">
        <w:rPr>
          <w:rFonts w:asciiTheme="minorHAnsi" w:hAnsiTheme="minorHAnsi" w:cstheme="minorHAnsi"/>
          <w:bCs/>
          <w:i/>
          <w:color w:val="000000" w:themeColor="text1"/>
          <w:lang w:val="en-GB"/>
        </w:rPr>
        <w:t>Fluorometer Application Notes</w:t>
      </w:r>
      <w:r w:rsidRPr="00E24265">
        <w:rPr>
          <w:rFonts w:asciiTheme="minorHAnsi" w:hAnsiTheme="minorHAnsi" w:cstheme="minorHAnsi"/>
          <w:bCs/>
          <w:color w:val="000000" w:themeColor="text1"/>
          <w:lang w:val="en-GB"/>
        </w:rPr>
        <w:t xml:space="preserve">. Turner Designs, Inc.  </w:t>
      </w:r>
      <w:r w:rsidR="00E0519E" w:rsidRPr="00E24265">
        <w:rPr>
          <w:rFonts w:asciiTheme="minorHAnsi" w:hAnsiTheme="minorHAnsi" w:cstheme="minorHAnsi"/>
          <w:bCs/>
          <w:color w:val="000000" w:themeColor="text1"/>
          <w:lang w:val="en-GB"/>
        </w:rPr>
        <w:t xml:space="preserve">Sunnyvale, </w:t>
      </w:r>
      <w:r w:rsidRPr="00E24265">
        <w:rPr>
          <w:rFonts w:asciiTheme="minorHAnsi" w:hAnsiTheme="minorHAnsi" w:cstheme="minorHAnsi"/>
          <w:bCs/>
          <w:color w:val="000000" w:themeColor="text1"/>
          <w:lang w:val="en-GB"/>
        </w:rPr>
        <w:t>CA</w:t>
      </w:r>
      <w:r w:rsidR="005C317A">
        <w:rPr>
          <w:rFonts w:asciiTheme="minorHAnsi" w:hAnsiTheme="minorHAnsi" w:cstheme="minorHAnsi"/>
          <w:bCs/>
          <w:color w:val="000000" w:themeColor="text1"/>
          <w:lang w:val="en-GB"/>
        </w:rPr>
        <w:t>.</w:t>
      </w:r>
    </w:p>
    <w:p w:rsidR="00413157" w:rsidRDefault="00413157" w:rsidP="009C3177">
      <w:pPr>
        <w:rPr>
          <w:rFonts w:asciiTheme="minorHAnsi" w:hAnsiTheme="minorHAnsi" w:cstheme="minorHAnsi"/>
          <w:bCs/>
          <w:color w:val="000000" w:themeColor="text1"/>
          <w:lang w:val="en-GB"/>
        </w:rPr>
      </w:pPr>
      <w:r>
        <w:rPr>
          <w:rFonts w:asciiTheme="minorHAnsi" w:hAnsiTheme="minorHAnsi" w:cstheme="minorHAnsi"/>
          <w:bCs/>
          <w:color w:val="000000" w:themeColor="text1"/>
          <w:lang w:val="en-GB"/>
        </w:rPr>
        <w:t xml:space="preserve">Turner Designs, Inc. 2013. </w:t>
      </w:r>
      <w:r w:rsidR="000E0CF9" w:rsidRPr="000E0CF9">
        <w:rPr>
          <w:rFonts w:asciiTheme="minorHAnsi" w:hAnsiTheme="minorHAnsi" w:cstheme="minorHAnsi"/>
          <w:bCs/>
          <w:i/>
          <w:color w:val="000000" w:themeColor="text1"/>
          <w:lang w:val="en-GB"/>
        </w:rPr>
        <w:t>DataBank Datalogger User’s Manual</w:t>
      </w:r>
      <w:r w:rsidR="003B4DF9">
        <w:rPr>
          <w:rFonts w:asciiTheme="minorHAnsi" w:hAnsiTheme="minorHAnsi" w:cstheme="minorHAnsi"/>
          <w:bCs/>
          <w:color w:val="000000" w:themeColor="text1"/>
          <w:lang w:val="en-GB"/>
        </w:rPr>
        <w:t>. Sunnyvale, CA</w:t>
      </w:r>
      <w:r w:rsidR="005E6D61">
        <w:rPr>
          <w:rFonts w:asciiTheme="minorHAnsi" w:hAnsiTheme="minorHAnsi" w:cstheme="minorHAnsi"/>
          <w:bCs/>
          <w:color w:val="000000" w:themeColor="text1"/>
          <w:lang w:val="en-GB"/>
        </w:rPr>
        <w:t xml:space="preserve"> </w:t>
      </w:r>
      <w:r w:rsidR="003C3A0A">
        <w:rPr>
          <w:rFonts w:asciiTheme="minorHAnsi" w:hAnsiTheme="minorHAnsi" w:cstheme="minorHAnsi"/>
          <w:bCs/>
          <w:color w:val="000000" w:themeColor="text1"/>
          <w:lang w:val="en-GB"/>
        </w:rPr>
        <w:t>&lt;</w:t>
      </w:r>
      <w:r w:rsidR="005E6D61" w:rsidRPr="005E6D61">
        <w:rPr>
          <w:rFonts w:asciiTheme="minorHAnsi" w:hAnsiTheme="minorHAnsi" w:cstheme="minorHAnsi"/>
          <w:bCs/>
          <w:color w:val="000000" w:themeColor="text1"/>
          <w:lang w:val="en-GB"/>
        </w:rPr>
        <w:t>http://www.turnerdesigns.com/t2/doc/manuals/998-2900.pdf</w:t>
      </w:r>
      <w:r w:rsidR="003C3A0A">
        <w:rPr>
          <w:rFonts w:asciiTheme="minorHAnsi" w:hAnsiTheme="minorHAnsi" w:cstheme="minorHAnsi"/>
          <w:bCs/>
          <w:color w:val="000000" w:themeColor="text1"/>
          <w:lang w:val="en-GB"/>
        </w:rPr>
        <w:t>&gt;</w:t>
      </w:r>
    </w:p>
    <w:p w:rsidR="000E18E0" w:rsidRPr="000E18E0" w:rsidRDefault="008F5917" w:rsidP="009C3177">
      <w:pPr>
        <w:rPr>
          <w:rFonts w:asciiTheme="minorHAnsi" w:hAnsiTheme="minorHAnsi" w:cstheme="minorHAnsi"/>
          <w:bCs/>
          <w:color w:val="000000" w:themeColor="text1"/>
          <w:lang w:val="en-GB"/>
        </w:rPr>
      </w:pPr>
      <w:r>
        <w:rPr>
          <w:rFonts w:asciiTheme="minorHAnsi" w:hAnsiTheme="minorHAnsi" w:cstheme="minorHAnsi"/>
          <w:bCs/>
          <w:color w:val="000000" w:themeColor="text1"/>
          <w:lang w:val="en-GB"/>
        </w:rPr>
        <w:t xml:space="preserve">Turner Designs, Inc. 2014. </w:t>
      </w:r>
      <w:r w:rsidR="000E0CF9" w:rsidRPr="000E0CF9">
        <w:rPr>
          <w:rFonts w:asciiTheme="minorHAnsi" w:hAnsiTheme="minorHAnsi" w:cstheme="minorHAnsi"/>
          <w:bCs/>
          <w:i/>
          <w:color w:val="000000" w:themeColor="text1"/>
          <w:lang w:val="en-GB"/>
        </w:rPr>
        <w:t>Cyclops 7 Submersible Sensor User’s Manual</w:t>
      </w:r>
      <w:r>
        <w:rPr>
          <w:rFonts w:asciiTheme="minorHAnsi" w:hAnsiTheme="minorHAnsi" w:cstheme="minorHAnsi"/>
          <w:bCs/>
          <w:color w:val="000000" w:themeColor="text1"/>
          <w:lang w:val="en-GB"/>
        </w:rPr>
        <w:t>. Sunnyvale, CA</w:t>
      </w:r>
      <w:r w:rsidR="005E6D61">
        <w:rPr>
          <w:rFonts w:asciiTheme="minorHAnsi" w:hAnsiTheme="minorHAnsi" w:cstheme="minorHAnsi"/>
          <w:bCs/>
          <w:color w:val="000000" w:themeColor="text1"/>
          <w:lang w:val="en-GB"/>
        </w:rPr>
        <w:t xml:space="preserve"> </w:t>
      </w:r>
      <w:r w:rsidR="003C3A0A">
        <w:rPr>
          <w:rFonts w:asciiTheme="minorHAnsi" w:hAnsiTheme="minorHAnsi" w:cstheme="minorHAnsi"/>
          <w:bCs/>
          <w:color w:val="000000" w:themeColor="text1"/>
          <w:lang w:val="en-GB"/>
        </w:rPr>
        <w:t>&lt;</w:t>
      </w:r>
      <w:hyperlink r:id="rId10" w:history="1">
        <w:r w:rsidR="000E0CF9" w:rsidRPr="000E0CF9">
          <w:rPr>
            <w:rStyle w:val="Hyperlink"/>
            <w:rFonts w:asciiTheme="minorHAnsi" w:hAnsiTheme="minorHAnsi" w:cstheme="minorHAnsi"/>
          </w:rPr>
          <w:t>http://www.turnerdesigns.com/t2/doc/manuals/998-2100.pdf</w:t>
        </w:r>
      </w:hyperlink>
      <w:r w:rsidR="003C3A0A">
        <w:rPr>
          <w:rFonts w:asciiTheme="minorHAnsi" w:hAnsiTheme="minorHAnsi" w:cstheme="minorHAnsi"/>
        </w:rPr>
        <w:t>&gt;</w:t>
      </w:r>
    </w:p>
    <w:tbl>
      <w:tblPr>
        <w:tblStyle w:val="TableGrid"/>
        <w:tblW w:w="0" w:type="auto"/>
        <w:tblBorders>
          <w:top w:val="none" w:sz="0" w:space="0" w:color="auto"/>
          <w:left w:val="none" w:sz="0" w:space="0" w:color="auto"/>
          <w:bottom w:val="none" w:sz="0" w:space="0" w:color="auto"/>
          <w:right w:val="none" w:sz="0" w:space="0" w:color="auto"/>
        </w:tblBorders>
        <w:tblLook w:val="04A0"/>
      </w:tblPr>
      <w:tblGrid>
        <w:gridCol w:w="9576"/>
      </w:tblGrid>
      <w:tr w:rsidR="00210F08" w:rsidRPr="00023AD1" w:rsidTr="00402302">
        <w:tc>
          <w:tcPr>
            <w:tcW w:w="9576" w:type="dxa"/>
          </w:tcPr>
          <w:p w:rsidR="00210F08" w:rsidRPr="00023AD1" w:rsidRDefault="00210F08" w:rsidP="00210F08">
            <w:pPr>
              <w:pStyle w:val="Default"/>
              <w:rPr>
                <w:rFonts w:asciiTheme="minorHAnsi" w:hAnsiTheme="minorHAnsi" w:cstheme="minorHAnsi"/>
                <w:sz w:val="20"/>
                <w:szCs w:val="20"/>
              </w:rPr>
            </w:pPr>
            <w:r w:rsidRPr="00210F08">
              <w:rPr>
                <w:rFonts w:asciiTheme="minorHAnsi" w:hAnsiTheme="minorHAnsi" w:cstheme="minorHAnsi"/>
                <w:sz w:val="20"/>
                <w:szCs w:val="20"/>
              </w:rPr>
              <w:t>U.S. Environmental Protection Agency</w:t>
            </w:r>
          </w:p>
        </w:tc>
      </w:tr>
    </w:tbl>
    <w:p w:rsidR="00023AD1" w:rsidRPr="00023AD1" w:rsidRDefault="00023AD1" w:rsidP="00023AD1">
      <w:pPr>
        <w:pStyle w:val="Default"/>
        <w:rPr>
          <w:rFonts w:asciiTheme="minorHAnsi" w:hAnsiTheme="minorHAnsi" w:cstheme="minorHAnsi"/>
          <w:sz w:val="20"/>
          <w:szCs w:val="20"/>
        </w:rPr>
      </w:pPr>
      <w:r>
        <w:rPr>
          <w:rFonts w:asciiTheme="minorHAnsi" w:hAnsiTheme="minorHAnsi" w:cstheme="minorHAnsi"/>
          <w:sz w:val="20"/>
          <w:szCs w:val="20"/>
        </w:rPr>
        <w:lastRenderedPageBreak/>
        <w:t>.</w:t>
      </w:r>
      <w:r w:rsidR="00FD0416">
        <w:rPr>
          <w:rFonts w:asciiTheme="minorHAnsi" w:hAnsiTheme="minorHAnsi" w:cstheme="minorHAnsi"/>
          <w:sz w:val="20"/>
          <w:szCs w:val="20"/>
        </w:rPr>
        <w:t xml:space="preserve"> </w:t>
      </w:r>
      <w:r>
        <w:rPr>
          <w:rFonts w:asciiTheme="minorHAnsi" w:hAnsiTheme="minorHAnsi" w:cstheme="minorHAnsi"/>
          <w:sz w:val="20"/>
          <w:szCs w:val="20"/>
        </w:rPr>
        <w:t xml:space="preserve">2010. </w:t>
      </w:r>
      <w:r w:rsidRPr="003D1E89">
        <w:rPr>
          <w:rFonts w:asciiTheme="minorHAnsi" w:hAnsiTheme="minorHAnsi" w:cstheme="minorHAnsi"/>
          <w:i/>
          <w:sz w:val="20"/>
          <w:szCs w:val="20"/>
        </w:rPr>
        <w:t>National Lakes Assessment: A Collaborative Survey of the Nation’s Lakes</w:t>
      </w:r>
      <w:r>
        <w:rPr>
          <w:rFonts w:asciiTheme="minorHAnsi" w:hAnsiTheme="minorHAnsi" w:cstheme="minorHAnsi"/>
          <w:sz w:val="20"/>
          <w:szCs w:val="20"/>
        </w:rPr>
        <w:t xml:space="preserve">. Chap. 5 Trophic State of Lakes. EPA 841-R-09-001. Office of Wetlands, Oceans and Watersheds.  Office of Water. Washington, D. C. </w:t>
      </w:r>
    </w:p>
    <w:p w:rsidR="001218F1" w:rsidRDefault="001218F1">
      <w:pPr>
        <w:rPr>
          <w:rFonts w:asciiTheme="minorHAnsi" w:hAnsiTheme="minorHAnsi" w:cstheme="minorHAnsi"/>
        </w:rPr>
      </w:pPr>
      <w:r>
        <w:rPr>
          <w:rFonts w:asciiTheme="minorHAnsi" w:hAnsiTheme="minorHAnsi" w:cstheme="minorHAnsi"/>
        </w:rPr>
        <w:br w:type="page"/>
      </w:r>
    </w:p>
    <w:tbl>
      <w:tblPr>
        <w:tblW w:w="10950" w:type="dxa"/>
        <w:tblInd w:w="-992" w:type="dxa"/>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ayout w:type="fixed"/>
        <w:tblLook w:val="0000"/>
      </w:tblPr>
      <w:tblGrid>
        <w:gridCol w:w="551"/>
        <w:gridCol w:w="26"/>
        <w:gridCol w:w="255"/>
        <w:gridCol w:w="261"/>
        <w:gridCol w:w="11"/>
        <w:gridCol w:w="453"/>
        <w:gridCol w:w="2075"/>
        <w:gridCol w:w="5507"/>
        <w:gridCol w:w="1811"/>
      </w:tblGrid>
      <w:tr w:rsidR="008C5F85" w:rsidTr="00601BE4">
        <w:trPr>
          <w:cantSplit/>
          <w:trHeight w:val="284"/>
        </w:trPr>
        <w:tc>
          <w:tcPr>
            <w:tcW w:w="832" w:type="dxa"/>
            <w:gridSpan w:val="3"/>
            <w:tcBorders>
              <w:top w:val="single" w:sz="18" w:space="0" w:color="auto"/>
              <w:left w:val="single" w:sz="18" w:space="0" w:color="auto"/>
              <w:bottom w:val="single" w:sz="18" w:space="0" w:color="auto"/>
              <w:right w:val="single" w:sz="4" w:space="0" w:color="auto"/>
            </w:tcBorders>
            <w:shd w:val="clear" w:color="auto" w:fill="002060"/>
            <w:vAlign w:val="center"/>
          </w:tcPr>
          <w:p w:rsidR="008C5F85" w:rsidRPr="00B126AE" w:rsidRDefault="00B46DAC" w:rsidP="00C21E57">
            <w:pPr>
              <w:pStyle w:val="Heading2"/>
              <w:tabs>
                <w:tab w:val="left" w:pos="3412"/>
              </w:tabs>
              <w:spacing w:before="80" w:after="80"/>
              <w:ind w:right="20"/>
              <w:jc w:val="center"/>
              <w:rPr>
                <w:color w:val="FFFFFF"/>
                <w:sz w:val="28"/>
              </w:rPr>
            </w:pPr>
            <w:r>
              <w:rPr>
                <w:rFonts w:asciiTheme="minorHAnsi" w:hAnsiTheme="minorHAnsi" w:cstheme="minorHAnsi"/>
              </w:rPr>
              <w:lastRenderedPageBreak/>
              <w:t xml:space="preserve">           </w:t>
            </w:r>
          </w:p>
        </w:tc>
        <w:tc>
          <w:tcPr>
            <w:tcW w:w="2800" w:type="dxa"/>
            <w:gridSpan w:val="4"/>
            <w:tcBorders>
              <w:top w:val="single" w:sz="18" w:space="0" w:color="auto"/>
              <w:left w:val="single" w:sz="4" w:space="0" w:color="auto"/>
              <w:bottom w:val="single" w:sz="18" w:space="0" w:color="auto"/>
              <w:right w:val="single" w:sz="4" w:space="0" w:color="auto"/>
            </w:tcBorders>
            <w:shd w:val="clear" w:color="auto" w:fill="FFFFC5"/>
            <w:vAlign w:val="center"/>
          </w:tcPr>
          <w:p w:rsidR="008C5F85" w:rsidRDefault="00D712C3" w:rsidP="003A7BFA">
            <w:pPr>
              <w:pStyle w:val="Heading2"/>
              <w:tabs>
                <w:tab w:val="left" w:pos="3412"/>
              </w:tabs>
              <w:spacing w:before="80" w:after="80"/>
              <w:ind w:right="20"/>
              <w:jc w:val="center"/>
              <w:rPr>
                <w:sz w:val="28"/>
              </w:rPr>
            </w:pPr>
            <w:r w:rsidRPr="00D712C3">
              <w:rPr>
                <w:b w:val="0"/>
                <w:bCs w:val="0"/>
                <w:smallCaps/>
                <w:sz w:val="18"/>
                <w:szCs w:val="18"/>
              </w:rPr>
              <w:t>Appendix A:</w:t>
            </w:r>
            <w:r>
              <w:rPr>
                <w:b w:val="0"/>
                <w:bCs w:val="0"/>
                <w:smallCaps/>
              </w:rPr>
              <w:t xml:space="preserve">  </w:t>
            </w:r>
            <w:r w:rsidR="006F72DD">
              <w:rPr>
                <w:b w:val="0"/>
                <w:bCs w:val="0"/>
                <w:smallCaps/>
              </w:rPr>
              <w:t xml:space="preserve">Modification of NERO </w:t>
            </w:r>
            <w:r w:rsidR="008C5F85">
              <w:rPr>
                <w:b w:val="0"/>
                <w:bCs w:val="0"/>
                <w:smallCaps/>
              </w:rPr>
              <w:t>MassDEP Che</w:t>
            </w:r>
            <w:r w:rsidR="003A7BFA">
              <w:rPr>
                <w:b w:val="0"/>
                <w:bCs w:val="0"/>
                <w:smallCaps/>
              </w:rPr>
              <w:t>A</w:t>
            </w:r>
            <w:r w:rsidR="008C5F85">
              <w:rPr>
                <w:b w:val="0"/>
                <w:bCs w:val="0"/>
                <w:smallCaps/>
              </w:rPr>
              <w:t>t Sheet</w:t>
            </w:r>
          </w:p>
        </w:tc>
        <w:tc>
          <w:tcPr>
            <w:tcW w:w="5507" w:type="dxa"/>
            <w:tcBorders>
              <w:top w:val="single" w:sz="18" w:space="0" w:color="auto"/>
              <w:left w:val="single" w:sz="4" w:space="0" w:color="auto"/>
              <w:bottom w:val="single" w:sz="18" w:space="0" w:color="auto"/>
              <w:right w:val="single" w:sz="4" w:space="0" w:color="auto"/>
            </w:tcBorders>
            <w:shd w:val="clear" w:color="auto" w:fill="FFFFC5"/>
            <w:vAlign w:val="center"/>
          </w:tcPr>
          <w:p w:rsidR="008C5F85" w:rsidRPr="002E39C3" w:rsidRDefault="006F72DD" w:rsidP="002B3EAB">
            <w:pPr>
              <w:pStyle w:val="Heading2"/>
              <w:tabs>
                <w:tab w:val="left" w:pos="3412"/>
              </w:tabs>
              <w:spacing w:before="80" w:after="80"/>
              <w:ind w:right="20"/>
              <w:jc w:val="center"/>
            </w:pPr>
            <w:r>
              <w:rPr>
                <w:sz w:val="28"/>
                <w:szCs w:val="28"/>
              </w:rPr>
              <w:t xml:space="preserve">Phycocyanin </w:t>
            </w:r>
            <w:r w:rsidR="008C5F85">
              <w:rPr>
                <w:sz w:val="28"/>
                <w:szCs w:val="28"/>
              </w:rPr>
              <w:t>Meter Calibration</w:t>
            </w:r>
          </w:p>
        </w:tc>
        <w:tc>
          <w:tcPr>
            <w:tcW w:w="1811" w:type="dxa"/>
            <w:tcBorders>
              <w:top w:val="single" w:sz="18" w:space="0" w:color="auto"/>
              <w:left w:val="single" w:sz="4" w:space="0" w:color="auto"/>
              <w:bottom w:val="single" w:sz="18" w:space="0" w:color="auto"/>
              <w:right w:val="single" w:sz="18" w:space="0" w:color="auto"/>
            </w:tcBorders>
            <w:shd w:val="clear" w:color="auto" w:fill="FFFFC5"/>
            <w:vAlign w:val="center"/>
          </w:tcPr>
          <w:p w:rsidR="008C5F85" w:rsidRDefault="008C5F85" w:rsidP="00C21E57">
            <w:pPr>
              <w:pStyle w:val="NormalWeb"/>
              <w:spacing w:before="80" w:beforeAutospacing="0" w:after="80" w:afterAutospacing="0"/>
              <w:ind w:right="2"/>
              <w:jc w:val="center"/>
              <w:rPr>
                <w:rFonts w:ascii="Arial" w:eastAsia="Times New Roman" w:hAnsi="Arial" w:cs="Times New Roman"/>
                <w:szCs w:val="24"/>
              </w:rPr>
            </w:pPr>
          </w:p>
        </w:tc>
      </w:tr>
      <w:tr w:rsidR="008C5F85" w:rsidTr="00601BE4">
        <w:trPr>
          <w:cantSplit/>
          <w:trHeight w:val="2235"/>
        </w:trPr>
        <w:tc>
          <w:tcPr>
            <w:tcW w:w="577" w:type="dxa"/>
            <w:gridSpan w:val="2"/>
            <w:tcBorders>
              <w:top w:val="single" w:sz="18" w:space="0" w:color="auto"/>
              <w:left w:val="single" w:sz="18" w:space="0" w:color="auto"/>
              <w:bottom w:val="single" w:sz="18" w:space="0" w:color="auto"/>
              <w:right w:val="single" w:sz="4" w:space="0" w:color="auto"/>
            </w:tcBorders>
            <w:shd w:val="clear" w:color="auto" w:fill="D5F4FF"/>
            <w:textDirection w:val="btLr"/>
            <w:vAlign w:val="center"/>
          </w:tcPr>
          <w:p w:rsidR="008C5F85" w:rsidRPr="000C7E9B" w:rsidRDefault="008C5F85" w:rsidP="00C21E57">
            <w:pPr>
              <w:spacing w:before="100" w:after="100"/>
              <w:ind w:left="113" w:right="2"/>
              <w:jc w:val="center"/>
              <w:rPr>
                <w:rStyle w:val="BookTitle"/>
                <w:b w:val="0"/>
                <w:szCs w:val="22"/>
              </w:rPr>
            </w:pPr>
            <w:r w:rsidRPr="000C7E9B">
              <w:rPr>
                <w:rStyle w:val="BookTitle"/>
                <w:b w:val="0"/>
                <w:szCs w:val="22"/>
              </w:rPr>
              <w:t>Basics</w:t>
            </w:r>
          </w:p>
        </w:tc>
        <w:tc>
          <w:tcPr>
            <w:tcW w:w="10373" w:type="dxa"/>
            <w:gridSpan w:val="7"/>
            <w:tcBorders>
              <w:top w:val="single" w:sz="18" w:space="0" w:color="auto"/>
              <w:left w:val="single" w:sz="4" w:space="0" w:color="auto"/>
              <w:bottom w:val="single" w:sz="18" w:space="0" w:color="auto"/>
              <w:right w:val="single" w:sz="18" w:space="0" w:color="auto"/>
            </w:tcBorders>
            <w:shd w:val="clear" w:color="auto" w:fill="D5F4FF"/>
            <w:vAlign w:val="center"/>
          </w:tcPr>
          <w:p w:rsidR="008C5F85" w:rsidRDefault="008C5F85" w:rsidP="00C21E57">
            <w:pPr>
              <w:spacing w:before="50" w:after="50"/>
              <w:ind w:right="2"/>
              <w:jc w:val="both"/>
            </w:pPr>
            <w:r>
              <w:t>The Turner Designs Cyclops-7/DataBank Fluorescence unit should be calibrated once per year, or if and when readings for the Solid Secondary Standard (SSS) are off by more than 20%.</w:t>
            </w:r>
          </w:p>
          <w:p w:rsidR="008C5F85" w:rsidRDefault="008C5F85" w:rsidP="00552AE5">
            <w:pPr>
              <w:spacing w:before="50" w:after="50"/>
              <w:ind w:right="2"/>
              <w:jc w:val="both"/>
              <w:rPr>
                <w:rStyle w:val="BookTitle"/>
                <w:b w:val="0"/>
              </w:rPr>
            </w:pPr>
            <w:r>
              <w:t xml:space="preserve">This document outlines a </w:t>
            </w:r>
            <w:r w:rsidRPr="00BB4693">
              <w:rPr>
                <w:b/>
              </w:rPr>
              <w:t>two-point</w:t>
            </w:r>
            <w:r>
              <w:t xml:space="preserve"> cal</w:t>
            </w:r>
            <w:r w:rsidR="00B848E6">
              <w:t>ibration procedure for µg/L of p</w:t>
            </w:r>
            <w:r>
              <w:t xml:space="preserve">hycocyanin pigment.  </w:t>
            </w:r>
          </w:p>
        </w:tc>
      </w:tr>
      <w:tr w:rsidR="008C5F85" w:rsidTr="00601BE4">
        <w:trPr>
          <w:cantSplit/>
          <w:trHeight w:val="2235"/>
        </w:trPr>
        <w:tc>
          <w:tcPr>
            <w:tcW w:w="577" w:type="dxa"/>
            <w:gridSpan w:val="2"/>
            <w:tcBorders>
              <w:top w:val="single" w:sz="18" w:space="0" w:color="auto"/>
              <w:left w:val="single" w:sz="18" w:space="0" w:color="auto"/>
              <w:bottom w:val="single" w:sz="18" w:space="0" w:color="auto"/>
              <w:right w:val="single" w:sz="4" w:space="0" w:color="auto"/>
            </w:tcBorders>
            <w:shd w:val="clear" w:color="auto" w:fill="FFFFFF"/>
            <w:textDirection w:val="btLr"/>
            <w:vAlign w:val="center"/>
          </w:tcPr>
          <w:p w:rsidR="008C5F85" w:rsidRPr="000C7E9B" w:rsidRDefault="008C5F85" w:rsidP="00C21E57">
            <w:pPr>
              <w:spacing w:before="100" w:after="100"/>
              <w:ind w:left="113" w:right="2"/>
              <w:jc w:val="center"/>
              <w:rPr>
                <w:rStyle w:val="BookTitle"/>
                <w:b w:val="0"/>
                <w:szCs w:val="22"/>
              </w:rPr>
            </w:pPr>
            <w:r w:rsidRPr="000C7E9B">
              <w:rPr>
                <w:rStyle w:val="BookTitle"/>
                <w:b w:val="0"/>
                <w:szCs w:val="22"/>
              </w:rPr>
              <w:t>Supplies</w:t>
            </w:r>
          </w:p>
        </w:tc>
        <w:tc>
          <w:tcPr>
            <w:tcW w:w="10373" w:type="dxa"/>
            <w:gridSpan w:val="7"/>
            <w:tcBorders>
              <w:top w:val="single" w:sz="18" w:space="0" w:color="auto"/>
              <w:left w:val="single" w:sz="4" w:space="0" w:color="auto"/>
              <w:bottom w:val="single" w:sz="18" w:space="0" w:color="auto"/>
              <w:right w:val="single" w:sz="18" w:space="0" w:color="auto"/>
            </w:tcBorders>
            <w:shd w:val="clear" w:color="auto" w:fill="FFFFFF"/>
            <w:vAlign w:val="center"/>
          </w:tcPr>
          <w:p w:rsidR="008C5F85" w:rsidRDefault="008C5F85" w:rsidP="00C21E57">
            <w:pPr>
              <w:spacing w:before="50" w:after="50"/>
              <w:ind w:right="2"/>
              <w:jc w:val="both"/>
            </w:pPr>
            <w:r>
              <w:t>CYCLOPS-7 probe connected to DataBank via the supplied cable</w:t>
            </w:r>
          </w:p>
          <w:p w:rsidR="008C5F85" w:rsidRDefault="008C5F85" w:rsidP="00C21E57">
            <w:pPr>
              <w:spacing w:before="50" w:after="50"/>
              <w:ind w:right="2"/>
              <w:jc w:val="both"/>
            </w:pPr>
            <w:r>
              <w:t>Laptop and USB interface cable (part number 021-2903)</w:t>
            </w:r>
          </w:p>
          <w:p w:rsidR="00F62323" w:rsidRDefault="00A8107E" w:rsidP="00C21E57">
            <w:pPr>
              <w:spacing w:before="50" w:after="50"/>
              <w:ind w:right="2"/>
              <w:jc w:val="both"/>
            </w:pPr>
            <w:r>
              <w:t xml:space="preserve">Two </w:t>
            </w:r>
            <w:r w:rsidR="008C5F85">
              <w:t xml:space="preserve">0.5 liter and </w:t>
            </w:r>
            <w:r>
              <w:t xml:space="preserve">three </w:t>
            </w:r>
            <w:r w:rsidR="008C5F85">
              <w:t xml:space="preserve">1 Liter volumetric flask, </w:t>
            </w:r>
            <w:r>
              <w:t xml:space="preserve">one </w:t>
            </w:r>
            <w:r w:rsidR="008C5F85">
              <w:t xml:space="preserve">400 mL </w:t>
            </w:r>
            <w:r w:rsidR="00F62323">
              <w:t xml:space="preserve">Erlenmeyer wide-mouth </w:t>
            </w:r>
            <w:r w:rsidR="008C5F85">
              <w:t xml:space="preserve">flask,  </w:t>
            </w:r>
            <w:r w:rsidR="00F62323">
              <w:t>4 two liter beakers</w:t>
            </w:r>
            <w:r>
              <w:t>, two 500 mL glass measuring jars (beakers)</w:t>
            </w:r>
          </w:p>
          <w:p w:rsidR="008C5F85" w:rsidRDefault="00A8107E" w:rsidP="00C21E57">
            <w:pPr>
              <w:spacing w:before="50" w:after="50"/>
              <w:ind w:right="2"/>
              <w:jc w:val="both"/>
            </w:pPr>
            <w:r>
              <w:t>~</w:t>
            </w:r>
            <w:r w:rsidR="008C5F85">
              <w:t>3-liters of  Deionized (DI) water, gloves</w:t>
            </w:r>
          </w:p>
          <w:p w:rsidR="008C5F85" w:rsidRDefault="008C5F85" w:rsidP="00C21E57">
            <w:pPr>
              <w:spacing w:before="50" w:after="50"/>
              <w:ind w:right="2"/>
              <w:jc w:val="both"/>
            </w:pPr>
            <w:r>
              <w:t xml:space="preserve">10 µL </w:t>
            </w:r>
            <w:r w:rsidR="00B63E20">
              <w:t>Micropipette</w:t>
            </w:r>
            <w:r>
              <w:t>, magnetic stirrer, thermometer</w:t>
            </w:r>
            <w:r w:rsidR="00F0751B">
              <w:t>, lens paper</w:t>
            </w:r>
          </w:p>
          <w:p w:rsidR="008C5F85" w:rsidRDefault="008C5F85" w:rsidP="00C21E57">
            <w:pPr>
              <w:spacing w:before="50" w:after="50"/>
              <w:ind w:right="2"/>
              <w:jc w:val="both"/>
            </w:pPr>
            <w:r>
              <w:t>c-phycocyanin (</w:t>
            </w:r>
            <w:r w:rsidR="000E0CF9" w:rsidRPr="000E0CF9">
              <w:rPr>
                <w:i/>
              </w:rPr>
              <w:t>Spirulina platensis</w:t>
            </w:r>
            <w:r>
              <w:t xml:space="preserve">) standard (keep refrigerated) </w:t>
            </w:r>
          </w:p>
          <w:p w:rsidR="00F0751B" w:rsidRDefault="00F0751B" w:rsidP="00C21E57">
            <w:pPr>
              <w:spacing w:before="50" w:after="50"/>
              <w:ind w:right="2"/>
              <w:jc w:val="both"/>
              <w:rPr>
                <w:rStyle w:val="BookTitle"/>
                <w:b w:val="0"/>
              </w:rPr>
            </w:pPr>
          </w:p>
        </w:tc>
      </w:tr>
      <w:tr w:rsidR="008C5F85" w:rsidTr="00601BE4">
        <w:trPr>
          <w:cantSplit/>
          <w:trHeight w:val="284"/>
        </w:trPr>
        <w:tc>
          <w:tcPr>
            <w:tcW w:w="10950" w:type="dxa"/>
            <w:gridSpan w:val="9"/>
            <w:tcBorders>
              <w:top w:val="single" w:sz="18" w:space="0" w:color="auto"/>
              <w:left w:val="single" w:sz="18" w:space="0" w:color="auto"/>
              <w:bottom w:val="single" w:sz="6" w:space="0" w:color="auto"/>
              <w:right w:val="single" w:sz="18" w:space="0" w:color="auto"/>
            </w:tcBorders>
            <w:shd w:val="clear" w:color="auto" w:fill="E3FFE3"/>
            <w:vAlign w:val="center"/>
          </w:tcPr>
          <w:p w:rsidR="008C5F85" w:rsidRPr="00DD664F" w:rsidRDefault="008C5F85" w:rsidP="00C21E57">
            <w:pPr>
              <w:spacing w:before="50" w:after="50"/>
              <w:ind w:right="2"/>
              <w:jc w:val="both"/>
              <w:rPr>
                <w:rStyle w:val="BookTitle"/>
                <w:b w:val="0"/>
              </w:rPr>
            </w:pPr>
            <w:r>
              <w:rPr>
                <w:rStyle w:val="BookTitle"/>
                <w:b w:val="0"/>
              </w:rPr>
              <w:t>Step By Step Instructions</w:t>
            </w:r>
          </w:p>
        </w:tc>
      </w:tr>
      <w:tr w:rsidR="008C5F85" w:rsidTr="00601BE4">
        <w:trPr>
          <w:cantSplit/>
          <w:trHeight w:val="284"/>
        </w:trPr>
        <w:tc>
          <w:tcPr>
            <w:tcW w:w="551" w:type="dxa"/>
            <w:tcBorders>
              <w:top w:val="single" w:sz="6" w:space="0" w:color="auto"/>
              <w:left w:val="single" w:sz="18" w:space="0" w:color="auto"/>
              <w:bottom w:val="single" w:sz="6" w:space="0" w:color="auto"/>
            </w:tcBorders>
            <w:shd w:val="clear" w:color="auto" w:fill="E3FFE3"/>
            <w:vAlign w:val="center"/>
          </w:tcPr>
          <w:p w:rsidR="008C5F85" w:rsidRDefault="008C5F85" w:rsidP="00C21E57">
            <w:pPr>
              <w:spacing w:before="100" w:after="100"/>
              <w:jc w:val="center"/>
            </w:pPr>
            <w:r>
              <w:t>1</w:t>
            </w:r>
          </w:p>
        </w:tc>
        <w:tc>
          <w:tcPr>
            <w:tcW w:w="10399" w:type="dxa"/>
            <w:gridSpan w:val="8"/>
            <w:tcBorders>
              <w:top w:val="single" w:sz="6" w:space="0" w:color="auto"/>
              <w:bottom w:val="single" w:sz="6" w:space="0" w:color="auto"/>
              <w:right w:val="single" w:sz="18" w:space="0" w:color="auto"/>
            </w:tcBorders>
            <w:shd w:val="clear" w:color="auto" w:fill="E3FFE3"/>
            <w:vAlign w:val="center"/>
          </w:tcPr>
          <w:p w:rsidR="008C5F85" w:rsidRDefault="008C5F85" w:rsidP="00C21E57">
            <w:pPr>
              <w:spacing w:before="50" w:after="50"/>
              <w:ind w:right="2"/>
              <w:jc w:val="both"/>
            </w:pPr>
            <w:r>
              <w:t>Rinse the optical window in the probe with Dionized (DI) water and clean/wipe dry with lens paper. Reattach the slotted black plastic shade cap to the probe.</w:t>
            </w:r>
          </w:p>
        </w:tc>
      </w:tr>
      <w:tr w:rsidR="008C5F85" w:rsidTr="00601BE4">
        <w:trPr>
          <w:cantSplit/>
          <w:trHeight w:val="284"/>
        </w:trPr>
        <w:tc>
          <w:tcPr>
            <w:tcW w:w="551" w:type="dxa"/>
            <w:tcBorders>
              <w:top w:val="single" w:sz="6" w:space="0" w:color="auto"/>
              <w:left w:val="single" w:sz="18" w:space="0" w:color="auto"/>
              <w:bottom w:val="single" w:sz="6" w:space="0" w:color="auto"/>
            </w:tcBorders>
            <w:shd w:val="clear" w:color="auto" w:fill="E3FFE3"/>
            <w:vAlign w:val="center"/>
          </w:tcPr>
          <w:p w:rsidR="008C5F85" w:rsidRDefault="008C5F85" w:rsidP="00C21E57">
            <w:pPr>
              <w:spacing w:before="100" w:after="100"/>
              <w:jc w:val="center"/>
            </w:pPr>
            <w:r>
              <w:t>2</w:t>
            </w:r>
          </w:p>
        </w:tc>
        <w:tc>
          <w:tcPr>
            <w:tcW w:w="10399" w:type="dxa"/>
            <w:gridSpan w:val="8"/>
            <w:tcBorders>
              <w:top w:val="single" w:sz="6" w:space="0" w:color="auto"/>
              <w:bottom w:val="single" w:sz="6" w:space="0" w:color="auto"/>
              <w:right w:val="single" w:sz="18" w:space="0" w:color="auto"/>
            </w:tcBorders>
            <w:shd w:val="clear" w:color="auto" w:fill="E3FFE3"/>
            <w:vAlign w:val="center"/>
          </w:tcPr>
          <w:p w:rsidR="008C5F85" w:rsidRDefault="008C5F85" w:rsidP="00C21E57">
            <w:pPr>
              <w:spacing w:before="50" w:after="50"/>
              <w:ind w:right="2"/>
              <w:jc w:val="both"/>
            </w:pPr>
            <w:r>
              <w:t xml:space="preserve">Turn on the laptop, but </w:t>
            </w:r>
            <w:r w:rsidRPr="0003684E">
              <w:rPr>
                <w:i/>
                <w:u w:val="single"/>
              </w:rPr>
              <w:t>do not open the DataBank GUI program yet</w:t>
            </w:r>
            <w:r>
              <w:t>.</w:t>
            </w:r>
          </w:p>
        </w:tc>
      </w:tr>
      <w:tr w:rsidR="008C5F85" w:rsidTr="00601BE4">
        <w:trPr>
          <w:cantSplit/>
          <w:trHeight w:val="284"/>
        </w:trPr>
        <w:tc>
          <w:tcPr>
            <w:tcW w:w="551" w:type="dxa"/>
            <w:tcBorders>
              <w:top w:val="single" w:sz="6" w:space="0" w:color="auto"/>
              <w:left w:val="single" w:sz="18" w:space="0" w:color="auto"/>
              <w:bottom w:val="single" w:sz="6" w:space="0" w:color="auto"/>
            </w:tcBorders>
            <w:shd w:val="clear" w:color="auto" w:fill="E3FFE3"/>
            <w:vAlign w:val="center"/>
          </w:tcPr>
          <w:p w:rsidR="008C5F85" w:rsidRDefault="008C5F85" w:rsidP="00C21E57">
            <w:pPr>
              <w:spacing w:before="100" w:after="100"/>
              <w:jc w:val="center"/>
            </w:pPr>
            <w:r>
              <w:t>3</w:t>
            </w:r>
          </w:p>
        </w:tc>
        <w:tc>
          <w:tcPr>
            <w:tcW w:w="10399" w:type="dxa"/>
            <w:gridSpan w:val="8"/>
            <w:tcBorders>
              <w:top w:val="single" w:sz="6" w:space="0" w:color="auto"/>
              <w:bottom w:val="single" w:sz="6" w:space="0" w:color="auto"/>
              <w:right w:val="single" w:sz="18" w:space="0" w:color="auto"/>
            </w:tcBorders>
            <w:shd w:val="clear" w:color="auto" w:fill="E3FFE3"/>
            <w:vAlign w:val="center"/>
          </w:tcPr>
          <w:p w:rsidR="008C5F85" w:rsidRDefault="008C5F85" w:rsidP="00C21E57">
            <w:pPr>
              <w:spacing w:before="50" w:after="50"/>
              <w:ind w:right="2"/>
              <w:jc w:val="both"/>
            </w:pPr>
            <w:r>
              <w:t xml:space="preserve">Connect the USB interface cable to the DataBank unit using the pin connector, but </w:t>
            </w:r>
            <w:r w:rsidRPr="0003684E">
              <w:rPr>
                <w:i/>
                <w:u w:val="single"/>
              </w:rPr>
              <w:t xml:space="preserve">do not turn on the </w:t>
            </w:r>
            <w:r>
              <w:rPr>
                <w:i/>
                <w:u w:val="single"/>
              </w:rPr>
              <w:t>DataBank</w:t>
            </w:r>
            <w:r w:rsidRPr="0003684E">
              <w:rPr>
                <w:i/>
                <w:u w:val="single"/>
              </w:rPr>
              <w:t xml:space="preserve"> yet</w:t>
            </w:r>
            <w:r>
              <w:t>.  Be sure to properly align the pins in the adapter to the sockets on the data logger.  Screw the connector ring onto the data logger to hold it in place</w:t>
            </w:r>
          </w:p>
        </w:tc>
      </w:tr>
      <w:tr w:rsidR="008C5F85" w:rsidTr="00601BE4">
        <w:trPr>
          <w:cantSplit/>
          <w:trHeight w:val="284"/>
        </w:trPr>
        <w:tc>
          <w:tcPr>
            <w:tcW w:w="551" w:type="dxa"/>
            <w:tcBorders>
              <w:top w:val="single" w:sz="6" w:space="0" w:color="auto"/>
              <w:left w:val="single" w:sz="18" w:space="0" w:color="auto"/>
              <w:bottom w:val="single" w:sz="6" w:space="0" w:color="auto"/>
            </w:tcBorders>
            <w:shd w:val="clear" w:color="auto" w:fill="E3FFE3"/>
            <w:vAlign w:val="center"/>
          </w:tcPr>
          <w:p w:rsidR="008C5F85" w:rsidRDefault="008C5F85" w:rsidP="00C21E57">
            <w:pPr>
              <w:spacing w:before="100" w:after="100"/>
              <w:jc w:val="center"/>
            </w:pPr>
            <w:r>
              <w:t>4</w:t>
            </w:r>
          </w:p>
        </w:tc>
        <w:tc>
          <w:tcPr>
            <w:tcW w:w="10399" w:type="dxa"/>
            <w:gridSpan w:val="8"/>
            <w:tcBorders>
              <w:top w:val="single" w:sz="6" w:space="0" w:color="auto"/>
              <w:bottom w:val="single" w:sz="6" w:space="0" w:color="auto"/>
              <w:right w:val="single" w:sz="18" w:space="0" w:color="auto"/>
            </w:tcBorders>
            <w:shd w:val="clear" w:color="auto" w:fill="E3FFE3"/>
            <w:vAlign w:val="center"/>
          </w:tcPr>
          <w:p w:rsidR="008C5F85" w:rsidRDefault="008C5F85" w:rsidP="00C21E57">
            <w:pPr>
              <w:spacing w:before="50" w:after="50"/>
              <w:ind w:right="2"/>
              <w:jc w:val="both"/>
            </w:pPr>
            <w:r>
              <w:t xml:space="preserve">Plug the USB end of the USB interface cable into the </w:t>
            </w:r>
            <w:r w:rsidRPr="000C7E9B">
              <w:rPr>
                <w:b/>
                <w:u w:val="single"/>
              </w:rPr>
              <w:t>top</w:t>
            </w:r>
            <w:r>
              <w:t xml:space="preserve"> USB port on the </w:t>
            </w:r>
            <w:r w:rsidRPr="000C7E9B">
              <w:rPr>
                <w:b/>
                <w:u w:val="single"/>
              </w:rPr>
              <w:t>right side, back corner</w:t>
            </w:r>
            <w:r>
              <w:t xml:space="preserve"> of the laptop.  A “device connected” message may appear on the laptop; ignore this message.</w:t>
            </w:r>
          </w:p>
        </w:tc>
      </w:tr>
      <w:tr w:rsidR="008C5F85" w:rsidTr="00601BE4">
        <w:trPr>
          <w:cantSplit/>
          <w:trHeight w:val="284"/>
        </w:trPr>
        <w:tc>
          <w:tcPr>
            <w:tcW w:w="551" w:type="dxa"/>
            <w:tcBorders>
              <w:top w:val="single" w:sz="6" w:space="0" w:color="auto"/>
              <w:left w:val="single" w:sz="18" w:space="0" w:color="auto"/>
            </w:tcBorders>
            <w:shd w:val="clear" w:color="auto" w:fill="E3FFE3"/>
            <w:vAlign w:val="center"/>
          </w:tcPr>
          <w:p w:rsidR="008C5F85" w:rsidRDefault="008C5F85" w:rsidP="00C21E57">
            <w:pPr>
              <w:spacing w:before="100" w:after="100"/>
              <w:jc w:val="center"/>
            </w:pPr>
            <w:r>
              <w:t>5</w:t>
            </w:r>
          </w:p>
        </w:tc>
        <w:tc>
          <w:tcPr>
            <w:tcW w:w="10399" w:type="dxa"/>
            <w:gridSpan w:val="8"/>
            <w:tcBorders>
              <w:top w:val="single" w:sz="6" w:space="0" w:color="auto"/>
              <w:right w:val="single" w:sz="18" w:space="0" w:color="auto"/>
            </w:tcBorders>
            <w:shd w:val="clear" w:color="auto" w:fill="E3FFE3"/>
            <w:vAlign w:val="center"/>
          </w:tcPr>
          <w:p w:rsidR="008C5F85" w:rsidRDefault="008C5F85" w:rsidP="00C21E57">
            <w:pPr>
              <w:spacing w:before="50" w:after="50"/>
              <w:ind w:right="2"/>
              <w:jc w:val="both"/>
            </w:pPr>
            <w:r>
              <w:t xml:space="preserve">Press and release the </w:t>
            </w:r>
            <w:r w:rsidRPr="00BA30E8">
              <w:rPr>
                <w:b/>
              </w:rPr>
              <w:t>Power/Off</w:t>
            </w:r>
            <w:r>
              <w:t xml:space="preserve"> button on the DataBank.  Warm-up time is about five seconds.  </w:t>
            </w:r>
          </w:p>
        </w:tc>
      </w:tr>
      <w:tr w:rsidR="008C5F85" w:rsidTr="00601BE4">
        <w:trPr>
          <w:cantSplit/>
          <w:trHeight w:val="284"/>
        </w:trPr>
        <w:tc>
          <w:tcPr>
            <w:tcW w:w="551" w:type="dxa"/>
            <w:tcBorders>
              <w:left w:val="single" w:sz="18" w:space="0" w:color="auto"/>
            </w:tcBorders>
            <w:shd w:val="clear" w:color="auto" w:fill="E3FFE3"/>
            <w:vAlign w:val="center"/>
          </w:tcPr>
          <w:p w:rsidR="008C5F85" w:rsidRDefault="008C5F85" w:rsidP="00C21E57">
            <w:pPr>
              <w:spacing w:before="100" w:after="100"/>
              <w:jc w:val="center"/>
            </w:pPr>
            <w:r>
              <w:t>6</w:t>
            </w:r>
          </w:p>
        </w:tc>
        <w:tc>
          <w:tcPr>
            <w:tcW w:w="10399" w:type="dxa"/>
            <w:gridSpan w:val="8"/>
            <w:tcBorders>
              <w:right w:val="single" w:sz="18" w:space="0" w:color="auto"/>
            </w:tcBorders>
            <w:shd w:val="clear" w:color="auto" w:fill="E3FFE3"/>
            <w:vAlign w:val="center"/>
          </w:tcPr>
          <w:p w:rsidR="008C5F85" w:rsidRDefault="008C5F85" w:rsidP="00F62323">
            <w:pPr>
              <w:spacing w:before="50" w:after="50"/>
              <w:ind w:right="2"/>
              <w:jc w:val="both"/>
            </w:pPr>
            <w:r>
              <w:t>Open the DataBank GUI program by double clicking on the desktop icon.  The DataBank GUI program should automatically initiate a connection with the data logger in approximately 5 seconds.  When connected, you should see the words “Data Bank:  S/N 2900</w:t>
            </w:r>
            <w:r w:rsidR="00F62323">
              <w:t>365 Ver. 3.08</w:t>
            </w:r>
            <w:r>
              <w:t xml:space="preserve">” under the </w:t>
            </w:r>
            <w:r w:rsidRPr="00197F54">
              <w:rPr>
                <w:b/>
              </w:rPr>
              <w:t>Setup Options</w:t>
            </w:r>
            <w:r>
              <w:t xml:space="preserve"> tab in the DataBank GUI window.  Click on the </w:t>
            </w:r>
            <w:r w:rsidRPr="000D446F">
              <w:rPr>
                <w:b/>
              </w:rPr>
              <w:t>Calibration</w:t>
            </w:r>
            <w:r>
              <w:t xml:space="preserve"> tab in the DataBank GUI window.</w:t>
            </w:r>
          </w:p>
        </w:tc>
      </w:tr>
      <w:tr w:rsidR="008C5F85" w:rsidTr="00601BE4">
        <w:trPr>
          <w:cantSplit/>
          <w:trHeight w:val="284"/>
        </w:trPr>
        <w:tc>
          <w:tcPr>
            <w:tcW w:w="551" w:type="dxa"/>
            <w:tcBorders>
              <w:left w:val="single" w:sz="18" w:space="0" w:color="auto"/>
              <w:bottom w:val="single" w:sz="6" w:space="0" w:color="auto"/>
            </w:tcBorders>
            <w:shd w:val="clear" w:color="auto" w:fill="E3FFE3"/>
            <w:vAlign w:val="center"/>
          </w:tcPr>
          <w:p w:rsidR="008C5F85" w:rsidRDefault="008C5F85" w:rsidP="00C21E57">
            <w:pPr>
              <w:spacing w:before="100" w:after="100"/>
              <w:jc w:val="center"/>
            </w:pPr>
            <w:r>
              <w:t>7</w:t>
            </w:r>
          </w:p>
        </w:tc>
        <w:tc>
          <w:tcPr>
            <w:tcW w:w="10399" w:type="dxa"/>
            <w:gridSpan w:val="8"/>
            <w:tcBorders>
              <w:bottom w:val="single" w:sz="6" w:space="0" w:color="auto"/>
              <w:right w:val="single" w:sz="18" w:space="0" w:color="auto"/>
            </w:tcBorders>
            <w:shd w:val="clear" w:color="auto" w:fill="E3FFE3"/>
            <w:vAlign w:val="center"/>
          </w:tcPr>
          <w:p w:rsidR="008C5F85" w:rsidRDefault="008C5F85" w:rsidP="00C21E57">
            <w:pPr>
              <w:spacing w:before="50" w:after="50"/>
              <w:ind w:right="2"/>
              <w:jc w:val="both"/>
            </w:pPr>
            <w:r>
              <w:t xml:space="preserve">Select the parameter group to be calibrated using the </w:t>
            </w:r>
            <w:r w:rsidRPr="000D446F">
              <w:rPr>
                <w:b/>
              </w:rPr>
              <w:t>Group #</w:t>
            </w:r>
            <w:r>
              <w:t xml:space="preserve"> drop-down menu.  You must click on the drop-down menu and then select a number in order to proceed to the next step.</w:t>
            </w:r>
          </w:p>
        </w:tc>
      </w:tr>
      <w:tr w:rsidR="008C5F85" w:rsidTr="00601BE4">
        <w:trPr>
          <w:cantSplit/>
          <w:trHeight w:val="284"/>
        </w:trPr>
        <w:tc>
          <w:tcPr>
            <w:tcW w:w="551" w:type="dxa"/>
            <w:tcBorders>
              <w:left w:val="single" w:sz="18" w:space="0" w:color="auto"/>
              <w:bottom w:val="single" w:sz="18" w:space="0" w:color="auto"/>
            </w:tcBorders>
            <w:shd w:val="clear" w:color="auto" w:fill="E3FFE3"/>
            <w:vAlign w:val="center"/>
          </w:tcPr>
          <w:p w:rsidR="008C5F85" w:rsidRDefault="008C5F85" w:rsidP="00C21E57">
            <w:pPr>
              <w:spacing w:before="100" w:after="100"/>
              <w:jc w:val="center"/>
            </w:pPr>
            <w:r>
              <w:t>8</w:t>
            </w:r>
          </w:p>
        </w:tc>
        <w:tc>
          <w:tcPr>
            <w:tcW w:w="10399" w:type="dxa"/>
            <w:gridSpan w:val="8"/>
            <w:tcBorders>
              <w:bottom w:val="single" w:sz="18" w:space="0" w:color="auto"/>
              <w:right w:val="single" w:sz="18" w:space="0" w:color="auto"/>
            </w:tcBorders>
            <w:shd w:val="clear" w:color="auto" w:fill="E3FFE3"/>
            <w:vAlign w:val="center"/>
          </w:tcPr>
          <w:p w:rsidR="008C5F85" w:rsidRDefault="008C5F85" w:rsidP="00C21E57">
            <w:pPr>
              <w:spacing w:before="50" w:after="50"/>
              <w:ind w:right="2"/>
              <w:jc w:val="both"/>
            </w:pPr>
            <w:r>
              <w:t xml:space="preserve">Enter µg/L in the </w:t>
            </w:r>
            <w:r w:rsidRPr="00E97F91">
              <w:rPr>
                <w:b/>
              </w:rPr>
              <w:t>Title</w:t>
            </w:r>
            <w:r>
              <w:t xml:space="preserve"> box.  The </w:t>
            </w:r>
            <w:r w:rsidRPr="00E97F91">
              <w:rPr>
                <w:b/>
              </w:rPr>
              <w:t>Gain Values</w:t>
            </w:r>
            <w:r>
              <w:t xml:space="preserve"> box should now read “x1, x10, x100”.</w:t>
            </w:r>
          </w:p>
        </w:tc>
      </w:tr>
      <w:tr w:rsidR="008C5F85" w:rsidTr="00601BE4">
        <w:trPr>
          <w:cantSplit/>
          <w:trHeight w:val="284"/>
        </w:trPr>
        <w:tc>
          <w:tcPr>
            <w:tcW w:w="551" w:type="dxa"/>
            <w:vMerge w:val="restart"/>
            <w:tcBorders>
              <w:top w:val="single" w:sz="18" w:space="0" w:color="auto"/>
              <w:left w:val="single" w:sz="18" w:space="0" w:color="auto"/>
              <w:right w:val="single" w:sz="12" w:space="0" w:color="auto"/>
            </w:tcBorders>
            <w:shd w:val="clear" w:color="auto" w:fill="DAEEF3"/>
            <w:textDirection w:val="btLr"/>
            <w:vAlign w:val="center"/>
          </w:tcPr>
          <w:p w:rsidR="008C5F85" w:rsidRPr="00D935F3" w:rsidRDefault="008C5F85" w:rsidP="00C21E57">
            <w:pPr>
              <w:spacing w:before="100" w:after="100"/>
              <w:ind w:left="113" w:right="113"/>
              <w:jc w:val="center"/>
              <w:rPr>
                <w:smallCaps/>
              </w:rPr>
            </w:pPr>
            <w:r w:rsidRPr="00D935F3">
              <w:rPr>
                <w:smallCaps/>
              </w:rPr>
              <w:t>Blank</w:t>
            </w:r>
          </w:p>
        </w:tc>
        <w:tc>
          <w:tcPr>
            <w:tcW w:w="542" w:type="dxa"/>
            <w:gridSpan w:val="3"/>
            <w:tcBorders>
              <w:top w:val="single" w:sz="18" w:space="0" w:color="auto"/>
              <w:left w:val="single" w:sz="12" w:space="0" w:color="auto"/>
              <w:bottom w:val="single" w:sz="6" w:space="0" w:color="auto"/>
              <w:right w:val="single" w:sz="4" w:space="0" w:color="auto"/>
            </w:tcBorders>
            <w:shd w:val="clear" w:color="auto" w:fill="DAEEF3"/>
            <w:vAlign w:val="center"/>
          </w:tcPr>
          <w:p w:rsidR="008C5F85" w:rsidRDefault="008C5F85" w:rsidP="00C21E57">
            <w:pPr>
              <w:spacing w:before="50" w:after="50"/>
              <w:jc w:val="center"/>
            </w:pPr>
            <w:r>
              <w:t>9</w:t>
            </w:r>
          </w:p>
        </w:tc>
        <w:tc>
          <w:tcPr>
            <w:tcW w:w="9857" w:type="dxa"/>
            <w:gridSpan w:val="5"/>
            <w:tcBorders>
              <w:top w:val="single" w:sz="18" w:space="0" w:color="auto"/>
              <w:left w:val="single" w:sz="4" w:space="0" w:color="auto"/>
              <w:bottom w:val="single" w:sz="6" w:space="0" w:color="auto"/>
              <w:right w:val="single" w:sz="18" w:space="0" w:color="auto"/>
            </w:tcBorders>
            <w:shd w:val="clear" w:color="auto" w:fill="DAEEF3"/>
            <w:vAlign w:val="center"/>
          </w:tcPr>
          <w:p w:rsidR="008C5F85" w:rsidRDefault="008C5F85" w:rsidP="00F0751B">
            <w:pPr>
              <w:spacing w:before="50" w:after="50"/>
              <w:ind w:right="2"/>
              <w:jc w:val="both"/>
            </w:pPr>
            <w:r>
              <w:t>Pour DI water into a 500 mL +/- glass</w:t>
            </w:r>
            <w:r w:rsidR="00F0751B">
              <w:t>beaker</w:t>
            </w:r>
            <w:r>
              <w:t xml:space="preserve">.  Place the probe (with shade cap attached) into the </w:t>
            </w:r>
            <w:r w:rsidR="00F0751B">
              <w:t>beaker</w:t>
            </w:r>
            <w:r>
              <w:t xml:space="preserve">, all the way to the bottom.  Ensure that there are no air bubbles present on the optical window, and that the window is at least one inch below the water surface.  </w:t>
            </w:r>
          </w:p>
        </w:tc>
      </w:tr>
      <w:tr w:rsidR="008C5F85" w:rsidTr="00601BE4">
        <w:trPr>
          <w:cantSplit/>
          <w:trHeight w:val="284"/>
        </w:trPr>
        <w:tc>
          <w:tcPr>
            <w:tcW w:w="551" w:type="dxa"/>
            <w:vMerge/>
            <w:tcBorders>
              <w:left w:val="single" w:sz="18" w:space="0" w:color="auto"/>
              <w:bottom w:val="single" w:sz="6" w:space="0" w:color="auto"/>
              <w:right w:val="single" w:sz="12" w:space="0" w:color="auto"/>
            </w:tcBorders>
            <w:shd w:val="clear" w:color="auto" w:fill="DAEEF3"/>
            <w:vAlign w:val="center"/>
          </w:tcPr>
          <w:p w:rsidR="008C5F85" w:rsidRDefault="008C5F85" w:rsidP="00C21E57">
            <w:pPr>
              <w:spacing w:before="100" w:after="100"/>
              <w:jc w:val="center"/>
            </w:pPr>
          </w:p>
        </w:tc>
        <w:tc>
          <w:tcPr>
            <w:tcW w:w="542" w:type="dxa"/>
            <w:gridSpan w:val="3"/>
            <w:tcBorders>
              <w:left w:val="single" w:sz="12" w:space="0" w:color="auto"/>
              <w:bottom w:val="single" w:sz="6" w:space="0" w:color="auto"/>
              <w:right w:val="single" w:sz="4" w:space="0" w:color="auto"/>
            </w:tcBorders>
            <w:shd w:val="clear" w:color="auto" w:fill="DAEEF3"/>
            <w:vAlign w:val="center"/>
          </w:tcPr>
          <w:p w:rsidR="008C5F85" w:rsidRDefault="008C5F85" w:rsidP="00C21E57">
            <w:pPr>
              <w:spacing w:before="50" w:after="50"/>
              <w:jc w:val="center"/>
            </w:pPr>
            <w:r>
              <w:t>10</w:t>
            </w:r>
          </w:p>
        </w:tc>
        <w:tc>
          <w:tcPr>
            <w:tcW w:w="9857" w:type="dxa"/>
            <w:gridSpan w:val="5"/>
            <w:tcBorders>
              <w:left w:val="single" w:sz="4" w:space="0" w:color="auto"/>
              <w:bottom w:val="single" w:sz="6" w:space="0" w:color="auto"/>
              <w:right w:val="single" w:sz="18" w:space="0" w:color="auto"/>
            </w:tcBorders>
            <w:shd w:val="clear" w:color="auto" w:fill="DAEEF3"/>
            <w:vAlign w:val="center"/>
          </w:tcPr>
          <w:p w:rsidR="008C5F85" w:rsidRDefault="008C5F85" w:rsidP="00C21E57">
            <w:pPr>
              <w:spacing w:before="50" w:after="50"/>
              <w:ind w:right="2"/>
              <w:jc w:val="both"/>
            </w:pPr>
            <w:r>
              <w:t xml:space="preserve">Click on the </w:t>
            </w:r>
            <w:r w:rsidRPr="00E97F91">
              <w:rPr>
                <w:b/>
              </w:rPr>
              <w:t>OK – PROCEED TO STEP 2</w:t>
            </w:r>
            <w:r>
              <w:t xml:space="preserve"> button.  Wait while the DataBank GUI program collects data from the sensor at each gain setting.  This process usually takes around 20 seconds.</w:t>
            </w:r>
          </w:p>
        </w:tc>
      </w:tr>
      <w:tr w:rsidR="008C5F85" w:rsidTr="00601BE4">
        <w:trPr>
          <w:cantSplit/>
          <w:trHeight w:val="284"/>
        </w:trPr>
        <w:tc>
          <w:tcPr>
            <w:tcW w:w="551" w:type="dxa"/>
            <w:tcBorders>
              <w:left w:val="single" w:sz="18" w:space="0" w:color="auto"/>
              <w:bottom w:val="single" w:sz="6" w:space="0" w:color="auto"/>
            </w:tcBorders>
            <w:shd w:val="clear" w:color="auto" w:fill="DAEEF3"/>
            <w:vAlign w:val="center"/>
          </w:tcPr>
          <w:p w:rsidR="008C5F85" w:rsidRDefault="008C5F85" w:rsidP="00C21E57">
            <w:pPr>
              <w:spacing w:before="100" w:after="100"/>
              <w:jc w:val="center"/>
            </w:pPr>
            <w:r>
              <w:t>11</w:t>
            </w:r>
          </w:p>
        </w:tc>
        <w:tc>
          <w:tcPr>
            <w:tcW w:w="10399" w:type="dxa"/>
            <w:gridSpan w:val="8"/>
            <w:tcBorders>
              <w:bottom w:val="single" w:sz="6" w:space="0" w:color="auto"/>
              <w:right w:val="single" w:sz="18" w:space="0" w:color="auto"/>
            </w:tcBorders>
            <w:shd w:val="clear" w:color="auto" w:fill="DAEEF3"/>
            <w:vAlign w:val="center"/>
          </w:tcPr>
          <w:p w:rsidR="008C5F85" w:rsidRDefault="008C5F85" w:rsidP="00C21E57">
            <w:pPr>
              <w:spacing w:before="50" w:after="50"/>
              <w:ind w:right="2"/>
              <w:jc w:val="both"/>
            </w:pPr>
            <w:r>
              <w:t xml:space="preserve">When the DataBank GUI program is finished with step 2, “The gathering of Blank data has been completed.” will be displayed.  Click the </w:t>
            </w:r>
            <w:r w:rsidRPr="00E55676">
              <w:rPr>
                <w:b/>
              </w:rPr>
              <w:t>OK – PROCEED TO STEP 3</w:t>
            </w:r>
            <w:r>
              <w:t>.  Prepare the calibration solution as described below.</w:t>
            </w:r>
          </w:p>
        </w:tc>
      </w:tr>
      <w:tr w:rsidR="008C5F85" w:rsidTr="00601BE4">
        <w:trPr>
          <w:cantSplit/>
          <w:trHeight w:val="284"/>
        </w:trPr>
        <w:tc>
          <w:tcPr>
            <w:tcW w:w="551" w:type="dxa"/>
            <w:tcBorders>
              <w:left w:val="single" w:sz="18" w:space="0" w:color="auto"/>
              <w:bottom w:val="single" w:sz="4" w:space="0" w:color="auto"/>
            </w:tcBorders>
            <w:shd w:val="clear" w:color="auto" w:fill="DAEEF3"/>
            <w:vAlign w:val="center"/>
          </w:tcPr>
          <w:p w:rsidR="008C5F85" w:rsidRDefault="008C5F85" w:rsidP="00C21E57">
            <w:pPr>
              <w:spacing w:before="60" w:after="60"/>
              <w:ind w:right="2"/>
              <w:jc w:val="center"/>
            </w:pPr>
            <w:r>
              <w:t>12</w:t>
            </w:r>
          </w:p>
        </w:tc>
        <w:tc>
          <w:tcPr>
            <w:tcW w:w="10399" w:type="dxa"/>
            <w:gridSpan w:val="8"/>
            <w:tcBorders>
              <w:bottom w:val="single" w:sz="4" w:space="0" w:color="auto"/>
              <w:right w:val="single" w:sz="18" w:space="0" w:color="auto"/>
            </w:tcBorders>
            <w:shd w:val="clear" w:color="auto" w:fill="DAEEF3"/>
            <w:vAlign w:val="center"/>
          </w:tcPr>
          <w:p w:rsidR="008C5F85" w:rsidRDefault="008C5F85" w:rsidP="00C21E57">
            <w:pPr>
              <w:spacing w:before="50" w:after="50"/>
              <w:ind w:right="2"/>
              <w:jc w:val="both"/>
            </w:pPr>
            <w:r>
              <w:t>Pour 200 mL of DI water into a 400 mL flask.  Place a magnetic stirrer bar into the flask, and set the flask on a stirrer plate.</w:t>
            </w:r>
          </w:p>
        </w:tc>
      </w:tr>
      <w:tr w:rsidR="008C5F85" w:rsidTr="00601BE4">
        <w:trPr>
          <w:cantSplit/>
          <w:trHeight w:val="1005"/>
        </w:trPr>
        <w:tc>
          <w:tcPr>
            <w:tcW w:w="551" w:type="dxa"/>
            <w:tcBorders>
              <w:top w:val="single" w:sz="4" w:space="0" w:color="auto"/>
              <w:left w:val="single" w:sz="18" w:space="0" w:color="auto"/>
              <w:bottom w:val="single" w:sz="18" w:space="0" w:color="auto"/>
            </w:tcBorders>
            <w:shd w:val="clear" w:color="auto" w:fill="DAEEF3"/>
            <w:vAlign w:val="center"/>
          </w:tcPr>
          <w:p w:rsidR="008C5F85" w:rsidRDefault="008C5F85" w:rsidP="00C21E57">
            <w:pPr>
              <w:spacing w:before="60" w:after="60"/>
              <w:ind w:right="2"/>
              <w:jc w:val="center"/>
            </w:pPr>
            <w:r>
              <w:t>13</w:t>
            </w:r>
          </w:p>
        </w:tc>
        <w:tc>
          <w:tcPr>
            <w:tcW w:w="10399" w:type="dxa"/>
            <w:gridSpan w:val="8"/>
            <w:tcBorders>
              <w:top w:val="single" w:sz="4" w:space="0" w:color="auto"/>
              <w:bottom w:val="single" w:sz="18" w:space="0" w:color="auto"/>
              <w:right w:val="single" w:sz="18" w:space="0" w:color="auto"/>
            </w:tcBorders>
            <w:shd w:val="clear" w:color="auto" w:fill="DAEEF3"/>
            <w:vAlign w:val="center"/>
          </w:tcPr>
          <w:p w:rsidR="008C5F85" w:rsidRDefault="008C5F85" w:rsidP="008E5F18">
            <w:pPr>
              <w:spacing w:before="50" w:after="50"/>
              <w:ind w:right="2"/>
              <w:jc w:val="both"/>
            </w:pPr>
            <w:r>
              <w:t>Obtain the c-phycocyanin “vial” standard from the refrigerator.  Check the vial label to discern its concentration (should be around 2</w:t>
            </w:r>
            <w:r w:rsidR="008E5F18">
              <w:t xml:space="preserve">4.2 </w:t>
            </w:r>
            <w:r>
              <w:t>mg/</w:t>
            </w:r>
            <w:proofErr w:type="spellStart"/>
            <w:r>
              <w:t>mL</w:t>
            </w:r>
            <w:proofErr w:type="spellEnd"/>
            <w:r>
              <w:t>, which is equivalent to 2</w:t>
            </w:r>
            <w:r w:rsidR="008E5F18">
              <w:t xml:space="preserve">4.2 </w:t>
            </w:r>
            <w:r>
              <w:t xml:space="preserve">µg/µL).  </w:t>
            </w:r>
          </w:p>
        </w:tc>
      </w:tr>
      <w:tr w:rsidR="008C5F85" w:rsidTr="00601BE4">
        <w:trPr>
          <w:cantSplit/>
          <w:trHeight w:val="2614"/>
        </w:trPr>
        <w:tc>
          <w:tcPr>
            <w:tcW w:w="551" w:type="dxa"/>
            <w:vMerge w:val="restart"/>
            <w:tcBorders>
              <w:top w:val="single" w:sz="18" w:space="0" w:color="auto"/>
              <w:left w:val="single" w:sz="18" w:space="0" w:color="auto"/>
            </w:tcBorders>
            <w:shd w:val="clear" w:color="auto" w:fill="E5DFEC"/>
            <w:textDirection w:val="btLr"/>
            <w:vAlign w:val="center"/>
          </w:tcPr>
          <w:p w:rsidR="008C5F85" w:rsidRPr="0041551D" w:rsidRDefault="008C5F85" w:rsidP="00C21E57">
            <w:pPr>
              <w:spacing w:before="100" w:after="100"/>
              <w:ind w:left="113" w:right="113"/>
              <w:jc w:val="center"/>
              <w:rPr>
                <w:smallCaps/>
              </w:rPr>
            </w:pPr>
            <w:r w:rsidRPr="0041551D">
              <w:rPr>
                <w:smallCaps/>
              </w:rPr>
              <w:t>Prepare  Standards</w:t>
            </w:r>
          </w:p>
        </w:tc>
        <w:tc>
          <w:tcPr>
            <w:tcW w:w="553" w:type="dxa"/>
            <w:gridSpan w:val="4"/>
            <w:tcBorders>
              <w:top w:val="single" w:sz="18" w:space="0" w:color="auto"/>
              <w:right w:val="single" w:sz="4" w:space="0" w:color="auto"/>
            </w:tcBorders>
            <w:shd w:val="clear" w:color="auto" w:fill="E5DFEC"/>
            <w:vAlign w:val="center"/>
          </w:tcPr>
          <w:p w:rsidR="008C5F85" w:rsidRPr="0041551D" w:rsidRDefault="008C5F85" w:rsidP="00C21E57">
            <w:pPr>
              <w:ind w:right="113" w:hanging="97"/>
              <w:jc w:val="center"/>
              <w:rPr>
                <w:szCs w:val="22"/>
              </w:rPr>
            </w:pPr>
            <w:r w:rsidRPr="0041551D">
              <w:rPr>
                <w:szCs w:val="22"/>
              </w:rPr>
              <w:t>1</w:t>
            </w:r>
            <w:r>
              <w:rPr>
                <w:szCs w:val="22"/>
              </w:rPr>
              <w:t>4</w:t>
            </w:r>
          </w:p>
        </w:tc>
        <w:tc>
          <w:tcPr>
            <w:tcW w:w="9846" w:type="dxa"/>
            <w:gridSpan w:val="4"/>
            <w:tcBorders>
              <w:top w:val="single" w:sz="18" w:space="0" w:color="auto"/>
              <w:right w:val="single" w:sz="18" w:space="0" w:color="auto"/>
            </w:tcBorders>
            <w:shd w:val="clear" w:color="auto" w:fill="E5DFEC"/>
            <w:vAlign w:val="center"/>
          </w:tcPr>
          <w:p w:rsidR="008C5F85" w:rsidRDefault="00DC1A45" w:rsidP="00DC1A45">
            <w:r>
              <w:t xml:space="preserve">Use the 10 µL Eppendorf Reference micropipette (found in the cabinet below the Trilogy fluorometer in room 229, pipette tips are found there as well) to obtain a 7 µL of the c-phycocyanin standard.  Set the control dial on the top of the micropipette to 7 µL.  </w:t>
            </w:r>
            <w:r w:rsidRPr="00DC1A45">
              <w:rPr>
                <w:i/>
                <w:sz w:val="16"/>
                <w:szCs w:val="16"/>
              </w:rPr>
              <w:t>The pipette must be pre-wetted in order to obtain an accurate volume.  To do this push the pipette tip onto the micropipette, then put the pipette tip below the surface of the standard.  Press the control button to the first stop release it and repeat.  Then to totally empty the pipette press the control button down to the second stop (blow-out). Hold down the control button and pull the tip up the inner wall of the flask (Eppendorf 2001).  To eject the tip press the control button down to the last stop.</w:t>
            </w:r>
          </w:p>
        </w:tc>
      </w:tr>
      <w:tr w:rsidR="008C5F85" w:rsidTr="00601BE4">
        <w:trPr>
          <w:cantSplit/>
          <w:trHeight w:val="2401"/>
        </w:trPr>
        <w:tc>
          <w:tcPr>
            <w:tcW w:w="551" w:type="dxa"/>
            <w:vMerge/>
            <w:tcBorders>
              <w:left w:val="single" w:sz="18" w:space="0" w:color="auto"/>
            </w:tcBorders>
            <w:shd w:val="clear" w:color="auto" w:fill="E5DFEC"/>
            <w:vAlign w:val="center"/>
          </w:tcPr>
          <w:p w:rsidR="008C5F85" w:rsidRDefault="008C5F85" w:rsidP="00C21E57">
            <w:pPr>
              <w:spacing w:before="100" w:after="100"/>
              <w:jc w:val="center"/>
            </w:pPr>
          </w:p>
        </w:tc>
        <w:tc>
          <w:tcPr>
            <w:tcW w:w="553" w:type="dxa"/>
            <w:gridSpan w:val="4"/>
            <w:tcBorders>
              <w:right w:val="single" w:sz="4" w:space="0" w:color="auto"/>
            </w:tcBorders>
            <w:shd w:val="clear" w:color="auto" w:fill="E5DFEC"/>
            <w:vAlign w:val="center"/>
          </w:tcPr>
          <w:p w:rsidR="008C5F85" w:rsidRDefault="008C5F85" w:rsidP="00C21E57">
            <w:pPr>
              <w:spacing w:before="60" w:after="60"/>
              <w:ind w:left="-97" w:right="2"/>
            </w:pPr>
            <w:r>
              <w:t>15</w:t>
            </w:r>
          </w:p>
        </w:tc>
        <w:tc>
          <w:tcPr>
            <w:tcW w:w="453" w:type="dxa"/>
            <w:tcBorders>
              <w:top w:val="single" w:sz="6" w:space="0" w:color="auto"/>
              <w:left w:val="single" w:sz="4" w:space="0" w:color="auto"/>
              <w:bottom w:val="single" w:sz="6" w:space="0" w:color="auto"/>
              <w:right w:val="single" w:sz="4" w:space="0" w:color="auto"/>
            </w:tcBorders>
            <w:shd w:val="clear" w:color="auto" w:fill="E5DFEC"/>
            <w:textDirection w:val="btLr"/>
            <w:vAlign w:val="center"/>
          </w:tcPr>
          <w:p w:rsidR="008C5F85" w:rsidRPr="00B0751B" w:rsidRDefault="008C5F85" w:rsidP="00C21E57">
            <w:pPr>
              <w:spacing w:before="360"/>
              <w:jc w:val="center"/>
              <w:rPr>
                <w:b/>
              </w:rPr>
            </w:pPr>
            <w:r w:rsidRPr="00B0751B">
              <w:rPr>
                <w:b/>
              </w:rPr>
              <w:t>Primary</w:t>
            </w:r>
          </w:p>
          <w:p w:rsidR="008C5F85" w:rsidRDefault="008C5F85" w:rsidP="00C21E57">
            <w:pPr>
              <w:spacing w:before="60" w:after="60"/>
              <w:ind w:left="113" w:right="2"/>
              <w:jc w:val="both"/>
            </w:pPr>
          </w:p>
        </w:tc>
        <w:tc>
          <w:tcPr>
            <w:tcW w:w="9393" w:type="dxa"/>
            <w:gridSpan w:val="3"/>
            <w:tcBorders>
              <w:top w:val="single" w:sz="6" w:space="0" w:color="auto"/>
              <w:left w:val="single" w:sz="4" w:space="0" w:color="auto"/>
              <w:bottom w:val="single" w:sz="6" w:space="0" w:color="auto"/>
              <w:right w:val="single" w:sz="18" w:space="0" w:color="auto"/>
            </w:tcBorders>
            <w:shd w:val="clear" w:color="auto" w:fill="E5DFEC"/>
            <w:vAlign w:val="center"/>
          </w:tcPr>
          <w:p w:rsidR="007F76CB" w:rsidRDefault="007F76CB" w:rsidP="007F76CB">
            <w:pPr>
              <w:spacing w:before="60" w:after="60"/>
              <w:ind w:right="2"/>
              <w:jc w:val="both"/>
            </w:pPr>
            <w:r>
              <w:t xml:space="preserve">Inject the 7 µL of the c-phycocyanin standard into the 200 mL of DI water in the 400 mL flask, placing the pipette just below the water surface. Operate the stirrer on medium speed for 2 minutes.   Calculate the concentration of phycocyanin in the 400 mL flask in units of µg/mL:  </w:t>
            </w:r>
          </w:p>
          <w:p w:rsidR="008C5F85" w:rsidRDefault="008C5F85" w:rsidP="008747F3">
            <w:pPr>
              <w:spacing w:before="60" w:after="60"/>
              <w:ind w:left="720" w:right="2"/>
              <w:jc w:val="both"/>
            </w:pPr>
            <w:r>
              <w:t xml:space="preserve"> </w:t>
            </w:r>
            <w:r w:rsidRPr="00F35F94">
              <w:rPr>
                <w:b/>
              </w:rPr>
              <w:t>[</w:t>
            </w:r>
            <w:r>
              <w:rPr>
                <w:b/>
              </w:rPr>
              <w:t>7</w:t>
            </w:r>
            <w:r w:rsidRPr="00F35F94">
              <w:rPr>
                <w:b/>
              </w:rPr>
              <w:t xml:space="preserve"> </w:t>
            </w:r>
            <w:r w:rsidRPr="00F35F94">
              <w:rPr>
                <w:b/>
                <w:i/>
              </w:rPr>
              <w:t xml:space="preserve">µL of standard </w:t>
            </w:r>
            <w:r w:rsidRPr="00F35F94">
              <w:rPr>
                <w:b/>
              </w:rPr>
              <w:t xml:space="preserve"> x  </w:t>
            </w:r>
            <w:r w:rsidRPr="00F35F94">
              <w:rPr>
                <w:b/>
                <w:i/>
              </w:rPr>
              <w:t>µg/µL conc of standard] / 200 mL</w:t>
            </w:r>
            <w:r>
              <w:rPr>
                <w:b/>
                <w:i/>
              </w:rPr>
              <w:t xml:space="preserve"> </w:t>
            </w:r>
            <w:r>
              <w:rPr>
                <w:i/>
              </w:rPr>
              <w:t xml:space="preserve">   </w:t>
            </w:r>
            <w:r w:rsidRPr="00F35F94">
              <w:t>(</w:t>
            </w:r>
            <w:r w:rsidRPr="00777EB7">
              <w:rPr>
                <w:i/>
              </w:rPr>
              <w:t>about 0.8</w:t>
            </w:r>
            <w:r w:rsidR="008747F3">
              <w:rPr>
                <w:i/>
              </w:rPr>
              <w:t>7</w:t>
            </w:r>
            <w:r w:rsidRPr="00777EB7">
              <w:rPr>
                <w:i/>
              </w:rPr>
              <w:t xml:space="preserve"> µg/mL</w:t>
            </w:r>
            <w:r>
              <w:t>)</w:t>
            </w:r>
            <w:r w:rsidR="00F62323">
              <w:t xml:space="preserve">—solution </w:t>
            </w:r>
            <w:r w:rsidR="00F62323" w:rsidRPr="00F62323">
              <w:rPr>
                <w:b/>
              </w:rPr>
              <w:t>A</w:t>
            </w:r>
          </w:p>
        </w:tc>
      </w:tr>
      <w:tr w:rsidR="008C5F85" w:rsidTr="00601BE4">
        <w:trPr>
          <w:cantSplit/>
          <w:trHeight w:val="2614"/>
        </w:trPr>
        <w:tc>
          <w:tcPr>
            <w:tcW w:w="551" w:type="dxa"/>
            <w:vMerge/>
            <w:tcBorders>
              <w:left w:val="single" w:sz="18" w:space="0" w:color="auto"/>
              <w:bottom w:val="single" w:sz="18" w:space="0" w:color="auto"/>
            </w:tcBorders>
            <w:shd w:val="clear" w:color="auto" w:fill="E5DFEC"/>
            <w:vAlign w:val="center"/>
          </w:tcPr>
          <w:p w:rsidR="008C5F85" w:rsidRDefault="008C5F85" w:rsidP="00C21E57">
            <w:pPr>
              <w:spacing w:before="100" w:after="100"/>
              <w:jc w:val="center"/>
            </w:pPr>
          </w:p>
        </w:tc>
        <w:tc>
          <w:tcPr>
            <w:tcW w:w="553" w:type="dxa"/>
            <w:gridSpan w:val="4"/>
            <w:tcBorders>
              <w:bottom w:val="single" w:sz="18" w:space="0" w:color="auto"/>
              <w:right w:val="single" w:sz="4" w:space="0" w:color="auto"/>
            </w:tcBorders>
            <w:shd w:val="clear" w:color="auto" w:fill="E5DFEC"/>
            <w:vAlign w:val="center"/>
          </w:tcPr>
          <w:p w:rsidR="008C5F85" w:rsidRDefault="008C5F85" w:rsidP="00C21E57">
            <w:pPr>
              <w:spacing w:before="60" w:after="60"/>
              <w:ind w:right="2"/>
            </w:pPr>
            <w:r>
              <w:t>16</w:t>
            </w:r>
          </w:p>
          <w:p w:rsidR="008C5F85" w:rsidRDefault="008C5F85" w:rsidP="00C21E57">
            <w:pPr>
              <w:spacing w:before="60" w:after="60"/>
              <w:ind w:right="2"/>
            </w:pPr>
          </w:p>
        </w:tc>
        <w:tc>
          <w:tcPr>
            <w:tcW w:w="453" w:type="dxa"/>
            <w:tcBorders>
              <w:top w:val="single" w:sz="6" w:space="0" w:color="auto"/>
              <w:left w:val="single" w:sz="4" w:space="0" w:color="auto"/>
              <w:bottom w:val="single" w:sz="18" w:space="0" w:color="auto"/>
              <w:right w:val="single" w:sz="4" w:space="0" w:color="auto"/>
            </w:tcBorders>
            <w:shd w:val="clear" w:color="auto" w:fill="E5DFEC"/>
            <w:textDirection w:val="btLr"/>
            <w:vAlign w:val="center"/>
          </w:tcPr>
          <w:p w:rsidR="008C5F85" w:rsidRPr="00881EF3" w:rsidRDefault="008C5F85" w:rsidP="00C21E57">
            <w:pPr>
              <w:ind w:left="113" w:right="113"/>
              <w:jc w:val="center"/>
              <w:rPr>
                <w:b/>
              </w:rPr>
            </w:pPr>
            <w:r>
              <w:rPr>
                <w:b/>
              </w:rPr>
              <w:t>S</w:t>
            </w:r>
            <w:r w:rsidRPr="00881EF3">
              <w:rPr>
                <w:b/>
              </w:rPr>
              <w:t>econdary</w:t>
            </w:r>
          </w:p>
        </w:tc>
        <w:tc>
          <w:tcPr>
            <w:tcW w:w="9393" w:type="dxa"/>
            <w:gridSpan w:val="3"/>
            <w:tcBorders>
              <w:top w:val="single" w:sz="6" w:space="0" w:color="auto"/>
              <w:left w:val="single" w:sz="4" w:space="0" w:color="auto"/>
              <w:bottom w:val="single" w:sz="18" w:space="0" w:color="auto"/>
              <w:right w:val="single" w:sz="18" w:space="0" w:color="auto"/>
            </w:tcBorders>
            <w:shd w:val="clear" w:color="auto" w:fill="E5DFEC"/>
            <w:vAlign w:val="center"/>
          </w:tcPr>
          <w:p w:rsidR="008C5F85" w:rsidRDefault="008C5F85" w:rsidP="00C21E57">
            <w:pPr>
              <w:spacing w:before="100"/>
              <w:ind w:right="2"/>
              <w:jc w:val="both"/>
            </w:pPr>
            <w:r>
              <w:t xml:space="preserve">Transfer </w:t>
            </w:r>
            <w:r w:rsidR="008747F3">
              <w:t xml:space="preserve">100 </w:t>
            </w:r>
            <w:r>
              <w:t xml:space="preserve">mL of the Primary dilution standard from the 400 mL flask to a </w:t>
            </w:r>
            <w:r w:rsidR="008747F3">
              <w:t>1</w:t>
            </w:r>
            <w:r>
              <w:t xml:space="preserve"> Liter volumetric flask.  Add DI water to bring the total volume to exactly 1 liter. Cover and invert the </w:t>
            </w:r>
            <w:r w:rsidR="008747F3">
              <w:t>1</w:t>
            </w:r>
            <w:r>
              <w:t xml:space="preserve"> L flask several times to mix.  Calculate the concentration of </w:t>
            </w:r>
            <w:r w:rsidR="00710921">
              <w:t>p</w:t>
            </w:r>
            <w:r>
              <w:t xml:space="preserve">hycocyanin in the </w:t>
            </w:r>
            <w:r w:rsidR="008747F3">
              <w:t>1</w:t>
            </w:r>
            <w:r>
              <w:t xml:space="preserve"> liter flask:</w:t>
            </w:r>
          </w:p>
          <w:p w:rsidR="008C5F85" w:rsidRPr="002B35AD" w:rsidRDefault="008C5F85" w:rsidP="008747F3">
            <w:pPr>
              <w:spacing w:after="60"/>
              <w:ind w:left="720"/>
              <w:jc w:val="both"/>
            </w:pPr>
            <w:r w:rsidRPr="00F35F94">
              <w:rPr>
                <w:b/>
                <w:i/>
              </w:rPr>
              <w:t>[µg/mL in 400 mL flask</w:t>
            </w:r>
            <w:r w:rsidR="008747F3">
              <w:rPr>
                <w:b/>
                <w:i/>
              </w:rPr>
              <w:t xml:space="preserve"> (A)</w:t>
            </w:r>
            <w:r w:rsidRPr="00F35F94">
              <w:rPr>
                <w:b/>
                <w:i/>
              </w:rPr>
              <w:t xml:space="preserve"> </w:t>
            </w:r>
            <w:r>
              <w:rPr>
                <w:b/>
                <w:i/>
              </w:rPr>
              <w:t xml:space="preserve"> </w:t>
            </w:r>
            <w:r w:rsidRPr="00F35F94">
              <w:rPr>
                <w:b/>
                <w:i/>
              </w:rPr>
              <w:t xml:space="preserve">x </w:t>
            </w:r>
            <w:r>
              <w:rPr>
                <w:b/>
                <w:i/>
              </w:rPr>
              <w:t xml:space="preserve"> </w:t>
            </w:r>
            <w:r w:rsidR="008747F3">
              <w:rPr>
                <w:b/>
                <w:i/>
              </w:rPr>
              <w:t>100</w:t>
            </w:r>
            <w:r w:rsidRPr="00F35F94">
              <w:rPr>
                <w:b/>
                <w:i/>
              </w:rPr>
              <w:t xml:space="preserve"> mL] / </w:t>
            </w:r>
            <w:r w:rsidR="008747F3">
              <w:rPr>
                <w:b/>
                <w:i/>
              </w:rPr>
              <w:t>1</w:t>
            </w:r>
            <w:r w:rsidRPr="00F35F94">
              <w:rPr>
                <w:b/>
                <w:i/>
              </w:rPr>
              <w:t xml:space="preserve"> L</w:t>
            </w:r>
            <w:r>
              <w:rPr>
                <w:b/>
                <w:i/>
              </w:rPr>
              <w:t xml:space="preserve">    </w:t>
            </w:r>
            <w:r w:rsidRPr="00F35F94">
              <w:t>(</w:t>
            </w:r>
            <w:r w:rsidRPr="00777EB7">
              <w:rPr>
                <w:i/>
              </w:rPr>
              <w:t>about 8</w:t>
            </w:r>
            <w:r w:rsidR="008747F3">
              <w:rPr>
                <w:i/>
              </w:rPr>
              <w:t xml:space="preserve">7 </w:t>
            </w:r>
            <w:r w:rsidRPr="00777EB7">
              <w:rPr>
                <w:i/>
              </w:rPr>
              <w:t>µg/L</w:t>
            </w:r>
            <w:r w:rsidRPr="00F35F94">
              <w:t>)</w:t>
            </w:r>
            <w:r w:rsidR="00F62323">
              <w:t xml:space="preserve">—solution </w:t>
            </w:r>
            <w:r w:rsidR="00F62323" w:rsidRPr="00F62323">
              <w:rPr>
                <w:b/>
              </w:rPr>
              <w:t>B</w:t>
            </w:r>
          </w:p>
        </w:tc>
      </w:tr>
      <w:tr w:rsidR="008C5F85" w:rsidTr="00601BE4">
        <w:trPr>
          <w:cantSplit/>
          <w:trHeight w:val="284"/>
        </w:trPr>
        <w:tc>
          <w:tcPr>
            <w:tcW w:w="551" w:type="dxa"/>
            <w:vMerge w:val="restart"/>
            <w:tcBorders>
              <w:top w:val="single" w:sz="18" w:space="0" w:color="auto"/>
              <w:left w:val="single" w:sz="18" w:space="0" w:color="auto"/>
            </w:tcBorders>
            <w:shd w:val="clear" w:color="auto" w:fill="E3FFE3"/>
            <w:textDirection w:val="btLr"/>
            <w:vAlign w:val="center"/>
          </w:tcPr>
          <w:p w:rsidR="008C5F85" w:rsidRPr="00D935F3" w:rsidRDefault="008C5F85" w:rsidP="00C21E57">
            <w:pPr>
              <w:spacing w:before="100" w:after="100"/>
              <w:ind w:left="113" w:right="113"/>
              <w:jc w:val="center"/>
              <w:rPr>
                <w:smallCaps/>
              </w:rPr>
            </w:pPr>
            <w:r w:rsidRPr="00D935F3">
              <w:rPr>
                <w:smallCaps/>
              </w:rPr>
              <w:t>Calibration</w:t>
            </w:r>
          </w:p>
        </w:tc>
        <w:tc>
          <w:tcPr>
            <w:tcW w:w="553" w:type="dxa"/>
            <w:gridSpan w:val="4"/>
            <w:tcBorders>
              <w:top w:val="single" w:sz="18" w:space="0" w:color="auto"/>
              <w:bottom w:val="single" w:sz="6" w:space="0" w:color="auto"/>
              <w:right w:val="single" w:sz="4" w:space="0" w:color="auto"/>
            </w:tcBorders>
            <w:shd w:val="clear" w:color="auto" w:fill="E3FFE3"/>
            <w:vAlign w:val="center"/>
          </w:tcPr>
          <w:p w:rsidR="008C5F85" w:rsidRDefault="008C5F85" w:rsidP="00C21E57">
            <w:pPr>
              <w:spacing w:before="60" w:after="60"/>
              <w:ind w:right="2"/>
            </w:pPr>
            <w:r>
              <w:t>17</w:t>
            </w:r>
          </w:p>
        </w:tc>
        <w:tc>
          <w:tcPr>
            <w:tcW w:w="9846" w:type="dxa"/>
            <w:gridSpan w:val="4"/>
            <w:tcBorders>
              <w:top w:val="single" w:sz="18" w:space="0" w:color="auto"/>
              <w:left w:val="single" w:sz="4" w:space="0" w:color="auto"/>
              <w:bottom w:val="single" w:sz="6" w:space="0" w:color="auto"/>
              <w:right w:val="single" w:sz="18" w:space="0" w:color="auto"/>
            </w:tcBorders>
            <w:shd w:val="clear" w:color="auto" w:fill="E3FFE3"/>
            <w:vAlign w:val="center"/>
          </w:tcPr>
          <w:p w:rsidR="008C5F85" w:rsidRDefault="008C5F85" w:rsidP="005670DE">
            <w:pPr>
              <w:spacing w:before="40" w:after="40"/>
              <w:ind w:right="2"/>
              <w:jc w:val="both"/>
            </w:pPr>
            <w:r>
              <w:t xml:space="preserve">Pour </w:t>
            </w:r>
            <w:r w:rsidR="008747F3">
              <w:t>all of the 1 liter</w:t>
            </w:r>
            <w:r>
              <w:t xml:space="preserve"> of the (about 8</w:t>
            </w:r>
            <w:r w:rsidR="008747F3">
              <w:t>7</w:t>
            </w:r>
            <w:r>
              <w:t xml:space="preserve"> </w:t>
            </w:r>
            <w:r w:rsidRPr="00F35F94">
              <w:t>µg/L</w:t>
            </w:r>
            <w:r>
              <w:t xml:space="preserve">) Secondary Standard </w:t>
            </w:r>
            <w:r w:rsidR="008747F3">
              <w:t>(</w:t>
            </w:r>
            <w:r w:rsidR="008747F3" w:rsidRPr="00F62323">
              <w:rPr>
                <w:b/>
              </w:rPr>
              <w:t>B</w:t>
            </w:r>
            <w:r w:rsidR="008747F3">
              <w:t xml:space="preserve">) </w:t>
            </w:r>
            <w:r w:rsidR="005670DE">
              <w:t xml:space="preserve">(1 L volumetric) </w:t>
            </w:r>
            <w:r>
              <w:t xml:space="preserve">into a </w:t>
            </w:r>
            <w:r w:rsidR="008747F3">
              <w:t>2 L</w:t>
            </w:r>
            <w:r>
              <w:t xml:space="preserve"> +/- glass </w:t>
            </w:r>
            <w:r w:rsidR="008747F3">
              <w:t xml:space="preserve">beaker. </w:t>
            </w:r>
            <w:r>
              <w:t xml:space="preserve">  Place the probe (with shade cap attached) into the jar, all the way to the bottom.  Ensure that there are no air bubbles present on the optical window, and that the window is at least one inch below the water surface.  Record the temperature of the solution in the jar.</w:t>
            </w:r>
          </w:p>
        </w:tc>
      </w:tr>
      <w:tr w:rsidR="008C5F85" w:rsidTr="00601BE4">
        <w:trPr>
          <w:cantSplit/>
          <w:trHeight w:val="284"/>
        </w:trPr>
        <w:tc>
          <w:tcPr>
            <w:tcW w:w="551" w:type="dxa"/>
            <w:vMerge/>
            <w:tcBorders>
              <w:left w:val="single" w:sz="18" w:space="0" w:color="auto"/>
            </w:tcBorders>
            <w:shd w:val="clear" w:color="auto" w:fill="E3FFE3"/>
            <w:vAlign w:val="center"/>
          </w:tcPr>
          <w:p w:rsidR="008C5F85" w:rsidRDefault="008C5F85" w:rsidP="00C21E57">
            <w:pPr>
              <w:spacing w:before="100" w:after="100"/>
              <w:jc w:val="center"/>
            </w:pPr>
          </w:p>
        </w:tc>
        <w:tc>
          <w:tcPr>
            <w:tcW w:w="553" w:type="dxa"/>
            <w:gridSpan w:val="4"/>
            <w:tcBorders>
              <w:bottom w:val="single" w:sz="6" w:space="0" w:color="auto"/>
              <w:right w:val="single" w:sz="4" w:space="0" w:color="auto"/>
            </w:tcBorders>
            <w:shd w:val="clear" w:color="auto" w:fill="E3FFE3"/>
            <w:vAlign w:val="center"/>
          </w:tcPr>
          <w:p w:rsidR="008C5F85" w:rsidRDefault="008C5F85" w:rsidP="00C21E57">
            <w:pPr>
              <w:spacing w:before="60" w:after="60"/>
              <w:ind w:right="2"/>
            </w:pPr>
            <w:r>
              <w:t>18</w:t>
            </w:r>
          </w:p>
        </w:tc>
        <w:tc>
          <w:tcPr>
            <w:tcW w:w="9846" w:type="dxa"/>
            <w:gridSpan w:val="4"/>
            <w:tcBorders>
              <w:left w:val="single" w:sz="4" w:space="0" w:color="auto"/>
              <w:bottom w:val="single" w:sz="6" w:space="0" w:color="auto"/>
              <w:right w:val="single" w:sz="18" w:space="0" w:color="auto"/>
            </w:tcBorders>
            <w:shd w:val="clear" w:color="auto" w:fill="E3FFE3"/>
            <w:vAlign w:val="center"/>
          </w:tcPr>
          <w:p w:rsidR="008C5F85" w:rsidRDefault="008C5F85" w:rsidP="00126C2E">
            <w:pPr>
              <w:spacing w:before="40" w:after="40"/>
              <w:ind w:right="2"/>
              <w:jc w:val="both"/>
            </w:pPr>
            <w:r>
              <w:t xml:space="preserve">In the DataBank GUI program, in the </w:t>
            </w:r>
            <w:r w:rsidRPr="00E55676">
              <w:rPr>
                <w:b/>
              </w:rPr>
              <w:t>Enter Standard Value</w:t>
            </w:r>
            <w:r>
              <w:t xml:space="preserve"> box, enter the concentration of the calibration solution you pre</w:t>
            </w:r>
            <w:r w:rsidR="005E61DA">
              <w:t>pared in step 1</w:t>
            </w:r>
            <w:r w:rsidR="00126C2E">
              <w:t>6</w:t>
            </w:r>
            <w:r w:rsidR="005E61DA">
              <w:t xml:space="preserve"> (i.e., about 87</w:t>
            </w:r>
            <w:r>
              <w:t xml:space="preserve"> </w:t>
            </w:r>
            <w:r w:rsidRPr="00F35F94">
              <w:t>µg/L</w:t>
            </w:r>
            <w:r>
              <w:t xml:space="preserve">).  Using the </w:t>
            </w:r>
            <w:r w:rsidRPr="00E55676">
              <w:rPr>
                <w:b/>
              </w:rPr>
              <w:t>Units</w:t>
            </w:r>
            <w:r w:rsidR="00710921">
              <w:t xml:space="preserve"> drop-down menu, select </w:t>
            </w:r>
            <w:r>
              <w:t xml:space="preserve">the </w:t>
            </w:r>
            <w:r w:rsidRPr="00F35F94">
              <w:t>µg/L</w:t>
            </w:r>
            <w:r>
              <w:t xml:space="preserve">.  Make sure that the correct </w:t>
            </w:r>
            <w:r w:rsidRPr="00FD6397">
              <w:rPr>
                <w:b/>
              </w:rPr>
              <w:t>Group #</w:t>
            </w:r>
            <w:r>
              <w:t xml:space="preserve"> and </w:t>
            </w:r>
            <w:r w:rsidRPr="00FD6397">
              <w:rPr>
                <w:b/>
              </w:rPr>
              <w:t>Title</w:t>
            </w:r>
            <w:r>
              <w:t xml:space="preserve"> are displayed.  </w:t>
            </w:r>
          </w:p>
        </w:tc>
      </w:tr>
      <w:tr w:rsidR="008C5F85" w:rsidTr="00601BE4">
        <w:trPr>
          <w:cantSplit/>
          <w:trHeight w:val="284"/>
        </w:trPr>
        <w:tc>
          <w:tcPr>
            <w:tcW w:w="551" w:type="dxa"/>
            <w:vMerge/>
            <w:tcBorders>
              <w:left w:val="single" w:sz="18" w:space="0" w:color="auto"/>
            </w:tcBorders>
            <w:shd w:val="clear" w:color="auto" w:fill="E3FFE3"/>
            <w:vAlign w:val="center"/>
          </w:tcPr>
          <w:p w:rsidR="008C5F85" w:rsidRDefault="008C5F85" w:rsidP="00C21E57">
            <w:pPr>
              <w:spacing w:before="100" w:after="100"/>
              <w:jc w:val="center"/>
            </w:pPr>
          </w:p>
        </w:tc>
        <w:tc>
          <w:tcPr>
            <w:tcW w:w="553" w:type="dxa"/>
            <w:gridSpan w:val="4"/>
            <w:tcBorders>
              <w:bottom w:val="single" w:sz="6" w:space="0" w:color="auto"/>
              <w:right w:val="single" w:sz="4" w:space="0" w:color="auto"/>
            </w:tcBorders>
            <w:shd w:val="clear" w:color="auto" w:fill="E3FFE3"/>
            <w:vAlign w:val="center"/>
          </w:tcPr>
          <w:p w:rsidR="008C5F85" w:rsidRDefault="008C5F85" w:rsidP="00C21E57">
            <w:pPr>
              <w:spacing w:before="60" w:after="60"/>
              <w:ind w:right="2"/>
            </w:pPr>
            <w:r>
              <w:t>19</w:t>
            </w:r>
          </w:p>
        </w:tc>
        <w:tc>
          <w:tcPr>
            <w:tcW w:w="9846" w:type="dxa"/>
            <w:gridSpan w:val="4"/>
            <w:tcBorders>
              <w:left w:val="single" w:sz="4" w:space="0" w:color="auto"/>
              <w:bottom w:val="single" w:sz="6" w:space="0" w:color="auto"/>
              <w:right w:val="single" w:sz="18" w:space="0" w:color="auto"/>
            </w:tcBorders>
            <w:shd w:val="clear" w:color="auto" w:fill="E3FFE3"/>
            <w:vAlign w:val="center"/>
          </w:tcPr>
          <w:p w:rsidR="008C5F85" w:rsidRDefault="008C5F85" w:rsidP="00C21E57">
            <w:pPr>
              <w:spacing w:before="40" w:after="40"/>
              <w:ind w:right="2"/>
              <w:jc w:val="both"/>
            </w:pPr>
            <w:r>
              <w:t xml:space="preserve">Click the </w:t>
            </w:r>
            <w:r w:rsidRPr="00E55676">
              <w:rPr>
                <w:b/>
              </w:rPr>
              <w:t xml:space="preserve">PROCEED TO STEP </w:t>
            </w:r>
            <w:r>
              <w:rPr>
                <w:b/>
              </w:rPr>
              <w:t>4</w:t>
            </w:r>
            <w:r>
              <w:t xml:space="preserve"> button.  Wait while the DataBank GUI program collects data from the sensor at each gain setting (there will be 3 consecutive countdowns; takes 20 sec +/-)</w:t>
            </w:r>
          </w:p>
        </w:tc>
      </w:tr>
      <w:tr w:rsidR="008C5F85" w:rsidTr="00601BE4">
        <w:trPr>
          <w:cantSplit/>
          <w:trHeight w:val="284"/>
        </w:trPr>
        <w:tc>
          <w:tcPr>
            <w:tcW w:w="551" w:type="dxa"/>
            <w:vMerge/>
            <w:tcBorders>
              <w:left w:val="single" w:sz="18" w:space="0" w:color="auto"/>
            </w:tcBorders>
            <w:shd w:val="clear" w:color="auto" w:fill="E3FFE3"/>
            <w:vAlign w:val="center"/>
          </w:tcPr>
          <w:p w:rsidR="008C5F85" w:rsidRDefault="008C5F85" w:rsidP="00C21E57">
            <w:pPr>
              <w:spacing w:before="100" w:after="100"/>
              <w:jc w:val="center"/>
            </w:pPr>
          </w:p>
        </w:tc>
        <w:tc>
          <w:tcPr>
            <w:tcW w:w="553" w:type="dxa"/>
            <w:gridSpan w:val="4"/>
            <w:tcBorders>
              <w:bottom w:val="single" w:sz="6" w:space="0" w:color="auto"/>
              <w:right w:val="single" w:sz="4" w:space="0" w:color="auto"/>
            </w:tcBorders>
            <w:shd w:val="clear" w:color="auto" w:fill="E3FFE3"/>
            <w:vAlign w:val="center"/>
          </w:tcPr>
          <w:p w:rsidR="008C5F85" w:rsidRDefault="008C5F85" w:rsidP="00C21E57">
            <w:pPr>
              <w:spacing w:before="60" w:after="60"/>
              <w:ind w:right="2"/>
            </w:pPr>
            <w:r>
              <w:t>20</w:t>
            </w:r>
          </w:p>
        </w:tc>
        <w:tc>
          <w:tcPr>
            <w:tcW w:w="9846" w:type="dxa"/>
            <w:gridSpan w:val="4"/>
            <w:tcBorders>
              <w:left w:val="single" w:sz="4" w:space="0" w:color="auto"/>
              <w:bottom w:val="single" w:sz="6" w:space="0" w:color="auto"/>
              <w:right w:val="single" w:sz="18" w:space="0" w:color="auto"/>
            </w:tcBorders>
            <w:shd w:val="clear" w:color="auto" w:fill="E3FFE3"/>
            <w:vAlign w:val="center"/>
          </w:tcPr>
          <w:p w:rsidR="008C5F85" w:rsidRDefault="008C5F85" w:rsidP="00C21E57">
            <w:pPr>
              <w:spacing w:before="40" w:after="40"/>
              <w:ind w:right="2"/>
              <w:jc w:val="both"/>
            </w:pPr>
            <w:r>
              <w:t xml:space="preserve">When the DataBank GUI program is finished, the message “Ready to Calculate and Transmit Results.” will be displayed.  Click the </w:t>
            </w:r>
            <w:r>
              <w:rPr>
                <w:b/>
              </w:rPr>
              <w:t>FINALIZE CALCULATIONS</w:t>
            </w:r>
            <w:r>
              <w:t xml:space="preserve"> button.  </w:t>
            </w:r>
          </w:p>
        </w:tc>
      </w:tr>
      <w:tr w:rsidR="008C5F85" w:rsidTr="00601BE4">
        <w:trPr>
          <w:cantSplit/>
          <w:trHeight w:val="284"/>
        </w:trPr>
        <w:tc>
          <w:tcPr>
            <w:tcW w:w="551" w:type="dxa"/>
            <w:vMerge/>
            <w:tcBorders>
              <w:left w:val="single" w:sz="18" w:space="0" w:color="auto"/>
              <w:bottom w:val="single" w:sz="18" w:space="0" w:color="auto"/>
            </w:tcBorders>
            <w:shd w:val="clear" w:color="auto" w:fill="E3FFE3"/>
            <w:vAlign w:val="center"/>
          </w:tcPr>
          <w:p w:rsidR="008C5F85" w:rsidRDefault="008C5F85" w:rsidP="00C21E57">
            <w:pPr>
              <w:spacing w:before="100" w:after="100"/>
              <w:jc w:val="center"/>
            </w:pPr>
          </w:p>
        </w:tc>
        <w:tc>
          <w:tcPr>
            <w:tcW w:w="553" w:type="dxa"/>
            <w:gridSpan w:val="4"/>
            <w:tcBorders>
              <w:bottom w:val="single" w:sz="18" w:space="0" w:color="auto"/>
              <w:right w:val="single" w:sz="4" w:space="0" w:color="auto"/>
            </w:tcBorders>
            <w:shd w:val="clear" w:color="auto" w:fill="E3FFE3"/>
            <w:vAlign w:val="center"/>
          </w:tcPr>
          <w:p w:rsidR="008C5F85" w:rsidRDefault="008C5F85" w:rsidP="00C21E57">
            <w:pPr>
              <w:spacing w:before="60" w:after="60"/>
              <w:ind w:right="2"/>
            </w:pPr>
            <w:r>
              <w:t>21</w:t>
            </w:r>
          </w:p>
        </w:tc>
        <w:tc>
          <w:tcPr>
            <w:tcW w:w="9846" w:type="dxa"/>
            <w:gridSpan w:val="4"/>
            <w:tcBorders>
              <w:left w:val="single" w:sz="4" w:space="0" w:color="auto"/>
              <w:bottom w:val="single" w:sz="18" w:space="0" w:color="auto"/>
              <w:right w:val="single" w:sz="18" w:space="0" w:color="auto"/>
            </w:tcBorders>
            <w:shd w:val="clear" w:color="auto" w:fill="E3FFE3"/>
            <w:vAlign w:val="center"/>
          </w:tcPr>
          <w:p w:rsidR="008C5F85" w:rsidRDefault="008C5F85" w:rsidP="00C21E57">
            <w:pPr>
              <w:spacing w:before="40" w:after="40"/>
              <w:ind w:right="2"/>
              <w:jc w:val="both"/>
            </w:pPr>
            <w:r>
              <w:t xml:space="preserve">After a few seconds, the message “This Calibration is Complete. The Data Bank is programmed.” will be displayed in a small box.  Click the </w:t>
            </w:r>
            <w:r w:rsidRPr="00654718">
              <w:rPr>
                <w:b/>
              </w:rPr>
              <w:t>OK</w:t>
            </w:r>
            <w:r>
              <w:t xml:space="preserve"> button.  The calibration procedure is now complete.  Close the DataBank GUI program, and remove the USB interface cable.   </w:t>
            </w:r>
          </w:p>
        </w:tc>
      </w:tr>
      <w:tr w:rsidR="008C5F85" w:rsidTr="00601BE4">
        <w:trPr>
          <w:cantSplit/>
          <w:trHeight w:val="284"/>
        </w:trPr>
        <w:tc>
          <w:tcPr>
            <w:tcW w:w="551" w:type="dxa"/>
            <w:vMerge w:val="restart"/>
            <w:tcBorders>
              <w:top w:val="single" w:sz="18" w:space="0" w:color="auto"/>
              <w:left w:val="single" w:sz="18" w:space="0" w:color="auto"/>
            </w:tcBorders>
            <w:shd w:val="clear" w:color="auto" w:fill="FFFFAB"/>
            <w:textDirection w:val="btLr"/>
            <w:vAlign w:val="center"/>
          </w:tcPr>
          <w:p w:rsidR="008C5F85" w:rsidRPr="00777EB7" w:rsidRDefault="008C5F85" w:rsidP="00C21E57">
            <w:pPr>
              <w:spacing w:before="100" w:after="100"/>
              <w:ind w:left="113" w:right="113"/>
              <w:jc w:val="center"/>
              <w:rPr>
                <w:smallCaps/>
              </w:rPr>
            </w:pPr>
            <w:r w:rsidRPr="00777EB7">
              <w:rPr>
                <w:smallCaps/>
              </w:rPr>
              <w:t>Check Calibration Curve</w:t>
            </w:r>
          </w:p>
        </w:tc>
        <w:tc>
          <w:tcPr>
            <w:tcW w:w="553" w:type="dxa"/>
            <w:gridSpan w:val="4"/>
            <w:tcBorders>
              <w:top w:val="single" w:sz="18" w:space="0" w:color="auto"/>
              <w:bottom w:val="single" w:sz="6" w:space="0" w:color="auto"/>
              <w:right w:val="single" w:sz="4" w:space="0" w:color="auto"/>
            </w:tcBorders>
            <w:shd w:val="clear" w:color="auto" w:fill="FFFFAB"/>
            <w:vAlign w:val="center"/>
          </w:tcPr>
          <w:p w:rsidR="008C5F85" w:rsidRDefault="008C5F85" w:rsidP="00C21E57">
            <w:pPr>
              <w:spacing w:before="60" w:after="60"/>
              <w:ind w:right="2"/>
            </w:pPr>
            <w:r>
              <w:t>22</w:t>
            </w:r>
          </w:p>
        </w:tc>
        <w:tc>
          <w:tcPr>
            <w:tcW w:w="9846" w:type="dxa"/>
            <w:gridSpan w:val="4"/>
            <w:tcBorders>
              <w:top w:val="single" w:sz="18" w:space="0" w:color="auto"/>
              <w:left w:val="single" w:sz="4" w:space="0" w:color="auto"/>
              <w:bottom w:val="single" w:sz="6" w:space="0" w:color="auto"/>
              <w:right w:val="single" w:sz="18" w:space="0" w:color="auto"/>
            </w:tcBorders>
            <w:shd w:val="clear" w:color="auto" w:fill="FFFFAB"/>
            <w:vAlign w:val="center"/>
          </w:tcPr>
          <w:p w:rsidR="008C5F85" w:rsidRDefault="008C5F85" w:rsidP="00BD700E">
            <w:pPr>
              <w:spacing w:before="40" w:after="40"/>
              <w:ind w:right="2"/>
              <w:jc w:val="both"/>
            </w:pPr>
            <w:r>
              <w:t xml:space="preserve">Immediately make </w:t>
            </w:r>
            <w:r w:rsidR="00710921">
              <w:t>up additional solutions of the p</w:t>
            </w:r>
            <w:r>
              <w:t xml:space="preserve">hycocyanin standard, by dilutions of the Primary and Secondary Dilution standards.  </w:t>
            </w:r>
          </w:p>
        </w:tc>
      </w:tr>
      <w:tr w:rsidR="008C5F85" w:rsidTr="00601BE4">
        <w:trPr>
          <w:cantSplit/>
          <w:trHeight w:val="284"/>
        </w:trPr>
        <w:tc>
          <w:tcPr>
            <w:tcW w:w="551" w:type="dxa"/>
            <w:vMerge/>
            <w:tcBorders>
              <w:left w:val="single" w:sz="18" w:space="0" w:color="auto"/>
            </w:tcBorders>
            <w:shd w:val="clear" w:color="auto" w:fill="FFFFAB"/>
            <w:vAlign w:val="center"/>
          </w:tcPr>
          <w:p w:rsidR="008C5F85" w:rsidRDefault="008C5F85" w:rsidP="00C21E57">
            <w:pPr>
              <w:spacing w:before="100" w:after="100"/>
              <w:jc w:val="center"/>
            </w:pPr>
          </w:p>
        </w:tc>
        <w:tc>
          <w:tcPr>
            <w:tcW w:w="553" w:type="dxa"/>
            <w:gridSpan w:val="4"/>
            <w:tcBorders>
              <w:bottom w:val="single" w:sz="6" w:space="0" w:color="auto"/>
              <w:right w:val="single" w:sz="4" w:space="0" w:color="auto"/>
            </w:tcBorders>
            <w:shd w:val="clear" w:color="auto" w:fill="FFFFAB"/>
            <w:vAlign w:val="center"/>
          </w:tcPr>
          <w:p w:rsidR="008C5F85" w:rsidRDefault="008C5F85" w:rsidP="00C21E57">
            <w:pPr>
              <w:spacing w:before="60" w:after="60"/>
              <w:ind w:right="2"/>
            </w:pPr>
            <w:r>
              <w:t>23</w:t>
            </w:r>
          </w:p>
        </w:tc>
        <w:tc>
          <w:tcPr>
            <w:tcW w:w="9846" w:type="dxa"/>
            <w:gridSpan w:val="4"/>
            <w:tcBorders>
              <w:left w:val="single" w:sz="4" w:space="0" w:color="auto"/>
              <w:bottom w:val="single" w:sz="6" w:space="0" w:color="auto"/>
              <w:right w:val="single" w:sz="18" w:space="0" w:color="auto"/>
            </w:tcBorders>
            <w:shd w:val="clear" w:color="auto" w:fill="FFFFAB"/>
            <w:vAlign w:val="center"/>
          </w:tcPr>
          <w:p w:rsidR="008C5F85" w:rsidRDefault="008C5F85" w:rsidP="00BD700E">
            <w:pPr>
              <w:spacing w:before="40" w:after="40"/>
              <w:ind w:right="2"/>
              <w:jc w:val="both"/>
            </w:pPr>
            <w:r>
              <w:t xml:space="preserve">Dispense 50 mL of </w:t>
            </w:r>
            <w:r w:rsidRPr="00777EB7">
              <w:rPr>
                <w:b/>
              </w:rPr>
              <w:t>the Secondary Dilution Standard</w:t>
            </w:r>
            <w:r w:rsidR="00BD700E">
              <w:t>-(</w:t>
            </w:r>
            <w:r w:rsidR="00BD700E" w:rsidRPr="00BD700E">
              <w:rPr>
                <w:b/>
              </w:rPr>
              <w:t>B</w:t>
            </w:r>
            <w:r w:rsidR="00BD700E">
              <w:t>)</w:t>
            </w:r>
            <w:r>
              <w:t>(</w:t>
            </w:r>
            <w:r w:rsidR="00BD700E">
              <w:t>2</w:t>
            </w:r>
            <w:r w:rsidRPr="00F06A08">
              <w:t xml:space="preserve"> L </w:t>
            </w:r>
            <w:r w:rsidR="00BD700E">
              <w:t>beaker</w:t>
            </w:r>
            <w:r w:rsidRPr="00F06A08">
              <w:t>)</w:t>
            </w:r>
            <w:r>
              <w:t xml:space="preserve"> into a 1 L </w:t>
            </w:r>
            <w:r w:rsidR="00BD700E">
              <w:t xml:space="preserve">volumetric </w:t>
            </w:r>
            <w:r>
              <w:t xml:space="preserve">flask. Fill to volume with DI water.  Cover and invert the flask several times to mix.  </w:t>
            </w:r>
            <w:r w:rsidR="00710921">
              <w:t>Calculate the concentration of p</w:t>
            </w:r>
            <w:r>
              <w:t xml:space="preserve">hycocyanin (should be about 4 µg/L). Pour </w:t>
            </w:r>
            <w:r w:rsidR="005E61DA">
              <w:t>all</w:t>
            </w:r>
            <w:r>
              <w:t xml:space="preserve"> of th</w:t>
            </w:r>
            <w:r w:rsidR="00460BB7">
              <w:t xml:space="preserve">e 4 µg/L </w:t>
            </w:r>
            <w:r>
              <w:t xml:space="preserve">solution into a </w:t>
            </w:r>
            <w:r w:rsidR="00BD700E">
              <w:t>2</w:t>
            </w:r>
            <w:r w:rsidR="005E61DA">
              <w:t xml:space="preserve"> L</w:t>
            </w:r>
            <w:r>
              <w:t xml:space="preserve"> +/- glass </w:t>
            </w:r>
            <w:r w:rsidR="00BD700E">
              <w:t>beaker</w:t>
            </w:r>
            <w:r>
              <w:t>.  Analyze on DataBank and record reading.</w:t>
            </w:r>
            <w:r w:rsidR="00BD700E">
              <w:t xml:space="preserve"> Solution </w:t>
            </w:r>
            <w:r w:rsidR="00BD700E" w:rsidRPr="00BD700E">
              <w:rPr>
                <w:b/>
              </w:rPr>
              <w:t>C</w:t>
            </w:r>
          </w:p>
        </w:tc>
      </w:tr>
      <w:tr w:rsidR="008C5F85" w:rsidTr="00601BE4">
        <w:trPr>
          <w:cantSplit/>
          <w:trHeight w:val="284"/>
        </w:trPr>
        <w:tc>
          <w:tcPr>
            <w:tcW w:w="551" w:type="dxa"/>
            <w:vMerge/>
            <w:tcBorders>
              <w:left w:val="single" w:sz="18" w:space="0" w:color="auto"/>
            </w:tcBorders>
            <w:shd w:val="clear" w:color="auto" w:fill="FFFFAB"/>
            <w:vAlign w:val="center"/>
          </w:tcPr>
          <w:p w:rsidR="008C5F85" w:rsidRDefault="008C5F85" w:rsidP="00C21E57">
            <w:pPr>
              <w:spacing w:before="100" w:after="100"/>
              <w:jc w:val="center"/>
            </w:pPr>
          </w:p>
        </w:tc>
        <w:tc>
          <w:tcPr>
            <w:tcW w:w="553" w:type="dxa"/>
            <w:gridSpan w:val="4"/>
            <w:tcBorders>
              <w:bottom w:val="single" w:sz="6" w:space="0" w:color="auto"/>
              <w:right w:val="single" w:sz="4" w:space="0" w:color="auto"/>
            </w:tcBorders>
            <w:shd w:val="clear" w:color="auto" w:fill="FFFFAB"/>
            <w:vAlign w:val="center"/>
          </w:tcPr>
          <w:p w:rsidR="008C5F85" w:rsidRDefault="008C5F85" w:rsidP="00C21E57">
            <w:pPr>
              <w:spacing w:before="60" w:after="60"/>
              <w:ind w:right="2"/>
            </w:pPr>
            <w:r>
              <w:t>24</w:t>
            </w:r>
          </w:p>
        </w:tc>
        <w:tc>
          <w:tcPr>
            <w:tcW w:w="9846" w:type="dxa"/>
            <w:gridSpan w:val="4"/>
            <w:tcBorders>
              <w:left w:val="single" w:sz="4" w:space="0" w:color="auto"/>
              <w:bottom w:val="single" w:sz="6" w:space="0" w:color="auto"/>
              <w:right w:val="single" w:sz="18" w:space="0" w:color="auto"/>
            </w:tcBorders>
            <w:shd w:val="clear" w:color="auto" w:fill="FFFFAB"/>
            <w:vAlign w:val="center"/>
          </w:tcPr>
          <w:p w:rsidR="008C5F85" w:rsidRDefault="00460BB7" w:rsidP="00710921">
            <w:pPr>
              <w:spacing w:before="40" w:after="40"/>
              <w:ind w:right="2"/>
              <w:jc w:val="both"/>
            </w:pPr>
            <w:r>
              <w:t xml:space="preserve">Use a second </w:t>
            </w:r>
            <w:r w:rsidR="008C5F85">
              <w:t xml:space="preserve">1 Liter Flask.  Pour </w:t>
            </w:r>
            <w:r>
              <w:t xml:space="preserve">500 mLs of </w:t>
            </w:r>
            <w:r w:rsidR="008C5F85">
              <w:t xml:space="preserve">the remaining contents of the </w:t>
            </w:r>
            <w:r w:rsidR="008C5F85" w:rsidRPr="00777EB7">
              <w:rPr>
                <w:b/>
              </w:rPr>
              <w:t>Secondary Dilution Standard</w:t>
            </w:r>
            <w:r w:rsidR="008C5F85">
              <w:t xml:space="preserve"> </w:t>
            </w:r>
            <w:r w:rsidR="00BD700E">
              <w:t>(</w:t>
            </w:r>
            <w:r w:rsidR="00BD700E" w:rsidRPr="00BD700E">
              <w:rPr>
                <w:b/>
              </w:rPr>
              <w:t>B</w:t>
            </w:r>
            <w:r w:rsidR="00BD700E">
              <w:t>)</w:t>
            </w:r>
            <w:r w:rsidR="008C5F85">
              <w:t xml:space="preserve">(0.5 Liter Flask) into the 1 Liter Flask, and adjust to volume with DI.  Cover and invert the flask several times to mix.  Calculate concentration of </w:t>
            </w:r>
            <w:r w:rsidR="00710921">
              <w:t>p</w:t>
            </w:r>
            <w:r w:rsidR="008C5F85">
              <w:t>hycocyanin (should be about</w:t>
            </w:r>
            <w:r>
              <w:t xml:space="preserve"> 44</w:t>
            </w:r>
            <w:r w:rsidR="008C5F85">
              <w:t xml:space="preserve"> µg/L). Pour </w:t>
            </w:r>
            <w:r>
              <w:t>all</w:t>
            </w:r>
            <w:r w:rsidR="008C5F85">
              <w:t xml:space="preserve"> of this solution into a </w:t>
            </w:r>
            <w:r>
              <w:t xml:space="preserve">2 L </w:t>
            </w:r>
            <w:r w:rsidR="008C5F85">
              <w:t xml:space="preserve">+/- glass </w:t>
            </w:r>
            <w:r>
              <w:t>beaker</w:t>
            </w:r>
            <w:r w:rsidR="008C5F85">
              <w:t>.   Analyze and record.</w:t>
            </w:r>
            <w:r w:rsidR="00BD700E">
              <w:t xml:space="preserve">—solution </w:t>
            </w:r>
            <w:r w:rsidR="00BD700E" w:rsidRPr="00BD700E">
              <w:rPr>
                <w:b/>
              </w:rPr>
              <w:t>D</w:t>
            </w:r>
          </w:p>
        </w:tc>
      </w:tr>
      <w:tr w:rsidR="008C5F85" w:rsidTr="00601BE4">
        <w:trPr>
          <w:cantSplit/>
          <w:trHeight w:val="2277"/>
        </w:trPr>
        <w:tc>
          <w:tcPr>
            <w:tcW w:w="551" w:type="dxa"/>
            <w:vMerge/>
            <w:tcBorders>
              <w:left w:val="single" w:sz="18" w:space="0" w:color="auto"/>
            </w:tcBorders>
            <w:shd w:val="clear" w:color="auto" w:fill="FFFFAB"/>
            <w:vAlign w:val="center"/>
          </w:tcPr>
          <w:p w:rsidR="008C5F85" w:rsidRDefault="008C5F85" w:rsidP="00C21E57">
            <w:pPr>
              <w:spacing w:before="100" w:after="100"/>
              <w:jc w:val="center"/>
            </w:pPr>
          </w:p>
        </w:tc>
        <w:tc>
          <w:tcPr>
            <w:tcW w:w="553" w:type="dxa"/>
            <w:gridSpan w:val="4"/>
            <w:tcBorders>
              <w:bottom w:val="single" w:sz="6" w:space="0" w:color="auto"/>
              <w:right w:val="single" w:sz="4" w:space="0" w:color="auto"/>
            </w:tcBorders>
            <w:shd w:val="clear" w:color="auto" w:fill="FFFFAB"/>
            <w:vAlign w:val="center"/>
          </w:tcPr>
          <w:p w:rsidR="008C5F85" w:rsidRDefault="008C5F85" w:rsidP="00C21E57">
            <w:pPr>
              <w:spacing w:before="60" w:after="60"/>
              <w:ind w:right="2"/>
            </w:pPr>
            <w:r>
              <w:t>25</w:t>
            </w:r>
          </w:p>
        </w:tc>
        <w:tc>
          <w:tcPr>
            <w:tcW w:w="9846" w:type="dxa"/>
            <w:gridSpan w:val="4"/>
            <w:tcBorders>
              <w:left w:val="single" w:sz="4" w:space="0" w:color="auto"/>
              <w:bottom w:val="single" w:sz="6" w:space="0" w:color="auto"/>
              <w:right w:val="single" w:sz="18" w:space="0" w:color="auto"/>
            </w:tcBorders>
            <w:shd w:val="clear" w:color="auto" w:fill="FFFFAB"/>
            <w:vAlign w:val="center"/>
          </w:tcPr>
          <w:p w:rsidR="008C5F85" w:rsidRDefault="008C5F85" w:rsidP="00710921">
            <w:pPr>
              <w:spacing w:before="40" w:after="40"/>
              <w:ind w:right="2"/>
              <w:jc w:val="both"/>
            </w:pPr>
            <w:r>
              <w:t xml:space="preserve">Empty and rinse the 0.5 L volumetric flask.  Pour </w:t>
            </w:r>
            <w:r w:rsidR="004E6356">
              <w:t xml:space="preserve">100 mLs of </w:t>
            </w:r>
            <w:r>
              <w:t xml:space="preserve">the remaining contents of the </w:t>
            </w:r>
            <w:r w:rsidRPr="00777EB7">
              <w:rPr>
                <w:b/>
              </w:rPr>
              <w:t>Primary Dilution Standard</w:t>
            </w:r>
            <w:r>
              <w:t xml:space="preserve"> (</w:t>
            </w:r>
            <w:r w:rsidR="004E6356" w:rsidRPr="00BD700E">
              <w:rPr>
                <w:b/>
              </w:rPr>
              <w:t>A</w:t>
            </w:r>
            <w:r w:rsidRPr="00BD700E">
              <w:rPr>
                <w:b/>
              </w:rPr>
              <w:t>)</w:t>
            </w:r>
            <w:r>
              <w:t xml:space="preserve"> into the 0.5 L Volumetric Flask, and adjust to volume with DI.  Cover and invert the flask several times to mix.  Calculate conc</w:t>
            </w:r>
            <w:r w:rsidR="00710921">
              <w:t>entration</w:t>
            </w:r>
            <w:r>
              <w:t xml:space="preserve"> of </w:t>
            </w:r>
            <w:r w:rsidR="00710921">
              <w:t>p</w:t>
            </w:r>
            <w:r>
              <w:t xml:space="preserve">hycocyanin (should be about </w:t>
            </w:r>
            <w:r w:rsidR="004E6356">
              <w:t>175</w:t>
            </w:r>
            <w:r>
              <w:t xml:space="preserve"> µg/L). Pour </w:t>
            </w:r>
            <w:r w:rsidR="004E6356">
              <w:t>all .5 L</w:t>
            </w:r>
            <w:r>
              <w:t xml:space="preserve"> of this solution into a 500 mL +/- glass measuring jar.   Analyze and record.</w:t>
            </w:r>
            <w:r w:rsidR="00BD700E">
              <w:t xml:space="preserve">—solution </w:t>
            </w:r>
            <w:r w:rsidR="00BD700E" w:rsidRPr="00BD700E">
              <w:rPr>
                <w:b/>
              </w:rPr>
              <w:t>E</w:t>
            </w:r>
          </w:p>
        </w:tc>
      </w:tr>
      <w:tr w:rsidR="008C5F85" w:rsidTr="00601BE4">
        <w:trPr>
          <w:cantSplit/>
          <w:trHeight w:val="777"/>
        </w:trPr>
        <w:tc>
          <w:tcPr>
            <w:tcW w:w="551" w:type="dxa"/>
            <w:vMerge/>
            <w:tcBorders>
              <w:left w:val="single" w:sz="18" w:space="0" w:color="auto"/>
              <w:bottom w:val="single" w:sz="4" w:space="0" w:color="auto"/>
            </w:tcBorders>
            <w:shd w:val="clear" w:color="auto" w:fill="FFFFAB"/>
            <w:vAlign w:val="center"/>
          </w:tcPr>
          <w:p w:rsidR="008C5F85" w:rsidRDefault="008C5F85" w:rsidP="00C21E57">
            <w:pPr>
              <w:spacing w:before="100" w:after="100"/>
              <w:jc w:val="center"/>
            </w:pPr>
          </w:p>
        </w:tc>
        <w:tc>
          <w:tcPr>
            <w:tcW w:w="553" w:type="dxa"/>
            <w:gridSpan w:val="4"/>
            <w:tcBorders>
              <w:top w:val="single" w:sz="6" w:space="0" w:color="auto"/>
              <w:bottom w:val="single" w:sz="4" w:space="0" w:color="auto"/>
              <w:right w:val="single" w:sz="4" w:space="0" w:color="auto"/>
            </w:tcBorders>
            <w:shd w:val="clear" w:color="auto" w:fill="FFFFAB"/>
            <w:vAlign w:val="center"/>
          </w:tcPr>
          <w:p w:rsidR="008C5F85" w:rsidRDefault="008C5F85" w:rsidP="00C21E57">
            <w:pPr>
              <w:spacing w:before="60" w:after="60"/>
              <w:ind w:right="2"/>
            </w:pPr>
            <w:r>
              <w:t>26</w:t>
            </w:r>
          </w:p>
        </w:tc>
        <w:tc>
          <w:tcPr>
            <w:tcW w:w="9846" w:type="dxa"/>
            <w:gridSpan w:val="4"/>
            <w:tcBorders>
              <w:top w:val="single" w:sz="6" w:space="0" w:color="auto"/>
              <w:left w:val="single" w:sz="4" w:space="0" w:color="auto"/>
              <w:bottom w:val="single" w:sz="4" w:space="0" w:color="auto"/>
              <w:right w:val="single" w:sz="18" w:space="0" w:color="auto"/>
            </w:tcBorders>
            <w:shd w:val="clear" w:color="auto" w:fill="FFFFAB"/>
            <w:vAlign w:val="center"/>
          </w:tcPr>
          <w:p w:rsidR="008C5F85" w:rsidRDefault="008C5F85" w:rsidP="00C21E57">
            <w:pPr>
              <w:spacing w:before="40" w:after="40"/>
              <w:ind w:right="2"/>
              <w:jc w:val="both"/>
            </w:pPr>
            <w:r>
              <w:t>All DataBank read</w:t>
            </w:r>
            <w:r w:rsidR="00724E92">
              <w:t>ings should compare within +/- 2</w:t>
            </w:r>
            <w:r>
              <w:t>0% of the calculated solution concentration.</w:t>
            </w:r>
          </w:p>
        </w:tc>
      </w:tr>
      <w:tr w:rsidR="008C5F85" w:rsidTr="00601BE4">
        <w:trPr>
          <w:cantSplit/>
          <w:trHeight w:val="1608"/>
        </w:trPr>
        <w:tc>
          <w:tcPr>
            <w:tcW w:w="551" w:type="dxa"/>
            <w:tcBorders>
              <w:top w:val="single" w:sz="18" w:space="0" w:color="auto"/>
              <w:left w:val="single" w:sz="18" w:space="0" w:color="auto"/>
              <w:bottom w:val="single" w:sz="18" w:space="0" w:color="auto"/>
            </w:tcBorders>
            <w:shd w:val="clear" w:color="auto" w:fill="B6DDE8"/>
            <w:textDirection w:val="btLr"/>
            <w:vAlign w:val="center"/>
          </w:tcPr>
          <w:p w:rsidR="008C5F85" w:rsidRPr="00DD664F" w:rsidRDefault="008C5F85" w:rsidP="00C21E57">
            <w:pPr>
              <w:spacing w:before="100" w:after="100"/>
              <w:ind w:left="113" w:right="113"/>
              <w:jc w:val="center"/>
              <w:rPr>
                <w:rStyle w:val="BookTitle"/>
                <w:b w:val="0"/>
                <w:sz w:val="24"/>
              </w:rPr>
            </w:pPr>
            <w:r>
              <w:rPr>
                <w:rStyle w:val="BookTitle"/>
                <w:b w:val="0"/>
                <w:sz w:val="24"/>
              </w:rPr>
              <w:t>SSS</w:t>
            </w:r>
          </w:p>
        </w:tc>
        <w:tc>
          <w:tcPr>
            <w:tcW w:w="553" w:type="dxa"/>
            <w:gridSpan w:val="4"/>
            <w:tcBorders>
              <w:top w:val="single" w:sz="18" w:space="0" w:color="auto"/>
              <w:bottom w:val="single" w:sz="18" w:space="0" w:color="auto"/>
              <w:right w:val="single" w:sz="4" w:space="0" w:color="auto"/>
            </w:tcBorders>
            <w:shd w:val="clear" w:color="auto" w:fill="B6DDE8"/>
            <w:vAlign w:val="center"/>
          </w:tcPr>
          <w:p w:rsidR="008C5F85" w:rsidRDefault="008C5F85" w:rsidP="00C21E57">
            <w:pPr>
              <w:spacing w:before="100" w:after="100"/>
              <w:ind w:right="2"/>
            </w:pPr>
            <w:r>
              <w:t xml:space="preserve">27  </w:t>
            </w:r>
          </w:p>
        </w:tc>
        <w:tc>
          <w:tcPr>
            <w:tcW w:w="9846" w:type="dxa"/>
            <w:gridSpan w:val="4"/>
            <w:tcBorders>
              <w:top w:val="single" w:sz="18" w:space="0" w:color="auto"/>
              <w:left w:val="single" w:sz="4" w:space="0" w:color="auto"/>
              <w:bottom w:val="single" w:sz="18" w:space="0" w:color="auto"/>
              <w:right w:val="single" w:sz="18" w:space="0" w:color="auto"/>
            </w:tcBorders>
            <w:shd w:val="clear" w:color="auto" w:fill="B6DDE8"/>
            <w:vAlign w:val="center"/>
          </w:tcPr>
          <w:p w:rsidR="008C5F85" w:rsidRDefault="008C5F85" w:rsidP="00B22367">
            <w:pPr>
              <w:spacing w:before="40" w:after="40"/>
              <w:ind w:right="2"/>
              <w:jc w:val="both"/>
            </w:pPr>
            <w:r>
              <w:t xml:space="preserve">Once the linearity of the calibration curve has been adequately demonstrated, attach the Solid Secondary Standard (SSS) to the probe.  Turn on the DataBank and obtain a reading for the SSS.  Unscrew the locking nut on the back of the SSS as far as it will go. Insert a small screwdriver though the hole in the locking nut, and rotate until </w:t>
            </w:r>
            <w:r w:rsidR="00B22367">
              <w:t>the reading</w:t>
            </w:r>
            <w:r>
              <w:t xml:space="preserve"> </w:t>
            </w:r>
            <w:r w:rsidR="00B22367">
              <w:t>you desire based upon the value of the secondary standard is</w:t>
            </w:r>
            <w:r>
              <w:t xml:space="preserve"> obtained.  Then re-secure the locking nut.  The SSS is now readjusted.</w:t>
            </w:r>
            <w:r w:rsidR="00F4485D">
              <w:t xml:space="preserve">  </w:t>
            </w:r>
          </w:p>
        </w:tc>
      </w:tr>
    </w:tbl>
    <w:p w:rsidR="007D74EC" w:rsidRDefault="007D74EC"/>
    <w:p w:rsidR="007D74EC" w:rsidRDefault="007D74EC" w:rsidP="007D74EC"/>
    <w:p w:rsidR="007D74EC" w:rsidRDefault="007D74EC" w:rsidP="007D74EC"/>
    <w:p w:rsidR="007D74EC" w:rsidRDefault="007D74EC" w:rsidP="007D74EC"/>
    <w:p w:rsidR="007D74EC" w:rsidRDefault="007D74EC" w:rsidP="007D74EC"/>
    <w:p w:rsidR="007D74EC" w:rsidRDefault="007D74EC" w:rsidP="007D74EC"/>
    <w:p w:rsidR="002955C4" w:rsidRDefault="002955C4">
      <w:pPr>
        <w:sectPr w:rsidR="002955C4" w:rsidSect="00C41C55">
          <w:headerReference w:type="default" r:id="rId11"/>
          <w:footerReference w:type="default" r:id="rId12"/>
          <w:pgSz w:w="12240" w:h="15840"/>
          <w:pgMar w:top="1440" w:right="1440" w:bottom="1440" w:left="1440" w:header="720" w:footer="720" w:gutter="0"/>
          <w:cols w:space="720"/>
          <w:docGrid w:linePitch="360"/>
        </w:sectPr>
      </w:pPr>
    </w:p>
    <w:p w:rsidR="002955C4" w:rsidRDefault="002615B2" w:rsidP="002955C4">
      <w:r w:rsidRPr="002615B2">
        <w:rPr>
          <w:noProof/>
        </w:rPr>
        <w:lastRenderedPageBreak/>
        <w:drawing>
          <wp:inline distT="0" distB="0" distL="0" distR="0">
            <wp:extent cx="8081010" cy="6485890"/>
            <wp:effectExtent l="1905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cstate="print"/>
                    <a:srcRect/>
                    <a:stretch>
                      <a:fillRect/>
                    </a:stretch>
                  </pic:blipFill>
                  <pic:spPr bwMode="auto">
                    <a:xfrm>
                      <a:off x="0" y="0"/>
                      <a:ext cx="8081010" cy="6485890"/>
                    </a:xfrm>
                    <a:prstGeom prst="rect">
                      <a:avLst/>
                    </a:prstGeom>
                    <a:noFill/>
                    <a:ln w="9525">
                      <a:noFill/>
                      <a:miter lim="800000"/>
                      <a:headEnd/>
                      <a:tailEnd/>
                    </a:ln>
                  </pic:spPr>
                </pic:pic>
              </a:graphicData>
            </a:graphic>
          </wp:inline>
        </w:drawing>
      </w:r>
      <w:r w:rsidRPr="002615B2">
        <w:t xml:space="preserve"> </w:t>
      </w:r>
      <w:r w:rsidRPr="002615B2">
        <w:rPr>
          <w:noProof/>
        </w:rPr>
        <w:lastRenderedPageBreak/>
        <w:drawing>
          <wp:inline distT="0" distB="0" distL="0" distR="0">
            <wp:extent cx="8081010" cy="6485890"/>
            <wp:effectExtent l="1905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cstate="print"/>
                    <a:srcRect/>
                    <a:stretch>
                      <a:fillRect/>
                    </a:stretch>
                  </pic:blipFill>
                  <pic:spPr bwMode="auto">
                    <a:xfrm>
                      <a:off x="0" y="0"/>
                      <a:ext cx="8081010" cy="6485890"/>
                    </a:xfrm>
                    <a:prstGeom prst="rect">
                      <a:avLst/>
                    </a:prstGeom>
                    <a:noFill/>
                    <a:ln w="9525">
                      <a:noFill/>
                      <a:miter lim="800000"/>
                      <a:headEnd/>
                      <a:tailEnd/>
                    </a:ln>
                  </pic:spPr>
                </pic:pic>
              </a:graphicData>
            </a:graphic>
          </wp:inline>
        </w:drawing>
      </w:r>
      <w:r w:rsidR="005B2A4E">
        <w:lastRenderedPageBreak/>
        <w:t>Appendix C</w:t>
      </w:r>
      <w:r w:rsidR="002955C4">
        <w:t>:  Calibration Record Databank Datalogger with Cyclops 7 Phycocyanin Probe and Secondary Solid Standard</w:t>
      </w:r>
    </w:p>
    <w:tbl>
      <w:tblPr>
        <w:tblStyle w:val="TableGrid"/>
        <w:tblW w:w="0" w:type="auto"/>
        <w:tblLook w:val="04A0"/>
      </w:tblPr>
      <w:tblGrid>
        <w:gridCol w:w="1754"/>
        <w:gridCol w:w="1715"/>
        <w:gridCol w:w="1379"/>
        <w:gridCol w:w="1426"/>
        <w:gridCol w:w="1429"/>
        <w:gridCol w:w="1423"/>
        <w:gridCol w:w="1416"/>
        <w:gridCol w:w="1317"/>
        <w:gridCol w:w="1317"/>
      </w:tblGrid>
      <w:tr w:rsidR="00247BFE" w:rsidTr="00C55AC4">
        <w:tc>
          <w:tcPr>
            <w:tcW w:w="1754" w:type="dxa"/>
          </w:tcPr>
          <w:p w:rsidR="00247BFE" w:rsidRDefault="00247BFE" w:rsidP="002955C4">
            <w:r>
              <w:t xml:space="preserve">Standard </w:t>
            </w:r>
          </w:p>
        </w:tc>
        <w:tc>
          <w:tcPr>
            <w:tcW w:w="1715" w:type="dxa"/>
          </w:tcPr>
          <w:p w:rsidR="00247BFE" w:rsidRDefault="00247BFE" w:rsidP="002955C4">
            <w:r>
              <w:t>Source</w:t>
            </w:r>
          </w:p>
        </w:tc>
        <w:tc>
          <w:tcPr>
            <w:tcW w:w="1379" w:type="dxa"/>
          </w:tcPr>
          <w:p w:rsidR="00247BFE" w:rsidRDefault="00247BFE" w:rsidP="002955C4">
            <w:r>
              <w:t>Batch #</w:t>
            </w:r>
          </w:p>
        </w:tc>
        <w:tc>
          <w:tcPr>
            <w:tcW w:w="1426" w:type="dxa"/>
          </w:tcPr>
          <w:p w:rsidR="00247BFE" w:rsidRDefault="00247BFE" w:rsidP="002955C4">
            <w:r>
              <w:t>Expiration Date</w:t>
            </w:r>
          </w:p>
        </w:tc>
        <w:tc>
          <w:tcPr>
            <w:tcW w:w="1429" w:type="dxa"/>
          </w:tcPr>
          <w:p w:rsidR="00247BFE" w:rsidRDefault="00247BFE" w:rsidP="002955C4">
            <w:r>
              <w:t>Date Calibrated</w:t>
            </w:r>
          </w:p>
        </w:tc>
        <w:tc>
          <w:tcPr>
            <w:tcW w:w="1423" w:type="dxa"/>
          </w:tcPr>
          <w:p w:rsidR="00247BFE" w:rsidRDefault="00247BFE" w:rsidP="002955C4">
            <w:r>
              <w:t>Name Calibrator</w:t>
            </w:r>
          </w:p>
        </w:tc>
        <w:tc>
          <w:tcPr>
            <w:tcW w:w="4050" w:type="dxa"/>
            <w:gridSpan w:val="3"/>
          </w:tcPr>
          <w:p w:rsidR="00247BFE" w:rsidRDefault="00247BFE" w:rsidP="00F270F1">
            <w:r>
              <w:t xml:space="preserve">Solid Standard set at 100 </w:t>
            </w:r>
            <w:r w:rsidR="00FC1938">
              <w:t>µ</w:t>
            </w:r>
            <w:r>
              <w:t xml:space="preserve">g/L, </w:t>
            </w:r>
            <w:r w:rsidRPr="00692F22">
              <w:rPr>
                <w:sz w:val="18"/>
                <w:szCs w:val="18"/>
              </w:rPr>
              <w:t>reading should be within +/-20%</w:t>
            </w:r>
            <w:r w:rsidR="00F4485D">
              <w:rPr>
                <w:sz w:val="18"/>
                <w:szCs w:val="18"/>
              </w:rPr>
              <w:t xml:space="preserve">  </w:t>
            </w:r>
          </w:p>
        </w:tc>
      </w:tr>
      <w:tr w:rsidR="002955C4" w:rsidTr="002955C4">
        <w:tc>
          <w:tcPr>
            <w:tcW w:w="1754" w:type="dxa"/>
          </w:tcPr>
          <w:p w:rsidR="002955C4" w:rsidRDefault="002955C4" w:rsidP="002955C4"/>
        </w:tc>
        <w:tc>
          <w:tcPr>
            <w:tcW w:w="1715" w:type="dxa"/>
          </w:tcPr>
          <w:p w:rsidR="002955C4" w:rsidRDefault="002955C4" w:rsidP="002955C4"/>
        </w:tc>
        <w:tc>
          <w:tcPr>
            <w:tcW w:w="1379" w:type="dxa"/>
          </w:tcPr>
          <w:p w:rsidR="002955C4" w:rsidRDefault="002955C4" w:rsidP="002955C4"/>
        </w:tc>
        <w:tc>
          <w:tcPr>
            <w:tcW w:w="1426" w:type="dxa"/>
          </w:tcPr>
          <w:p w:rsidR="002955C4" w:rsidRDefault="002955C4" w:rsidP="002955C4"/>
        </w:tc>
        <w:tc>
          <w:tcPr>
            <w:tcW w:w="1429" w:type="dxa"/>
          </w:tcPr>
          <w:p w:rsidR="002955C4" w:rsidRDefault="002955C4" w:rsidP="002955C4"/>
        </w:tc>
        <w:tc>
          <w:tcPr>
            <w:tcW w:w="1423" w:type="dxa"/>
          </w:tcPr>
          <w:p w:rsidR="002955C4" w:rsidRDefault="002955C4" w:rsidP="002955C4"/>
        </w:tc>
        <w:tc>
          <w:tcPr>
            <w:tcW w:w="1416" w:type="dxa"/>
          </w:tcPr>
          <w:p w:rsidR="002955C4" w:rsidRDefault="00247BFE" w:rsidP="00FC1938">
            <w:r>
              <w:t xml:space="preserve">Reading </w:t>
            </w:r>
            <w:r w:rsidR="00FC1938">
              <w:t>µ</w:t>
            </w:r>
            <w:r>
              <w:t>g/L</w:t>
            </w:r>
          </w:p>
        </w:tc>
        <w:tc>
          <w:tcPr>
            <w:tcW w:w="1317" w:type="dxa"/>
          </w:tcPr>
          <w:p w:rsidR="002955C4" w:rsidRDefault="00247BFE" w:rsidP="002955C4">
            <w:r>
              <w:t>Date</w:t>
            </w:r>
          </w:p>
        </w:tc>
        <w:tc>
          <w:tcPr>
            <w:tcW w:w="1317" w:type="dxa"/>
          </w:tcPr>
          <w:p w:rsidR="002955C4" w:rsidRDefault="00247BFE" w:rsidP="002955C4">
            <w:r>
              <w:t>Reader</w:t>
            </w:r>
          </w:p>
        </w:tc>
      </w:tr>
      <w:tr w:rsidR="002955C4" w:rsidTr="002955C4">
        <w:tc>
          <w:tcPr>
            <w:tcW w:w="1754" w:type="dxa"/>
          </w:tcPr>
          <w:p w:rsidR="002955C4" w:rsidRDefault="002955C4" w:rsidP="002955C4"/>
        </w:tc>
        <w:tc>
          <w:tcPr>
            <w:tcW w:w="1715" w:type="dxa"/>
          </w:tcPr>
          <w:p w:rsidR="002955C4" w:rsidRDefault="002955C4" w:rsidP="002955C4"/>
        </w:tc>
        <w:tc>
          <w:tcPr>
            <w:tcW w:w="1379" w:type="dxa"/>
          </w:tcPr>
          <w:p w:rsidR="002955C4" w:rsidRDefault="002955C4" w:rsidP="002955C4"/>
        </w:tc>
        <w:tc>
          <w:tcPr>
            <w:tcW w:w="1426" w:type="dxa"/>
          </w:tcPr>
          <w:p w:rsidR="002955C4" w:rsidRDefault="002955C4" w:rsidP="002955C4"/>
        </w:tc>
        <w:tc>
          <w:tcPr>
            <w:tcW w:w="1429" w:type="dxa"/>
          </w:tcPr>
          <w:p w:rsidR="002955C4" w:rsidRDefault="002955C4" w:rsidP="002955C4"/>
        </w:tc>
        <w:tc>
          <w:tcPr>
            <w:tcW w:w="1423" w:type="dxa"/>
          </w:tcPr>
          <w:p w:rsidR="002955C4" w:rsidRDefault="002955C4" w:rsidP="002955C4"/>
        </w:tc>
        <w:tc>
          <w:tcPr>
            <w:tcW w:w="1416" w:type="dxa"/>
          </w:tcPr>
          <w:p w:rsidR="002955C4" w:rsidRDefault="002955C4" w:rsidP="002955C4"/>
        </w:tc>
        <w:tc>
          <w:tcPr>
            <w:tcW w:w="1317" w:type="dxa"/>
          </w:tcPr>
          <w:p w:rsidR="002955C4" w:rsidRDefault="002955C4" w:rsidP="002955C4"/>
        </w:tc>
        <w:tc>
          <w:tcPr>
            <w:tcW w:w="1317" w:type="dxa"/>
          </w:tcPr>
          <w:p w:rsidR="002955C4" w:rsidRDefault="002955C4" w:rsidP="002955C4"/>
        </w:tc>
      </w:tr>
      <w:tr w:rsidR="002955C4" w:rsidTr="002955C4">
        <w:tc>
          <w:tcPr>
            <w:tcW w:w="1754" w:type="dxa"/>
          </w:tcPr>
          <w:p w:rsidR="002955C4" w:rsidRDefault="002955C4" w:rsidP="002955C4"/>
        </w:tc>
        <w:tc>
          <w:tcPr>
            <w:tcW w:w="1715" w:type="dxa"/>
          </w:tcPr>
          <w:p w:rsidR="002955C4" w:rsidRDefault="002955C4" w:rsidP="002955C4"/>
        </w:tc>
        <w:tc>
          <w:tcPr>
            <w:tcW w:w="1379" w:type="dxa"/>
          </w:tcPr>
          <w:p w:rsidR="002955C4" w:rsidRDefault="002955C4" w:rsidP="002955C4"/>
        </w:tc>
        <w:tc>
          <w:tcPr>
            <w:tcW w:w="1426" w:type="dxa"/>
          </w:tcPr>
          <w:p w:rsidR="002955C4" w:rsidRDefault="002955C4" w:rsidP="002955C4"/>
        </w:tc>
        <w:tc>
          <w:tcPr>
            <w:tcW w:w="1429" w:type="dxa"/>
          </w:tcPr>
          <w:p w:rsidR="002955C4" w:rsidRDefault="002955C4" w:rsidP="002955C4"/>
        </w:tc>
        <w:tc>
          <w:tcPr>
            <w:tcW w:w="1423" w:type="dxa"/>
          </w:tcPr>
          <w:p w:rsidR="002955C4" w:rsidRDefault="002955C4" w:rsidP="002955C4"/>
        </w:tc>
        <w:tc>
          <w:tcPr>
            <w:tcW w:w="1416" w:type="dxa"/>
          </w:tcPr>
          <w:p w:rsidR="002955C4" w:rsidRDefault="002955C4" w:rsidP="002955C4"/>
        </w:tc>
        <w:tc>
          <w:tcPr>
            <w:tcW w:w="1317" w:type="dxa"/>
          </w:tcPr>
          <w:p w:rsidR="002955C4" w:rsidRDefault="002955C4" w:rsidP="002955C4"/>
        </w:tc>
        <w:tc>
          <w:tcPr>
            <w:tcW w:w="1317" w:type="dxa"/>
          </w:tcPr>
          <w:p w:rsidR="002955C4" w:rsidRDefault="002955C4" w:rsidP="002955C4"/>
        </w:tc>
      </w:tr>
      <w:tr w:rsidR="002955C4" w:rsidTr="002955C4">
        <w:tc>
          <w:tcPr>
            <w:tcW w:w="1754" w:type="dxa"/>
          </w:tcPr>
          <w:p w:rsidR="002955C4" w:rsidRDefault="002955C4" w:rsidP="002955C4"/>
        </w:tc>
        <w:tc>
          <w:tcPr>
            <w:tcW w:w="1715" w:type="dxa"/>
          </w:tcPr>
          <w:p w:rsidR="002955C4" w:rsidRDefault="002955C4" w:rsidP="002955C4"/>
        </w:tc>
        <w:tc>
          <w:tcPr>
            <w:tcW w:w="1379" w:type="dxa"/>
          </w:tcPr>
          <w:p w:rsidR="002955C4" w:rsidRDefault="002955C4" w:rsidP="002955C4"/>
        </w:tc>
        <w:tc>
          <w:tcPr>
            <w:tcW w:w="1426" w:type="dxa"/>
          </w:tcPr>
          <w:p w:rsidR="002955C4" w:rsidRDefault="002955C4" w:rsidP="002955C4"/>
        </w:tc>
        <w:tc>
          <w:tcPr>
            <w:tcW w:w="1429" w:type="dxa"/>
          </w:tcPr>
          <w:p w:rsidR="002955C4" w:rsidRDefault="002955C4" w:rsidP="002955C4"/>
        </w:tc>
        <w:tc>
          <w:tcPr>
            <w:tcW w:w="1423" w:type="dxa"/>
          </w:tcPr>
          <w:p w:rsidR="002955C4" w:rsidRDefault="002955C4" w:rsidP="002955C4"/>
        </w:tc>
        <w:tc>
          <w:tcPr>
            <w:tcW w:w="1416" w:type="dxa"/>
          </w:tcPr>
          <w:p w:rsidR="002955C4" w:rsidRDefault="002955C4" w:rsidP="002955C4"/>
        </w:tc>
        <w:tc>
          <w:tcPr>
            <w:tcW w:w="1317" w:type="dxa"/>
          </w:tcPr>
          <w:p w:rsidR="002955C4" w:rsidRDefault="002955C4" w:rsidP="002955C4"/>
        </w:tc>
        <w:tc>
          <w:tcPr>
            <w:tcW w:w="1317" w:type="dxa"/>
          </w:tcPr>
          <w:p w:rsidR="002955C4" w:rsidRDefault="002955C4" w:rsidP="002955C4"/>
        </w:tc>
      </w:tr>
      <w:tr w:rsidR="00FC1938" w:rsidTr="002955C4">
        <w:tc>
          <w:tcPr>
            <w:tcW w:w="1754" w:type="dxa"/>
          </w:tcPr>
          <w:p w:rsidR="00FC1938" w:rsidRDefault="00FC1938" w:rsidP="002955C4"/>
        </w:tc>
        <w:tc>
          <w:tcPr>
            <w:tcW w:w="1715" w:type="dxa"/>
          </w:tcPr>
          <w:p w:rsidR="00FC1938" w:rsidRDefault="00FC1938" w:rsidP="002955C4"/>
        </w:tc>
        <w:tc>
          <w:tcPr>
            <w:tcW w:w="1379" w:type="dxa"/>
          </w:tcPr>
          <w:p w:rsidR="00FC1938" w:rsidRDefault="00FC1938" w:rsidP="002955C4"/>
        </w:tc>
        <w:tc>
          <w:tcPr>
            <w:tcW w:w="1426" w:type="dxa"/>
          </w:tcPr>
          <w:p w:rsidR="00FC1938" w:rsidRDefault="00FC1938" w:rsidP="002955C4"/>
        </w:tc>
        <w:tc>
          <w:tcPr>
            <w:tcW w:w="1429" w:type="dxa"/>
          </w:tcPr>
          <w:p w:rsidR="00FC1938" w:rsidRDefault="00FC1938" w:rsidP="002955C4"/>
        </w:tc>
        <w:tc>
          <w:tcPr>
            <w:tcW w:w="1423" w:type="dxa"/>
          </w:tcPr>
          <w:p w:rsidR="00FC1938" w:rsidRDefault="00FC1938" w:rsidP="002955C4"/>
        </w:tc>
        <w:tc>
          <w:tcPr>
            <w:tcW w:w="1416" w:type="dxa"/>
          </w:tcPr>
          <w:p w:rsidR="00FC1938" w:rsidRDefault="00FC1938" w:rsidP="002955C4"/>
        </w:tc>
        <w:tc>
          <w:tcPr>
            <w:tcW w:w="1317" w:type="dxa"/>
          </w:tcPr>
          <w:p w:rsidR="00FC1938" w:rsidRDefault="00FC1938" w:rsidP="002955C4"/>
        </w:tc>
        <w:tc>
          <w:tcPr>
            <w:tcW w:w="1317" w:type="dxa"/>
          </w:tcPr>
          <w:p w:rsidR="00FC1938" w:rsidRDefault="00FC1938" w:rsidP="002955C4"/>
        </w:tc>
      </w:tr>
      <w:tr w:rsidR="00FC1938" w:rsidTr="002955C4">
        <w:tc>
          <w:tcPr>
            <w:tcW w:w="1754" w:type="dxa"/>
          </w:tcPr>
          <w:p w:rsidR="00FC1938" w:rsidRDefault="00FC1938" w:rsidP="002955C4"/>
        </w:tc>
        <w:tc>
          <w:tcPr>
            <w:tcW w:w="1715" w:type="dxa"/>
          </w:tcPr>
          <w:p w:rsidR="00FC1938" w:rsidRDefault="00FC1938" w:rsidP="002955C4"/>
        </w:tc>
        <w:tc>
          <w:tcPr>
            <w:tcW w:w="1379" w:type="dxa"/>
          </w:tcPr>
          <w:p w:rsidR="00FC1938" w:rsidRDefault="00FC1938" w:rsidP="002955C4"/>
        </w:tc>
        <w:tc>
          <w:tcPr>
            <w:tcW w:w="1426" w:type="dxa"/>
          </w:tcPr>
          <w:p w:rsidR="00FC1938" w:rsidRDefault="00FC1938" w:rsidP="002955C4"/>
        </w:tc>
        <w:tc>
          <w:tcPr>
            <w:tcW w:w="1429" w:type="dxa"/>
          </w:tcPr>
          <w:p w:rsidR="00FC1938" w:rsidRDefault="00FC1938" w:rsidP="002955C4"/>
        </w:tc>
        <w:tc>
          <w:tcPr>
            <w:tcW w:w="1423" w:type="dxa"/>
          </w:tcPr>
          <w:p w:rsidR="00FC1938" w:rsidRDefault="00FC1938" w:rsidP="002955C4"/>
        </w:tc>
        <w:tc>
          <w:tcPr>
            <w:tcW w:w="1416" w:type="dxa"/>
          </w:tcPr>
          <w:p w:rsidR="00FC1938" w:rsidRDefault="00FC1938" w:rsidP="002955C4"/>
        </w:tc>
        <w:tc>
          <w:tcPr>
            <w:tcW w:w="1317" w:type="dxa"/>
          </w:tcPr>
          <w:p w:rsidR="00FC1938" w:rsidRDefault="00FC1938" w:rsidP="002955C4"/>
        </w:tc>
        <w:tc>
          <w:tcPr>
            <w:tcW w:w="1317" w:type="dxa"/>
          </w:tcPr>
          <w:p w:rsidR="00FC1938" w:rsidRDefault="00FC1938" w:rsidP="002955C4"/>
        </w:tc>
      </w:tr>
      <w:tr w:rsidR="00FC1938" w:rsidTr="002955C4">
        <w:tc>
          <w:tcPr>
            <w:tcW w:w="1754" w:type="dxa"/>
          </w:tcPr>
          <w:p w:rsidR="00FC1938" w:rsidRDefault="00FC1938" w:rsidP="002955C4"/>
        </w:tc>
        <w:tc>
          <w:tcPr>
            <w:tcW w:w="1715" w:type="dxa"/>
          </w:tcPr>
          <w:p w:rsidR="00FC1938" w:rsidRDefault="00FC1938" w:rsidP="002955C4"/>
        </w:tc>
        <w:tc>
          <w:tcPr>
            <w:tcW w:w="1379" w:type="dxa"/>
          </w:tcPr>
          <w:p w:rsidR="00FC1938" w:rsidRDefault="00FC1938" w:rsidP="002955C4"/>
        </w:tc>
        <w:tc>
          <w:tcPr>
            <w:tcW w:w="1426" w:type="dxa"/>
          </w:tcPr>
          <w:p w:rsidR="00FC1938" w:rsidRDefault="00FC1938" w:rsidP="002955C4"/>
        </w:tc>
        <w:tc>
          <w:tcPr>
            <w:tcW w:w="1429" w:type="dxa"/>
          </w:tcPr>
          <w:p w:rsidR="00FC1938" w:rsidRDefault="00FC1938" w:rsidP="002955C4"/>
        </w:tc>
        <w:tc>
          <w:tcPr>
            <w:tcW w:w="1423" w:type="dxa"/>
          </w:tcPr>
          <w:p w:rsidR="00FC1938" w:rsidRDefault="00FC1938" w:rsidP="002955C4"/>
        </w:tc>
        <w:tc>
          <w:tcPr>
            <w:tcW w:w="1416" w:type="dxa"/>
          </w:tcPr>
          <w:p w:rsidR="00FC1938" w:rsidRDefault="00FC1938" w:rsidP="002955C4"/>
        </w:tc>
        <w:tc>
          <w:tcPr>
            <w:tcW w:w="1317" w:type="dxa"/>
          </w:tcPr>
          <w:p w:rsidR="00FC1938" w:rsidRDefault="00FC1938" w:rsidP="002955C4"/>
        </w:tc>
        <w:tc>
          <w:tcPr>
            <w:tcW w:w="1317" w:type="dxa"/>
          </w:tcPr>
          <w:p w:rsidR="00FC1938" w:rsidRDefault="00FC1938" w:rsidP="002955C4"/>
        </w:tc>
      </w:tr>
      <w:tr w:rsidR="00FC1938" w:rsidTr="002955C4">
        <w:tc>
          <w:tcPr>
            <w:tcW w:w="1754" w:type="dxa"/>
          </w:tcPr>
          <w:p w:rsidR="00FC1938" w:rsidRDefault="00FC1938" w:rsidP="002955C4"/>
        </w:tc>
        <w:tc>
          <w:tcPr>
            <w:tcW w:w="1715" w:type="dxa"/>
          </w:tcPr>
          <w:p w:rsidR="00FC1938" w:rsidRDefault="00FC1938" w:rsidP="002955C4"/>
        </w:tc>
        <w:tc>
          <w:tcPr>
            <w:tcW w:w="1379" w:type="dxa"/>
          </w:tcPr>
          <w:p w:rsidR="00FC1938" w:rsidRDefault="00FC1938" w:rsidP="002955C4"/>
        </w:tc>
        <w:tc>
          <w:tcPr>
            <w:tcW w:w="1426" w:type="dxa"/>
          </w:tcPr>
          <w:p w:rsidR="00FC1938" w:rsidRDefault="00FC1938" w:rsidP="002955C4"/>
        </w:tc>
        <w:tc>
          <w:tcPr>
            <w:tcW w:w="1429" w:type="dxa"/>
          </w:tcPr>
          <w:p w:rsidR="00FC1938" w:rsidRDefault="00FC1938" w:rsidP="002955C4"/>
        </w:tc>
        <w:tc>
          <w:tcPr>
            <w:tcW w:w="1423" w:type="dxa"/>
          </w:tcPr>
          <w:p w:rsidR="00FC1938" w:rsidRDefault="00FC1938" w:rsidP="002955C4"/>
        </w:tc>
        <w:tc>
          <w:tcPr>
            <w:tcW w:w="1416" w:type="dxa"/>
          </w:tcPr>
          <w:p w:rsidR="00FC1938" w:rsidRDefault="00FC1938" w:rsidP="002955C4"/>
        </w:tc>
        <w:tc>
          <w:tcPr>
            <w:tcW w:w="1317" w:type="dxa"/>
          </w:tcPr>
          <w:p w:rsidR="00FC1938" w:rsidRDefault="00FC1938" w:rsidP="002955C4"/>
        </w:tc>
        <w:tc>
          <w:tcPr>
            <w:tcW w:w="1317" w:type="dxa"/>
          </w:tcPr>
          <w:p w:rsidR="00FC1938" w:rsidRDefault="00FC1938" w:rsidP="002955C4"/>
        </w:tc>
      </w:tr>
      <w:tr w:rsidR="00FC1938" w:rsidTr="002955C4">
        <w:tc>
          <w:tcPr>
            <w:tcW w:w="1754" w:type="dxa"/>
          </w:tcPr>
          <w:p w:rsidR="00FC1938" w:rsidRDefault="00FC1938" w:rsidP="002955C4"/>
        </w:tc>
        <w:tc>
          <w:tcPr>
            <w:tcW w:w="1715" w:type="dxa"/>
          </w:tcPr>
          <w:p w:rsidR="00FC1938" w:rsidRDefault="00FC1938" w:rsidP="002955C4"/>
        </w:tc>
        <w:tc>
          <w:tcPr>
            <w:tcW w:w="1379" w:type="dxa"/>
          </w:tcPr>
          <w:p w:rsidR="00FC1938" w:rsidRDefault="00FC1938" w:rsidP="002955C4"/>
        </w:tc>
        <w:tc>
          <w:tcPr>
            <w:tcW w:w="1426" w:type="dxa"/>
          </w:tcPr>
          <w:p w:rsidR="00FC1938" w:rsidRDefault="00FC1938" w:rsidP="002955C4"/>
        </w:tc>
        <w:tc>
          <w:tcPr>
            <w:tcW w:w="1429" w:type="dxa"/>
          </w:tcPr>
          <w:p w:rsidR="00FC1938" w:rsidRDefault="00FC1938" w:rsidP="002955C4"/>
        </w:tc>
        <w:tc>
          <w:tcPr>
            <w:tcW w:w="1423" w:type="dxa"/>
          </w:tcPr>
          <w:p w:rsidR="00FC1938" w:rsidRDefault="00FC1938" w:rsidP="002955C4"/>
        </w:tc>
        <w:tc>
          <w:tcPr>
            <w:tcW w:w="1416" w:type="dxa"/>
          </w:tcPr>
          <w:p w:rsidR="00FC1938" w:rsidRDefault="00FC1938" w:rsidP="002955C4"/>
        </w:tc>
        <w:tc>
          <w:tcPr>
            <w:tcW w:w="1317" w:type="dxa"/>
          </w:tcPr>
          <w:p w:rsidR="00FC1938" w:rsidRDefault="00FC1938" w:rsidP="002955C4"/>
        </w:tc>
        <w:tc>
          <w:tcPr>
            <w:tcW w:w="1317" w:type="dxa"/>
          </w:tcPr>
          <w:p w:rsidR="00FC1938" w:rsidRDefault="00FC1938" w:rsidP="002955C4"/>
        </w:tc>
      </w:tr>
      <w:tr w:rsidR="00FC1938" w:rsidTr="002955C4">
        <w:tc>
          <w:tcPr>
            <w:tcW w:w="1754" w:type="dxa"/>
          </w:tcPr>
          <w:p w:rsidR="00FC1938" w:rsidRDefault="00FC1938" w:rsidP="002955C4"/>
        </w:tc>
        <w:tc>
          <w:tcPr>
            <w:tcW w:w="1715" w:type="dxa"/>
          </w:tcPr>
          <w:p w:rsidR="00FC1938" w:rsidRDefault="00FC1938" w:rsidP="002955C4"/>
        </w:tc>
        <w:tc>
          <w:tcPr>
            <w:tcW w:w="1379" w:type="dxa"/>
          </w:tcPr>
          <w:p w:rsidR="00FC1938" w:rsidRDefault="00FC1938" w:rsidP="002955C4"/>
        </w:tc>
        <w:tc>
          <w:tcPr>
            <w:tcW w:w="1426" w:type="dxa"/>
          </w:tcPr>
          <w:p w:rsidR="00FC1938" w:rsidRDefault="00FC1938" w:rsidP="002955C4"/>
        </w:tc>
        <w:tc>
          <w:tcPr>
            <w:tcW w:w="1429" w:type="dxa"/>
          </w:tcPr>
          <w:p w:rsidR="00FC1938" w:rsidRDefault="00FC1938" w:rsidP="002955C4"/>
        </w:tc>
        <w:tc>
          <w:tcPr>
            <w:tcW w:w="1423" w:type="dxa"/>
          </w:tcPr>
          <w:p w:rsidR="00FC1938" w:rsidRDefault="00FC1938" w:rsidP="002955C4"/>
        </w:tc>
        <w:tc>
          <w:tcPr>
            <w:tcW w:w="1416" w:type="dxa"/>
          </w:tcPr>
          <w:p w:rsidR="00FC1938" w:rsidRDefault="00FC1938" w:rsidP="002955C4"/>
        </w:tc>
        <w:tc>
          <w:tcPr>
            <w:tcW w:w="1317" w:type="dxa"/>
          </w:tcPr>
          <w:p w:rsidR="00FC1938" w:rsidRDefault="00FC1938" w:rsidP="002955C4"/>
        </w:tc>
        <w:tc>
          <w:tcPr>
            <w:tcW w:w="1317" w:type="dxa"/>
          </w:tcPr>
          <w:p w:rsidR="00FC1938" w:rsidRDefault="00FC1938" w:rsidP="002955C4"/>
        </w:tc>
      </w:tr>
      <w:tr w:rsidR="00692F22" w:rsidTr="002955C4">
        <w:tc>
          <w:tcPr>
            <w:tcW w:w="1754" w:type="dxa"/>
          </w:tcPr>
          <w:p w:rsidR="00692F22" w:rsidRDefault="00692F22" w:rsidP="002955C4"/>
        </w:tc>
        <w:tc>
          <w:tcPr>
            <w:tcW w:w="1715" w:type="dxa"/>
          </w:tcPr>
          <w:p w:rsidR="00692F22" w:rsidRDefault="00692F22" w:rsidP="002955C4"/>
        </w:tc>
        <w:tc>
          <w:tcPr>
            <w:tcW w:w="1379" w:type="dxa"/>
          </w:tcPr>
          <w:p w:rsidR="00692F22" w:rsidRDefault="00692F22" w:rsidP="002955C4"/>
        </w:tc>
        <w:tc>
          <w:tcPr>
            <w:tcW w:w="1426" w:type="dxa"/>
          </w:tcPr>
          <w:p w:rsidR="00692F22" w:rsidRDefault="00692F22" w:rsidP="002955C4"/>
        </w:tc>
        <w:tc>
          <w:tcPr>
            <w:tcW w:w="1429" w:type="dxa"/>
          </w:tcPr>
          <w:p w:rsidR="00692F22" w:rsidRDefault="00692F22" w:rsidP="002955C4"/>
        </w:tc>
        <w:tc>
          <w:tcPr>
            <w:tcW w:w="1423" w:type="dxa"/>
          </w:tcPr>
          <w:p w:rsidR="00692F22" w:rsidRDefault="00692F22" w:rsidP="002955C4"/>
        </w:tc>
        <w:tc>
          <w:tcPr>
            <w:tcW w:w="1416" w:type="dxa"/>
          </w:tcPr>
          <w:p w:rsidR="00692F22" w:rsidRDefault="00692F22" w:rsidP="002955C4"/>
        </w:tc>
        <w:tc>
          <w:tcPr>
            <w:tcW w:w="1317" w:type="dxa"/>
          </w:tcPr>
          <w:p w:rsidR="00692F22" w:rsidRDefault="00692F22" w:rsidP="002955C4"/>
        </w:tc>
        <w:tc>
          <w:tcPr>
            <w:tcW w:w="1317" w:type="dxa"/>
          </w:tcPr>
          <w:p w:rsidR="00692F22" w:rsidRDefault="00692F22" w:rsidP="002955C4"/>
        </w:tc>
      </w:tr>
      <w:tr w:rsidR="00692F22" w:rsidTr="002955C4">
        <w:tc>
          <w:tcPr>
            <w:tcW w:w="1754" w:type="dxa"/>
          </w:tcPr>
          <w:p w:rsidR="00692F22" w:rsidRDefault="00692F22" w:rsidP="002955C4"/>
        </w:tc>
        <w:tc>
          <w:tcPr>
            <w:tcW w:w="1715" w:type="dxa"/>
          </w:tcPr>
          <w:p w:rsidR="00692F22" w:rsidRDefault="00692F22" w:rsidP="002955C4"/>
        </w:tc>
        <w:tc>
          <w:tcPr>
            <w:tcW w:w="1379" w:type="dxa"/>
          </w:tcPr>
          <w:p w:rsidR="00692F22" w:rsidRDefault="00692F22" w:rsidP="002955C4"/>
        </w:tc>
        <w:tc>
          <w:tcPr>
            <w:tcW w:w="1426" w:type="dxa"/>
          </w:tcPr>
          <w:p w:rsidR="00692F22" w:rsidRDefault="00692F22" w:rsidP="002955C4"/>
        </w:tc>
        <w:tc>
          <w:tcPr>
            <w:tcW w:w="1429" w:type="dxa"/>
          </w:tcPr>
          <w:p w:rsidR="00692F22" w:rsidRDefault="00692F22" w:rsidP="002955C4"/>
        </w:tc>
        <w:tc>
          <w:tcPr>
            <w:tcW w:w="1423" w:type="dxa"/>
          </w:tcPr>
          <w:p w:rsidR="00692F22" w:rsidRDefault="00692F22" w:rsidP="002955C4"/>
        </w:tc>
        <w:tc>
          <w:tcPr>
            <w:tcW w:w="1416" w:type="dxa"/>
          </w:tcPr>
          <w:p w:rsidR="00692F22" w:rsidRDefault="00692F22" w:rsidP="002955C4"/>
        </w:tc>
        <w:tc>
          <w:tcPr>
            <w:tcW w:w="1317" w:type="dxa"/>
          </w:tcPr>
          <w:p w:rsidR="00692F22" w:rsidRDefault="00692F22" w:rsidP="002955C4"/>
        </w:tc>
        <w:tc>
          <w:tcPr>
            <w:tcW w:w="1317" w:type="dxa"/>
          </w:tcPr>
          <w:p w:rsidR="00692F22" w:rsidRDefault="00692F22" w:rsidP="002955C4"/>
        </w:tc>
      </w:tr>
      <w:tr w:rsidR="00692F22" w:rsidTr="002955C4">
        <w:tc>
          <w:tcPr>
            <w:tcW w:w="1754" w:type="dxa"/>
          </w:tcPr>
          <w:p w:rsidR="00692F22" w:rsidRDefault="00692F22" w:rsidP="002955C4"/>
        </w:tc>
        <w:tc>
          <w:tcPr>
            <w:tcW w:w="1715" w:type="dxa"/>
          </w:tcPr>
          <w:p w:rsidR="00692F22" w:rsidRDefault="00692F22" w:rsidP="002955C4"/>
        </w:tc>
        <w:tc>
          <w:tcPr>
            <w:tcW w:w="1379" w:type="dxa"/>
          </w:tcPr>
          <w:p w:rsidR="00692F22" w:rsidRDefault="00692F22" w:rsidP="002955C4"/>
        </w:tc>
        <w:tc>
          <w:tcPr>
            <w:tcW w:w="1426" w:type="dxa"/>
          </w:tcPr>
          <w:p w:rsidR="00692F22" w:rsidRDefault="00692F22" w:rsidP="002955C4"/>
        </w:tc>
        <w:tc>
          <w:tcPr>
            <w:tcW w:w="1429" w:type="dxa"/>
          </w:tcPr>
          <w:p w:rsidR="00692F22" w:rsidRDefault="00692F22" w:rsidP="002955C4"/>
        </w:tc>
        <w:tc>
          <w:tcPr>
            <w:tcW w:w="1423" w:type="dxa"/>
          </w:tcPr>
          <w:p w:rsidR="00692F22" w:rsidRDefault="00692F22" w:rsidP="002955C4"/>
        </w:tc>
        <w:tc>
          <w:tcPr>
            <w:tcW w:w="1416" w:type="dxa"/>
          </w:tcPr>
          <w:p w:rsidR="00692F22" w:rsidRDefault="00692F22" w:rsidP="002955C4"/>
        </w:tc>
        <w:tc>
          <w:tcPr>
            <w:tcW w:w="1317" w:type="dxa"/>
          </w:tcPr>
          <w:p w:rsidR="00692F22" w:rsidRDefault="00692F22" w:rsidP="002955C4"/>
        </w:tc>
        <w:tc>
          <w:tcPr>
            <w:tcW w:w="1317" w:type="dxa"/>
          </w:tcPr>
          <w:p w:rsidR="00692F22" w:rsidRDefault="00692F22" w:rsidP="002955C4"/>
        </w:tc>
      </w:tr>
      <w:tr w:rsidR="00692F22" w:rsidTr="002955C4">
        <w:tc>
          <w:tcPr>
            <w:tcW w:w="1754" w:type="dxa"/>
          </w:tcPr>
          <w:p w:rsidR="00692F22" w:rsidRDefault="00692F22" w:rsidP="002955C4"/>
        </w:tc>
        <w:tc>
          <w:tcPr>
            <w:tcW w:w="1715" w:type="dxa"/>
          </w:tcPr>
          <w:p w:rsidR="00692F22" w:rsidRDefault="00692F22" w:rsidP="002955C4"/>
        </w:tc>
        <w:tc>
          <w:tcPr>
            <w:tcW w:w="1379" w:type="dxa"/>
          </w:tcPr>
          <w:p w:rsidR="00692F22" w:rsidRDefault="00692F22" w:rsidP="002955C4"/>
        </w:tc>
        <w:tc>
          <w:tcPr>
            <w:tcW w:w="1426" w:type="dxa"/>
          </w:tcPr>
          <w:p w:rsidR="00692F22" w:rsidRDefault="00692F22" w:rsidP="002955C4"/>
        </w:tc>
        <w:tc>
          <w:tcPr>
            <w:tcW w:w="1429" w:type="dxa"/>
          </w:tcPr>
          <w:p w:rsidR="00692F22" w:rsidRDefault="00692F22" w:rsidP="002955C4"/>
        </w:tc>
        <w:tc>
          <w:tcPr>
            <w:tcW w:w="1423" w:type="dxa"/>
          </w:tcPr>
          <w:p w:rsidR="00692F22" w:rsidRDefault="00692F22" w:rsidP="002955C4"/>
        </w:tc>
        <w:tc>
          <w:tcPr>
            <w:tcW w:w="1416" w:type="dxa"/>
          </w:tcPr>
          <w:p w:rsidR="00692F22" w:rsidRDefault="00692F22" w:rsidP="002955C4"/>
        </w:tc>
        <w:tc>
          <w:tcPr>
            <w:tcW w:w="1317" w:type="dxa"/>
          </w:tcPr>
          <w:p w:rsidR="00692F22" w:rsidRDefault="00692F22" w:rsidP="002955C4"/>
        </w:tc>
        <w:tc>
          <w:tcPr>
            <w:tcW w:w="1317" w:type="dxa"/>
          </w:tcPr>
          <w:p w:rsidR="00692F22" w:rsidRDefault="00692F22" w:rsidP="002955C4"/>
        </w:tc>
      </w:tr>
      <w:tr w:rsidR="00692F22" w:rsidTr="002955C4">
        <w:tc>
          <w:tcPr>
            <w:tcW w:w="1754" w:type="dxa"/>
          </w:tcPr>
          <w:p w:rsidR="00692F22" w:rsidRDefault="00692F22" w:rsidP="002955C4"/>
        </w:tc>
        <w:tc>
          <w:tcPr>
            <w:tcW w:w="1715" w:type="dxa"/>
          </w:tcPr>
          <w:p w:rsidR="00692F22" w:rsidRDefault="00692F22" w:rsidP="002955C4"/>
        </w:tc>
        <w:tc>
          <w:tcPr>
            <w:tcW w:w="1379" w:type="dxa"/>
          </w:tcPr>
          <w:p w:rsidR="00692F22" w:rsidRDefault="00692F22" w:rsidP="002955C4"/>
        </w:tc>
        <w:tc>
          <w:tcPr>
            <w:tcW w:w="1426" w:type="dxa"/>
          </w:tcPr>
          <w:p w:rsidR="00692F22" w:rsidRDefault="00692F22" w:rsidP="002955C4"/>
        </w:tc>
        <w:tc>
          <w:tcPr>
            <w:tcW w:w="1429" w:type="dxa"/>
          </w:tcPr>
          <w:p w:rsidR="00692F22" w:rsidRDefault="00692F22" w:rsidP="002955C4"/>
        </w:tc>
        <w:tc>
          <w:tcPr>
            <w:tcW w:w="1423" w:type="dxa"/>
          </w:tcPr>
          <w:p w:rsidR="00692F22" w:rsidRDefault="00692F22" w:rsidP="002955C4"/>
        </w:tc>
        <w:tc>
          <w:tcPr>
            <w:tcW w:w="1416" w:type="dxa"/>
          </w:tcPr>
          <w:p w:rsidR="00692F22" w:rsidRDefault="00692F22" w:rsidP="002955C4"/>
        </w:tc>
        <w:tc>
          <w:tcPr>
            <w:tcW w:w="1317" w:type="dxa"/>
          </w:tcPr>
          <w:p w:rsidR="00692F22" w:rsidRDefault="00692F22" w:rsidP="002955C4"/>
        </w:tc>
        <w:tc>
          <w:tcPr>
            <w:tcW w:w="1317" w:type="dxa"/>
          </w:tcPr>
          <w:p w:rsidR="00692F22" w:rsidRDefault="00692F22" w:rsidP="002955C4"/>
        </w:tc>
      </w:tr>
      <w:tr w:rsidR="00692F22" w:rsidTr="002955C4">
        <w:tc>
          <w:tcPr>
            <w:tcW w:w="1754" w:type="dxa"/>
          </w:tcPr>
          <w:p w:rsidR="00692F22" w:rsidRDefault="00692F22" w:rsidP="002955C4"/>
        </w:tc>
        <w:tc>
          <w:tcPr>
            <w:tcW w:w="1715" w:type="dxa"/>
          </w:tcPr>
          <w:p w:rsidR="00692F22" w:rsidRDefault="00692F22" w:rsidP="002955C4"/>
        </w:tc>
        <w:tc>
          <w:tcPr>
            <w:tcW w:w="1379" w:type="dxa"/>
          </w:tcPr>
          <w:p w:rsidR="00692F22" w:rsidRDefault="00692F22" w:rsidP="002955C4"/>
        </w:tc>
        <w:tc>
          <w:tcPr>
            <w:tcW w:w="1426" w:type="dxa"/>
          </w:tcPr>
          <w:p w:rsidR="00692F22" w:rsidRDefault="00692F22" w:rsidP="002955C4"/>
        </w:tc>
        <w:tc>
          <w:tcPr>
            <w:tcW w:w="1429" w:type="dxa"/>
          </w:tcPr>
          <w:p w:rsidR="00692F22" w:rsidRDefault="00692F22" w:rsidP="002955C4"/>
        </w:tc>
        <w:tc>
          <w:tcPr>
            <w:tcW w:w="1423" w:type="dxa"/>
          </w:tcPr>
          <w:p w:rsidR="00692F22" w:rsidRDefault="00692F22" w:rsidP="002955C4"/>
        </w:tc>
        <w:tc>
          <w:tcPr>
            <w:tcW w:w="1416" w:type="dxa"/>
          </w:tcPr>
          <w:p w:rsidR="00692F22" w:rsidRDefault="00692F22" w:rsidP="002955C4"/>
        </w:tc>
        <w:tc>
          <w:tcPr>
            <w:tcW w:w="1317" w:type="dxa"/>
          </w:tcPr>
          <w:p w:rsidR="00692F22" w:rsidRDefault="00692F22" w:rsidP="002955C4"/>
        </w:tc>
        <w:tc>
          <w:tcPr>
            <w:tcW w:w="1317" w:type="dxa"/>
          </w:tcPr>
          <w:p w:rsidR="00692F22" w:rsidRDefault="00692F22" w:rsidP="002955C4"/>
        </w:tc>
      </w:tr>
      <w:tr w:rsidR="00692F22" w:rsidTr="002955C4">
        <w:tc>
          <w:tcPr>
            <w:tcW w:w="1754" w:type="dxa"/>
          </w:tcPr>
          <w:p w:rsidR="00692F22" w:rsidRDefault="00692F22" w:rsidP="002955C4"/>
        </w:tc>
        <w:tc>
          <w:tcPr>
            <w:tcW w:w="1715" w:type="dxa"/>
          </w:tcPr>
          <w:p w:rsidR="00692F22" w:rsidRDefault="00692F22" w:rsidP="002955C4"/>
        </w:tc>
        <w:tc>
          <w:tcPr>
            <w:tcW w:w="1379" w:type="dxa"/>
          </w:tcPr>
          <w:p w:rsidR="00692F22" w:rsidRDefault="00692F22" w:rsidP="002955C4"/>
        </w:tc>
        <w:tc>
          <w:tcPr>
            <w:tcW w:w="1426" w:type="dxa"/>
          </w:tcPr>
          <w:p w:rsidR="00692F22" w:rsidRDefault="00692F22" w:rsidP="002955C4"/>
        </w:tc>
        <w:tc>
          <w:tcPr>
            <w:tcW w:w="1429" w:type="dxa"/>
          </w:tcPr>
          <w:p w:rsidR="00692F22" w:rsidRDefault="00692F22" w:rsidP="002955C4"/>
        </w:tc>
        <w:tc>
          <w:tcPr>
            <w:tcW w:w="1423" w:type="dxa"/>
          </w:tcPr>
          <w:p w:rsidR="00692F22" w:rsidRDefault="00692F22" w:rsidP="002955C4"/>
        </w:tc>
        <w:tc>
          <w:tcPr>
            <w:tcW w:w="1416" w:type="dxa"/>
          </w:tcPr>
          <w:p w:rsidR="00692F22" w:rsidRDefault="00692F22" w:rsidP="002955C4"/>
        </w:tc>
        <w:tc>
          <w:tcPr>
            <w:tcW w:w="1317" w:type="dxa"/>
          </w:tcPr>
          <w:p w:rsidR="00692F22" w:rsidRDefault="00692F22" w:rsidP="002955C4"/>
        </w:tc>
        <w:tc>
          <w:tcPr>
            <w:tcW w:w="1317" w:type="dxa"/>
          </w:tcPr>
          <w:p w:rsidR="00692F22" w:rsidRDefault="00692F22" w:rsidP="002955C4"/>
        </w:tc>
      </w:tr>
      <w:tr w:rsidR="00692F22" w:rsidTr="002955C4">
        <w:tc>
          <w:tcPr>
            <w:tcW w:w="1754" w:type="dxa"/>
          </w:tcPr>
          <w:p w:rsidR="00692F22" w:rsidRDefault="00692F22" w:rsidP="002955C4"/>
        </w:tc>
        <w:tc>
          <w:tcPr>
            <w:tcW w:w="1715" w:type="dxa"/>
          </w:tcPr>
          <w:p w:rsidR="00692F22" w:rsidRDefault="00692F22" w:rsidP="002955C4"/>
        </w:tc>
        <w:tc>
          <w:tcPr>
            <w:tcW w:w="1379" w:type="dxa"/>
          </w:tcPr>
          <w:p w:rsidR="00692F22" w:rsidRDefault="00692F22" w:rsidP="002955C4"/>
        </w:tc>
        <w:tc>
          <w:tcPr>
            <w:tcW w:w="1426" w:type="dxa"/>
          </w:tcPr>
          <w:p w:rsidR="00692F22" w:rsidRDefault="00692F22" w:rsidP="002955C4"/>
        </w:tc>
        <w:tc>
          <w:tcPr>
            <w:tcW w:w="1429" w:type="dxa"/>
          </w:tcPr>
          <w:p w:rsidR="00692F22" w:rsidRDefault="00692F22" w:rsidP="002955C4"/>
        </w:tc>
        <w:tc>
          <w:tcPr>
            <w:tcW w:w="1423" w:type="dxa"/>
          </w:tcPr>
          <w:p w:rsidR="00692F22" w:rsidRDefault="00692F22" w:rsidP="002955C4"/>
        </w:tc>
        <w:tc>
          <w:tcPr>
            <w:tcW w:w="1416" w:type="dxa"/>
          </w:tcPr>
          <w:p w:rsidR="00692F22" w:rsidRDefault="00692F22" w:rsidP="002955C4"/>
        </w:tc>
        <w:tc>
          <w:tcPr>
            <w:tcW w:w="1317" w:type="dxa"/>
          </w:tcPr>
          <w:p w:rsidR="00692F22" w:rsidRDefault="00692F22" w:rsidP="002955C4"/>
        </w:tc>
        <w:tc>
          <w:tcPr>
            <w:tcW w:w="1317" w:type="dxa"/>
          </w:tcPr>
          <w:p w:rsidR="00692F22" w:rsidRDefault="00692F22" w:rsidP="002955C4"/>
        </w:tc>
      </w:tr>
      <w:tr w:rsidR="00692F22" w:rsidTr="002955C4">
        <w:tc>
          <w:tcPr>
            <w:tcW w:w="1754" w:type="dxa"/>
          </w:tcPr>
          <w:p w:rsidR="00692F22" w:rsidRDefault="00692F22" w:rsidP="002955C4"/>
        </w:tc>
        <w:tc>
          <w:tcPr>
            <w:tcW w:w="1715" w:type="dxa"/>
          </w:tcPr>
          <w:p w:rsidR="00692F22" w:rsidRDefault="00692F22" w:rsidP="002955C4"/>
        </w:tc>
        <w:tc>
          <w:tcPr>
            <w:tcW w:w="1379" w:type="dxa"/>
          </w:tcPr>
          <w:p w:rsidR="00692F22" w:rsidRDefault="00692F22" w:rsidP="002955C4"/>
        </w:tc>
        <w:tc>
          <w:tcPr>
            <w:tcW w:w="1426" w:type="dxa"/>
          </w:tcPr>
          <w:p w:rsidR="00692F22" w:rsidRDefault="00692F22" w:rsidP="002955C4"/>
        </w:tc>
        <w:tc>
          <w:tcPr>
            <w:tcW w:w="1429" w:type="dxa"/>
          </w:tcPr>
          <w:p w:rsidR="00692F22" w:rsidRDefault="00692F22" w:rsidP="002955C4"/>
        </w:tc>
        <w:tc>
          <w:tcPr>
            <w:tcW w:w="1423" w:type="dxa"/>
          </w:tcPr>
          <w:p w:rsidR="00692F22" w:rsidRDefault="00692F22" w:rsidP="002955C4"/>
        </w:tc>
        <w:tc>
          <w:tcPr>
            <w:tcW w:w="1416" w:type="dxa"/>
          </w:tcPr>
          <w:p w:rsidR="00692F22" w:rsidRDefault="00692F22" w:rsidP="002955C4"/>
        </w:tc>
        <w:tc>
          <w:tcPr>
            <w:tcW w:w="1317" w:type="dxa"/>
          </w:tcPr>
          <w:p w:rsidR="00692F22" w:rsidRDefault="00692F22" w:rsidP="002955C4"/>
        </w:tc>
        <w:tc>
          <w:tcPr>
            <w:tcW w:w="1317" w:type="dxa"/>
          </w:tcPr>
          <w:p w:rsidR="00692F22" w:rsidRDefault="00692F22" w:rsidP="002955C4"/>
        </w:tc>
      </w:tr>
      <w:tr w:rsidR="00692F22" w:rsidTr="002955C4">
        <w:tc>
          <w:tcPr>
            <w:tcW w:w="1754" w:type="dxa"/>
          </w:tcPr>
          <w:p w:rsidR="00692F22" w:rsidRDefault="00692F22" w:rsidP="002955C4"/>
        </w:tc>
        <w:tc>
          <w:tcPr>
            <w:tcW w:w="1715" w:type="dxa"/>
          </w:tcPr>
          <w:p w:rsidR="00692F22" w:rsidRDefault="00692F22" w:rsidP="002955C4"/>
        </w:tc>
        <w:tc>
          <w:tcPr>
            <w:tcW w:w="1379" w:type="dxa"/>
          </w:tcPr>
          <w:p w:rsidR="00692F22" w:rsidRDefault="00692F22" w:rsidP="002955C4"/>
        </w:tc>
        <w:tc>
          <w:tcPr>
            <w:tcW w:w="1426" w:type="dxa"/>
          </w:tcPr>
          <w:p w:rsidR="00692F22" w:rsidRDefault="00692F22" w:rsidP="002955C4"/>
        </w:tc>
        <w:tc>
          <w:tcPr>
            <w:tcW w:w="1429" w:type="dxa"/>
          </w:tcPr>
          <w:p w:rsidR="00692F22" w:rsidRDefault="00692F22" w:rsidP="002955C4"/>
        </w:tc>
        <w:tc>
          <w:tcPr>
            <w:tcW w:w="1423" w:type="dxa"/>
          </w:tcPr>
          <w:p w:rsidR="00692F22" w:rsidRDefault="00692F22" w:rsidP="002955C4"/>
        </w:tc>
        <w:tc>
          <w:tcPr>
            <w:tcW w:w="1416" w:type="dxa"/>
          </w:tcPr>
          <w:p w:rsidR="00692F22" w:rsidRDefault="00692F22" w:rsidP="002955C4"/>
        </w:tc>
        <w:tc>
          <w:tcPr>
            <w:tcW w:w="1317" w:type="dxa"/>
          </w:tcPr>
          <w:p w:rsidR="00692F22" w:rsidRDefault="00692F22" w:rsidP="002955C4"/>
        </w:tc>
        <w:tc>
          <w:tcPr>
            <w:tcW w:w="1317" w:type="dxa"/>
          </w:tcPr>
          <w:p w:rsidR="00692F22" w:rsidRDefault="00692F22" w:rsidP="002955C4"/>
        </w:tc>
      </w:tr>
      <w:tr w:rsidR="00692F22" w:rsidTr="002955C4">
        <w:tc>
          <w:tcPr>
            <w:tcW w:w="1754" w:type="dxa"/>
          </w:tcPr>
          <w:p w:rsidR="00692F22" w:rsidRDefault="00692F22" w:rsidP="002955C4"/>
        </w:tc>
        <w:tc>
          <w:tcPr>
            <w:tcW w:w="1715" w:type="dxa"/>
          </w:tcPr>
          <w:p w:rsidR="00692F22" w:rsidRDefault="00692F22" w:rsidP="002955C4"/>
        </w:tc>
        <w:tc>
          <w:tcPr>
            <w:tcW w:w="1379" w:type="dxa"/>
          </w:tcPr>
          <w:p w:rsidR="00692F22" w:rsidRDefault="00692F22" w:rsidP="002955C4"/>
        </w:tc>
        <w:tc>
          <w:tcPr>
            <w:tcW w:w="1426" w:type="dxa"/>
          </w:tcPr>
          <w:p w:rsidR="00692F22" w:rsidRDefault="00692F22" w:rsidP="002955C4"/>
        </w:tc>
        <w:tc>
          <w:tcPr>
            <w:tcW w:w="1429" w:type="dxa"/>
          </w:tcPr>
          <w:p w:rsidR="00692F22" w:rsidRDefault="00692F22" w:rsidP="002955C4"/>
        </w:tc>
        <w:tc>
          <w:tcPr>
            <w:tcW w:w="1423" w:type="dxa"/>
          </w:tcPr>
          <w:p w:rsidR="00692F22" w:rsidRDefault="00692F22" w:rsidP="002955C4"/>
        </w:tc>
        <w:tc>
          <w:tcPr>
            <w:tcW w:w="1416" w:type="dxa"/>
          </w:tcPr>
          <w:p w:rsidR="00692F22" w:rsidRDefault="00692F22" w:rsidP="002955C4"/>
        </w:tc>
        <w:tc>
          <w:tcPr>
            <w:tcW w:w="1317" w:type="dxa"/>
          </w:tcPr>
          <w:p w:rsidR="00692F22" w:rsidRDefault="00692F22" w:rsidP="002955C4"/>
        </w:tc>
        <w:tc>
          <w:tcPr>
            <w:tcW w:w="1317" w:type="dxa"/>
          </w:tcPr>
          <w:p w:rsidR="00692F22" w:rsidRDefault="00692F22" w:rsidP="002955C4"/>
        </w:tc>
      </w:tr>
      <w:tr w:rsidR="00692F22" w:rsidTr="002955C4">
        <w:tc>
          <w:tcPr>
            <w:tcW w:w="1754" w:type="dxa"/>
          </w:tcPr>
          <w:p w:rsidR="00692F22" w:rsidRDefault="00692F22" w:rsidP="002955C4"/>
        </w:tc>
        <w:tc>
          <w:tcPr>
            <w:tcW w:w="1715" w:type="dxa"/>
          </w:tcPr>
          <w:p w:rsidR="00692F22" w:rsidRDefault="00692F22" w:rsidP="002955C4"/>
        </w:tc>
        <w:tc>
          <w:tcPr>
            <w:tcW w:w="1379" w:type="dxa"/>
          </w:tcPr>
          <w:p w:rsidR="00692F22" w:rsidRDefault="00692F22" w:rsidP="002955C4"/>
        </w:tc>
        <w:tc>
          <w:tcPr>
            <w:tcW w:w="1426" w:type="dxa"/>
          </w:tcPr>
          <w:p w:rsidR="00692F22" w:rsidRDefault="00692F22" w:rsidP="002955C4"/>
        </w:tc>
        <w:tc>
          <w:tcPr>
            <w:tcW w:w="1429" w:type="dxa"/>
          </w:tcPr>
          <w:p w:rsidR="00692F22" w:rsidRDefault="00692F22" w:rsidP="002955C4"/>
        </w:tc>
        <w:tc>
          <w:tcPr>
            <w:tcW w:w="1423" w:type="dxa"/>
          </w:tcPr>
          <w:p w:rsidR="00692F22" w:rsidRDefault="00692F22" w:rsidP="002955C4"/>
        </w:tc>
        <w:tc>
          <w:tcPr>
            <w:tcW w:w="1416" w:type="dxa"/>
          </w:tcPr>
          <w:p w:rsidR="00692F22" w:rsidRDefault="00692F22" w:rsidP="002955C4"/>
        </w:tc>
        <w:tc>
          <w:tcPr>
            <w:tcW w:w="1317" w:type="dxa"/>
          </w:tcPr>
          <w:p w:rsidR="00692F22" w:rsidRDefault="00692F22" w:rsidP="002955C4"/>
        </w:tc>
        <w:tc>
          <w:tcPr>
            <w:tcW w:w="1317" w:type="dxa"/>
          </w:tcPr>
          <w:p w:rsidR="00692F22" w:rsidRDefault="00692F22" w:rsidP="002955C4"/>
        </w:tc>
      </w:tr>
      <w:tr w:rsidR="00692F22" w:rsidTr="002955C4">
        <w:tc>
          <w:tcPr>
            <w:tcW w:w="1754" w:type="dxa"/>
          </w:tcPr>
          <w:p w:rsidR="00692F22" w:rsidRDefault="00692F22" w:rsidP="002955C4"/>
        </w:tc>
        <w:tc>
          <w:tcPr>
            <w:tcW w:w="1715" w:type="dxa"/>
          </w:tcPr>
          <w:p w:rsidR="00692F22" w:rsidRDefault="00692F22" w:rsidP="002955C4"/>
        </w:tc>
        <w:tc>
          <w:tcPr>
            <w:tcW w:w="1379" w:type="dxa"/>
          </w:tcPr>
          <w:p w:rsidR="00692F22" w:rsidRDefault="00692F22" w:rsidP="002955C4"/>
        </w:tc>
        <w:tc>
          <w:tcPr>
            <w:tcW w:w="1426" w:type="dxa"/>
          </w:tcPr>
          <w:p w:rsidR="00692F22" w:rsidRDefault="00692F22" w:rsidP="002955C4"/>
        </w:tc>
        <w:tc>
          <w:tcPr>
            <w:tcW w:w="1429" w:type="dxa"/>
          </w:tcPr>
          <w:p w:rsidR="00692F22" w:rsidRDefault="00692F22" w:rsidP="002955C4"/>
        </w:tc>
        <w:tc>
          <w:tcPr>
            <w:tcW w:w="1423" w:type="dxa"/>
          </w:tcPr>
          <w:p w:rsidR="00692F22" w:rsidRDefault="00692F22" w:rsidP="002955C4"/>
        </w:tc>
        <w:tc>
          <w:tcPr>
            <w:tcW w:w="1416" w:type="dxa"/>
          </w:tcPr>
          <w:p w:rsidR="00692F22" w:rsidRDefault="00692F22" w:rsidP="002955C4"/>
        </w:tc>
        <w:tc>
          <w:tcPr>
            <w:tcW w:w="1317" w:type="dxa"/>
          </w:tcPr>
          <w:p w:rsidR="00692F22" w:rsidRDefault="00692F22" w:rsidP="002955C4"/>
        </w:tc>
        <w:tc>
          <w:tcPr>
            <w:tcW w:w="1317" w:type="dxa"/>
          </w:tcPr>
          <w:p w:rsidR="00692F22" w:rsidRDefault="00692F22" w:rsidP="002955C4"/>
        </w:tc>
      </w:tr>
      <w:tr w:rsidR="00692F22" w:rsidTr="002955C4">
        <w:tc>
          <w:tcPr>
            <w:tcW w:w="1754" w:type="dxa"/>
          </w:tcPr>
          <w:p w:rsidR="00692F22" w:rsidRDefault="00692F22" w:rsidP="002955C4"/>
        </w:tc>
        <w:tc>
          <w:tcPr>
            <w:tcW w:w="1715" w:type="dxa"/>
          </w:tcPr>
          <w:p w:rsidR="00692F22" w:rsidRDefault="00692F22" w:rsidP="002955C4"/>
        </w:tc>
        <w:tc>
          <w:tcPr>
            <w:tcW w:w="1379" w:type="dxa"/>
          </w:tcPr>
          <w:p w:rsidR="00692F22" w:rsidRDefault="00692F22" w:rsidP="002955C4"/>
        </w:tc>
        <w:tc>
          <w:tcPr>
            <w:tcW w:w="1426" w:type="dxa"/>
          </w:tcPr>
          <w:p w:rsidR="00692F22" w:rsidRDefault="00692F22" w:rsidP="002955C4"/>
        </w:tc>
        <w:tc>
          <w:tcPr>
            <w:tcW w:w="1429" w:type="dxa"/>
          </w:tcPr>
          <w:p w:rsidR="00692F22" w:rsidRDefault="00692F22" w:rsidP="002955C4"/>
        </w:tc>
        <w:tc>
          <w:tcPr>
            <w:tcW w:w="1423" w:type="dxa"/>
          </w:tcPr>
          <w:p w:rsidR="00692F22" w:rsidRDefault="00692F22" w:rsidP="002955C4"/>
        </w:tc>
        <w:tc>
          <w:tcPr>
            <w:tcW w:w="1416" w:type="dxa"/>
          </w:tcPr>
          <w:p w:rsidR="00692F22" w:rsidRDefault="00692F22" w:rsidP="002955C4"/>
        </w:tc>
        <w:tc>
          <w:tcPr>
            <w:tcW w:w="1317" w:type="dxa"/>
          </w:tcPr>
          <w:p w:rsidR="00692F22" w:rsidRDefault="00692F22" w:rsidP="002955C4"/>
        </w:tc>
        <w:tc>
          <w:tcPr>
            <w:tcW w:w="1317" w:type="dxa"/>
          </w:tcPr>
          <w:p w:rsidR="00692F22" w:rsidRDefault="00692F22" w:rsidP="002955C4"/>
        </w:tc>
      </w:tr>
      <w:tr w:rsidR="00692F22" w:rsidTr="002955C4">
        <w:tc>
          <w:tcPr>
            <w:tcW w:w="1754" w:type="dxa"/>
          </w:tcPr>
          <w:p w:rsidR="00692F22" w:rsidRDefault="00692F22" w:rsidP="002955C4"/>
        </w:tc>
        <w:tc>
          <w:tcPr>
            <w:tcW w:w="1715" w:type="dxa"/>
          </w:tcPr>
          <w:p w:rsidR="00692F22" w:rsidRDefault="00692F22" w:rsidP="002955C4"/>
        </w:tc>
        <w:tc>
          <w:tcPr>
            <w:tcW w:w="1379" w:type="dxa"/>
          </w:tcPr>
          <w:p w:rsidR="00692F22" w:rsidRDefault="00692F22" w:rsidP="002955C4"/>
        </w:tc>
        <w:tc>
          <w:tcPr>
            <w:tcW w:w="1426" w:type="dxa"/>
          </w:tcPr>
          <w:p w:rsidR="00692F22" w:rsidRDefault="00692F22" w:rsidP="002955C4"/>
        </w:tc>
        <w:tc>
          <w:tcPr>
            <w:tcW w:w="1429" w:type="dxa"/>
          </w:tcPr>
          <w:p w:rsidR="00692F22" w:rsidRDefault="00692F22" w:rsidP="002955C4"/>
        </w:tc>
        <w:tc>
          <w:tcPr>
            <w:tcW w:w="1423" w:type="dxa"/>
          </w:tcPr>
          <w:p w:rsidR="00692F22" w:rsidRDefault="00692F22" w:rsidP="002955C4"/>
        </w:tc>
        <w:tc>
          <w:tcPr>
            <w:tcW w:w="1416" w:type="dxa"/>
          </w:tcPr>
          <w:p w:rsidR="00692F22" w:rsidRDefault="00692F22" w:rsidP="002955C4"/>
        </w:tc>
        <w:tc>
          <w:tcPr>
            <w:tcW w:w="1317" w:type="dxa"/>
          </w:tcPr>
          <w:p w:rsidR="00692F22" w:rsidRDefault="00692F22" w:rsidP="002955C4"/>
        </w:tc>
        <w:tc>
          <w:tcPr>
            <w:tcW w:w="1317" w:type="dxa"/>
          </w:tcPr>
          <w:p w:rsidR="00692F22" w:rsidRDefault="00692F22" w:rsidP="002955C4"/>
        </w:tc>
      </w:tr>
      <w:tr w:rsidR="00692F22" w:rsidTr="002955C4">
        <w:tc>
          <w:tcPr>
            <w:tcW w:w="1754" w:type="dxa"/>
          </w:tcPr>
          <w:p w:rsidR="00692F22" w:rsidRDefault="00692F22" w:rsidP="002955C4"/>
        </w:tc>
        <w:tc>
          <w:tcPr>
            <w:tcW w:w="1715" w:type="dxa"/>
          </w:tcPr>
          <w:p w:rsidR="00692F22" w:rsidRDefault="00692F22" w:rsidP="002955C4"/>
        </w:tc>
        <w:tc>
          <w:tcPr>
            <w:tcW w:w="1379" w:type="dxa"/>
          </w:tcPr>
          <w:p w:rsidR="00692F22" w:rsidRDefault="00692F22" w:rsidP="002955C4"/>
        </w:tc>
        <w:tc>
          <w:tcPr>
            <w:tcW w:w="1426" w:type="dxa"/>
          </w:tcPr>
          <w:p w:rsidR="00692F22" w:rsidRDefault="00692F22" w:rsidP="002955C4"/>
        </w:tc>
        <w:tc>
          <w:tcPr>
            <w:tcW w:w="1429" w:type="dxa"/>
          </w:tcPr>
          <w:p w:rsidR="00692F22" w:rsidRDefault="00692F22" w:rsidP="002955C4"/>
        </w:tc>
        <w:tc>
          <w:tcPr>
            <w:tcW w:w="1423" w:type="dxa"/>
          </w:tcPr>
          <w:p w:rsidR="00692F22" w:rsidRDefault="00692F22" w:rsidP="002955C4"/>
        </w:tc>
        <w:tc>
          <w:tcPr>
            <w:tcW w:w="1416" w:type="dxa"/>
          </w:tcPr>
          <w:p w:rsidR="00692F22" w:rsidRDefault="00692F22" w:rsidP="002955C4"/>
        </w:tc>
        <w:tc>
          <w:tcPr>
            <w:tcW w:w="1317" w:type="dxa"/>
          </w:tcPr>
          <w:p w:rsidR="00692F22" w:rsidRDefault="00692F22" w:rsidP="002955C4"/>
        </w:tc>
        <w:tc>
          <w:tcPr>
            <w:tcW w:w="1317" w:type="dxa"/>
          </w:tcPr>
          <w:p w:rsidR="00692F22" w:rsidRDefault="00692F22" w:rsidP="002955C4"/>
        </w:tc>
      </w:tr>
      <w:tr w:rsidR="00692F22" w:rsidTr="002955C4">
        <w:tc>
          <w:tcPr>
            <w:tcW w:w="1754" w:type="dxa"/>
          </w:tcPr>
          <w:p w:rsidR="00692F22" w:rsidRDefault="00692F22" w:rsidP="002955C4"/>
        </w:tc>
        <w:tc>
          <w:tcPr>
            <w:tcW w:w="1715" w:type="dxa"/>
          </w:tcPr>
          <w:p w:rsidR="00692F22" w:rsidRDefault="00692F22" w:rsidP="002955C4"/>
        </w:tc>
        <w:tc>
          <w:tcPr>
            <w:tcW w:w="1379" w:type="dxa"/>
          </w:tcPr>
          <w:p w:rsidR="00692F22" w:rsidRDefault="00692F22" w:rsidP="002955C4"/>
        </w:tc>
        <w:tc>
          <w:tcPr>
            <w:tcW w:w="1426" w:type="dxa"/>
          </w:tcPr>
          <w:p w:rsidR="00692F22" w:rsidRDefault="00692F22" w:rsidP="002955C4"/>
        </w:tc>
        <w:tc>
          <w:tcPr>
            <w:tcW w:w="1429" w:type="dxa"/>
          </w:tcPr>
          <w:p w:rsidR="00692F22" w:rsidRDefault="00692F22" w:rsidP="002955C4"/>
        </w:tc>
        <w:tc>
          <w:tcPr>
            <w:tcW w:w="1423" w:type="dxa"/>
          </w:tcPr>
          <w:p w:rsidR="00692F22" w:rsidRDefault="00692F22" w:rsidP="002955C4"/>
        </w:tc>
        <w:tc>
          <w:tcPr>
            <w:tcW w:w="1416" w:type="dxa"/>
          </w:tcPr>
          <w:p w:rsidR="00692F22" w:rsidRDefault="00692F22" w:rsidP="002955C4"/>
        </w:tc>
        <w:tc>
          <w:tcPr>
            <w:tcW w:w="1317" w:type="dxa"/>
          </w:tcPr>
          <w:p w:rsidR="00692F22" w:rsidRDefault="00692F22" w:rsidP="002955C4"/>
        </w:tc>
        <w:tc>
          <w:tcPr>
            <w:tcW w:w="1317" w:type="dxa"/>
          </w:tcPr>
          <w:p w:rsidR="00692F22" w:rsidRDefault="00692F22" w:rsidP="002955C4"/>
        </w:tc>
      </w:tr>
      <w:tr w:rsidR="00692F22" w:rsidTr="002955C4">
        <w:tc>
          <w:tcPr>
            <w:tcW w:w="1754" w:type="dxa"/>
          </w:tcPr>
          <w:p w:rsidR="00692F22" w:rsidRDefault="00692F22" w:rsidP="002955C4"/>
        </w:tc>
        <w:tc>
          <w:tcPr>
            <w:tcW w:w="1715" w:type="dxa"/>
          </w:tcPr>
          <w:p w:rsidR="00692F22" w:rsidRDefault="00692F22" w:rsidP="002955C4"/>
        </w:tc>
        <w:tc>
          <w:tcPr>
            <w:tcW w:w="1379" w:type="dxa"/>
          </w:tcPr>
          <w:p w:rsidR="00692F22" w:rsidRDefault="00692F22" w:rsidP="002955C4"/>
        </w:tc>
        <w:tc>
          <w:tcPr>
            <w:tcW w:w="1426" w:type="dxa"/>
          </w:tcPr>
          <w:p w:rsidR="00692F22" w:rsidRDefault="00692F22" w:rsidP="002955C4"/>
        </w:tc>
        <w:tc>
          <w:tcPr>
            <w:tcW w:w="1429" w:type="dxa"/>
          </w:tcPr>
          <w:p w:rsidR="00692F22" w:rsidRDefault="00692F22" w:rsidP="002955C4"/>
        </w:tc>
        <w:tc>
          <w:tcPr>
            <w:tcW w:w="1423" w:type="dxa"/>
          </w:tcPr>
          <w:p w:rsidR="00692F22" w:rsidRDefault="00692F22" w:rsidP="002955C4"/>
        </w:tc>
        <w:tc>
          <w:tcPr>
            <w:tcW w:w="1416" w:type="dxa"/>
          </w:tcPr>
          <w:p w:rsidR="00692F22" w:rsidRDefault="00692F22" w:rsidP="002955C4"/>
        </w:tc>
        <w:tc>
          <w:tcPr>
            <w:tcW w:w="1317" w:type="dxa"/>
          </w:tcPr>
          <w:p w:rsidR="00692F22" w:rsidRDefault="00692F22" w:rsidP="002955C4"/>
        </w:tc>
        <w:tc>
          <w:tcPr>
            <w:tcW w:w="1317" w:type="dxa"/>
          </w:tcPr>
          <w:p w:rsidR="00692F22" w:rsidRDefault="00692F22" w:rsidP="002955C4"/>
        </w:tc>
      </w:tr>
      <w:tr w:rsidR="00692F22" w:rsidTr="002955C4">
        <w:tc>
          <w:tcPr>
            <w:tcW w:w="1754" w:type="dxa"/>
          </w:tcPr>
          <w:p w:rsidR="00692F22" w:rsidRDefault="00692F22" w:rsidP="002955C4"/>
        </w:tc>
        <w:tc>
          <w:tcPr>
            <w:tcW w:w="1715" w:type="dxa"/>
          </w:tcPr>
          <w:p w:rsidR="00692F22" w:rsidRDefault="00692F22" w:rsidP="002955C4"/>
        </w:tc>
        <w:tc>
          <w:tcPr>
            <w:tcW w:w="1379" w:type="dxa"/>
          </w:tcPr>
          <w:p w:rsidR="00692F22" w:rsidRDefault="00692F22" w:rsidP="002955C4"/>
        </w:tc>
        <w:tc>
          <w:tcPr>
            <w:tcW w:w="1426" w:type="dxa"/>
          </w:tcPr>
          <w:p w:rsidR="00692F22" w:rsidRDefault="00692F22" w:rsidP="002955C4"/>
        </w:tc>
        <w:tc>
          <w:tcPr>
            <w:tcW w:w="1429" w:type="dxa"/>
          </w:tcPr>
          <w:p w:rsidR="00692F22" w:rsidRDefault="00692F22" w:rsidP="002955C4"/>
        </w:tc>
        <w:tc>
          <w:tcPr>
            <w:tcW w:w="1423" w:type="dxa"/>
          </w:tcPr>
          <w:p w:rsidR="00692F22" w:rsidRDefault="00692F22" w:rsidP="002955C4"/>
        </w:tc>
        <w:tc>
          <w:tcPr>
            <w:tcW w:w="1416" w:type="dxa"/>
          </w:tcPr>
          <w:p w:rsidR="00692F22" w:rsidRDefault="00692F22" w:rsidP="002955C4"/>
        </w:tc>
        <w:tc>
          <w:tcPr>
            <w:tcW w:w="1317" w:type="dxa"/>
          </w:tcPr>
          <w:p w:rsidR="00692F22" w:rsidRDefault="00692F22" w:rsidP="002955C4"/>
        </w:tc>
        <w:tc>
          <w:tcPr>
            <w:tcW w:w="1317" w:type="dxa"/>
          </w:tcPr>
          <w:p w:rsidR="00692F22" w:rsidRDefault="00692F22" w:rsidP="002955C4"/>
        </w:tc>
      </w:tr>
      <w:tr w:rsidR="00692F22" w:rsidTr="002955C4">
        <w:tc>
          <w:tcPr>
            <w:tcW w:w="1754" w:type="dxa"/>
          </w:tcPr>
          <w:p w:rsidR="00692F22" w:rsidRDefault="00692F22" w:rsidP="002955C4"/>
        </w:tc>
        <w:tc>
          <w:tcPr>
            <w:tcW w:w="1715" w:type="dxa"/>
          </w:tcPr>
          <w:p w:rsidR="00692F22" w:rsidRDefault="00692F22" w:rsidP="002955C4"/>
        </w:tc>
        <w:tc>
          <w:tcPr>
            <w:tcW w:w="1379" w:type="dxa"/>
          </w:tcPr>
          <w:p w:rsidR="00692F22" w:rsidRDefault="00692F22" w:rsidP="002955C4"/>
        </w:tc>
        <w:tc>
          <w:tcPr>
            <w:tcW w:w="1426" w:type="dxa"/>
          </w:tcPr>
          <w:p w:rsidR="00692F22" w:rsidRDefault="00692F22" w:rsidP="002955C4"/>
        </w:tc>
        <w:tc>
          <w:tcPr>
            <w:tcW w:w="1429" w:type="dxa"/>
          </w:tcPr>
          <w:p w:rsidR="00692F22" w:rsidRDefault="00692F22" w:rsidP="002955C4"/>
        </w:tc>
        <w:tc>
          <w:tcPr>
            <w:tcW w:w="1423" w:type="dxa"/>
          </w:tcPr>
          <w:p w:rsidR="00692F22" w:rsidRDefault="00692F22" w:rsidP="002955C4"/>
        </w:tc>
        <w:tc>
          <w:tcPr>
            <w:tcW w:w="1416" w:type="dxa"/>
          </w:tcPr>
          <w:p w:rsidR="00692F22" w:rsidRDefault="00692F22" w:rsidP="002955C4"/>
        </w:tc>
        <w:tc>
          <w:tcPr>
            <w:tcW w:w="1317" w:type="dxa"/>
          </w:tcPr>
          <w:p w:rsidR="00692F22" w:rsidRDefault="00692F22" w:rsidP="002955C4"/>
        </w:tc>
        <w:tc>
          <w:tcPr>
            <w:tcW w:w="1317" w:type="dxa"/>
          </w:tcPr>
          <w:p w:rsidR="00692F22" w:rsidRDefault="00692F22" w:rsidP="002955C4"/>
        </w:tc>
      </w:tr>
      <w:tr w:rsidR="00692F22" w:rsidTr="002955C4">
        <w:tc>
          <w:tcPr>
            <w:tcW w:w="1754" w:type="dxa"/>
          </w:tcPr>
          <w:p w:rsidR="00692F22" w:rsidRDefault="00692F22" w:rsidP="002955C4"/>
        </w:tc>
        <w:tc>
          <w:tcPr>
            <w:tcW w:w="1715" w:type="dxa"/>
          </w:tcPr>
          <w:p w:rsidR="00692F22" w:rsidRDefault="00692F22" w:rsidP="002955C4"/>
        </w:tc>
        <w:tc>
          <w:tcPr>
            <w:tcW w:w="1379" w:type="dxa"/>
          </w:tcPr>
          <w:p w:rsidR="00692F22" w:rsidRDefault="00692F22" w:rsidP="002955C4"/>
        </w:tc>
        <w:tc>
          <w:tcPr>
            <w:tcW w:w="1426" w:type="dxa"/>
          </w:tcPr>
          <w:p w:rsidR="00692F22" w:rsidRDefault="00692F22" w:rsidP="002955C4"/>
        </w:tc>
        <w:tc>
          <w:tcPr>
            <w:tcW w:w="1429" w:type="dxa"/>
          </w:tcPr>
          <w:p w:rsidR="00692F22" w:rsidRDefault="00692F22" w:rsidP="002955C4"/>
        </w:tc>
        <w:tc>
          <w:tcPr>
            <w:tcW w:w="1423" w:type="dxa"/>
          </w:tcPr>
          <w:p w:rsidR="00692F22" w:rsidRDefault="00692F22" w:rsidP="002955C4"/>
        </w:tc>
        <w:tc>
          <w:tcPr>
            <w:tcW w:w="1416" w:type="dxa"/>
          </w:tcPr>
          <w:p w:rsidR="00692F22" w:rsidRDefault="00692F22" w:rsidP="002955C4"/>
        </w:tc>
        <w:tc>
          <w:tcPr>
            <w:tcW w:w="1317" w:type="dxa"/>
          </w:tcPr>
          <w:p w:rsidR="00692F22" w:rsidRDefault="00692F22" w:rsidP="002955C4"/>
        </w:tc>
        <w:tc>
          <w:tcPr>
            <w:tcW w:w="1317" w:type="dxa"/>
          </w:tcPr>
          <w:p w:rsidR="00692F22" w:rsidRDefault="00692F22" w:rsidP="002955C4"/>
        </w:tc>
      </w:tr>
      <w:tr w:rsidR="00692F22" w:rsidTr="002955C4">
        <w:tc>
          <w:tcPr>
            <w:tcW w:w="1754" w:type="dxa"/>
          </w:tcPr>
          <w:p w:rsidR="00692F22" w:rsidRDefault="00692F22" w:rsidP="002955C4"/>
        </w:tc>
        <w:tc>
          <w:tcPr>
            <w:tcW w:w="1715" w:type="dxa"/>
          </w:tcPr>
          <w:p w:rsidR="00692F22" w:rsidRDefault="00692F22" w:rsidP="002955C4"/>
        </w:tc>
        <w:tc>
          <w:tcPr>
            <w:tcW w:w="1379" w:type="dxa"/>
          </w:tcPr>
          <w:p w:rsidR="00692F22" w:rsidRDefault="00692F22" w:rsidP="002955C4"/>
        </w:tc>
        <w:tc>
          <w:tcPr>
            <w:tcW w:w="1426" w:type="dxa"/>
          </w:tcPr>
          <w:p w:rsidR="00692F22" w:rsidRDefault="00692F22" w:rsidP="002955C4"/>
        </w:tc>
        <w:tc>
          <w:tcPr>
            <w:tcW w:w="1429" w:type="dxa"/>
          </w:tcPr>
          <w:p w:rsidR="00692F22" w:rsidRDefault="00692F22" w:rsidP="002955C4"/>
        </w:tc>
        <w:tc>
          <w:tcPr>
            <w:tcW w:w="1423" w:type="dxa"/>
          </w:tcPr>
          <w:p w:rsidR="00692F22" w:rsidRDefault="00692F22" w:rsidP="002955C4"/>
        </w:tc>
        <w:tc>
          <w:tcPr>
            <w:tcW w:w="1416" w:type="dxa"/>
          </w:tcPr>
          <w:p w:rsidR="00692F22" w:rsidRDefault="00692F22" w:rsidP="002955C4"/>
        </w:tc>
        <w:tc>
          <w:tcPr>
            <w:tcW w:w="1317" w:type="dxa"/>
          </w:tcPr>
          <w:p w:rsidR="00692F22" w:rsidRDefault="00692F22" w:rsidP="002955C4"/>
        </w:tc>
        <w:tc>
          <w:tcPr>
            <w:tcW w:w="1317" w:type="dxa"/>
          </w:tcPr>
          <w:p w:rsidR="00692F22" w:rsidRDefault="00692F22" w:rsidP="002955C4"/>
        </w:tc>
      </w:tr>
      <w:tr w:rsidR="00692F22" w:rsidTr="002955C4">
        <w:tc>
          <w:tcPr>
            <w:tcW w:w="1754" w:type="dxa"/>
          </w:tcPr>
          <w:p w:rsidR="00692F22" w:rsidRDefault="00692F22" w:rsidP="002955C4"/>
        </w:tc>
        <w:tc>
          <w:tcPr>
            <w:tcW w:w="1715" w:type="dxa"/>
          </w:tcPr>
          <w:p w:rsidR="00692F22" w:rsidRDefault="00692F22" w:rsidP="002955C4"/>
        </w:tc>
        <w:tc>
          <w:tcPr>
            <w:tcW w:w="1379" w:type="dxa"/>
          </w:tcPr>
          <w:p w:rsidR="00692F22" w:rsidRDefault="00692F22" w:rsidP="002955C4"/>
        </w:tc>
        <w:tc>
          <w:tcPr>
            <w:tcW w:w="1426" w:type="dxa"/>
          </w:tcPr>
          <w:p w:rsidR="00692F22" w:rsidRDefault="00692F22" w:rsidP="002955C4"/>
        </w:tc>
        <w:tc>
          <w:tcPr>
            <w:tcW w:w="1429" w:type="dxa"/>
          </w:tcPr>
          <w:p w:rsidR="00692F22" w:rsidRDefault="00692F22" w:rsidP="002955C4"/>
        </w:tc>
        <w:tc>
          <w:tcPr>
            <w:tcW w:w="1423" w:type="dxa"/>
          </w:tcPr>
          <w:p w:rsidR="00692F22" w:rsidRDefault="00692F22" w:rsidP="002955C4"/>
        </w:tc>
        <w:tc>
          <w:tcPr>
            <w:tcW w:w="1416" w:type="dxa"/>
          </w:tcPr>
          <w:p w:rsidR="00692F22" w:rsidRDefault="00692F22" w:rsidP="002955C4"/>
        </w:tc>
        <w:tc>
          <w:tcPr>
            <w:tcW w:w="1317" w:type="dxa"/>
          </w:tcPr>
          <w:p w:rsidR="00692F22" w:rsidRDefault="00692F22" w:rsidP="002955C4"/>
        </w:tc>
        <w:tc>
          <w:tcPr>
            <w:tcW w:w="1317" w:type="dxa"/>
          </w:tcPr>
          <w:p w:rsidR="00692F22" w:rsidRDefault="00692F22" w:rsidP="002955C4"/>
        </w:tc>
      </w:tr>
      <w:tr w:rsidR="00692F22" w:rsidTr="002955C4">
        <w:tc>
          <w:tcPr>
            <w:tcW w:w="1754" w:type="dxa"/>
          </w:tcPr>
          <w:p w:rsidR="00692F22" w:rsidRDefault="00692F22" w:rsidP="002955C4"/>
        </w:tc>
        <w:tc>
          <w:tcPr>
            <w:tcW w:w="1715" w:type="dxa"/>
          </w:tcPr>
          <w:p w:rsidR="00692F22" w:rsidRDefault="00692F22" w:rsidP="002955C4"/>
        </w:tc>
        <w:tc>
          <w:tcPr>
            <w:tcW w:w="1379" w:type="dxa"/>
          </w:tcPr>
          <w:p w:rsidR="00692F22" w:rsidRDefault="00692F22" w:rsidP="002955C4"/>
        </w:tc>
        <w:tc>
          <w:tcPr>
            <w:tcW w:w="1426" w:type="dxa"/>
          </w:tcPr>
          <w:p w:rsidR="00692F22" w:rsidRDefault="00692F22" w:rsidP="002955C4"/>
        </w:tc>
        <w:tc>
          <w:tcPr>
            <w:tcW w:w="1429" w:type="dxa"/>
          </w:tcPr>
          <w:p w:rsidR="00692F22" w:rsidRDefault="00692F22" w:rsidP="002955C4"/>
        </w:tc>
        <w:tc>
          <w:tcPr>
            <w:tcW w:w="1423" w:type="dxa"/>
          </w:tcPr>
          <w:p w:rsidR="00692F22" w:rsidRDefault="00692F22" w:rsidP="002955C4"/>
        </w:tc>
        <w:tc>
          <w:tcPr>
            <w:tcW w:w="1416" w:type="dxa"/>
          </w:tcPr>
          <w:p w:rsidR="00692F22" w:rsidRDefault="00692F22" w:rsidP="002955C4"/>
        </w:tc>
        <w:tc>
          <w:tcPr>
            <w:tcW w:w="1317" w:type="dxa"/>
          </w:tcPr>
          <w:p w:rsidR="00692F22" w:rsidRDefault="00692F22" w:rsidP="002955C4"/>
        </w:tc>
        <w:tc>
          <w:tcPr>
            <w:tcW w:w="1317" w:type="dxa"/>
          </w:tcPr>
          <w:p w:rsidR="00692F22" w:rsidRDefault="00692F22" w:rsidP="002955C4"/>
        </w:tc>
      </w:tr>
    </w:tbl>
    <w:p w:rsidR="00300644" w:rsidRDefault="00300644"/>
    <w:sectPr w:rsidR="00300644" w:rsidSect="002955C4">
      <w:pgSz w:w="15840" w:h="12240" w:orient="landscape"/>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B382F" w:rsidRDefault="00DB382F" w:rsidP="001218F1">
      <w:pPr>
        <w:spacing w:after="0" w:line="240" w:lineRule="auto"/>
      </w:pPr>
      <w:r>
        <w:separator/>
      </w:r>
    </w:p>
  </w:endnote>
  <w:endnote w:type="continuationSeparator" w:id="0">
    <w:p w:rsidR="00DB382F" w:rsidRDefault="00DB382F" w:rsidP="001218F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00"/>
    <w:family w:val="modern"/>
    <w:pitch w:val="fixed"/>
    <w:sig w:usb0="E10002FF" w:usb1="4000F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680879"/>
      <w:docPartObj>
        <w:docPartGallery w:val="Page Numbers (Bottom of Page)"/>
        <w:docPartUnique/>
      </w:docPartObj>
    </w:sdtPr>
    <w:sdtContent>
      <w:p w:rsidR="00DB382F" w:rsidRDefault="00BE7613">
        <w:pPr>
          <w:pStyle w:val="Footer"/>
          <w:jc w:val="right"/>
        </w:pPr>
        <w:fldSimple w:instr=" PAGE   \* MERGEFORMAT ">
          <w:r w:rsidR="00BF52E3">
            <w:rPr>
              <w:noProof/>
            </w:rPr>
            <w:t>9</w:t>
          </w:r>
        </w:fldSimple>
      </w:p>
    </w:sdtContent>
  </w:sdt>
  <w:p w:rsidR="00DB382F" w:rsidRDefault="00DB3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B382F" w:rsidRDefault="00DB382F" w:rsidP="001218F1">
      <w:pPr>
        <w:spacing w:after="0" w:line="240" w:lineRule="auto"/>
      </w:pPr>
      <w:r>
        <w:separator/>
      </w:r>
    </w:p>
  </w:footnote>
  <w:footnote w:type="continuationSeparator" w:id="0">
    <w:p w:rsidR="00DB382F" w:rsidRDefault="00DB382F" w:rsidP="001218F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382F" w:rsidRDefault="00DB382F">
    <w:pPr>
      <w:pStyle w:val="Header"/>
    </w:pPr>
  </w:p>
  <w:p w:rsidR="00DB382F" w:rsidRDefault="00DB382F">
    <w:pPr>
      <w:pStyle w:val="Header"/>
    </w:pPr>
  </w:p>
  <w:p w:rsidR="00DB382F" w:rsidRDefault="00DB382F">
    <w:pPr>
      <w:pStyle w:val="Header"/>
    </w:pPr>
  </w:p>
  <w:p w:rsidR="00DB382F" w:rsidRDefault="00DB3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A74A7C"/>
    <w:multiLevelType w:val="hybridMultilevel"/>
    <w:tmpl w:val="8CD67D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AF92927"/>
    <w:multiLevelType w:val="hybridMultilevel"/>
    <w:tmpl w:val="F0A2071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C8F0771"/>
    <w:multiLevelType w:val="hybridMultilevel"/>
    <w:tmpl w:val="76504E8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EE81F88"/>
    <w:multiLevelType w:val="hybridMultilevel"/>
    <w:tmpl w:val="AB7668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29E5991"/>
    <w:multiLevelType w:val="hybridMultilevel"/>
    <w:tmpl w:val="AD8A12F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44B2589"/>
    <w:multiLevelType w:val="hybridMultilevel"/>
    <w:tmpl w:val="5B7634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D5E5895"/>
    <w:multiLevelType w:val="hybridMultilevel"/>
    <w:tmpl w:val="4060ECA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F1D4F38"/>
    <w:multiLevelType w:val="hybridMultilevel"/>
    <w:tmpl w:val="9AA8CBCC"/>
    <w:lvl w:ilvl="0" w:tplc="0409000F">
      <w:start w:val="1"/>
      <w:numFmt w:val="decimal"/>
      <w:lvlText w:val="%1."/>
      <w:lvlJc w:val="left"/>
      <w:pPr>
        <w:ind w:left="81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
    <w:nsid w:val="25346D2E"/>
    <w:multiLevelType w:val="hybridMultilevel"/>
    <w:tmpl w:val="5B66D874"/>
    <w:lvl w:ilvl="0" w:tplc="FB7C4E6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D357E80"/>
    <w:multiLevelType w:val="hybridMultilevel"/>
    <w:tmpl w:val="B65A19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4654714"/>
    <w:multiLevelType w:val="hybridMultilevel"/>
    <w:tmpl w:val="8578C598"/>
    <w:lvl w:ilvl="0" w:tplc="0409000F">
      <w:start w:val="1"/>
      <w:numFmt w:val="decimal"/>
      <w:lvlText w:val="%1."/>
      <w:lvlJc w:val="left"/>
      <w:pPr>
        <w:ind w:left="81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8E97C88"/>
    <w:multiLevelType w:val="hybridMultilevel"/>
    <w:tmpl w:val="953CA1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8150A38"/>
    <w:multiLevelType w:val="hybridMultilevel"/>
    <w:tmpl w:val="6B5293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2375855"/>
    <w:multiLevelType w:val="hybridMultilevel"/>
    <w:tmpl w:val="E2185F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57668C6"/>
    <w:multiLevelType w:val="hybridMultilevel"/>
    <w:tmpl w:val="9AA8CBCC"/>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6FC1065E"/>
    <w:multiLevelType w:val="hybridMultilevel"/>
    <w:tmpl w:val="08981B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11"/>
  </w:num>
  <w:num w:numId="3">
    <w:abstractNumId w:val="3"/>
  </w:num>
  <w:num w:numId="4">
    <w:abstractNumId w:val="14"/>
  </w:num>
  <w:num w:numId="5">
    <w:abstractNumId w:val="6"/>
  </w:num>
  <w:num w:numId="6">
    <w:abstractNumId w:val="7"/>
  </w:num>
  <w:num w:numId="7">
    <w:abstractNumId w:val="4"/>
  </w:num>
  <w:num w:numId="8">
    <w:abstractNumId w:val="10"/>
  </w:num>
  <w:num w:numId="9">
    <w:abstractNumId w:val="15"/>
  </w:num>
  <w:num w:numId="10">
    <w:abstractNumId w:val="13"/>
  </w:num>
  <w:num w:numId="11">
    <w:abstractNumId w:val="2"/>
  </w:num>
  <w:num w:numId="12">
    <w:abstractNumId w:val="8"/>
  </w:num>
  <w:num w:numId="13">
    <w:abstractNumId w:val="1"/>
  </w:num>
  <w:num w:numId="14">
    <w:abstractNumId w:val="0"/>
  </w:num>
  <w:num w:numId="15">
    <w:abstractNumId w:val="12"/>
  </w:num>
  <w:num w:numId="1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drawingGridHorizontalSpacing w:val="100"/>
  <w:displayHorizontalDrawingGridEvery w:val="2"/>
  <w:characterSpacingControl w:val="doNotCompress"/>
  <w:footnotePr>
    <w:footnote w:id="-1"/>
    <w:footnote w:id="0"/>
  </w:footnotePr>
  <w:endnotePr>
    <w:endnote w:id="-1"/>
    <w:endnote w:id="0"/>
  </w:endnotePr>
  <w:compat/>
  <w:rsids>
    <w:rsidRoot w:val="00230CE8"/>
    <w:rsid w:val="00000A21"/>
    <w:rsid w:val="00001A94"/>
    <w:rsid w:val="00001DE4"/>
    <w:rsid w:val="00011039"/>
    <w:rsid w:val="00021B1E"/>
    <w:rsid w:val="00022546"/>
    <w:rsid w:val="00023AD1"/>
    <w:rsid w:val="00024371"/>
    <w:rsid w:val="0003119A"/>
    <w:rsid w:val="00042156"/>
    <w:rsid w:val="0004286D"/>
    <w:rsid w:val="0005186C"/>
    <w:rsid w:val="00055759"/>
    <w:rsid w:val="000579B1"/>
    <w:rsid w:val="00065DBB"/>
    <w:rsid w:val="000714FA"/>
    <w:rsid w:val="00072D6B"/>
    <w:rsid w:val="0007775B"/>
    <w:rsid w:val="00082C40"/>
    <w:rsid w:val="00092846"/>
    <w:rsid w:val="000942ED"/>
    <w:rsid w:val="000A55B9"/>
    <w:rsid w:val="000B3097"/>
    <w:rsid w:val="000B3423"/>
    <w:rsid w:val="000B5C25"/>
    <w:rsid w:val="000C629A"/>
    <w:rsid w:val="000D25E6"/>
    <w:rsid w:val="000D360A"/>
    <w:rsid w:val="000D4819"/>
    <w:rsid w:val="000D6E2B"/>
    <w:rsid w:val="000E0CF9"/>
    <w:rsid w:val="000E13C5"/>
    <w:rsid w:val="000E1809"/>
    <w:rsid w:val="000E18E0"/>
    <w:rsid w:val="000E25E5"/>
    <w:rsid w:val="000E4B60"/>
    <w:rsid w:val="000F12DD"/>
    <w:rsid w:val="000F20F0"/>
    <w:rsid w:val="000F4770"/>
    <w:rsid w:val="000F55C1"/>
    <w:rsid w:val="000F6A7D"/>
    <w:rsid w:val="00110454"/>
    <w:rsid w:val="00112CD0"/>
    <w:rsid w:val="001173D9"/>
    <w:rsid w:val="001218F1"/>
    <w:rsid w:val="00125A28"/>
    <w:rsid w:val="00126C2E"/>
    <w:rsid w:val="001330B9"/>
    <w:rsid w:val="00144487"/>
    <w:rsid w:val="00146814"/>
    <w:rsid w:val="00151222"/>
    <w:rsid w:val="001517B4"/>
    <w:rsid w:val="001542ED"/>
    <w:rsid w:val="00155FD5"/>
    <w:rsid w:val="00160B26"/>
    <w:rsid w:val="00160D88"/>
    <w:rsid w:val="0016798E"/>
    <w:rsid w:val="00177B8A"/>
    <w:rsid w:val="00185739"/>
    <w:rsid w:val="0018638B"/>
    <w:rsid w:val="00187494"/>
    <w:rsid w:val="001913E9"/>
    <w:rsid w:val="001928DE"/>
    <w:rsid w:val="0019375E"/>
    <w:rsid w:val="00196A36"/>
    <w:rsid w:val="00197A2B"/>
    <w:rsid w:val="001A21C5"/>
    <w:rsid w:val="001A48E2"/>
    <w:rsid w:val="001B3C31"/>
    <w:rsid w:val="001C0EBF"/>
    <w:rsid w:val="001C17B4"/>
    <w:rsid w:val="001C185E"/>
    <w:rsid w:val="001C68F8"/>
    <w:rsid w:val="001C7933"/>
    <w:rsid w:val="001D002A"/>
    <w:rsid w:val="001D5AAF"/>
    <w:rsid w:val="001F3741"/>
    <w:rsid w:val="001F609B"/>
    <w:rsid w:val="002075B4"/>
    <w:rsid w:val="00207A6D"/>
    <w:rsid w:val="00210F08"/>
    <w:rsid w:val="00211EA7"/>
    <w:rsid w:val="00212563"/>
    <w:rsid w:val="00212B1A"/>
    <w:rsid w:val="00214C47"/>
    <w:rsid w:val="002253EB"/>
    <w:rsid w:val="00225C6C"/>
    <w:rsid w:val="00230CE8"/>
    <w:rsid w:val="0023181C"/>
    <w:rsid w:val="002413AC"/>
    <w:rsid w:val="00243E21"/>
    <w:rsid w:val="00245449"/>
    <w:rsid w:val="00247BFE"/>
    <w:rsid w:val="00251726"/>
    <w:rsid w:val="002520CC"/>
    <w:rsid w:val="00253612"/>
    <w:rsid w:val="0025417E"/>
    <w:rsid w:val="00255BDD"/>
    <w:rsid w:val="002614DF"/>
    <w:rsid w:val="002615B2"/>
    <w:rsid w:val="00264A1B"/>
    <w:rsid w:val="002650E0"/>
    <w:rsid w:val="00266A01"/>
    <w:rsid w:val="00271CEC"/>
    <w:rsid w:val="002740E8"/>
    <w:rsid w:val="002864A3"/>
    <w:rsid w:val="002925B6"/>
    <w:rsid w:val="002955C4"/>
    <w:rsid w:val="002A254A"/>
    <w:rsid w:val="002A26BE"/>
    <w:rsid w:val="002A4491"/>
    <w:rsid w:val="002B20AF"/>
    <w:rsid w:val="002B3050"/>
    <w:rsid w:val="002B3EAB"/>
    <w:rsid w:val="002B43A8"/>
    <w:rsid w:val="002B43EE"/>
    <w:rsid w:val="002B5C67"/>
    <w:rsid w:val="002C30FC"/>
    <w:rsid w:val="002C47E9"/>
    <w:rsid w:val="002D4589"/>
    <w:rsid w:val="002D49D3"/>
    <w:rsid w:val="002D5723"/>
    <w:rsid w:val="002E0E63"/>
    <w:rsid w:val="002E1137"/>
    <w:rsid w:val="002E63E8"/>
    <w:rsid w:val="002F03D5"/>
    <w:rsid w:val="002F1F71"/>
    <w:rsid w:val="002F20BC"/>
    <w:rsid w:val="002F2AFC"/>
    <w:rsid w:val="002F31D1"/>
    <w:rsid w:val="0030051B"/>
    <w:rsid w:val="00300644"/>
    <w:rsid w:val="00303827"/>
    <w:rsid w:val="0030791A"/>
    <w:rsid w:val="003144A3"/>
    <w:rsid w:val="00322BBD"/>
    <w:rsid w:val="00323F1F"/>
    <w:rsid w:val="00326AF5"/>
    <w:rsid w:val="0033325B"/>
    <w:rsid w:val="00333F14"/>
    <w:rsid w:val="00336120"/>
    <w:rsid w:val="003608DF"/>
    <w:rsid w:val="00363C1F"/>
    <w:rsid w:val="00364261"/>
    <w:rsid w:val="003663B1"/>
    <w:rsid w:val="00372973"/>
    <w:rsid w:val="003731D1"/>
    <w:rsid w:val="003737C7"/>
    <w:rsid w:val="00375928"/>
    <w:rsid w:val="00375ADA"/>
    <w:rsid w:val="003766C1"/>
    <w:rsid w:val="003774D8"/>
    <w:rsid w:val="00393840"/>
    <w:rsid w:val="00394EE2"/>
    <w:rsid w:val="003978D5"/>
    <w:rsid w:val="003A4E9E"/>
    <w:rsid w:val="003A720B"/>
    <w:rsid w:val="003A797E"/>
    <w:rsid w:val="003A7BFA"/>
    <w:rsid w:val="003B030A"/>
    <w:rsid w:val="003B05F7"/>
    <w:rsid w:val="003B1FEF"/>
    <w:rsid w:val="003B3BB7"/>
    <w:rsid w:val="003B4DF9"/>
    <w:rsid w:val="003C38E4"/>
    <w:rsid w:val="003C3A0A"/>
    <w:rsid w:val="003C7EA3"/>
    <w:rsid w:val="003D1E89"/>
    <w:rsid w:val="003D3723"/>
    <w:rsid w:val="003E1398"/>
    <w:rsid w:val="003E1E31"/>
    <w:rsid w:val="003E5D8D"/>
    <w:rsid w:val="003F0724"/>
    <w:rsid w:val="003F45A8"/>
    <w:rsid w:val="003F6381"/>
    <w:rsid w:val="00401609"/>
    <w:rsid w:val="00402302"/>
    <w:rsid w:val="0040505C"/>
    <w:rsid w:val="00406138"/>
    <w:rsid w:val="00407038"/>
    <w:rsid w:val="00410495"/>
    <w:rsid w:val="00411FFA"/>
    <w:rsid w:val="00413157"/>
    <w:rsid w:val="00417DB1"/>
    <w:rsid w:val="0042703D"/>
    <w:rsid w:val="00433FF4"/>
    <w:rsid w:val="004347BD"/>
    <w:rsid w:val="00436AD9"/>
    <w:rsid w:val="004376C9"/>
    <w:rsid w:val="004402DD"/>
    <w:rsid w:val="00444C0D"/>
    <w:rsid w:val="004503FF"/>
    <w:rsid w:val="00453F4E"/>
    <w:rsid w:val="00455EA2"/>
    <w:rsid w:val="0046024A"/>
    <w:rsid w:val="004607D6"/>
    <w:rsid w:val="00460BB7"/>
    <w:rsid w:val="00460BCA"/>
    <w:rsid w:val="004638A5"/>
    <w:rsid w:val="00467596"/>
    <w:rsid w:val="00472265"/>
    <w:rsid w:val="004824BE"/>
    <w:rsid w:val="00484E38"/>
    <w:rsid w:val="004A00E7"/>
    <w:rsid w:val="004B1534"/>
    <w:rsid w:val="004B247B"/>
    <w:rsid w:val="004B2EB3"/>
    <w:rsid w:val="004C09B2"/>
    <w:rsid w:val="004C30F8"/>
    <w:rsid w:val="004C6678"/>
    <w:rsid w:val="004C7789"/>
    <w:rsid w:val="004D09F1"/>
    <w:rsid w:val="004D73F7"/>
    <w:rsid w:val="004E23FF"/>
    <w:rsid w:val="004E402F"/>
    <w:rsid w:val="004E5321"/>
    <w:rsid w:val="004E53E7"/>
    <w:rsid w:val="004E6356"/>
    <w:rsid w:val="00510DB6"/>
    <w:rsid w:val="00515505"/>
    <w:rsid w:val="005236A3"/>
    <w:rsid w:val="0052626C"/>
    <w:rsid w:val="0052766D"/>
    <w:rsid w:val="005303F4"/>
    <w:rsid w:val="00537DD9"/>
    <w:rsid w:val="00540D6D"/>
    <w:rsid w:val="00541C5A"/>
    <w:rsid w:val="005428EA"/>
    <w:rsid w:val="0054537B"/>
    <w:rsid w:val="00545D2A"/>
    <w:rsid w:val="00547D63"/>
    <w:rsid w:val="00550AD4"/>
    <w:rsid w:val="00552AE5"/>
    <w:rsid w:val="00560694"/>
    <w:rsid w:val="005624CB"/>
    <w:rsid w:val="00563DBF"/>
    <w:rsid w:val="005670DE"/>
    <w:rsid w:val="0057010F"/>
    <w:rsid w:val="0057601B"/>
    <w:rsid w:val="005768F4"/>
    <w:rsid w:val="005771A4"/>
    <w:rsid w:val="00581865"/>
    <w:rsid w:val="00584CB4"/>
    <w:rsid w:val="00584EF0"/>
    <w:rsid w:val="00584FCA"/>
    <w:rsid w:val="00592876"/>
    <w:rsid w:val="00595656"/>
    <w:rsid w:val="005A1A09"/>
    <w:rsid w:val="005A1FBF"/>
    <w:rsid w:val="005A686A"/>
    <w:rsid w:val="005B14C0"/>
    <w:rsid w:val="005B2A4E"/>
    <w:rsid w:val="005C2313"/>
    <w:rsid w:val="005C317A"/>
    <w:rsid w:val="005D1DEA"/>
    <w:rsid w:val="005E1AED"/>
    <w:rsid w:val="005E4B60"/>
    <w:rsid w:val="005E4C81"/>
    <w:rsid w:val="005E5E48"/>
    <w:rsid w:val="005E61DA"/>
    <w:rsid w:val="005E69BD"/>
    <w:rsid w:val="005E6D61"/>
    <w:rsid w:val="005F6F24"/>
    <w:rsid w:val="0060115A"/>
    <w:rsid w:val="006011D9"/>
    <w:rsid w:val="00601BE4"/>
    <w:rsid w:val="00604B8D"/>
    <w:rsid w:val="00613E33"/>
    <w:rsid w:val="006161A8"/>
    <w:rsid w:val="00616FE9"/>
    <w:rsid w:val="006271E3"/>
    <w:rsid w:val="006324BC"/>
    <w:rsid w:val="006328B2"/>
    <w:rsid w:val="00634E02"/>
    <w:rsid w:val="00637DC6"/>
    <w:rsid w:val="006437D8"/>
    <w:rsid w:val="00647F16"/>
    <w:rsid w:val="006503E6"/>
    <w:rsid w:val="006531F7"/>
    <w:rsid w:val="00655773"/>
    <w:rsid w:val="006564D9"/>
    <w:rsid w:val="00660AB0"/>
    <w:rsid w:val="0066277C"/>
    <w:rsid w:val="00663BDE"/>
    <w:rsid w:val="00665AF2"/>
    <w:rsid w:val="00665E9B"/>
    <w:rsid w:val="00673A7A"/>
    <w:rsid w:val="00675A23"/>
    <w:rsid w:val="0067691F"/>
    <w:rsid w:val="00681ED3"/>
    <w:rsid w:val="0068281A"/>
    <w:rsid w:val="00682B0C"/>
    <w:rsid w:val="006903F2"/>
    <w:rsid w:val="00692450"/>
    <w:rsid w:val="00692F22"/>
    <w:rsid w:val="00695640"/>
    <w:rsid w:val="00695989"/>
    <w:rsid w:val="00697AA4"/>
    <w:rsid w:val="006A07A9"/>
    <w:rsid w:val="006B06B7"/>
    <w:rsid w:val="006B2D51"/>
    <w:rsid w:val="006B403A"/>
    <w:rsid w:val="006C20B3"/>
    <w:rsid w:val="006C372E"/>
    <w:rsid w:val="006C3B95"/>
    <w:rsid w:val="006C47D6"/>
    <w:rsid w:val="006C5595"/>
    <w:rsid w:val="006C6C64"/>
    <w:rsid w:val="006C6D18"/>
    <w:rsid w:val="006D7FDD"/>
    <w:rsid w:val="006F5C76"/>
    <w:rsid w:val="006F72DD"/>
    <w:rsid w:val="00704FED"/>
    <w:rsid w:val="00710921"/>
    <w:rsid w:val="0071630C"/>
    <w:rsid w:val="00722166"/>
    <w:rsid w:val="00722209"/>
    <w:rsid w:val="00724E92"/>
    <w:rsid w:val="00735A95"/>
    <w:rsid w:val="00737683"/>
    <w:rsid w:val="00750E36"/>
    <w:rsid w:val="00752D99"/>
    <w:rsid w:val="0075442B"/>
    <w:rsid w:val="00755E27"/>
    <w:rsid w:val="00764C44"/>
    <w:rsid w:val="00770DAB"/>
    <w:rsid w:val="0077386A"/>
    <w:rsid w:val="00774C01"/>
    <w:rsid w:val="00786196"/>
    <w:rsid w:val="00786DB6"/>
    <w:rsid w:val="0078794D"/>
    <w:rsid w:val="00796E0B"/>
    <w:rsid w:val="007A3BE4"/>
    <w:rsid w:val="007A5200"/>
    <w:rsid w:val="007A7009"/>
    <w:rsid w:val="007A777A"/>
    <w:rsid w:val="007B0A2F"/>
    <w:rsid w:val="007C028C"/>
    <w:rsid w:val="007C0AFC"/>
    <w:rsid w:val="007C0F2C"/>
    <w:rsid w:val="007C3A73"/>
    <w:rsid w:val="007C5DE1"/>
    <w:rsid w:val="007D1AF9"/>
    <w:rsid w:val="007D74EC"/>
    <w:rsid w:val="007E3482"/>
    <w:rsid w:val="007E78FA"/>
    <w:rsid w:val="007F4CFC"/>
    <w:rsid w:val="007F72A6"/>
    <w:rsid w:val="007F76CB"/>
    <w:rsid w:val="008040C9"/>
    <w:rsid w:val="00806447"/>
    <w:rsid w:val="00810CAB"/>
    <w:rsid w:val="0081414B"/>
    <w:rsid w:val="008144E6"/>
    <w:rsid w:val="00816BA2"/>
    <w:rsid w:val="00817822"/>
    <w:rsid w:val="00817CCF"/>
    <w:rsid w:val="008219D1"/>
    <w:rsid w:val="008245EC"/>
    <w:rsid w:val="008420B6"/>
    <w:rsid w:val="00842211"/>
    <w:rsid w:val="00851126"/>
    <w:rsid w:val="00851286"/>
    <w:rsid w:val="0085190E"/>
    <w:rsid w:val="00853C01"/>
    <w:rsid w:val="008561D7"/>
    <w:rsid w:val="0085754C"/>
    <w:rsid w:val="0086072F"/>
    <w:rsid w:val="008650BD"/>
    <w:rsid w:val="00872050"/>
    <w:rsid w:val="008747F3"/>
    <w:rsid w:val="00876E93"/>
    <w:rsid w:val="00883FC8"/>
    <w:rsid w:val="00884536"/>
    <w:rsid w:val="0088679A"/>
    <w:rsid w:val="00894D08"/>
    <w:rsid w:val="00896C8B"/>
    <w:rsid w:val="00897E0B"/>
    <w:rsid w:val="008A2FB9"/>
    <w:rsid w:val="008A3A2A"/>
    <w:rsid w:val="008A571B"/>
    <w:rsid w:val="008A644C"/>
    <w:rsid w:val="008C1236"/>
    <w:rsid w:val="008C265F"/>
    <w:rsid w:val="008C42ED"/>
    <w:rsid w:val="008C454F"/>
    <w:rsid w:val="008C5F85"/>
    <w:rsid w:val="008D06A3"/>
    <w:rsid w:val="008D1152"/>
    <w:rsid w:val="008E41C0"/>
    <w:rsid w:val="008E5F18"/>
    <w:rsid w:val="008E7E18"/>
    <w:rsid w:val="008F3286"/>
    <w:rsid w:val="008F5917"/>
    <w:rsid w:val="008F611A"/>
    <w:rsid w:val="008F7AF7"/>
    <w:rsid w:val="00900D63"/>
    <w:rsid w:val="00901372"/>
    <w:rsid w:val="00902C90"/>
    <w:rsid w:val="00902DDB"/>
    <w:rsid w:val="009031E2"/>
    <w:rsid w:val="00904162"/>
    <w:rsid w:val="00904C45"/>
    <w:rsid w:val="00910070"/>
    <w:rsid w:val="0093088F"/>
    <w:rsid w:val="009310A9"/>
    <w:rsid w:val="00941A86"/>
    <w:rsid w:val="00947301"/>
    <w:rsid w:val="009613B8"/>
    <w:rsid w:val="0098152A"/>
    <w:rsid w:val="009863FC"/>
    <w:rsid w:val="00986827"/>
    <w:rsid w:val="009868C8"/>
    <w:rsid w:val="009908D0"/>
    <w:rsid w:val="00991FF2"/>
    <w:rsid w:val="009A5039"/>
    <w:rsid w:val="009B215A"/>
    <w:rsid w:val="009B4067"/>
    <w:rsid w:val="009B5AB9"/>
    <w:rsid w:val="009C1BB0"/>
    <w:rsid w:val="009C3177"/>
    <w:rsid w:val="009D53F9"/>
    <w:rsid w:val="009D7C79"/>
    <w:rsid w:val="009E520C"/>
    <w:rsid w:val="009E5A0B"/>
    <w:rsid w:val="009E69D2"/>
    <w:rsid w:val="00A11CF4"/>
    <w:rsid w:val="00A24D94"/>
    <w:rsid w:val="00A25DC0"/>
    <w:rsid w:val="00A345DC"/>
    <w:rsid w:val="00A4106F"/>
    <w:rsid w:val="00A4671D"/>
    <w:rsid w:val="00A51A70"/>
    <w:rsid w:val="00A52583"/>
    <w:rsid w:val="00A52FEE"/>
    <w:rsid w:val="00A55D39"/>
    <w:rsid w:val="00A560F9"/>
    <w:rsid w:val="00A609E9"/>
    <w:rsid w:val="00A707BD"/>
    <w:rsid w:val="00A7353A"/>
    <w:rsid w:val="00A75E2A"/>
    <w:rsid w:val="00A8107E"/>
    <w:rsid w:val="00A862EF"/>
    <w:rsid w:val="00AA08D9"/>
    <w:rsid w:val="00AA456A"/>
    <w:rsid w:val="00AA57C7"/>
    <w:rsid w:val="00AD5DAD"/>
    <w:rsid w:val="00AD638D"/>
    <w:rsid w:val="00AD6400"/>
    <w:rsid w:val="00AE1A04"/>
    <w:rsid w:val="00AE2529"/>
    <w:rsid w:val="00AE4448"/>
    <w:rsid w:val="00AE6E7F"/>
    <w:rsid w:val="00AF015D"/>
    <w:rsid w:val="00AF34DC"/>
    <w:rsid w:val="00B009D0"/>
    <w:rsid w:val="00B012BC"/>
    <w:rsid w:val="00B02490"/>
    <w:rsid w:val="00B02739"/>
    <w:rsid w:val="00B02C7C"/>
    <w:rsid w:val="00B04D27"/>
    <w:rsid w:val="00B11EEA"/>
    <w:rsid w:val="00B12C9E"/>
    <w:rsid w:val="00B139B8"/>
    <w:rsid w:val="00B142DA"/>
    <w:rsid w:val="00B22367"/>
    <w:rsid w:val="00B22A55"/>
    <w:rsid w:val="00B2690D"/>
    <w:rsid w:val="00B27C6D"/>
    <w:rsid w:val="00B34374"/>
    <w:rsid w:val="00B40232"/>
    <w:rsid w:val="00B40A15"/>
    <w:rsid w:val="00B41C18"/>
    <w:rsid w:val="00B46DAC"/>
    <w:rsid w:val="00B5188F"/>
    <w:rsid w:val="00B53B42"/>
    <w:rsid w:val="00B53D01"/>
    <w:rsid w:val="00B561E8"/>
    <w:rsid w:val="00B60053"/>
    <w:rsid w:val="00B60FF8"/>
    <w:rsid w:val="00B633C5"/>
    <w:rsid w:val="00B63E20"/>
    <w:rsid w:val="00B71C0A"/>
    <w:rsid w:val="00B757B7"/>
    <w:rsid w:val="00B848E6"/>
    <w:rsid w:val="00B85FA3"/>
    <w:rsid w:val="00B91763"/>
    <w:rsid w:val="00B94DB9"/>
    <w:rsid w:val="00BA26C8"/>
    <w:rsid w:val="00BB0E98"/>
    <w:rsid w:val="00BB2EDB"/>
    <w:rsid w:val="00BB5703"/>
    <w:rsid w:val="00BB5D2A"/>
    <w:rsid w:val="00BC7608"/>
    <w:rsid w:val="00BD1C66"/>
    <w:rsid w:val="00BD21F1"/>
    <w:rsid w:val="00BD700E"/>
    <w:rsid w:val="00BE6A15"/>
    <w:rsid w:val="00BE7613"/>
    <w:rsid w:val="00BF1493"/>
    <w:rsid w:val="00BF445A"/>
    <w:rsid w:val="00BF4748"/>
    <w:rsid w:val="00BF52E3"/>
    <w:rsid w:val="00BF7A8A"/>
    <w:rsid w:val="00C00601"/>
    <w:rsid w:val="00C01F5E"/>
    <w:rsid w:val="00C033AA"/>
    <w:rsid w:val="00C0351E"/>
    <w:rsid w:val="00C04C6D"/>
    <w:rsid w:val="00C21E57"/>
    <w:rsid w:val="00C2404C"/>
    <w:rsid w:val="00C32108"/>
    <w:rsid w:val="00C3238C"/>
    <w:rsid w:val="00C3277B"/>
    <w:rsid w:val="00C365C2"/>
    <w:rsid w:val="00C41C55"/>
    <w:rsid w:val="00C524D4"/>
    <w:rsid w:val="00C52840"/>
    <w:rsid w:val="00C55AC4"/>
    <w:rsid w:val="00C61E94"/>
    <w:rsid w:val="00C7020D"/>
    <w:rsid w:val="00C72C01"/>
    <w:rsid w:val="00C731EC"/>
    <w:rsid w:val="00C77D93"/>
    <w:rsid w:val="00C87D17"/>
    <w:rsid w:val="00C94C01"/>
    <w:rsid w:val="00CB5F93"/>
    <w:rsid w:val="00CC299D"/>
    <w:rsid w:val="00CD0D86"/>
    <w:rsid w:val="00CE0E23"/>
    <w:rsid w:val="00CE4B2D"/>
    <w:rsid w:val="00CE5544"/>
    <w:rsid w:val="00CF2276"/>
    <w:rsid w:val="00CF3955"/>
    <w:rsid w:val="00CF6546"/>
    <w:rsid w:val="00CF7C8D"/>
    <w:rsid w:val="00D00F84"/>
    <w:rsid w:val="00D0140B"/>
    <w:rsid w:val="00D02A6F"/>
    <w:rsid w:val="00D0307C"/>
    <w:rsid w:val="00D125FE"/>
    <w:rsid w:val="00D178CB"/>
    <w:rsid w:val="00D228C6"/>
    <w:rsid w:val="00D23096"/>
    <w:rsid w:val="00D30C8D"/>
    <w:rsid w:val="00D32A91"/>
    <w:rsid w:val="00D354EB"/>
    <w:rsid w:val="00D35A71"/>
    <w:rsid w:val="00D373CD"/>
    <w:rsid w:val="00D500A4"/>
    <w:rsid w:val="00D54FF5"/>
    <w:rsid w:val="00D61C62"/>
    <w:rsid w:val="00D622FF"/>
    <w:rsid w:val="00D65CF7"/>
    <w:rsid w:val="00D712C3"/>
    <w:rsid w:val="00D71DCD"/>
    <w:rsid w:val="00D74998"/>
    <w:rsid w:val="00D77FD7"/>
    <w:rsid w:val="00D9003E"/>
    <w:rsid w:val="00D914A7"/>
    <w:rsid w:val="00DA21E7"/>
    <w:rsid w:val="00DB18CA"/>
    <w:rsid w:val="00DB331A"/>
    <w:rsid w:val="00DB382F"/>
    <w:rsid w:val="00DB46C7"/>
    <w:rsid w:val="00DC1A45"/>
    <w:rsid w:val="00DC5A7E"/>
    <w:rsid w:val="00DD10E8"/>
    <w:rsid w:val="00DD224E"/>
    <w:rsid w:val="00DD284E"/>
    <w:rsid w:val="00DD4237"/>
    <w:rsid w:val="00DD62EB"/>
    <w:rsid w:val="00DE6A3B"/>
    <w:rsid w:val="00DF0114"/>
    <w:rsid w:val="00E003D1"/>
    <w:rsid w:val="00E02C88"/>
    <w:rsid w:val="00E0519E"/>
    <w:rsid w:val="00E06806"/>
    <w:rsid w:val="00E07747"/>
    <w:rsid w:val="00E1286C"/>
    <w:rsid w:val="00E13950"/>
    <w:rsid w:val="00E13B24"/>
    <w:rsid w:val="00E1439E"/>
    <w:rsid w:val="00E15E20"/>
    <w:rsid w:val="00E16D23"/>
    <w:rsid w:val="00E24265"/>
    <w:rsid w:val="00E27BE6"/>
    <w:rsid w:val="00E32503"/>
    <w:rsid w:val="00E34D4E"/>
    <w:rsid w:val="00E40660"/>
    <w:rsid w:val="00E4387B"/>
    <w:rsid w:val="00E501D6"/>
    <w:rsid w:val="00E51F2B"/>
    <w:rsid w:val="00E61AAC"/>
    <w:rsid w:val="00E814A5"/>
    <w:rsid w:val="00E8607C"/>
    <w:rsid w:val="00E916BF"/>
    <w:rsid w:val="00E936F3"/>
    <w:rsid w:val="00E9388C"/>
    <w:rsid w:val="00EB45AF"/>
    <w:rsid w:val="00EB6F08"/>
    <w:rsid w:val="00EB7A01"/>
    <w:rsid w:val="00EB7C7A"/>
    <w:rsid w:val="00EC283F"/>
    <w:rsid w:val="00EC2C2C"/>
    <w:rsid w:val="00EC62C8"/>
    <w:rsid w:val="00EC7CE7"/>
    <w:rsid w:val="00ED1FCE"/>
    <w:rsid w:val="00ED3BAB"/>
    <w:rsid w:val="00ED7D28"/>
    <w:rsid w:val="00EF4C46"/>
    <w:rsid w:val="00F0751B"/>
    <w:rsid w:val="00F270F1"/>
    <w:rsid w:val="00F31059"/>
    <w:rsid w:val="00F367B2"/>
    <w:rsid w:val="00F430AB"/>
    <w:rsid w:val="00F4485D"/>
    <w:rsid w:val="00F468DC"/>
    <w:rsid w:val="00F513D4"/>
    <w:rsid w:val="00F52886"/>
    <w:rsid w:val="00F60292"/>
    <w:rsid w:val="00F60552"/>
    <w:rsid w:val="00F615C5"/>
    <w:rsid w:val="00F62323"/>
    <w:rsid w:val="00F62454"/>
    <w:rsid w:val="00F63AD9"/>
    <w:rsid w:val="00F66D65"/>
    <w:rsid w:val="00F708B6"/>
    <w:rsid w:val="00F72B7C"/>
    <w:rsid w:val="00F85381"/>
    <w:rsid w:val="00F94285"/>
    <w:rsid w:val="00F9771D"/>
    <w:rsid w:val="00FA4132"/>
    <w:rsid w:val="00FB593B"/>
    <w:rsid w:val="00FC1938"/>
    <w:rsid w:val="00FC1A79"/>
    <w:rsid w:val="00FC2E1D"/>
    <w:rsid w:val="00FD0416"/>
    <w:rsid w:val="00FD4B2C"/>
    <w:rsid w:val="00FD4C34"/>
    <w:rsid w:val="00FD5540"/>
    <w:rsid w:val="00FE17C8"/>
    <w:rsid w:val="00FE43A3"/>
    <w:rsid w:val="00FF0D96"/>
    <w:rsid w:val="00FF183E"/>
    <w:rsid w:val="00FF242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State"/>
  <w:smartTagType w:namespaceuri="urn:schemas-microsoft-com:office:smarttags" w:name="City"/>
  <w:smartTagType w:namespaceuri="urn:schemas-microsoft-com:office:smarttags" w:name="Street"/>
  <w:smartTagType w:namespaceuri="urn:schemas-microsoft-com:office:smarttags" w:name="addres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Theme="minorHAnsi" w:hAnsi="Arial" w:cs="Arial"/>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41C55"/>
  </w:style>
  <w:style w:type="paragraph" w:styleId="Heading1">
    <w:name w:val="heading 1"/>
    <w:basedOn w:val="Normal"/>
    <w:next w:val="Normal"/>
    <w:link w:val="Heading1Char"/>
    <w:uiPriority w:val="9"/>
    <w:qFormat/>
    <w:rsid w:val="00411FF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qFormat/>
    <w:rsid w:val="008C5F85"/>
    <w:pPr>
      <w:keepNext/>
      <w:spacing w:before="120" w:after="120" w:line="240" w:lineRule="auto"/>
      <w:outlineLvl w:val="1"/>
    </w:pPr>
    <w:rPr>
      <w:rFonts w:eastAsia="Times New Roman" w:cs="Times New Roman"/>
      <w:b/>
      <w:bCs/>
      <w:sz w:val="22"/>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8C5F85"/>
    <w:rPr>
      <w:rFonts w:eastAsia="Times New Roman" w:cs="Times New Roman"/>
      <w:b/>
      <w:bCs/>
      <w:sz w:val="22"/>
      <w:szCs w:val="24"/>
    </w:rPr>
  </w:style>
  <w:style w:type="paragraph" w:styleId="NormalWeb">
    <w:name w:val="Normal (Web)"/>
    <w:basedOn w:val="Normal"/>
    <w:rsid w:val="008C5F85"/>
    <w:pPr>
      <w:spacing w:before="100" w:beforeAutospacing="1" w:after="100" w:afterAutospacing="1" w:line="240" w:lineRule="auto"/>
    </w:pPr>
    <w:rPr>
      <w:rFonts w:ascii="Verdana" w:eastAsia="Arial Unicode MS" w:hAnsi="Verdana" w:cs="Arial Unicode MS"/>
      <w:sz w:val="22"/>
      <w:szCs w:val="22"/>
    </w:rPr>
  </w:style>
  <w:style w:type="character" w:styleId="BookTitle">
    <w:name w:val="Book Title"/>
    <w:basedOn w:val="DefaultParagraphFont"/>
    <w:uiPriority w:val="33"/>
    <w:qFormat/>
    <w:rsid w:val="008C5F85"/>
    <w:rPr>
      <w:b/>
      <w:bCs/>
      <w:smallCaps/>
      <w:spacing w:val="5"/>
    </w:rPr>
  </w:style>
  <w:style w:type="table" w:styleId="TableGrid">
    <w:name w:val="Table Grid"/>
    <w:basedOn w:val="TableNormal"/>
    <w:uiPriority w:val="59"/>
    <w:rsid w:val="00072D6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nhideWhenUsed/>
    <w:rsid w:val="001218F1"/>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1218F1"/>
  </w:style>
  <w:style w:type="paragraph" w:styleId="Footer">
    <w:name w:val="footer"/>
    <w:basedOn w:val="Normal"/>
    <w:link w:val="FooterChar"/>
    <w:uiPriority w:val="99"/>
    <w:unhideWhenUsed/>
    <w:rsid w:val="001218F1"/>
    <w:pPr>
      <w:tabs>
        <w:tab w:val="center" w:pos="4680"/>
        <w:tab w:val="right" w:pos="9360"/>
      </w:tabs>
      <w:spacing w:after="0" w:line="240" w:lineRule="auto"/>
    </w:pPr>
  </w:style>
  <w:style w:type="character" w:customStyle="1" w:styleId="FooterChar">
    <w:name w:val="Footer Char"/>
    <w:basedOn w:val="DefaultParagraphFont"/>
    <w:link w:val="Footer"/>
    <w:uiPriority w:val="99"/>
    <w:rsid w:val="001218F1"/>
  </w:style>
  <w:style w:type="paragraph" w:styleId="BalloonText">
    <w:name w:val="Balloon Text"/>
    <w:basedOn w:val="Normal"/>
    <w:link w:val="BalloonTextChar"/>
    <w:uiPriority w:val="99"/>
    <w:semiHidden/>
    <w:unhideWhenUsed/>
    <w:rsid w:val="00B27C6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27C6D"/>
    <w:rPr>
      <w:rFonts w:ascii="Tahoma" w:hAnsi="Tahoma" w:cs="Tahoma"/>
      <w:sz w:val="16"/>
      <w:szCs w:val="16"/>
    </w:rPr>
  </w:style>
  <w:style w:type="table" w:styleId="MediumShading2-Accent5">
    <w:name w:val="Medium Shading 2 Accent 5"/>
    <w:basedOn w:val="TableNormal"/>
    <w:uiPriority w:val="64"/>
    <w:rsid w:val="00CC299D"/>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2-Accent1">
    <w:name w:val="Medium List 2 Accent 1"/>
    <w:basedOn w:val="TableNormal"/>
    <w:uiPriority w:val="66"/>
    <w:rsid w:val="00CC299D"/>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MediumShading2-Accent11">
    <w:name w:val="Medium Shading 2 - Accent 11"/>
    <w:basedOn w:val="TableNormal"/>
    <w:uiPriority w:val="64"/>
    <w:rsid w:val="00CC299D"/>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ListParagraph">
    <w:name w:val="List Paragraph"/>
    <w:basedOn w:val="Normal"/>
    <w:uiPriority w:val="34"/>
    <w:qFormat/>
    <w:rsid w:val="00F66D65"/>
    <w:pPr>
      <w:ind w:left="720"/>
      <w:contextualSpacing/>
    </w:pPr>
  </w:style>
  <w:style w:type="paragraph" w:customStyle="1" w:styleId="Default">
    <w:name w:val="Default"/>
    <w:rsid w:val="000B3423"/>
    <w:pPr>
      <w:autoSpaceDE w:val="0"/>
      <w:autoSpaceDN w:val="0"/>
      <w:adjustRightInd w:val="0"/>
      <w:spacing w:after="0" w:line="240" w:lineRule="auto"/>
    </w:pPr>
    <w:rPr>
      <w:color w:val="000000"/>
      <w:sz w:val="24"/>
      <w:szCs w:val="24"/>
    </w:rPr>
  </w:style>
  <w:style w:type="paragraph" w:customStyle="1" w:styleId="Default1">
    <w:name w:val="Default1"/>
    <w:basedOn w:val="Default"/>
    <w:next w:val="Default"/>
    <w:uiPriority w:val="99"/>
    <w:rsid w:val="000B3423"/>
    <w:rPr>
      <w:color w:val="auto"/>
    </w:rPr>
  </w:style>
  <w:style w:type="character" w:customStyle="1" w:styleId="Heading1Char">
    <w:name w:val="Heading 1 Char"/>
    <w:basedOn w:val="DefaultParagraphFont"/>
    <w:link w:val="Heading1"/>
    <w:uiPriority w:val="9"/>
    <w:rsid w:val="00411FFA"/>
    <w:rPr>
      <w:rFonts w:asciiTheme="majorHAnsi" w:eastAsiaTheme="majorEastAsia" w:hAnsiTheme="majorHAnsi" w:cstheme="majorBidi"/>
      <w:b/>
      <w:bCs/>
      <w:color w:val="365F91" w:themeColor="accent1" w:themeShade="BF"/>
      <w:sz w:val="28"/>
      <w:szCs w:val="28"/>
    </w:rPr>
  </w:style>
  <w:style w:type="character" w:styleId="CommentReference">
    <w:name w:val="annotation reference"/>
    <w:basedOn w:val="DefaultParagraphFont"/>
    <w:uiPriority w:val="99"/>
    <w:semiHidden/>
    <w:unhideWhenUsed/>
    <w:rsid w:val="00410495"/>
    <w:rPr>
      <w:sz w:val="16"/>
      <w:szCs w:val="16"/>
    </w:rPr>
  </w:style>
  <w:style w:type="paragraph" w:styleId="CommentText">
    <w:name w:val="annotation text"/>
    <w:basedOn w:val="Normal"/>
    <w:link w:val="CommentTextChar"/>
    <w:uiPriority w:val="99"/>
    <w:semiHidden/>
    <w:unhideWhenUsed/>
    <w:rsid w:val="00410495"/>
    <w:pPr>
      <w:spacing w:line="240" w:lineRule="auto"/>
    </w:pPr>
  </w:style>
  <w:style w:type="character" w:customStyle="1" w:styleId="CommentTextChar">
    <w:name w:val="Comment Text Char"/>
    <w:basedOn w:val="DefaultParagraphFont"/>
    <w:link w:val="CommentText"/>
    <w:uiPriority w:val="99"/>
    <w:semiHidden/>
    <w:rsid w:val="00410495"/>
  </w:style>
  <w:style w:type="paragraph" w:styleId="CommentSubject">
    <w:name w:val="annotation subject"/>
    <w:basedOn w:val="CommentText"/>
    <w:next w:val="CommentText"/>
    <w:link w:val="CommentSubjectChar"/>
    <w:uiPriority w:val="99"/>
    <w:semiHidden/>
    <w:unhideWhenUsed/>
    <w:rsid w:val="00410495"/>
    <w:rPr>
      <w:b/>
      <w:bCs/>
    </w:rPr>
  </w:style>
  <w:style w:type="character" w:customStyle="1" w:styleId="CommentSubjectChar">
    <w:name w:val="Comment Subject Char"/>
    <w:basedOn w:val="CommentTextChar"/>
    <w:link w:val="CommentSubject"/>
    <w:uiPriority w:val="99"/>
    <w:semiHidden/>
    <w:rsid w:val="00410495"/>
    <w:rPr>
      <w:b/>
      <w:bCs/>
    </w:rPr>
  </w:style>
  <w:style w:type="character" w:styleId="Hyperlink">
    <w:name w:val="Hyperlink"/>
    <w:basedOn w:val="DefaultParagraphFont"/>
    <w:uiPriority w:val="99"/>
    <w:unhideWhenUsed/>
    <w:rsid w:val="005E6D61"/>
    <w:rPr>
      <w:color w:val="0000FF" w:themeColor="hyperlink"/>
      <w:u w:val="single"/>
    </w:rPr>
  </w:style>
  <w:style w:type="character" w:styleId="FollowedHyperlink">
    <w:name w:val="FollowedHyperlink"/>
    <w:basedOn w:val="DefaultParagraphFont"/>
    <w:uiPriority w:val="99"/>
    <w:semiHidden/>
    <w:unhideWhenUsed/>
    <w:rsid w:val="000E18E0"/>
    <w:rPr>
      <w:color w:val="800080" w:themeColor="followedHyperlink"/>
      <w:u w:val="single"/>
    </w:rPr>
  </w:style>
  <w:style w:type="paragraph" w:styleId="PlainText">
    <w:name w:val="Plain Text"/>
    <w:basedOn w:val="Normal"/>
    <w:link w:val="PlainTextChar"/>
    <w:uiPriority w:val="99"/>
    <w:semiHidden/>
    <w:unhideWhenUsed/>
    <w:rsid w:val="000E18E0"/>
    <w:pPr>
      <w:spacing w:after="0" w:line="240" w:lineRule="auto"/>
    </w:pPr>
    <w:rPr>
      <w:rFonts w:ascii="Consolas" w:hAnsi="Consolas" w:cstheme="minorBidi"/>
      <w:sz w:val="21"/>
      <w:szCs w:val="21"/>
    </w:rPr>
  </w:style>
  <w:style w:type="character" w:customStyle="1" w:styleId="PlainTextChar">
    <w:name w:val="Plain Text Char"/>
    <w:basedOn w:val="DefaultParagraphFont"/>
    <w:link w:val="PlainText"/>
    <w:uiPriority w:val="99"/>
    <w:semiHidden/>
    <w:rsid w:val="000E18E0"/>
    <w:rPr>
      <w:rFonts w:ascii="Consolas" w:hAnsi="Consolas" w:cstheme="minorBidi"/>
      <w:sz w:val="21"/>
      <w:szCs w:val="21"/>
    </w:rPr>
  </w:style>
  <w:style w:type="paragraph" w:styleId="Revision">
    <w:name w:val="Revision"/>
    <w:hidden/>
    <w:uiPriority w:val="99"/>
    <w:semiHidden/>
    <w:rsid w:val="00FD4C34"/>
    <w:pPr>
      <w:spacing w:after="0" w:line="240" w:lineRule="auto"/>
    </w:pPr>
  </w:style>
  <w:style w:type="paragraph" w:styleId="DocumentMap">
    <w:name w:val="Document Map"/>
    <w:basedOn w:val="Normal"/>
    <w:link w:val="DocumentMapChar"/>
    <w:uiPriority w:val="99"/>
    <w:semiHidden/>
    <w:unhideWhenUsed/>
    <w:rsid w:val="00F60552"/>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F60552"/>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223489242">
      <w:bodyDiv w:val="1"/>
      <w:marLeft w:val="0"/>
      <w:marRight w:val="0"/>
      <w:marTop w:val="0"/>
      <w:marBottom w:val="0"/>
      <w:divBdr>
        <w:top w:val="none" w:sz="0" w:space="0" w:color="auto"/>
        <w:left w:val="none" w:sz="0" w:space="0" w:color="auto"/>
        <w:bottom w:val="none" w:sz="0" w:space="0" w:color="auto"/>
        <w:right w:val="none" w:sz="0" w:space="0" w:color="auto"/>
      </w:divBdr>
    </w:div>
    <w:div w:id="269553943">
      <w:bodyDiv w:val="1"/>
      <w:marLeft w:val="0"/>
      <w:marRight w:val="0"/>
      <w:marTop w:val="0"/>
      <w:marBottom w:val="0"/>
      <w:divBdr>
        <w:top w:val="none" w:sz="0" w:space="0" w:color="auto"/>
        <w:left w:val="none" w:sz="0" w:space="0" w:color="auto"/>
        <w:bottom w:val="none" w:sz="0" w:space="0" w:color="auto"/>
        <w:right w:val="none" w:sz="0" w:space="0" w:color="auto"/>
      </w:divBdr>
    </w:div>
    <w:div w:id="768352674">
      <w:bodyDiv w:val="1"/>
      <w:marLeft w:val="0"/>
      <w:marRight w:val="0"/>
      <w:marTop w:val="0"/>
      <w:marBottom w:val="0"/>
      <w:divBdr>
        <w:top w:val="none" w:sz="0" w:space="0" w:color="auto"/>
        <w:left w:val="none" w:sz="0" w:space="0" w:color="auto"/>
        <w:bottom w:val="none" w:sz="0" w:space="0" w:color="auto"/>
        <w:right w:val="none" w:sz="0" w:space="0" w:color="auto"/>
      </w:divBdr>
      <w:divsChild>
        <w:div w:id="486750987">
          <w:marLeft w:val="0"/>
          <w:marRight w:val="0"/>
          <w:marTop w:val="0"/>
          <w:marBottom w:val="0"/>
          <w:divBdr>
            <w:top w:val="none" w:sz="0" w:space="0" w:color="auto"/>
            <w:left w:val="none" w:sz="0" w:space="0" w:color="auto"/>
            <w:bottom w:val="none" w:sz="0" w:space="0" w:color="auto"/>
            <w:right w:val="none" w:sz="0" w:space="0" w:color="auto"/>
          </w:divBdr>
          <w:divsChild>
            <w:div w:id="121117745">
              <w:marLeft w:val="0"/>
              <w:marRight w:val="0"/>
              <w:marTop w:val="0"/>
              <w:marBottom w:val="0"/>
              <w:divBdr>
                <w:top w:val="none" w:sz="0" w:space="0" w:color="auto"/>
                <w:left w:val="none" w:sz="0" w:space="0" w:color="auto"/>
                <w:bottom w:val="none" w:sz="0" w:space="0" w:color="auto"/>
                <w:right w:val="none" w:sz="0" w:space="0" w:color="auto"/>
              </w:divBdr>
              <w:divsChild>
                <w:div w:id="1444689460">
                  <w:marLeft w:val="0"/>
                  <w:marRight w:val="0"/>
                  <w:marTop w:val="0"/>
                  <w:marBottom w:val="0"/>
                  <w:divBdr>
                    <w:top w:val="none" w:sz="0" w:space="0" w:color="auto"/>
                    <w:left w:val="none" w:sz="0" w:space="0" w:color="auto"/>
                    <w:bottom w:val="none" w:sz="0" w:space="0" w:color="auto"/>
                    <w:right w:val="none" w:sz="0" w:space="0" w:color="auto"/>
                  </w:divBdr>
                  <w:divsChild>
                    <w:div w:id="872040118">
                      <w:marLeft w:val="0"/>
                      <w:marRight w:val="0"/>
                      <w:marTop w:val="0"/>
                      <w:marBottom w:val="0"/>
                      <w:divBdr>
                        <w:top w:val="none" w:sz="0" w:space="0" w:color="auto"/>
                        <w:left w:val="none" w:sz="0" w:space="0" w:color="auto"/>
                        <w:bottom w:val="none" w:sz="0" w:space="0" w:color="auto"/>
                        <w:right w:val="none" w:sz="0" w:space="0" w:color="auto"/>
                      </w:divBdr>
                      <w:divsChild>
                        <w:div w:id="2029067024">
                          <w:marLeft w:val="0"/>
                          <w:marRight w:val="0"/>
                          <w:marTop w:val="0"/>
                          <w:marBottom w:val="0"/>
                          <w:divBdr>
                            <w:top w:val="none" w:sz="0" w:space="0" w:color="auto"/>
                            <w:left w:val="none" w:sz="0" w:space="0" w:color="auto"/>
                            <w:bottom w:val="none" w:sz="0" w:space="0" w:color="auto"/>
                            <w:right w:val="none" w:sz="0" w:space="0" w:color="auto"/>
                          </w:divBdr>
                          <w:divsChild>
                            <w:div w:id="524833130">
                              <w:marLeft w:val="0"/>
                              <w:marRight w:val="0"/>
                              <w:marTop w:val="0"/>
                              <w:marBottom w:val="25"/>
                              <w:divBdr>
                                <w:top w:val="none" w:sz="0" w:space="0" w:color="auto"/>
                                <w:left w:val="none" w:sz="0" w:space="0" w:color="auto"/>
                                <w:bottom w:val="none" w:sz="0" w:space="0" w:color="auto"/>
                                <w:right w:val="none" w:sz="0" w:space="0" w:color="auto"/>
                              </w:divBdr>
                              <w:divsChild>
                                <w:div w:id="1355813940">
                                  <w:marLeft w:val="38"/>
                                  <w:marRight w:val="38"/>
                                  <w:marTop w:val="0"/>
                                  <w:marBottom w:val="0"/>
                                  <w:divBdr>
                                    <w:top w:val="none" w:sz="0" w:space="0" w:color="auto"/>
                                    <w:left w:val="none" w:sz="0" w:space="0" w:color="auto"/>
                                    <w:bottom w:val="none" w:sz="0" w:space="0" w:color="auto"/>
                                    <w:right w:val="none" w:sz="0" w:space="0" w:color="auto"/>
                                  </w:divBdr>
                                  <w:divsChild>
                                    <w:div w:id="690692654">
                                      <w:marLeft w:val="0"/>
                                      <w:marRight w:val="0"/>
                                      <w:marTop w:val="0"/>
                                      <w:marBottom w:val="0"/>
                                      <w:divBdr>
                                        <w:top w:val="single" w:sz="4" w:space="0" w:color="DCDCDC"/>
                                        <w:left w:val="single" w:sz="4" w:space="0" w:color="DCDCDC"/>
                                        <w:bottom w:val="single" w:sz="4" w:space="0" w:color="DCDCDC"/>
                                        <w:right w:val="single" w:sz="4" w:space="0" w:color="DCDCDC"/>
                                      </w:divBdr>
                                    </w:div>
                                  </w:divsChild>
                                </w:div>
                              </w:divsChild>
                            </w:div>
                          </w:divsChild>
                        </w:div>
                      </w:divsChild>
                    </w:div>
                  </w:divsChild>
                </w:div>
              </w:divsChild>
            </w:div>
          </w:divsChild>
        </w:div>
      </w:divsChild>
    </w:div>
    <w:div w:id="836191129">
      <w:bodyDiv w:val="1"/>
      <w:marLeft w:val="0"/>
      <w:marRight w:val="0"/>
      <w:marTop w:val="0"/>
      <w:marBottom w:val="0"/>
      <w:divBdr>
        <w:top w:val="none" w:sz="0" w:space="0" w:color="auto"/>
        <w:left w:val="none" w:sz="0" w:space="0" w:color="auto"/>
        <w:bottom w:val="none" w:sz="0" w:space="0" w:color="auto"/>
        <w:right w:val="none" w:sz="0" w:space="0" w:color="auto"/>
      </w:divBdr>
    </w:div>
    <w:div w:id="1244224101">
      <w:bodyDiv w:val="1"/>
      <w:marLeft w:val="0"/>
      <w:marRight w:val="0"/>
      <w:marTop w:val="0"/>
      <w:marBottom w:val="0"/>
      <w:divBdr>
        <w:top w:val="none" w:sz="0" w:space="0" w:color="auto"/>
        <w:left w:val="none" w:sz="0" w:space="0" w:color="auto"/>
        <w:bottom w:val="none" w:sz="0" w:space="0" w:color="auto"/>
        <w:right w:val="none" w:sz="0" w:space="0" w:color="auto"/>
      </w:divBdr>
    </w:div>
    <w:div w:id="1907184701">
      <w:bodyDiv w:val="1"/>
      <w:marLeft w:val="0"/>
      <w:marRight w:val="0"/>
      <w:marTop w:val="0"/>
      <w:marBottom w:val="0"/>
      <w:divBdr>
        <w:top w:val="none" w:sz="0" w:space="0" w:color="auto"/>
        <w:left w:val="none" w:sz="0" w:space="0" w:color="auto"/>
        <w:bottom w:val="none" w:sz="0" w:space="0" w:color="auto"/>
        <w:right w:val="none" w:sz="0" w:space="0" w:color="auto"/>
      </w:divBdr>
    </w:div>
    <w:div w:id="21261194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3.w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turnerdesigns.com/t2/doc/manuals/998-2100.pdf"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4.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3A5CC5E-A54D-4D4C-8DF9-91FBDF5D49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20</Pages>
  <Words>5952</Words>
  <Characters>33928</Characters>
  <Application>Microsoft Office Word</Application>
  <DocSecurity>0</DocSecurity>
  <Lines>282</Lines>
  <Paragraphs>79</Paragraphs>
  <ScaleCrop>false</ScaleCrop>
  <HeadingPairs>
    <vt:vector size="2" baseType="variant">
      <vt:variant>
        <vt:lpstr>Title</vt:lpstr>
      </vt:variant>
      <vt:variant>
        <vt:i4>1</vt:i4>
      </vt:variant>
    </vt:vector>
  </HeadingPairs>
  <TitlesOfParts>
    <vt:vector size="1" baseType="lpstr">
      <vt:lpstr/>
    </vt:vector>
  </TitlesOfParts>
  <Company>Department of Environmental Protection</Company>
  <LinksUpToDate>false</LinksUpToDate>
  <CharactersWithSpaces>39801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jbeskenis</dc:creator>
  <cp:lastModifiedBy>rchase</cp:lastModifiedBy>
  <cp:revision>2</cp:revision>
  <cp:lastPrinted>2014-12-30T14:26:00Z</cp:lastPrinted>
  <dcterms:created xsi:type="dcterms:W3CDTF">2015-08-07T11:23:00Z</dcterms:created>
  <dcterms:modified xsi:type="dcterms:W3CDTF">2015-08-07T11:23:00Z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-471659460</vt:i4>
  </property>
  <property fmtid="{D5CDD505-2E9C-101B-9397-08002B2CF9AE}" pid="3" name="_NewReviewCycle">
    <vt:lpwstr/>
  </property>
  <property fmtid="{D5CDD505-2E9C-101B-9397-08002B2CF9AE}" pid="4" name="_EmailSubject">
    <vt:lpwstr>revisions</vt:lpwstr>
  </property>
  <property fmtid="{D5CDD505-2E9C-101B-9397-08002B2CF9AE}" pid="5" name="_AuthorEmail">
    <vt:lpwstr>Joan.Beskenis@MassMail.State.MA.US</vt:lpwstr>
  </property>
  <property fmtid="{D5CDD505-2E9C-101B-9397-08002B2CF9AE}" pid="6" name="_AuthorEmailDisplayName">
    <vt:lpwstr>Beskenis, Joan (DEP)</vt:lpwstr>
  </property>
  <property fmtid="{D5CDD505-2E9C-101B-9397-08002B2CF9AE}" pid="7" name="_ReviewingToolsShownOnce">
    <vt:lpwstr/>
  </property>
</Properties>
</file>