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F5A" w:rsidRPr="00BC68A5" w:rsidRDefault="007C5F5A" w:rsidP="00523577">
      <w:pPr>
        <w:pStyle w:val="Heading1"/>
      </w:pPr>
      <w:r w:rsidRPr="00BC68A5">
        <w:t>Slide 1</w:t>
      </w:r>
    </w:p>
    <w:p w:rsidR="007C5F5A" w:rsidRPr="00B17AEF" w:rsidRDefault="007C5F5A" w:rsidP="00523577">
      <w:pPr>
        <w:pStyle w:val="Heading2"/>
      </w:pPr>
      <w:r w:rsidRPr="00B17AEF">
        <w:t>Measure alignment in Rhode Island</w:t>
      </w:r>
    </w:p>
    <w:p w:rsidR="007C5F5A" w:rsidRDefault="007C5F5A" w:rsidP="00523577">
      <w:pPr>
        <w:jc w:val="left"/>
        <w:rPr>
          <w:rFonts w:ascii="Helvetica" w:hAnsi="Helvetica"/>
          <w:sz w:val="24"/>
          <w:szCs w:val="24"/>
        </w:rPr>
      </w:pPr>
      <w:r w:rsidRPr="007C5F5A">
        <w:rPr>
          <w:rFonts w:ascii="Helvetica" w:hAnsi="Helvetica"/>
          <w:noProof/>
          <w:sz w:val="24"/>
          <w:szCs w:val="24"/>
        </w:rPr>
        <w:drawing>
          <wp:inline distT="0" distB="0" distL="0" distR="0" wp14:anchorId="2D1DC5A5" wp14:editId="6A3415B8">
            <wp:extent cx="4267200" cy="2390775"/>
            <wp:effectExtent l="0" t="0" r="0" b="9525"/>
            <wp:docPr id="5" name="Picture 4" title="Office of the Health Insurance Commissioner, State of Rhode Island Logo">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56A9AA-0460-4606-90E2-814B489AF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6956A9AA-0460-4606-90E2-814B489AF61E}"/>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267200" cy="2390775"/>
                    </a:xfrm>
                    <a:prstGeom prst="rect">
                      <a:avLst/>
                    </a:prstGeom>
                  </pic:spPr>
                </pic:pic>
              </a:graphicData>
            </a:graphic>
          </wp:inline>
        </w:drawing>
      </w:r>
    </w:p>
    <w:p w:rsidR="007C5F5A" w:rsidRPr="00A84DB7" w:rsidRDefault="007C5F5A" w:rsidP="00523577">
      <w:pPr>
        <w:jc w:val="left"/>
        <w:rPr>
          <w:sz w:val="24"/>
          <w:szCs w:val="24"/>
        </w:rPr>
      </w:pPr>
      <w:r w:rsidRPr="00A84DB7">
        <w:rPr>
          <w:sz w:val="24"/>
          <w:szCs w:val="24"/>
        </w:rPr>
        <w:t>Cory king</w:t>
      </w:r>
    </w:p>
    <w:p w:rsidR="007C5F5A" w:rsidRPr="00A84DB7" w:rsidRDefault="007C5F5A" w:rsidP="00523577">
      <w:pPr>
        <w:jc w:val="left"/>
        <w:rPr>
          <w:sz w:val="24"/>
          <w:szCs w:val="24"/>
        </w:rPr>
      </w:pPr>
      <w:r w:rsidRPr="00A84DB7">
        <w:rPr>
          <w:sz w:val="24"/>
          <w:szCs w:val="24"/>
        </w:rPr>
        <w:t>Director of policy</w:t>
      </w:r>
    </w:p>
    <w:p w:rsidR="007C5F5A" w:rsidRPr="00A84DB7" w:rsidRDefault="007C5F5A" w:rsidP="00523577">
      <w:pPr>
        <w:jc w:val="left"/>
        <w:rPr>
          <w:sz w:val="24"/>
          <w:szCs w:val="24"/>
        </w:rPr>
      </w:pPr>
      <w:r w:rsidRPr="00A84DB7">
        <w:rPr>
          <w:sz w:val="24"/>
          <w:szCs w:val="24"/>
        </w:rPr>
        <w:t>Rhode Island office of the health insurance commissioner</w:t>
      </w:r>
    </w:p>
    <w:p w:rsidR="007C5F5A" w:rsidRPr="00A84DB7" w:rsidRDefault="007C5F5A" w:rsidP="00523577">
      <w:pPr>
        <w:jc w:val="left"/>
        <w:rPr>
          <w:sz w:val="24"/>
          <w:szCs w:val="24"/>
        </w:rPr>
      </w:pPr>
      <w:r w:rsidRPr="00A84DB7">
        <w:rPr>
          <w:sz w:val="24"/>
          <w:szCs w:val="24"/>
        </w:rPr>
        <w:t>October 16, 2019</w:t>
      </w:r>
    </w:p>
    <w:p w:rsidR="007C5F5A" w:rsidRPr="00BC68A5" w:rsidRDefault="007C5F5A" w:rsidP="00523577">
      <w:pPr>
        <w:pStyle w:val="Heading1"/>
      </w:pPr>
      <w:r w:rsidRPr="00BC68A5">
        <w:t xml:space="preserve">Slide </w:t>
      </w:r>
      <w:r>
        <w:t>2</w:t>
      </w:r>
    </w:p>
    <w:p w:rsidR="00857203" w:rsidRPr="007C5F5A" w:rsidRDefault="007C5F5A" w:rsidP="00523577">
      <w:pPr>
        <w:pStyle w:val="Heading2"/>
      </w:pPr>
      <w:r w:rsidRPr="007C5F5A">
        <w:t>About Office of the Health Insurance Commissioner (OHIC)</w:t>
      </w:r>
    </w:p>
    <w:p w:rsidR="007C5F5A" w:rsidRPr="007C5F5A" w:rsidRDefault="007C5F5A" w:rsidP="00523577">
      <w:pPr>
        <w:jc w:val="left"/>
        <w:rPr>
          <w:sz w:val="24"/>
          <w:szCs w:val="24"/>
        </w:rPr>
      </w:pPr>
      <w:r w:rsidRPr="007C5F5A">
        <w:rPr>
          <w:sz w:val="24"/>
          <w:szCs w:val="24"/>
        </w:rPr>
        <w:t xml:space="preserve">The Office of the Health Insurance Commissioner (OHIC) was created by the Rhode Island General Assembly in 2004.  The agency is charged with protecting consumers, ensuring fair treatment of health care providers, guarding the solvency of insurers, and improving the health care system as a whole.  </w:t>
      </w:r>
    </w:p>
    <w:p w:rsidR="007C5F5A" w:rsidRPr="007C5F5A" w:rsidRDefault="007C5F5A" w:rsidP="00523577">
      <w:pPr>
        <w:jc w:val="left"/>
        <w:rPr>
          <w:sz w:val="24"/>
          <w:szCs w:val="24"/>
          <w:lang w:val="es-US"/>
        </w:rPr>
      </w:pPr>
      <w:r w:rsidRPr="007C5F5A">
        <w:rPr>
          <w:sz w:val="24"/>
          <w:szCs w:val="24"/>
          <w:lang w:val="es-US"/>
        </w:rPr>
        <w:t xml:space="preserve">RIGL 42-14.5-2 </w:t>
      </w:r>
      <w:r w:rsidR="00F94D2A">
        <w:fldChar w:fldCharType="begin"/>
      </w:r>
      <w:r w:rsidR="00F94D2A" w:rsidRPr="00F94D2A">
        <w:rPr>
          <w:lang w:val="es-US"/>
        </w:rPr>
        <w:instrText xml:space="preserve"> HYPERLINK "http://webserver.rilin.state.ri.us/Statutes/TITLE42/42-14.5/42-14.5-2.HTM" \o "go to TITLE 42 State Affairs and Government web page" </w:instrText>
      </w:r>
      <w:r w:rsidR="00F94D2A">
        <w:fldChar w:fldCharType="separate"/>
      </w:r>
      <w:r w:rsidRPr="007C5F5A">
        <w:rPr>
          <w:rStyle w:val="Hyperlink"/>
          <w:sz w:val="24"/>
          <w:szCs w:val="24"/>
          <w:lang w:val="es-US"/>
        </w:rPr>
        <w:t xml:space="preserve">http://webserver.rilin.state.ri.us/Statutes/TITLE42/42-14.5/42-14.5-2.HTM </w:t>
      </w:r>
      <w:r w:rsidR="00F94D2A">
        <w:rPr>
          <w:rStyle w:val="Hyperlink"/>
          <w:sz w:val="24"/>
          <w:szCs w:val="24"/>
          <w:lang w:val="es-US"/>
        </w:rPr>
        <w:fldChar w:fldCharType="end"/>
      </w:r>
    </w:p>
    <w:p w:rsidR="007C5F5A" w:rsidRPr="00BC68A5" w:rsidRDefault="007C5F5A" w:rsidP="00523577">
      <w:pPr>
        <w:pStyle w:val="Heading1"/>
      </w:pPr>
      <w:r w:rsidRPr="00BC68A5">
        <w:t xml:space="preserve">Slide </w:t>
      </w:r>
      <w:r>
        <w:t>3</w:t>
      </w:r>
    </w:p>
    <w:p w:rsidR="007C5F5A" w:rsidRDefault="007C5F5A" w:rsidP="00523577">
      <w:pPr>
        <w:pStyle w:val="Heading2"/>
        <w:rPr>
          <w:lang w:val="es-US"/>
        </w:rPr>
      </w:pPr>
      <w:r w:rsidRPr="007C5F5A">
        <w:rPr>
          <w:lang w:val="es-US"/>
        </w:rPr>
        <w:t>Agenda</w:t>
      </w:r>
    </w:p>
    <w:p w:rsidR="007C5F5A" w:rsidRPr="00B17AEF" w:rsidRDefault="007C5F5A" w:rsidP="00523577">
      <w:pPr>
        <w:pStyle w:val="ListParagraph"/>
        <w:numPr>
          <w:ilvl w:val="0"/>
          <w:numId w:val="2"/>
        </w:numPr>
        <w:jc w:val="left"/>
        <w:rPr>
          <w:sz w:val="24"/>
          <w:szCs w:val="24"/>
        </w:rPr>
      </w:pPr>
      <w:r w:rsidRPr="00B17AEF">
        <w:rPr>
          <w:sz w:val="24"/>
          <w:szCs w:val="24"/>
        </w:rPr>
        <w:t>Rhode Island’s Rationale for Measure Alignment</w:t>
      </w:r>
    </w:p>
    <w:p w:rsidR="007C5F5A" w:rsidRPr="00B17AEF" w:rsidRDefault="007C5F5A" w:rsidP="00523577">
      <w:pPr>
        <w:pStyle w:val="ListParagraph"/>
        <w:numPr>
          <w:ilvl w:val="0"/>
          <w:numId w:val="2"/>
        </w:numPr>
        <w:jc w:val="left"/>
        <w:rPr>
          <w:sz w:val="24"/>
          <w:szCs w:val="24"/>
        </w:rPr>
      </w:pPr>
      <w:r w:rsidRPr="00B17AEF">
        <w:rPr>
          <w:sz w:val="24"/>
          <w:szCs w:val="24"/>
        </w:rPr>
        <w:t>Foundational Efforts</w:t>
      </w:r>
    </w:p>
    <w:p w:rsidR="007C5F5A" w:rsidRPr="00B17AEF" w:rsidRDefault="007C5F5A" w:rsidP="00523577">
      <w:pPr>
        <w:pStyle w:val="ListParagraph"/>
        <w:numPr>
          <w:ilvl w:val="0"/>
          <w:numId w:val="2"/>
        </w:numPr>
        <w:jc w:val="left"/>
        <w:rPr>
          <w:sz w:val="24"/>
          <w:szCs w:val="24"/>
        </w:rPr>
      </w:pPr>
      <w:r w:rsidRPr="00B17AEF">
        <w:rPr>
          <w:sz w:val="24"/>
          <w:szCs w:val="24"/>
        </w:rPr>
        <w:t>Structure of the Measure Sets</w:t>
      </w:r>
    </w:p>
    <w:p w:rsidR="007C5F5A" w:rsidRPr="00B17AEF" w:rsidRDefault="007C5F5A" w:rsidP="00523577">
      <w:pPr>
        <w:pStyle w:val="ListParagraph"/>
        <w:numPr>
          <w:ilvl w:val="0"/>
          <w:numId w:val="2"/>
        </w:numPr>
        <w:jc w:val="left"/>
        <w:rPr>
          <w:sz w:val="24"/>
          <w:szCs w:val="24"/>
        </w:rPr>
      </w:pPr>
      <w:r w:rsidRPr="00B17AEF">
        <w:rPr>
          <w:sz w:val="24"/>
          <w:szCs w:val="24"/>
        </w:rPr>
        <w:t>Annual Review Process – Review Committee</w:t>
      </w:r>
    </w:p>
    <w:p w:rsidR="007C5F5A" w:rsidRPr="00B17AEF" w:rsidRDefault="007C5F5A" w:rsidP="00523577">
      <w:pPr>
        <w:pStyle w:val="ListParagraph"/>
        <w:numPr>
          <w:ilvl w:val="0"/>
          <w:numId w:val="2"/>
        </w:numPr>
        <w:jc w:val="left"/>
        <w:rPr>
          <w:sz w:val="24"/>
          <w:szCs w:val="24"/>
        </w:rPr>
      </w:pPr>
      <w:r w:rsidRPr="00B17AEF">
        <w:rPr>
          <w:sz w:val="24"/>
          <w:szCs w:val="24"/>
        </w:rPr>
        <w:lastRenderedPageBreak/>
        <w:t>Annual Review Cycle</w:t>
      </w:r>
    </w:p>
    <w:p w:rsidR="007C5F5A" w:rsidRPr="00B17AEF" w:rsidRDefault="007C5F5A" w:rsidP="00523577">
      <w:pPr>
        <w:pStyle w:val="ListParagraph"/>
        <w:numPr>
          <w:ilvl w:val="0"/>
          <w:numId w:val="2"/>
        </w:numPr>
        <w:jc w:val="left"/>
        <w:rPr>
          <w:sz w:val="24"/>
          <w:szCs w:val="24"/>
          <w:lang w:val="es-US"/>
        </w:rPr>
      </w:pPr>
      <w:proofErr w:type="spellStart"/>
      <w:r w:rsidRPr="00B17AEF">
        <w:rPr>
          <w:sz w:val="24"/>
          <w:szCs w:val="24"/>
          <w:lang w:val="es-US"/>
        </w:rPr>
        <w:t>Compliance</w:t>
      </w:r>
      <w:proofErr w:type="spellEnd"/>
      <w:r w:rsidRPr="00B17AEF">
        <w:rPr>
          <w:sz w:val="24"/>
          <w:szCs w:val="24"/>
          <w:lang w:val="es-US"/>
        </w:rPr>
        <w:t xml:space="preserve"> </w:t>
      </w:r>
      <w:proofErr w:type="spellStart"/>
      <w:r w:rsidRPr="00B17AEF">
        <w:rPr>
          <w:sz w:val="24"/>
          <w:szCs w:val="24"/>
          <w:lang w:val="es-US"/>
        </w:rPr>
        <w:t>Reviews</w:t>
      </w:r>
      <w:proofErr w:type="spellEnd"/>
    </w:p>
    <w:p w:rsidR="007C5F5A" w:rsidRDefault="007C5F5A" w:rsidP="00523577">
      <w:pPr>
        <w:pStyle w:val="ListParagraph"/>
        <w:numPr>
          <w:ilvl w:val="0"/>
          <w:numId w:val="2"/>
        </w:numPr>
        <w:jc w:val="left"/>
        <w:rPr>
          <w:sz w:val="24"/>
          <w:szCs w:val="24"/>
          <w:lang w:val="es-US"/>
        </w:rPr>
      </w:pPr>
      <w:proofErr w:type="spellStart"/>
      <w:r w:rsidRPr="00B17AEF">
        <w:rPr>
          <w:sz w:val="24"/>
          <w:szCs w:val="24"/>
          <w:lang w:val="es-US"/>
        </w:rPr>
        <w:t>Reflections</w:t>
      </w:r>
      <w:proofErr w:type="spellEnd"/>
    </w:p>
    <w:p w:rsidR="00B17AEF" w:rsidRPr="00BC68A5" w:rsidRDefault="00B17AEF" w:rsidP="00523577">
      <w:pPr>
        <w:pStyle w:val="Heading1"/>
      </w:pPr>
      <w:r w:rsidRPr="00BC68A5">
        <w:t xml:space="preserve">Slide </w:t>
      </w:r>
      <w:r>
        <w:t>4</w:t>
      </w:r>
    </w:p>
    <w:p w:rsidR="00B17AEF" w:rsidRDefault="00B17AEF" w:rsidP="00523577">
      <w:pPr>
        <w:pStyle w:val="Heading2"/>
      </w:pPr>
      <w:r w:rsidRPr="00B17AEF">
        <w:t>Rhode Island’s Rationale for Measure Alignment</w:t>
      </w:r>
    </w:p>
    <w:p w:rsidR="00B17AEF" w:rsidRPr="00B17AEF" w:rsidRDefault="00B17AEF" w:rsidP="00523577">
      <w:pPr>
        <w:pStyle w:val="ListParagraph"/>
        <w:numPr>
          <w:ilvl w:val="0"/>
          <w:numId w:val="7"/>
        </w:numPr>
        <w:jc w:val="left"/>
        <w:rPr>
          <w:sz w:val="24"/>
          <w:szCs w:val="24"/>
        </w:rPr>
      </w:pPr>
      <w:r w:rsidRPr="00B17AEF">
        <w:rPr>
          <w:sz w:val="24"/>
          <w:szCs w:val="24"/>
        </w:rPr>
        <w:t>Proliferation of value-based contracts.</w:t>
      </w:r>
    </w:p>
    <w:p w:rsidR="00B17AEF" w:rsidRPr="00B17AEF" w:rsidRDefault="00B17AEF" w:rsidP="00523577">
      <w:pPr>
        <w:pStyle w:val="ListParagraph"/>
        <w:numPr>
          <w:ilvl w:val="0"/>
          <w:numId w:val="7"/>
        </w:numPr>
        <w:jc w:val="left"/>
        <w:rPr>
          <w:sz w:val="24"/>
          <w:szCs w:val="24"/>
        </w:rPr>
      </w:pPr>
      <w:r w:rsidRPr="00B17AEF">
        <w:rPr>
          <w:sz w:val="24"/>
          <w:szCs w:val="24"/>
        </w:rPr>
        <w:t>Reduce administrative burden faced by providers.</w:t>
      </w:r>
    </w:p>
    <w:p w:rsidR="00B17AEF" w:rsidRPr="00B17AEF" w:rsidRDefault="00B17AEF" w:rsidP="00523577">
      <w:pPr>
        <w:pStyle w:val="ListParagraph"/>
        <w:numPr>
          <w:ilvl w:val="0"/>
          <w:numId w:val="7"/>
        </w:numPr>
        <w:jc w:val="left"/>
        <w:rPr>
          <w:sz w:val="24"/>
          <w:szCs w:val="24"/>
        </w:rPr>
      </w:pPr>
      <w:r w:rsidRPr="00B17AEF">
        <w:rPr>
          <w:sz w:val="24"/>
          <w:szCs w:val="24"/>
        </w:rPr>
        <w:t>Channel clinical focus on core dimensions of care delivery.</w:t>
      </w:r>
    </w:p>
    <w:p w:rsidR="00B17AEF" w:rsidRPr="00B17AEF" w:rsidRDefault="00B17AEF" w:rsidP="00523577">
      <w:pPr>
        <w:pStyle w:val="ListParagraph"/>
        <w:numPr>
          <w:ilvl w:val="0"/>
          <w:numId w:val="7"/>
        </w:numPr>
        <w:jc w:val="left"/>
        <w:rPr>
          <w:sz w:val="24"/>
          <w:szCs w:val="24"/>
        </w:rPr>
      </w:pPr>
      <w:r w:rsidRPr="00B17AEF">
        <w:rPr>
          <w:sz w:val="24"/>
          <w:szCs w:val="24"/>
        </w:rPr>
        <w:t>Fulfill the requirements of the SIM Model Test Grant.</w:t>
      </w:r>
    </w:p>
    <w:p w:rsidR="00B17AEF" w:rsidRPr="00BC68A5" w:rsidRDefault="00B17AEF" w:rsidP="00523577">
      <w:pPr>
        <w:pStyle w:val="Heading1"/>
      </w:pPr>
      <w:r w:rsidRPr="00BC68A5">
        <w:t xml:space="preserve">Slide </w:t>
      </w:r>
      <w:r>
        <w:t>5</w:t>
      </w:r>
    </w:p>
    <w:p w:rsidR="00B17AEF" w:rsidRDefault="00B17AEF" w:rsidP="00523577">
      <w:pPr>
        <w:pStyle w:val="Heading2"/>
      </w:pPr>
      <w:r w:rsidRPr="00B17AEF">
        <w:t>Foundational Efforts</w:t>
      </w:r>
    </w:p>
    <w:p w:rsidR="00B17AEF" w:rsidRPr="00B17AEF" w:rsidRDefault="00B17AEF" w:rsidP="00523577">
      <w:pPr>
        <w:pStyle w:val="ListParagraph"/>
        <w:numPr>
          <w:ilvl w:val="0"/>
          <w:numId w:val="3"/>
        </w:numPr>
        <w:jc w:val="left"/>
        <w:rPr>
          <w:sz w:val="24"/>
          <w:szCs w:val="24"/>
        </w:rPr>
      </w:pPr>
      <w:r w:rsidRPr="00B17AEF">
        <w:rPr>
          <w:sz w:val="24"/>
          <w:szCs w:val="24"/>
        </w:rPr>
        <w:t xml:space="preserve">August 2015 – October 2016:  OHIC convened a Measure Alignment Work Group. </w:t>
      </w:r>
    </w:p>
    <w:p w:rsidR="00B17AEF" w:rsidRPr="00B17AEF" w:rsidRDefault="00B17AEF" w:rsidP="00523577">
      <w:pPr>
        <w:pStyle w:val="ListParagraph"/>
        <w:numPr>
          <w:ilvl w:val="1"/>
          <w:numId w:val="3"/>
        </w:numPr>
        <w:jc w:val="left"/>
        <w:rPr>
          <w:sz w:val="24"/>
          <w:szCs w:val="24"/>
        </w:rPr>
      </w:pPr>
      <w:r w:rsidRPr="00B17AEF">
        <w:rPr>
          <w:sz w:val="24"/>
          <w:szCs w:val="24"/>
        </w:rPr>
        <w:t>The Work Group developed measure sets for:</w:t>
      </w:r>
    </w:p>
    <w:p w:rsidR="00B17AEF" w:rsidRPr="00B17AEF" w:rsidRDefault="00B17AEF" w:rsidP="00523577">
      <w:pPr>
        <w:pStyle w:val="ListParagraph"/>
        <w:numPr>
          <w:ilvl w:val="2"/>
          <w:numId w:val="3"/>
        </w:numPr>
        <w:jc w:val="left"/>
        <w:rPr>
          <w:sz w:val="24"/>
          <w:szCs w:val="24"/>
        </w:rPr>
      </w:pPr>
      <w:r w:rsidRPr="00B17AEF">
        <w:rPr>
          <w:sz w:val="24"/>
          <w:szCs w:val="24"/>
        </w:rPr>
        <w:t xml:space="preserve">Accountable Care Organizations; </w:t>
      </w:r>
    </w:p>
    <w:p w:rsidR="00B17AEF" w:rsidRPr="00B17AEF" w:rsidRDefault="00B17AEF" w:rsidP="00523577">
      <w:pPr>
        <w:pStyle w:val="ListParagraph"/>
        <w:numPr>
          <w:ilvl w:val="2"/>
          <w:numId w:val="3"/>
        </w:numPr>
        <w:jc w:val="left"/>
        <w:rPr>
          <w:sz w:val="24"/>
          <w:szCs w:val="24"/>
        </w:rPr>
      </w:pPr>
      <w:r w:rsidRPr="00B17AEF">
        <w:rPr>
          <w:sz w:val="24"/>
          <w:szCs w:val="24"/>
        </w:rPr>
        <w:t xml:space="preserve">Hospitals; </w:t>
      </w:r>
    </w:p>
    <w:p w:rsidR="00B17AEF" w:rsidRPr="00B17AEF" w:rsidRDefault="00B17AEF" w:rsidP="00523577">
      <w:pPr>
        <w:pStyle w:val="ListParagraph"/>
        <w:numPr>
          <w:ilvl w:val="2"/>
          <w:numId w:val="3"/>
        </w:numPr>
        <w:jc w:val="left"/>
        <w:rPr>
          <w:sz w:val="24"/>
          <w:szCs w:val="24"/>
        </w:rPr>
      </w:pPr>
      <w:r w:rsidRPr="00B17AEF">
        <w:rPr>
          <w:sz w:val="24"/>
          <w:szCs w:val="24"/>
        </w:rPr>
        <w:t>Primary Care Providers</w:t>
      </w:r>
    </w:p>
    <w:p w:rsidR="00B17AEF" w:rsidRPr="00B17AEF" w:rsidRDefault="00B17AEF" w:rsidP="00523577">
      <w:pPr>
        <w:pStyle w:val="ListParagraph"/>
        <w:numPr>
          <w:ilvl w:val="2"/>
          <w:numId w:val="3"/>
        </w:numPr>
        <w:jc w:val="left"/>
        <w:rPr>
          <w:sz w:val="24"/>
          <w:szCs w:val="24"/>
        </w:rPr>
      </w:pPr>
      <w:r w:rsidRPr="00B17AEF">
        <w:rPr>
          <w:sz w:val="24"/>
          <w:szCs w:val="24"/>
        </w:rPr>
        <w:t>Maternity Care</w:t>
      </w:r>
    </w:p>
    <w:p w:rsidR="00B17AEF" w:rsidRPr="00B17AEF" w:rsidRDefault="00B17AEF" w:rsidP="00523577">
      <w:pPr>
        <w:pStyle w:val="ListParagraph"/>
        <w:numPr>
          <w:ilvl w:val="2"/>
          <w:numId w:val="3"/>
        </w:numPr>
        <w:jc w:val="left"/>
        <w:rPr>
          <w:sz w:val="24"/>
          <w:szCs w:val="24"/>
        </w:rPr>
      </w:pPr>
      <w:r w:rsidRPr="00B17AEF">
        <w:rPr>
          <w:sz w:val="24"/>
          <w:szCs w:val="24"/>
        </w:rPr>
        <w:t>Behavioral Health (MH/SUD)</w:t>
      </w:r>
    </w:p>
    <w:p w:rsidR="00B17AEF" w:rsidRPr="00B17AEF" w:rsidRDefault="00B17AEF" w:rsidP="00523577">
      <w:pPr>
        <w:pStyle w:val="ListParagraph"/>
        <w:numPr>
          <w:ilvl w:val="0"/>
          <w:numId w:val="3"/>
        </w:numPr>
        <w:jc w:val="left"/>
        <w:rPr>
          <w:sz w:val="24"/>
          <w:szCs w:val="24"/>
        </w:rPr>
      </w:pPr>
      <w:r w:rsidRPr="00B17AEF">
        <w:rPr>
          <w:sz w:val="24"/>
          <w:szCs w:val="24"/>
        </w:rPr>
        <w:t xml:space="preserve">August 2016:  OHIC conditioned the approval of individual and group market premiums on adherence to the aligned measure sets. </w:t>
      </w:r>
    </w:p>
    <w:p w:rsidR="00B17AEF" w:rsidRDefault="00B17AEF" w:rsidP="00523577">
      <w:pPr>
        <w:pStyle w:val="ListParagraph"/>
        <w:numPr>
          <w:ilvl w:val="0"/>
          <w:numId w:val="3"/>
        </w:numPr>
        <w:jc w:val="left"/>
        <w:rPr>
          <w:sz w:val="24"/>
          <w:szCs w:val="24"/>
        </w:rPr>
      </w:pPr>
      <w:r w:rsidRPr="00B17AEF">
        <w:rPr>
          <w:sz w:val="24"/>
          <w:szCs w:val="24"/>
        </w:rPr>
        <w:t>January 2017:  OHIC promulgated regulations mandating adherence to the measure sets and formally constituting an annual review process.</w:t>
      </w:r>
    </w:p>
    <w:p w:rsidR="00B17AEF" w:rsidRPr="00BC68A5" w:rsidRDefault="00B17AEF" w:rsidP="00523577">
      <w:pPr>
        <w:pStyle w:val="Heading1"/>
      </w:pPr>
      <w:r w:rsidRPr="00BC68A5">
        <w:t xml:space="preserve">Slide </w:t>
      </w:r>
      <w:r>
        <w:t>6</w:t>
      </w:r>
    </w:p>
    <w:p w:rsidR="00B17AEF" w:rsidRPr="00B17AEF" w:rsidRDefault="00B17AEF" w:rsidP="00523577">
      <w:pPr>
        <w:pStyle w:val="Heading2"/>
      </w:pPr>
      <w:r w:rsidRPr="00B17AEF">
        <w:t>Work group members</w:t>
      </w:r>
    </w:p>
    <w:p w:rsidR="00B17AEF" w:rsidRPr="00B17AEF" w:rsidRDefault="00B17AEF" w:rsidP="00523577">
      <w:pPr>
        <w:pStyle w:val="ListParagraph"/>
        <w:numPr>
          <w:ilvl w:val="0"/>
          <w:numId w:val="4"/>
        </w:numPr>
        <w:jc w:val="left"/>
        <w:rPr>
          <w:sz w:val="24"/>
          <w:szCs w:val="24"/>
        </w:rPr>
      </w:pPr>
      <w:r w:rsidRPr="00B17AEF">
        <w:rPr>
          <w:sz w:val="24"/>
          <w:szCs w:val="24"/>
        </w:rPr>
        <w:t>BCBSRI</w:t>
      </w:r>
    </w:p>
    <w:p w:rsidR="00B17AEF" w:rsidRPr="00B17AEF" w:rsidRDefault="00B17AEF" w:rsidP="00523577">
      <w:pPr>
        <w:pStyle w:val="ListParagraph"/>
        <w:numPr>
          <w:ilvl w:val="0"/>
          <w:numId w:val="4"/>
        </w:numPr>
        <w:jc w:val="left"/>
        <w:rPr>
          <w:sz w:val="24"/>
          <w:szCs w:val="24"/>
        </w:rPr>
      </w:pPr>
      <w:proofErr w:type="spellStart"/>
      <w:r w:rsidRPr="00B17AEF">
        <w:rPr>
          <w:sz w:val="24"/>
          <w:szCs w:val="24"/>
        </w:rPr>
        <w:t>UnitedHealthcare</w:t>
      </w:r>
      <w:proofErr w:type="spellEnd"/>
    </w:p>
    <w:p w:rsidR="00B17AEF" w:rsidRPr="00B17AEF" w:rsidRDefault="00B17AEF" w:rsidP="00523577">
      <w:pPr>
        <w:pStyle w:val="ListParagraph"/>
        <w:numPr>
          <w:ilvl w:val="0"/>
          <w:numId w:val="4"/>
        </w:numPr>
        <w:jc w:val="left"/>
        <w:rPr>
          <w:sz w:val="24"/>
          <w:szCs w:val="24"/>
        </w:rPr>
      </w:pPr>
      <w:r w:rsidRPr="00B17AEF">
        <w:rPr>
          <w:sz w:val="24"/>
          <w:szCs w:val="24"/>
        </w:rPr>
        <w:t>Tufts Health Plan</w:t>
      </w:r>
    </w:p>
    <w:p w:rsidR="00B17AEF" w:rsidRPr="00B17AEF" w:rsidRDefault="00B17AEF" w:rsidP="00523577">
      <w:pPr>
        <w:pStyle w:val="ListParagraph"/>
        <w:numPr>
          <w:ilvl w:val="0"/>
          <w:numId w:val="4"/>
        </w:numPr>
        <w:jc w:val="left"/>
        <w:rPr>
          <w:sz w:val="24"/>
          <w:szCs w:val="24"/>
        </w:rPr>
      </w:pPr>
      <w:r w:rsidRPr="00B17AEF">
        <w:rPr>
          <w:sz w:val="24"/>
          <w:szCs w:val="24"/>
        </w:rPr>
        <w:t>Neighborhood Health Plan of Rhode Island</w:t>
      </w:r>
    </w:p>
    <w:p w:rsidR="00B17AEF" w:rsidRPr="00B17AEF" w:rsidRDefault="00B17AEF" w:rsidP="00523577">
      <w:pPr>
        <w:pStyle w:val="ListParagraph"/>
        <w:numPr>
          <w:ilvl w:val="0"/>
          <w:numId w:val="4"/>
        </w:numPr>
        <w:jc w:val="left"/>
        <w:rPr>
          <w:sz w:val="24"/>
          <w:szCs w:val="24"/>
        </w:rPr>
      </w:pPr>
      <w:r w:rsidRPr="00B17AEF">
        <w:rPr>
          <w:sz w:val="24"/>
          <w:szCs w:val="24"/>
        </w:rPr>
        <w:t xml:space="preserve">Lifespan </w:t>
      </w:r>
    </w:p>
    <w:p w:rsidR="00B17AEF" w:rsidRPr="00B17AEF" w:rsidRDefault="00B17AEF" w:rsidP="00523577">
      <w:pPr>
        <w:pStyle w:val="ListParagraph"/>
        <w:numPr>
          <w:ilvl w:val="0"/>
          <w:numId w:val="4"/>
        </w:numPr>
        <w:jc w:val="left"/>
        <w:rPr>
          <w:sz w:val="24"/>
          <w:szCs w:val="24"/>
        </w:rPr>
      </w:pPr>
      <w:r w:rsidRPr="00B17AEF">
        <w:rPr>
          <w:sz w:val="24"/>
          <w:szCs w:val="24"/>
        </w:rPr>
        <w:t>Care New England</w:t>
      </w:r>
    </w:p>
    <w:p w:rsidR="00B17AEF" w:rsidRPr="00B17AEF" w:rsidRDefault="00B17AEF" w:rsidP="00523577">
      <w:pPr>
        <w:pStyle w:val="ListParagraph"/>
        <w:numPr>
          <w:ilvl w:val="0"/>
          <w:numId w:val="4"/>
        </w:numPr>
        <w:jc w:val="left"/>
        <w:rPr>
          <w:sz w:val="24"/>
          <w:szCs w:val="24"/>
        </w:rPr>
      </w:pPr>
      <w:r w:rsidRPr="00B17AEF">
        <w:rPr>
          <w:sz w:val="24"/>
          <w:szCs w:val="24"/>
        </w:rPr>
        <w:t>RIPCPC</w:t>
      </w:r>
    </w:p>
    <w:p w:rsidR="00B17AEF" w:rsidRPr="00B17AEF" w:rsidRDefault="00B17AEF" w:rsidP="00523577">
      <w:pPr>
        <w:pStyle w:val="ListParagraph"/>
        <w:numPr>
          <w:ilvl w:val="0"/>
          <w:numId w:val="4"/>
        </w:numPr>
        <w:jc w:val="left"/>
        <w:rPr>
          <w:sz w:val="24"/>
          <w:szCs w:val="24"/>
        </w:rPr>
      </w:pPr>
      <w:r w:rsidRPr="00B17AEF">
        <w:rPr>
          <w:sz w:val="24"/>
          <w:szCs w:val="24"/>
        </w:rPr>
        <w:t>Integrated Healthcare Partners</w:t>
      </w:r>
    </w:p>
    <w:p w:rsidR="00B17AEF" w:rsidRPr="00B17AEF" w:rsidRDefault="00B17AEF" w:rsidP="00523577">
      <w:pPr>
        <w:pStyle w:val="ListParagraph"/>
        <w:numPr>
          <w:ilvl w:val="0"/>
          <w:numId w:val="4"/>
        </w:numPr>
        <w:jc w:val="left"/>
        <w:rPr>
          <w:sz w:val="24"/>
          <w:szCs w:val="24"/>
        </w:rPr>
      </w:pPr>
      <w:r w:rsidRPr="00B17AEF">
        <w:rPr>
          <w:sz w:val="24"/>
          <w:szCs w:val="24"/>
        </w:rPr>
        <w:t>CTC-RI</w:t>
      </w:r>
    </w:p>
    <w:p w:rsidR="00B17AEF" w:rsidRPr="00B17AEF" w:rsidRDefault="00B17AEF" w:rsidP="00523577">
      <w:pPr>
        <w:pStyle w:val="ListParagraph"/>
        <w:numPr>
          <w:ilvl w:val="0"/>
          <w:numId w:val="4"/>
        </w:numPr>
        <w:jc w:val="left"/>
        <w:rPr>
          <w:sz w:val="24"/>
          <w:szCs w:val="24"/>
        </w:rPr>
      </w:pPr>
      <w:proofErr w:type="spellStart"/>
      <w:r w:rsidRPr="00B17AEF">
        <w:rPr>
          <w:sz w:val="24"/>
          <w:szCs w:val="24"/>
        </w:rPr>
        <w:t>HealthCentric</w:t>
      </w:r>
      <w:proofErr w:type="spellEnd"/>
      <w:r w:rsidRPr="00B17AEF">
        <w:rPr>
          <w:sz w:val="24"/>
          <w:szCs w:val="24"/>
        </w:rPr>
        <w:t xml:space="preserve"> Advisors</w:t>
      </w:r>
    </w:p>
    <w:p w:rsidR="00B17AEF" w:rsidRPr="00B17AEF" w:rsidRDefault="00B17AEF" w:rsidP="00523577">
      <w:pPr>
        <w:pStyle w:val="ListParagraph"/>
        <w:numPr>
          <w:ilvl w:val="0"/>
          <w:numId w:val="4"/>
        </w:numPr>
        <w:jc w:val="left"/>
        <w:rPr>
          <w:sz w:val="24"/>
          <w:szCs w:val="24"/>
        </w:rPr>
      </w:pPr>
      <w:r w:rsidRPr="00B17AEF">
        <w:rPr>
          <w:sz w:val="24"/>
          <w:szCs w:val="24"/>
        </w:rPr>
        <w:t>RI Health Center Association</w:t>
      </w:r>
    </w:p>
    <w:p w:rsidR="00B17AEF" w:rsidRPr="00B17AEF" w:rsidRDefault="00B17AEF" w:rsidP="00523577">
      <w:pPr>
        <w:pStyle w:val="ListParagraph"/>
        <w:numPr>
          <w:ilvl w:val="0"/>
          <w:numId w:val="4"/>
        </w:numPr>
        <w:jc w:val="left"/>
        <w:rPr>
          <w:sz w:val="24"/>
          <w:szCs w:val="24"/>
        </w:rPr>
      </w:pPr>
      <w:r w:rsidRPr="00B17AEF">
        <w:rPr>
          <w:sz w:val="24"/>
          <w:szCs w:val="24"/>
        </w:rPr>
        <w:t>Coastal Medical</w:t>
      </w:r>
    </w:p>
    <w:p w:rsidR="00B17AEF" w:rsidRPr="00B17AEF" w:rsidRDefault="00B17AEF" w:rsidP="00523577">
      <w:pPr>
        <w:pStyle w:val="ListParagraph"/>
        <w:numPr>
          <w:ilvl w:val="0"/>
          <w:numId w:val="4"/>
        </w:numPr>
        <w:jc w:val="left"/>
        <w:rPr>
          <w:sz w:val="24"/>
          <w:szCs w:val="24"/>
        </w:rPr>
      </w:pPr>
      <w:r w:rsidRPr="00B17AEF">
        <w:rPr>
          <w:sz w:val="24"/>
          <w:szCs w:val="24"/>
        </w:rPr>
        <w:t>RIDOH</w:t>
      </w:r>
    </w:p>
    <w:p w:rsidR="00B17AEF" w:rsidRPr="00B17AEF" w:rsidRDefault="00B17AEF" w:rsidP="00523577">
      <w:pPr>
        <w:pStyle w:val="ListParagraph"/>
        <w:numPr>
          <w:ilvl w:val="0"/>
          <w:numId w:val="4"/>
        </w:numPr>
        <w:jc w:val="left"/>
        <w:rPr>
          <w:sz w:val="24"/>
          <w:szCs w:val="24"/>
        </w:rPr>
      </w:pPr>
      <w:r w:rsidRPr="00B17AEF">
        <w:rPr>
          <w:sz w:val="24"/>
          <w:szCs w:val="24"/>
        </w:rPr>
        <w:t>EOHHS/Medicaid</w:t>
      </w:r>
    </w:p>
    <w:p w:rsidR="00B17AEF" w:rsidRPr="00B17AEF" w:rsidRDefault="00B17AEF" w:rsidP="00523577">
      <w:pPr>
        <w:pStyle w:val="ListParagraph"/>
        <w:numPr>
          <w:ilvl w:val="0"/>
          <w:numId w:val="4"/>
        </w:numPr>
        <w:jc w:val="left"/>
        <w:rPr>
          <w:sz w:val="24"/>
          <w:szCs w:val="24"/>
        </w:rPr>
      </w:pPr>
      <w:r w:rsidRPr="00B17AEF">
        <w:rPr>
          <w:sz w:val="24"/>
          <w:szCs w:val="24"/>
        </w:rPr>
        <w:t>BHDDH</w:t>
      </w:r>
    </w:p>
    <w:p w:rsidR="00B17AEF" w:rsidRPr="00B17AEF" w:rsidRDefault="00B17AEF" w:rsidP="00523577">
      <w:pPr>
        <w:pStyle w:val="ListParagraph"/>
        <w:numPr>
          <w:ilvl w:val="0"/>
          <w:numId w:val="4"/>
        </w:numPr>
        <w:jc w:val="left"/>
        <w:rPr>
          <w:sz w:val="24"/>
          <w:szCs w:val="24"/>
        </w:rPr>
      </w:pPr>
      <w:r w:rsidRPr="00B17AEF">
        <w:rPr>
          <w:sz w:val="24"/>
          <w:szCs w:val="24"/>
        </w:rPr>
        <w:t>Blackstone Valley CHC</w:t>
      </w:r>
    </w:p>
    <w:p w:rsidR="00B17AEF" w:rsidRPr="00B17AEF" w:rsidRDefault="00B17AEF" w:rsidP="00523577">
      <w:pPr>
        <w:pStyle w:val="ListParagraph"/>
        <w:numPr>
          <w:ilvl w:val="0"/>
          <w:numId w:val="4"/>
        </w:numPr>
        <w:jc w:val="left"/>
        <w:rPr>
          <w:sz w:val="24"/>
          <w:szCs w:val="24"/>
        </w:rPr>
      </w:pPr>
      <w:r w:rsidRPr="00B17AEF">
        <w:rPr>
          <w:sz w:val="24"/>
          <w:szCs w:val="24"/>
        </w:rPr>
        <w:t>Hospital Association of RI</w:t>
      </w:r>
    </w:p>
    <w:p w:rsidR="00B17AEF" w:rsidRPr="00B17AEF" w:rsidRDefault="00B17AEF" w:rsidP="00523577">
      <w:pPr>
        <w:pStyle w:val="ListParagraph"/>
        <w:numPr>
          <w:ilvl w:val="0"/>
          <w:numId w:val="4"/>
        </w:numPr>
        <w:jc w:val="left"/>
        <w:rPr>
          <w:sz w:val="24"/>
          <w:szCs w:val="24"/>
        </w:rPr>
      </w:pPr>
      <w:r w:rsidRPr="00B17AEF">
        <w:rPr>
          <w:sz w:val="24"/>
          <w:szCs w:val="24"/>
        </w:rPr>
        <w:t>Prospect/</w:t>
      </w:r>
      <w:proofErr w:type="spellStart"/>
      <w:r w:rsidRPr="00B17AEF">
        <w:rPr>
          <w:sz w:val="24"/>
          <w:szCs w:val="24"/>
        </w:rPr>
        <w:t>CharterCARE</w:t>
      </w:r>
      <w:proofErr w:type="spellEnd"/>
    </w:p>
    <w:p w:rsidR="00B17AEF" w:rsidRPr="00B17AEF" w:rsidRDefault="00B17AEF" w:rsidP="00523577">
      <w:pPr>
        <w:pStyle w:val="ListParagraph"/>
        <w:numPr>
          <w:ilvl w:val="0"/>
          <w:numId w:val="4"/>
        </w:numPr>
        <w:jc w:val="left"/>
        <w:rPr>
          <w:sz w:val="24"/>
          <w:szCs w:val="24"/>
        </w:rPr>
      </w:pPr>
      <w:r w:rsidRPr="00B17AEF">
        <w:rPr>
          <w:sz w:val="24"/>
          <w:szCs w:val="24"/>
        </w:rPr>
        <w:t>Providence Community Health Centers</w:t>
      </w:r>
    </w:p>
    <w:p w:rsidR="00B17AEF" w:rsidRPr="00B17AEF" w:rsidRDefault="00B17AEF" w:rsidP="00523577">
      <w:pPr>
        <w:pStyle w:val="ListParagraph"/>
        <w:numPr>
          <w:ilvl w:val="0"/>
          <w:numId w:val="4"/>
        </w:numPr>
        <w:jc w:val="left"/>
        <w:rPr>
          <w:sz w:val="24"/>
          <w:szCs w:val="24"/>
        </w:rPr>
      </w:pPr>
      <w:r w:rsidRPr="00B17AEF">
        <w:rPr>
          <w:sz w:val="24"/>
          <w:szCs w:val="24"/>
        </w:rPr>
        <w:t>RI Medical Society</w:t>
      </w:r>
    </w:p>
    <w:p w:rsidR="00B17AEF" w:rsidRDefault="00B17AEF" w:rsidP="00523577">
      <w:pPr>
        <w:pStyle w:val="ListParagraph"/>
        <w:numPr>
          <w:ilvl w:val="0"/>
          <w:numId w:val="4"/>
        </w:numPr>
        <w:jc w:val="left"/>
        <w:rPr>
          <w:sz w:val="24"/>
          <w:szCs w:val="24"/>
        </w:rPr>
      </w:pPr>
      <w:r w:rsidRPr="00B17AEF">
        <w:rPr>
          <w:sz w:val="24"/>
          <w:szCs w:val="24"/>
        </w:rPr>
        <w:t>RI Parent Information Network</w:t>
      </w:r>
    </w:p>
    <w:p w:rsidR="00B17AEF" w:rsidRPr="00BC68A5" w:rsidRDefault="00B17AEF" w:rsidP="00523577">
      <w:pPr>
        <w:pStyle w:val="Heading1"/>
      </w:pPr>
      <w:r w:rsidRPr="00BC68A5">
        <w:t xml:space="preserve">Slide </w:t>
      </w:r>
      <w:r>
        <w:t>7</w:t>
      </w:r>
    </w:p>
    <w:p w:rsidR="00B17AEF" w:rsidRDefault="00B17AEF" w:rsidP="00523577">
      <w:pPr>
        <w:pStyle w:val="Heading2"/>
      </w:pPr>
      <w:r w:rsidRPr="00B17AEF">
        <w:t>Structure of the Measure Sets</w:t>
      </w:r>
    </w:p>
    <w:p w:rsidR="00B17AEF" w:rsidRPr="00A84DB7" w:rsidRDefault="00B17AEF" w:rsidP="00A84DB7">
      <w:pPr>
        <w:pStyle w:val="ListParagraph"/>
        <w:numPr>
          <w:ilvl w:val="0"/>
          <w:numId w:val="10"/>
        </w:numPr>
        <w:jc w:val="left"/>
        <w:rPr>
          <w:sz w:val="24"/>
          <w:szCs w:val="24"/>
        </w:rPr>
      </w:pPr>
      <w:r w:rsidRPr="00A84DB7">
        <w:rPr>
          <w:sz w:val="24"/>
          <w:szCs w:val="24"/>
        </w:rPr>
        <w:t>Core measures</w:t>
      </w:r>
    </w:p>
    <w:p w:rsidR="00B17AEF" w:rsidRPr="00A84DB7" w:rsidRDefault="00B17AEF" w:rsidP="00A84DB7">
      <w:pPr>
        <w:pStyle w:val="ListParagraph"/>
        <w:numPr>
          <w:ilvl w:val="0"/>
          <w:numId w:val="10"/>
        </w:numPr>
        <w:jc w:val="left"/>
        <w:rPr>
          <w:sz w:val="24"/>
          <w:szCs w:val="24"/>
        </w:rPr>
      </w:pPr>
      <w:r w:rsidRPr="00A84DB7">
        <w:rPr>
          <w:sz w:val="24"/>
          <w:szCs w:val="24"/>
        </w:rPr>
        <w:t>Menu measures</w:t>
      </w:r>
    </w:p>
    <w:p w:rsidR="00B17AEF" w:rsidRPr="00A84DB7" w:rsidRDefault="00B17AEF" w:rsidP="00A84DB7">
      <w:pPr>
        <w:pStyle w:val="ListParagraph"/>
        <w:numPr>
          <w:ilvl w:val="0"/>
          <w:numId w:val="10"/>
        </w:numPr>
        <w:jc w:val="left"/>
        <w:rPr>
          <w:sz w:val="24"/>
          <w:szCs w:val="24"/>
        </w:rPr>
      </w:pPr>
      <w:r w:rsidRPr="00A84DB7">
        <w:rPr>
          <w:sz w:val="24"/>
          <w:szCs w:val="24"/>
        </w:rPr>
        <w:t>Developmental Measures</w:t>
      </w:r>
    </w:p>
    <w:p w:rsidR="00B17AEF" w:rsidRPr="00BC68A5" w:rsidRDefault="00B17AEF" w:rsidP="00523577">
      <w:pPr>
        <w:pStyle w:val="Heading1"/>
      </w:pPr>
      <w:r w:rsidRPr="00BC68A5">
        <w:t xml:space="preserve">Slide </w:t>
      </w:r>
      <w:r>
        <w:t>8</w:t>
      </w:r>
    </w:p>
    <w:p w:rsidR="00B17AEF" w:rsidRDefault="00B17AEF" w:rsidP="00523577">
      <w:pPr>
        <w:jc w:val="left"/>
        <w:rPr>
          <w:sz w:val="24"/>
          <w:szCs w:val="24"/>
        </w:rPr>
      </w:pPr>
      <w:bookmarkStart w:id="0" w:name="_GoBack"/>
      <w:r>
        <w:rPr>
          <w:noProof/>
        </w:rPr>
        <w:drawing>
          <wp:inline distT="0" distB="0" distL="0" distR="0" wp14:anchorId="6B321852" wp14:editId="7BDBF1E1">
            <wp:extent cx="5936928" cy="2231136"/>
            <wp:effectExtent l="0" t="0" r="6985" b="0"/>
            <wp:docPr id="1" name="Picture 1" descr="The number of Core, Menu, and Developmental measures varies across each of Rhode Island’s Aligned Measure Sets: ACO, Acute Care Hospitals, Behavioral Health Hospitals, Primary Care, Maternity, Behavioral Health – Mental Health, and Behavioral Health Substance Use Treat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2236" b="-1"/>
                    <a:stretch/>
                  </pic:blipFill>
                  <pic:spPr bwMode="auto">
                    <a:xfrm>
                      <a:off x="0" y="0"/>
                      <a:ext cx="5943600" cy="2233644"/>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B17AEF" w:rsidRPr="00BC68A5" w:rsidRDefault="00B17AEF" w:rsidP="00523577">
      <w:pPr>
        <w:pStyle w:val="Heading1"/>
      </w:pPr>
      <w:r w:rsidRPr="00BC68A5">
        <w:t xml:space="preserve">Slide </w:t>
      </w:r>
      <w:r>
        <w:t>9</w:t>
      </w:r>
    </w:p>
    <w:p w:rsidR="00B17AEF" w:rsidRDefault="00B17AEF" w:rsidP="00523577">
      <w:pPr>
        <w:pStyle w:val="Heading2"/>
      </w:pPr>
      <w:r w:rsidRPr="00B17AEF">
        <w:t>Annual review process - Review Committee</w:t>
      </w:r>
    </w:p>
    <w:p w:rsidR="00B17AEF" w:rsidRPr="00B17AEF" w:rsidRDefault="00B17AEF" w:rsidP="00523577">
      <w:pPr>
        <w:pStyle w:val="ListParagraph"/>
        <w:numPr>
          <w:ilvl w:val="0"/>
          <w:numId w:val="5"/>
        </w:numPr>
        <w:jc w:val="left"/>
        <w:rPr>
          <w:sz w:val="24"/>
          <w:szCs w:val="24"/>
        </w:rPr>
      </w:pPr>
      <w:r w:rsidRPr="00B17AEF">
        <w:rPr>
          <w:sz w:val="24"/>
          <w:szCs w:val="24"/>
        </w:rPr>
        <w:t>In July OHIC convenes the Quality Measure Alignment and Review Committee.</w:t>
      </w:r>
    </w:p>
    <w:p w:rsidR="00B17AEF" w:rsidRPr="00B17AEF" w:rsidRDefault="00B17AEF" w:rsidP="00523577">
      <w:pPr>
        <w:pStyle w:val="ListParagraph"/>
        <w:numPr>
          <w:ilvl w:val="0"/>
          <w:numId w:val="5"/>
        </w:numPr>
        <w:jc w:val="left"/>
        <w:rPr>
          <w:sz w:val="24"/>
          <w:szCs w:val="24"/>
        </w:rPr>
      </w:pPr>
      <w:r w:rsidRPr="00B17AEF">
        <w:rPr>
          <w:sz w:val="24"/>
          <w:szCs w:val="24"/>
        </w:rPr>
        <w:t>The Committee is charged with developing recommendations for the Commissioner that propose:</w:t>
      </w:r>
    </w:p>
    <w:p w:rsidR="00B17AEF" w:rsidRPr="00B17AEF" w:rsidRDefault="00B17AEF" w:rsidP="00523577">
      <w:pPr>
        <w:pStyle w:val="ListParagraph"/>
        <w:numPr>
          <w:ilvl w:val="1"/>
          <w:numId w:val="6"/>
        </w:numPr>
        <w:jc w:val="left"/>
        <w:rPr>
          <w:sz w:val="24"/>
          <w:szCs w:val="24"/>
        </w:rPr>
      </w:pPr>
      <w:r w:rsidRPr="00B17AEF">
        <w:rPr>
          <w:sz w:val="24"/>
          <w:szCs w:val="24"/>
        </w:rPr>
        <w:t>Modifications to the aligned measure sets.</w:t>
      </w:r>
    </w:p>
    <w:p w:rsidR="00B17AEF" w:rsidRPr="00B17AEF" w:rsidRDefault="00B17AEF" w:rsidP="00523577">
      <w:pPr>
        <w:pStyle w:val="ListParagraph"/>
        <w:numPr>
          <w:ilvl w:val="1"/>
          <w:numId w:val="6"/>
        </w:numPr>
        <w:jc w:val="left"/>
        <w:rPr>
          <w:sz w:val="24"/>
          <w:szCs w:val="24"/>
        </w:rPr>
      </w:pPr>
      <w:r w:rsidRPr="00B17AEF">
        <w:rPr>
          <w:sz w:val="24"/>
          <w:szCs w:val="24"/>
        </w:rPr>
        <w:t>Measures as core or menu measures.</w:t>
      </w:r>
    </w:p>
    <w:p w:rsidR="00B17AEF" w:rsidRPr="00B17AEF" w:rsidRDefault="00B17AEF" w:rsidP="00523577">
      <w:pPr>
        <w:pStyle w:val="ListParagraph"/>
        <w:numPr>
          <w:ilvl w:val="1"/>
          <w:numId w:val="6"/>
        </w:numPr>
        <w:jc w:val="left"/>
        <w:rPr>
          <w:sz w:val="24"/>
          <w:szCs w:val="24"/>
        </w:rPr>
      </w:pPr>
      <w:r w:rsidRPr="00B17AEF">
        <w:rPr>
          <w:sz w:val="24"/>
          <w:szCs w:val="24"/>
        </w:rPr>
        <w:t>The creation of other measure sets.</w:t>
      </w:r>
    </w:p>
    <w:p w:rsidR="00B17AEF" w:rsidRPr="00B17AEF" w:rsidRDefault="00B17AEF" w:rsidP="00523577">
      <w:pPr>
        <w:pStyle w:val="ListParagraph"/>
        <w:numPr>
          <w:ilvl w:val="0"/>
          <w:numId w:val="5"/>
        </w:numPr>
        <w:jc w:val="left"/>
        <w:rPr>
          <w:sz w:val="24"/>
          <w:szCs w:val="24"/>
        </w:rPr>
      </w:pPr>
      <w:r w:rsidRPr="00B17AEF">
        <w:rPr>
          <w:sz w:val="24"/>
          <w:szCs w:val="24"/>
        </w:rPr>
        <w:t>The Review Committee completes its work by the end of August.</w:t>
      </w:r>
    </w:p>
    <w:p w:rsidR="00B17AEF" w:rsidRPr="00B17AEF" w:rsidRDefault="00B17AEF" w:rsidP="00523577">
      <w:pPr>
        <w:pStyle w:val="ListParagraph"/>
        <w:numPr>
          <w:ilvl w:val="0"/>
          <w:numId w:val="5"/>
        </w:numPr>
        <w:jc w:val="left"/>
        <w:rPr>
          <w:sz w:val="24"/>
          <w:szCs w:val="24"/>
        </w:rPr>
      </w:pPr>
      <w:r w:rsidRPr="00B17AEF">
        <w:rPr>
          <w:sz w:val="24"/>
          <w:szCs w:val="24"/>
        </w:rPr>
        <w:t>The Commissioner reviews the recommendations of the Committee and issues final measure sets, measure specifications, and guidance by October 1.</w:t>
      </w:r>
    </w:p>
    <w:p w:rsidR="00B17AEF" w:rsidRPr="00B17AEF" w:rsidRDefault="00B17AEF" w:rsidP="00523577">
      <w:pPr>
        <w:pStyle w:val="ListParagraph"/>
        <w:numPr>
          <w:ilvl w:val="0"/>
          <w:numId w:val="5"/>
        </w:numPr>
        <w:jc w:val="left"/>
        <w:rPr>
          <w:sz w:val="24"/>
          <w:szCs w:val="24"/>
        </w:rPr>
      </w:pPr>
      <w:r w:rsidRPr="00B17AEF">
        <w:rPr>
          <w:sz w:val="24"/>
          <w:szCs w:val="24"/>
        </w:rPr>
        <w:t>Measure sets become effective for contracts subject to amendment or renewal on or after January 1 of the following year.</w:t>
      </w:r>
    </w:p>
    <w:p w:rsidR="00B17AEF" w:rsidRPr="00BC68A5" w:rsidRDefault="00B17AEF" w:rsidP="00523577">
      <w:pPr>
        <w:pStyle w:val="Heading1"/>
      </w:pPr>
      <w:r w:rsidRPr="00BC68A5">
        <w:t xml:space="preserve">Slide </w:t>
      </w:r>
      <w:r>
        <w:t>10</w:t>
      </w:r>
    </w:p>
    <w:p w:rsidR="00B17AEF" w:rsidRDefault="00B17AEF" w:rsidP="00523577">
      <w:pPr>
        <w:pStyle w:val="Heading2"/>
      </w:pPr>
      <w:r w:rsidRPr="00B17AEF">
        <w:t>Annual Review cycle</w:t>
      </w:r>
    </w:p>
    <w:p w:rsidR="00523577" w:rsidRPr="00523577" w:rsidRDefault="00523577" w:rsidP="00523577">
      <w:pPr>
        <w:jc w:val="left"/>
        <w:rPr>
          <w:sz w:val="24"/>
          <w:szCs w:val="24"/>
        </w:rPr>
      </w:pPr>
      <w:r w:rsidRPr="00523577">
        <w:rPr>
          <w:sz w:val="24"/>
          <w:szCs w:val="24"/>
        </w:rPr>
        <w:t>January–March</w:t>
      </w:r>
    </w:p>
    <w:p w:rsidR="00523577" w:rsidRPr="00523577" w:rsidRDefault="00523577" w:rsidP="00523577">
      <w:pPr>
        <w:jc w:val="left"/>
        <w:rPr>
          <w:sz w:val="24"/>
          <w:szCs w:val="24"/>
        </w:rPr>
      </w:pPr>
      <w:r w:rsidRPr="00523577">
        <w:rPr>
          <w:sz w:val="24"/>
          <w:szCs w:val="24"/>
        </w:rPr>
        <w:tab/>
      </w:r>
      <w:proofErr w:type="gramStart"/>
      <w:r w:rsidRPr="00523577">
        <w:rPr>
          <w:sz w:val="24"/>
          <w:szCs w:val="24"/>
        </w:rPr>
        <w:t>Developmental work and planning.</w:t>
      </w:r>
      <w:proofErr w:type="gramEnd"/>
    </w:p>
    <w:p w:rsidR="00523577" w:rsidRPr="00523577" w:rsidRDefault="00523577" w:rsidP="00523577">
      <w:pPr>
        <w:jc w:val="left"/>
        <w:rPr>
          <w:sz w:val="24"/>
          <w:szCs w:val="24"/>
        </w:rPr>
      </w:pPr>
      <w:r w:rsidRPr="00523577">
        <w:rPr>
          <w:sz w:val="24"/>
          <w:szCs w:val="24"/>
        </w:rPr>
        <w:t>May–June</w:t>
      </w:r>
    </w:p>
    <w:p w:rsidR="00523577" w:rsidRPr="00523577" w:rsidRDefault="00523577" w:rsidP="00523577">
      <w:pPr>
        <w:jc w:val="left"/>
        <w:rPr>
          <w:sz w:val="24"/>
          <w:szCs w:val="24"/>
        </w:rPr>
      </w:pPr>
      <w:r w:rsidRPr="00523577">
        <w:rPr>
          <w:sz w:val="24"/>
          <w:szCs w:val="24"/>
        </w:rPr>
        <w:tab/>
      </w:r>
      <w:proofErr w:type="gramStart"/>
      <w:r w:rsidRPr="00523577">
        <w:rPr>
          <w:sz w:val="24"/>
          <w:szCs w:val="24"/>
        </w:rPr>
        <w:t>Survey payers and interested parties on measures.</w:t>
      </w:r>
      <w:proofErr w:type="gramEnd"/>
    </w:p>
    <w:p w:rsidR="00523577" w:rsidRPr="00523577" w:rsidRDefault="00523577" w:rsidP="00523577">
      <w:pPr>
        <w:jc w:val="left"/>
        <w:rPr>
          <w:sz w:val="24"/>
          <w:szCs w:val="24"/>
        </w:rPr>
      </w:pPr>
      <w:r w:rsidRPr="00523577">
        <w:rPr>
          <w:sz w:val="24"/>
          <w:szCs w:val="24"/>
        </w:rPr>
        <w:t>July–September</w:t>
      </w:r>
    </w:p>
    <w:p w:rsidR="00523577" w:rsidRPr="00523577" w:rsidRDefault="00523577" w:rsidP="00523577">
      <w:pPr>
        <w:jc w:val="left"/>
        <w:rPr>
          <w:sz w:val="24"/>
          <w:szCs w:val="24"/>
        </w:rPr>
      </w:pPr>
      <w:r w:rsidRPr="00523577">
        <w:rPr>
          <w:sz w:val="24"/>
          <w:szCs w:val="24"/>
        </w:rPr>
        <w:tab/>
        <w:t>Hold meetings of Review Committee</w:t>
      </w:r>
    </w:p>
    <w:p w:rsidR="00523577" w:rsidRPr="00523577" w:rsidRDefault="00523577" w:rsidP="00523577">
      <w:pPr>
        <w:jc w:val="left"/>
        <w:rPr>
          <w:sz w:val="24"/>
          <w:szCs w:val="24"/>
        </w:rPr>
      </w:pPr>
      <w:r w:rsidRPr="00523577">
        <w:rPr>
          <w:sz w:val="24"/>
          <w:szCs w:val="24"/>
        </w:rPr>
        <w:t>October</w:t>
      </w:r>
    </w:p>
    <w:p w:rsidR="00523577" w:rsidRPr="00523577" w:rsidRDefault="00523577" w:rsidP="00523577">
      <w:pPr>
        <w:jc w:val="left"/>
        <w:rPr>
          <w:sz w:val="24"/>
          <w:szCs w:val="24"/>
        </w:rPr>
      </w:pPr>
      <w:r w:rsidRPr="00523577">
        <w:rPr>
          <w:sz w:val="24"/>
          <w:szCs w:val="24"/>
        </w:rPr>
        <w:tab/>
        <w:t>Commissioner issues measures sets and guidance.</w:t>
      </w:r>
    </w:p>
    <w:p w:rsidR="00523577" w:rsidRPr="00523577" w:rsidRDefault="00523577" w:rsidP="00523577">
      <w:pPr>
        <w:jc w:val="left"/>
        <w:rPr>
          <w:sz w:val="24"/>
          <w:szCs w:val="24"/>
        </w:rPr>
      </w:pPr>
      <w:r w:rsidRPr="00523577">
        <w:rPr>
          <w:sz w:val="24"/>
          <w:szCs w:val="24"/>
        </w:rPr>
        <w:t>Post-October</w:t>
      </w:r>
    </w:p>
    <w:p w:rsidR="00B17AEF" w:rsidRPr="00B17AEF" w:rsidRDefault="00523577" w:rsidP="00DA5869">
      <w:pPr>
        <w:ind w:left="720"/>
        <w:jc w:val="left"/>
        <w:rPr>
          <w:sz w:val="24"/>
          <w:szCs w:val="24"/>
        </w:rPr>
      </w:pPr>
      <w:r w:rsidRPr="00523577">
        <w:rPr>
          <w:sz w:val="24"/>
          <w:szCs w:val="24"/>
        </w:rPr>
        <w:t>Health insurers implement the modified measure sets in their contracts which are</w:t>
      </w:r>
      <w:r w:rsidR="00DA5869">
        <w:rPr>
          <w:sz w:val="24"/>
          <w:szCs w:val="24"/>
        </w:rPr>
        <w:br/>
      </w:r>
      <w:r w:rsidRPr="00523577">
        <w:rPr>
          <w:sz w:val="24"/>
          <w:szCs w:val="24"/>
        </w:rPr>
        <w:t>amended or renewed on or after January 1.</w:t>
      </w:r>
    </w:p>
    <w:p w:rsidR="00A84DB7" w:rsidRPr="00BC68A5" w:rsidRDefault="00A84DB7" w:rsidP="00A84DB7">
      <w:pPr>
        <w:pStyle w:val="Heading1"/>
      </w:pPr>
      <w:r w:rsidRPr="00BC68A5">
        <w:t xml:space="preserve">Slide </w:t>
      </w:r>
      <w:r>
        <w:t>11</w:t>
      </w:r>
    </w:p>
    <w:p w:rsidR="00DA5869" w:rsidRDefault="00A84DB7" w:rsidP="00A84DB7">
      <w:pPr>
        <w:pStyle w:val="Heading2"/>
      </w:pPr>
      <w:r w:rsidRPr="00A84DB7">
        <w:t>Compliance</w:t>
      </w:r>
    </w:p>
    <w:p w:rsidR="00A84DB7" w:rsidRPr="00A84DB7" w:rsidRDefault="00A84DB7" w:rsidP="00A84DB7">
      <w:pPr>
        <w:pStyle w:val="ListParagraph"/>
        <w:numPr>
          <w:ilvl w:val="0"/>
          <w:numId w:val="8"/>
        </w:numPr>
        <w:jc w:val="left"/>
        <w:rPr>
          <w:sz w:val="24"/>
          <w:szCs w:val="24"/>
        </w:rPr>
      </w:pPr>
      <w:r w:rsidRPr="00A84DB7">
        <w:rPr>
          <w:sz w:val="24"/>
          <w:szCs w:val="24"/>
        </w:rPr>
        <w:t xml:space="preserve">OHIC possesses statutory authority to examine health insurer contracts with providers. </w:t>
      </w:r>
    </w:p>
    <w:p w:rsidR="00A84DB7" w:rsidRPr="00A84DB7" w:rsidRDefault="00A84DB7" w:rsidP="00A84DB7">
      <w:pPr>
        <w:pStyle w:val="ListParagraph"/>
        <w:numPr>
          <w:ilvl w:val="0"/>
          <w:numId w:val="8"/>
        </w:numPr>
        <w:jc w:val="left"/>
        <w:rPr>
          <w:sz w:val="24"/>
          <w:szCs w:val="24"/>
        </w:rPr>
      </w:pPr>
      <w:r w:rsidRPr="00A84DB7">
        <w:rPr>
          <w:sz w:val="24"/>
          <w:szCs w:val="24"/>
        </w:rPr>
        <w:t xml:space="preserve">Compliance with the measure sets will be assessed in 2020. </w:t>
      </w:r>
    </w:p>
    <w:p w:rsidR="00A84DB7" w:rsidRDefault="00A84DB7" w:rsidP="00A84DB7">
      <w:pPr>
        <w:pStyle w:val="ListParagraph"/>
        <w:numPr>
          <w:ilvl w:val="0"/>
          <w:numId w:val="8"/>
        </w:numPr>
        <w:jc w:val="left"/>
        <w:rPr>
          <w:sz w:val="24"/>
          <w:szCs w:val="24"/>
        </w:rPr>
      </w:pPr>
      <w:r w:rsidRPr="00A84DB7">
        <w:rPr>
          <w:sz w:val="24"/>
          <w:szCs w:val="24"/>
        </w:rPr>
        <w:t>Noncompliant health insurers are subject to administrative penalties.</w:t>
      </w:r>
    </w:p>
    <w:p w:rsidR="00A84DB7" w:rsidRDefault="00A84DB7" w:rsidP="00A84DB7">
      <w:pPr>
        <w:pStyle w:val="Heading1"/>
      </w:pPr>
      <w:r>
        <w:br w:type="page"/>
      </w:r>
    </w:p>
    <w:p w:rsidR="00A84DB7" w:rsidRPr="00BC68A5" w:rsidRDefault="00A84DB7" w:rsidP="00A84DB7">
      <w:pPr>
        <w:pStyle w:val="Heading1"/>
      </w:pPr>
      <w:r w:rsidRPr="00BC68A5">
        <w:t xml:space="preserve">Slide </w:t>
      </w:r>
      <w:r>
        <w:t>12</w:t>
      </w:r>
    </w:p>
    <w:p w:rsidR="00A84DB7" w:rsidRDefault="00A84DB7" w:rsidP="00B544B1">
      <w:pPr>
        <w:pStyle w:val="Heading2"/>
      </w:pPr>
      <w:r w:rsidRPr="00A84DB7">
        <w:t>Reflections</w:t>
      </w:r>
    </w:p>
    <w:p w:rsidR="00A84DB7" w:rsidRPr="00A84DB7" w:rsidRDefault="00A84DB7" w:rsidP="00A84DB7">
      <w:pPr>
        <w:pStyle w:val="ListParagraph"/>
        <w:numPr>
          <w:ilvl w:val="0"/>
          <w:numId w:val="9"/>
        </w:numPr>
        <w:jc w:val="left"/>
        <w:rPr>
          <w:sz w:val="24"/>
          <w:szCs w:val="24"/>
        </w:rPr>
      </w:pPr>
      <w:r w:rsidRPr="00A84DB7">
        <w:rPr>
          <w:sz w:val="24"/>
          <w:szCs w:val="24"/>
        </w:rPr>
        <w:t>Measure alignment has been a very collaborative experience in Rhode Island.</w:t>
      </w:r>
    </w:p>
    <w:p w:rsidR="00A84DB7" w:rsidRPr="00A84DB7" w:rsidRDefault="00A84DB7" w:rsidP="00A84DB7">
      <w:pPr>
        <w:pStyle w:val="ListParagraph"/>
        <w:numPr>
          <w:ilvl w:val="0"/>
          <w:numId w:val="9"/>
        </w:numPr>
        <w:jc w:val="left"/>
        <w:rPr>
          <w:sz w:val="24"/>
          <w:szCs w:val="24"/>
        </w:rPr>
      </w:pPr>
      <w:r w:rsidRPr="00A84DB7">
        <w:rPr>
          <w:sz w:val="24"/>
          <w:szCs w:val="24"/>
        </w:rPr>
        <w:t xml:space="preserve">Medicaid has voluntarily adopted the measure sets and plays a role the annual review. </w:t>
      </w:r>
    </w:p>
    <w:p w:rsidR="00A84DB7" w:rsidRPr="00A84DB7" w:rsidRDefault="00A84DB7" w:rsidP="00A84DB7">
      <w:pPr>
        <w:pStyle w:val="ListParagraph"/>
        <w:numPr>
          <w:ilvl w:val="0"/>
          <w:numId w:val="9"/>
        </w:numPr>
        <w:jc w:val="left"/>
        <w:rPr>
          <w:sz w:val="24"/>
          <w:szCs w:val="24"/>
        </w:rPr>
      </w:pPr>
      <w:r w:rsidRPr="00A84DB7">
        <w:rPr>
          <w:sz w:val="24"/>
          <w:szCs w:val="24"/>
        </w:rPr>
        <w:t>Stakeholder feedback:</w:t>
      </w:r>
    </w:p>
    <w:p w:rsidR="00A84DB7" w:rsidRPr="00A84DB7" w:rsidRDefault="00A84DB7" w:rsidP="00A84DB7">
      <w:pPr>
        <w:pStyle w:val="ListParagraph"/>
        <w:numPr>
          <w:ilvl w:val="1"/>
          <w:numId w:val="9"/>
        </w:numPr>
        <w:jc w:val="left"/>
        <w:rPr>
          <w:sz w:val="24"/>
          <w:szCs w:val="24"/>
        </w:rPr>
      </w:pPr>
      <w:r w:rsidRPr="00A84DB7">
        <w:rPr>
          <w:sz w:val="24"/>
          <w:szCs w:val="24"/>
        </w:rPr>
        <w:t xml:space="preserve">“Stakeholders offered mostly positive feedback about OHIC’s effort to create alignment across measure sets.  Stakeholders believe that movement towards measure alignment will reduce some of the administrative burden on providers.  They also support the use of a core measure set.” – </w:t>
      </w:r>
      <w:proofErr w:type="gramStart"/>
      <w:r w:rsidRPr="00A84DB7">
        <w:rPr>
          <w:rStyle w:val="Emphasis"/>
          <w:b w:val="0"/>
        </w:rPr>
        <w:t>from</w:t>
      </w:r>
      <w:proofErr w:type="gramEnd"/>
      <w:r w:rsidRPr="00A84DB7">
        <w:rPr>
          <w:rStyle w:val="Emphasis"/>
          <w:b w:val="0"/>
        </w:rPr>
        <w:t xml:space="preserve"> Evaluation Report.</w:t>
      </w:r>
    </w:p>
    <w:p w:rsidR="00A84DB7" w:rsidRPr="00A84DB7" w:rsidRDefault="00A84DB7" w:rsidP="00A84DB7">
      <w:pPr>
        <w:pStyle w:val="ListParagraph"/>
        <w:numPr>
          <w:ilvl w:val="1"/>
          <w:numId w:val="9"/>
        </w:numPr>
        <w:jc w:val="left"/>
        <w:rPr>
          <w:sz w:val="24"/>
          <w:szCs w:val="24"/>
        </w:rPr>
      </w:pPr>
      <w:r w:rsidRPr="00A84DB7">
        <w:rPr>
          <w:sz w:val="24"/>
          <w:szCs w:val="24"/>
        </w:rPr>
        <w:t xml:space="preserve">“Having the quality measures gets people more focused on quality performance.  Gets doctors to focus in and use the measures for improvement.” – </w:t>
      </w:r>
      <w:proofErr w:type="gramStart"/>
      <w:r w:rsidRPr="00A84DB7">
        <w:rPr>
          <w:rStyle w:val="Emphasis"/>
          <w:b w:val="0"/>
        </w:rPr>
        <w:t>from</w:t>
      </w:r>
      <w:proofErr w:type="gramEnd"/>
      <w:r w:rsidRPr="00A84DB7">
        <w:rPr>
          <w:rStyle w:val="Emphasis"/>
          <w:b w:val="0"/>
        </w:rPr>
        <w:t xml:space="preserve"> Evaluation Report</w:t>
      </w:r>
      <w:r w:rsidRPr="00A84DB7">
        <w:rPr>
          <w:sz w:val="24"/>
          <w:szCs w:val="24"/>
        </w:rPr>
        <w:t>.</w:t>
      </w:r>
    </w:p>
    <w:p w:rsidR="00A84DB7" w:rsidRPr="00BC68A5" w:rsidRDefault="00A84DB7" w:rsidP="00A84DB7">
      <w:pPr>
        <w:pStyle w:val="Heading1"/>
      </w:pPr>
      <w:r w:rsidRPr="00BC68A5">
        <w:t xml:space="preserve">Slide </w:t>
      </w:r>
      <w:r>
        <w:t>13</w:t>
      </w:r>
    </w:p>
    <w:p w:rsidR="00A84DB7" w:rsidRPr="00B17AEF" w:rsidRDefault="00A84DB7" w:rsidP="00A84DB7">
      <w:pPr>
        <w:jc w:val="left"/>
        <w:rPr>
          <w:sz w:val="24"/>
          <w:szCs w:val="24"/>
        </w:rPr>
      </w:pPr>
      <w:r w:rsidRPr="00A84DB7">
        <w:rPr>
          <w:sz w:val="24"/>
          <w:szCs w:val="24"/>
        </w:rPr>
        <w:t>Questions</w:t>
      </w:r>
    </w:p>
    <w:sectPr w:rsidR="00A84DB7" w:rsidRPr="00B17AEF" w:rsidSect="007C5F5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00B0500000000000000"/>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5B5"/>
    <w:multiLevelType w:val="hybridMultilevel"/>
    <w:tmpl w:val="EC9CD63C"/>
    <w:lvl w:ilvl="0" w:tplc="53ECD63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756B6"/>
    <w:multiLevelType w:val="hybridMultilevel"/>
    <w:tmpl w:val="BBFC5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E24FB"/>
    <w:multiLevelType w:val="hybridMultilevel"/>
    <w:tmpl w:val="EEE0A2F8"/>
    <w:lvl w:ilvl="0" w:tplc="F0D6F2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2133E"/>
    <w:multiLevelType w:val="hybridMultilevel"/>
    <w:tmpl w:val="EF0AE8D4"/>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C6728"/>
    <w:multiLevelType w:val="hybridMultilevel"/>
    <w:tmpl w:val="92A0A4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84A53"/>
    <w:multiLevelType w:val="hybridMultilevel"/>
    <w:tmpl w:val="2D129A3C"/>
    <w:lvl w:ilvl="0" w:tplc="53ECD6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47CA3"/>
    <w:multiLevelType w:val="hybridMultilevel"/>
    <w:tmpl w:val="959ABA78"/>
    <w:lvl w:ilvl="0" w:tplc="53ECD63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06F92"/>
    <w:multiLevelType w:val="hybridMultilevel"/>
    <w:tmpl w:val="D1BCAEF2"/>
    <w:lvl w:ilvl="0" w:tplc="53ECD63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65249"/>
    <w:multiLevelType w:val="hybridMultilevel"/>
    <w:tmpl w:val="17EAB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E308C"/>
    <w:multiLevelType w:val="hybridMultilevel"/>
    <w:tmpl w:val="3CE0D134"/>
    <w:lvl w:ilvl="0" w:tplc="53ECD632">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C2"/>
    <w:rsid w:val="000E0261"/>
    <w:rsid w:val="000F3811"/>
    <w:rsid w:val="003C0D0F"/>
    <w:rsid w:val="003F7FE7"/>
    <w:rsid w:val="00523577"/>
    <w:rsid w:val="007C5F5A"/>
    <w:rsid w:val="00862AC2"/>
    <w:rsid w:val="0099078B"/>
    <w:rsid w:val="00A84DB7"/>
    <w:rsid w:val="00B17AEF"/>
    <w:rsid w:val="00B544B1"/>
    <w:rsid w:val="00C67D01"/>
    <w:rsid w:val="00DA5869"/>
    <w:rsid w:val="00DB3134"/>
    <w:rsid w:val="00F4245F"/>
    <w:rsid w:val="00F94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5A"/>
    <w:rPr>
      <w:sz w:val="22"/>
    </w:rPr>
  </w:style>
  <w:style w:type="paragraph" w:styleId="Heading1">
    <w:name w:val="heading 1"/>
    <w:basedOn w:val="Normal"/>
    <w:next w:val="Normal"/>
    <w:link w:val="Heading1Char"/>
    <w:uiPriority w:val="9"/>
    <w:qFormat/>
    <w:rsid w:val="007C5F5A"/>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B17AEF"/>
    <w:pPr>
      <w:spacing w:before="240" w:after="80"/>
      <w:jc w:val="left"/>
      <w:outlineLvl w:val="1"/>
    </w:pPr>
    <w:rPr>
      <w:b/>
      <w:smallCaps/>
      <w:spacing w:val="5"/>
      <w:sz w:val="28"/>
      <w:szCs w:val="28"/>
    </w:rPr>
  </w:style>
  <w:style w:type="paragraph" w:styleId="Heading3">
    <w:name w:val="heading 3"/>
    <w:basedOn w:val="Normal"/>
    <w:next w:val="Normal"/>
    <w:link w:val="Heading3Char"/>
    <w:uiPriority w:val="9"/>
    <w:semiHidden/>
    <w:unhideWhenUsed/>
    <w:qFormat/>
    <w:rsid w:val="00C67D0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5A"/>
    <w:rPr>
      <w:b/>
      <w:smallCaps/>
      <w:spacing w:val="5"/>
      <w:sz w:val="32"/>
      <w:szCs w:val="32"/>
    </w:rPr>
  </w:style>
  <w:style w:type="character" w:customStyle="1" w:styleId="Heading2Char">
    <w:name w:val="Heading 2 Char"/>
    <w:basedOn w:val="DefaultParagraphFont"/>
    <w:link w:val="Heading2"/>
    <w:uiPriority w:val="9"/>
    <w:rsid w:val="00B17AEF"/>
    <w:rPr>
      <w:b/>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7D01"/>
    <w:rPr>
      <w:b/>
      <w:color w:val="C0504D" w:themeColor="accent2"/>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BalloonText">
    <w:name w:val="Balloon Text"/>
    <w:basedOn w:val="Normal"/>
    <w:link w:val="BalloonTextChar"/>
    <w:uiPriority w:val="99"/>
    <w:semiHidden/>
    <w:unhideWhenUsed/>
    <w:rsid w:val="007C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5A"/>
    <w:rPr>
      <w:rFonts w:ascii="Tahoma" w:hAnsi="Tahoma" w:cs="Tahoma"/>
      <w:sz w:val="16"/>
      <w:szCs w:val="16"/>
    </w:rPr>
  </w:style>
  <w:style w:type="character" w:styleId="Hyperlink">
    <w:name w:val="Hyperlink"/>
    <w:basedOn w:val="DefaultParagraphFont"/>
    <w:uiPriority w:val="99"/>
    <w:unhideWhenUsed/>
    <w:rsid w:val="007C5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5A"/>
    <w:rPr>
      <w:sz w:val="22"/>
    </w:rPr>
  </w:style>
  <w:style w:type="paragraph" w:styleId="Heading1">
    <w:name w:val="heading 1"/>
    <w:basedOn w:val="Normal"/>
    <w:next w:val="Normal"/>
    <w:link w:val="Heading1Char"/>
    <w:uiPriority w:val="9"/>
    <w:qFormat/>
    <w:rsid w:val="007C5F5A"/>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B17AEF"/>
    <w:pPr>
      <w:spacing w:before="240" w:after="80"/>
      <w:jc w:val="left"/>
      <w:outlineLvl w:val="1"/>
    </w:pPr>
    <w:rPr>
      <w:b/>
      <w:smallCaps/>
      <w:spacing w:val="5"/>
      <w:sz w:val="28"/>
      <w:szCs w:val="28"/>
    </w:rPr>
  </w:style>
  <w:style w:type="paragraph" w:styleId="Heading3">
    <w:name w:val="heading 3"/>
    <w:basedOn w:val="Normal"/>
    <w:next w:val="Normal"/>
    <w:link w:val="Heading3Char"/>
    <w:uiPriority w:val="9"/>
    <w:semiHidden/>
    <w:unhideWhenUsed/>
    <w:qFormat/>
    <w:rsid w:val="00C67D0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67D01"/>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5A"/>
    <w:rPr>
      <w:b/>
      <w:smallCaps/>
      <w:spacing w:val="5"/>
      <w:sz w:val="32"/>
      <w:szCs w:val="32"/>
    </w:rPr>
  </w:style>
  <w:style w:type="character" w:customStyle="1" w:styleId="Heading2Char">
    <w:name w:val="Heading 2 Char"/>
    <w:basedOn w:val="DefaultParagraphFont"/>
    <w:link w:val="Heading2"/>
    <w:uiPriority w:val="9"/>
    <w:rsid w:val="00B17AEF"/>
    <w:rPr>
      <w:b/>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Normal"/>
    <w:next w:val="Normal"/>
    <w:link w:val="TitleChar"/>
    <w:uiPriority w:val="10"/>
    <w:qFormat/>
    <w:rsid w:val="00C67D01"/>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67D01"/>
    <w:rPr>
      <w:smallCaps/>
      <w:sz w:val="48"/>
      <w:szCs w:val="48"/>
    </w:rPr>
  </w:style>
  <w:style w:type="paragraph" w:styleId="Subtitle">
    <w:name w:val="Subtitle"/>
    <w:basedOn w:val="Normal"/>
    <w:next w:val="Normal"/>
    <w:link w:val="SubtitleChar"/>
    <w:uiPriority w:val="11"/>
    <w:qFormat/>
    <w:rsid w:val="00C67D0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7D01"/>
    <w:rPr>
      <w:b/>
      <w:color w:val="C0504D" w:themeColor="accent2"/>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line="240" w:lineRule="auto"/>
    </w:pPr>
  </w:style>
  <w:style w:type="character" w:customStyle="1" w:styleId="NoSpacingChar">
    <w:name w:val="No Spacing Char"/>
    <w:basedOn w:val="DefaultParagraphFont"/>
    <w:link w:val="NoSpacing"/>
    <w:uiPriority w:val="1"/>
    <w:rsid w:val="00C67D01"/>
  </w:style>
  <w:style w:type="paragraph" w:styleId="ListParagraph">
    <w:name w:val="List Paragraph"/>
    <w:basedOn w:val="Normal"/>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paragraph" w:styleId="BalloonText">
    <w:name w:val="Balloon Text"/>
    <w:basedOn w:val="Normal"/>
    <w:link w:val="BalloonTextChar"/>
    <w:uiPriority w:val="99"/>
    <w:semiHidden/>
    <w:unhideWhenUsed/>
    <w:rsid w:val="007C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F5A"/>
    <w:rPr>
      <w:rFonts w:ascii="Tahoma" w:hAnsi="Tahoma" w:cs="Tahoma"/>
      <w:sz w:val="16"/>
      <w:szCs w:val="16"/>
    </w:rPr>
  </w:style>
  <w:style w:type="character" w:styleId="Hyperlink">
    <w:name w:val="Hyperlink"/>
    <w:basedOn w:val="DefaultParagraphFont"/>
    <w:uiPriority w:val="99"/>
    <w:unhideWhenUsed/>
    <w:rsid w:val="007C5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632</Words>
  <Characters>3609</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Slide 1</vt:lpstr>
      <vt:lpstr>    Measure alignment in Rhode Island</vt:lpstr>
      <vt:lpstr>Slide 2</vt:lpstr>
      <vt:lpstr>    About Office of the Health Insurance Commissioner (OHIC)</vt:lpstr>
      <vt:lpstr>Slide 3</vt:lpstr>
      <vt:lpstr>    Agenda</vt:lpstr>
      <vt:lpstr>Slide 4</vt:lpstr>
      <vt:lpstr>    Rhode Island’s Rationale for Measure Alignment</vt:lpstr>
      <vt:lpstr>Slide 5</vt:lpstr>
      <vt:lpstr>    Foundational Efforts</vt:lpstr>
      <vt:lpstr>Slide 6</vt:lpstr>
      <vt:lpstr>    Work group members</vt:lpstr>
      <vt:lpstr>Slide 7</vt:lpstr>
      <vt:lpstr>    Structure of the Measure Sets</vt:lpstr>
      <vt:lpstr>Slide 8</vt:lpstr>
      <vt:lpstr>Slide 9</vt:lpstr>
      <vt:lpstr>    Annual review process - Review Committee</vt:lpstr>
      <vt:lpstr>Slide 10</vt:lpstr>
      <vt:lpstr>    Annual Review cycle</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2019-10-21T15:59:00Z</dcterms:created>
  <dcterms:modified xsi:type="dcterms:W3CDTF">2019-10-23T19:31:00Z</dcterms:modified>
</cp:coreProperties>
</file>