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A5" w:rsidRPr="00BC68A5" w:rsidRDefault="00BC68A5" w:rsidP="003A57E9">
      <w:pPr>
        <w:pStyle w:val="Heading1"/>
      </w:pPr>
      <w:r w:rsidRPr="00BC68A5">
        <w:t>Slide 1</w:t>
      </w:r>
    </w:p>
    <w:p w:rsidR="00BC68A5" w:rsidRPr="00154D2C" w:rsidRDefault="00BC68A5" w:rsidP="003A57E9">
      <w:pPr>
        <w:spacing w:before="360"/>
        <w:jc w:val="left"/>
        <w:outlineLvl w:val="0"/>
        <w:rPr>
          <w:rFonts w:ascii="Helvetica" w:hAnsi="Helvetica"/>
          <w:sz w:val="24"/>
          <w:szCs w:val="24"/>
        </w:rPr>
      </w:pPr>
      <w:r w:rsidRPr="00154D2C">
        <w:rPr>
          <w:rFonts w:ascii="Helvetica" w:hAnsi="Helvetica"/>
          <w:sz w:val="24"/>
          <w:szCs w:val="24"/>
        </w:rPr>
        <w:t>Commonwealth of Massachusetts</w:t>
      </w:r>
    </w:p>
    <w:p w:rsidR="00BC68A5" w:rsidRPr="00154D2C" w:rsidRDefault="00BC68A5" w:rsidP="003A57E9">
      <w:pPr>
        <w:jc w:val="left"/>
        <w:rPr>
          <w:rFonts w:ascii="Helvetica" w:hAnsi="Helvetica"/>
          <w:sz w:val="24"/>
          <w:szCs w:val="24"/>
        </w:rPr>
      </w:pPr>
      <w:r w:rsidRPr="00154D2C">
        <w:rPr>
          <w:rFonts w:ascii="Helvetica" w:hAnsi="Helvetica"/>
          <w:sz w:val="24"/>
          <w:szCs w:val="24"/>
        </w:rPr>
        <w:t>Executive Office of Health and Human Services</w:t>
      </w:r>
      <w:r>
        <w:rPr>
          <w:rFonts w:ascii="Helvetica" w:hAnsi="Helvetica"/>
          <w:sz w:val="24"/>
          <w:szCs w:val="24"/>
        </w:rPr>
        <w:t xml:space="preserve"> (EOHHS)</w:t>
      </w:r>
    </w:p>
    <w:p w:rsidR="00BC68A5" w:rsidRDefault="00BC68A5" w:rsidP="003A57E9">
      <w:pPr>
        <w:jc w:val="left"/>
        <w:rPr>
          <w:rFonts w:ascii="Helvetica" w:hAnsi="Helvetica"/>
          <w:sz w:val="24"/>
          <w:szCs w:val="24"/>
        </w:rPr>
      </w:pPr>
      <w:r w:rsidRPr="00154D2C">
        <w:rPr>
          <w:rFonts w:ascii="Helvetica" w:hAnsi="Helvetica"/>
          <w:sz w:val="24"/>
          <w:szCs w:val="24"/>
        </w:rPr>
        <w:t>EOHHS Qual</w:t>
      </w:r>
      <w:r>
        <w:rPr>
          <w:rFonts w:ascii="Helvetica" w:hAnsi="Helvetica"/>
          <w:sz w:val="24"/>
          <w:szCs w:val="24"/>
        </w:rPr>
        <w:t>ity Measure alignment taskforce</w:t>
      </w:r>
    </w:p>
    <w:p w:rsidR="00BC68A5" w:rsidRPr="00BC68A5" w:rsidRDefault="00BC68A5" w:rsidP="003A57E9">
      <w:pPr>
        <w:jc w:val="left"/>
        <w:rPr>
          <w:rFonts w:ascii="Helvetica" w:hAnsi="Helvetica"/>
          <w:sz w:val="24"/>
          <w:szCs w:val="24"/>
        </w:rPr>
      </w:pPr>
      <w:r w:rsidRPr="00BC68A5">
        <w:rPr>
          <w:rFonts w:ascii="Helvetica" w:hAnsi="Helvetica"/>
          <w:sz w:val="24"/>
          <w:szCs w:val="24"/>
        </w:rPr>
        <w:t>Meeting #29</w:t>
      </w:r>
    </w:p>
    <w:p w:rsidR="00BC68A5" w:rsidRDefault="00BC68A5" w:rsidP="003A57E9">
      <w:pPr>
        <w:jc w:val="left"/>
        <w:rPr>
          <w:rFonts w:ascii="Helvetica" w:hAnsi="Helvetica"/>
          <w:sz w:val="24"/>
          <w:szCs w:val="24"/>
        </w:rPr>
      </w:pPr>
      <w:r w:rsidRPr="00BC68A5">
        <w:rPr>
          <w:rFonts w:ascii="Helvetica" w:hAnsi="Helvetica"/>
          <w:sz w:val="24"/>
          <w:szCs w:val="24"/>
        </w:rPr>
        <w:t>October 16, 2019</w:t>
      </w:r>
    </w:p>
    <w:p w:rsidR="00864B77" w:rsidRPr="00A35C58" w:rsidRDefault="00864B77" w:rsidP="003A57E9">
      <w:pPr>
        <w:pStyle w:val="Heading1"/>
      </w:pPr>
      <w:r w:rsidRPr="00A35C58">
        <w:t>Slide 2</w:t>
      </w:r>
    </w:p>
    <w:p w:rsidR="00864B77" w:rsidRDefault="00864B77" w:rsidP="003A57E9">
      <w:pPr>
        <w:pStyle w:val="Heading2"/>
      </w:pPr>
      <w:r w:rsidRPr="00864B77">
        <w:t>Agenda</w:t>
      </w:r>
    </w:p>
    <w:p w:rsidR="00F876AA" w:rsidRPr="00F876AA" w:rsidRDefault="00F876AA" w:rsidP="003A57E9">
      <w:pPr>
        <w:pStyle w:val="ListParagraph"/>
        <w:numPr>
          <w:ilvl w:val="0"/>
          <w:numId w:val="7"/>
        </w:numPr>
        <w:jc w:val="left"/>
        <w:rPr>
          <w:rStyle w:val="Strong"/>
        </w:rPr>
      </w:pPr>
      <w:r w:rsidRPr="00F876AA">
        <w:rPr>
          <w:rStyle w:val="Strong"/>
        </w:rPr>
        <w:t>Welcome</w:t>
      </w:r>
    </w:p>
    <w:p w:rsidR="00F876AA" w:rsidRPr="00F876AA" w:rsidRDefault="00F876AA" w:rsidP="003A57E9">
      <w:pPr>
        <w:pStyle w:val="ListParagraph"/>
        <w:numPr>
          <w:ilvl w:val="0"/>
          <w:numId w:val="7"/>
        </w:numPr>
        <w:jc w:val="left"/>
        <w:rPr>
          <w:rFonts w:ascii="Helvetica" w:hAnsi="Helvetica"/>
          <w:sz w:val="24"/>
          <w:szCs w:val="24"/>
        </w:rPr>
      </w:pPr>
      <w:r w:rsidRPr="00F876AA">
        <w:rPr>
          <w:rFonts w:ascii="Helvetica" w:hAnsi="Helvetica"/>
          <w:sz w:val="24"/>
          <w:szCs w:val="24"/>
        </w:rPr>
        <w:t>Rhode Island’s Aligned Measure Sets</w:t>
      </w:r>
    </w:p>
    <w:p w:rsidR="00F876AA" w:rsidRPr="00F876AA" w:rsidRDefault="00F876AA" w:rsidP="003A57E9">
      <w:pPr>
        <w:pStyle w:val="ListParagraph"/>
        <w:numPr>
          <w:ilvl w:val="0"/>
          <w:numId w:val="7"/>
        </w:numPr>
        <w:jc w:val="left"/>
        <w:rPr>
          <w:rFonts w:ascii="Helvetica" w:hAnsi="Helvetica"/>
          <w:sz w:val="24"/>
          <w:szCs w:val="24"/>
        </w:rPr>
      </w:pPr>
      <w:r w:rsidRPr="00F876AA">
        <w:rPr>
          <w:rFonts w:ascii="Helvetica" w:hAnsi="Helvetica"/>
          <w:sz w:val="24"/>
          <w:szCs w:val="24"/>
        </w:rPr>
        <w:t>Review Updated Taskforce Charter</w:t>
      </w:r>
    </w:p>
    <w:p w:rsidR="00F876AA" w:rsidRPr="00F876AA" w:rsidRDefault="00F876AA" w:rsidP="003A57E9">
      <w:pPr>
        <w:pStyle w:val="ListParagraph"/>
        <w:numPr>
          <w:ilvl w:val="0"/>
          <w:numId w:val="7"/>
        </w:numPr>
        <w:jc w:val="left"/>
        <w:rPr>
          <w:rFonts w:ascii="Helvetica" w:hAnsi="Helvetica"/>
          <w:sz w:val="24"/>
          <w:szCs w:val="24"/>
        </w:rPr>
      </w:pPr>
      <w:r w:rsidRPr="00F876AA">
        <w:rPr>
          <w:rFonts w:ascii="Helvetica" w:hAnsi="Helvetica"/>
          <w:sz w:val="24"/>
          <w:szCs w:val="24"/>
        </w:rPr>
        <w:t>Developmental Measure Updates</w:t>
      </w:r>
    </w:p>
    <w:p w:rsidR="00F876AA" w:rsidRPr="00F876AA" w:rsidRDefault="00F876AA" w:rsidP="003A57E9">
      <w:pPr>
        <w:pStyle w:val="ListParagraph"/>
        <w:numPr>
          <w:ilvl w:val="0"/>
          <w:numId w:val="7"/>
        </w:numPr>
        <w:jc w:val="left"/>
        <w:rPr>
          <w:rFonts w:ascii="Helvetica" w:hAnsi="Helvetica"/>
          <w:sz w:val="24"/>
          <w:szCs w:val="24"/>
        </w:rPr>
      </w:pPr>
      <w:r w:rsidRPr="00F876AA">
        <w:rPr>
          <w:rFonts w:ascii="Helvetica" w:hAnsi="Helvetica"/>
          <w:sz w:val="24"/>
          <w:szCs w:val="24"/>
        </w:rPr>
        <w:t>Next Steps</w:t>
      </w:r>
    </w:p>
    <w:p w:rsidR="00F876AA" w:rsidRPr="00A35C58" w:rsidRDefault="00F876AA" w:rsidP="003A57E9">
      <w:pPr>
        <w:pStyle w:val="Heading1"/>
      </w:pPr>
      <w:r w:rsidRPr="00A35C58">
        <w:t xml:space="preserve">Slide </w:t>
      </w:r>
      <w:r>
        <w:t>3</w:t>
      </w:r>
    </w:p>
    <w:p w:rsidR="00864B77" w:rsidRPr="00864B77" w:rsidRDefault="00864B77" w:rsidP="003A57E9">
      <w:pPr>
        <w:pStyle w:val="Heading2"/>
        <w:rPr>
          <w:rStyle w:val="Strong"/>
          <w:rFonts w:asciiTheme="minorHAnsi" w:hAnsiTheme="minorHAnsi"/>
          <w:b/>
          <w:sz w:val="28"/>
          <w:szCs w:val="28"/>
        </w:rPr>
      </w:pPr>
      <w:r w:rsidRPr="00864B77">
        <w:t>Agenda</w:t>
      </w:r>
    </w:p>
    <w:p w:rsidR="00864B77" w:rsidRDefault="00864B77" w:rsidP="003A57E9">
      <w:pPr>
        <w:pStyle w:val="ListParagraph"/>
        <w:numPr>
          <w:ilvl w:val="0"/>
          <w:numId w:val="1"/>
        </w:numPr>
        <w:jc w:val="left"/>
        <w:rPr>
          <w:rFonts w:ascii="Helvetica" w:hAnsi="Helvetica"/>
          <w:sz w:val="24"/>
          <w:szCs w:val="24"/>
        </w:rPr>
      </w:pPr>
      <w:r w:rsidRPr="00864B77">
        <w:rPr>
          <w:rFonts w:ascii="Helvetica" w:hAnsi="Helvetica"/>
          <w:sz w:val="24"/>
          <w:szCs w:val="24"/>
        </w:rPr>
        <w:t>Welcome</w:t>
      </w:r>
    </w:p>
    <w:p w:rsidR="00BC68A5" w:rsidRPr="00F876AA" w:rsidRDefault="00BC68A5" w:rsidP="003A57E9">
      <w:pPr>
        <w:pStyle w:val="ListParagraph"/>
        <w:numPr>
          <w:ilvl w:val="0"/>
          <w:numId w:val="1"/>
        </w:numPr>
        <w:jc w:val="left"/>
        <w:rPr>
          <w:rStyle w:val="Strong"/>
        </w:rPr>
      </w:pPr>
      <w:r w:rsidRPr="00F876AA">
        <w:rPr>
          <w:rStyle w:val="Strong"/>
        </w:rPr>
        <w:t>Rhode Island’s Aligned Measure Sets</w:t>
      </w:r>
    </w:p>
    <w:p w:rsidR="00BC68A5" w:rsidRPr="00864B77" w:rsidRDefault="00BC68A5" w:rsidP="003A57E9">
      <w:pPr>
        <w:pStyle w:val="ListParagraph"/>
        <w:numPr>
          <w:ilvl w:val="0"/>
          <w:numId w:val="1"/>
        </w:numPr>
        <w:jc w:val="left"/>
        <w:rPr>
          <w:rStyle w:val="Strong"/>
          <w:b w:val="0"/>
        </w:rPr>
      </w:pPr>
      <w:r w:rsidRPr="00864B77">
        <w:rPr>
          <w:rStyle w:val="Strong"/>
          <w:b w:val="0"/>
        </w:rPr>
        <w:t>Review Updated Taskforce Charter</w:t>
      </w:r>
    </w:p>
    <w:p w:rsidR="00BC68A5" w:rsidRPr="00BC68A5" w:rsidRDefault="00BC68A5" w:rsidP="003A57E9">
      <w:pPr>
        <w:pStyle w:val="ListParagraph"/>
        <w:numPr>
          <w:ilvl w:val="0"/>
          <w:numId w:val="1"/>
        </w:numPr>
        <w:jc w:val="left"/>
        <w:rPr>
          <w:rFonts w:ascii="Helvetica" w:hAnsi="Helvetica"/>
          <w:sz w:val="24"/>
          <w:szCs w:val="24"/>
        </w:rPr>
      </w:pPr>
      <w:r w:rsidRPr="00BC68A5">
        <w:rPr>
          <w:rFonts w:ascii="Helvetica" w:hAnsi="Helvetica"/>
          <w:sz w:val="24"/>
          <w:szCs w:val="24"/>
        </w:rPr>
        <w:t>Developmental Measure Updates</w:t>
      </w:r>
    </w:p>
    <w:p w:rsidR="00BC68A5" w:rsidRDefault="00BC68A5" w:rsidP="003A57E9">
      <w:pPr>
        <w:pStyle w:val="ListParagraph"/>
        <w:numPr>
          <w:ilvl w:val="0"/>
          <w:numId w:val="1"/>
        </w:numPr>
        <w:jc w:val="left"/>
        <w:rPr>
          <w:rFonts w:ascii="Helvetica" w:hAnsi="Helvetica"/>
          <w:sz w:val="24"/>
          <w:szCs w:val="24"/>
        </w:rPr>
      </w:pPr>
      <w:r w:rsidRPr="00BC68A5">
        <w:rPr>
          <w:rFonts w:ascii="Helvetica" w:hAnsi="Helvetica"/>
          <w:sz w:val="24"/>
          <w:szCs w:val="24"/>
        </w:rPr>
        <w:t>Next Steps</w:t>
      </w:r>
    </w:p>
    <w:p w:rsidR="00F876AA" w:rsidRPr="00A35C58" w:rsidRDefault="00F876AA" w:rsidP="003A57E9">
      <w:pPr>
        <w:pStyle w:val="Heading1"/>
      </w:pPr>
      <w:r w:rsidRPr="00A35C58">
        <w:t xml:space="preserve">Slide </w:t>
      </w:r>
      <w:r>
        <w:t>4</w:t>
      </w:r>
    </w:p>
    <w:p w:rsidR="00F876AA" w:rsidRPr="00864B77" w:rsidRDefault="00F876AA" w:rsidP="003A57E9">
      <w:pPr>
        <w:pStyle w:val="Heading2"/>
        <w:rPr>
          <w:rStyle w:val="Strong"/>
          <w:rFonts w:asciiTheme="minorHAnsi" w:hAnsiTheme="minorHAnsi"/>
          <w:b/>
          <w:sz w:val="28"/>
          <w:szCs w:val="28"/>
        </w:rPr>
      </w:pPr>
      <w:r w:rsidRPr="00864B77">
        <w:t>Agenda</w:t>
      </w:r>
    </w:p>
    <w:p w:rsidR="00F876AA" w:rsidRDefault="00F876AA" w:rsidP="003A57E9">
      <w:pPr>
        <w:pStyle w:val="ListParagraph"/>
        <w:numPr>
          <w:ilvl w:val="0"/>
          <w:numId w:val="1"/>
        </w:numPr>
        <w:jc w:val="left"/>
        <w:rPr>
          <w:rFonts w:ascii="Helvetica" w:hAnsi="Helvetica"/>
          <w:sz w:val="24"/>
          <w:szCs w:val="24"/>
        </w:rPr>
      </w:pPr>
      <w:r w:rsidRPr="00864B77">
        <w:rPr>
          <w:rFonts w:ascii="Helvetica" w:hAnsi="Helvetica"/>
          <w:sz w:val="24"/>
          <w:szCs w:val="24"/>
        </w:rPr>
        <w:t>Welcome</w:t>
      </w:r>
    </w:p>
    <w:p w:rsidR="00F876AA" w:rsidRDefault="00F876AA" w:rsidP="003A57E9">
      <w:pPr>
        <w:pStyle w:val="ListParagraph"/>
        <w:numPr>
          <w:ilvl w:val="0"/>
          <w:numId w:val="1"/>
        </w:numPr>
        <w:jc w:val="left"/>
        <w:rPr>
          <w:rFonts w:ascii="Helvetica" w:hAnsi="Helvetica"/>
          <w:sz w:val="24"/>
          <w:szCs w:val="24"/>
        </w:rPr>
      </w:pPr>
      <w:r w:rsidRPr="00F876AA">
        <w:rPr>
          <w:rFonts w:ascii="Helvetica" w:hAnsi="Helvetica"/>
          <w:sz w:val="24"/>
          <w:szCs w:val="24"/>
        </w:rPr>
        <w:t>Rhode Island’s Aligned Measure Sets</w:t>
      </w:r>
    </w:p>
    <w:p w:rsidR="00F876AA" w:rsidRPr="00F876AA" w:rsidRDefault="00F876AA" w:rsidP="003A57E9">
      <w:pPr>
        <w:pStyle w:val="ListParagraph"/>
        <w:numPr>
          <w:ilvl w:val="0"/>
          <w:numId w:val="1"/>
        </w:numPr>
        <w:jc w:val="left"/>
        <w:rPr>
          <w:rStyle w:val="Strong"/>
        </w:rPr>
      </w:pPr>
      <w:r w:rsidRPr="00F876AA">
        <w:rPr>
          <w:rStyle w:val="Strong"/>
        </w:rPr>
        <w:t>Review Updated Taskforce Charter</w:t>
      </w:r>
    </w:p>
    <w:p w:rsidR="00F876AA" w:rsidRPr="00BC68A5" w:rsidRDefault="00F876AA" w:rsidP="003A57E9">
      <w:pPr>
        <w:pStyle w:val="ListParagraph"/>
        <w:numPr>
          <w:ilvl w:val="0"/>
          <w:numId w:val="1"/>
        </w:numPr>
        <w:jc w:val="left"/>
        <w:rPr>
          <w:rFonts w:ascii="Helvetica" w:hAnsi="Helvetica"/>
          <w:sz w:val="24"/>
          <w:szCs w:val="24"/>
        </w:rPr>
      </w:pPr>
      <w:r w:rsidRPr="00BC68A5">
        <w:rPr>
          <w:rFonts w:ascii="Helvetica" w:hAnsi="Helvetica"/>
          <w:sz w:val="24"/>
          <w:szCs w:val="24"/>
        </w:rPr>
        <w:t>Developmental Measure Updates</w:t>
      </w:r>
    </w:p>
    <w:p w:rsidR="00F876AA" w:rsidRDefault="00F876AA" w:rsidP="003A57E9">
      <w:pPr>
        <w:pStyle w:val="ListParagraph"/>
        <w:numPr>
          <w:ilvl w:val="0"/>
          <w:numId w:val="1"/>
        </w:numPr>
        <w:jc w:val="left"/>
        <w:rPr>
          <w:rFonts w:ascii="Helvetica" w:hAnsi="Helvetica"/>
          <w:sz w:val="24"/>
          <w:szCs w:val="24"/>
        </w:rPr>
      </w:pPr>
      <w:r w:rsidRPr="00BC68A5">
        <w:rPr>
          <w:rFonts w:ascii="Helvetica" w:hAnsi="Helvetica"/>
          <w:sz w:val="24"/>
          <w:szCs w:val="24"/>
        </w:rPr>
        <w:t>Next Steps</w:t>
      </w:r>
    </w:p>
    <w:p w:rsidR="00F876AA" w:rsidRDefault="00F876AA" w:rsidP="003A57E9">
      <w:pPr>
        <w:pStyle w:val="Heading1"/>
      </w:pPr>
      <w:r>
        <w:br w:type="page"/>
      </w:r>
    </w:p>
    <w:p w:rsidR="00F876AA" w:rsidRPr="00A35C58" w:rsidRDefault="00F876AA" w:rsidP="003A57E9">
      <w:pPr>
        <w:pStyle w:val="Heading1"/>
      </w:pPr>
      <w:r w:rsidRPr="00A35C58">
        <w:lastRenderedPageBreak/>
        <w:t xml:space="preserve">Slide </w:t>
      </w:r>
      <w:r>
        <w:t>5</w:t>
      </w:r>
    </w:p>
    <w:p w:rsidR="00F876AA" w:rsidRDefault="00F876AA" w:rsidP="003A57E9">
      <w:pPr>
        <w:pStyle w:val="Heading2"/>
      </w:pPr>
      <w:r w:rsidRPr="00F876AA">
        <w:t>Review Updated Taskforce Charter</w:t>
      </w:r>
    </w:p>
    <w:p w:rsidR="00F876AA" w:rsidRPr="00F876AA" w:rsidRDefault="00F876AA" w:rsidP="003A57E9">
      <w:pPr>
        <w:pStyle w:val="ListParagraph"/>
        <w:numPr>
          <w:ilvl w:val="0"/>
          <w:numId w:val="8"/>
        </w:numPr>
        <w:jc w:val="left"/>
        <w:rPr>
          <w:rFonts w:ascii="Helvetica" w:hAnsi="Helvetica"/>
          <w:sz w:val="24"/>
          <w:szCs w:val="24"/>
        </w:rPr>
      </w:pPr>
      <w:r w:rsidRPr="00F876AA">
        <w:rPr>
          <w:rFonts w:ascii="Helvetica" w:hAnsi="Helvetica"/>
          <w:sz w:val="24"/>
          <w:szCs w:val="24"/>
        </w:rPr>
        <w:t>Prior to today’s meeting, we shared with you a redlined version of the Taskforce Charter.</w:t>
      </w:r>
    </w:p>
    <w:p w:rsidR="00F876AA" w:rsidRPr="00F876AA" w:rsidRDefault="00F876AA" w:rsidP="003A57E9">
      <w:pPr>
        <w:pStyle w:val="ListParagraph"/>
        <w:numPr>
          <w:ilvl w:val="0"/>
          <w:numId w:val="8"/>
        </w:numPr>
        <w:jc w:val="left"/>
        <w:rPr>
          <w:rFonts w:ascii="Helvetica" w:hAnsi="Helvetica"/>
          <w:sz w:val="24"/>
          <w:szCs w:val="24"/>
        </w:rPr>
      </w:pPr>
      <w:r w:rsidRPr="00F876AA">
        <w:rPr>
          <w:rFonts w:ascii="Helvetica" w:hAnsi="Helvetica"/>
          <w:sz w:val="24"/>
          <w:szCs w:val="24"/>
        </w:rPr>
        <w:t>The revised charter reflects input received from you:</w:t>
      </w:r>
    </w:p>
    <w:p w:rsidR="00F876AA" w:rsidRPr="00F876AA" w:rsidRDefault="00F876AA" w:rsidP="003A57E9">
      <w:pPr>
        <w:pStyle w:val="ListParagraph"/>
        <w:numPr>
          <w:ilvl w:val="0"/>
          <w:numId w:val="10"/>
        </w:numPr>
        <w:jc w:val="left"/>
        <w:rPr>
          <w:rFonts w:ascii="Helvetica" w:hAnsi="Helvetica"/>
          <w:sz w:val="24"/>
          <w:szCs w:val="24"/>
        </w:rPr>
      </w:pPr>
      <w:r w:rsidRPr="00F876AA">
        <w:rPr>
          <w:rFonts w:ascii="Helvetica" w:hAnsi="Helvetica"/>
          <w:sz w:val="24"/>
          <w:szCs w:val="24"/>
        </w:rPr>
        <w:t xml:space="preserve">during the 9/23 Taskforce meeting and </w:t>
      </w:r>
    </w:p>
    <w:p w:rsidR="00F876AA" w:rsidRPr="00F876AA" w:rsidRDefault="00F876AA" w:rsidP="003A57E9">
      <w:pPr>
        <w:pStyle w:val="ListParagraph"/>
        <w:numPr>
          <w:ilvl w:val="0"/>
          <w:numId w:val="10"/>
        </w:numPr>
        <w:jc w:val="left"/>
        <w:rPr>
          <w:rFonts w:ascii="Helvetica" w:hAnsi="Helvetica"/>
          <w:sz w:val="24"/>
          <w:szCs w:val="24"/>
        </w:rPr>
      </w:pPr>
      <w:proofErr w:type="gramStart"/>
      <w:r w:rsidRPr="00F876AA">
        <w:rPr>
          <w:rFonts w:ascii="Helvetica" w:hAnsi="Helvetica"/>
          <w:sz w:val="24"/>
          <w:szCs w:val="24"/>
        </w:rPr>
        <w:t>written</w:t>
      </w:r>
      <w:proofErr w:type="gramEnd"/>
      <w:r w:rsidRPr="00F876AA">
        <w:rPr>
          <w:rFonts w:ascii="Helvetica" w:hAnsi="Helvetica"/>
          <w:sz w:val="24"/>
          <w:szCs w:val="24"/>
        </w:rPr>
        <w:t xml:space="preserve"> feedback received following the meeting.</w:t>
      </w:r>
    </w:p>
    <w:p w:rsidR="00F876AA" w:rsidRPr="00975B2F" w:rsidRDefault="00F876AA" w:rsidP="003A57E9">
      <w:pPr>
        <w:pStyle w:val="ListParagraph"/>
        <w:numPr>
          <w:ilvl w:val="0"/>
          <w:numId w:val="8"/>
        </w:numPr>
        <w:jc w:val="left"/>
        <w:rPr>
          <w:rStyle w:val="Strong"/>
        </w:rPr>
      </w:pPr>
      <w:r w:rsidRPr="00975B2F">
        <w:rPr>
          <w:rStyle w:val="Strong"/>
        </w:rPr>
        <w:t>Today, we will walk through the revised charter.</w:t>
      </w:r>
    </w:p>
    <w:p w:rsidR="00975B2F" w:rsidRDefault="00975B2F" w:rsidP="003A57E9">
      <w:pPr>
        <w:pStyle w:val="Heading1"/>
      </w:pPr>
      <w:r w:rsidRPr="00A35C58">
        <w:t xml:space="preserve">Slide </w:t>
      </w:r>
      <w:r>
        <w:t>6</w:t>
      </w:r>
    </w:p>
    <w:p w:rsidR="00975B2F" w:rsidRPr="00975B2F" w:rsidRDefault="00975B2F" w:rsidP="003A57E9">
      <w:pPr>
        <w:pStyle w:val="Heading2"/>
      </w:pPr>
      <w:r w:rsidRPr="00864B77">
        <w:t>Agenda</w:t>
      </w:r>
    </w:p>
    <w:p w:rsidR="00975B2F" w:rsidRPr="00975B2F" w:rsidRDefault="00975B2F" w:rsidP="003A57E9">
      <w:pPr>
        <w:pStyle w:val="ListParagraph"/>
        <w:numPr>
          <w:ilvl w:val="0"/>
          <w:numId w:val="11"/>
        </w:numPr>
        <w:jc w:val="left"/>
        <w:rPr>
          <w:rFonts w:ascii="Helvetica" w:hAnsi="Helvetica" w:cs="Helvetica"/>
          <w:sz w:val="24"/>
          <w:szCs w:val="24"/>
        </w:rPr>
      </w:pPr>
      <w:r w:rsidRPr="00975B2F">
        <w:rPr>
          <w:rFonts w:ascii="Helvetica" w:hAnsi="Helvetica" w:cs="Helvetica"/>
          <w:sz w:val="24"/>
          <w:szCs w:val="24"/>
        </w:rPr>
        <w:t>Welcome</w:t>
      </w:r>
    </w:p>
    <w:p w:rsidR="00975B2F" w:rsidRPr="00975B2F" w:rsidRDefault="00975B2F" w:rsidP="003A57E9">
      <w:pPr>
        <w:pStyle w:val="ListParagraph"/>
        <w:numPr>
          <w:ilvl w:val="0"/>
          <w:numId w:val="11"/>
        </w:numPr>
        <w:jc w:val="left"/>
        <w:rPr>
          <w:rFonts w:ascii="Helvetica" w:hAnsi="Helvetica" w:cs="Helvetica"/>
          <w:sz w:val="24"/>
          <w:szCs w:val="24"/>
        </w:rPr>
      </w:pPr>
      <w:r w:rsidRPr="00975B2F">
        <w:rPr>
          <w:rFonts w:ascii="Helvetica" w:hAnsi="Helvetica" w:cs="Helvetica"/>
          <w:sz w:val="24"/>
          <w:szCs w:val="24"/>
        </w:rPr>
        <w:t>Rhode Island’s Aligned Measure Sets</w:t>
      </w:r>
    </w:p>
    <w:p w:rsidR="00975B2F" w:rsidRPr="00975B2F" w:rsidRDefault="00975B2F" w:rsidP="003A57E9">
      <w:pPr>
        <w:pStyle w:val="ListParagraph"/>
        <w:numPr>
          <w:ilvl w:val="0"/>
          <w:numId w:val="11"/>
        </w:numPr>
        <w:jc w:val="left"/>
        <w:rPr>
          <w:rFonts w:ascii="Helvetica" w:hAnsi="Helvetica" w:cs="Helvetica"/>
          <w:sz w:val="24"/>
          <w:szCs w:val="24"/>
        </w:rPr>
      </w:pPr>
      <w:r w:rsidRPr="00975B2F">
        <w:rPr>
          <w:rFonts w:ascii="Helvetica" w:hAnsi="Helvetica" w:cs="Helvetica"/>
          <w:sz w:val="24"/>
          <w:szCs w:val="24"/>
        </w:rPr>
        <w:t>Review Updated Taskforce Charter</w:t>
      </w:r>
    </w:p>
    <w:p w:rsidR="00975B2F" w:rsidRPr="00975B2F" w:rsidRDefault="00975B2F" w:rsidP="003A57E9">
      <w:pPr>
        <w:pStyle w:val="ListParagraph"/>
        <w:numPr>
          <w:ilvl w:val="0"/>
          <w:numId w:val="11"/>
        </w:numPr>
        <w:jc w:val="left"/>
        <w:rPr>
          <w:rStyle w:val="Strong"/>
        </w:rPr>
      </w:pPr>
      <w:r w:rsidRPr="00975B2F">
        <w:rPr>
          <w:rStyle w:val="Strong"/>
        </w:rPr>
        <w:t>Developmental Measure Updates</w:t>
      </w:r>
    </w:p>
    <w:p w:rsidR="00975B2F" w:rsidRPr="00975B2F" w:rsidRDefault="00975B2F" w:rsidP="003A57E9">
      <w:pPr>
        <w:pStyle w:val="ListParagraph"/>
        <w:numPr>
          <w:ilvl w:val="0"/>
          <w:numId w:val="11"/>
        </w:numPr>
        <w:jc w:val="left"/>
        <w:rPr>
          <w:rFonts w:ascii="Helvetica" w:hAnsi="Helvetica" w:cs="Helvetica"/>
          <w:sz w:val="24"/>
          <w:szCs w:val="24"/>
        </w:rPr>
      </w:pPr>
      <w:r w:rsidRPr="00975B2F">
        <w:rPr>
          <w:rFonts w:ascii="Helvetica" w:hAnsi="Helvetica" w:cs="Helvetica"/>
          <w:sz w:val="24"/>
          <w:szCs w:val="24"/>
        </w:rPr>
        <w:t>Next Steps</w:t>
      </w:r>
    </w:p>
    <w:p w:rsidR="00BC68A5" w:rsidRPr="00A35C58" w:rsidRDefault="00BC68A5" w:rsidP="003A57E9">
      <w:pPr>
        <w:pStyle w:val="Heading1"/>
      </w:pPr>
      <w:r w:rsidRPr="00A35C58">
        <w:t xml:space="preserve">Slide </w:t>
      </w:r>
      <w:r w:rsidR="00975B2F">
        <w:t>7</w:t>
      </w:r>
    </w:p>
    <w:p w:rsidR="00BC68A5" w:rsidRDefault="00BC68A5" w:rsidP="003A57E9">
      <w:pPr>
        <w:pStyle w:val="Heading2"/>
      </w:pPr>
      <w:r w:rsidRPr="00BC68A5">
        <w:t>Developmental Measure Activity</w:t>
      </w:r>
    </w:p>
    <w:p w:rsidR="00BC68A5" w:rsidRDefault="00BC68A5" w:rsidP="003A57E9">
      <w:pPr>
        <w:jc w:val="left"/>
        <w:rPr>
          <w:rFonts w:ascii="Helvetica" w:hAnsi="Helvetica"/>
          <w:sz w:val="24"/>
          <w:szCs w:val="24"/>
        </w:rPr>
      </w:pPr>
      <w:r w:rsidRPr="00BC68A5">
        <w:rPr>
          <w:rFonts w:ascii="Helvetica" w:hAnsi="Helvetica"/>
          <w:sz w:val="24"/>
          <w:szCs w:val="24"/>
        </w:rPr>
        <w:t>As a reminder, one of the Taskforce’s 2019 priorities is to track or sponsor four prioritized developmental measures.</w:t>
      </w:r>
    </w:p>
    <w:tbl>
      <w:tblPr>
        <w:tblStyle w:val="TableGrid"/>
        <w:tblW w:w="5000" w:type="pct"/>
        <w:tblCellMar>
          <w:left w:w="0" w:type="dxa"/>
          <w:right w:w="0" w:type="dxa"/>
        </w:tblCellMar>
        <w:tblLook w:val="04A0" w:firstRow="1" w:lastRow="0" w:firstColumn="1" w:lastColumn="0" w:noHBand="0" w:noVBand="1"/>
        <w:tblCaption w:val="Taskforce’s 2019 priorities"/>
      </w:tblPr>
      <w:tblGrid>
        <w:gridCol w:w="4428"/>
        <w:gridCol w:w="5148"/>
      </w:tblGrid>
      <w:tr w:rsidR="00BC68A5" w:rsidRPr="00BC68A5" w:rsidTr="00BC68A5">
        <w:trPr>
          <w:trHeight w:val="271"/>
          <w:tblHeader/>
        </w:trPr>
        <w:tc>
          <w:tcPr>
            <w:tcW w:w="2312" w:type="pct"/>
            <w:tcBorders>
              <w:top w:val="single" w:sz="8" w:space="0" w:color="000000"/>
              <w:left w:val="single" w:sz="8" w:space="0" w:color="000000"/>
              <w:bottom w:val="single" w:sz="8" w:space="0" w:color="000000"/>
              <w:right w:val="single" w:sz="8" w:space="0" w:color="000000"/>
            </w:tcBorders>
            <w:shd w:val="clear" w:color="auto" w:fill="000066"/>
            <w:tcMar>
              <w:top w:w="15" w:type="dxa"/>
              <w:left w:w="108" w:type="dxa"/>
              <w:bottom w:w="0" w:type="dxa"/>
              <w:right w:w="108" w:type="dxa"/>
            </w:tcMar>
            <w:hideMark/>
          </w:tcPr>
          <w:p w:rsidR="00BC68A5" w:rsidRPr="00BC68A5" w:rsidRDefault="00BC68A5" w:rsidP="003A57E9">
            <w:pPr>
              <w:tabs>
                <w:tab w:val="left" w:pos="8640"/>
              </w:tabs>
              <w:jc w:val="left"/>
              <w:rPr>
                <w:rFonts w:ascii="Helvetica" w:eastAsia="Times New Roman" w:hAnsi="Helvetica" w:cs="Arial"/>
                <w:color w:val="FFFFFF" w:themeColor="background1"/>
                <w:szCs w:val="22"/>
              </w:rPr>
            </w:pPr>
            <w:r w:rsidRPr="00BC68A5">
              <w:rPr>
                <w:rFonts w:ascii="Helvetica" w:eastAsia="Times New Roman" w:hAnsi="Helvetica" w:cs="Arial"/>
                <w:b/>
                <w:bCs/>
                <w:color w:val="FFFFFF" w:themeColor="background1"/>
                <w:kern w:val="24"/>
                <w:szCs w:val="22"/>
              </w:rPr>
              <w:t>Measure/Measure Concept</w:t>
            </w:r>
          </w:p>
        </w:tc>
        <w:tc>
          <w:tcPr>
            <w:tcW w:w="2688" w:type="pct"/>
            <w:tcBorders>
              <w:top w:val="single" w:sz="8" w:space="0" w:color="000000"/>
              <w:left w:val="single" w:sz="8" w:space="0" w:color="000000"/>
              <w:bottom w:val="single" w:sz="8" w:space="0" w:color="000000"/>
              <w:right w:val="single" w:sz="8" w:space="0" w:color="000000"/>
            </w:tcBorders>
            <w:shd w:val="clear" w:color="auto" w:fill="000066"/>
            <w:tcMar>
              <w:top w:w="15" w:type="dxa"/>
              <w:left w:w="108" w:type="dxa"/>
              <w:bottom w:w="0" w:type="dxa"/>
              <w:right w:w="108" w:type="dxa"/>
            </w:tcMar>
            <w:hideMark/>
          </w:tcPr>
          <w:p w:rsidR="00BC68A5" w:rsidRPr="00BC68A5" w:rsidRDefault="00BC68A5" w:rsidP="003A57E9">
            <w:pPr>
              <w:tabs>
                <w:tab w:val="left" w:pos="8640"/>
              </w:tabs>
              <w:jc w:val="left"/>
              <w:rPr>
                <w:rFonts w:ascii="Helvetica" w:eastAsia="Times New Roman" w:hAnsi="Helvetica" w:cs="Arial"/>
                <w:szCs w:val="22"/>
              </w:rPr>
            </w:pPr>
            <w:r w:rsidRPr="00BC68A5">
              <w:rPr>
                <w:rFonts w:ascii="Helvetica" w:eastAsia="Times New Roman" w:hAnsi="Helvetica" w:cs="Arial"/>
                <w:b/>
                <w:bCs/>
                <w:color w:val="FFFFFF" w:themeColor="background1"/>
                <w:kern w:val="24"/>
                <w:szCs w:val="22"/>
              </w:rPr>
              <w:t>Mechanism for Development</w:t>
            </w:r>
          </w:p>
        </w:tc>
      </w:tr>
      <w:tr w:rsidR="00BC68A5" w:rsidRPr="00BC68A5" w:rsidTr="00BC68A5">
        <w:trPr>
          <w:trHeight w:val="63"/>
        </w:trPr>
        <w:tc>
          <w:tcPr>
            <w:tcW w:w="2312" w:type="pct"/>
            <w:tcBorders>
              <w:top w:val="single" w:sz="8" w:space="0" w:color="000000"/>
              <w:left w:val="single" w:sz="8" w:space="0" w:color="000000"/>
              <w:bottom w:val="single" w:sz="8" w:space="0" w:color="000000"/>
              <w:right w:val="single" w:sz="8" w:space="0" w:color="000000"/>
            </w:tcBorders>
            <w:shd w:val="clear" w:color="auto" w:fill="DCE6F1"/>
            <w:tcMar>
              <w:top w:w="15" w:type="dxa"/>
              <w:left w:w="108" w:type="dxa"/>
              <w:bottom w:w="0" w:type="dxa"/>
              <w:right w:w="108" w:type="dxa"/>
            </w:tcMar>
            <w:hideMark/>
          </w:tcPr>
          <w:p w:rsidR="00BC68A5" w:rsidRPr="00BC68A5" w:rsidRDefault="00BC68A5" w:rsidP="003A57E9">
            <w:pPr>
              <w:tabs>
                <w:tab w:val="left" w:pos="8640"/>
              </w:tabs>
              <w:spacing w:line="63" w:lineRule="atLeast"/>
              <w:jc w:val="left"/>
              <w:rPr>
                <w:rFonts w:ascii="Helvetica" w:eastAsia="Times New Roman" w:hAnsi="Helvetica" w:cs="Arial"/>
                <w:szCs w:val="22"/>
              </w:rPr>
            </w:pPr>
            <w:r w:rsidRPr="00BC68A5">
              <w:rPr>
                <w:rFonts w:ascii="Helvetica" w:eastAsia="Times New Roman" w:hAnsi="Helvetica" w:cs="Times New Roman"/>
                <w:b/>
                <w:bCs/>
                <w:i/>
                <w:iCs/>
                <w:color w:val="000000"/>
                <w:kern w:val="24"/>
                <w:szCs w:val="22"/>
              </w:rPr>
              <w:t>Monitor external work</w:t>
            </w:r>
          </w:p>
        </w:tc>
        <w:tc>
          <w:tcPr>
            <w:tcW w:w="2688" w:type="pct"/>
            <w:tcBorders>
              <w:top w:val="single" w:sz="8" w:space="0" w:color="000000"/>
              <w:left w:val="single" w:sz="8" w:space="0" w:color="000000"/>
              <w:bottom w:val="single" w:sz="8" w:space="0" w:color="000000"/>
              <w:right w:val="single" w:sz="8" w:space="0" w:color="000000"/>
            </w:tcBorders>
            <w:shd w:val="clear" w:color="auto" w:fill="DCE6F1"/>
          </w:tcPr>
          <w:p w:rsidR="00BC68A5" w:rsidRPr="00BC68A5" w:rsidRDefault="00BC68A5" w:rsidP="003A57E9">
            <w:pPr>
              <w:tabs>
                <w:tab w:val="left" w:pos="8640"/>
              </w:tabs>
              <w:spacing w:line="63" w:lineRule="atLeast"/>
              <w:jc w:val="left"/>
              <w:rPr>
                <w:rFonts w:ascii="Helvetica" w:eastAsia="Times New Roman" w:hAnsi="Helvetica" w:cs="Arial"/>
                <w:szCs w:val="22"/>
              </w:rPr>
            </w:pPr>
          </w:p>
        </w:tc>
      </w:tr>
      <w:tr w:rsidR="00BC68A5" w:rsidRPr="00BC68A5" w:rsidTr="00BC68A5">
        <w:trPr>
          <w:trHeight w:val="63"/>
        </w:trPr>
        <w:tc>
          <w:tcPr>
            <w:tcW w:w="23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C68A5" w:rsidRPr="00BC68A5" w:rsidRDefault="00BC68A5" w:rsidP="003A57E9">
            <w:pPr>
              <w:tabs>
                <w:tab w:val="left" w:pos="8640"/>
              </w:tabs>
              <w:spacing w:line="63" w:lineRule="atLeast"/>
              <w:jc w:val="left"/>
              <w:rPr>
                <w:rFonts w:ascii="Helvetica" w:eastAsia="Times New Roman" w:hAnsi="Helvetica" w:cs="Arial"/>
                <w:szCs w:val="22"/>
              </w:rPr>
            </w:pPr>
            <w:r w:rsidRPr="00BC68A5">
              <w:rPr>
                <w:rFonts w:ascii="Helvetica" w:eastAsia="Times New Roman" w:hAnsi="Helvetica" w:cs="Arial"/>
                <w:color w:val="000000"/>
                <w:kern w:val="24"/>
                <w:szCs w:val="22"/>
              </w:rPr>
              <w:t>“Depression Remission or Response for Adolescents and Adults”</w:t>
            </w:r>
          </w:p>
        </w:tc>
        <w:tc>
          <w:tcPr>
            <w:tcW w:w="26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C68A5" w:rsidRPr="00BC68A5" w:rsidRDefault="00BC68A5" w:rsidP="003A57E9">
            <w:pPr>
              <w:tabs>
                <w:tab w:val="left" w:pos="8640"/>
              </w:tabs>
              <w:spacing w:line="63" w:lineRule="atLeast"/>
              <w:jc w:val="left"/>
              <w:rPr>
                <w:rFonts w:ascii="Helvetica" w:eastAsia="Times New Roman" w:hAnsi="Helvetica" w:cs="Arial"/>
                <w:szCs w:val="22"/>
              </w:rPr>
            </w:pPr>
            <w:r w:rsidRPr="00BC68A5">
              <w:rPr>
                <w:rFonts w:ascii="Helvetica" w:eastAsia="Times New Roman" w:hAnsi="Helvetica" w:cs="Arial"/>
                <w:color w:val="000000" w:themeColor="text1"/>
                <w:kern w:val="24"/>
                <w:szCs w:val="22"/>
              </w:rPr>
              <w:t>Monitor collaboration between BCBSMA and MassHealth a</w:t>
            </w:r>
            <w:r w:rsidRPr="00BC68A5">
              <w:rPr>
                <w:rFonts w:ascii="Helvetica" w:eastAsia="Times New Roman" w:hAnsi="Helvetica" w:cs="Times New Roman"/>
                <w:color w:val="000000" w:themeColor="text1"/>
                <w:kern w:val="24"/>
                <w:szCs w:val="22"/>
              </w:rPr>
              <w:t xml:space="preserve">nd </w:t>
            </w:r>
            <w:r w:rsidRPr="00BC68A5">
              <w:rPr>
                <w:rFonts w:ascii="Helvetica" w:eastAsia="Times New Roman" w:hAnsi="Helvetica" w:cs="Arial"/>
                <w:color w:val="000000" w:themeColor="text1"/>
                <w:kern w:val="24"/>
                <w:szCs w:val="22"/>
              </w:rPr>
              <w:t>their</w:t>
            </w:r>
            <w:r w:rsidRPr="00BC68A5">
              <w:rPr>
                <w:rFonts w:ascii="Helvetica" w:eastAsia="Times New Roman" w:hAnsi="Helvetica" w:cs="Times New Roman"/>
                <w:color w:val="000000" w:themeColor="text1"/>
                <w:kern w:val="24"/>
                <w:szCs w:val="22"/>
              </w:rPr>
              <w:t xml:space="preserve"> p</w:t>
            </w:r>
            <w:r w:rsidRPr="00BC68A5">
              <w:rPr>
                <w:rFonts w:ascii="Helvetica" w:eastAsia="Times New Roman" w:hAnsi="Helvetica" w:cs="Arial"/>
                <w:color w:val="000000" w:themeColor="text1"/>
                <w:kern w:val="24"/>
                <w:szCs w:val="22"/>
              </w:rPr>
              <w:t>artnership with PBGH/ICHOM</w:t>
            </w:r>
          </w:p>
        </w:tc>
      </w:tr>
      <w:tr w:rsidR="00BC68A5" w:rsidRPr="00BC68A5" w:rsidTr="00BC68A5">
        <w:trPr>
          <w:trHeight w:val="530"/>
        </w:trPr>
        <w:tc>
          <w:tcPr>
            <w:tcW w:w="23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C68A5" w:rsidRPr="00BC68A5" w:rsidRDefault="00BC68A5" w:rsidP="003A57E9">
            <w:pPr>
              <w:tabs>
                <w:tab w:val="left" w:pos="8640"/>
              </w:tabs>
              <w:jc w:val="left"/>
              <w:rPr>
                <w:rFonts w:ascii="Helvetica" w:eastAsia="Times New Roman" w:hAnsi="Helvetica" w:cs="Arial"/>
                <w:szCs w:val="22"/>
              </w:rPr>
            </w:pPr>
            <w:r w:rsidRPr="00BC68A5">
              <w:rPr>
                <w:rFonts w:ascii="Helvetica" w:eastAsia="Times New Roman" w:hAnsi="Helvetica" w:cs="Arial"/>
                <w:color w:val="000000"/>
                <w:kern w:val="24"/>
                <w:szCs w:val="22"/>
              </w:rPr>
              <w:t>Joint replacement patient-reported outcome measure</w:t>
            </w:r>
          </w:p>
        </w:tc>
        <w:tc>
          <w:tcPr>
            <w:tcW w:w="26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C68A5" w:rsidRPr="00BC68A5" w:rsidRDefault="00BC68A5" w:rsidP="003A57E9">
            <w:pPr>
              <w:tabs>
                <w:tab w:val="left" w:pos="8640"/>
              </w:tabs>
              <w:jc w:val="left"/>
              <w:rPr>
                <w:rFonts w:ascii="Helvetica" w:eastAsia="Times New Roman" w:hAnsi="Helvetica" w:cs="Arial"/>
                <w:szCs w:val="22"/>
              </w:rPr>
            </w:pPr>
            <w:r w:rsidRPr="00BC68A5">
              <w:rPr>
                <w:rFonts w:ascii="Helvetica" w:eastAsia="Times New Roman" w:hAnsi="Helvetica" w:cs="Arial"/>
                <w:color w:val="000000" w:themeColor="text1"/>
                <w:kern w:val="24"/>
                <w:szCs w:val="22"/>
              </w:rPr>
              <w:t>Monitor CMS-funded work of David Bates and others working in this area</w:t>
            </w:r>
          </w:p>
        </w:tc>
      </w:tr>
      <w:tr w:rsidR="00BC68A5" w:rsidRPr="00BC68A5" w:rsidTr="00BC68A5">
        <w:trPr>
          <w:trHeight w:val="98"/>
        </w:trPr>
        <w:tc>
          <w:tcPr>
            <w:tcW w:w="23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C68A5" w:rsidRPr="00BC68A5" w:rsidRDefault="00BC68A5" w:rsidP="003A57E9">
            <w:pPr>
              <w:tabs>
                <w:tab w:val="left" w:pos="8640"/>
              </w:tabs>
              <w:spacing w:line="98" w:lineRule="atLeast"/>
              <w:jc w:val="left"/>
              <w:rPr>
                <w:rFonts w:ascii="Helvetica" w:eastAsia="Times New Roman" w:hAnsi="Helvetica" w:cs="Arial"/>
                <w:szCs w:val="22"/>
              </w:rPr>
            </w:pPr>
            <w:r w:rsidRPr="00BC68A5">
              <w:rPr>
                <w:rFonts w:ascii="Helvetica" w:eastAsia="Times New Roman" w:hAnsi="Helvetica" w:cs="Arial"/>
                <w:color w:val="000000"/>
                <w:kern w:val="24"/>
                <w:szCs w:val="22"/>
              </w:rPr>
              <w:t>“Kindergarten Readiness”</w:t>
            </w:r>
          </w:p>
        </w:tc>
        <w:tc>
          <w:tcPr>
            <w:tcW w:w="26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C68A5" w:rsidRPr="00BC68A5" w:rsidRDefault="00BC68A5" w:rsidP="003A57E9">
            <w:pPr>
              <w:tabs>
                <w:tab w:val="left" w:pos="8640"/>
              </w:tabs>
              <w:spacing w:line="98" w:lineRule="atLeast"/>
              <w:jc w:val="left"/>
              <w:rPr>
                <w:rFonts w:ascii="Helvetica" w:eastAsia="Times New Roman" w:hAnsi="Helvetica" w:cs="Arial"/>
                <w:szCs w:val="22"/>
              </w:rPr>
            </w:pPr>
            <w:r w:rsidRPr="00BC68A5">
              <w:rPr>
                <w:rFonts w:ascii="Helvetica" w:eastAsia="Times New Roman" w:hAnsi="Helvetica" w:cs="Arial"/>
                <w:color w:val="000000" w:themeColor="text1"/>
                <w:kern w:val="24"/>
                <w:szCs w:val="22"/>
              </w:rPr>
              <w:t xml:space="preserve">Monitor development by the Oregon Health Authority </w:t>
            </w:r>
          </w:p>
        </w:tc>
      </w:tr>
      <w:tr w:rsidR="00BC68A5" w:rsidRPr="00BC68A5" w:rsidTr="00BC68A5">
        <w:trPr>
          <w:trHeight w:val="280"/>
        </w:trPr>
        <w:tc>
          <w:tcPr>
            <w:tcW w:w="2312" w:type="pct"/>
            <w:tcBorders>
              <w:top w:val="single" w:sz="8" w:space="0" w:color="000000"/>
              <w:left w:val="single" w:sz="8" w:space="0" w:color="000000"/>
              <w:bottom w:val="single" w:sz="8" w:space="0" w:color="000000"/>
              <w:right w:val="single" w:sz="8" w:space="0" w:color="000000"/>
            </w:tcBorders>
            <w:shd w:val="clear" w:color="auto" w:fill="DCE6F1"/>
            <w:tcMar>
              <w:top w:w="15" w:type="dxa"/>
              <w:left w:w="108" w:type="dxa"/>
              <w:bottom w:w="0" w:type="dxa"/>
              <w:right w:w="108" w:type="dxa"/>
            </w:tcMar>
            <w:hideMark/>
          </w:tcPr>
          <w:p w:rsidR="00BC68A5" w:rsidRPr="00BC68A5" w:rsidRDefault="00BC68A5" w:rsidP="003A57E9">
            <w:pPr>
              <w:jc w:val="left"/>
              <w:rPr>
                <w:rFonts w:ascii="Helvetica" w:eastAsia="Times New Roman" w:hAnsi="Helvetica" w:cs="Arial"/>
                <w:szCs w:val="22"/>
              </w:rPr>
            </w:pPr>
            <w:r w:rsidRPr="00BC68A5">
              <w:rPr>
                <w:rFonts w:ascii="Helvetica" w:eastAsia="Times New Roman" w:hAnsi="Helvetica" w:cs="Times New Roman"/>
                <w:b/>
                <w:bCs/>
                <w:i/>
                <w:iCs/>
                <w:color w:val="000000"/>
                <w:kern w:val="24"/>
                <w:szCs w:val="22"/>
              </w:rPr>
              <w:t>Active role in measure development</w:t>
            </w:r>
          </w:p>
        </w:tc>
        <w:tc>
          <w:tcPr>
            <w:tcW w:w="2688" w:type="pct"/>
            <w:tcBorders>
              <w:top w:val="single" w:sz="8" w:space="0" w:color="000000"/>
              <w:left w:val="single" w:sz="8" w:space="0" w:color="000000"/>
              <w:bottom w:val="single" w:sz="8" w:space="0" w:color="000000"/>
              <w:right w:val="single" w:sz="8" w:space="0" w:color="000000"/>
            </w:tcBorders>
            <w:shd w:val="clear" w:color="auto" w:fill="DCE6F1"/>
          </w:tcPr>
          <w:p w:rsidR="00BC68A5" w:rsidRPr="00BC68A5" w:rsidRDefault="00BC68A5" w:rsidP="003A57E9">
            <w:pPr>
              <w:jc w:val="left"/>
              <w:rPr>
                <w:rFonts w:ascii="Helvetica" w:eastAsia="Times New Roman" w:hAnsi="Helvetica" w:cs="Arial"/>
                <w:szCs w:val="22"/>
              </w:rPr>
            </w:pPr>
          </w:p>
        </w:tc>
      </w:tr>
      <w:tr w:rsidR="00BC68A5" w:rsidRPr="00BC68A5" w:rsidTr="00BC68A5">
        <w:trPr>
          <w:trHeight w:val="512"/>
        </w:trPr>
        <w:tc>
          <w:tcPr>
            <w:tcW w:w="23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C68A5" w:rsidRPr="00BC68A5" w:rsidRDefault="00BC68A5" w:rsidP="003A57E9">
            <w:pPr>
              <w:jc w:val="left"/>
              <w:rPr>
                <w:rFonts w:ascii="Helvetica" w:eastAsia="Times New Roman" w:hAnsi="Helvetica" w:cs="Arial"/>
                <w:szCs w:val="22"/>
              </w:rPr>
            </w:pPr>
            <w:r w:rsidRPr="00BC68A5">
              <w:rPr>
                <w:rFonts w:ascii="Helvetica" w:eastAsia="Times New Roman" w:hAnsi="Helvetica" w:cs="Arial"/>
                <w:color w:val="000000"/>
                <w:kern w:val="24"/>
                <w:szCs w:val="22"/>
              </w:rPr>
              <w:t>Stratification of measures to understand equity and disparities</w:t>
            </w:r>
          </w:p>
        </w:tc>
        <w:tc>
          <w:tcPr>
            <w:tcW w:w="26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C68A5" w:rsidRPr="00BC68A5" w:rsidRDefault="00BC68A5" w:rsidP="003A57E9">
            <w:pPr>
              <w:tabs>
                <w:tab w:val="left" w:pos="8640"/>
              </w:tabs>
              <w:jc w:val="left"/>
              <w:rPr>
                <w:rFonts w:ascii="Helvetica" w:eastAsia="Times New Roman" w:hAnsi="Helvetica" w:cs="Arial"/>
                <w:szCs w:val="22"/>
              </w:rPr>
            </w:pPr>
            <w:r w:rsidRPr="00BC68A5">
              <w:rPr>
                <w:rFonts w:ascii="Helvetica" w:eastAsia="Times New Roman" w:hAnsi="Helvetica" w:cs="Arial"/>
                <w:color w:val="000000" w:themeColor="text1"/>
                <w:kern w:val="24"/>
                <w:szCs w:val="22"/>
              </w:rPr>
              <w:t>Collaboration among interested organizations with project leadership and support from DPH, CHIA, and HPC</w:t>
            </w:r>
          </w:p>
        </w:tc>
      </w:tr>
    </w:tbl>
    <w:p w:rsidR="00BC68A5" w:rsidRPr="00BC68A5" w:rsidRDefault="00BC68A5" w:rsidP="003A57E9">
      <w:pPr>
        <w:jc w:val="left"/>
        <w:rPr>
          <w:rFonts w:ascii="Helvetica" w:hAnsi="Helvetica"/>
          <w:sz w:val="24"/>
          <w:szCs w:val="24"/>
        </w:rPr>
      </w:pPr>
    </w:p>
    <w:p w:rsidR="00975B2F" w:rsidRDefault="00975B2F" w:rsidP="003A57E9">
      <w:pPr>
        <w:pStyle w:val="Heading1"/>
      </w:pPr>
      <w:r>
        <w:br w:type="page"/>
      </w:r>
    </w:p>
    <w:p w:rsidR="00BC68A5" w:rsidRPr="00A35C58" w:rsidRDefault="00BC68A5" w:rsidP="003A57E9">
      <w:pPr>
        <w:pStyle w:val="Heading1"/>
      </w:pPr>
      <w:r w:rsidRPr="00A35C58">
        <w:t xml:space="preserve">Slide </w:t>
      </w:r>
      <w:r w:rsidR="00975B2F">
        <w:t>8</w:t>
      </w:r>
    </w:p>
    <w:p w:rsidR="00BC68A5" w:rsidRDefault="00BC68A5" w:rsidP="003A57E9">
      <w:pPr>
        <w:pStyle w:val="Heading2"/>
      </w:pPr>
      <w:r w:rsidRPr="00BC68A5">
        <w:t>Depression Remission or Response for Adolescents and Adults</w:t>
      </w:r>
    </w:p>
    <w:p w:rsidR="00354022" w:rsidRPr="00BC68A5" w:rsidRDefault="0018150A" w:rsidP="003A57E9">
      <w:pPr>
        <w:numPr>
          <w:ilvl w:val="0"/>
          <w:numId w:val="2"/>
        </w:numPr>
        <w:jc w:val="left"/>
        <w:rPr>
          <w:rFonts w:ascii="Helvetica" w:hAnsi="Helvetica"/>
          <w:sz w:val="24"/>
          <w:szCs w:val="24"/>
        </w:rPr>
      </w:pPr>
      <w:r w:rsidRPr="00BC68A5">
        <w:rPr>
          <w:rFonts w:ascii="Helvetica" w:hAnsi="Helvetica"/>
          <w:sz w:val="24"/>
          <w:szCs w:val="24"/>
        </w:rPr>
        <w:t xml:space="preserve">Over the summer, BCBSMA and MassHealth participated in discussions about what depression measures in use, how data are collected, challenges in adoption and development best practice implementation guide. </w:t>
      </w:r>
    </w:p>
    <w:p w:rsidR="00354022" w:rsidRPr="00BC68A5" w:rsidRDefault="0018150A" w:rsidP="003A57E9">
      <w:pPr>
        <w:numPr>
          <w:ilvl w:val="0"/>
          <w:numId w:val="2"/>
        </w:numPr>
        <w:jc w:val="left"/>
        <w:rPr>
          <w:rFonts w:ascii="Helvetica" w:hAnsi="Helvetica"/>
          <w:sz w:val="24"/>
          <w:szCs w:val="24"/>
        </w:rPr>
      </w:pPr>
      <w:r w:rsidRPr="00BC68A5">
        <w:rPr>
          <w:rFonts w:ascii="Helvetica" w:hAnsi="Helvetica"/>
          <w:sz w:val="24"/>
          <w:szCs w:val="24"/>
        </w:rPr>
        <w:t xml:space="preserve">Activities included: </w:t>
      </w:r>
    </w:p>
    <w:p w:rsidR="00354022" w:rsidRPr="00BC68A5" w:rsidRDefault="0018150A" w:rsidP="003A57E9">
      <w:pPr>
        <w:numPr>
          <w:ilvl w:val="0"/>
          <w:numId w:val="5"/>
        </w:numPr>
        <w:contextualSpacing/>
        <w:jc w:val="left"/>
        <w:rPr>
          <w:rFonts w:ascii="Helvetica" w:hAnsi="Helvetica"/>
          <w:sz w:val="24"/>
          <w:szCs w:val="24"/>
        </w:rPr>
      </w:pPr>
      <w:r w:rsidRPr="00BC68A5">
        <w:rPr>
          <w:rFonts w:ascii="Helvetica" w:hAnsi="Helvetica"/>
          <w:sz w:val="24"/>
          <w:szCs w:val="24"/>
        </w:rPr>
        <w:t>Meeting with PBGH: Sharing MassHealth, BCBSMA and Integrated Healthcare Association (California) experience collecting data for PHQ-9)</w:t>
      </w:r>
    </w:p>
    <w:p w:rsidR="00354022" w:rsidRPr="00BC68A5" w:rsidRDefault="0018150A" w:rsidP="003A57E9">
      <w:pPr>
        <w:numPr>
          <w:ilvl w:val="0"/>
          <w:numId w:val="5"/>
        </w:numPr>
        <w:contextualSpacing/>
        <w:jc w:val="left"/>
        <w:rPr>
          <w:rFonts w:ascii="Helvetica" w:hAnsi="Helvetica"/>
          <w:sz w:val="24"/>
          <w:szCs w:val="24"/>
        </w:rPr>
      </w:pPr>
      <w:r w:rsidRPr="00BC68A5">
        <w:rPr>
          <w:rFonts w:ascii="Helvetica" w:hAnsi="Helvetica"/>
          <w:sz w:val="24"/>
          <w:szCs w:val="24"/>
        </w:rPr>
        <w:t>Participating in a day-long best practices symposium for PHQ-9 implementation leaders from: CA, MA (BCBSMA, Mt. Auburn, Partners), MN, NY,WA, CMMI (CMS)</w:t>
      </w:r>
    </w:p>
    <w:p w:rsidR="00354022" w:rsidRPr="00BC68A5" w:rsidRDefault="0018150A" w:rsidP="003A57E9">
      <w:pPr>
        <w:numPr>
          <w:ilvl w:val="0"/>
          <w:numId w:val="2"/>
        </w:numPr>
        <w:jc w:val="left"/>
        <w:rPr>
          <w:rFonts w:ascii="Helvetica" w:hAnsi="Helvetica"/>
          <w:sz w:val="24"/>
          <w:szCs w:val="24"/>
        </w:rPr>
      </w:pPr>
      <w:r w:rsidRPr="00BC68A5">
        <w:rPr>
          <w:rFonts w:ascii="Helvetica" w:hAnsi="Helvetica"/>
          <w:sz w:val="24"/>
          <w:szCs w:val="24"/>
        </w:rPr>
        <w:t>Key topic areas discussed included:</w:t>
      </w:r>
    </w:p>
    <w:p w:rsidR="00354022" w:rsidRPr="00864B77" w:rsidRDefault="0018150A" w:rsidP="003A57E9">
      <w:pPr>
        <w:pStyle w:val="ListParagraph"/>
        <w:numPr>
          <w:ilvl w:val="0"/>
          <w:numId w:val="4"/>
        </w:numPr>
        <w:jc w:val="left"/>
        <w:rPr>
          <w:rFonts w:ascii="Helvetica" w:hAnsi="Helvetica"/>
          <w:sz w:val="24"/>
          <w:szCs w:val="24"/>
        </w:rPr>
      </w:pPr>
      <w:r w:rsidRPr="00864B77">
        <w:rPr>
          <w:rFonts w:ascii="Helvetica" w:hAnsi="Helvetica"/>
          <w:sz w:val="24"/>
          <w:szCs w:val="24"/>
        </w:rPr>
        <w:t>What measures to use, when and how?</w:t>
      </w:r>
    </w:p>
    <w:p w:rsidR="00354022" w:rsidRPr="00864B77" w:rsidRDefault="0018150A" w:rsidP="003A57E9">
      <w:pPr>
        <w:pStyle w:val="ListParagraph"/>
        <w:numPr>
          <w:ilvl w:val="0"/>
          <w:numId w:val="4"/>
        </w:numPr>
        <w:jc w:val="left"/>
        <w:rPr>
          <w:rFonts w:ascii="Helvetica" w:hAnsi="Helvetica"/>
          <w:sz w:val="24"/>
          <w:szCs w:val="24"/>
        </w:rPr>
      </w:pPr>
      <w:r w:rsidRPr="00864B77">
        <w:rPr>
          <w:rFonts w:ascii="Helvetica" w:hAnsi="Helvetica"/>
          <w:sz w:val="24"/>
          <w:szCs w:val="24"/>
        </w:rPr>
        <w:t>Clinical workflow and data integration</w:t>
      </w:r>
    </w:p>
    <w:p w:rsidR="00354022" w:rsidRPr="00864B77" w:rsidRDefault="0018150A" w:rsidP="003A57E9">
      <w:pPr>
        <w:pStyle w:val="ListParagraph"/>
        <w:numPr>
          <w:ilvl w:val="0"/>
          <w:numId w:val="4"/>
        </w:numPr>
        <w:jc w:val="left"/>
        <w:rPr>
          <w:rFonts w:ascii="Helvetica" w:hAnsi="Helvetica"/>
          <w:sz w:val="24"/>
          <w:szCs w:val="24"/>
        </w:rPr>
      </w:pPr>
      <w:r w:rsidRPr="00864B77">
        <w:rPr>
          <w:rFonts w:ascii="Helvetica" w:hAnsi="Helvetica"/>
          <w:sz w:val="24"/>
          <w:szCs w:val="24"/>
        </w:rPr>
        <w:t>Patient engagement</w:t>
      </w:r>
    </w:p>
    <w:p w:rsidR="00354022" w:rsidRPr="00864B77" w:rsidRDefault="0018150A" w:rsidP="003A57E9">
      <w:pPr>
        <w:pStyle w:val="ListParagraph"/>
        <w:numPr>
          <w:ilvl w:val="0"/>
          <w:numId w:val="4"/>
        </w:numPr>
        <w:jc w:val="left"/>
        <w:rPr>
          <w:rFonts w:ascii="Helvetica" w:hAnsi="Helvetica"/>
          <w:sz w:val="24"/>
          <w:szCs w:val="24"/>
        </w:rPr>
      </w:pPr>
      <w:r w:rsidRPr="00864B77">
        <w:rPr>
          <w:rFonts w:ascii="Helvetica" w:hAnsi="Helvetica"/>
          <w:sz w:val="24"/>
          <w:szCs w:val="24"/>
        </w:rPr>
        <w:t>Building consensus, and moving the measurement and collection forward</w:t>
      </w:r>
    </w:p>
    <w:p w:rsidR="00864B77" w:rsidRPr="00A35C58" w:rsidRDefault="00864B77" w:rsidP="003A57E9">
      <w:pPr>
        <w:pStyle w:val="Heading1"/>
      </w:pPr>
      <w:r w:rsidRPr="00A35C58">
        <w:t xml:space="preserve">Slide </w:t>
      </w:r>
      <w:r w:rsidR="00975B2F">
        <w:t>9</w:t>
      </w:r>
    </w:p>
    <w:p w:rsidR="00857203" w:rsidRDefault="00B87B3D" w:rsidP="003A57E9">
      <w:pPr>
        <w:pStyle w:val="Heading2"/>
      </w:pPr>
      <w:r w:rsidRPr="00B87B3D">
        <w:t>Depression Remission or Response for Adolescents and Adults</w:t>
      </w:r>
    </w:p>
    <w:p w:rsidR="00B87B3D" w:rsidRPr="00B87B3D" w:rsidRDefault="00B87B3D" w:rsidP="003A57E9">
      <w:pPr>
        <w:pStyle w:val="Heading3"/>
      </w:pPr>
      <w:r w:rsidRPr="00B87B3D">
        <w:t>Key Takeaways</w:t>
      </w:r>
    </w:p>
    <w:p w:rsidR="00B87B3D" w:rsidRPr="00B87B3D" w:rsidRDefault="00B87B3D" w:rsidP="003A57E9">
      <w:pPr>
        <w:pStyle w:val="ListParagraph"/>
        <w:numPr>
          <w:ilvl w:val="0"/>
          <w:numId w:val="12"/>
        </w:numPr>
        <w:jc w:val="left"/>
        <w:rPr>
          <w:rFonts w:ascii="Helvetica" w:hAnsi="Helvetica"/>
          <w:sz w:val="24"/>
          <w:szCs w:val="24"/>
        </w:rPr>
      </w:pPr>
      <w:r w:rsidRPr="00B87B3D">
        <w:rPr>
          <w:rFonts w:ascii="Helvetica" w:hAnsi="Helvetica"/>
          <w:sz w:val="24"/>
          <w:szCs w:val="24"/>
        </w:rPr>
        <w:t>Clinical workflow and data integration</w:t>
      </w:r>
    </w:p>
    <w:p w:rsidR="00B87B3D" w:rsidRPr="00B87B3D" w:rsidRDefault="00B87B3D" w:rsidP="003A57E9">
      <w:pPr>
        <w:pStyle w:val="ListParagraph"/>
        <w:numPr>
          <w:ilvl w:val="0"/>
          <w:numId w:val="13"/>
        </w:numPr>
        <w:jc w:val="left"/>
        <w:rPr>
          <w:rFonts w:ascii="Helvetica" w:hAnsi="Helvetica"/>
          <w:sz w:val="24"/>
          <w:szCs w:val="24"/>
        </w:rPr>
      </w:pPr>
      <w:r w:rsidRPr="00B87B3D">
        <w:rPr>
          <w:rFonts w:ascii="Helvetica" w:hAnsi="Helvetica"/>
          <w:sz w:val="24"/>
          <w:szCs w:val="24"/>
        </w:rPr>
        <w:t>Providers vary significantly in reporting major depressive disorder (measure requires dx and PHQ-9 screen)</w:t>
      </w:r>
    </w:p>
    <w:p w:rsidR="00B87B3D" w:rsidRPr="00B87B3D" w:rsidRDefault="00B87B3D" w:rsidP="003A57E9">
      <w:pPr>
        <w:pStyle w:val="ListParagraph"/>
        <w:numPr>
          <w:ilvl w:val="1"/>
          <w:numId w:val="14"/>
        </w:numPr>
        <w:jc w:val="left"/>
        <w:rPr>
          <w:rFonts w:ascii="Helvetica" w:hAnsi="Helvetica"/>
          <w:sz w:val="24"/>
          <w:szCs w:val="24"/>
        </w:rPr>
      </w:pPr>
      <w:r w:rsidRPr="00B87B3D">
        <w:rPr>
          <w:rFonts w:ascii="Helvetica" w:hAnsi="Helvetica"/>
          <w:sz w:val="24"/>
          <w:szCs w:val="24"/>
        </w:rPr>
        <w:t>e.g., MDD is a risk adjuster for Medicare</w:t>
      </w:r>
    </w:p>
    <w:p w:rsidR="00B87B3D" w:rsidRPr="00B87B3D" w:rsidRDefault="00B87B3D" w:rsidP="003A57E9">
      <w:pPr>
        <w:pStyle w:val="ListParagraph"/>
        <w:numPr>
          <w:ilvl w:val="1"/>
          <w:numId w:val="14"/>
        </w:numPr>
        <w:jc w:val="left"/>
        <w:rPr>
          <w:rFonts w:ascii="Helvetica" w:hAnsi="Helvetica"/>
          <w:sz w:val="24"/>
          <w:szCs w:val="24"/>
        </w:rPr>
      </w:pPr>
      <w:r w:rsidRPr="00B87B3D">
        <w:rPr>
          <w:rFonts w:ascii="Helvetica" w:hAnsi="Helvetica"/>
          <w:sz w:val="24"/>
          <w:szCs w:val="24"/>
        </w:rPr>
        <w:t>e.g., Many PCPs do not record a diagnosis of depression, rather:  adjustment disorder with depressed mood – “don’t want to saddle the patient with a depression diagnosis in the chart”</w:t>
      </w:r>
    </w:p>
    <w:p w:rsidR="00B87B3D" w:rsidRPr="00B87B3D" w:rsidRDefault="00B87B3D" w:rsidP="003A57E9">
      <w:pPr>
        <w:pStyle w:val="ListParagraph"/>
        <w:numPr>
          <w:ilvl w:val="0"/>
          <w:numId w:val="13"/>
        </w:numPr>
        <w:jc w:val="left"/>
        <w:rPr>
          <w:rFonts w:ascii="Helvetica" w:hAnsi="Helvetica"/>
          <w:sz w:val="24"/>
          <w:szCs w:val="24"/>
        </w:rPr>
      </w:pPr>
      <w:r w:rsidRPr="00B87B3D">
        <w:rPr>
          <w:rFonts w:ascii="Helvetica" w:hAnsi="Helvetica"/>
          <w:sz w:val="24"/>
          <w:szCs w:val="24"/>
        </w:rPr>
        <w:t xml:space="preserve">Allow flexibility for how and when PHQ-9 is </w:t>
      </w:r>
      <w:proofErr w:type="gramStart"/>
      <w:r w:rsidRPr="00B87B3D">
        <w:rPr>
          <w:rFonts w:ascii="Helvetica" w:hAnsi="Helvetica"/>
          <w:sz w:val="24"/>
          <w:szCs w:val="24"/>
        </w:rPr>
        <w:t>collected/captured</w:t>
      </w:r>
      <w:proofErr w:type="gramEnd"/>
      <w:r w:rsidRPr="00B87B3D">
        <w:rPr>
          <w:rFonts w:ascii="Helvetica" w:hAnsi="Helvetica"/>
          <w:sz w:val="24"/>
          <w:szCs w:val="24"/>
        </w:rPr>
        <w:t xml:space="preserve"> across sites and do not restrict modes of administration (in-person, telephone, tablet, paper, etc.)</w:t>
      </w:r>
    </w:p>
    <w:p w:rsidR="00B87B3D" w:rsidRPr="00B87B3D" w:rsidRDefault="00B87B3D" w:rsidP="003A57E9">
      <w:pPr>
        <w:pStyle w:val="ListParagraph"/>
        <w:numPr>
          <w:ilvl w:val="0"/>
          <w:numId w:val="13"/>
        </w:numPr>
        <w:jc w:val="left"/>
        <w:rPr>
          <w:rFonts w:ascii="Helvetica" w:hAnsi="Helvetica"/>
          <w:sz w:val="24"/>
          <w:szCs w:val="24"/>
        </w:rPr>
      </w:pPr>
      <w:r w:rsidRPr="00B87B3D">
        <w:rPr>
          <w:rFonts w:ascii="Helvetica" w:hAnsi="Helvetica"/>
          <w:sz w:val="24"/>
          <w:szCs w:val="24"/>
        </w:rPr>
        <w:t>It is important to have some centralized tracking and outreach support</w:t>
      </w:r>
    </w:p>
    <w:p w:rsidR="00B87B3D" w:rsidRPr="00B87B3D" w:rsidRDefault="00B87B3D" w:rsidP="003A57E9">
      <w:pPr>
        <w:pStyle w:val="ListParagraph"/>
        <w:numPr>
          <w:ilvl w:val="0"/>
          <w:numId w:val="13"/>
        </w:numPr>
        <w:jc w:val="left"/>
        <w:rPr>
          <w:rFonts w:ascii="Helvetica" w:hAnsi="Helvetica"/>
          <w:sz w:val="24"/>
          <w:szCs w:val="24"/>
        </w:rPr>
      </w:pPr>
      <w:r w:rsidRPr="00B87B3D">
        <w:rPr>
          <w:rFonts w:ascii="Helvetica" w:hAnsi="Helvetica"/>
          <w:sz w:val="24"/>
          <w:szCs w:val="24"/>
        </w:rPr>
        <w:t>Providers want funding to support infrastructure (e.g., EMR alerts, EPIC integration/customization, successful tools and formats to accelerate  PHQ-9 user adoption)</w:t>
      </w:r>
    </w:p>
    <w:p w:rsidR="00BA2ADC" w:rsidRDefault="00BA2ADC" w:rsidP="003A57E9">
      <w:pPr>
        <w:pStyle w:val="Heading1"/>
      </w:pPr>
      <w:r>
        <w:br w:type="page"/>
      </w:r>
    </w:p>
    <w:p w:rsidR="00BA2ADC" w:rsidRPr="00A35C58" w:rsidRDefault="00BA2ADC" w:rsidP="003A57E9">
      <w:pPr>
        <w:pStyle w:val="Heading1"/>
      </w:pPr>
      <w:r w:rsidRPr="00A35C58">
        <w:t xml:space="preserve">Slide </w:t>
      </w:r>
      <w:r>
        <w:t>10</w:t>
      </w:r>
    </w:p>
    <w:p w:rsidR="00BA2ADC" w:rsidRDefault="00BA2ADC" w:rsidP="003A57E9">
      <w:pPr>
        <w:pStyle w:val="Heading2"/>
      </w:pPr>
      <w:r w:rsidRPr="00BA2ADC">
        <w:t>Depression Remission or Response for Adolescents and Adults</w:t>
      </w:r>
    </w:p>
    <w:p w:rsidR="00BA2ADC" w:rsidRDefault="00BA2ADC" w:rsidP="003A57E9">
      <w:pPr>
        <w:pStyle w:val="Heading3"/>
      </w:pPr>
      <w:r w:rsidRPr="00BA2ADC">
        <w:t>Key Takeaways (continued)</w:t>
      </w:r>
    </w:p>
    <w:p w:rsidR="00BA2ADC" w:rsidRPr="00BA2ADC" w:rsidRDefault="00BA2ADC" w:rsidP="003A57E9">
      <w:pPr>
        <w:pStyle w:val="ListParagraph"/>
        <w:numPr>
          <w:ilvl w:val="0"/>
          <w:numId w:val="12"/>
        </w:numPr>
        <w:jc w:val="left"/>
        <w:rPr>
          <w:rFonts w:ascii="Helvetica" w:hAnsi="Helvetica"/>
          <w:sz w:val="24"/>
          <w:szCs w:val="24"/>
        </w:rPr>
      </w:pPr>
      <w:r w:rsidRPr="00BA2ADC">
        <w:rPr>
          <w:rFonts w:ascii="Helvetica" w:hAnsi="Helvetica"/>
          <w:sz w:val="24"/>
          <w:szCs w:val="24"/>
        </w:rPr>
        <w:t>Patient engagement</w:t>
      </w:r>
    </w:p>
    <w:p w:rsidR="00BA2ADC" w:rsidRPr="00BA2ADC" w:rsidRDefault="00BA2ADC" w:rsidP="003A57E9">
      <w:pPr>
        <w:pStyle w:val="ListParagraph"/>
        <w:numPr>
          <w:ilvl w:val="0"/>
          <w:numId w:val="15"/>
        </w:numPr>
        <w:jc w:val="left"/>
        <w:rPr>
          <w:rFonts w:ascii="Helvetica" w:hAnsi="Helvetica"/>
          <w:sz w:val="24"/>
          <w:szCs w:val="24"/>
        </w:rPr>
      </w:pPr>
      <w:r w:rsidRPr="00BA2ADC">
        <w:rPr>
          <w:rFonts w:ascii="Helvetica" w:hAnsi="Helvetica"/>
          <w:sz w:val="24"/>
          <w:szCs w:val="24"/>
        </w:rPr>
        <w:t>Education around addressing treatment:  Not a matter of choosing the “right medication”, but a continuous effort to monitor/adjust based on data</w:t>
      </w:r>
    </w:p>
    <w:p w:rsidR="00BA2ADC" w:rsidRPr="00BA2ADC" w:rsidRDefault="00BA2ADC" w:rsidP="003A57E9">
      <w:pPr>
        <w:pStyle w:val="ListParagraph"/>
        <w:numPr>
          <w:ilvl w:val="0"/>
          <w:numId w:val="15"/>
        </w:numPr>
        <w:jc w:val="left"/>
        <w:rPr>
          <w:rFonts w:ascii="Helvetica" w:hAnsi="Helvetica"/>
          <w:sz w:val="24"/>
          <w:szCs w:val="24"/>
        </w:rPr>
      </w:pPr>
      <w:r w:rsidRPr="00BA2ADC">
        <w:rPr>
          <w:rFonts w:ascii="Helvetica" w:hAnsi="Helvetica"/>
          <w:sz w:val="24"/>
          <w:szCs w:val="24"/>
        </w:rPr>
        <w:t>Set expectations for periodic assessments, show trends/trajectory</w:t>
      </w:r>
    </w:p>
    <w:p w:rsidR="00BA2ADC" w:rsidRPr="00BA2ADC" w:rsidRDefault="00BA2ADC" w:rsidP="003A57E9">
      <w:pPr>
        <w:pStyle w:val="ListParagraph"/>
        <w:numPr>
          <w:ilvl w:val="0"/>
          <w:numId w:val="15"/>
        </w:numPr>
        <w:jc w:val="left"/>
        <w:rPr>
          <w:rFonts w:ascii="Helvetica" w:hAnsi="Helvetica"/>
          <w:sz w:val="24"/>
          <w:szCs w:val="24"/>
        </w:rPr>
      </w:pPr>
      <w:r w:rsidRPr="00BA2ADC">
        <w:rPr>
          <w:rFonts w:ascii="Helvetica" w:hAnsi="Helvetica"/>
          <w:sz w:val="24"/>
          <w:szCs w:val="24"/>
        </w:rPr>
        <w:t>Patient engagement in PROs is relationship with provider and warm hand-off to others on the care team</w:t>
      </w:r>
    </w:p>
    <w:p w:rsidR="00BA2ADC" w:rsidRPr="00BA2ADC" w:rsidRDefault="00BA2ADC" w:rsidP="003A57E9">
      <w:pPr>
        <w:pStyle w:val="ListParagraph"/>
        <w:numPr>
          <w:ilvl w:val="0"/>
          <w:numId w:val="12"/>
        </w:numPr>
        <w:jc w:val="left"/>
        <w:rPr>
          <w:rFonts w:ascii="Helvetica" w:hAnsi="Helvetica"/>
          <w:sz w:val="24"/>
          <w:szCs w:val="24"/>
        </w:rPr>
      </w:pPr>
      <w:r w:rsidRPr="00BA2ADC">
        <w:rPr>
          <w:rFonts w:ascii="Helvetica" w:hAnsi="Helvetica"/>
          <w:sz w:val="24"/>
          <w:szCs w:val="24"/>
        </w:rPr>
        <w:t>Building consensus and moving the measurement/field forward</w:t>
      </w:r>
    </w:p>
    <w:p w:rsidR="00BA2ADC" w:rsidRPr="00BA2ADC" w:rsidRDefault="00BA2ADC" w:rsidP="003A57E9">
      <w:pPr>
        <w:pStyle w:val="ListParagraph"/>
        <w:numPr>
          <w:ilvl w:val="0"/>
          <w:numId w:val="16"/>
        </w:numPr>
        <w:jc w:val="left"/>
        <w:rPr>
          <w:rFonts w:ascii="Helvetica" w:hAnsi="Helvetica"/>
          <w:sz w:val="24"/>
          <w:szCs w:val="24"/>
        </w:rPr>
      </w:pPr>
      <w:r w:rsidRPr="00BA2ADC">
        <w:rPr>
          <w:rFonts w:ascii="Helvetica" w:hAnsi="Helvetica"/>
          <w:sz w:val="24"/>
          <w:szCs w:val="24"/>
        </w:rPr>
        <w:t>Focus first on screening (use of PHQ-9) and follow-up measurement</w:t>
      </w:r>
    </w:p>
    <w:p w:rsidR="00BA2ADC" w:rsidRPr="00BA2ADC" w:rsidRDefault="00BA2ADC" w:rsidP="003A57E9">
      <w:pPr>
        <w:pStyle w:val="ListParagraph"/>
        <w:numPr>
          <w:ilvl w:val="0"/>
          <w:numId w:val="16"/>
        </w:numPr>
        <w:jc w:val="left"/>
        <w:rPr>
          <w:rFonts w:ascii="Helvetica" w:hAnsi="Helvetica"/>
          <w:sz w:val="24"/>
          <w:szCs w:val="24"/>
        </w:rPr>
      </w:pPr>
      <w:r w:rsidRPr="00BA2ADC">
        <w:rPr>
          <w:rFonts w:ascii="Helvetica" w:hAnsi="Helvetica"/>
          <w:sz w:val="24"/>
          <w:szCs w:val="24"/>
        </w:rPr>
        <w:t>Consider varying levels of readiness; organizations will be discouraged if focus is immediately on the end result (remission)</w:t>
      </w:r>
    </w:p>
    <w:p w:rsidR="00BA2ADC" w:rsidRPr="00BA2ADC" w:rsidRDefault="00BA2ADC" w:rsidP="003A57E9">
      <w:pPr>
        <w:pStyle w:val="ListParagraph"/>
        <w:numPr>
          <w:ilvl w:val="0"/>
          <w:numId w:val="16"/>
        </w:numPr>
        <w:jc w:val="left"/>
        <w:rPr>
          <w:rFonts w:ascii="Helvetica" w:hAnsi="Helvetica"/>
          <w:sz w:val="24"/>
          <w:szCs w:val="24"/>
        </w:rPr>
      </w:pPr>
      <w:r w:rsidRPr="00BA2ADC">
        <w:rPr>
          <w:rFonts w:ascii="Helvetica" w:hAnsi="Helvetica"/>
          <w:sz w:val="24"/>
          <w:szCs w:val="24"/>
        </w:rPr>
        <w:t>PROMs are important to incorporate in quality incentive programs</w:t>
      </w:r>
    </w:p>
    <w:p w:rsidR="00BA2ADC" w:rsidRPr="00BA2ADC" w:rsidRDefault="00BA2ADC" w:rsidP="003A57E9">
      <w:pPr>
        <w:pStyle w:val="ListParagraph"/>
        <w:numPr>
          <w:ilvl w:val="1"/>
          <w:numId w:val="16"/>
        </w:numPr>
        <w:jc w:val="left"/>
        <w:rPr>
          <w:rFonts w:ascii="Helvetica" w:hAnsi="Helvetica"/>
          <w:sz w:val="24"/>
          <w:szCs w:val="24"/>
        </w:rPr>
      </w:pPr>
      <w:r w:rsidRPr="00BA2ADC">
        <w:rPr>
          <w:rFonts w:ascii="Helvetica" w:hAnsi="Helvetica"/>
          <w:sz w:val="24"/>
          <w:szCs w:val="24"/>
        </w:rPr>
        <w:t>Incentive funding should be staged to support adoption process over time using a “measure cascade” moving from reporting to process improvement to outcomes.</w:t>
      </w:r>
    </w:p>
    <w:p w:rsidR="00BA2ADC" w:rsidRPr="00A35C58" w:rsidRDefault="00BA2ADC" w:rsidP="003A57E9">
      <w:pPr>
        <w:pStyle w:val="Heading1"/>
      </w:pPr>
      <w:r w:rsidRPr="00A35C58">
        <w:t xml:space="preserve">Slide </w:t>
      </w:r>
      <w:r>
        <w:t>1</w:t>
      </w:r>
      <w:r w:rsidR="008E1998">
        <w:t>1</w:t>
      </w:r>
    </w:p>
    <w:p w:rsidR="00BA2ADC" w:rsidRDefault="008E1998" w:rsidP="003A57E9">
      <w:pPr>
        <w:pStyle w:val="Heading2"/>
      </w:pPr>
      <w:r w:rsidRPr="008E1998">
        <w:t>Depression Measures in the 2020 Aligned Measure Set</w:t>
      </w:r>
    </w:p>
    <w:p w:rsidR="008E1998" w:rsidRPr="008E1998" w:rsidRDefault="008E1998" w:rsidP="003A57E9">
      <w:pPr>
        <w:jc w:val="left"/>
        <w:rPr>
          <w:rStyle w:val="Strong"/>
        </w:rPr>
      </w:pPr>
      <w:r w:rsidRPr="008E1998">
        <w:rPr>
          <w:rStyle w:val="Strong"/>
        </w:rPr>
        <w:t>As a reminder, the current Aligned Measure Set currently specifies the following in the Core:</w:t>
      </w:r>
    </w:p>
    <w:p w:rsidR="008E1998" w:rsidRPr="008E1998" w:rsidRDefault="008E1998" w:rsidP="003A57E9">
      <w:pPr>
        <w:pStyle w:val="ListParagraph"/>
        <w:numPr>
          <w:ilvl w:val="0"/>
          <w:numId w:val="17"/>
        </w:numPr>
        <w:jc w:val="left"/>
        <w:rPr>
          <w:rFonts w:ascii="Helvetica" w:hAnsi="Helvetica"/>
          <w:sz w:val="24"/>
          <w:szCs w:val="24"/>
        </w:rPr>
      </w:pPr>
      <w:r w:rsidRPr="008E1998">
        <w:rPr>
          <w:rFonts w:ascii="Helvetica" w:hAnsi="Helvetica"/>
          <w:sz w:val="24"/>
          <w:szCs w:val="24"/>
        </w:rPr>
        <w:t>“At least one of the following behavioral health measures:</w:t>
      </w:r>
    </w:p>
    <w:p w:rsidR="008E1998" w:rsidRPr="008E1998" w:rsidRDefault="008E1998" w:rsidP="003A57E9">
      <w:pPr>
        <w:pStyle w:val="ListParagraph"/>
        <w:numPr>
          <w:ilvl w:val="0"/>
          <w:numId w:val="18"/>
        </w:numPr>
        <w:jc w:val="left"/>
        <w:rPr>
          <w:rFonts w:ascii="Helvetica" w:hAnsi="Helvetica"/>
          <w:sz w:val="24"/>
          <w:szCs w:val="24"/>
        </w:rPr>
      </w:pPr>
      <w:r w:rsidRPr="008E1998">
        <w:rPr>
          <w:rFonts w:ascii="Helvetica" w:hAnsi="Helvetica"/>
          <w:sz w:val="24"/>
          <w:szCs w:val="24"/>
        </w:rPr>
        <w:t>Initiation and Engagement of Alcohol and Other Drug Abuse or Dependence Treatment (either the Initiation or Engagement Phase)</w:t>
      </w:r>
    </w:p>
    <w:p w:rsidR="008E1998" w:rsidRPr="008E1998" w:rsidRDefault="008E1998" w:rsidP="003A57E9">
      <w:pPr>
        <w:jc w:val="left"/>
        <w:rPr>
          <w:rFonts w:ascii="Helvetica" w:hAnsi="Helvetica"/>
          <w:sz w:val="24"/>
          <w:szCs w:val="24"/>
        </w:rPr>
      </w:pPr>
      <w:r w:rsidRPr="008E1998">
        <w:rPr>
          <w:rFonts w:ascii="Helvetica" w:hAnsi="Helvetica"/>
          <w:sz w:val="24"/>
          <w:szCs w:val="24"/>
        </w:rPr>
        <w:t>OR</w:t>
      </w:r>
    </w:p>
    <w:p w:rsidR="008E1998" w:rsidRPr="008E1998" w:rsidRDefault="008E1998" w:rsidP="003A57E9">
      <w:pPr>
        <w:pStyle w:val="ListParagraph"/>
        <w:numPr>
          <w:ilvl w:val="0"/>
          <w:numId w:val="18"/>
        </w:numPr>
        <w:jc w:val="left"/>
        <w:rPr>
          <w:rFonts w:ascii="Helvetica" w:hAnsi="Helvetica"/>
          <w:sz w:val="24"/>
          <w:szCs w:val="24"/>
        </w:rPr>
      </w:pPr>
      <w:r w:rsidRPr="008E1998">
        <w:rPr>
          <w:rFonts w:ascii="Helvetica" w:hAnsi="Helvetica"/>
          <w:sz w:val="24"/>
          <w:szCs w:val="24"/>
        </w:rPr>
        <w:t>At least one of the following depression-related measures:</w:t>
      </w:r>
    </w:p>
    <w:p w:rsidR="008E1998" w:rsidRPr="008E1998" w:rsidRDefault="008E1998" w:rsidP="003A57E9">
      <w:pPr>
        <w:pStyle w:val="ListParagraph"/>
        <w:numPr>
          <w:ilvl w:val="0"/>
          <w:numId w:val="20"/>
        </w:numPr>
        <w:jc w:val="left"/>
        <w:rPr>
          <w:rFonts w:ascii="Helvetica" w:hAnsi="Helvetica"/>
          <w:sz w:val="24"/>
          <w:szCs w:val="24"/>
        </w:rPr>
      </w:pPr>
      <w:r w:rsidRPr="008E1998">
        <w:rPr>
          <w:rFonts w:ascii="Helvetica" w:hAnsi="Helvetica"/>
          <w:sz w:val="24"/>
          <w:szCs w:val="24"/>
        </w:rPr>
        <w:t>Depression Screening and Follow-Up (CMS or NCQA)</w:t>
      </w:r>
    </w:p>
    <w:p w:rsidR="008E1998" w:rsidRPr="008E1998" w:rsidRDefault="008E1998" w:rsidP="003A57E9">
      <w:pPr>
        <w:pStyle w:val="ListParagraph"/>
        <w:numPr>
          <w:ilvl w:val="0"/>
          <w:numId w:val="20"/>
        </w:numPr>
        <w:jc w:val="left"/>
        <w:rPr>
          <w:rFonts w:ascii="Helvetica" w:hAnsi="Helvetica"/>
          <w:sz w:val="24"/>
          <w:szCs w:val="24"/>
        </w:rPr>
      </w:pPr>
      <w:r w:rsidRPr="008E1998">
        <w:rPr>
          <w:rFonts w:ascii="Helvetica" w:hAnsi="Helvetica"/>
          <w:sz w:val="24"/>
          <w:szCs w:val="24"/>
        </w:rPr>
        <w:t>Depression Response – Progress Towards Remission (MNCM)</w:t>
      </w:r>
    </w:p>
    <w:p w:rsidR="008E1998" w:rsidRPr="008E1998" w:rsidRDefault="008E1998" w:rsidP="003A57E9">
      <w:pPr>
        <w:pStyle w:val="ListParagraph"/>
        <w:numPr>
          <w:ilvl w:val="0"/>
          <w:numId w:val="20"/>
        </w:numPr>
        <w:jc w:val="left"/>
        <w:rPr>
          <w:rFonts w:ascii="Helvetica" w:hAnsi="Helvetica"/>
          <w:sz w:val="24"/>
          <w:szCs w:val="24"/>
        </w:rPr>
      </w:pPr>
      <w:r w:rsidRPr="008E1998">
        <w:rPr>
          <w:rFonts w:ascii="Helvetica" w:hAnsi="Helvetica"/>
          <w:sz w:val="24"/>
          <w:szCs w:val="24"/>
        </w:rPr>
        <w:t>Depression Remission (MNCM)</w:t>
      </w:r>
    </w:p>
    <w:p w:rsidR="008E1998" w:rsidRDefault="008E1998" w:rsidP="003A57E9">
      <w:pPr>
        <w:pStyle w:val="ListParagraph"/>
        <w:numPr>
          <w:ilvl w:val="0"/>
          <w:numId w:val="20"/>
        </w:numPr>
        <w:jc w:val="left"/>
        <w:rPr>
          <w:rFonts w:ascii="Helvetica" w:hAnsi="Helvetica"/>
          <w:sz w:val="24"/>
          <w:szCs w:val="24"/>
        </w:rPr>
      </w:pPr>
      <w:r w:rsidRPr="008E1998">
        <w:rPr>
          <w:rFonts w:ascii="Helvetica" w:hAnsi="Helvetica"/>
          <w:sz w:val="24"/>
          <w:szCs w:val="24"/>
        </w:rPr>
        <w:t>Depression Remission or Response (NCQA)”</w:t>
      </w:r>
    </w:p>
    <w:p w:rsidR="008E1998" w:rsidRDefault="008E1998" w:rsidP="003A57E9">
      <w:pPr>
        <w:pStyle w:val="Heading1"/>
      </w:pPr>
      <w:r w:rsidRPr="00A35C58">
        <w:t xml:space="preserve">Slide </w:t>
      </w:r>
      <w:r>
        <w:t>12</w:t>
      </w:r>
    </w:p>
    <w:p w:rsidR="008E1998" w:rsidRDefault="003A57E9" w:rsidP="003A57E9">
      <w:pPr>
        <w:pStyle w:val="Heading2"/>
      </w:pPr>
      <w:r w:rsidRPr="003A57E9">
        <w:t>Depression Measure Recommendations for the 2021 Aligned Measure Set</w:t>
      </w:r>
    </w:p>
    <w:p w:rsidR="003A57E9" w:rsidRPr="003A57E9" w:rsidRDefault="003A57E9" w:rsidP="003A57E9">
      <w:pPr>
        <w:pStyle w:val="ListParagraph"/>
        <w:numPr>
          <w:ilvl w:val="0"/>
          <w:numId w:val="22"/>
        </w:numPr>
        <w:jc w:val="left"/>
        <w:rPr>
          <w:rFonts w:ascii="Helvetica" w:hAnsi="Helvetica"/>
          <w:sz w:val="24"/>
          <w:szCs w:val="24"/>
        </w:rPr>
      </w:pPr>
      <w:r w:rsidRPr="003A57E9">
        <w:rPr>
          <w:rFonts w:ascii="Helvetica" w:hAnsi="Helvetica"/>
          <w:sz w:val="24"/>
          <w:szCs w:val="24"/>
        </w:rPr>
        <w:t>Retain Depression Screening and Follow-Up (CMS or NCQA) in the Core Set.</w:t>
      </w:r>
    </w:p>
    <w:p w:rsidR="00354022" w:rsidRPr="003A57E9" w:rsidRDefault="0018150A" w:rsidP="003A57E9">
      <w:pPr>
        <w:numPr>
          <w:ilvl w:val="0"/>
          <w:numId w:val="21"/>
        </w:numPr>
        <w:jc w:val="left"/>
        <w:rPr>
          <w:rFonts w:ascii="Helvetica" w:hAnsi="Helvetica"/>
          <w:sz w:val="24"/>
          <w:szCs w:val="24"/>
        </w:rPr>
      </w:pPr>
      <w:r w:rsidRPr="003A57E9">
        <w:rPr>
          <w:rFonts w:ascii="Helvetica" w:hAnsi="Helvetica"/>
          <w:sz w:val="24"/>
          <w:szCs w:val="24"/>
        </w:rPr>
        <w:t>This measure is currently implementable and focuses on making sure that follow-up is occurring, which is where the greatest opportunity for improvement exists.  Also, allows flexibility for those able to use ECDS.</w:t>
      </w:r>
    </w:p>
    <w:p w:rsidR="003A57E9" w:rsidRPr="003A57E9" w:rsidRDefault="003A57E9" w:rsidP="003A57E9">
      <w:pPr>
        <w:pStyle w:val="ListParagraph"/>
        <w:numPr>
          <w:ilvl w:val="0"/>
          <w:numId w:val="22"/>
        </w:numPr>
        <w:jc w:val="left"/>
        <w:rPr>
          <w:rFonts w:ascii="Helvetica" w:hAnsi="Helvetica"/>
          <w:sz w:val="24"/>
          <w:szCs w:val="24"/>
        </w:rPr>
      </w:pPr>
      <w:r w:rsidRPr="003A57E9">
        <w:rPr>
          <w:rFonts w:ascii="Helvetica" w:hAnsi="Helvetica"/>
          <w:sz w:val="24"/>
          <w:szCs w:val="24"/>
        </w:rPr>
        <w:t>This measure is currently implementable and focuses on making sure that follow-up is occurring, which is where the greatest opportunity for improvement exists.  Also, allows flexibility for those able to use ECDS.</w:t>
      </w:r>
    </w:p>
    <w:p w:rsidR="003A57E9" w:rsidRPr="003A57E9" w:rsidRDefault="003A57E9" w:rsidP="003A57E9">
      <w:pPr>
        <w:pStyle w:val="ListParagraph"/>
        <w:numPr>
          <w:ilvl w:val="0"/>
          <w:numId w:val="23"/>
        </w:numPr>
        <w:jc w:val="left"/>
        <w:rPr>
          <w:rFonts w:ascii="Helvetica" w:hAnsi="Helvetica"/>
          <w:sz w:val="24"/>
          <w:szCs w:val="24"/>
        </w:rPr>
      </w:pPr>
      <w:r w:rsidRPr="003A57E9">
        <w:rPr>
          <w:rFonts w:ascii="Helvetica" w:hAnsi="Helvetica"/>
          <w:sz w:val="24"/>
          <w:szCs w:val="24"/>
        </w:rPr>
        <w:t>Retain Depression Remission or Response (NCQA) as a Developmental Measure.</w:t>
      </w:r>
      <w:r w:rsidRPr="003A57E9">
        <w:rPr>
          <w:rFonts w:ascii="Helvetica" w:hAnsi="Helvetica"/>
          <w:sz w:val="24"/>
          <w:szCs w:val="24"/>
        </w:rPr>
        <w:tab/>
      </w:r>
    </w:p>
    <w:p w:rsidR="003A57E9" w:rsidRPr="003A57E9" w:rsidRDefault="003A57E9" w:rsidP="003A57E9">
      <w:pPr>
        <w:pStyle w:val="ListParagraph"/>
        <w:numPr>
          <w:ilvl w:val="0"/>
          <w:numId w:val="23"/>
        </w:numPr>
        <w:jc w:val="left"/>
        <w:rPr>
          <w:rFonts w:ascii="Helvetica" w:hAnsi="Helvetica"/>
          <w:sz w:val="24"/>
          <w:szCs w:val="24"/>
        </w:rPr>
      </w:pPr>
      <w:r w:rsidRPr="003A57E9">
        <w:rPr>
          <w:rFonts w:ascii="Helvetica" w:hAnsi="Helvetica"/>
          <w:sz w:val="24"/>
          <w:szCs w:val="24"/>
        </w:rPr>
        <w:t>Rate of follow-up is currently too l</w:t>
      </w:r>
      <w:r>
        <w:rPr>
          <w:rFonts w:ascii="Helvetica" w:hAnsi="Helvetica"/>
          <w:sz w:val="24"/>
          <w:szCs w:val="24"/>
        </w:rPr>
        <w:t>ow to make the measure viable.</w:t>
      </w:r>
    </w:p>
    <w:p w:rsidR="003A57E9" w:rsidRPr="003A57E9" w:rsidRDefault="003A57E9" w:rsidP="003A57E9">
      <w:pPr>
        <w:pStyle w:val="ListParagraph"/>
        <w:numPr>
          <w:ilvl w:val="0"/>
          <w:numId w:val="22"/>
        </w:numPr>
        <w:jc w:val="left"/>
        <w:rPr>
          <w:rFonts w:ascii="Helvetica" w:hAnsi="Helvetica"/>
          <w:sz w:val="24"/>
          <w:szCs w:val="24"/>
        </w:rPr>
      </w:pPr>
      <w:r w:rsidRPr="003A57E9">
        <w:rPr>
          <w:rFonts w:ascii="Helvetica" w:hAnsi="Helvetica"/>
          <w:sz w:val="24"/>
          <w:szCs w:val="24"/>
        </w:rPr>
        <w:t>Remove the following three measures as Core Set options:</w:t>
      </w:r>
    </w:p>
    <w:p w:rsidR="003A57E9" w:rsidRPr="003A57E9" w:rsidRDefault="003A57E9" w:rsidP="003A57E9">
      <w:pPr>
        <w:pStyle w:val="ListParagraph"/>
        <w:numPr>
          <w:ilvl w:val="0"/>
          <w:numId w:val="24"/>
        </w:numPr>
        <w:jc w:val="left"/>
        <w:rPr>
          <w:rFonts w:ascii="Helvetica" w:hAnsi="Helvetica"/>
          <w:sz w:val="24"/>
          <w:szCs w:val="24"/>
        </w:rPr>
      </w:pPr>
      <w:r w:rsidRPr="003A57E9">
        <w:rPr>
          <w:rFonts w:ascii="Helvetica" w:hAnsi="Helvetica"/>
          <w:sz w:val="24"/>
          <w:szCs w:val="24"/>
        </w:rPr>
        <w:t>Depression Response – Progress Towards Remission (MNCM)</w:t>
      </w:r>
    </w:p>
    <w:p w:rsidR="003A57E9" w:rsidRPr="003A57E9" w:rsidRDefault="003A57E9" w:rsidP="003A57E9">
      <w:pPr>
        <w:pStyle w:val="ListParagraph"/>
        <w:numPr>
          <w:ilvl w:val="0"/>
          <w:numId w:val="24"/>
        </w:numPr>
        <w:jc w:val="left"/>
        <w:rPr>
          <w:rFonts w:ascii="Helvetica" w:hAnsi="Helvetica"/>
          <w:sz w:val="24"/>
          <w:szCs w:val="24"/>
        </w:rPr>
      </w:pPr>
      <w:r w:rsidRPr="003A57E9">
        <w:rPr>
          <w:rFonts w:ascii="Helvetica" w:hAnsi="Helvetica"/>
          <w:sz w:val="24"/>
          <w:szCs w:val="24"/>
        </w:rPr>
        <w:t>Depression Remission (MNCM)</w:t>
      </w:r>
    </w:p>
    <w:p w:rsidR="003A57E9" w:rsidRDefault="003A57E9" w:rsidP="003A57E9">
      <w:pPr>
        <w:pStyle w:val="ListParagraph"/>
        <w:numPr>
          <w:ilvl w:val="0"/>
          <w:numId w:val="24"/>
        </w:numPr>
        <w:jc w:val="left"/>
        <w:rPr>
          <w:rFonts w:ascii="Helvetica" w:hAnsi="Helvetica"/>
          <w:sz w:val="24"/>
          <w:szCs w:val="24"/>
        </w:rPr>
      </w:pPr>
      <w:r w:rsidRPr="003A57E9">
        <w:rPr>
          <w:rFonts w:ascii="Helvetica" w:hAnsi="Helvetica"/>
          <w:sz w:val="24"/>
          <w:szCs w:val="24"/>
        </w:rPr>
        <w:t>Depression Remission or Response (NCQA)</w:t>
      </w:r>
    </w:p>
    <w:p w:rsidR="003A57E9" w:rsidRDefault="003A57E9" w:rsidP="003A57E9">
      <w:pPr>
        <w:pStyle w:val="Heading1"/>
      </w:pPr>
      <w:r w:rsidRPr="00A35C58">
        <w:t xml:space="preserve">Slide </w:t>
      </w:r>
      <w:r>
        <w:t>13</w:t>
      </w:r>
    </w:p>
    <w:p w:rsidR="003A57E9" w:rsidRDefault="003A57E9" w:rsidP="003A57E9">
      <w:pPr>
        <w:pStyle w:val="Heading2"/>
      </w:pPr>
      <w:r w:rsidRPr="003A57E9">
        <w:t xml:space="preserve">Depression Measure Recommendations for the 2021 Aligned Measure Set </w:t>
      </w:r>
    </w:p>
    <w:p w:rsidR="003A57E9" w:rsidRDefault="003A57E9" w:rsidP="003A57E9">
      <w:pPr>
        <w:pStyle w:val="ListParagraph"/>
        <w:numPr>
          <w:ilvl w:val="0"/>
          <w:numId w:val="22"/>
        </w:numPr>
        <w:jc w:val="left"/>
        <w:rPr>
          <w:rFonts w:ascii="Helvetica" w:hAnsi="Helvetica"/>
          <w:sz w:val="24"/>
          <w:szCs w:val="24"/>
        </w:rPr>
      </w:pPr>
      <w:r w:rsidRPr="003A57E9">
        <w:rPr>
          <w:rFonts w:ascii="Helvetica" w:hAnsi="Helvetica"/>
          <w:sz w:val="24"/>
          <w:szCs w:val="24"/>
        </w:rPr>
        <w:t>Consider during the upcoming 2019 annual review process whether Initiation and Engagement of Alcohol and Other Drug Abuse or Dependence Treatment (NCQA) should be in the Core or Menu Set.</w:t>
      </w:r>
    </w:p>
    <w:p w:rsidR="003A57E9" w:rsidRPr="003A57E9" w:rsidRDefault="003A57E9" w:rsidP="003A57E9">
      <w:pPr>
        <w:pStyle w:val="ListParagraph"/>
        <w:jc w:val="left"/>
        <w:rPr>
          <w:rFonts w:ascii="Helvetica" w:hAnsi="Helvetica"/>
          <w:sz w:val="24"/>
          <w:szCs w:val="24"/>
        </w:rPr>
      </w:pPr>
    </w:p>
    <w:p w:rsidR="003A57E9" w:rsidRPr="00A61A2D" w:rsidRDefault="003A57E9" w:rsidP="003A57E9">
      <w:pPr>
        <w:pStyle w:val="ListParagraph"/>
        <w:numPr>
          <w:ilvl w:val="0"/>
          <w:numId w:val="17"/>
        </w:numPr>
        <w:jc w:val="left"/>
        <w:rPr>
          <w:rStyle w:val="Strong"/>
        </w:rPr>
      </w:pPr>
      <w:r w:rsidRPr="00A61A2D">
        <w:rPr>
          <w:rStyle w:val="Strong"/>
        </w:rPr>
        <w:t>Does the Taskforce agree with these recommendations?</w:t>
      </w:r>
    </w:p>
    <w:p w:rsidR="00A61A2D" w:rsidRDefault="00A61A2D" w:rsidP="00A61A2D">
      <w:pPr>
        <w:pStyle w:val="Heading1"/>
      </w:pPr>
      <w:r w:rsidRPr="00A35C58">
        <w:t xml:space="preserve">Slide </w:t>
      </w:r>
      <w:r>
        <w:t>14</w:t>
      </w:r>
    </w:p>
    <w:p w:rsidR="003A57E9" w:rsidRDefault="0018150A" w:rsidP="0018150A">
      <w:pPr>
        <w:pStyle w:val="Heading2"/>
      </w:pPr>
      <w:r w:rsidRPr="0018150A">
        <w:t>Kindergarten Readiness</w:t>
      </w:r>
    </w:p>
    <w:p w:rsidR="0018150A" w:rsidRPr="0018150A" w:rsidRDefault="0018150A" w:rsidP="0018150A">
      <w:pPr>
        <w:pStyle w:val="ListParagraph"/>
        <w:numPr>
          <w:ilvl w:val="0"/>
          <w:numId w:val="25"/>
        </w:numPr>
        <w:jc w:val="left"/>
        <w:rPr>
          <w:rFonts w:ascii="Helvetica" w:hAnsi="Helvetica"/>
          <w:sz w:val="24"/>
          <w:szCs w:val="24"/>
        </w:rPr>
      </w:pPr>
      <w:r w:rsidRPr="0018150A">
        <w:rPr>
          <w:rFonts w:ascii="Helvetica" w:hAnsi="Helvetica"/>
          <w:sz w:val="24"/>
          <w:szCs w:val="24"/>
        </w:rPr>
        <w:t xml:space="preserve">On 1/23/19, the Taskforce reviewed Oregon’s conceptual framework and proposed Kindergarten Readiness measures with the Taskforce. </w:t>
      </w:r>
    </w:p>
    <w:p w:rsidR="0018150A" w:rsidRPr="0018150A" w:rsidRDefault="0018150A" w:rsidP="0018150A">
      <w:pPr>
        <w:pStyle w:val="ListParagraph"/>
        <w:numPr>
          <w:ilvl w:val="0"/>
          <w:numId w:val="25"/>
        </w:numPr>
        <w:jc w:val="left"/>
        <w:rPr>
          <w:rFonts w:ascii="Helvetica" w:hAnsi="Helvetica"/>
          <w:sz w:val="24"/>
          <w:szCs w:val="24"/>
        </w:rPr>
      </w:pPr>
      <w:r w:rsidRPr="0018150A">
        <w:rPr>
          <w:rFonts w:ascii="Helvetica" w:hAnsi="Helvetica"/>
          <w:sz w:val="24"/>
          <w:szCs w:val="24"/>
        </w:rPr>
        <w:t>A final decision to include the measures in the 2020 Oregon incentive measure set was finalized over the summer.</w:t>
      </w:r>
    </w:p>
    <w:p w:rsidR="0018150A" w:rsidRPr="0018150A" w:rsidRDefault="0018150A" w:rsidP="0018150A">
      <w:pPr>
        <w:pStyle w:val="ListParagraph"/>
        <w:numPr>
          <w:ilvl w:val="0"/>
          <w:numId w:val="25"/>
        </w:numPr>
        <w:jc w:val="left"/>
        <w:rPr>
          <w:rFonts w:ascii="Helvetica" w:hAnsi="Helvetica"/>
          <w:sz w:val="24"/>
          <w:szCs w:val="24"/>
        </w:rPr>
      </w:pPr>
      <w:r w:rsidRPr="0018150A">
        <w:rPr>
          <w:rFonts w:ascii="Helvetica" w:hAnsi="Helvetica"/>
          <w:sz w:val="24"/>
          <w:szCs w:val="24"/>
        </w:rPr>
        <w:t>Oregon adopted two new measures for 2020 as part of its kindergarten readiness measure (which is really multiple measures to be phased in over time):</w:t>
      </w:r>
    </w:p>
    <w:p w:rsidR="0018150A" w:rsidRPr="0018150A" w:rsidRDefault="0018150A" w:rsidP="0018150A">
      <w:pPr>
        <w:pStyle w:val="ListParagraph"/>
        <w:numPr>
          <w:ilvl w:val="0"/>
          <w:numId w:val="27"/>
        </w:numPr>
        <w:jc w:val="left"/>
        <w:rPr>
          <w:rFonts w:ascii="Helvetica" w:hAnsi="Helvetica"/>
          <w:sz w:val="24"/>
          <w:szCs w:val="24"/>
        </w:rPr>
      </w:pPr>
      <w:r w:rsidRPr="0018150A">
        <w:rPr>
          <w:rFonts w:ascii="Helvetica" w:hAnsi="Helvetica"/>
          <w:sz w:val="24"/>
          <w:szCs w:val="24"/>
        </w:rPr>
        <w:t>Well-Child Visits in the 3rd, 4th, 5th, and 6th Years of Life (HEDIS)</w:t>
      </w:r>
    </w:p>
    <w:p w:rsidR="0018150A" w:rsidRPr="0018150A" w:rsidRDefault="0018150A" w:rsidP="0018150A">
      <w:pPr>
        <w:pStyle w:val="ListParagraph"/>
        <w:numPr>
          <w:ilvl w:val="0"/>
          <w:numId w:val="27"/>
        </w:numPr>
        <w:jc w:val="left"/>
        <w:rPr>
          <w:rFonts w:ascii="Helvetica" w:hAnsi="Helvetica"/>
          <w:sz w:val="24"/>
          <w:szCs w:val="24"/>
        </w:rPr>
      </w:pPr>
      <w:r w:rsidRPr="0018150A">
        <w:rPr>
          <w:rFonts w:ascii="Helvetica" w:hAnsi="Helvetica"/>
          <w:sz w:val="24"/>
          <w:szCs w:val="24"/>
        </w:rPr>
        <w:t>Members Receiving Preventive Dental Services, ages 1-5 (OHA)</w:t>
      </w:r>
    </w:p>
    <w:p w:rsidR="0018150A" w:rsidRPr="0018150A" w:rsidRDefault="0018150A" w:rsidP="0018150A">
      <w:pPr>
        <w:pStyle w:val="ListParagraph"/>
        <w:numPr>
          <w:ilvl w:val="0"/>
          <w:numId w:val="25"/>
        </w:numPr>
        <w:jc w:val="left"/>
        <w:rPr>
          <w:rFonts w:ascii="Helvetica" w:hAnsi="Helvetica"/>
          <w:sz w:val="24"/>
          <w:szCs w:val="24"/>
        </w:rPr>
      </w:pPr>
      <w:r w:rsidRPr="0018150A">
        <w:rPr>
          <w:rFonts w:ascii="Helvetica" w:hAnsi="Helvetica"/>
          <w:sz w:val="24"/>
          <w:szCs w:val="24"/>
        </w:rPr>
        <w:t>The next few slides will walk through additional information on Oregon’s process, measure, and next steps.</w:t>
      </w:r>
    </w:p>
    <w:p w:rsidR="0018150A" w:rsidRPr="0018150A" w:rsidRDefault="0018150A" w:rsidP="0018150A">
      <w:pPr>
        <w:jc w:val="left"/>
        <w:rPr>
          <w:rFonts w:ascii="Helvetica" w:hAnsi="Helvetica"/>
          <w:sz w:val="24"/>
          <w:szCs w:val="24"/>
        </w:rPr>
      </w:pPr>
      <w:r w:rsidRPr="0018150A">
        <w:rPr>
          <w:rFonts w:ascii="Helvetica" w:hAnsi="Helvetica"/>
          <w:sz w:val="24"/>
          <w:szCs w:val="24"/>
        </w:rPr>
        <w:t xml:space="preserve">Source: </w:t>
      </w:r>
      <w:hyperlink r:id="rId6" w:tooltip=" 2020 CCO Incentive Measures PDF" w:history="1">
        <w:r w:rsidRPr="0018150A">
          <w:rPr>
            <w:rStyle w:val="Hyperlink"/>
            <w:rFonts w:ascii="Helvetica" w:hAnsi="Helvetica"/>
            <w:sz w:val="24"/>
            <w:szCs w:val="24"/>
          </w:rPr>
          <w:t>https://www.oregon.gov/oha/HPA/ANALYTICS/CCOMetrics/2020-CCO-incentive-measures.pdf</w:t>
        </w:r>
      </w:hyperlink>
      <w:r w:rsidRPr="0018150A">
        <w:rPr>
          <w:rFonts w:ascii="Helvetica" w:hAnsi="Helvetica"/>
          <w:sz w:val="24"/>
          <w:szCs w:val="24"/>
          <w:u w:val="single"/>
        </w:rPr>
        <w:t xml:space="preserve"> </w:t>
      </w:r>
    </w:p>
    <w:p w:rsidR="0018150A" w:rsidRDefault="0018150A" w:rsidP="0018150A">
      <w:pPr>
        <w:pStyle w:val="Heading1"/>
      </w:pPr>
      <w:r w:rsidRPr="00A35C58">
        <w:t xml:space="preserve">Slide </w:t>
      </w:r>
      <w:r>
        <w:t>15</w:t>
      </w:r>
    </w:p>
    <w:p w:rsidR="0018150A" w:rsidRPr="0018150A" w:rsidRDefault="0018150A" w:rsidP="0018150A">
      <w:pPr>
        <w:pStyle w:val="Heading2"/>
      </w:pPr>
      <w:r w:rsidRPr="0018150A">
        <w:t>Oregon’s Health Aspects of Kindergarten Readiness Technical Workgroup</w:t>
      </w:r>
    </w:p>
    <w:p w:rsidR="0018150A" w:rsidRPr="0018150A" w:rsidRDefault="0018150A" w:rsidP="0018150A">
      <w:pPr>
        <w:jc w:val="left"/>
        <w:rPr>
          <w:rFonts w:ascii="Helvetica" w:hAnsi="Helvetica"/>
          <w:sz w:val="24"/>
          <w:szCs w:val="24"/>
        </w:rPr>
      </w:pPr>
      <w:r w:rsidRPr="0018150A">
        <w:rPr>
          <w:rStyle w:val="Strong"/>
        </w:rPr>
        <w:t>Context</w:t>
      </w:r>
      <w:r w:rsidRPr="0018150A">
        <w:rPr>
          <w:rFonts w:ascii="Helvetica" w:hAnsi="Helvetica"/>
          <w:sz w:val="24"/>
          <w:szCs w:val="24"/>
        </w:rPr>
        <w:t>: A time of opportunity to examine the health system’s role and responsibility in kindergarten readiness.</w:t>
      </w:r>
    </w:p>
    <w:p w:rsidR="0018150A" w:rsidRPr="0018150A" w:rsidRDefault="0018150A" w:rsidP="0018150A">
      <w:pPr>
        <w:jc w:val="left"/>
        <w:rPr>
          <w:rFonts w:ascii="Helvetica" w:hAnsi="Helvetica"/>
          <w:sz w:val="24"/>
          <w:szCs w:val="24"/>
        </w:rPr>
      </w:pPr>
      <w:r w:rsidRPr="0018150A">
        <w:rPr>
          <w:rStyle w:val="Strong"/>
        </w:rPr>
        <w:t>Charge</w:t>
      </w:r>
      <w:r w:rsidRPr="0018150A">
        <w:rPr>
          <w:rFonts w:ascii="Helvetica" w:hAnsi="Helvetica"/>
          <w:sz w:val="24"/>
          <w:szCs w:val="24"/>
        </w:rPr>
        <w:t>: Recom</w:t>
      </w:r>
      <w:r w:rsidR="00AC5635">
        <w:rPr>
          <w:rFonts w:ascii="Helvetica" w:hAnsi="Helvetica"/>
          <w:sz w:val="24"/>
          <w:szCs w:val="24"/>
        </w:rPr>
        <w:t xml:space="preserve">mend one or more health system </w:t>
      </w:r>
      <w:r w:rsidRPr="0018150A">
        <w:rPr>
          <w:rFonts w:ascii="Helvetica" w:hAnsi="Helvetica"/>
          <w:sz w:val="24"/>
          <w:szCs w:val="24"/>
        </w:rPr>
        <w:t>measures that can be applied as incentive metrics to:</w:t>
      </w:r>
    </w:p>
    <w:p w:rsidR="0018150A" w:rsidRPr="0018150A" w:rsidRDefault="0018150A" w:rsidP="0018150A">
      <w:pPr>
        <w:pStyle w:val="ListParagraph"/>
        <w:numPr>
          <w:ilvl w:val="0"/>
          <w:numId w:val="28"/>
        </w:numPr>
        <w:jc w:val="left"/>
        <w:rPr>
          <w:rFonts w:ascii="Helvetica" w:hAnsi="Helvetica"/>
          <w:sz w:val="24"/>
          <w:szCs w:val="24"/>
        </w:rPr>
      </w:pPr>
      <w:r w:rsidRPr="0018150A">
        <w:rPr>
          <w:rFonts w:ascii="Helvetica" w:hAnsi="Helvetica"/>
          <w:sz w:val="24"/>
          <w:szCs w:val="24"/>
        </w:rPr>
        <w:t>drive health system behavior change, quality improvement, and investments in kindergarten readiness</w:t>
      </w:r>
    </w:p>
    <w:p w:rsidR="0018150A" w:rsidRPr="0018150A" w:rsidRDefault="0018150A" w:rsidP="0018150A">
      <w:pPr>
        <w:pStyle w:val="ListParagraph"/>
        <w:numPr>
          <w:ilvl w:val="0"/>
          <w:numId w:val="28"/>
        </w:numPr>
        <w:jc w:val="left"/>
        <w:rPr>
          <w:rFonts w:ascii="Helvetica" w:hAnsi="Helvetica"/>
          <w:sz w:val="24"/>
          <w:szCs w:val="24"/>
        </w:rPr>
      </w:pPr>
      <w:r w:rsidRPr="0018150A">
        <w:rPr>
          <w:rFonts w:ascii="Helvetica" w:hAnsi="Helvetica"/>
          <w:sz w:val="24"/>
          <w:szCs w:val="24"/>
        </w:rPr>
        <w:t xml:space="preserve">catalyze cross-sector collective action </w:t>
      </w:r>
    </w:p>
    <w:p w:rsidR="0018150A" w:rsidRDefault="0018150A" w:rsidP="0018150A">
      <w:pPr>
        <w:pStyle w:val="ListParagraph"/>
        <w:numPr>
          <w:ilvl w:val="0"/>
          <w:numId w:val="28"/>
        </w:numPr>
        <w:jc w:val="left"/>
        <w:rPr>
          <w:rFonts w:ascii="Helvetica" w:hAnsi="Helvetica"/>
          <w:sz w:val="24"/>
          <w:szCs w:val="24"/>
        </w:rPr>
      </w:pPr>
      <w:r w:rsidRPr="0018150A">
        <w:rPr>
          <w:rFonts w:ascii="Helvetica" w:hAnsi="Helvetica"/>
          <w:sz w:val="24"/>
          <w:szCs w:val="24"/>
        </w:rPr>
        <w:t>align with the goals of the CCO Incentive Program</w:t>
      </w:r>
    </w:p>
    <w:p w:rsidR="0018150A" w:rsidRDefault="0018150A" w:rsidP="0018150A">
      <w:pPr>
        <w:jc w:val="left"/>
        <w:rPr>
          <w:rStyle w:val="Strong"/>
          <w:b w:val="0"/>
        </w:rPr>
      </w:pPr>
      <w:r w:rsidRPr="0018150A">
        <w:rPr>
          <w:rStyle w:val="Strong"/>
        </w:rPr>
        <w:t>Who:</w:t>
      </w:r>
      <w:r>
        <w:rPr>
          <w:rStyle w:val="Strong"/>
        </w:rPr>
        <w:t xml:space="preserve"> </w:t>
      </w:r>
      <w:r w:rsidR="00AC5635" w:rsidRPr="00AC5635">
        <w:rPr>
          <w:rStyle w:val="Strong"/>
          <w:b w:val="0"/>
        </w:rPr>
        <w:t>Children’s institute, Oregon Health</w:t>
      </w:r>
      <w:r w:rsidR="00AC5635">
        <w:rPr>
          <w:rStyle w:val="Strong"/>
          <w:b w:val="0"/>
        </w:rPr>
        <w:t xml:space="preserve">, </w:t>
      </w:r>
      <w:r w:rsidR="00AC5635" w:rsidRPr="00AC5635">
        <w:rPr>
          <w:rStyle w:val="Strong"/>
          <w:b w:val="0"/>
        </w:rPr>
        <w:t>Oregon Pediatric Improvement Partnership (OPIP)</w:t>
      </w:r>
      <w:r w:rsidR="00AC5635">
        <w:rPr>
          <w:rStyle w:val="Strong"/>
          <w:b w:val="0"/>
        </w:rPr>
        <w:t>, and Artemis Consulting.</w:t>
      </w:r>
    </w:p>
    <w:p w:rsidR="00AC5635" w:rsidRDefault="00AC5635" w:rsidP="00AC5635">
      <w:pPr>
        <w:pStyle w:val="Heading1"/>
      </w:pPr>
      <w:r w:rsidRPr="00A35C58">
        <w:t xml:space="preserve">Slide </w:t>
      </w:r>
      <w:r>
        <w:t>16</w:t>
      </w:r>
    </w:p>
    <w:p w:rsidR="00AC5635" w:rsidRPr="00AC5635" w:rsidRDefault="00AC5635" w:rsidP="00AC5635">
      <w:pPr>
        <w:pStyle w:val="Heading2"/>
        <w:rPr>
          <w:rStyle w:val="Strong"/>
          <w:b/>
        </w:rPr>
      </w:pPr>
      <w:r w:rsidRPr="00AC5635">
        <w:rPr>
          <w:rStyle w:val="Strong"/>
        </w:rPr>
        <w:t>Oregon Kindergarten Readiness Measurement Strategy</w:t>
      </w:r>
    </w:p>
    <w:p w:rsidR="00AC5635" w:rsidRDefault="00AC5635" w:rsidP="0018150A">
      <w:pPr>
        <w:jc w:val="left"/>
        <w:rPr>
          <w:rStyle w:val="Strong"/>
          <w:b w:val="0"/>
        </w:rPr>
      </w:pPr>
      <w:r w:rsidRPr="00AC5635">
        <w:rPr>
          <w:rStyle w:val="Strong"/>
        </w:rPr>
        <w:t>2020</w:t>
      </w:r>
      <w:r>
        <w:rPr>
          <w:rStyle w:val="Strong"/>
          <w:b w:val="0"/>
        </w:rPr>
        <w:t xml:space="preserve"> – </w:t>
      </w:r>
      <w:r w:rsidRPr="00AC5635">
        <w:rPr>
          <w:rStyle w:val="Strong"/>
          <w:b w:val="0"/>
        </w:rPr>
        <w:t>Preventiv</w:t>
      </w:r>
      <w:r>
        <w:rPr>
          <w:rStyle w:val="Strong"/>
          <w:b w:val="0"/>
        </w:rPr>
        <w:t xml:space="preserve">e dental visits for children </w:t>
      </w:r>
      <w:r w:rsidRPr="00AC5635">
        <w:rPr>
          <w:rStyle w:val="Strong"/>
          <w:b w:val="0"/>
        </w:rPr>
        <w:t>1-5 years old</w:t>
      </w:r>
      <w:r>
        <w:rPr>
          <w:rStyle w:val="Strong"/>
          <w:b w:val="0"/>
        </w:rPr>
        <w:t xml:space="preserve">. </w:t>
      </w:r>
      <w:r w:rsidRPr="00AC5635">
        <w:rPr>
          <w:rStyle w:val="Strong"/>
          <w:b w:val="0"/>
        </w:rPr>
        <w:t>Well-child visits for children 3-6 years old</w:t>
      </w:r>
      <w:r>
        <w:rPr>
          <w:rStyle w:val="Strong"/>
          <w:b w:val="0"/>
        </w:rPr>
        <w:t>.</w:t>
      </w:r>
    </w:p>
    <w:p w:rsidR="00AC5635" w:rsidRDefault="00AC5635" w:rsidP="0018150A">
      <w:pPr>
        <w:jc w:val="left"/>
        <w:rPr>
          <w:rStyle w:val="Strong"/>
          <w:b w:val="0"/>
        </w:rPr>
      </w:pPr>
      <w:r w:rsidRPr="00AC5635">
        <w:rPr>
          <w:rStyle w:val="Strong"/>
        </w:rPr>
        <w:t>2022</w:t>
      </w:r>
      <w:r>
        <w:rPr>
          <w:rStyle w:val="Strong"/>
          <w:b w:val="0"/>
        </w:rPr>
        <w:t xml:space="preserve"> – </w:t>
      </w:r>
      <w:r w:rsidRPr="00AC5635">
        <w:rPr>
          <w:rStyle w:val="Strong"/>
          <w:b w:val="0"/>
        </w:rPr>
        <w:t>CCO attestation metric on social-emotional health</w:t>
      </w:r>
      <w:r>
        <w:rPr>
          <w:rStyle w:val="Strong"/>
          <w:b w:val="0"/>
        </w:rPr>
        <w:t>.</w:t>
      </w:r>
    </w:p>
    <w:p w:rsidR="00AC5635" w:rsidRDefault="00AC5635" w:rsidP="00AC5635">
      <w:pPr>
        <w:jc w:val="left"/>
        <w:rPr>
          <w:rStyle w:val="Strong"/>
          <w:b w:val="0"/>
        </w:rPr>
      </w:pPr>
      <w:r w:rsidRPr="00AC5635">
        <w:rPr>
          <w:rStyle w:val="Strong"/>
        </w:rPr>
        <w:t>2023</w:t>
      </w:r>
      <w:r>
        <w:rPr>
          <w:rStyle w:val="Strong"/>
          <w:b w:val="0"/>
        </w:rPr>
        <w:t xml:space="preserve"> – </w:t>
      </w:r>
      <w:r w:rsidRPr="00AC5635">
        <w:rPr>
          <w:rStyle w:val="Strong"/>
          <w:b w:val="0"/>
        </w:rPr>
        <w:t>Follow-up to developmental screening</w:t>
      </w:r>
      <w:r>
        <w:rPr>
          <w:rStyle w:val="Strong"/>
          <w:b w:val="0"/>
        </w:rPr>
        <w:t>. (</w:t>
      </w:r>
      <w:r w:rsidRPr="00AC5635">
        <w:rPr>
          <w:rStyle w:val="Strong"/>
          <w:b w:val="0"/>
        </w:rPr>
        <w:t>Future)</w:t>
      </w:r>
      <w:r>
        <w:rPr>
          <w:rStyle w:val="Strong"/>
          <w:b w:val="0"/>
        </w:rPr>
        <w:t xml:space="preserve"> </w:t>
      </w:r>
      <w:proofErr w:type="gramStart"/>
      <w:r w:rsidRPr="00AC5635">
        <w:rPr>
          <w:rStyle w:val="Strong"/>
          <w:b w:val="0"/>
        </w:rPr>
        <w:t>Child-level metric on social-emotional health</w:t>
      </w:r>
      <w:r>
        <w:rPr>
          <w:rStyle w:val="Strong"/>
          <w:b w:val="0"/>
        </w:rPr>
        <w:t>.</w:t>
      </w:r>
      <w:proofErr w:type="gramEnd"/>
    </w:p>
    <w:p w:rsidR="00AC5635" w:rsidRDefault="00AC5635" w:rsidP="00AC5635">
      <w:pPr>
        <w:jc w:val="left"/>
        <w:rPr>
          <w:rStyle w:val="Strong"/>
          <w:b w:val="0"/>
        </w:rPr>
      </w:pPr>
      <w:r w:rsidRPr="00AC5635">
        <w:rPr>
          <w:rStyle w:val="Strong"/>
          <w:b w:val="0"/>
        </w:rPr>
        <w:t>Health system behavior change, investments, and cross-sector efforts to improve kindergarten readiness</w:t>
      </w:r>
    </w:p>
    <w:p w:rsidR="00AC5635" w:rsidRDefault="00AC5635" w:rsidP="00AC5635">
      <w:pPr>
        <w:pStyle w:val="Heading1"/>
      </w:pPr>
      <w:r w:rsidRPr="00A35C58">
        <w:t xml:space="preserve">Slide </w:t>
      </w:r>
      <w:r>
        <w:t>17</w:t>
      </w:r>
    </w:p>
    <w:p w:rsidR="00AC5635" w:rsidRDefault="00AC5635" w:rsidP="00AC5635">
      <w:pPr>
        <w:pStyle w:val="Heading2"/>
        <w:rPr>
          <w:rStyle w:val="Strong"/>
          <w:b/>
        </w:rPr>
      </w:pPr>
      <w:r w:rsidRPr="00AC5635">
        <w:rPr>
          <w:rStyle w:val="Strong"/>
        </w:rPr>
        <w:t>Oregon Kindergarten Readiness Measure Next Steps</w:t>
      </w:r>
    </w:p>
    <w:p w:rsidR="00AC5635" w:rsidRPr="00AC5635" w:rsidRDefault="00AC5635" w:rsidP="00AC5635">
      <w:pPr>
        <w:pStyle w:val="ListParagraph"/>
        <w:numPr>
          <w:ilvl w:val="0"/>
          <w:numId w:val="29"/>
        </w:numPr>
        <w:jc w:val="left"/>
        <w:rPr>
          <w:rStyle w:val="Strong"/>
          <w:b w:val="0"/>
        </w:rPr>
      </w:pPr>
      <w:r w:rsidRPr="00AC5635">
        <w:rPr>
          <w:rStyle w:val="Strong"/>
          <w:b w:val="0"/>
        </w:rPr>
        <w:t xml:space="preserve">The measurement strategy proposal was fully endorsed; the first two metrics will be included in the CCO incentive metric set starting in 2020 </w:t>
      </w:r>
    </w:p>
    <w:p w:rsidR="00AC5635" w:rsidRPr="00AC5635" w:rsidRDefault="00AC5635" w:rsidP="00AC5635">
      <w:pPr>
        <w:pStyle w:val="ListParagraph"/>
        <w:numPr>
          <w:ilvl w:val="0"/>
          <w:numId w:val="29"/>
        </w:numPr>
        <w:jc w:val="left"/>
        <w:rPr>
          <w:rStyle w:val="Strong"/>
          <w:b w:val="0"/>
        </w:rPr>
      </w:pPr>
      <w:r w:rsidRPr="00AC5635">
        <w:rPr>
          <w:rStyle w:val="Strong"/>
          <w:b w:val="0"/>
        </w:rPr>
        <w:t xml:space="preserve">Work is underway to develop the two new measures addressing gaps in priority cross-sector topic areas (developmental screening and social-emotional health) </w:t>
      </w:r>
    </w:p>
    <w:p w:rsidR="00AC5635" w:rsidRPr="00AC5635" w:rsidRDefault="00AC5635" w:rsidP="00AC5635">
      <w:pPr>
        <w:pStyle w:val="ListParagraph"/>
        <w:numPr>
          <w:ilvl w:val="0"/>
          <w:numId w:val="29"/>
        </w:numPr>
        <w:jc w:val="left"/>
        <w:rPr>
          <w:rStyle w:val="Strong"/>
          <w:b w:val="0"/>
        </w:rPr>
      </w:pPr>
      <w:r w:rsidRPr="00AC5635">
        <w:rPr>
          <w:rStyle w:val="Strong"/>
          <w:b w:val="0"/>
        </w:rPr>
        <w:t xml:space="preserve">The State needs to resolve the policy, capacity, funding, and practice barriers that exist in the larger early childhood system </w:t>
      </w:r>
    </w:p>
    <w:p w:rsidR="00AC5635" w:rsidRPr="00AC5635" w:rsidRDefault="00AC5635" w:rsidP="00AC5635">
      <w:pPr>
        <w:pStyle w:val="ListParagraph"/>
        <w:numPr>
          <w:ilvl w:val="1"/>
          <w:numId w:val="29"/>
        </w:numPr>
        <w:jc w:val="left"/>
        <w:rPr>
          <w:rStyle w:val="Strong"/>
          <w:b w:val="0"/>
        </w:rPr>
      </w:pPr>
      <w:r w:rsidRPr="00AC5635">
        <w:rPr>
          <w:rStyle w:val="Strong"/>
          <w:b w:val="0"/>
        </w:rPr>
        <w:t>e.g., build capacity in services that address children’s developmental and social-emotional needs</w:t>
      </w:r>
    </w:p>
    <w:p w:rsidR="00AC5635" w:rsidRDefault="00AC5635" w:rsidP="00AC5635">
      <w:pPr>
        <w:jc w:val="left"/>
        <w:rPr>
          <w:rStyle w:val="Strong"/>
          <w:b w:val="0"/>
        </w:rPr>
      </w:pPr>
      <w:r w:rsidRPr="00AC5635">
        <w:rPr>
          <w:rStyle w:val="Strong"/>
          <w:b w:val="0"/>
        </w:rPr>
        <w:t>Does the Taskforce now want to convene a work group to consider a possible kindergarten readiness measure?</w:t>
      </w:r>
    </w:p>
    <w:p w:rsidR="00AC5635" w:rsidRDefault="00AC5635" w:rsidP="00AC5635">
      <w:pPr>
        <w:pStyle w:val="Heading1"/>
      </w:pPr>
      <w:r w:rsidRPr="00A35C58">
        <w:t xml:space="preserve">Slide </w:t>
      </w:r>
      <w:r>
        <w:t>18</w:t>
      </w:r>
    </w:p>
    <w:p w:rsidR="00AC5635" w:rsidRDefault="00AC5635" w:rsidP="00AC5635">
      <w:pPr>
        <w:pStyle w:val="Heading2"/>
        <w:rPr>
          <w:rStyle w:val="Strong"/>
          <w:b/>
        </w:rPr>
      </w:pPr>
      <w:r w:rsidRPr="00AC5635">
        <w:rPr>
          <w:rStyle w:val="Strong"/>
        </w:rPr>
        <w:t>Joint replacement patient-reported outcome measure</w:t>
      </w:r>
    </w:p>
    <w:p w:rsidR="00AC5635" w:rsidRPr="00AC5635" w:rsidRDefault="00AC5635" w:rsidP="00AC5635">
      <w:pPr>
        <w:rPr>
          <w:rStyle w:val="Strong"/>
          <w:b w:val="0"/>
        </w:rPr>
      </w:pPr>
      <w:r w:rsidRPr="00AC5635">
        <w:rPr>
          <w:rStyle w:val="Strong"/>
          <w:b w:val="0"/>
        </w:rPr>
        <w:t xml:space="preserve">On 6/14, Taskforce staff convened Massachusetts researchers, providers and payers previously identified by the Taskforce as being involved in joint replacement PROM development or implementation efforts, with the goal of understanding existing work in the state and sharing findings with the Taskforce. </w:t>
      </w:r>
    </w:p>
    <w:tbl>
      <w:tblPr>
        <w:tblStyle w:val="TableGrid"/>
        <w:tblW w:w="4851" w:type="pct"/>
        <w:tblInd w:w="144" w:type="dxa"/>
        <w:tblCellMar>
          <w:left w:w="0" w:type="dxa"/>
          <w:right w:w="0" w:type="dxa"/>
        </w:tblCellMar>
        <w:tblLook w:val="0420" w:firstRow="1" w:lastRow="0" w:firstColumn="0" w:lastColumn="0" w:noHBand="0" w:noVBand="1"/>
        <w:tblCaption w:val="Joint replacement patient-reported outcome measure, Organization and Presenters"/>
      </w:tblPr>
      <w:tblGrid>
        <w:gridCol w:w="4680"/>
        <w:gridCol w:w="4680"/>
      </w:tblGrid>
      <w:tr w:rsidR="00AC5635" w:rsidRPr="00AC5635" w:rsidTr="003C0E0D">
        <w:trPr>
          <w:trHeight w:val="367"/>
          <w:tblHeader/>
        </w:trPr>
        <w:tc>
          <w:tcPr>
            <w:tcW w:w="2500" w:type="pct"/>
            <w:tcBorders>
              <w:top w:val="single" w:sz="8" w:space="0" w:color="000000"/>
              <w:left w:val="single" w:sz="8" w:space="0" w:color="000000"/>
              <w:bottom w:val="single" w:sz="8" w:space="0" w:color="000000"/>
              <w:right w:val="single" w:sz="8" w:space="0" w:color="000000"/>
            </w:tcBorders>
            <w:shd w:val="clear" w:color="auto" w:fill="023467"/>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b/>
                <w:bCs/>
                <w:color w:val="FFFFFF" w:themeColor="light1"/>
                <w:kern w:val="24"/>
                <w:sz w:val="24"/>
                <w:szCs w:val="24"/>
              </w:rPr>
              <w:t>Organization</w:t>
            </w:r>
          </w:p>
        </w:tc>
        <w:tc>
          <w:tcPr>
            <w:tcW w:w="2500" w:type="pct"/>
            <w:tcBorders>
              <w:top w:val="single" w:sz="8" w:space="0" w:color="000000"/>
              <w:left w:val="single" w:sz="8" w:space="0" w:color="000000"/>
              <w:bottom w:val="single" w:sz="8" w:space="0" w:color="000000"/>
              <w:right w:val="single" w:sz="8" w:space="0" w:color="000000"/>
            </w:tcBorders>
            <w:shd w:val="clear" w:color="auto" w:fill="023467"/>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b/>
                <w:bCs/>
                <w:color w:val="FFFFFF" w:themeColor="light1"/>
                <w:kern w:val="24"/>
                <w:sz w:val="24"/>
                <w:szCs w:val="24"/>
              </w:rPr>
              <w:t>Presenters</w:t>
            </w:r>
          </w:p>
        </w:tc>
      </w:tr>
      <w:tr w:rsidR="00AC5635" w:rsidRPr="00AC5635" w:rsidTr="003C0E0D">
        <w:trPr>
          <w:trHeight w:val="376"/>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 xml:space="preserve">Blue Cross Blue Shield of Massachusetts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Wei Ying</w:t>
            </w:r>
          </w:p>
        </w:tc>
      </w:tr>
      <w:tr w:rsidR="00AC5635" w:rsidRPr="00AC5635" w:rsidTr="003C0E0D">
        <w:trPr>
          <w:trHeight w:val="555"/>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 xml:space="preserve">Brigham and Women’s Hospital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 xml:space="preserve">David Bates </w:t>
            </w:r>
          </w:p>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 xml:space="preserve">Ronen </w:t>
            </w:r>
            <w:proofErr w:type="spellStart"/>
            <w:r w:rsidRPr="00AC5635">
              <w:rPr>
                <w:rFonts w:ascii="Helvetica" w:eastAsia="Times New Roman" w:hAnsi="Helvetica" w:cs="Arial"/>
                <w:color w:val="000000" w:themeColor="dark1"/>
                <w:kern w:val="24"/>
                <w:sz w:val="24"/>
                <w:szCs w:val="24"/>
              </w:rPr>
              <w:t>Rozenblum</w:t>
            </w:r>
            <w:proofErr w:type="spellEnd"/>
          </w:p>
        </w:tc>
      </w:tr>
      <w:tr w:rsidR="00AC5635" w:rsidRPr="00AC5635" w:rsidTr="003C0E0D">
        <w:trPr>
          <w:trHeight w:val="555"/>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 xml:space="preserve">Partners HealthCare System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 xml:space="preserve">Christian </w:t>
            </w:r>
            <w:proofErr w:type="spellStart"/>
            <w:r w:rsidRPr="00AC5635">
              <w:rPr>
                <w:rFonts w:ascii="Helvetica" w:eastAsia="Times New Roman" w:hAnsi="Helvetica" w:cs="Arial"/>
                <w:color w:val="000000" w:themeColor="dark1"/>
                <w:kern w:val="24"/>
                <w:sz w:val="24"/>
                <w:szCs w:val="24"/>
              </w:rPr>
              <w:t>Dankers</w:t>
            </w:r>
            <w:proofErr w:type="spellEnd"/>
            <w:r w:rsidRPr="00AC5635">
              <w:rPr>
                <w:rFonts w:ascii="Helvetica" w:eastAsia="Times New Roman" w:hAnsi="Helvetica" w:cs="Arial"/>
                <w:color w:val="000000" w:themeColor="dark1"/>
                <w:kern w:val="24"/>
                <w:sz w:val="24"/>
                <w:szCs w:val="24"/>
              </w:rPr>
              <w:t xml:space="preserve"> </w:t>
            </w:r>
          </w:p>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 xml:space="preserve">Rachel </w:t>
            </w:r>
            <w:proofErr w:type="spellStart"/>
            <w:r w:rsidRPr="00AC5635">
              <w:rPr>
                <w:rFonts w:ascii="Helvetica" w:eastAsia="Times New Roman" w:hAnsi="Helvetica" w:cs="Arial"/>
                <w:color w:val="000000" w:themeColor="dark1"/>
                <w:kern w:val="24"/>
                <w:sz w:val="24"/>
                <w:szCs w:val="24"/>
              </w:rPr>
              <w:t>Sisodia</w:t>
            </w:r>
            <w:proofErr w:type="spellEnd"/>
          </w:p>
        </w:tc>
      </w:tr>
      <w:tr w:rsidR="00AC5635" w:rsidRPr="00AC5635" w:rsidTr="003C0E0D">
        <w:trPr>
          <w:trHeight w:val="555"/>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 xml:space="preserve">UMass Memorial Medical Center and Medical School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635" w:rsidRPr="00AC5635" w:rsidRDefault="00AC5635" w:rsidP="00AC5635">
            <w:pPr>
              <w:jc w:val="left"/>
              <w:rPr>
                <w:rFonts w:ascii="Helvetica" w:eastAsia="Times New Roman" w:hAnsi="Helvetica" w:cs="Arial"/>
                <w:sz w:val="24"/>
                <w:szCs w:val="24"/>
              </w:rPr>
            </w:pPr>
            <w:r w:rsidRPr="00AC5635">
              <w:rPr>
                <w:rFonts w:ascii="Helvetica" w:eastAsia="Times New Roman" w:hAnsi="Helvetica" w:cs="Arial"/>
                <w:color w:val="000000" w:themeColor="dark1"/>
                <w:kern w:val="24"/>
                <w:sz w:val="24"/>
                <w:szCs w:val="24"/>
              </w:rPr>
              <w:t>David Ayers</w:t>
            </w:r>
          </w:p>
        </w:tc>
      </w:tr>
    </w:tbl>
    <w:p w:rsidR="003C0E0D" w:rsidRDefault="003C0E0D" w:rsidP="003C0E0D">
      <w:pPr>
        <w:pStyle w:val="Heading1"/>
      </w:pPr>
      <w:r w:rsidRPr="00A35C58">
        <w:t xml:space="preserve">Slide </w:t>
      </w:r>
      <w:r>
        <w:t>19</w:t>
      </w:r>
    </w:p>
    <w:p w:rsidR="00AC5635" w:rsidRDefault="003C0E0D" w:rsidP="003C0E0D">
      <w:pPr>
        <w:pStyle w:val="Heading2"/>
      </w:pPr>
      <w:r w:rsidRPr="003C0E0D">
        <w:t>Joint replacement patient-reported outcome measure</w:t>
      </w:r>
    </w:p>
    <w:p w:rsidR="003C0E0D" w:rsidRPr="003C0E0D" w:rsidRDefault="003C0E0D" w:rsidP="003C0E0D">
      <w:pPr>
        <w:pStyle w:val="ListParagraph"/>
        <w:numPr>
          <w:ilvl w:val="0"/>
          <w:numId w:val="30"/>
        </w:numPr>
        <w:jc w:val="left"/>
        <w:rPr>
          <w:rStyle w:val="Strong"/>
          <w:b w:val="0"/>
        </w:rPr>
      </w:pPr>
      <w:r w:rsidRPr="003C0E0D">
        <w:rPr>
          <w:rStyle w:val="Strong"/>
          <w:b w:val="0"/>
        </w:rPr>
        <w:t>Following the meeting, we distributed a memo to Taskforce members summarizing learnings, developmental activity, and next steps with the summary of June Taskforce activities update.</w:t>
      </w:r>
    </w:p>
    <w:p w:rsidR="003C0E0D" w:rsidRPr="003C0E0D" w:rsidRDefault="003C0E0D" w:rsidP="003C0E0D">
      <w:pPr>
        <w:pStyle w:val="ListParagraph"/>
        <w:numPr>
          <w:ilvl w:val="0"/>
          <w:numId w:val="30"/>
        </w:numPr>
        <w:jc w:val="left"/>
        <w:rPr>
          <w:rStyle w:val="Strong"/>
          <w:b w:val="0"/>
        </w:rPr>
      </w:pPr>
      <w:r w:rsidRPr="003C0E0D">
        <w:rPr>
          <w:rStyle w:val="Strong"/>
          <w:b w:val="0"/>
        </w:rPr>
        <w:t xml:space="preserve">It became clear that what the Taskforce has referred to as a patient-reported outcome measure (PROM) is actually a patient-reported outcome-based performance measure (PRO-PM). </w:t>
      </w:r>
    </w:p>
    <w:p w:rsidR="003C0E0D" w:rsidRPr="003C0E0D" w:rsidRDefault="003C0E0D" w:rsidP="003C0E0D">
      <w:pPr>
        <w:pStyle w:val="ListParagraph"/>
        <w:numPr>
          <w:ilvl w:val="1"/>
          <w:numId w:val="31"/>
        </w:numPr>
        <w:jc w:val="left"/>
        <w:rPr>
          <w:rStyle w:val="Strong"/>
          <w:b w:val="0"/>
        </w:rPr>
      </w:pPr>
      <w:r w:rsidRPr="003C0E0D">
        <w:rPr>
          <w:rStyle w:val="Strong"/>
          <w:b w:val="0"/>
        </w:rPr>
        <w:t>PRO-PMs are performance measures, whereas PROMs are the tool with which patient data are collected.</w:t>
      </w:r>
    </w:p>
    <w:p w:rsidR="008E1998" w:rsidRPr="003C0E0D" w:rsidRDefault="003C0E0D" w:rsidP="003C0E0D">
      <w:pPr>
        <w:pStyle w:val="ListParagraph"/>
        <w:numPr>
          <w:ilvl w:val="1"/>
          <w:numId w:val="31"/>
        </w:numPr>
        <w:jc w:val="left"/>
        <w:rPr>
          <w:rStyle w:val="Strong"/>
          <w:b w:val="0"/>
        </w:rPr>
      </w:pPr>
      <w:r w:rsidRPr="003C0E0D">
        <w:rPr>
          <w:rStyle w:val="Strong"/>
          <w:b w:val="0"/>
        </w:rPr>
        <w:t xml:space="preserve">We recommend that moving forward the Taskforce refer to this developmental measure topic as “joint replacement PRO-PM.” </w:t>
      </w:r>
    </w:p>
    <w:p w:rsidR="003C0E0D" w:rsidRDefault="003C0E0D" w:rsidP="003C0E0D">
      <w:pPr>
        <w:pStyle w:val="Heading1"/>
      </w:pPr>
      <w:r>
        <w:br w:type="page"/>
      </w:r>
    </w:p>
    <w:p w:rsidR="003C0E0D" w:rsidRDefault="003C0E0D" w:rsidP="003C0E0D">
      <w:pPr>
        <w:pStyle w:val="Heading1"/>
      </w:pPr>
      <w:r w:rsidRPr="00A35C58">
        <w:t xml:space="preserve">Slide </w:t>
      </w:r>
      <w:r>
        <w:t>20</w:t>
      </w:r>
    </w:p>
    <w:p w:rsidR="003C0E0D" w:rsidRDefault="003C0E0D" w:rsidP="003C0E0D">
      <w:pPr>
        <w:pStyle w:val="Heading2"/>
      </w:pPr>
      <w:r w:rsidRPr="003C0E0D">
        <w:t>PROMs Challenges</w:t>
      </w:r>
    </w:p>
    <w:p w:rsidR="003C0E0D" w:rsidRPr="003C0E0D" w:rsidRDefault="003C0E0D" w:rsidP="003C0E0D">
      <w:pPr>
        <w:pStyle w:val="ListParagraph"/>
        <w:numPr>
          <w:ilvl w:val="0"/>
          <w:numId w:val="32"/>
        </w:numPr>
        <w:jc w:val="left"/>
        <w:rPr>
          <w:rFonts w:ascii="Helvetica" w:hAnsi="Helvetica"/>
          <w:sz w:val="24"/>
          <w:szCs w:val="24"/>
        </w:rPr>
      </w:pPr>
      <w:r w:rsidRPr="003C0E0D">
        <w:rPr>
          <w:rFonts w:ascii="Helvetica" w:hAnsi="Helvetica"/>
          <w:sz w:val="24"/>
          <w:szCs w:val="24"/>
        </w:rPr>
        <w:t xml:space="preserve">Stakeholders identified a number of challenges facing the use of PROMs that need to be considered, as each of these issues impact the development and implementation of a standard PRO-PM.  </w:t>
      </w:r>
    </w:p>
    <w:p w:rsidR="003C0E0D" w:rsidRPr="003C0E0D" w:rsidRDefault="003C0E0D" w:rsidP="003C0E0D">
      <w:pPr>
        <w:pStyle w:val="ListParagraph"/>
        <w:numPr>
          <w:ilvl w:val="0"/>
          <w:numId w:val="33"/>
        </w:numPr>
        <w:jc w:val="left"/>
        <w:rPr>
          <w:rFonts w:ascii="Helvetica" w:hAnsi="Helvetica"/>
          <w:sz w:val="24"/>
          <w:szCs w:val="24"/>
        </w:rPr>
      </w:pPr>
      <w:r w:rsidRPr="003C0E0D">
        <w:rPr>
          <w:rStyle w:val="Strong"/>
        </w:rPr>
        <w:t xml:space="preserve">Standard Data Collection Method:  </w:t>
      </w:r>
      <w:r w:rsidRPr="003C0E0D">
        <w:rPr>
          <w:rFonts w:ascii="Helvetica" w:hAnsi="Helvetica"/>
          <w:sz w:val="24"/>
          <w:szCs w:val="24"/>
        </w:rPr>
        <w:t>There are many different joint replacement PROMs in use.  While many in the community agree that joint-specific measures are appropriate, there is neither consensus on which version of the HOOS/KOOS should be used, nor whether the summary or a pain-specific score should be used.  A PRO-PM would need to require use of a single tool or use of tools for which crosswalk comparisons have been developed, to ensure comparable results across providers.</w:t>
      </w:r>
    </w:p>
    <w:p w:rsidR="003C0E0D" w:rsidRPr="003C0E0D" w:rsidRDefault="003C0E0D" w:rsidP="003C0E0D">
      <w:pPr>
        <w:pStyle w:val="ListParagraph"/>
        <w:numPr>
          <w:ilvl w:val="0"/>
          <w:numId w:val="33"/>
        </w:numPr>
        <w:jc w:val="left"/>
        <w:rPr>
          <w:rFonts w:ascii="Helvetica" w:hAnsi="Helvetica"/>
          <w:sz w:val="24"/>
          <w:szCs w:val="24"/>
        </w:rPr>
      </w:pPr>
      <w:r w:rsidRPr="003C0E0D">
        <w:rPr>
          <w:rStyle w:val="Strong"/>
        </w:rPr>
        <w:t xml:space="preserve">Risk Adjustment: </w:t>
      </w:r>
      <w:r w:rsidRPr="003C0E0D">
        <w:rPr>
          <w:rFonts w:ascii="Helvetica" w:hAnsi="Helvetica"/>
          <w:sz w:val="24"/>
          <w:szCs w:val="24"/>
        </w:rPr>
        <w:t xml:space="preserve"> There is no standard risk adjustment for the PROMs.  </w:t>
      </w:r>
    </w:p>
    <w:p w:rsidR="003C0E0D" w:rsidRPr="003C0E0D" w:rsidRDefault="003C0E0D" w:rsidP="003C0E0D">
      <w:pPr>
        <w:pStyle w:val="ListParagraph"/>
        <w:numPr>
          <w:ilvl w:val="0"/>
          <w:numId w:val="33"/>
        </w:numPr>
        <w:jc w:val="left"/>
        <w:rPr>
          <w:rFonts w:ascii="Helvetica" w:hAnsi="Helvetica"/>
          <w:sz w:val="24"/>
          <w:szCs w:val="24"/>
        </w:rPr>
      </w:pPr>
      <w:r w:rsidRPr="003C0E0D">
        <w:rPr>
          <w:rStyle w:val="Strong"/>
        </w:rPr>
        <w:t xml:space="preserve">Clinically Important Difference: </w:t>
      </w:r>
      <w:r w:rsidRPr="003C0E0D">
        <w:rPr>
          <w:rFonts w:ascii="Helvetica" w:hAnsi="Helvetica"/>
          <w:sz w:val="24"/>
          <w:szCs w:val="24"/>
        </w:rPr>
        <w:t xml:space="preserve"> There are no guidelines on what a clinically meaningful difference is in performance and how the performance score should be translated into clinical action.</w:t>
      </w:r>
    </w:p>
    <w:p w:rsidR="003C0E0D" w:rsidRDefault="003C0E0D" w:rsidP="003C0E0D">
      <w:pPr>
        <w:pStyle w:val="Heading1"/>
      </w:pPr>
      <w:r w:rsidRPr="00A35C58">
        <w:t xml:space="preserve">Slide </w:t>
      </w:r>
      <w:r>
        <w:t>21</w:t>
      </w:r>
    </w:p>
    <w:p w:rsidR="003C0E0D" w:rsidRDefault="003C0E0D" w:rsidP="003C0E0D">
      <w:pPr>
        <w:pStyle w:val="Heading2"/>
      </w:pPr>
      <w:r w:rsidRPr="003C0E0D">
        <w:t>PROMs Challenges</w:t>
      </w:r>
    </w:p>
    <w:p w:rsidR="003C0E0D" w:rsidRPr="003C0E0D" w:rsidRDefault="003C0E0D" w:rsidP="003C0E0D">
      <w:pPr>
        <w:pStyle w:val="ListParagraph"/>
        <w:numPr>
          <w:ilvl w:val="0"/>
          <w:numId w:val="33"/>
        </w:numPr>
        <w:jc w:val="left"/>
        <w:rPr>
          <w:rFonts w:ascii="Helvetica" w:hAnsi="Helvetica"/>
          <w:sz w:val="24"/>
          <w:szCs w:val="24"/>
        </w:rPr>
      </w:pPr>
      <w:r w:rsidRPr="003C0E0D">
        <w:rPr>
          <w:rStyle w:val="Strong"/>
        </w:rPr>
        <w:t xml:space="preserve">Timing of Follow-up: </w:t>
      </w:r>
      <w:r w:rsidRPr="003C0E0D">
        <w:rPr>
          <w:rFonts w:ascii="Helvetica" w:hAnsi="Helvetica"/>
          <w:sz w:val="24"/>
          <w:szCs w:val="24"/>
        </w:rPr>
        <w:t xml:space="preserve"> Currently, some organizations are conducting the follow-up assessment at six months and others are conducting follow-up at one year.  There does not appear to be a standard timing for follow-up survey administration.  </w:t>
      </w:r>
    </w:p>
    <w:p w:rsidR="003C0E0D" w:rsidRPr="003C0E0D" w:rsidRDefault="003C0E0D" w:rsidP="003C0E0D">
      <w:pPr>
        <w:pStyle w:val="ListParagraph"/>
        <w:numPr>
          <w:ilvl w:val="0"/>
          <w:numId w:val="33"/>
        </w:numPr>
        <w:jc w:val="left"/>
        <w:rPr>
          <w:rFonts w:ascii="Helvetica" w:hAnsi="Helvetica"/>
          <w:sz w:val="24"/>
          <w:szCs w:val="24"/>
        </w:rPr>
      </w:pPr>
      <w:r w:rsidRPr="003C0E0D">
        <w:rPr>
          <w:rStyle w:val="Strong"/>
        </w:rPr>
        <w:t xml:space="preserve">Loss to Follow-up: </w:t>
      </w:r>
      <w:r w:rsidRPr="003C0E0D">
        <w:rPr>
          <w:rFonts w:ascii="Helvetica" w:hAnsi="Helvetica"/>
          <w:sz w:val="24"/>
          <w:szCs w:val="24"/>
        </w:rPr>
        <w:t xml:space="preserve"> Participants noted that loss to follow-up is a significant challenge.  One participant said that to be valid, one-year post-surgery assessments should be 80% complete (typical rates across the country are 40-49%).  </w:t>
      </w:r>
    </w:p>
    <w:p w:rsidR="003C0E0D" w:rsidRPr="003C0E0D" w:rsidRDefault="003C0E0D" w:rsidP="003C0E0D">
      <w:pPr>
        <w:pStyle w:val="ListParagraph"/>
        <w:numPr>
          <w:ilvl w:val="0"/>
          <w:numId w:val="33"/>
        </w:numPr>
        <w:jc w:val="left"/>
        <w:rPr>
          <w:rFonts w:ascii="Helvetica" w:hAnsi="Helvetica"/>
          <w:sz w:val="24"/>
          <w:szCs w:val="24"/>
        </w:rPr>
      </w:pPr>
      <w:r w:rsidRPr="003C0E0D">
        <w:rPr>
          <w:rStyle w:val="Strong"/>
        </w:rPr>
        <w:t>Racial and Ethnic Disparities:</w:t>
      </w:r>
      <w:r w:rsidRPr="003C0E0D">
        <w:rPr>
          <w:rFonts w:ascii="Helvetica" w:hAnsi="Helvetica"/>
          <w:sz w:val="24"/>
          <w:szCs w:val="24"/>
        </w:rPr>
        <w:t xml:space="preserve">  There is a lack of racial and ethnic diversity in available PROMs data.  Therefore, clinical standards are being developed on a primarily white data set.  Furthermore, most of the PROMs are only offered in English.  One participant expressed concerns that the use of PROMs could actually propagate racial and ethnic disparities if special attention is not given to this issue.</w:t>
      </w:r>
    </w:p>
    <w:p w:rsidR="00E75383" w:rsidRDefault="00E75383" w:rsidP="00E75383">
      <w:pPr>
        <w:pStyle w:val="Heading1"/>
      </w:pPr>
      <w:r w:rsidRPr="00A35C58">
        <w:t xml:space="preserve">Slide </w:t>
      </w:r>
      <w:r>
        <w:t>22</w:t>
      </w:r>
    </w:p>
    <w:p w:rsidR="003C0E0D" w:rsidRDefault="00E23590" w:rsidP="00E23590">
      <w:pPr>
        <w:pStyle w:val="Heading2"/>
      </w:pPr>
      <w:r w:rsidRPr="00E23590">
        <w:t>PRO-PM Next Steps</w:t>
      </w:r>
    </w:p>
    <w:p w:rsidR="00E23590" w:rsidRPr="00E23590" w:rsidRDefault="00E23590" w:rsidP="00E23590">
      <w:pPr>
        <w:pStyle w:val="ListParagraph"/>
        <w:numPr>
          <w:ilvl w:val="0"/>
          <w:numId w:val="35"/>
        </w:numPr>
        <w:jc w:val="left"/>
        <w:rPr>
          <w:rFonts w:ascii="Helvetica" w:hAnsi="Helvetica"/>
          <w:sz w:val="24"/>
          <w:szCs w:val="24"/>
        </w:rPr>
      </w:pPr>
      <w:r w:rsidRPr="00E23590">
        <w:rPr>
          <w:rFonts w:ascii="Helvetica" w:hAnsi="Helvetica"/>
          <w:sz w:val="24"/>
          <w:szCs w:val="24"/>
        </w:rPr>
        <w:t>Taskforce staff will plan to connect with these same stakeholders to discuss the status of their work next June.</w:t>
      </w:r>
    </w:p>
    <w:p w:rsidR="00E23590" w:rsidRPr="00E23590" w:rsidRDefault="00E23590" w:rsidP="00E23590">
      <w:pPr>
        <w:pStyle w:val="ListParagraph"/>
        <w:numPr>
          <w:ilvl w:val="0"/>
          <w:numId w:val="35"/>
        </w:numPr>
        <w:jc w:val="left"/>
        <w:rPr>
          <w:rFonts w:ascii="Helvetica" w:hAnsi="Helvetica"/>
          <w:sz w:val="24"/>
          <w:szCs w:val="24"/>
        </w:rPr>
      </w:pPr>
      <w:r w:rsidRPr="00E23590">
        <w:rPr>
          <w:rFonts w:ascii="Helvetica" w:hAnsi="Helvetica"/>
          <w:sz w:val="24"/>
          <w:szCs w:val="24"/>
        </w:rPr>
        <w:t>Following the meeting, Taskforce staff learned that while there is no standard PRO-PM yet developed or in use in Massachusetts, there is in Minnesota.</w:t>
      </w:r>
    </w:p>
    <w:p w:rsidR="00E23590" w:rsidRPr="00E23590" w:rsidRDefault="00E23590" w:rsidP="00E23590">
      <w:pPr>
        <w:pStyle w:val="ListParagraph"/>
        <w:numPr>
          <w:ilvl w:val="0"/>
          <w:numId w:val="36"/>
        </w:numPr>
        <w:jc w:val="left"/>
        <w:rPr>
          <w:rFonts w:ascii="Helvetica" w:hAnsi="Helvetica"/>
          <w:sz w:val="24"/>
          <w:szCs w:val="24"/>
        </w:rPr>
      </w:pPr>
      <w:r w:rsidRPr="00E23590">
        <w:rPr>
          <w:rFonts w:ascii="Helvetica" w:hAnsi="Helvetica"/>
          <w:sz w:val="24"/>
          <w:szCs w:val="24"/>
        </w:rPr>
        <w:t>We recommend inviting Minnesota Community Measurement to present their measure to a subcommittee of the Taskforce interested in considering the measure for possible future Taskforce endorsement.</w:t>
      </w:r>
    </w:p>
    <w:p w:rsidR="00E23590" w:rsidRPr="00E23590" w:rsidRDefault="00E23590" w:rsidP="00E23590">
      <w:pPr>
        <w:pStyle w:val="ListParagraph"/>
        <w:numPr>
          <w:ilvl w:val="0"/>
          <w:numId w:val="36"/>
        </w:numPr>
        <w:jc w:val="left"/>
        <w:rPr>
          <w:rStyle w:val="Strong"/>
        </w:rPr>
      </w:pPr>
      <w:r w:rsidRPr="00E23590">
        <w:rPr>
          <w:rStyle w:val="Strong"/>
        </w:rPr>
        <w:t>Are there Taskforce members with interest in learning about Minnesota Community Measurement’s joint replacement PRO-PM?</w:t>
      </w:r>
    </w:p>
    <w:p w:rsidR="00E23590" w:rsidRDefault="00E23590" w:rsidP="00E23590">
      <w:pPr>
        <w:pStyle w:val="Heading1"/>
      </w:pPr>
      <w:r w:rsidRPr="00A35C58">
        <w:t xml:space="preserve">Slide </w:t>
      </w:r>
      <w:r>
        <w:t>23</w:t>
      </w:r>
    </w:p>
    <w:p w:rsidR="00E23590" w:rsidRDefault="00E23590" w:rsidP="00E23590">
      <w:pPr>
        <w:pStyle w:val="Heading2"/>
      </w:pPr>
      <w:r w:rsidRPr="00E23590">
        <w:t>Stratification of measures to un</w:t>
      </w:r>
      <w:r>
        <w:t>derstand equity and disparities</w:t>
      </w:r>
    </w:p>
    <w:p w:rsidR="00E23590" w:rsidRPr="00E23590" w:rsidRDefault="00E23590" w:rsidP="00E23590">
      <w:pPr>
        <w:pStyle w:val="ListParagraph"/>
        <w:numPr>
          <w:ilvl w:val="0"/>
          <w:numId w:val="38"/>
        </w:numPr>
        <w:jc w:val="left"/>
        <w:rPr>
          <w:rFonts w:ascii="Helvetica" w:hAnsi="Helvetica"/>
          <w:sz w:val="24"/>
          <w:szCs w:val="24"/>
        </w:rPr>
      </w:pPr>
      <w:r w:rsidRPr="00E23590">
        <w:rPr>
          <w:rFonts w:ascii="Helvetica" w:hAnsi="Helvetica"/>
          <w:sz w:val="24"/>
          <w:szCs w:val="24"/>
        </w:rPr>
        <w:t>Vision: To stratify quality measures for the purpose of measuring inequities and disparities.</w:t>
      </w:r>
    </w:p>
    <w:p w:rsidR="00E23590" w:rsidRPr="00E23590" w:rsidRDefault="00E23590" w:rsidP="00E23590">
      <w:pPr>
        <w:pStyle w:val="ListParagraph"/>
        <w:numPr>
          <w:ilvl w:val="0"/>
          <w:numId w:val="37"/>
        </w:numPr>
        <w:jc w:val="left"/>
        <w:rPr>
          <w:rFonts w:ascii="Helvetica" w:hAnsi="Helvetica"/>
          <w:sz w:val="24"/>
          <w:szCs w:val="24"/>
        </w:rPr>
      </w:pPr>
      <w:r w:rsidRPr="00E23590">
        <w:rPr>
          <w:rFonts w:ascii="Helvetica" w:hAnsi="Helvetica"/>
          <w:sz w:val="24"/>
          <w:szCs w:val="24"/>
        </w:rPr>
        <w:t>2019 Objective:  The Health Equity Workgroup will identify measures for a pilot of demographic stratification from the full list of the Massachusetts Aligned Measure Set with health equity implications.  For this subset of measures, the Health Equity Work Group shall create a list of necessary data elements for stratification, and identify where improved collection of data elements is necessary to advance equity/disparity measurement.</w:t>
      </w:r>
    </w:p>
    <w:p w:rsidR="00E23590" w:rsidRDefault="00E23590" w:rsidP="00E23590">
      <w:pPr>
        <w:pStyle w:val="ListParagraph"/>
        <w:numPr>
          <w:ilvl w:val="0"/>
          <w:numId w:val="37"/>
        </w:numPr>
        <w:jc w:val="left"/>
        <w:rPr>
          <w:rFonts w:ascii="Helvetica" w:hAnsi="Helvetica"/>
          <w:sz w:val="24"/>
          <w:szCs w:val="24"/>
        </w:rPr>
      </w:pPr>
      <w:r w:rsidRPr="00E23590">
        <w:rPr>
          <w:rFonts w:ascii="Helvetica" w:hAnsi="Helvetica"/>
          <w:sz w:val="24"/>
          <w:szCs w:val="24"/>
        </w:rPr>
        <w:t>Workgroup, consisting primarily of Taskforce members, has convened three times in 2019.</w:t>
      </w:r>
    </w:p>
    <w:p w:rsidR="00E23590" w:rsidRDefault="00E23590" w:rsidP="00E23590">
      <w:pPr>
        <w:pStyle w:val="Heading1"/>
        <w:tabs>
          <w:tab w:val="left" w:pos="2296"/>
        </w:tabs>
      </w:pPr>
      <w:r w:rsidRPr="00A35C58">
        <w:t xml:space="preserve">Slide </w:t>
      </w:r>
      <w:r>
        <w:t>24</w:t>
      </w:r>
    </w:p>
    <w:p w:rsidR="00E23590" w:rsidRDefault="00E23590" w:rsidP="00E23590">
      <w:pPr>
        <w:pStyle w:val="Heading2"/>
      </w:pPr>
      <w:r w:rsidRPr="00E23590">
        <w:t>Stratification of measures to understand equity and disparities</w:t>
      </w:r>
    </w:p>
    <w:p w:rsidR="00E23590" w:rsidRPr="00E23590" w:rsidRDefault="00E23590" w:rsidP="00E23590">
      <w:pPr>
        <w:pStyle w:val="ListParagraph"/>
        <w:numPr>
          <w:ilvl w:val="0"/>
          <w:numId w:val="39"/>
        </w:numPr>
        <w:jc w:val="left"/>
        <w:rPr>
          <w:rFonts w:ascii="Helvetica" w:hAnsi="Helvetica"/>
          <w:sz w:val="24"/>
          <w:szCs w:val="24"/>
        </w:rPr>
      </w:pPr>
      <w:r w:rsidRPr="00E23590">
        <w:rPr>
          <w:rFonts w:ascii="Helvetica" w:hAnsi="Helvetica"/>
          <w:sz w:val="24"/>
          <w:szCs w:val="24"/>
        </w:rPr>
        <w:t>Environmental Scan by Health Equity Work Group Stakeholders</w:t>
      </w:r>
    </w:p>
    <w:p w:rsidR="00E23590" w:rsidRPr="00E23590" w:rsidRDefault="00E23590" w:rsidP="00E23590">
      <w:pPr>
        <w:pStyle w:val="ListParagraph"/>
        <w:numPr>
          <w:ilvl w:val="0"/>
          <w:numId w:val="41"/>
        </w:numPr>
        <w:jc w:val="left"/>
        <w:rPr>
          <w:rFonts w:ascii="Helvetica" w:hAnsi="Helvetica"/>
          <w:sz w:val="24"/>
          <w:szCs w:val="24"/>
        </w:rPr>
      </w:pPr>
      <w:r w:rsidRPr="00E23590">
        <w:rPr>
          <w:rFonts w:ascii="Helvetica" w:hAnsi="Helvetica"/>
          <w:sz w:val="24"/>
          <w:szCs w:val="24"/>
        </w:rPr>
        <w:t>Payers and providers shared information in a standardized template on demographic variables currently used, including specifications for collection and attribution, and designating what could be made available for stratification of measures to the Health Equity Work Group.</w:t>
      </w:r>
    </w:p>
    <w:p w:rsidR="00E23590" w:rsidRDefault="00E23590" w:rsidP="00E23590">
      <w:pPr>
        <w:pStyle w:val="ListParagraph"/>
        <w:numPr>
          <w:ilvl w:val="0"/>
          <w:numId w:val="41"/>
        </w:numPr>
        <w:jc w:val="left"/>
        <w:rPr>
          <w:rFonts w:ascii="Helvetica" w:hAnsi="Helvetica"/>
          <w:sz w:val="24"/>
          <w:szCs w:val="24"/>
        </w:rPr>
      </w:pPr>
      <w:r w:rsidRPr="00E23590">
        <w:rPr>
          <w:rFonts w:ascii="Helvetica" w:hAnsi="Helvetica"/>
          <w:sz w:val="24"/>
          <w:szCs w:val="24"/>
        </w:rPr>
        <w:t xml:space="preserve">Work Group then prioritized variables based on findings reported. </w:t>
      </w:r>
    </w:p>
    <w:p w:rsidR="00E23590" w:rsidRDefault="00E23590" w:rsidP="00E23590">
      <w:pPr>
        <w:ind w:left="360"/>
        <w:jc w:val="left"/>
        <w:rPr>
          <w:rFonts w:ascii="Helvetica" w:hAnsi="Helvetica"/>
          <w:sz w:val="24"/>
          <w:szCs w:val="24"/>
        </w:rPr>
      </w:pPr>
      <w:bookmarkStart w:id="0" w:name="_GoBack"/>
      <w:r w:rsidRPr="00E23590">
        <w:rPr>
          <w:rFonts w:ascii="Helvetica" w:hAnsi="Helvetica"/>
          <w:noProof/>
          <w:sz w:val="24"/>
          <w:szCs w:val="24"/>
        </w:rPr>
        <w:drawing>
          <wp:inline distT="0" distB="0" distL="0" distR="0" wp14:anchorId="10EC9DA8" wp14:editId="6068DFD7">
            <wp:extent cx="4514700" cy="4019618"/>
            <wp:effectExtent l="0" t="0" r="635" b="0"/>
            <wp:docPr id="5" name="table" descr="In terms of demographic variables, 100% of payers and providers spoken with collect race, ethnicity, and language data.  33% collect sexual orientation and veteran’s status, and 44% collect gender identity.  In terms of social determinants of health variables, 89% collect living situation/housing stability, food insecurity, transportation and financial wellbeing/employment.  78% collect utilities, 67% collect education status and other, 56% collect social and community supports, and 11% collect immigration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ChangeAspect="1"/>
                    </pic:cNvPicPr>
                  </pic:nvPicPr>
                  <pic:blipFill>
                    <a:blip r:embed="rId7"/>
                    <a:stretch>
                      <a:fillRect/>
                    </a:stretch>
                  </pic:blipFill>
                  <pic:spPr>
                    <a:xfrm>
                      <a:off x="0" y="0"/>
                      <a:ext cx="4514700" cy="4019618"/>
                    </a:xfrm>
                    <a:prstGeom prst="rect">
                      <a:avLst/>
                    </a:prstGeom>
                  </pic:spPr>
                </pic:pic>
              </a:graphicData>
            </a:graphic>
          </wp:inline>
        </w:drawing>
      </w:r>
      <w:bookmarkEnd w:id="0"/>
    </w:p>
    <w:p w:rsidR="00E23590" w:rsidRDefault="00E23590" w:rsidP="00E23590">
      <w:pPr>
        <w:pStyle w:val="Heading1"/>
        <w:tabs>
          <w:tab w:val="left" w:pos="2296"/>
        </w:tabs>
      </w:pPr>
      <w:r w:rsidRPr="00A35C58">
        <w:t xml:space="preserve">Slide </w:t>
      </w:r>
      <w:r>
        <w:t>25</w:t>
      </w:r>
    </w:p>
    <w:p w:rsidR="00E23590" w:rsidRDefault="00E23590" w:rsidP="00E23590">
      <w:pPr>
        <w:pStyle w:val="Heading2"/>
      </w:pPr>
      <w:r w:rsidRPr="00E23590">
        <w:t>Stratification of measures to understand equity and disparities</w:t>
      </w:r>
    </w:p>
    <w:p w:rsidR="00E23590" w:rsidRDefault="00E23590" w:rsidP="00E23590">
      <w:pPr>
        <w:jc w:val="left"/>
        <w:rPr>
          <w:rFonts w:ascii="Helvetica" w:hAnsi="Helvetica"/>
          <w:sz w:val="24"/>
          <w:szCs w:val="24"/>
        </w:rPr>
      </w:pPr>
      <w:r w:rsidRPr="00E23590">
        <w:rPr>
          <w:rFonts w:ascii="Helvetica" w:hAnsi="Helvetica"/>
          <w:sz w:val="24"/>
          <w:szCs w:val="24"/>
        </w:rPr>
        <w:t>Based on Work Group discussion and feedback, DPH is currently soliciting payers and providers re: feasibility of stratifying demographic and SDOH information for selected measures.</w:t>
      </w:r>
    </w:p>
    <w:p w:rsidR="00E23590" w:rsidRPr="00E23590" w:rsidRDefault="00E23590" w:rsidP="00E23590">
      <w:pPr>
        <w:spacing w:after="0" w:line="241" w:lineRule="atLeast"/>
        <w:jc w:val="left"/>
        <w:textAlignment w:val="bottom"/>
        <w:rPr>
          <w:rStyle w:val="Strong"/>
        </w:rPr>
      </w:pPr>
      <w:r w:rsidRPr="00E23590">
        <w:rPr>
          <w:rStyle w:val="Strong"/>
        </w:rPr>
        <w:t>Abbreviated Measure Description</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 xml:space="preserve">Comprehensive Diabetes Care: Hemoglobin </w:t>
      </w:r>
      <w:proofErr w:type="gramStart"/>
      <w:r w:rsidRPr="00E23590">
        <w:rPr>
          <w:rFonts w:ascii="Helvetica" w:eastAsia="Times New Roman" w:hAnsi="Helvetica" w:cs="Helvetica"/>
          <w:color w:val="000000"/>
          <w:kern w:val="24"/>
          <w:sz w:val="24"/>
          <w:szCs w:val="24"/>
        </w:rPr>
        <w:t>A1c</w:t>
      </w:r>
      <w:proofErr w:type="gramEnd"/>
      <w:r w:rsidRPr="00E23590">
        <w:rPr>
          <w:rFonts w:ascii="Helvetica" w:eastAsia="Times New Roman" w:hAnsi="Helvetica" w:cs="Helvetica"/>
          <w:color w:val="000000"/>
          <w:kern w:val="24"/>
          <w:sz w:val="24"/>
          <w:szCs w:val="24"/>
        </w:rPr>
        <w:t xml:space="preserve"> (HbA1c) Poor Control (&gt;9.0%)</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Controlling High Blood Pressure</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Depression Remission and Response for Adolescents and Adults</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Depression Remission at Six or Twelve Months</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Depression Response at 6 or 12 Months - Progress Towards Remission</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Depression Screening and Follow-Up for Adolescents and Adults</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Initiation and Engagement of Alcohol and Other Drug Dependence Treatment</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Asthma Medication Ratio</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Breast Cancer Screening</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Cervical Cancer Screening</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Child and Adolescent Major Depressive Disorder: Suicide Risk Assessment</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Childhood Immunization Status (Combo 10)</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Chlamydia Screening</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Colorectal Cancer Screening</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Comprehensive Diabetes Care: Blood Pressure Control (&lt;140/90 mm Hg)</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Comprehensive Diabetes Care: Eye Exam</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Continuity of Pharmacotherapy for Opioid Use Disorder</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Follow-up After Emergency Department Visit for Mental Health (7-Day)</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Follow-Up After Hospitalization for Mental Illness (30-Day)</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Follow-Up After Hospitalization for Mental Illness (7-Day)</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Immunizations for Adolescents (Combo 2)</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Influenza Immunization</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Metabolic Monitoring for Children and Adolescents on Antipsychotics</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Use of Imaging Studies for Low Back Pain</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Adolescent Well-Care Visit</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 xml:space="preserve">Comprehensive Diabetes Care: Hemoglobin A1c Testing </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Comprehensive Diabetes Care: Medical Attention for Nephropathy</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Contraceptive Care - Postpartum</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Incidence of Episiotomy</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Prenatal &amp; Postpartum Care - Timeliness of Prenatal Care</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Well-Child Visits in the 3rd, 4th, 5th, and 6th Years of Life</w:t>
      </w:r>
    </w:p>
    <w:p w:rsidR="00E23590" w:rsidRPr="00E23590" w:rsidRDefault="00E23590" w:rsidP="00E23590">
      <w:pPr>
        <w:pStyle w:val="ListParagraph"/>
        <w:numPr>
          <w:ilvl w:val="0"/>
          <w:numId w:val="42"/>
        </w:numPr>
        <w:spacing w:after="0" w:line="241" w:lineRule="atLeast"/>
        <w:jc w:val="left"/>
        <w:textAlignment w:val="bottom"/>
        <w:rPr>
          <w:rFonts w:ascii="Helvetica" w:eastAsia="Times New Roman" w:hAnsi="Helvetica" w:cs="Helvetica"/>
          <w:sz w:val="24"/>
          <w:szCs w:val="24"/>
        </w:rPr>
      </w:pPr>
      <w:r w:rsidRPr="00E23590">
        <w:rPr>
          <w:rFonts w:ascii="Helvetica" w:eastAsia="Times New Roman" w:hAnsi="Helvetica" w:cs="Helvetica"/>
          <w:color w:val="000000"/>
          <w:kern w:val="24"/>
          <w:sz w:val="24"/>
          <w:szCs w:val="24"/>
        </w:rPr>
        <w:t>Well-Child Visits in the First 15 Months of Life</w:t>
      </w:r>
    </w:p>
    <w:p w:rsidR="00E23590" w:rsidRDefault="00E23590" w:rsidP="00E23590">
      <w:pPr>
        <w:pStyle w:val="Heading1"/>
        <w:tabs>
          <w:tab w:val="left" w:pos="2296"/>
        </w:tabs>
      </w:pPr>
      <w:r w:rsidRPr="00A35C58">
        <w:t xml:space="preserve">Slide </w:t>
      </w:r>
      <w:r>
        <w:t>26</w:t>
      </w:r>
    </w:p>
    <w:p w:rsidR="00E23590" w:rsidRDefault="00F73585" w:rsidP="00F73585">
      <w:pPr>
        <w:pStyle w:val="Heading2"/>
      </w:pPr>
      <w:r w:rsidRPr="00F73585">
        <w:t>Role of the Taskforce in Measure Development Work</w:t>
      </w:r>
    </w:p>
    <w:p w:rsidR="00F73585" w:rsidRPr="00F73585" w:rsidRDefault="00F73585" w:rsidP="00F73585">
      <w:pPr>
        <w:pStyle w:val="ListParagraph"/>
        <w:numPr>
          <w:ilvl w:val="0"/>
          <w:numId w:val="39"/>
        </w:numPr>
        <w:jc w:val="left"/>
        <w:rPr>
          <w:rFonts w:ascii="Helvetica" w:hAnsi="Helvetica"/>
          <w:sz w:val="24"/>
          <w:szCs w:val="24"/>
        </w:rPr>
      </w:pPr>
      <w:r w:rsidRPr="00F73585">
        <w:rPr>
          <w:rFonts w:ascii="Helvetica" w:hAnsi="Helvetica"/>
          <w:sz w:val="24"/>
          <w:szCs w:val="24"/>
        </w:rPr>
        <w:t>In 2019, the Taskforce prioritized tracking or sponsoring four prioritized developmental measures. Over the summer, Taskforce staff discussed the role of the Taskforce in measure development.</w:t>
      </w:r>
    </w:p>
    <w:p w:rsidR="00F73585" w:rsidRPr="00F73585" w:rsidRDefault="00F73585" w:rsidP="00F73585">
      <w:pPr>
        <w:pStyle w:val="ListParagraph"/>
        <w:numPr>
          <w:ilvl w:val="1"/>
          <w:numId w:val="39"/>
        </w:numPr>
        <w:jc w:val="left"/>
        <w:rPr>
          <w:rFonts w:ascii="Helvetica" w:hAnsi="Helvetica"/>
          <w:sz w:val="24"/>
          <w:szCs w:val="24"/>
        </w:rPr>
      </w:pPr>
      <w:r w:rsidRPr="00F73585">
        <w:rPr>
          <w:rFonts w:ascii="Helvetica" w:hAnsi="Helvetica"/>
          <w:sz w:val="24"/>
          <w:szCs w:val="24"/>
        </w:rPr>
        <w:t>Taskforce staff expressed concern about the State resources required to take on active development and about the State leading development work.</w:t>
      </w:r>
    </w:p>
    <w:p w:rsidR="00F73585" w:rsidRPr="00F73585" w:rsidRDefault="00F73585" w:rsidP="00F73585">
      <w:pPr>
        <w:pStyle w:val="ListParagraph"/>
        <w:numPr>
          <w:ilvl w:val="0"/>
          <w:numId w:val="39"/>
        </w:numPr>
        <w:jc w:val="left"/>
        <w:rPr>
          <w:rFonts w:ascii="Helvetica" w:hAnsi="Helvetica"/>
          <w:sz w:val="24"/>
          <w:szCs w:val="24"/>
        </w:rPr>
      </w:pPr>
      <w:r w:rsidRPr="00F73585">
        <w:rPr>
          <w:rFonts w:ascii="Helvetica" w:hAnsi="Helvetica"/>
          <w:sz w:val="24"/>
          <w:szCs w:val="24"/>
        </w:rPr>
        <w:t>Taskforce staff therefore recommend adoption of a policy statement on the role of the Taskforce in measure development:</w:t>
      </w:r>
    </w:p>
    <w:p w:rsidR="00F73585" w:rsidRPr="00F73585" w:rsidRDefault="00F73585" w:rsidP="00F73585">
      <w:pPr>
        <w:pStyle w:val="ListParagraph"/>
        <w:numPr>
          <w:ilvl w:val="0"/>
          <w:numId w:val="39"/>
        </w:numPr>
        <w:jc w:val="left"/>
        <w:rPr>
          <w:rFonts w:ascii="Helvetica" w:hAnsi="Helvetica"/>
          <w:sz w:val="24"/>
          <w:szCs w:val="24"/>
        </w:rPr>
      </w:pPr>
      <w:r w:rsidRPr="00F73585">
        <w:rPr>
          <w:rStyle w:val="Strong"/>
        </w:rPr>
        <w:t>Proposed Policy Statement:</w:t>
      </w:r>
      <w:r>
        <w:rPr>
          <w:rFonts w:ascii="Helvetica" w:hAnsi="Helvetica"/>
          <w:sz w:val="24"/>
          <w:szCs w:val="24"/>
        </w:rPr>
        <w:t xml:space="preserve"> </w:t>
      </w:r>
      <w:r w:rsidRPr="00F73585">
        <w:rPr>
          <w:rFonts w:ascii="Helvetica" w:hAnsi="Helvetica"/>
          <w:sz w:val="24"/>
          <w:szCs w:val="24"/>
        </w:rPr>
        <w:t xml:space="preserve"> When the Taskforce identifies a priority measure gap, it will perform an environmental scan for measures and monitor ongoing measure development work.  Should no suitable measure potentially be in development, the Taskforce will not undertake measure </w:t>
      </w:r>
      <w:proofErr w:type="gramStart"/>
      <w:r w:rsidRPr="00F73585">
        <w:rPr>
          <w:rFonts w:ascii="Helvetica" w:hAnsi="Helvetica"/>
          <w:sz w:val="24"/>
          <w:szCs w:val="24"/>
        </w:rPr>
        <w:t>development.</w:t>
      </w:r>
      <w:proofErr w:type="gramEnd"/>
      <w:r w:rsidRPr="00F73585">
        <w:rPr>
          <w:rFonts w:ascii="Helvetica" w:hAnsi="Helvetica"/>
          <w:sz w:val="24"/>
          <w:szCs w:val="24"/>
        </w:rPr>
        <w:t xml:space="preserve">  In some cases, however, the Taskforce may assume work to adapt existing measures to fill a priority measure gap.</w:t>
      </w:r>
    </w:p>
    <w:p w:rsidR="00F73585" w:rsidRPr="00F73585" w:rsidRDefault="00F73585" w:rsidP="00F73585">
      <w:pPr>
        <w:pStyle w:val="ListParagraph"/>
        <w:numPr>
          <w:ilvl w:val="0"/>
          <w:numId w:val="39"/>
        </w:numPr>
        <w:jc w:val="left"/>
        <w:rPr>
          <w:rStyle w:val="Strong"/>
        </w:rPr>
      </w:pPr>
      <w:r w:rsidRPr="00F73585">
        <w:rPr>
          <w:rStyle w:val="Strong"/>
        </w:rPr>
        <w:t>Does the Taskforce have any feedback on the proposed policy statement?</w:t>
      </w:r>
    </w:p>
    <w:p w:rsidR="00F73585" w:rsidRDefault="00F73585" w:rsidP="00F73585">
      <w:pPr>
        <w:pStyle w:val="Heading1"/>
        <w:tabs>
          <w:tab w:val="left" w:pos="2296"/>
        </w:tabs>
      </w:pPr>
      <w:r w:rsidRPr="00A35C58">
        <w:t xml:space="preserve">Slide </w:t>
      </w:r>
      <w:r>
        <w:t>2</w:t>
      </w:r>
      <w:r w:rsidR="00C82E49">
        <w:t>7</w:t>
      </w:r>
    </w:p>
    <w:p w:rsidR="00F73585" w:rsidRDefault="00C82E49" w:rsidP="00C82E49">
      <w:pPr>
        <w:pStyle w:val="Heading2"/>
      </w:pPr>
      <w:r w:rsidRPr="00C82E49">
        <w:t>Agenda</w:t>
      </w:r>
    </w:p>
    <w:p w:rsidR="00C82E49" w:rsidRPr="00C82E49" w:rsidRDefault="00C82E49" w:rsidP="00C82E49">
      <w:pPr>
        <w:pStyle w:val="ListParagraph"/>
        <w:numPr>
          <w:ilvl w:val="0"/>
          <w:numId w:val="44"/>
        </w:numPr>
        <w:jc w:val="left"/>
        <w:rPr>
          <w:rFonts w:ascii="Helvetica" w:hAnsi="Helvetica"/>
          <w:sz w:val="24"/>
          <w:szCs w:val="24"/>
        </w:rPr>
      </w:pPr>
      <w:r w:rsidRPr="00C82E49">
        <w:rPr>
          <w:rFonts w:ascii="Helvetica" w:hAnsi="Helvetica"/>
          <w:sz w:val="24"/>
          <w:szCs w:val="24"/>
        </w:rPr>
        <w:t>Welcome</w:t>
      </w:r>
    </w:p>
    <w:p w:rsidR="00C82E49" w:rsidRPr="00C82E49" w:rsidRDefault="00C82E49" w:rsidP="00C82E49">
      <w:pPr>
        <w:pStyle w:val="ListParagraph"/>
        <w:numPr>
          <w:ilvl w:val="0"/>
          <w:numId w:val="44"/>
        </w:numPr>
        <w:jc w:val="left"/>
        <w:rPr>
          <w:rFonts w:ascii="Helvetica" w:hAnsi="Helvetica"/>
          <w:sz w:val="24"/>
          <w:szCs w:val="24"/>
        </w:rPr>
      </w:pPr>
      <w:r w:rsidRPr="00C82E49">
        <w:rPr>
          <w:rFonts w:ascii="Helvetica" w:hAnsi="Helvetica"/>
          <w:sz w:val="24"/>
          <w:szCs w:val="24"/>
        </w:rPr>
        <w:t>Rhode Island’s Aligned Measure Sets</w:t>
      </w:r>
    </w:p>
    <w:p w:rsidR="00C82E49" w:rsidRPr="00C82E49" w:rsidRDefault="00C82E49" w:rsidP="00C82E49">
      <w:pPr>
        <w:pStyle w:val="ListParagraph"/>
        <w:numPr>
          <w:ilvl w:val="0"/>
          <w:numId w:val="44"/>
        </w:numPr>
        <w:jc w:val="left"/>
        <w:rPr>
          <w:rFonts w:ascii="Helvetica" w:hAnsi="Helvetica"/>
          <w:sz w:val="24"/>
          <w:szCs w:val="24"/>
        </w:rPr>
      </w:pPr>
      <w:r w:rsidRPr="00C82E49">
        <w:rPr>
          <w:rFonts w:ascii="Helvetica" w:hAnsi="Helvetica"/>
          <w:sz w:val="24"/>
          <w:szCs w:val="24"/>
        </w:rPr>
        <w:t>Review Updated Taskforce Charter</w:t>
      </w:r>
    </w:p>
    <w:p w:rsidR="00C82E49" w:rsidRPr="00C82E49" w:rsidRDefault="00C82E49" w:rsidP="00C82E49">
      <w:pPr>
        <w:pStyle w:val="ListParagraph"/>
        <w:numPr>
          <w:ilvl w:val="0"/>
          <w:numId w:val="44"/>
        </w:numPr>
        <w:jc w:val="left"/>
        <w:rPr>
          <w:rFonts w:ascii="Helvetica" w:hAnsi="Helvetica"/>
          <w:sz w:val="24"/>
          <w:szCs w:val="24"/>
        </w:rPr>
      </w:pPr>
      <w:r w:rsidRPr="00C82E49">
        <w:rPr>
          <w:rFonts w:ascii="Helvetica" w:hAnsi="Helvetica"/>
          <w:sz w:val="24"/>
          <w:szCs w:val="24"/>
        </w:rPr>
        <w:t>Developmental Measure Updates</w:t>
      </w:r>
    </w:p>
    <w:p w:rsidR="00C82E49" w:rsidRPr="00C82E49" w:rsidRDefault="00C82E49" w:rsidP="00C82E49">
      <w:pPr>
        <w:pStyle w:val="ListParagraph"/>
        <w:numPr>
          <w:ilvl w:val="0"/>
          <w:numId w:val="44"/>
        </w:numPr>
        <w:jc w:val="left"/>
        <w:rPr>
          <w:rStyle w:val="Strong"/>
        </w:rPr>
      </w:pPr>
      <w:r w:rsidRPr="00C82E49">
        <w:rPr>
          <w:rStyle w:val="Strong"/>
        </w:rPr>
        <w:t>Next Steps</w:t>
      </w:r>
    </w:p>
    <w:p w:rsidR="00C82E49" w:rsidRDefault="00C82E49" w:rsidP="00C82E49">
      <w:pPr>
        <w:pStyle w:val="Heading1"/>
        <w:tabs>
          <w:tab w:val="left" w:pos="2296"/>
        </w:tabs>
      </w:pPr>
      <w:r w:rsidRPr="00A35C58">
        <w:t xml:space="preserve">Slide </w:t>
      </w:r>
      <w:r>
        <w:t>28</w:t>
      </w:r>
    </w:p>
    <w:p w:rsidR="00C82E49" w:rsidRDefault="00C82E49" w:rsidP="00C82E49">
      <w:pPr>
        <w:pStyle w:val="Heading2"/>
      </w:pPr>
      <w:r w:rsidRPr="00C82E49">
        <w:t>Next Meeting</w:t>
      </w:r>
    </w:p>
    <w:p w:rsidR="00C82E49" w:rsidRPr="00C82E49" w:rsidRDefault="00C82E49" w:rsidP="00C82E49">
      <w:pPr>
        <w:pStyle w:val="ListParagraph"/>
        <w:numPr>
          <w:ilvl w:val="0"/>
          <w:numId w:val="45"/>
        </w:numPr>
        <w:jc w:val="left"/>
        <w:rPr>
          <w:rFonts w:ascii="Helvetica" w:hAnsi="Helvetica"/>
          <w:sz w:val="24"/>
          <w:szCs w:val="24"/>
        </w:rPr>
      </w:pPr>
      <w:r w:rsidRPr="00C82E49">
        <w:rPr>
          <w:rFonts w:ascii="Helvetica" w:hAnsi="Helvetica"/>
          <w:sz w:val="24"/>
          <w:szCs w:val="24"/>
        </w:rPr>
        <w:t>Finalize Taskforce Charter</w:t>
      </w:r>
    </w:p>
    <w:p w:rsidR="00C82E49" w:rsidRPr="00C82E49" w:rsidRDefault="00C82E49" w:rsidP="00C82E49">
      <w:pPr>
        <w:pStyle w:val="ListParagraph"/>
        <w:numPr>
          <w:ilvl w:val="0"/>
          <w:numId w:val="45"/>
        </w:numPr>
        <w:jc w:val="left"/>
        <w:rPr>
          <w:rFonts w:ascii="Helvetica" w:hAnsi="Helvetica"/>
          <w:sz w:val="24"/>
          <w:szCs w:val="24"/>
        </w:rPr>
      </w:pPr>
      <w:r w:rsidRPr="00C82E49">
        <w:rPr>
          <w:rFonts w:ascii="Helvetica" w:hAnsi="Helvetica"/>
          <w:sz w:val="24"/>
          <w:szCs w:val="24"/>
        </w:rPr>
        <w:t>Discuss the process for considering homegrown measures</w:t>
      </w:r>
    </w:p>
    <w:p w:rsidR="00C82E49" w:rsidRPr="00C82E49" w:rsidRDefault="00C82E49" w:rsidP="00C82E49">
      <w:pPr>
        <w:pStyle w:val="ListParagraph"/>
        <w:numPr>
          <w:ilvl w:val="0"/>
          <w:numId w:val="45"/>
        </w:numPr>
        <w:jc w:val="left"/>
        <w:rPr>
          <w:rFonts w:ascii="Helvetica" w:hAnsi="Helvetica"/>
          <w:sz w:val="24"/>
          <w:szCs w:val="24"/>
        </w:rPr>
      </w:pPr>
      <w:r w:rsidRPr="00C82E49">
        <w:rPr>
          <w:rFonts w:ascii="Helvetica" w:hAnsi="Helvetica"/>
          <w:sz w:val="24"/>
          <w:szCs w:val="24"/>
        </w:rPr>
        <w:t>Begin annual review of the Aligned Measure Set</w:t>
      </w:r>
    </w:p>
    <w:p w:rsidR="00C82E49" w:rsidRPr="00C82E49" w:rsidRDefault="00C82E49" w:rsidP="00C82E49">
      <w:pPr>
        <w:pStyle w:val="ListParagraph"/>
        <w:numPr>
          <w:ilvl w:val="0"/>
          <w:numId w:val="45"/>
        </w:numPr>
        <w:jc w:val="left"/>
        <w:rPr>
          <w:rFonts w:ascii="Helvetica" w:hAnsi="Helvetica"/>
          <w:sz w:val="24"/>
          <w:szCs w:val="24"/>
        </w:rPr>
      </w:pPr>
      <w:r w:rsidRPr="00C82E49">
        <w:rPr>
          <w:rFonts w:ascii="Helvetica" w:hAnsi="Helvetica"/>
          <w:sz w:val="24"/>
          <w:szCs w:val="24"/>
        </w:rPr>
        <w:t>Review Quality Catalogue survey results</w:t>
      </w:r>
    </w:p>
    <w:p w:rsidR="00C82E49" w:rsidRPr="00C82E49" w:rsidRDefault="00C82E49" w:rsidP="00C82E49">
      <w:pPr>
        <w:pStyle w:val="ListParagraph"/>
        <w:numPr>
          <w:ilvl w:val="0"/>
          <w:numId w:val="45"/>
        </w:numPr>
        <w:jc w:val="left"/>
        <w:rPr>
          <w:rFonts w:ascii="Helvetica" w:hAnsi="Helvetica"/>
          <w:sz w:val="24"/>
          <w:szCs w:val="24"/>
        </w:rPr>
      </w:pPr>
      <w:r w:rsidRPr="00C82E49">
        <w:rPr>
          <w:rFonts w:ascii="Helvetica" w:hAnsi="Helvetica"/>
          <w:sz w:val="24"/>
          <w:szCs w:val="24"/>
        </w:rPr>
        <w:t>Consider whether to add hospital measures for the 2021 set</w:t>
      </w:r>
    </w:p>
    <w:sectPr w:rsidR="00C82E49" w:rsidRPr="00C82E49" w:rsidSect="00864B7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C82"/>
    <w:multiLevelType w:val="hybridMultilevel"/>
    <w:tmpl w:val="1F58BA0A"/>
    <w:lvl w:ilvl="0" w:tplc="A5E248F2">
      <w:start w:val="1"/>
      <w:numFmt w:val="bullet"/>
      <w:lvlText w:val=""/>
      <w:lvlJc w:val="left"/>
      <w:pPr>
        <w:tabs>
          <w:tab w:val="num" w:pos="1080"/>
        </w:tabs>
        <w:ind w:left="1080" w:hanging="360"/>
      </w:pPr>
      <w:rPr>
        <w:rFonts w:ascii="Symbol" w:hAnsi="Symbol" w:hint="default"/>
      </w:rPr>
    </w:lvl>
    <w:lvl w:ilvl="1" w:tplc="EE4A4C6C">
      <w:start w:val="1"/>
      <w:numFmt w:val="bullet"/>
      <w:lvlText w:val=""/>
      <w:lvlJc w:val="left"/>
      <w:pPr>
        <w:tabs>
          <w:tab w:val="num" w:pos="1800"/>
        </w:tabs>
        <w:ind w:left="1800" w:hanging="360"/>
      </w:pPr>
      <w:rPr>
        <w:rFonts w:ascii="Symbol" w:hAnsi="Symbol" w:hint="default"/>
      </w:rPr>
    </w:lvl>
    <w:lvl w:ilvl="2" w:tplc="6186AD58">
      <w:start w:val="1"/>
      <w:numFmt w:val="bullet"/>
      <w:lvlText w:val=""/>
      <w:lvlJc w:val="left"/>
      <w:pPr>
        <w:tabs>
          <w:tab w:val="num" w:pos="2520"/>
        </w:tabs>
        <w:ind w:left="2520" w:hanging="360"/>
      </w:pPr>
      <w:rPr>
        <w:rFonts w:ascii="Symbol" w:hAnsi="Symbol" w:hint="default"/>
      </w:rPr>
    </w:lvl>
    <w:lvl w:ilvl="3" w:tplc="B7025A36">
      <w:start w:val="1"/>
      <w:numFmt w:val="bullet"/>
      <w:lvlText w:val=""/>
      <w:lvlJc w:val="left"/>
      <w:pPr>
        <w:tabs>
          <w:tab w:val="num" w:pos="3240"/>
        </w:tabs>
        <w:ind w:left="3240" w:hanging="360"/>
      </w:pPr>
      <w:rPr>
        <w:rFonts w:ascii="Symbol" w:hAnsi="Symbol" w:hint="default"/>
      </w:rPr>
    </w:lvl>
    <w:lvl w:ilvl="4" w:tplc="509E1BA6" w:tentative="1">
      <w:start w:val="1"/>
      <w:numFmt w:val="bullet"/>
      <w:lvlText w:val=""/>
      <w:lvlJc w:val="left"/>
      <w:pPr>
        <w:tabs>
          <w:tab w:val="num" w:pos="3960"/>
        </w:tabs>
        <w:ind w:left="3960" w:hanging="360"/>
      </w:pPr>
      <w:rPr>
        <w:rFonts w:ascii="Symbol" w:hAnsi="Symbol" w:hint="default"/>
      </w:rPr>
    </w:lvl>
    <w:lvl w:ilvl="5" w:tplc="211A5278" w:tentative="1">
      <w:start w:val="1"/>
      <w:numFmt w:val="bullet"/>
      <w:lvlText w:val=""/>
      <w:lvlJc w:val="left"/>
      <w:pPr>
        <w:tabs>
          <w:tab w:val="num" w:pos="4680"/>
        </w:tabs>
        <w:ind w:left="4680" w:hanging="360"/>
      </w:pPr>
      <w:rPr>
        <w:rFonts w:ascii="Symbol" w:hAnsi="Symbol" w:hint="default"/>
      </w:rPr>
    </w:lvl>
    <w:lvl w:ilvl="6" w:tplc="207ED514" w:tentative="1">
      <w:start w:val="1"/>
      <w:numFmt w:val="bullet"/>
      <w:lvlText w:val=""/>
      <w:lvlJc w:val="left"/>
      <w:pPr>
        <w:tabs>
          <w:tab w:val="num" w:pos="5400"/>
        </w:tabs>
        <w:ind w:left="5400" w:hanging="360"/>
      </w:pPr>
      <w:rPr>
        <w:rFonts w:ascii="Symbol" w:hAnsi="Symbol" w:hint="default"/>
      </w:rPr>
    </w:lvl>
    <w:lvl w:ilvl="7" w:tplc="1DFE0280" w:tentative="1">
      <w:start w:val="1"/>
      <w:numFmt w:val="bullet"/>
      <w:lvlText w:val=""/>
      <w:lvlJc w:val="left"/>
      <w:pPr>
        <w:tabs>
          <w:tab w:val="num" w:pos="6120"/>
        </w:tabs>
        <w:ind w:left="6120" w:hanging="360"/>
      </w:pPr>
      <w:rPr>
        <w:rFonts w:ascii="Symbol" w:hAnsi="Symbol" w:hint="default"/>
      </w:rPr>
    </w:lvl>
    <w:lvl w:ilvl="8" w:tplc="2CB81230" w:tentative="1">
      <w:start w:val="1"/>
      <w:numFmt w:val="bullet"/>
      <w:lvlText w:val=""/>
      <w:lvlJc w:val="left"/>
      <w:pPr>
        <w:tabs>
          <w:tab w:val="num" w:pos="6840"/>
        </w:tabs>
        <w:ind w:left="6840" w:hanging="360"/>
      </w:pPr>
      <w:rPr>
        <w:rFonts w:ascii="Symbol" w:hAnsi="Symbol" w:hint="default"/>
      </w:rPr>
    </w:lvl>
  </w:abstractNum>
  <w:abstractNum w:abstractNumId="1">
    <w:nsid w:val="03051668"/>
    <w:multiLevelType w:val="hybridMultilevel"/>
    <w:tmpl w:val="9CDA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B2F66"/>
    <w:multiLevelType w:val="hybridMultilevel"/>
    <w:tmpl w:val="170A5DF0"/>
    <w:lvl w:ilvl="0" w:tplc="53ECD632">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7E1E7A"/>
    <w:multiLevelType w:val="hybridMultilevel"/>
    <w:tmpl w:val="B6E635EC"/>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D7F2B"/>
    <w:multiLevelType w:val="hybridMultilevel"/>
    <w:tmpl w:val="C518DA0A"/>
    <w:lvl w:ilvl="0" w:tplc="F0D6F2DA">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092E91"/>
    <w:multiLevelType w:val="hybridMultilevel"/>
    <w:tmpl w:val="03C4BF74"/>
    <w:lvl w:ilvl="0" w:tplc="917A5CA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F7451E"/>
    <w:multiLevelType w:val="hybridMultilevel"/>
    <w:tmpl w:val="91CA77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F80D8C"/>
    <w:multiLevelType w:val="hybridMultilevel"/>
    <w:tmpl w:val="C9F42A7E"/>
    <w:lvl w:ilvl="0" w:tplc="9D787BA6">
      <w:start w:val="2"/>
      <w:numFmt w:val="lowerLetter"/>
      <w:lvlText w:val="%1."/>
      <w:lvlJc w:val="left"/>
      <w:pPr>
        <w:ind w:left="144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BC94CA3"/>
    <w:multiLevelType w:val="hybridMultilevel"/>
    <w:tmpl w:val="588E9E3E"/>
    <w:lvl w:ilvl="0" w:tplc="04090001">
      <w:start w:val="1"/>
      <w:numFmt w:val="bullet"/>
      <w:lvlText w:val=""/>
      <w:lvlJc w:val="left"/>
      <w:pPr>
        <w:ind w:left="720" w:hanging="360"/>
      </w:pPr>
      <w:rPr>
        <w:rFonts w:ascii="Symbol" w:hAnsi="Symbol" w:hint="default"/>
      </w:rPr>
    </w:lvl>
    <w:lvl w:ilvl="1" w:tplc="BD9A69A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C9430A"/>
    <w:multiLevelType w:val="hybridMultilevel"/>
    <w:tmpl w:val="3A4241FC"/>
    <w:lvl w:ilvl="0" w:tplc="53ECD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E24FB"/>
    <w:multiLevelType w:val="hybridMultilevel"/>
    <w:tmpl w:val="EEE0A2F8"/>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A64C2"/>
    <w:multiLevelType w:val="hybridMultilevel"/>
    <w:tmpl w:val="81C27170"/>
    <w:lvl w:ilvl="0" w:tplc="F0D6F2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80810"/>
    <w:multiLevelType w:val="hybridMultilevel"/>
    <w:tmpl w:val="0DB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DF1D7E"/>
    <w:multiLevelType w:val="hybridMultilevel"/>
    <w:tmpl w:val="918C4372"/>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856F0F"/>
    <w:multiLevelType w:val="hybridMultilevel"/>
    <w:tmpl w:val="C220D18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3E407E"/>
    <w:multiLevelType w:val="hybridMultilevel"/>
    <w:tmpl w:val="A2FC3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CE2FF0"/>
    <w:multiLevelType w:val="hybridMultilevel"/>
    <w:tmpl w:val="A5BCB63E"/>
    <w:lvl w:ilvl="0" w:tplc="A5E248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B2D4A20"/>
    <w:multiLevelType w:val="hybridMultilevel"/>
    <w:tmpl w:val="E7FC5B34"/>
    <w:lvl w:ilvl="0" w:tplc="F0D6F2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9E44C8"/>
    <w:multiLevelType w:val="hybridMultilevel"/>
    <w:tmpl w:val="ECDA05DE"/>
    <w:lvl w:ilvl="0" w:tplc="53ECD632">
      <w:start w:val="1"/>
      <w:numFmt w:val="bullet"/>
      <w:lvlText w:val=""/>
      <w:lvlJc w:val="left"/>
      <w:pPr>
        <w:tabs>
          <w:tab w:val="num" w:pos="720"/>
        </w:tabs>
        <w:ind w:left="720" w:hanging="360"/>
      </w:pPr>
      <w:rPr>
        <w:rFonts w:ascii="Wingdings" w:hAnsi="Wingdings" w:hint="default"/>
      </w:rPr>
    </w:lvl>
    <w:lvl w:ilvl="1" w:tplc="C720BE80">
      <w:start w:val="2349"/>
      <w:numFmt w:val="bullet"/>
      <w:lvlText w:val="•"/>
      <w:lvlJc w:val="left"/>
      <w:pPr>
        <w:tabs>
          <w:tab w:val="num" w:pos="1440"/>
        </w:tabs>
        <w:ind w:left="1440" w:hanging="360"/>
      </w:pPr>
      <w:rPr>
        <w:rFonts w:ascii="Arial" w:hAnsi="Arial" w:hint="default"/>
      </w:rPr>
    </w:lvl>
    <w:lvl w:ilvl="2" w:tplc="C4266324" w:tentative="1">
      <w:start w:val="1"/>
      <w:numFmt w:val="bullet"/>
      <w:lvlText w:val=""/>
      <w:lvlJc w:val="left"/>
      <w:pPr>
        <w:tabs>
          <w:tab w:val="num" w:pos="2160"/>
        </w:tabs>
        <w:ind w:left="2160" w:hanging="360"/>
      </w:pPr>
      <w:rPr>
        <w:rFonts w:ascii="Wingdings" w:hAnsi="Wingdings" w:hint="default"/>
      </w:rPr>
    </w:lvl>
    <w:lvl w:ilvl="3" w:tplc="F424B4D8" w:tentative="1">
      <w:start w:val="1"/>
      <w:numFmt w:val="bullet"/>
      <w:lvlText w:val=""/>
      <w:lvlJc w:val="left"/>
      <w:pPr>
        <w:tabs>
          <w:tab w:val="num" w:pos="2880"/>
        </w:tabs>
        <w:ind w:left="2880" w:hanging="360"/>
      </w:pPr>
      <w:rPr>
        <w:rFonts w:ascii="Wingdings" w:hAnsi="Wingdings" w:hint="default"/>
      </w:rPr>
    </w:lvl>
    <w:lvl w:ilvl="4" w:tplc="4BDA6EDE" w:tentative="1">
      <w:start w:val="1"/>
      <w:numFmt w:val="bullet"/>
      <w:lvlText w:val=""/>
      <w:lvlJc w:val="left"/>
      <w:pPr>
        <w:tabs>
          <w:tab w:val="num" w:pos="3600"/>
        </w:tabs>
        <w:ind w:left="3600" w:hanging="360"/>
      </w:pPr>
      <w:rPr>
        <w:rFonts w:ascii="Wingdings" w:hAnsi="Wingdings" w:hint="default"/>
      </w:rPr>
    </w:lvl>
    <w:lvl w:ilvl="5" w:tplc="A926CA44" w:tentative="1">
      <w:start w:val="1"/>
      <w:numFmt w:val="bullet"/>
      <w:lvlText w:val=""/>
      <w:lvlJc w:val="left"/>
      <w:pPr>
        <w:tabs>
          <w:tab w:val="num" w:pos="4320"/>
        </w:tabs>
        <w:ind w:left="4320" w:hanging="360"/>
      </w:pPr>
      <w:rPr>
        <w:rFonts w:ascii="Wingdings" w:hAnsi="Wingdings" w:hint="default"/>
      </w:rPr>
    </w:lvl>
    <w:lvl w:ilvl="6" w:tplc="42368F82" w:tentative="1">
      <w:start w:val="1"/>
      <w:numFmt w:val="bullet"/>
      <w:lvlText w:val=""/>
      <w:lvlJc w:val="left"/>
      <w:pPr>
        <w:tabs>
          <w:tab w:val="num" w:pos="5040"/>
        </w:tabs>
        <w:ind w:left="5040" w:hanging="360"/>
      </w:pPr>
      <w:rPr>
        <w:rFonts w:ascii="Wingdings" w:hAnsi="Wingdings" w:hint="default"/>
      </w:rPr>
    </w:lvl>
    <w:lvl w:ilvl="7" w:tplc="19C057D8" w:tentative="1">
      <w:start w:val="1"/>
      <w:numFmt w:val="bullet"/>
      <w:lvlText w:val=""/>
      <w:lvlJc w:val="left"/>
      <w:pPr>
        <w:tabs>
          <w:tab w:val="num" w:pos="5760"/>
        </w:tabs>
        <w:ind w:left="5760" w:hanging="360"/>
      </w:pPr>
      <w:rPr>
        <w:rFonts w:ascii="Wingdings" w:hAnsi="Wingdings" w:hint="default"/>
      </w:rPr>
    </w:lvl>
    <w:lvl w:ilvl="8" w:tplc="5A3E51F6" w:tentative="1">
      <w:start w:val="1"/>
      <w:numFmt w:val="bullet"/>
      <w:lvlText w:val=""/>
      <w:lvlJc w:val="left"/>
      <w:pPr>
        <w:tabs>
          <w:tab w:val="num" w:pos="6480"/>
        </w:tabs>
        <w:ind w:left="6480" w:hanging="360"/>
      </w:pPr>
      <w:rPr>
        <w:rFonts w:ascii="Wingdings" w:hAnsi="Wingdings" w:hint="default"/>
      </w:rPr>
    </w:lvl>
  </w:abstractNum>
  <w:abstractNum w:abstractNumId="19">
    <w:nsid w:val="27354A67"/>
    <w:multiLevelType w:val="hybridMultilevel"/>
    <w:tmpl w:val="4CBC2420"/>
    <w:lvl w:ilvl="0" w:tplc="53ECD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4543D"/>
    <w:multiLevelType w:val="hybridMultilevel"/>
    <w:tmpl w:val="1230392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49436F"/>
    <w:multiLevelType w:val="hybridMultilevel"/>
    <w:tmpl w:val="528C319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B5229C5"/>
    <w:multiLevelType w:val="hybridMultilevel"/>
    <w:tmpl w:val="369A0C50"/>
    <w:lvl w:ilvl="0" w:tplc="53ECD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FA73EC"/>
    <w:multiLevelType w:val="hybridMultilevel"/>
    <w:tmpl w:val="F9EA4712"/>
    <w:lvl w:ilvl="0" w:tplc="53ECD63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312413"/>
    <w:multiLevelType w:val="hybridMultilevel"/>
    <w:tmpl w:val="07B61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561A70"/>
    <w:multiLevelType w:val="hybridMultilevel"/>
    <w:tmpl w:val="FD90247A"/>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0806E0"/>
    <w:multiLevelType w:val="hybridMultilevel"/>
    <w:tmpl w:val="FD74EBBC"/>
    <w:lvl w:ilvl="0" w:tplc="917A5CA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5333B2"/>
    <w:multiLevelType w:val="hybridMultilevel"/>
    <w:tmpl w:val="1E94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E213E0"/>
    <w:multiLevelType w:val="hybridMultilevel"/>
    <w:tmpl w:val="474A327A"/>
    <w:lvl w:ilvl="0" w:tplc="53ECD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2A6565"/>
    <w:multiLevelType w:val="hybridMultilevel"/>
    <w:tmpl w:val="0B0E88F2"/>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6B5785"/>
    <w:multiLevelType w:val="hybridMultilevel"/>
    <w:tmpl w:val="7E90C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CB03B4"/>
    <w:multiLevelType w:val="hybridMultilevel"/>
    <w:tmpl w:val="7B5AA632"/>
    <w:lvl w:ilvl="0" w:tplc="53ECD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6329A0"/>
    <w:multiLevelType w:val="hybridMultilevel"/>
    <w:tmpl w:val="44F4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ED489E"/>
    <w:multiLevelType w:val="hybridMultilevel"/>
    <w:tmpl w:val="14600B3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7357AE"/>
    <w:multiLevelType w:val="hybridMultilevel"/>
    <w:tmpl w:val="ECBEBB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C4266324" w:tentative="1">
      <w:start w:val="1"/>
      <w:numFmt w:val="bullet"/>
      <w:lvlText w:val=""/>
      <w:lvlJc w:val="left"/>
      <w:pPr>
        <w:tabs>
          <w:tab w:val="num" w:pos="2520"/>
        </w:tabs>
        <w:ind w:left="2520" w:hanging="360"/>
      </w:pPr>
      <w:rPr>
        <w:rFonts w:ascii="Wingdings" w:hAnsi="Wingdings" w:hint="default"/>
      </w:rPr>
    </w:lvl>
    <w:lvl w:ilvl="3" w:tplc="F424B4D8" w:tentative="1">
      <w:start w:val="1"/>
      <w:numFmt w:val="bullet"/>
      <w:lvlText w:val=""/>
      <w:lvlJc w:val="left"/>
      <w:pPr>
        <w:tabs>
          <w:tab w:val="num" w:pos="3240"/>
        </w:tabs>
        <w:ind w:left="3240" w:hanging="360"/>
      </w:pPr>
      <w:rPr>
        <w:rFonts w:ascii="Wingdings" w:hAnsi="Wingdings" w:hint="default"/>
      </w:rPr>
    </w:lvl>
    <w:lvl w:ilvl="4" w:tplc="4BDA6EDE" w:tentative="1">
      <w:start w:val="1"/>
      <w:numFmt w:val="bullet"/>
      <w:lvlText w:val=""/>
      <w:lvlJc w:val="left"/>
      <w:pPr>
        <w:tabs>
          <w:tab w:val="num" w:pos="3960"/>
        </w:tabs>
        <w:ind w:left="3960" w:hanging="360"/>
      </w:pPr>
      <w:rPr>
        <w:rFonts w:ascii="Wingdings" w:hAnsi="Wingdings" w:hint="default"/>
      </w:rPr>
    </w:lvl>
    <w:lvl w:ilvl="5" w:tplc="A926CA44" w:tentative="1">
      <w:start w:val="1"/>
      <w:numFmt w:val="bullet"/>
      <w:lvlText w:val=""/>
      <w:lvlJc w:val="left"/>
      <w:pPr>
        <w:tabs>
          <w:tab w:val="num" w:pos="4680"/>
        </w:tabs>
        <w:ind w:left="4680" w:hanging="360"/>
      </w:pPr>
      <w:rPr>
        <w:rFonts w:ascii="Wingdings" w:hAnsi="Wingdings" w:hint="default"/>
      </w:rPr>
    </w:lvl>
    <w:lvl w:ilvl="6" w:tplc="42368F82" w:tentative="1">
      <w:start w:val="1"/>
      <w:numFmt w:val="bullet"/>
      <w:lvlText w:val=""/>
      <w:lvlJc w:val="left"/>
      <w:pPr>
        <w:tabs>
          <w:tab w:val="num" w:pos="5400"/>
        </w:tabs>
        <w:ind w:left="5400" w:hanging="360"/>
      </w:pPr>
      <w:rPr>
        <w:rFonts w:ascii="Wingdings" w:hAnsi="Wingdings" w:hint="default"/>
      </w:rPr>
    </w:lvl>
    <w:lvl w:ilvl="7" w:tplc="19C057D8" w:tentative="1">
      <w:start w:val="1"/>
      <w:numFmt w:val="bullet"/>
      <w:lvlText w:val=""/>
      <w:lvlJc w:val="left"/>
      <w:pPr>
        <w:tabs>
          <w:tab w:val="num" w:pos="6120"/>
        </w:tabs>
        <w:ind w:left="6120" w:hanging="360"/>
      </w:pPr>
      <w:rPr>
        <w:rFonts w:ascii="Wingdings" w:hAnsi="Wingdings" w:hint="default"/>
      </w:rPr>
    </w:lvl>
    <w:lvl w:ilvl="8" w:tplc="5A3E51F6" w:tentative="1">
      <w:start w:val="1"/>
      <w:numFmt w:val="bullet"/>
      <w:lvlText w:val=""/>
      <w:lvlJc w:val="left"/>
      <w:pPr>
        <w:tabs>
          <w:tab w:val="num" w:pos="6840"/>
        </w:tabs>
        <w:ind w:left="6840" w:hanging="360"/>
      </w:pPr>
      <w:rPr>
        <w:rFonts w:ascii="Wingdings" w:hAnsi="Wingdings" w:hint="default"/>
      </w:rPr>
    </w:lvl>
  </w:abstractNum>
  <w:abstractNum w:abstractNumId="35">
    <w:nsid w:val="68EB4DBD"/>
    <w:multiLevelType w:val="hybridMultilevel"/>
    <w:tmpl w:val="22D49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2803C5"/>
    <w:multiLevelType w:val="hybridMultilevel"/>
    <w:tmpl w:val="75E2C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931936"/>
    <w:multiLevelType w:val="hybridMultilevel"/>
    <w:tmpl w:val="C88057A4"/>
    <w:lvl w:ilvl="0" w:tplc="53ECD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063F4C"/>
    <w:multiLevelType w:val="hybridMultilevel"/>
    <w:tmpl w:val="14708A00"/>
    <w:lvl w:ilvl="0" w:tplc="53ECD632">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7B34F3"/>
    <w:multiLevelType w:val="hybridMultilevel"/>
    <w:tmpl w:val="12441EE6"/>
    <w:lvl w:ilvl="0" w:tplc="F0D6F2DA">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5BF62B4"/>
    <w:multiLevelType w:val="hybridMultilevel"/>
    <w:tmpl w:val="CFA6B8BA"/>
    <w:lvl w:ilvl="0" w:tplc="A5E248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F544F3"/>
    <w:multiLevelType w:val="hybridMultilevel"/>
    <w:tmpl w:val="AA868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1C0676"/>
    <w:multiLevelType w:val="hybridMultilevel"/>
    <w:tmpl w:val="20E8B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1D1DB8"/>
    <w:multiLevelType w:val="hybridMultilevel"/>
    <w:tmpl w:val="99DACCAC"/>
    <w:lvl w:ilvl="0" w:tplc="53ECD63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C4266324" w:tentative="1">
      <w:start w:val="1"/>
      <w:numFmt w:val="bullet"/>
      <w:lvlText w:val=""/>
      <w:lvlJc w:val="left"/>
      <w:pPr>
        <w:tabs>
          <w:tab w:val="num" w:pos="2160"/>
        </w:tabs>
        <w:ind w:left="2160" w:hanging="360"/>
      </w:pPr>
      <w:rPr>
        <w:rFonts w:ascii="Wingdings" w:hAnsi="Wingdings" w:hint="default"/>
      </w:rPr>
    </w:lvl>
    <w:lvl w:ilvl="3" w:tplc="F424B4D8" w:tentative="1">
      <w:start w:val="1"/>
      <w:numFmt w:val="bullet"/>
      <w:lvlText w:val=""/>
      <w:lvlJc w:val="left"/>
      <w:pPr>
        <w:tabs>
          <w:tab w:val="num" w:pos="2880"/>
        </w:tabs>
        <w:ind w:left="2880" w:hanging="360"/>
      </w:pPr>
      <w:rPr>
        <w:rFonts w:ascii="Wingdings" w:hAnsi="Wingdings" w:hint="default"/>
      </w:rPr>
    </w:lvl>
    <w:lvl w:ilvl="4" w:tplc="4BDA6EDE" w:tentative="1">
      <w:start w:val="1"/>
      <w:numFmt w:val="bullet"/>
      <w:lvlText w:val=""/>
      <w:lvlJc w:val="left"/>
      <w:pPr>
        <w:tabs>
          <w:tab w:val="num" w:pos="3600"/>
        </w:tabs>
        <w:ind w:left="3600" w:hanging="360"/>
      </w:pPr>
      <w:rPr>
        <w:rFonts w:ascii="Wingdings" w:hAnsi="Wingdings" w:hint="default"/>
      </w:rPr>
    </w:lvl>
    <w:lvl w:ilvl="5" w:tplc="A926CA44" w:tentative="1">
      <w:start w:val="1"/>
      <w:numFmt w:val="bullet"/>
      <w:lvlText w:val=""/>
      <w:lvlJc w:val="left"/>
      <w:pPr>
        <w:tabs>
          <w:tab w:val="num" w:pos="4320"/>
        </w:tabs>
        <w:ind w:left="4320" w:hanging="360"/>
      </w:pPr>
      <w:rPr>
        <w:rFonts w:ascii="Wingdings" w:hAnsi="Wingdings" w:hint="default"/>
      </w:rPr>
    </w:lvl>
    <w:lvl w:ilvl="6" w:tplc="42368F82" w:tentative="1">
      <w:start w:val="1"/>
      <w:numFmt w:val="bullet"/>
      <w:lvlText w:val=""/>
      <w:lvlJc w:val="left"/>
      <w:pPr>
        <w:tabs>
          <w:tab w:val="num" w:pos="5040"/>
        </w:tabs>
        <w:ind w:left="5040" w:hanging="360"/>
      </w:pPr>
      <w:rPr>
        <w:rFonts w:ascii="Wingdings" w:hAnsi="Wingdings" w:hint="default"/>
      </w:rPr>
    </w:lvl>
    <w:lvl w:ilvl="7" w:tplc="19C057D8" w:tentative="1">
      <w:start w:val="1"/>
      <w:numFmt w:val="bullet"/>
      <w:lvlText w:val=""/>
      <w:lvlJc w:val="left"/>
      <w:pPr>
        <w:tabs>
          <w:tab w:val="num" w:pos="5760"/>
        </w:tabs>
        <w:ind w:left="5760" w:hanging="360"/>
      </w:pPr>
      <w:rPr>
        <w:rFonts w:ascii="Wingdings" w:hAnsi="Wingdings" w:hint="default"/>
      </w:rPr>
    </w:lvl>
    <w:lvl w:ilvl="8" w:tplc="5A3E51F6" w:tentative="1">
      <w:start w:val="1"/>
      <w:numFmt w:val="bullet"/>
      <w:lvlText w:val=""/>
      <w:lvlJc w:val="left"/>
      <w:pPr>
        <w:tabs>
          <w:tab w:val="num" w:pos="6480"/>
        </w:tabs>
        <w:ind w:left="6480" w:hanging="360"/>
      </w:pPr>
      <w:rPr>
        <w:rFonts w:ascii="Wingdings" w:hAnsi="Wingdings" w:hint="default"/>
      </w:rPr>
    </w:lvl>
  </w:abstractNum>
  <w:abstractNum w:abstractNumId="44">
    <w:nsid w:val="7D881810"/>
    <w:multiLevelType w:val="hybridMultilevel"/>
    <w:tmpl w:val="BE822494"/>
    <w:lvl w:ilvl="0" w:tplc="53ECD632">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43"/>
  </w:num>
  <w:num w:numId="4">
    <w:abstractNumId w:val="42"/>
  </w:num>
  <w:num w:numId="5">
    <w:abstractNumId w:val="34"/>
  </w:num>
  <w:num w:numId="6">
    <w:abstractNumId w:val="25"/>
  </w:num>
  <w:num w:numId="7">
    <w:abstractNumId w:val="10"/>
  </w:num>
  <w:num w:numId="8">
    <w:abstractNumId w:val="17"/>
  </w:num>
  <w:num w:numId="9">
    <w:abstractNumId w:val="39"/>
  </w:num>
  <w:num w:numId="10">
    <w:abstractNumId w:val="6"/>
  </w:num>
  <w:num w:numId="11">
    <w:abstractNumId w:val="3"/>
  </w:num>
  <w:num w:numId="12">
    <w:abstractNumId w:val="27"/>
  </w:num>
  <w:num w:numId="13">
    <w:abstractNumId w:val="36"/>
  </w:num>
  <w:num w:numId="14">
    <w:abstractNumId w:val="33"/>
  </w:num>
  <w:num w:numId="15">
    <w:abstractNumId w:val="35"/>
  </w:num>
  <w:num w:numId="16">
    <w:abstractNumId w:val="20"/>
  </w:num>
  <w:num w:numId="17">
    <w:abstractNumId w:val="13"/>
  </w:num>
  <w:num w:numId="18">
    <w:abstractNumId w:val="5"/>
  </w:num>
  <w:num w:numId="19">
    <w:abstractNumId w:val="26"/>
  </w:num>
  <w:num w:numId="20">
    <w:abstractNumId w:val="7"/>
  </w:num>
  <w:num w:numId="21">
    <w:abstractNumId w:val="0"/>
  </w:num>
  <w:num w:numId="22">
    <w:abstractNumId w:val="41"/>
  </w:num>
  <w:num w:numId="23">
    <w:abstractNumId w:val="40"/>
  </w:num>
  <w:num w:numId="24">
    <w:abstractNumId w:val="16"/>
  </w:num>
  <w:num w:numId="25">
    <w:abstractNumId w:val="11"/>
  </w:num>
  <w:num w:numId="26">
    <w:abstractNumId w:val="4"/>
  </w:num>
  <w:num w:numId="27">
    <w:abstractNumId w:val="21"/>
  </w:num>
  <w:num w:numId="28">
    <w:abstractNumId w:val="32"/>
  </w:num>
  <w:num w:numId="29">
    <w:abstractNumId w:val="8"/>
  </w:num>
  <w:num w:numId="30">
    <w:abstractNumId w:val="23"/>
  </w:num>
  <w:num w:numId="31">
    <w:abstractNumId w:val="38"/>
  </w:num>
  <w:num w:numId="32">
    <w:abstractNumId w:val="19"/>
  </w:num>
  <w:num w:numId="33">
    <w:abstractNumId w:val="24"/>
  </w:num>
  <w:num w:numId="34">
    <w:abstractNumId w:val="15"/>
  </w:num>
  <w:num w:numId="35">
    <w:abstractNumId w:val="22"/>
  </w:num>
  <w:num w:numId="36">
    <w:abstractNumId w:val="30"/>
  </w:num>
  <w:num w:numId="37">
    <w:abstractNumId w:val="37"/>
  </w:num>
  <w:num w:numId="38">
    <w:abstractNumId w:val="28"/>
  </w:num>
  <w:num w:numId="39">
    <w:abstractNumId w:val="44"/>
  </w:num>
  <w:num w:numId="40">
    <w:abstractNumId w:val="2"/>
  </w:num>
  <w:num w:numId="41">
    <w:abstractNumId w:val="14"/>
  </w:num>
  <w:num w:numId="42">
    <w:abstractNumId w:val="12"/>
  </w:num>
  <w:num w:numId="43">
    <w:abstractNumId w:val="1"/>
  </w:num>
  <w:num w:numId="44">
    <w:abstractNumId w:val="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A5"/>
    <w:rsid w:val="000E0261"/>
    <w:rsid w:val="000F3811"/>
    <w:rsid w:val="0018150A"/>
    <w:rsid w:val="00354022"/>
    <w:rsid w:val="003A57E9"/>
    <w:rsid w:val="003C0D0F"/>
    <w:rsid w:val="003C0E0D"/>
    <w:rsid w:val="003F7FE7"/>
    <w:rsid w:val="00750653"/>
    <w:rsid w:val="00864B77"/>
    <w:rsid w:val="008E1998"/>
    <w:rsid w:val="00975B2F"/>
    <w:rsid w:val="0099078B"/>
    <w:rsid w:val="00A61A2D"/>
    <w:rsid w:val="00AC5635"/>
    <w:rsid w:val="00B87B3D"/>
    <w:rsid w:val="00BA2ADC"/>
    <w:rsid w:val="00BC68A5"/>
    <w:rsid w:val="00C67D01"/>
    <w:rsid w:val="00C82E49"/>
    <w:rsid w:val="00DB3134"/>
    <w:rsid w:val="00E23590"/>
    <w:rsid w:val="00E75383"/>
    <w:rsid w:val="00F4245F"/>
    <w:rsid w:val="00F73585"/>
    <w:rsid w:val="00F8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A5"/>
    <w:rPr>
      <w:sz w:val="22"/>
    </w:rPr>
  </w:style>
  <w:style w:type="paragraph" w:styleId="Heading1">
    <w:name w:val="heading 1"/>
    <w:basedOn w:val="Normal"/>
    <w:next w:val="Normal"/>
    <w:link w:val="Heading1Char"/>
    <w:uiPriority w:val="9"/>
    <w:qFormat/>
    <w:rsid w:val="00BC68A5"/>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864B77"/>
    <w:pPr>
      <w:spacing w:before="240" w:after="80"/>
      <w:jc w:val="left"/>
      <w:outlineLvl w:val="1"/>
    </w:pPr>
    <w:rPr>
      <w:b/>
      <w:spacing w:val="5"/>
      <w:sz w:val="28"/>
      <w:szCs w:val="28"/>
    </w:rPr>
  </w:style>
  <w:style w:type="paragraph" w:styleId="Heading3">
    <w:name w:val="heading 3"/>
    <w:basedOn w:val="Normal"/>
    <w:next w:val="Normal"/>
    <w:link w:val="Heading3Char"/>
    <w:uiPriority w:val="9"/>
    <w:unhideWhenUsed/>
    <w:qFormat/>
    <w:rsid w:val="00B87B3D"/>
    <w:pPr>
      <w:jc w:val="left"/>
      <w:outlineLvl w:val="2"/>
    </w:pPr>
    <w:rPr>
      <w:rFonts w:ascii="Helvetica" w:hAnsi="Helvetica"/>
      <w:b/>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A5"/>
    <w:rPr>
      <w:b/>
      <w:smallCaps/>
      <w:spacing w:val="5"/>
      <w:sz w:val="32"/>
      <w:szCs w:val="32"/>
    </w:rPr>
  </w:style>
  <w:style w:type="character" w:customStyle="1" w:styleId="Heading2Char">
    <w:name w:val="Heading 2 Char"/>
    <w:basedOn w:val="DefaultParagraphFont"/>
    <w:link w:val="Heading2"/>
    <w:uiPriority w:val="9"/>
    <w:rsid w:val="00864B77"/>
    <w:rPr>
      <w:b/>
      <w:spacing w:val="5"/>
      <w:sz w:val="28"/>
      <w:szCs w:val="28"/>
    </w:rPr>
  </w:style>
  <w:style w:type="character" w:customStyle="1" w:styleId="Heading3Char">
    <w:name w:val="Heading 3 Char"/>
    <w:basedOn w:val="DefaultParagraphFont"/>
    <w:link w:val="Heading3"/>
    <w:uiPriority w:val="9"/>
    <w:rsid w:val="00B87B3D"/>
    <w:rPr>
      <w:rFonts w:ascii="Helvetica" w:hAnsi="Helvetica"/>
      <w:b/>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F876AA"/>
    <w:rPr>
      <w:rFonts w:ascii="Helvetica" w:hAnsi="Helvetica"/>
      <w:b/>
      <w:sz w:val="24"/>
      <w:szCs w:val="24"/>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NormalWeb">
    <w:name w:val="Normal (Web)"/>
    <w:basedOn w:val="Normal"/>
    <w:uiPriority w:val="99"/>
    <w:unhideWhenUsed/>
    <w:rsid w:val="00BC68A5"/>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59"/>
    <w:rsid w:val="00BC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50A"/>
    <w:rPr>
      <w:color w:val="0000FF" w:themeColor="hyperlink"/>
      <w:u w:val="single"/>
    </w:rPr>
  </w:style>
  <w:style w:type="paragraph" w:styleId="BalloonText">
    <w:name w:val="Balloon Text"/>
    <w:basedOn w:val="Normal"/>
    <w:link w:val="BalloonTextChar"/>
    <w:uiPriority w:val="99"/>
    <w:semiHidden/>
    <w:unhideWhenUsed/>
    <w:rsid w:val="00E23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A5"/>
    <w:rPr>
      <w:sz w:val="22"/>
    </w:rPr>
  </w:style>
  <w:style w:type="paragraph" w:styleId="Heading1">
    <w:name w:val="heading 1"/>
    <w:basedOn w:val="Normal"/>
    <w:next w:val="Normal"/>
    <w:link w:val="Heading1Char"/>
    <w:uiPriority w:val="9"/>
    <w:qFormat/>
    <w:rsid w:val="00BC68A5"/>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864B77"/>
    <w:pPr>
      <w:spacing w:before="240" w:after="80"/>
      <w:jc w:val="left"/>
      <w:outlineLvl w:val="1"/>
    </w:pPr>
    <w:rPr>
      <w:b/>
      <w:spacing w:val="5"/>
      <w:sz w:val="28"/>
      <w:szCs w:val="28"/>
    </w:rPr>
  </w:style>
  <w:style w:type="paragraph" w:styleId="Heading3">
    <w:name w:val="heading 3"/>
    <w:basedOn w:val="Normal"/>
    <w:next w:val="Normal"/>
    <w:link w:val="Heading3Char"/>
    <w:uiPriority w:val="9"/>
    <w:unhideWhenUsed/>
    <w:qFormat/>
    <w:rsid w:val="00B87B3D"/>
    <w:pPr>
      <w:jc w:val="left"/>
      <w:outlineLvl w:val="2"/>
    </w:pPr>
    <w:rPr>
      <w:rFonts w:ascii="Helvetica" w:hAnsi="Helvetica"/>
      <w:b/>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A5"/>
    <w:rPr>
      <w:b/>
      <w:smallCaps/>
      <w:spacing w:val="5"/>
      <w:sz w:val="32"/>
      <w:szCs w:val="32"/>
    </w:rPr>
  </w:style>
  <w:style w:type="character" w:customStyle="1" w:styleId="Heading2Char">
    <w:name w:val="Heading 2 Char"/>
    <w:basedOn w:val="DefaultParagraphFont"/>
    <w:link w:val="Heading2"/>
    <w:uiPriority w:val="9"/>
    <w:rsid w:val="00864B77"/>
    <w:rPr>
      <w:b/>
      <w:spacing w:val="5"/>
      <w:sz w:val="28"/>
      <w:szCs w:val="28"/>
    </w:rPr>
  </w:style>
  <w:style w:type="character" w:customStyle="1" w:styleId="Heading3Char">
    <w:name w:val="Heading 3 Char"/>
    <w:basedOn w:val="DefaultParagraphFont"/>
    <w:link w:val="Heading3"/>
    <w:uiPriority w:val="9"/>
    <w:rsid w:val="00B87B3D"/>
    <w:rPr>
      <w:rFonts w:ascii="Helvetica" w:hAnsi="Helvetica"/>
      <w:b/>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F876AA"/>
    <w:rPr>
      <w:rFonts w:ascii="Helvetica" w:hAnsi="Helvetica"/>
      <w:b/>
      <w:sz w:val="24"/>
      <w:szCs w:val="24"/>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NormalWeb">
    <w:name w:val="Normal (Web)"/>
    <w:basedOn w:val="Normal"/>
    <w:uiPriority w:val="99"/>
    <w:unhideWhenUsed/>
    <w:rsid w:val="00BC68A5"/>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59"/>
    <w:rsid w:val="00BC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50A"/>
    <w:rPr>
      <w:color w:val="0000FF" w:themeColor="hyperlink"/>
      <w:u w:val="single"/>
    </w:rPr>
  </w:style>
  <w:style w:type="paragraph" w:styleId="BalloonText">
    <w:name w:val="Balloon Text"/>
    <w:basedOn w:val="Normal"/>
    <w:link w:val="BalloonTextChar"/>
    <w:uiPriority w:val="99"/>
    <w:semiHidden/>
    <w:unhideWhenUsed/>
    <w:rsid w:val="00E23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8895">
      <w:bodyDiv w:val="1"/>
      <w:marLeft w:val="0"/>
      <w:marRight w:val="0"/>
      <w:marTop w:val="0"/>
      <w:marBottom w:val="0"/>
      <w:divBdr>
        <w:top w:val="none" w:sz="0" w:space="0" w:color="auto"/>
        <w:left w:val="none" w:sz="0" w:space="0" w:color="auto"/>
        <w:bottom w:val="none" w:sz="0" w:space="0" w:color="auto"/>
        <w:right w:val="none" w:sz="0" w:space="0" w:color="auto"/>
      </w:divBdr>
      <w:divsChild>
        <w:div w:id="293144907">
          <w:marLeft w:val="1440"/>
          <w:marRight w:val="0"/>
          <w:marTop w:val="0"/>
          <w:marBottom w:val="240"/>
          <w:divBdr>
            <w:top w:val="none" w:sz="0" w:space="0" w:color="auto"/>
            <w:left w:val="none" w:sz="0" w:space="0" w:color="auto"/>
            <w:bottom w:val="none" w:sz="0" w:space="0" w:color="auto"/>
            <w:right w:val="none" w:sz="0" w:space="0" w:color="auto"/>
          </w:divBdr>
        </w:div>
      </w:divsChild>
    </w:div>
    <w:div w:id="314991676">
      <w:bodyDiv w:val="1"/>
      <w:marLeft w:val="0"/>
      <w:marRight w:val="0"/>
      <w:marTop w:val="0"/>
      <w:marBottom w:val="0"/>
      <w:divBdr>
        <w:top w:val="none" w:sz="0" w:space="0" w:color="auto"/>
        <w:left w:val="none" w:sz="0" w:space="0" w:color="auto"/>
        <w:bottom w:val="none" w:sz="0" w:space="0" w:color="auto"/>
        <w:right w:val="none" w:sz="0" w:space="0" w:color="auto"/>
      </w:divBdr>
      <w:divsChild>
        <w:div w:id="525338413">
          <w:marLeft w:val="720"/>
          <w:marRight w:val="0"/>
          <w:marTop w:val="0"/>
          <w:marBottom w:val="120"/>
          <w:divBdr>
            <w:top w:val="none" w:sz="0" w:space="0" w:color="auto"/>
            <w:left w:val="none" w:sz="0" w:space="0" w:color="auto"/>
            <w:bottom w:val="none" w:sz="0" w:space="0" w:color="auto"/>
            <w:right w:val="none" w:sz="0" w:space="0" w:color="auto"/>
          </w:divBdr>
        </w:div>
        <w:div w:id="1090857272">
          <w:marLeft w:val="1440"/>
          <w:marRight w:val="0"/>
          <w:marTop w:val="0"/>
          <w:marBottom w:val="240"/>
          <w:divBdr>
            <w:top w:val="none" w:sz="0" w:space="0" w:color="auto"/>
            <w:left w:val="none" w:sz="0" w:space="0" w:color="auto"/>
            <w:bottom w:val="none" w:sz="0" w:space="0" w:color="auto"/>
            <w:right w:val="none" w:sz="0" w:space="0" w:color="auto"/>
          </w:divBdr>
        </w:div>
        <w:div w:id="1910075830">
          <w:marLeft w:val="720"/>
          <w:marRight w:val="0"/>
          <w:marTop w:val="0"/>
          <w:marBottom w:val="120"/>
          <w:divBdr>
            <w:top w:val="none" w:sz="0" w:space="0" w:color="auto"/>
            <w:left w:val="none" w:sz="0" w:space="0" w:color="auto"/>
            <w:bottom w:val="none" w:sz="0" w:space="0" w:color="auto"/>
            <w:right w:val="none" w:sz="0" w:space="0" w:color="auto"/>
          </w:divBdr>
        </w:div>
        <w:div w:id="1132748562">
          <w:marLeft w:val="1555"/>
          <w:marRight w:val="0"/>
          <w:marTop w:val="0"/>
          <w:marBottom w:val="120"/>
          <w:divBdr>
            <w:top w:val="none" w:sz="0" w:space="0" w:color="auto"/>
            <w:left w:val="none" w:sz="0" w:space="0" w:color="auto"/>
            <w:bottom w:val="none" w:sz="0" w:space="0" w:color="auto"/>
            <w:right w:val="none" w:sz="0" w:space="0" w:color="auto"/>
          </w:divBdr>
        </w:div>
        <w:div w:id="1191919488">
          <w:marLeft w:val="720"/>
          <w:marRight w:val="0"/>
          <w:marTop w:val="0"/>
          <w:marBottom w:val="120"/>
          <w:divBdr>
            <w:top w:val="none" w:sz="0" w:space="0" w:color="auto"/>
            <w:left w:val="none" w:sz="0" w:space="0" w:color="auto"/>
            <w:bottom w:val="none" w:sz="0" w:space="0" w:color="auto"/>
            <w:right w:val="none" w:sz="0" w:space="0" w:color="auto"/>
          </w:divBdr>
        </w:div>
        <w:div w:id="982124391">
          <w:marLeft w:val="1440"/>
          <w:marRight w:val="0"/>
          <w:marTop w:val="0"/>
          <w:marBottom w:val="0"/>
          <w:divBdr>
            <w:top w:val="none" w:sz="0" w:space="0" w:color="auto"/>
            <w:left w:val="none" w:sz="0" w:space="0" w:color="auto"/>
            <w:bottom w:val="none" w:sz="0" w:space="0" w:color="auto"/>
            <w:right w:val="none" w:sz="0" w:space="0" w:color="auto"/>
          </w:divBdr>
        </w:div>
        <w:div w:id="998583318">
          <w:marLeft w:val="1440"/>
          <w:marRight w:val="0"/>
          <w:marTop w:val="0"/>
          <w:marBottom w:val="0"/>
          <w:divBdr>
            <w:top w:val="none" w:sz="0" w:space="0" w:color="auto"/>
            <w:left w:val="none" w:sz="0" w:space="0" w:color="auto"/>
            <w:bottom w:val="none" w:sz="0" w:space="0" w:color="auto"/>
            <w:right w:val="none" w:sz="0" w:space="0" w:color="auto"/>
          </w:divBdr>
        </w:div>
        <w:div w:id="124812247">
          <w:marLeft w:val="1440"/>
          <w:marRight w:val="0"/>
          <w:marTop w:val="0"/>
          <w:marBottom w:val="0"/>
          <w:divBdr>
            <w:top w:val="none" w:sz="0" w:space="0" w:color="auto"/>
            <w:left w:val="none" w:sz="0" w:space="0" w:color="auto"/>
            <w:bottom w:val="none" w:sz="0" w:space="0" w:color="auto"/>
            <w:right w:val="none" w:sz="0" w:space="0" w:color="auto"/>
          </w:divBdr>
        </w:div>
      </w:divsChild>
    </w:div>
    <w:div w:id="350962053">
      <w:bodyDiv w:val="1"/>
      <w:marLeft w:val="0"/>
      <w:marRight w:val="0"/>
      <w:marTop w:val="0"/>
      <w:marBottom w:val="0"/>
      <w:divBdr>
        <w:top w:val="none" w:sz="0" w:space="0" w:color="auto"/>
        <w:left w:val="none" w:sz="0" w:space="0" w:color="auto"/>
        <w:bottom w:val="none" w:sz="0" w:space="0" w:color="auto"/>
        <w:right w:val="none" w:sz="0" w:space="0" w:color="auto"/>
      </w:divBdr>
    </w:div>
    <w:div w:id="663167093">
      <w:bodyDiv w:val="1"/>
      <w:marLeft w:val="0"/>
      <w:marRight w:val="0"/>
      <w:marTop w:val="0"/>
      <w:marBottom w:val="0"/>
      <w:divBdr>
        <w:top w:val="none" w:sz="0" w:space="0" w:color="auto"/>
        <w:left w:val="none" w:sz="0" w:space="0" w:color="auto"/>
        <w:bottom w:val="none" w:sz="0" w:space="0" w:color="auto"/>
        <w:right w:val="none" w:sz="0" w:space="0" w:color="auto"/>
      </w:divBdr>
      <w:divsChild>
        <w:div w:id="334462522">
          <w:marLeft w:val="605"/>
          <w:marRight w:val="0"/>
          <w:marTop w:val="0"/>
          <w:marBottom w:val="0"/>
          <w:divBdr>
            <w:top w:val="none" w:sz="0" w:space="0" w:color="auto"/>
            <w:left w:val="none" w:sz="0" w:space="0" w:color="auto"/>
            <w:bottom w:val="none" w:sz="0" w:space="0" w:color="auto"/>
            <w:right w:val="none" w:sz="0" w:space="0" w:color="auto"/>
          </w:divBdr>
        </w:div>
        <w:div w:id="1422796325">
          <w:marLeft w:val="605"/>
          <w:marRight w:val="0"/>
          <w:marTop w:val="0"/>
          <w:marBottom w:val="0"/>
          <w:divBdr>
            <w:top w:val="none" w:sz="0" w:space="0" w:color="auto"/>
            <w:left w:val="none" w:sz="0" w:space="0" w:color="auto"/>
            <w:bottom w:val="none" w:sz="0" w:space="0" w:color="auto"/>
            <w:right w:val="none" w:sz="0" w:space="0" w:color="auto"/>
          </w:divBdr>
        </w:div>
        <w:div w:id="1904556503">
          <w:marLeft w:val="893"/>
          <w:marRight w:val="0"/>
          <w:marTop w:val="0"/>
          <w:marBottom w:val="0"/>
          <w:divBdr>
            <w:top w:val="none" w:sz="0" w:space="0" w:color="auto"/>
            <w:left w:val="none" w:sz="0" w:space="0" w:color="auto"/>
            <w:bottom w:val="none" w:sz="0" w:space="0" w:color="auto"/>
            <w:right w:val="none" w:sz="0" w:space="0" w:color="auto"/>
          </w:divBdr>
        </w:div>
        <w:div w:id="1653944959">
          <w:marLeft w:val="893"/>
          <w:marRight w:val="0"/>
          <w:marTop w:val="0"/>
          <w:marBottom w:val="240"/>
          <w:divBdr>
            <w:top w:val="none" w:sz="0" w:space="0" w:color="auto"/>
            <w:left w:val="none" w:sz="0" w:space="0" w:color="auto"/>
            <w:bottom w:val="none" w:sz="0" w:space="0" w:color="auto"/>
            <w:right w:val="none" w:sz="0" w:space="0" w:color="auto"/>
          </w:divBdr>
        </w:div>
        <w:div w:id="144974365">
          <w:marLeft w:val="605"/>
          <w:marRight w:val="0"/>
          <w:marTop w:val="0"/>
          <w:marBottom w:val="0"/>
          <w:divBdr>
            <w:top w:val="none" w:sz="0" w:space="0" w:color="auto"/>
            <w:left w:val="none" w:sz="0" w:space="0" w:color="auto"/>
            <w:bottom w:val="none" w:sz="0" w:space="0" w:color="auto"/>
            <w:right w:val="none" w:sz="0" w:space="0" w:color="auto"/>
          </w:divBdr>
        </w:div>
        <w:div w:id="187060610">
          <w:marLeft w:val="893"/>
          <w:marRight w:val="0"/>
          <w:marTop w:val="0"/>
          <w:marBottom w:val="0"/>
          <w:divBdr>
            <w:top w:val="none" w:sz="0" w:space="0" w:color="auto"/>
            <w:left w:val="none" w:sz="0" w:space="0" w:color="auto"/>
            <w:bottom w:val="none" w:sz="0" w:space="0" w:color="auto"/>
            <w:right w:val="none" w:sz="0" w:space="0" w:color="auto"/>
          </w:divBdr>
        </w:div>
        <w:div w:id="746684385">
          <w:marLeft w:val="893"/>
          <w:marRight w:val="0"/>
          <w:marTop w:val="0"/>
          <w:marBottom w:val="0"/>
          <w:divBdr>
            <w:top w:val="none" w:sz="0" w:space="0" w:color="auto"/>
            <w:left w:val="none" w:sz="0" w:space="0" w:color="auto"/>
            <w:bottom w:val="none" w:sz="0" w:space="0" w:color="auto"/>
            <w:right w:val="none" w:sz="0" w:space="0" w:color="auto"/>
          </w:divBdr>
        </w:div>
        <w:div w:id="1646230528">
          <w:marLeft w:val="893"/>
          <w:marRight w:val="0"/>
          <w:marTop w:val="0"/>
          <w:marBottom w:val="0"/>
          <w:divBdr>
            <w:top w:val="none" w:sz="0" w:space="0" w:color="auto"/>
            <w:left w:val="none" w:sz="0" w:space="0" w:color="auto"/>
            <w:bottom w:val="none" w:sz="0" w:space="0" w:color="auto"/>
            <w:right w:val="none" w:sz="0" w:space="0" w:color="auto"/>
          </w:divBdr>
        </w:div>
        <w:div w:id="1728258652">
          <w:marLeft w:val="893"/>
          <w:marRight w:val="0"/>
          <w:marTop w:val="0"/>
          <w:marBottom w:val="0"/>
          <w:divBdr>
            <w:top w:val="none" w:sz="0" w:space="0" w:color="auto"/>
            <w:left w:val="none" w:sz="0" w:space="0" w:color="auto"/>
            <w:bottom w:val="none" w:sz="0" w:space="0" w:color="auto"/>
            <w:right w:val="none" w:sz="0" w:space="0" w:color="auto"/>
          </w:divBdr>
        </w:div>
      </w:divsChild>
    </w:div>
    <w:div w:id="1013262122">
      <w:bodyDiv w:val="1"/>
      <w:marLeft w:val="0"/>
      <w:marRight w:val="0"/>
      <w:marTop w:val="0"/>
      <w:marBottom w:val="0"/>
      <w:divBdr>
        <w:top w:val="none" w:sz="0" w:space="0" w:color="auto"/>
        <w:left w:val="none" w:sz="0" w:space="0" w:color="auto"/>
        <w:bottom w:val="none" w:sz="0" w:space="0" w:color="auto"/>
        <w:right w:val="none" w:sz="0" w:space="0" w:color="auto"/>
      </w:divBdr>
    </w:div>
    <w:div w:id="1089345956">
      <w:bodyDiv w:val="1"/>
      <w:marLeft w:val="0"/>
      <w:marRight w:val="0"/>
      <w:marTop w:val="0"/>
      <w:marBottom w:val="0"/>
      <w:divBdr>
        <w:top w:val="none" w:sz="0" w:space="0" w:color="auto"/>
        <w:left w:val="none" w:sz="0" w:space="0" w:color="auto"/>
        <w:bottom w:val="none" w:sz="0" w:space="0" w:color="auto"/>
        <w:right w:val="none" w:sz="0" w:space="0" w:color="auto"/>
      </w:divBdr>
    </w:div>
    <w:div w:id="1226254720">
      <w:bodyDiv w:val="1"/>
      <w:marLeft w:val="0"/>
      <w:marRight w:val="0"/>
      <w:marTop w:val="0"/>
      <w:marBottom w:val="0"/>
      <w:divBdr>
        <w:top w:val="none" w:sz="0" w:space="0" w:color="auto"/>
        <w:left w:val="none" w:sz="0" w:space="0" w:color="auto"/>
        <w:bottom w:val="none" w:sz="0" w:space="0" w:color="auto"/>
        <w:right w:val="none" w:sz="0" w:space="0" w:color="auto"/>
      </w:divBdr>
      <w:divsChild>
        <w:div w:id="1499072749">
          <w:marLeft w:val="605"/>
          <w:marRight w:val="0"/>
          <w:marTop w:val="0"/>
          <w:marBottom w:val="240"/>
          <w:divBdr>
            <w:top w:val="none" w:sz="0" w:space="0" w:color="auto"/>
            <w:left w:val="none" w:sz="0" w:space="0" w:color="auto"/>
            <w:bottom w:val="none" w:sz="0" w:space="0" w:color="auto"/>
            <w:right w:val="none" w:sz="0" w:space="0" w:color="auto"/>
          </w:divBdr>
        </w:div>
        <w:div w:id="1666085095">
          <w:marLeft w:val="605"/>
          <w:marRight w:val="0"/>
          <w:marTop w:val="0"/>
          <w:marBottom w:val="240"/>
          <w:divBdr>
            <w:top w:val="none" w:sz="0" w:space="0" w:color="auto"/>
            <w:left w:val="none" w:sz="0" w:space="0" w:color="auto"/>
            <w:bottom w:val="none" w:sz="0" w:space="0" w:color="auto"/>
            <w:right w:val="none" w:sz="0" w:space="0" w:color="auto"/>
          </w:divBdr>
        </w:div>
        <w:div w:id="1104571418">
          <w:marLeft w:val="605"/>
          <w:marRight w:val="0"/>
          <w:marTop w:val="0"/>
          <w:marBottom w:val="240"/>
          <w:divBdr>
            <w:top w:val="none" w:sz="0" w:space="0" w:color="auto"/>
            <w:left w:val="none" w:sz="0" w:space="0" w:color="auto"/>
            <w:bottom w:val="none" w:sz="0" w:space="0" w:color="auto"/>
            <w:right w:val="none" w:sz="0" w:space="0" w:color="auto"/>
          </w:divBdr>
        </w:div>
        <w:div w:id="55780584">
          <w:marLeft w:val="605"/>
          <w:marRight w:val="0"/>
          <w:marTop w:val="0"/>
          <w:marBottom w:val="240"/>
          <w:divBdr>
            <w:top w:val="none" w:sz="0" w:space="0" w:color="auto"/>
            <w:left w:val="none" w:sz="0" w:space="0" w:color="auto"/>
            <w:bottom w:val="none" w:sz="0" w:space="0" w:color="auto"/>
            <w:right w:val="none" w:sz="0" w:space="0" w:color="auto"/>
          </w:divBdr>
        </w:div>
        <w:div w:id="347416087">
          <w:marLeft w:val="605"/>
          <w:marRight w:val="0"/>
          <w:marTop w:val="0"/>
          <w:marBottom w:val="240"/>
          <w:divBdr>
            <w:top w:val="none" w:sz="0" w:space="0" w:color="auto"/>
            <w:left w:val="none" w:sz="0" w:space="0" w:color="auto"/>
            <w:bottom w:val="none" w:sz="0" w:space="0" w:color="auto"/>
            <w:right w:val="none" w:sz="0" w:space="0" w:color="auto"/>
          </w:divBdr>
        </w:div>
      </w:divsChild>
    </w:div>
    <w:div w:id="1632512898">
      <w:bodyDiv w:val="1"/>
      <w:marLeft w:val="0"/>
      <w:marRight w:val="0"/>
      <w:marTop w:val="0"/>
      <w:marBottom w:val="0"/>
      <w:divBdr>
        <w:top w:val="none" w:sz="0" w:space="0" w:color="auto"/>
        <w:left w:val="none" w:sz="0" w:space="0" w:color="auto"/>
        <w:bottom w:val="none" w:sz="0" w:space="0" w:color="auto"/>
        <w:right w:val="none" w:sz="0" w:space="0" w:color="auto"/>
      </w:divBdr>
      <w:divsChild>
        <w:div w:id="1244219606">
          <w:marLeft w:val="1440"/>
          <w:marRight w:val="0"/>
          <w:marTop w:val="0"/>
          <w:marBottom w:val="240"/>
          <w:divBdr>
            <w:top w:val="none" w:sz="0" w:space="0" w:color="auto"/>
            <w:left w:val="none" w:sz="0" w:space="0" w:color="auto"/>
            <w:bottom w:val="none" w:sz="0" w:space="0" w:color="auto"/>
            <w:right w:val="none" w:sz="0" w:space="0" w:color="auto"/>
          </w:divBdr>
        </w:div>
      </w:divsChild>
    </w:div>
    <w:div w:id="1692605256">
      <w:bodyDiv w:val="1"/>
      <w:marLeft w:val="0"/>
      <w:marRight w:val="0"/>
      <w:marTop w:val="0"/>
      <w:marBottom w:val="0"/>
      <w:divBdr>
        <w:top w:val="none" w:sz="0" w:space="0" w:color="auto"/>
        <w:left w:val="none" w:sz="0" w:space="0" w:color="auto"/>
        <w:bottom w:val="none" w:sz="0" w:space="0" w:color="auto"/>
        <w:right w:val="none" w:sz="0" w:space="0" w:color="auto"/>
      </w:divBdr>
    </w:div>
    <w:div w:id="1950118788">
      <w:bodyDiv w:val="1"/>
      <w:marLeft w:val="0"/>
      <w:marRight w:val="0"/>
      <w:marTop w:val="0"/>
      <w:marBottom w:val="0"/>
      <w:divBdr>
        <w:top w:val="none" w:sz="0" w:space="0" w:color="auto"/>
        <w:left w:val="none" w:sz="0" w:space="0" w:color="auto"/>
        <w:bottom w:val="none" w:sz="0" w:space="0" w:color="auto"/>
        <w:right w:val="none" w:sz="0" w:space="0" w:color="auto"/>
      </w:divBdr>
    </w:div>
    <w:div w:id="20323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oha/HPA/ANALYTICS/CCOMetrics/2020-CCO-incentive-measure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12</Pages>
  <Words>2519</Words>
  <Characters>14362</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Slide 1</vt:lpstr>
      <vt:lpstr>Commonwealth of Massachusetts</vt:lpstr>
      <vt:lpstr>Slide 2</vt:lpstr>
      <vt:lpstr>    Agenda</vt:lpstr>
      <vt:lpstr>Slide 3</vt:lpstr>
      <vt:lpstr>    Agenda</vt:lpstr>
      <vt:lpstr>Slide 4</vt:lpstr>
      <vt:lpstr>    Agenda</vt:lpstr>
      <vt:lpstr/>
      <vt:lpstr>Slide 5</vt:lpstr>
      <vt:lpstr>    Review Updated Taskforce Charter</vt:lpstr>
      <vt:lpstr>Slide 6</vt:lpstr>
      <vt:lpstr>    Agenda</vt:lpstr>
      <vt:lpstr>Slide 7</vt:lpstr>
      <vt:lpstr>    Developmental Measure Activity</vt:lpstr>
      <vt:lpstr/>
      <vt:lpstr>Slide 8</vt:lpstr>
      <vt:lpstr>    Depression Remission or Response for Adolescents and Adults</vt:lpstr>
      <vt:lpstr>Slide 9</vt:lpstr>
      <vt:lpstr>    Depression Remission or Response for Adolescents and Adults</vt:lpstr>
      <vt:lpstr>        Key Takeaways</vt:lpstr>
      <vt:lpstr/>
      <vt:lpstr>Slide 10</vt:lpstr>
      <vt:lpstr>    Depression Remission or Response for Adolescents and Adults</vt:lpstr>
      <vt:lpstr>        Key Takeaways (continued)</vt:lpstr>
      <vt:lpstr>Slide 11</vt:lpstr>
      <vt:lpstr>    Depression Measures in the 2020 Aligned Measure Set</vt:lpstr>
      <vt:lpstr>Slide 12</vt:lpstr>
      <vt:lpstr>    Depression Measure Recommendations for the 2021 Aligned Measure Set</vt:lpstr>
      <vt:lpstr>Slide 13</vt:lpstr>
      <vt:lpstr>    Depression Measure Recommendations for the 2021 Aligned Measure Set </vt:lpstr>
      <vt:lpstr>Slide 14</vt:lpstr>
      <vt:lpstr>    Kindergarten Readiness</vt:lpstr>
      <vt:lpstr>Slide 15</vt:lpstr>
      <vt:lpstr>    Oregon’s Health Aspects of Kindergarten Readiness Technical Workgroup</vt:lpstr>
      <vt:lpstr>Slide 16</vt:lpstr>
      <vt:lpstr>    Oregon Kindergarten Readiness Measurement Strategy</vt:lpstr>
      <vt:lpstr>Slide 17</vt:lpstr>
      <vt:lpstr>    Oregon Kindergarten Readiness Measure Next Steps</vt:lpstr>
      <vt:lpstr>Slide 18</vt:lpstr>
      <vt:lpstr>    Joint replacement patient-reported outcome measure</vt:lpstr>
      <vt:lpstr>Slide 19</vt:lpstr>
      <vt:lpstr>    Joint replacement patient-reported outcome measure</vt:lpstr>
      <vt:lpstr/>
      <vt:lpstr>Slide 20</vt:lpstr>
      <vt:lpstr>    PROMs Challenges</vt:lpstr>
      <vt:lpstr>Slide 21</vt:lpstr>
      <vt:lpstr>    PROMs Challenges</vt:lpstr>
      <vt:lpstr>Slide 22</vt:lpstr>
    </vt:vector>
  </TitlesOfParts>
  <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2019-10-18T15:21:00Z</dcterms:created>
  <dcterms:modified xsi:type="dcterms:W3CDTF">2019-10-23T19:32:00Z</dcterms:modified>
</cp:coreProperties>
</file>