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A5" w:rsidRPr="00BC68A5" w:rsidRDefault="00BC68A5" w:rsidP="00F42212">
      <w:pPr>
        <w:pStyle w:val="Heading1"/>
      </w:pPr>
      <w:r w:rsidRPr="00BC68A5">
        <w:t>Slide 1</w:t>
      </w:r>
    </w:p>
    <w:p w:rsidR="00BC68A5" w:rsidRPr="00154D2C" w:rsidRDefault="00BC68A5" w:rsidP="00F42212">
      <w:pPr>
        <w:spacing w:before="360"/>
        <w:jc w:val="left"/>
        <w:outlineLvl w:val="0"/>
        <w:rPr>
          <w:rFonts w:ascii="Helvetica" w:hAnsi="Helvetica"/>
          <w:sz w:val="24"/>
          <w:szCs w:val="24"/>
        </w:rPr>
      </w:pPr>
      <w:r w:rsidRPr="00154D2C">
        <w:rPr>
          <w:rFonts w:ascii="Helvetica" w:hAnsi="Helvetica"/>
          <w:sz w:val="24"/>
          <w:szCs w:val="24"/>
        </w:rPr>
        <w:t>Commonwealth of Massachusetts</w:t>
      </w:r>
    </w:p>
    <w:p w:rsidR="00BC68A5" w:rsidRPr="00154D2C" w:rsidRDefault="00BC68A5" w:rsidP="00F42212">
      <w:pPr>
        <w:jc w:val="left"/>
        <w:rPr>
          <w:rFonts w:ascii="Helvetica" w:hAnsi="Helvetica"/>
          <w:sz w:val="24"/>
          <w:szCs w:val="24"/>
        </w:rPr>
      </w:pPr>
      <w:r w:rsidRPr="00154D2C">
        <w:rPr>
          <w:rFonts w:ascii="Helvetica" w:hAnsi="Helvetica"/>
          <w:sz w:val="24"/>
          <w:szCs w:val="24"/>
        </w:rPr>
        <w:t>Executive Office of Health and Human Services</w:t>
      </w:r>
      <w:r>
        <w:rPr>
          <w:rFonts w:ascii="Helvetica" w:hAnsi="Helvetica"/>
          <w:sz w:val="24"/>
          <w:szCs w:val="24"/>
        </w:rPr>
        <w:t xml:space="preserve"> (EOHHS)</w:t>
      </w:r>
    </w:p>
    <w:p w:rsidR="00BC68A5" w:rsidRDefault="00BC68A5" w:rsidP="00F42212">
      <w:pPr>
        <w:jc w:val="left"/>
        <w:rPr>
          <w:rFonts w:ascii="Helvetica" w:hAnsi="Helvetica"/>
          <w:sz w:val="24"/>
          <w:szCs w:val="24"/>
        </w:rPr>
      </w:pPr>
      <w:r w:rsidRPr="00154D2C">
        <w:rPr>
          <w:rFonts w:ascii="Helvetica" w:hAnsi="Helvetica"/>
          <w:sz w:val="24"/>
          <w:szCs w:val="24"/>
        </w:rPr>
        <w:t>EOHHS Qual</w:t>
      </w:r>
      <w:r>
        <w:rPr>
          <w:rFonts w:ascii="Helvetica" w:hAnsi="Helvetica"/>
          <w:sz w:val="24"/>
          <w:szCs w:val="24"/>
        </w:rPr>
        <w:t>ity Measure alignment taskforce</w:t>
      </w:r>
    </w:p>
    <w:p w:rsidR="00BC68A5" w:rsidRPr="00BC68A5" w:rsidRDefault="00FA64DE" w:rsidP="00F42212">
      <w:pPr>
        <w:jc w:val="left"/>
        <w:rPr>
          <w:rFonts w:ascii="Helvetica" w:hAnsi="Helvetica"/>
          <w:sz w:val="24"/>
          <w:szCs w:val="24"/>
        </w:rPr>
      </w:pPr>
      <w:r>
        <w:rPr>
          <w:rFonts w:ascii="Helvetica" w:hAnsi="Helvetica"/>
          <w:sz w:val="24"/>
          <w:szCs w:val="24"/>
        </w:rPr>
        <w:t>Meeting #30</w:t>
      </w:r>
    </w:p>
    <w:p w:rsidR="00BC68A5" w:rsidRDefault="00FA64DE" w:rsidP="00F42212">
      <w:pPr>
        <w:jc w:val="left"/>
        <w:rPr>
          <w:rFonts w:ascii="Helvetica" w:hAnsi="Helvetica"/>
          <w:sz w:val="24"/>
          <w:szCs w:val="24"/>
        </w:rPr>
      </w:pPr>
      <w:r>
        <w:rPr>
          <w:rFonts w:ascii="Helvetica" w:hAnsi="Helvetica"/>
          <w:sz w:val="24"/>
          <w:szCs w:val="24"/>
        </w:rPr>
        <w:t>November</w:t>
      </w:r>
      <w:r w:rsidR="00BC68A5" w:rsidRPr="00BC68A5">
        <w:rPr>
          <w:rFonts w:ascii="Helvetica" w:hAnsi="Helvetica"/>
          <w:sz w:val="24"/>
          <w:szCs w:val="24"/>
        </w:rPr>
        <w:t xml:space="preserve"> 1</w:t>
      </w:r>
      <w:r>
        <w:rPr>
          <w:rFonts w:ascii="Helvetica" w:hAnsi="Helvetica"/>
          <w:sz w:val="24"/>
          <w:szCs w:val="24"/>
        </w:rPr>
        <w:t>9</w:t>
      </w:r>
      <w:r w:rsidR="00BC68A5" w:rsidRPr="00BC68A5">
        <w:rPr>
          <w:rFonts w:ascii="Helvetica" w:hAnsi="Helvetica"/>
          <w:sz w:val="24"/>
          <w:szCs w:val="24"/>
        </w:rPr>
        <w:t>, 2019</w:t>
      </w:r>
    </w:p>
    <w:p w:rsidR="00864B77" w:rsidRPr="00A35C58" w:rsidRDefault="00864B77" w:rsidP="00F42212">
      <w:pPr>
        <w:pStyle w:val="Heading1"/>
      </w:pPr>
      <w:r w:rsidRPr="00A35C58">
        <w:t>Slide 2</w:t>
      </w:r>
    </w:p>
    <w:p w:rsidR="00864B77" w:rsidRDefault="00864B77" w:rsidP="00F42212">
      <w:pPr>
        <w:pStyle w:val="Heading2"/>
      </w:pPr>
      <w:r w:rsidRPr="00864B77">
        <w:t>Agenda</w:t>
      </w:r>
    </w:p>
    <w:p w:rsidR="00FA64DE" w:rsidRPr="00FA64DE" w:rsidRDefault="00FA64DE" w:rsidP="006602F4">
      <w:pPr>
        <w:pStyle w:val="ListParagraph"/>
        <w:numPr>
          <w:ilvl w:val="0"/>
          <w:numId w:val="2"/>
        </w:numPr>
        <w:jc w:val="left"/>
        <w:rPr>
          <w:rStyle w:val="Strong"/>
          <w:b w:val="0"/>
        </w:rPr>
      </w:pPr>
      <w:r w:rsidRPr="00FA64DE">
        <w:rPr>
          <w:rStyle w:val="Strong"/>
        </w:rPr>
        <w:t xml:space="preserve">Legislative update </w:t>
      </w:r>
    </w:p>
    <w:p w:rsidR="00FA64DE" w:rsidRPr="00FA64DE" w:rsidRDefault="00FA64DE" w:rsidP="006602F4">
      <w:pPr>
        <w:pStyle w:val="ListParagraph"/>
        <w:numPr>
          <w:ilvl w:val="0"/>
          <w:numId w:val="2"/>
        </w:numPr>
        <w:jc w:val="left"/>
        <w:rPr>
          <w:rFonts w:ascii="Helvetica" w:hAnsi="Helvetica"/>
          <w:sz w:val="24"/>
          <w:szCs w:val="24"/>
        </w:rPr>
      </w:pPr>
      <w:r w:rsidRPr="00FA64DE">
        <w:rPr>
          <w:rFonts w:ascii="Helvetica" w:hAnsi="Helvetica"/>
          <w:sz w:val="24"/>
          <w:szCs w:val="24"/>
        </w:rPr>
        <w:t>Finalize the Taskforce charter</w:t>
      </w:r>
    </w:p>
    <w:p w:rsidR="00FA64DE" w:rsidRPr="00FA64DE" w:rsidRDefault="00FA64DE" w:rsidP="006602F4">
      <w:pPr>
        <w:pStyle w:val="ListParagraph"/>
        <w:numPr>
          <w:ilvl w:val="0"/>
          <w:numId w:val="2"/>
        </w:numPr>
        <w:jc w:val="left"/>
        <w:rPr>
          <w:rFonts w:ascii="Helvetica" w:hAnsi="Helvetica"/>
          <w:sz w:val="24"/>
          <w:szCs w:val="24"/>
        </w:rPr>
      </w:pPr>
      <w:r w:rsidRPr="00FA64DE">
        <w:rPr>
          <w:rFonts w:ascii="Helvetica" w:hAnsi="Helvetica"/>
          <w:sz w:val="24"/>
          <w:szCs w:val="24"/>
        </w:rPr>
        <w:t>Discuss the process for considering non-endorsed measures</w:t>
      </w:r>
    </w:p>
    <w:p w:rsidR="00FA64DE" w:rsidRDefault="00FA64DE" w:rsidP="006602F4">
      <w:pPr>
        <w:pStyle w:val="ListParagraph"/>
        <w:numPr>
          <w:ilvl w:val="0"/>
          <w:numId w:val="2"/>
        </w:numPr>
        <w:jc w:val="left"/>
        <w:rPr>
          <w:rFonts w:ascii="Helvetica" w:hAnsi="Helvetica"/>
          <w:sz w:val="24"/>
          <w:szCs w:val="24"/>
        </w:rPr>
      </w:pPr>
      <w:r w:rsidRPr="00FA64DE">
        <w:rPr>
          <w:rFonts w:ascii="Helvetica" w:hAnsi="Helvetica"/>
          <w:sz w:val="24"/>
          <w:szCs w:val="24"/>
        </w:rPr>
        <w:t>Begin the annual review of the Aligned Measure Set</w:t>
      </w:r>
      <w:r w:rsidRPr="00FA64DE">
        <w:rPr>
          <w:rFonts w:ascii="Helvetica" w:hAnsi="Helvetica"/>
          <w:sz w:val="24"/>
          <w:szCs w:val="24"/>
        </w:rPr>
        <w:t xml:space="preserve"> </w:t>
      </w:r>
    </w:p>
    <w:p w:rsidR="00F876AA" w:rsidRPr="00F876AA" w:rsidRDefault="00F876AA" w:rsidP="006602F4">
      <w:pPr>
        <w:pStyle w:val="ListParagraph"/>
        <w:numPr>
          <w:ilvl w:val="0"/>
          <w:numId w:val="2"/>
        </w:numPr>
        <w:jc w:val="left"/>
        <w:rPr>
          <w:rFonts w:ascii="Helvetica" w:hAnsi="Helvetica"/>
          <w:sz w:val="24"/>
          <w:szCs w:val="24"/>
        </w:rPr>
      </w:pPr>
      <w:r w:rsidRPr="00F876AA">
        <w:rPr>
          <w:rFonts w:ascii="Helvetica" w:hAnsi="Helvetica"/>
          <w:sz w:val="24"/>
          <w:szCs w:val="24"/>
        </w:rPr>
        <w:t>Next Steps</w:t>
      </w:r>
    </w:p>
    <w:p w:rsidR="00F876AA" w:rsidRPr="00A35C58" w:rsidRDefault="00F876AA" w:rsidP="00F42212">
      <w:pPr>
        <w:pStyle w:val="Heading1"/>
      </w:pPr>
      <w:r w:rsidRPr="00A35C58">
        <w:t xml:space="preserve">Slide </w:t>
      </w:r>
      <w:r>
        <w:t>3</w:t>
      </w:r>
    </w:p>
    <w:p w:rsidR="00864B77" w:rsidRPr="00864B77" w:rsidRDefault="00FA64DE" w:rsidP="00F42212">
      <w:pPr>
        <w:pStyle w:val="Heading2"/>
        <w:rPr>
          <w:rStyle w:val="Strong"/>
          <w:rFonts w:asciiTheme="minorHAnsi" w:hAnsiTheme="minorHAnsi"/>
          <w:b/>
          <w:sz w:val="28"/>
          <w:szCs w:val="28"/>
        </w:rPr>
      </w:pPr>
      <w:r w:rsidRPr="00FA64DE">
        <w:t>Legislative Update</w:t>
      </w:r>
    </w:p>
    <w:p w:rsidR="00FA64DE" w:rsidRPr="00FA64DE" w:rsidRDefault="00FA64DE" w:rsidP="00F42212">
      <w:pPr>
        <w:pStyle w:val="ListParagraph"/>
        <w:numPr>
          <w:ilvl w:val="0"/>
          <w:numId w:val="1"/>
        </w:numPr>
        <w:jc w:val="left"/>
        <w:rPr>
          <w:rStyle w:val="Strong"/>
          <w:b w:val="0"/>
        </w:rPr>
      </w:pPr>
      <w:r w:rsidRPr="00FA64DE">
        <w:rPr>
          <w:rStyle w:val="Strong"/>
          <w:b w:val="0"/>
        </w:rPr>
        <w:t xml:space="preserve">On 10/18, Governor Baker filed H4134, “An Act to Improve Health Care by Investing in VALUE,” which aims to promote investments in primary care and behavioral health; address costs; increase access to care; support community hospitals and health centers; and promote a stable and affordable merged market. </w:t>
      </w:r>
    </w:p>
    <w:p w:rsidR="00FA64DE" w:rsidRPr="00FA64DE" w:rsidRDefault="00FA64DE" w:rsidP="00F42212">
      <w:pPr>
        <w:pStyle w:val="ListParagraph"/>
        <w:numPr>
          <w:ilvl w:val="1"/>
          <w:numId w:val="1"/>
        </w:numPr>
        <w:jc w:val="left"/>
        <w:rPr>
          <w:rStyle w:val="Strong"/>
          <w:b w:val="0"/>
        </w:rPr>
      </w:pPr>
      <w:r w:rsidRPr="00FA64DE">
        <w:rPr>
          <w:rStyle w:val="Strong"/>
          <w:b w:val="0"/>
        </w:rPr>
        <w:t>This is the first step of a long legislative process that may extend until July 2020.</w:t>
      </w:r>
    </w:p>
    <w:p w:rsidR="00FA64DE" w:rsidRPr="00FA64DE" w:rsidRDefault="00FA64DE" w:rsidP="00F42212">
      <w:pPr>
        <w:pStyle w:val="ListParagraph"/>
        <w:numPr>
          <w:ilvl w:val="0"/>
          <w:numId w:val="1"/>
        </w:numPr>
        <w:jc w:val="left"/>
        <w:rPr>
          <w:rStyle w:val="Strong"/>
          <w:b w:val="0"/>
        </w:rPr>
      </w:pPr>
      <w:r w:rsidRPr="00FA64DE">
        <w:rPr>
          <w:rStyle w:val="Strong"/>
          <w:b w:val="0"/>
        </w:rPr>
        <w:t>Section 1 of the bill codifies the Quality Alignment Taskforce and charges the Taskforce with making recommendations to the Secretary of EOHHS on an aligned measure set for use between payers and providers.</w:t>
      </w:r>
    </w:p>
    <w:p w:rsidR="00FA64DE" w:rsidRPr="00FA64DE" w:rsidRDefault="00FA64DE" w:rsidP="00F42212">
      <w:pPr>
        <w:pStyle w:val="ListParagraph"/>
        <w:numPr>
          <w:ilvl w:val="0"/>
          <w:numId w:val="1"/>
        </w:numPr>
        <w:jc w:val="left"/>
        <w:rPr>
          <w:rStyle w:val="Strong"/>
          <w:b w:val="0"/>
        </w:rPr>
      </w:pPr>
      <w:r w:rsidRPr="00FA64DE">
        <w:rPr>
          <w:rStyle w:val="Strong"/>
          <w:b w:val="0"/>
        </w:rPr>
        <w:t xml:space="preserve">The next several slides provide an overview of the proposed Taskforce. </w:t>
      </w:r>
    </w:p>
    <w:p w:rsidR="00FA64DE" w:rsidRDefault="00FA64DE" w:rsidP="00F42212">
      <w:pPr>
        <w:pStyle w:val="Heading1"/>
      </w:pPr>
      <w:r>
        <w:br w:type="page"/>
      </w:r>
    </w:p>
    <w:p w:rsidR="00F876AA" w:rsidRPr="00A35C58" w:rsidRDefault="00F876AA" w:rsidP="00F42212">
      <w:pPr>
        <w:pStyle w:val="Heading1"/>
      </w:pPr>
      <w:r w:rsidRPr="00A35C58">
        <w:lastRenderedPageBreak/>
        <w:t xml:space="preserve">Slide </w:t>
      </w:r>
      <w:r>
        <w:t>4</w:t>
      </w:r>
    </w:p>
    <w:p w:rsidR="00F876AA" w:rsidRPr="00864B77" w:rsidRDefault="00FA64DE" w:rsidP="00F42212">
      <w:pPr>
        <w:pStyle w:val="Heading2"/>
        <w:rPr>
          <w:rStyle w:val="Strong"/>
          <w:rFonts w:asciiTheme="minorHAnsi" w:hAnsiTheme="minorHAnsi"/>
          <w:b/>
          <w:sz w:val="28"/>
          <w:szCs w:val="28"/>
        </w:rPr>
      </w:pPr>
      <w:r w:rsidRPr="00FA64DE">
        <w:t>Taskforce Membership</w:t>
      </w:r>
    </w:p>
    <w:p w:rsidR="00FA64DE" w:rsidRPr="00FA64DE" w:rsidRDefault="00F876AA" w:rsidP="00F42212">
      <w:pPr>
        <w:jc w:val="left"/>
        <w:rPr>
          <w:rFonts w:ascii="Helvetica" w:hAnsi="Helvetica"/>
          <w:sz w:val="24"/>
          <w:szCs w:val="24"/>
        </w:rPr>
      </w:pPr>
      <w:r w:rsidRPr="00FA64DE">
        <w:rPr>
          <w:rFonts w:ascii="Helvetica" w:hAnsi="Helvetica"/>
          <w:sz w:val="24"/>
          <w:szCs w:val="24"/>
        </w:rPr>
        <w:t>Next Steps</w:t>
      </w:r>
      <w:r w:rsidR="00FA64DE" w:rsidRPr="00FA64DE">
        <w:rPr>
          <w:rFonts w:ascii="Helvetica" w:hAnsi="Helvetica"/>
          <w:sz w:val="24"/>
          <w:szCs w:val="24"/>
        </w:rPr>
        <w:t xml:space="preserve"> </w:t>
      </w:r>
      <w:proofErr w:type="gramStart"/>
      <w:r w:rsidR="00FA64DE" w:rsidRPr="00FA64DE">
        <w:rPr>
          <w:rFonts w:ascii="Helvetica" w:hAnsi="Helvetica"/>
          <w:sz w:val="24"/>
          <w:szCs w:val="24"/>
        </w:rPr>
        <w:t>Through</w:t>
      </w:r>
      <w:proofErr w:type="gramEnd"/>
      <w:r w:rsidR="00FA64DE" w:rsidRPr="00FA64DE">
        <w:rPr>
          <w:rFonts w:ascii="Helvetica" w:hAnsi="Helvetica"/>
          <w:sz w:val="24"/>
          <w:szCs w:val="24"/>
        </w:rPr>
        <w:t xml:space="preserve"> May 2021, Taskforce membership shall remain the same.  After May 2021, the Taskforce shall include the following prescribed mix of state staff and gubernatorial appointees:</w:t>
      </w:r>
    </w:p>
    <w:p w:rsidR="00FA64DE" w:rsidRPr="00FA64DE" w:rsidRDefault="00FA64DE" w:rsidP="00F42212">
      <w:pPr>
        <w:pStyle w:val="ListParagraph"/>
        <w:numPr>
          <w:ilvl w:val="0"/>
          <w:numId w:val="1"/>
        </w:numPr>
        <w:jc w:val="left"/>
        <w:rPr>
          <w:rFonts w:ascii="Helvetica" w:hAnsi="Helvetica"/>
          <w:sz w:val="24"/>
          <w:szCs w:val="24"/>
        </w:rPr>
      </w:pPr>
      <w:r w:rsidRPr="00FA64DE">
        <w:rPr>
          <w:rFonts w:ascii="Helvetica" w:hAnsi="Helvetica"/>
          <w:sz w:val="24"/>
          <w:szCs w:val="24"/>
        </w:rPr>
        <w:t>state staff or their designees:</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Secretary of Health and Human Services (Chair)</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Assistant Secretary for MassHealth</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Commissioner of Public Health</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Commissioner of Mental Health</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Commissioner of the Division of Insurance</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Executive Director of CHIA</w:t>
      </w:r>
    </w:p>
    <w:p w:rsidR="00FA64DE" w:rsidRPr="00FA64DE"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Executive Director of HPC</w:t>
      </w:r>
    </w:p>
    <w:p w:rsidR="00F876AA" w:rsidRDefault="00FA64DE" w:rsidP="00F42212">
      <w:pPr>
        <w:pStyle w:val="ListParagraph"/>
        <w:numPr>
          <w:ilvl w:val="1"/>
          <w:numId w:val="1"/>
        </w:numPr>
        <w:jc w:val="left"/>
        <w:rPr>
          <w:rFonts w:ascii="Helvetica" w:hAnsi="Helvetica"/>
          <w:sz w:val="24"/>
          <w:szCs w:val="24"/>
        </w:rPr>
      </w:pPr>
      <w:r w:rsidRPr="00FA64DE">
        <w:rPr>
          <w:rFonts w:ascii="Helvetica" w:hAnsi="Helvetica"/>
          <w:sz w:val="24"/>
          <w:szCs w:val="24"/>
        </w:rPr>
        <w:t>Executive Director of GIC</w:t>
      </w:r>
    </w:p>
    <w:p w:rsidR="00F876AA" w:rsidRPr="00A35C58" w:rsidRDefault="00F876AA" w:rsidP="00F42212">
      <w:pPr>
        <w:pStyle w:val="Heading1"/>
      </w:pPr>
      <w:r w:rsidRPr="00A35C58">
        <w:t xml:space="preserve">Slide </w:t>
      </w:r>
      <w:r>
        <w:t>5</w:t>
      </w:r>
    </w:p>
    <w:p w:rsidR="00F876AA" w:rsidRDefault="00FA64DE" w:rsidP="00F42212">
      <w:pPr>
        <w:pStyle w:val="Heading2"/>
      </w:pPr>
      <w:r w:rsidRPr="00FA64DE">
        <w:t>Taskforce Membership (cont’d)</w:t>
      </w:r>
    </w:p>
    <w:p w:rsidR="00F876AA" w:rsidRDefault="00F876AA" w:rsidP="00F42212">
      <w:pPr>
        <w:jc w:val="left"/>
        <w:rPr>
          <w:rFonts w:ascii="Helvetica" w:hAnsi="Helvetica"/>
          <w:sz w:val="24"/>
          <w:szCs w:val="24"/>
        </w:rPr>
      </w:pPr>
      <w:r w:rsidRPr="00FA64DE">
        <w:rPr>
          <w:rFonts w:ascii="Helvetica" w:hAnsi="Helvetica"/>
          <w:sz w:val="24"/>
          <w:szCs w:val="24"/>
        </w:rPr>
        <w:t>Prior to today’s meeting, we shared with you a redlined version of the Taskforce Charter.</w:t>
      </w:r>
    </w:p>
    <w:p w:rsidR="00575B5D" w:rsidRDefault="00575B5D" w:rsidP="006602F4">
      <w:pPr>
        <w:pStyle w:val="ListParagraph"/>
        <w:numPr>
          <w:ilvl w:val="0"/>
          <w:numId w:val="3"/>
        </w:numPr>
        <w:jc w:val="left"/>
        <w:rPr>
          <w:rFonts w:ascii="Helvetica" w:hAnsi="Helvetica"/>
          <w:sz w:val="24"/>
          <w:szCs w:val="24"/>
        </w:rPr>
        <w:sectPr w:rsidR="00575B5D" w:rsidSect="00864B77">
          <w:pgSz w:w="12240" w:h="15840"/>
          <w:pgMar w:top="1080" w:right="1440" w:bottom="1080" w:left="1440" w:header="720" w:footer="720" w:gutter="0"/>
          <w:cols w:space="720"/>
          <w:docGrid w:linePitch="360"/>
        </w:sectPr>
      </w:pP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provider trade association</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medical society</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behavioral health provider</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long-term supports and services provider</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community health center serving the Medicaid population</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Medicaid MCO</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statewide ACO</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commercial MCO</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persons with complex health conditions</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consumers</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hospital</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academic with expertise in health care quality and measurement (at least one representative)</w:t>
      </w:r>
    </w:p>
    <w:p w:rsidR="00575B5D" w:rsidRPr="00575B5D" w:rsidRDefault="00575B5D" w:rsidP="006602F4">
      <w:pPr>
        <w:pStyle w:val="ListParagraph"/>
        <w:numPr>
          <w:ilvl w:val="0"/>
          <w:numId w:val="3"/>
        </w:numPr>
        <w:jc w:val="left"/>
        <w:rPr>
          <w:rFonts w:ascii="Helvetica" w:hAnsi="Helvetica"/>
          <w:sz w:val="24"/>
          <w:szCs w:val="24"/>
        </w:rPr>
      </w:pPr>
      <w:r w:rsidRPr="00575B5D">
        <w:rPr>
          <w:rFonts w:ascii="Helvetica" w:hAnsi="Helvetica"/>
          <w:sz w:val="24"/>
          <w:szCs w:val="24"/>
        </w:rPr>
        <w:t>employer with experience in health care quality measurement</w:t>
      </w:r>
    </w:p>
    <w:p w:rsidR="00575B5D" w:rsidRDefault="00575B5D" w:rsidP="00F42212">
      <w:pPr>
        <w:pStyle w:val="Heading1"/>
        <w:sectPr w:rsidR="00575B5D" w:rsidSect="00575B5D">
          <w:type w:val="continuous"/>
          <w:pgSz w:w="12240" w:h="15840"/>
          <w:pgMar w:top="1080" w:right="1440" w:bottom="1080" w:left="1440" w:header="720" w:footer="720" w:gutter="0"/>
          <w:cols w:num="2" w:space="720"/>
          <w:docGrid w:linePitch="360"/>
        </w:sectPr>
      </w:pPr>
    </w:p>
    <w:p w:rsidR="00975B2F" w:rsidRPr="00575B5D" w:rsidRDefault="00975B2F" w:rsidP="00F42212">
      <w:pPr>
        <w:pStyle w:val="Heading1"/>
      </w:pPr>
      <w:r w:rsidRPr="00575B5D">
        <w:t>Slide 6</w:t>
      </w:r>
    </w:p>
    <w:p w:rsidR="00975B2F" w:rsidRPr="00975B2F" w:rsidRDefault="00575B5D" w:rsidP="00F42212">
      <w:pPr>
        <w:pStyle w:val="Heading2"/>
      </w:pPr>
      <w:r w:rsidRPr="00575B5D">
        <w:t>Aligned Measure Set Purpose &amp; Process</w:t>
      </w:r>
    </w:p>
    <w:p w:rsidR="00575B5D" w:rsidRPr="009C157C" w:rsidRDefault="00575B5D" w:rsidP="00F42212">
      <w:pPr>
        <w:jc w:val="left"/>
        <w:rPr>
          <w:rFonts w:ascii="Helvetica" w:hAnsi="Helvetica" w:cs="Helvetica"/>
          <w:sz w:val="24"/>
          <w:szCs w:val="24"/>
        </w:rPr>
      </w:pPr>
      <w:r w:rsidRPr="009C157C">
        <w:rPr>
          <w:rFonts w:ascii="Helvetica" w:hAnsi="Helvetica" w:cs="Helvetica"/>
          <w:sz w:val="24"/>
          <w:szCs w:val="24"/>
        </w:rPr>
        <w:t xml:space="preserve">Taskforce charged with developing recommendations for submission to the Secretary of EOHHS on aligned measures for use in: </w:t>
      </w:r>
    </w:p>
    <w:p w:rsidR="00575B5D" w:rsidRPr="009C157C" w:rsidRDefault="00575B5D" w:rsidP="006602F4">
      <w:pPr>
        <w:pStyle w:val="ListParagraph"/>
        <w:numPr>
          <w:ilvl w:val="0"/>
          <w:numId w:val="37"/>
        </w:numPr>
        <w:jc w:val="left"/>
        <w:rPr>
          <w:rFonts w:ascii="Helvetica" w:hAnsi="Helvetica" w:cs="Helvetica"/>
          <w:sz w:val="24"/>
          <w:szCs w:val="24"/>
        </w:rPr>
      </w:pPr>
      <w:r w:rsidRPr="009C157C">
        <w:rPr>
          <w:rFonts w:ascii="Helvetica" w:hAnsi="Helvetica" w:cs="Helvetica"/>
          <w:sz w:val="24"/>
          <w:szCs w:val="24"/>
        </w:rPr>
        <w:t>Payer and provider value-based contracting</w:t>
      </w:r>
    </w:p>
    <w:p w:rsidR="00575B5D" w:rsidRPr="009C157C" w:rsidRDefault="00575B5D" w:rsidP="006602F4">
      <w:pPr>
        <w:pStyle w:val="ListParagraph"/>
        <w:numPr>
          <w:ilvl w:val="0"/>
          <w:numId w:val="37"/>
        </w:numPr>
        <w:jc w:val="left"/>
        <w:rPr>
          <w:rFonts w:ascii="Helvetica" w:hAnsi="Helvetica" w:cs="Helvetica"/>
          <w:sz w:val="24"/>
          <w:szCs w:val="24"/>
        </w:rPr>
      </w:pPr>
      <w:r w:rsidRPr="009C157C">
        <w:rPr>
          <w:rFonts w:ascii="Helvetica" w:hAnsi="Helvetica" w:cs="Helvetica"/>
          <w:sz w:val="24"/>
          <w:szCs w:val="24"/>
        </w:rPr>
        <w:t>Assigning tiers to providers in the design of any health plan</w:t>
      </w:r>
    </w:p>
    <w:p w:rsidR="00575B5D" w:rsidRPr="009C157C" w:rsidRDefault="00575B5D" w:rsidP="006602F4">
      <w:pPr>
        <w:pStyle w:val="ListParagraph"/>
        <w:numPr>
          <w:ilvl w:val="0"/>
          <w:numId w:val="37"/>
        </w:numPr>
        <w:jc w:val="left"/>
        <w:rPr>
          <w:rFonts w:ascii="Helvetica" w:hAnsi="Helvetica" w:cs="Helvetica"/>
          <w:sz w:val="24"/>
          <w:szCs w:val="24"/>
        </w:rPr>
      </w:pPr>
      <w:r w:rsidRPr="009C157C">
        <w:rPr>
          <w:rFonts w:ascii="Helvetica" w:hAnsi="Helvetica" w:cs="Helvetica"/>
          <w:sz w:val="24"/>
          <w:szCs w:val="24"/>
        </w:rPr>
        <w:t>Consumer transparency websites  and other methods of consumer information</w:t>
      </w:r>
    </w:p>
    <w:p w:rsidR="00575B5D" w:rsidRPr="009C157C" w:rsidRDefault="00575B5D" w:rsidP="006602F4">
      <w:pPr>
        <w:pStyle w:val="ListParagraph"/>
        <w:numPr>
          <w:ilvl w:val="0"/>
          <w:numId w:val="37"/>
        </w:numPr>
        <w:jc w:val="left"/>
        <w:rPr>
          <w:rFonts w:ascii="Helvetica" w:hAnsi="Helvetica" w:cs="Helvetica"/>
          <w:sz w:val="24"/>
          <w:szCs w:val="24"/>
        </w:rPr>
      </w:pPr>
      <w:r w:rsidRPr="009C157C">
        <w:rPr>
          <w:rFonts w:ascii="Helvetica" w:hAnsi="Helvetica" w:cs="Helvetica"/>
          <w:sz w:val="24"/>
          <w:szCs w:val="24"/>
        </w:rPr>
        <w:t>Monitoring system-wide performance.</w:t>
      </w:r>
      <w:r w:rsidR="00C62575">
        <w:rPr>
          <w:rFonts w:ascii="Helvetica" w:hAnsi="Helvetica" w:cs="Helvetica"/>
          <w:sz w:val="24"/>
          <w:szCs w:val="24"/>
        </w:rPr>
        <w:br/>
      </w:r>
    </w:p>
    <w:p w:rsidR="00575B5D" w:rsidRPr="009C157C" w:rsidRDefault="00575B5D" w:rsidP="006602F4">
      <w:pPr>
        <w:pStyle w:val="ListParagraph"/>
        <w:numPr>
          <w:ilvl w:val="0"/>
          <w:numId w:val="36"/>
        </w:numPr>
        <w:contextualSpacing w:val="0"/>
        <w:jc w:val="left"/>
        <w:rPr>
          <w:rFonts w:ascii="Helvetica" w:hAnsi="Helvetica" w:cs="Helvetica"/>
          <w:sz w:val="24"/>
          <w:szCs w:val="24"/>
        </w:rPr>
      </w:pPr>
      <w:r w:rsidRPr="009C157C">
        <w:rPr>
          <w:rFonts w:ascii="Helvetica" w:hAnsi="Helvetica" w:cs="Helvetica"/>
          <w:sz w:val="24"/>
          <w:szCs w:val="24"/>
        </w:rPr>
        <w:t>In developing recommendations, Taskforce shall consider measures that are:</w:t>
      </w:r>
    </w:p>
    <w:p w:rsidR="00575B5D" w:rsidRPr="009C157C" w:rsidRDefault="00575B5D" w:rsidP="006602F4">
      <w:pPr>
        <w:pStyle w:val="ListParagraph"/>
        <w:numPr>
          <w:ilvl w:val="0"/>
          <w:numId w:val="38"/>
        </w:numPr>
        <w:jc w:val="left"/>
        <w:rPr>
          <w:rFonts w:ascii="Helvetica" w:hAnsi="Helvetica" w:cs="Helvetica"/>
          <w:sz w:val="24"/>
          <w:szCs w:val="24"/>
        </w:rPr>
      </w:pPr>
      <w:r w:rsidRPr="009C157C">
        <w:rPr>
          <w:rFonts w:ascii="Helvetica" w:hAnsi="Helvetica" w:cs="Helvetica"/>
          <w:sz w:val="24"/>
          <w:szCs w:val="24"/>
        </w:rPr>
        <w:t>Evidence-based, scientifically acceptable, nationally endorsed quality measures as well as other valid measures</w:t>
      </w:r>
    </w:p>
    <w:p w:rsidR="00575B5D" w:rsidRDefault="00575B5D" w:rsidP="006602F4">
      <w:pPr>
        <w:pStyle w:val="ListParagraph"/>
        <w:numPr>
          <w:ilvl w:val="0"/>
          <w:numId w:val="38"/>
        </w:numPr>
        <w:contextualSpacing w:val="0"/>
        <w:jc w:val="left"/>
        <w:rPr>
          <w:rFonts w:ascii="Helvetica" w:hAnsi="Helvetica" w:cs="Helvetica"/>
          <w:sz w:val="24"/>
          <w:szCs w:val="24"/>
        </w:rPr>
      </w:pPr>
      <w:r w:rsidRPr="009C157C">
        <w:rPr>
          <w:rFonts w:ascii="Helvetica" w:hAnsi="Helvetica" w:cs="Helvetica"/>
          <w:sz w:val="24"/>
          <w:szCs w:val="24"/>
        </w:rPr>
        <w:t>Applicable to primary care providers, specialists, hospitals, provider organizations, ACOs, oral health providers, and others</w:t>
      </w:r>
    </w:p>
    <w:p w:rsidR="00C62575" w:rsidRPr="00C62575" w:rsidRDefault="00C62575" w:rsidP="006602F4">
      <w:pPr>
        <w:pStyle w:val="ListParagraph"/>
        <w:numPr>
          <w:ilvl w:val="0"/>
          <w:numId w:val="39"/>
        </w:numPr>
        <w:contextualSpacing w:val="0"/>
        <w:jc w:val="left"/>
        <w:rPr>
          <w:rFonts w:ascii="Helvetica" w:hAnsi="Helvetica" w:cs="Helvetica"/>
          <w:sz w:val="24"/>
          <w:szCs w:val="24"/>
        </w:rPr>
      </w:pPr>
      <w:r w:rsidRPr="00C62575">
        <w:rPr>
          <w:rFonts w:ascii="Helvetica" w:hAnsi="Helvetica" w:cs="Helvetica"/>
          <w:sz w:val="24"/>
          <w:szCs w:val="24"/>
        </w:rPr>
        <w:t>Secretary of EOHHS, in consultation with DOI, may establish an aligned measure set, including core and non-core measures, based on the Taskforce’s recommendations; in establishing the aligned measure set, the Secretary may consider following factors:</w:t>
      </w:r>
    </w:p>
    <w:p w:rsidR="00C62575" w:rsidRPr="00C62575" w:rsidRDefault="00C62575" w:rsidP="006602F4">
      <w:pPr>
        <w:pStyle w:val="ListParagraph"/>
        <w:numPr>
          <w:ilvl w:val="0"/>
          <w:numId w:val="40"/>
        </w:numPr>
        <w:jc w:val="left"/>
        <w:rPr>
          <w:rFonts w:ascii="Helvetica" w:hAnsi="Helvetica" w:cs="Helvetica"/>
          <w:sz w:val="24"/>
          <w:szCs w:val="24"/>
        </w:rPr>
      </w:pPr>
      <w:r w:rsidRPr="00C62575">
        <w:rPr>
          <w:rFonts w:ascii="Helvetica" w:hAnsi="Helvetica" w:cs="Helvetica"/>
          <w:sz w:val="24"/>
          <w:szCs w:val="24"/>
        </w:rPr>
        <w:t>Quality improvement priorities for the Commonwealth</w:t>
      </w:r>
    </w:p>
    <w:p w:rsidR="00C62575" w:rsidRPr="00C62575" w:rsidRDefault="00C62575" w:rsidP="006602F4">
      <w:pPr>
        <w:pStyle w:val="ListParagraph"/>
        <w:numPr>
          <w:ilvl w:val="0"/>
          <w:numId w:val="40"/>
        </w:numPr>
        <w:jc w:val="left"/>
        <w:rPr>
          <w:rFonts w:ascii="Helvetica" w:hAnsi="Helvetica" w:cs="Helvetica"/>
          <w:sz w:val="24"/>
          <w:szCs w:val="24"/>
        </w:rPr>
      </w:pPr>
      <w:r w:rsidRPr="00C62575">
        <w:rPr>
          <w:rFonts w:ascii="Helvetica" w:hAnsi="Helvetica" w:cs="Helvetica"/>
          <w:sz w:val="24"/>
          <w:szCs w:val="24"/>
        </w:rPr>
        <w:t>Quality measurement innovation</w:t>
      </w:r>
    </w:p>
    <w:p w:rsidR="00C62575" w:rsidRPr="00C62575" w:rsidRDefault="00C62575" w:rsidP="006602F4">
      <w:pPr>
        <w:pStyle w:val="ListParagraph"/>
        <w:numPr>
          <w:ilvl w:val="0"/>
          <w:numId w:val="40"/>
        </w:numPr>
        <w:jc w:val="left"/>
        <w:rPr>
          <w:rFonts w:ascii="Helvetica" w:hAnsi="Helvetica" w:cs="Helvetica"/>
          <w:sz w:val="24"/>
          <w:szCs w:val="24"/>
        </w:rPr>
      </w:pPr>
      <w:r w:rsidRPr="00C62575">
        <w:rPr>
          <w:rFonts w:ascii="Helvetica" w:hAnsi="Helvetica" w:cs="Helvetica"/>
          <w:sz w:val="24"/>
          <w:szCs w:val="24"/>
        </w:rPr>
        <w:t>Data collection methodology</w:t>
      </w:r>
    </w:p>
    <w:p w:rsidR="00C62575" w:rsidRPr="00C62575" w:rsidRDefault="00C62575" w:rsidP="006602F4">
      <w:pPr>
        <w:pStyle w:val="ListParagraph"/>
        <w:numPr>
          <w:ilvl w:val="0"/>
          <w:numId w:val="40"/>
        </w:numPr>
        <w:jc w:val="left"/>
        <w:rPr>
          <w:rFonts w:ascii="Helvetica" w:hAnsi="Helvetica" w:cs="Helvetica"/>
          <w:sz w:val="24"/>
          <w:szCs w:val="24"/>
        </w:rPr>
      </w:pPr>
      <w:r w:rsidRPr="00C62575">
        <w:rPr>
          <w:rFonts w:ascii="Helvetica" w:hAnsi="Helvetica" w:cs="Helvetica"/>
          <w:sz w:val="24"/>
          <w:szCs w:val="24"/>
        </w:rPr>
        <w:t>Measure feasibility</w:t>
      </w:r>
    </w:p>
    <w:p w:rsidR="00BC68A5" w:rsidRPr="00A35C58" w:rsidRDefault="00BC68A5" w:rsidP="00F42212">
      <w:pPr>
        <w:pStyle w:val="Heading1"/>
      </w:pPr>
      <w:r w:rsidRPr="00A35C58">
        <w:t xml:space="preserve">Slide </w:t>
      </w:r>
      <w:r w:rsidR="00975B2F">
        <w:t>7</w:t>
      </w:r>
    </w:p>
    <w:p w:rsidR="00BC68A5" w:rsidRDefault="00D2408B" w:rsidP="00F42212">
      <w:pPr>
        <w:pStyle w:val="Heading2"/>
      </w:pPr>
      <w:r w:rsidRPr="00D2408B">
        <w:t>Timing of Taskforce Activities</w:t>
      </w:r>
    </w:p>
    <w:p w:rsidR="00D2408B" w:rsidRPr="00D2408B" w:rsidRDefault="00D2408B" w:rsidP="006602F4">
      <w:pPr>
        <w:pStyle w:val="ListParagraph"/>
        <w:numPr>
          <w:ilvl w:val="0"/>
          <w:numId w:val="4"/>
        </w:numPr>
        <w:contextualSpacing w:val="0"/>
        <w:jc w:val="left"/>
        <w:rPr>
          <w:rFonts w:ascii="Helvetica" w:hAnsi="Helvetica"/>
          <w:sz w:val="24"/>
          <w:szCs w:val="24"/>
        </w:rPr>
      </w:pPr>
      <w:r w:rsidRPr="00D2408B">
        <w:rPr>
          <w:rStyle w:val="Strong"/>
        </w:rPr>
        <w:t>January 15, 2021:</w:t>
      </w:r>
      <w:r w:rsidRPr="00D2408B">
        <w:rPr>
          <w:rFonts w:ascii="Helvetica" w:hAnsi="Helvetica"/>
          <w:sz w:val="24"/>
          <w:szCs w:val="24"/>
        </w:rPr>
        <w:t xml:space="preserve"> The first of at least monthly meetings of the Taskforce will occur.</w:t>
      </w:r>
    </w:p>
    <w:p w:rsidR="00D2408B" w:rsidRPr="00D2408B" w:rsidRDefault="00D2408B" w:rsidP="006602F4">
      <w:pPr>
        <w:pStyle w:val="ListParagraph"/>
        <w:numPr>
          <w:ilvl w:val="0"/>
          <w:numId w:val="4"/>
        </w:numPr>
        <w:contextualSpacing w:val="0"/>
        <w:jc w:val="left"/>
        <w:rPr>
          <w:rFonts w:ascii="Helvetica" w:hAnsi="Helvetica"/>
          <w:sz w:val="24"/>
          <w:szCs w:val="24"/>
        </w:rPr>
      </w:pPr>
      <w:r w:rsidRPr="00D2408B">
        <w:rPr>
          <w:rStyle w:val="Strong"/>
        </w:rPr>
        <w:t>January 31, 2021 and annually thereafter:</w:t>
      </w:r>
      <w:r w:rsidRPr="00D2408B">
        <w:rPr>
          <w:rFonts w:ascii="Helvetica" w:hAnsi="Helvetica"/>
          <w:sz w:val="24"/>
          <w:szCs w:val="24"/>
        </w:rPr>
        <w:t xml:space="preserve"> The Taskforce shall submit an annual report with recommendations, including any modifications to the Aligned Measure Set, to the secretary of health and human services and the joint committee on health care financing.</w:t>
      </w:r>
    </w:p>
    <w:p w:rsidR="00D2408B" w:rsidRPr="00D2408B" w:rsidRDefault="00D2408B" w:rsidP="006602F4">
      <w:pPr>
        <w:pStyle w:val="ListParagraph"/>
        <w:numPr>
          <w:ilvl w:val="0"/>
          <w:numId w:val="4"/>
        </w:numPr>
        <w:contextualSpacing w:val="0"/>
        <w:jc w:val="left"/>
        <w:rPr>
          <w:rFonts w:ascii="Helvetica" w:hAnsi="Helvetica"/>
          <w:sz w:val="24"/>
          <w:szCs w:val="24"/>
        </w:rPr>
      </w:pPr>
      <w:r w:rsidRPr="00D2408B">
        <w:rPr>
          <w:rStyle w:val="Strong"/>
        </w:rPr>
        <w:t>March 31, 2021 and annually thereafter:</w:t>
      </w:r>
      <w:r w:rsidRPr="00D2408B">
        <w:rPr>
          <w:rFonts w:ascii="Helvetica" w:hAnsi="Helvetica"/>
          <w:sz w:val="24"/>
          <w:szCs w:val="24"/>
        </w:rPr>
        <w:t xml:space="preserve"> The secretary of health and human services in consultation with the commissioner of </w:t>
      </w:r>
      <w:r w:rsidRPr="00D2408B">
        <w:rPr>
          <w:rFonts w:ascii="Helvetica" w:hAnsi="Helvetica"/>
          <w:sz w:val="24"/>
          <w:szCs w:val="24"/>
        </w:rPr>
        <w:t>insurance</w:t>
      </w:r>
      <w:r w:rsidRPr="00D2408B">
        <w:rPr>
          <w:rFonts w:ascii="Helvetica" w:hAnsi="Helvetica"/>
          <w:sz w:val="24"/>
          <w:szCs w:val="24"/>
        </w:rPr>
        <w:t xml:space="preserve"> may establish an aligned measure set to be used in value-based contracts and for </w:t>
      </w:r>
      <w:proofErr w:type="spellStart"/>
      <w:r w:rsidRPr="00D2408B">
        <w:rPr>
          <w:rFonts w:ascii="Helvetica" w:hAnsi="Helvetica"/>
          <w:sz w:val="24"/>
          <w:szCs w:val="24"/>
        </w:rPr>
        <w:t>tiering</w:t>
      </w:r>
      <w:proofErr w:type="spellEnd"/>
      <w:r w:rsidRPr="00D2408B">
        <w:rPr>
          <w:rFonts w:ascii="Helvetica" w:hAnsi="Helvetica"/>
          <w:sz w:val="24"/>
          <w:szCs w:val="24"/>
        </w:rPr>
        <w:t>.</w:t>
      </w:r>
    </w:p>
    <w:p w:rsidR="00975B2F" w:rsidRPr="00D2408B" w:rsidRDefault="00D2408B" w:rsidP="006602F4">
      <w:pPr>
        <w:pStyle w:val="ListParagraph"/>
        <w:numPr>
          <w:ilvl w:val="0"/>
          <w:numId w:val="4"/>
        </w:numPr>
        <w:contextualSpacing w:val="0"/>
        <w:jc w:val="left"/>
        <w:rPr>
          <w:rFonts w:ascii="Helvetica" w:hAnsi="Helvetica"/>
          <w:sz w:val="24"/>
          <w:szCs w:val="24"/>
        </w:rPr>
      </w:pPr>
      <w:r w:rsidRPr="00D2408B">
        <w:rPr>
          <w:rStyle w:val="Strong"/>
        </w:rPr>
        <w:t>May 31, 2021:</w:t>
      </w:r>
      <w:r w:rsidRPr="00D2408B">
        <w:rPr>
          <w:rFonts w:ascii="Helvetica" w:hAnsi="Helvetica"/>
          <w:b/>
          <w:sz w:val="24"/>
          <w:szCs w:val="24"/>
        </w:rPr>
        <w:t xml:space="preserve"> </w:t>
      </w:r>
      <w:r w:rsidRPr="00D2408B">
        <w:rPr>
          <w:rFonts w:ascii="Helvetica" w:hAnsi="Helvetica"/>
          <w:sz w:val="24"/>
          <w:szCs w:val="24"/>
        </w:rPr>
        <w:t>Taskforce members shall be appointed, including state staff prescribed by the legislation and gubernatorial appointees.</w:t>
      </w:r>
    </w:p>
    <w:p w:rsidR="00630DA9" w:rsidRDefault="00630DA9" w:rsidP="00F42212">
      <w:pPr>
        <w:pStyle w:val="Heading1"/>
      </w:pPr>
      <w:r>
        <w:br w:type="page"/>
      </w:r>
    </w:p>
    <w:p w:rsidR="00BC68A5" w:rsidRPr="00A35C58" w:rsidRDefault="00BC68A5" w:rsidP="00F42212">
      <w:pPr>
        <w:pStyle w:val="Heading1"/>
      </w:pPr>
      <w:r w:rsidRPr="00A35C58">
        <w:t xml:space="preserve">Slide </w:t>
      </w:r>
      <w:r w:rsidR="00975B2F">
        <w:t>8</w:t>
      </w:r>
    </w:p>
    <w:p w:rsidR="00D2408B" w:rsidRDefault="00D2408B" w:rsidP="00F42212">
      <w:pPr>
        <w:pStyle w:val="Heading2"/>
      </w:pPr>
      <w:r w:rsidRPr="00864B77">
        <w:t>Agenda</w:t>
      </w:r>
    </w:p>
    <w:p w:rsidR="00D2408B" w:rsidRPr="00D2408B" w:rsidRDefault="00D2408B" w:rsidP="006602F4">
      <w:pPr>
        <w:pStyle w:val="ListParagraph"/>
        <w:numPr>
          <w:ilvl w:val="0"/>
          <w:numId w:val="2"/>
        </w:numPr>
        <w:jc w:val="left"/>
        <w:rPr>
          <w:rStyle w:val="Strong"/>
          <w:b w:val="0"/>
        </w:rPr>
      </w:pPr>
      <w:r w:rsidRPr="00D2408B">
        <w:rPr>
          <w:rStyle w:val="Strong"/>
          <w:b w:val="0"/>
        </w:rPr>
        <w:t xml:space="preserve">Legislative update </w:t>
      </w:r>
    </w:p>
    <w:p w:rsidR="00D2408B" w:rsidRPr="00D2408B" w:rsidRDefault="00D2408B" w:rsidP="006602F4">
      <w:pPr>
        <w:pStyle w:val="ListParagraph"/>
        <w:numPr>
          <w:ilvl w:val="0"/>
          <w:numId w:val="2"/>
        </w:numPr>
        <w:jc w:val="left"/>
        <w:rPr>
          <w:rStyle w:val="Strong"/>
        </w:rPr>
      </w:pPr>
      <w:r w:rsidRPr="00D2408B">
        <w:rPr>
          <w:rStyle w:val="Strong"/>
        </w:rPr>
        <w:t>Finalize the Taskforce charter</w:t>
      </w:r>
    </w:p>
    <w:p w:rsidR="00D2408B" w:rsidRPr="00FA64DE" w:rsidRDefault="00D2408B" w:rsidP="006602F4">
      <w:pPr>
        <w:pStyle w:val="ListParagraph"/>
        <w:numPr>
          <w:ilvl w:val="0"/>
          <w:numId w:val="2"/>
        </w:numPr>
        <w:jc w:val="left"/>
        <w:rPr>
          <w:rFonts w:ascii="Helvetica" w:hAnsi="Helvetica"/>
          <w:sz w:val="24"/>
          <w:szCs w:val="24"/>
        </w:rPr>
      </w:pPr>
      <w:r w:rsidRPr="00FA64DE">
        <w:rPr>
          <w:rFonts w:ascii="Helvetica" w:hAnsi="Helvetica"/>
          <w:sz w:val="24"/>
          <w:szCs w:val="24"/>
        </w:rPr>
        <w:t>Discuss the process for considering non-endorsed measures</w:t>
      </w:r>
    </w:p>
    <w:p w:rsidR="00D2408B" w:rsidRDefault="00D2408B" w:rsidP="006602F4">
      <w:pPr>
        <w:pStyle w:val="ListParagraph"/>
        <w:numPr>
          <w:ilvl w:val="0"/>
          <w:numId w:val="2"/>
        </w:numPr>
        <w:jc w:val="left"/>
        <w:rPr>
          <w:rFonts w:ascii="Helvetica" w:hAnsi="Helvetica"/>
          <w:sz w:val="24"/>
          <w:szCs w:val="24"/>
        </w:rPr>
      </w:pPr>
      <w:r w:rsidRPr="00FA64DE">
        <w:rPr>
          <w:rFonts w:ascii="Helvetica" w:hAnsi="Helvetica"/>
          <w:sz w:val="24"/>
          <w:szCs w:val="24"/>
        </w:rPr>
        <w:t xml:space="preserve">Begin the annual review of the Aligned Measure Set </w:t>
      </w:r>
    </w:p>
    <w:p w:rsidR="00354022" w:rsidRPr="00D2408B" w:rsidRDefault="00D2408B" w:rsidP="006602F4">
      <w:pPr>
        <w:pStyle w:val="ListParagraph"/>
        <w:numPr>
          <w:ilvl w:val="0"/>
          <w:numId w:val="2"/>
        </w:numPr>
        <w:jc w:val="left"/>
        <w:rPr>
          <w:rFonts w:ascii="Helvetica" w:hAnsi="Helvetica"/>
          <w:sz w:val="24"/>
          <w:szCs w:val="24"/>
        </w:rPr>
      </w:pPr>
      <w:r w:rsidRPr="00F876AA">
        <w:rPr>
          <w:rFonts w:ascii="Helvetica" w:hAnsi="Helvetica"/>
          <w:sz w:val="24"/>
          <w:szCs w:val="24"/>
        </w:rPr>
        <w:t>Next Steps</w:t>
      </w:r>
      <w:r w:rsidR="0018150A" w:rsidRPr="00D2408B">
        <w:rPr>
          <w:rFonts w:ascii="Helvetica" w:hAnsi="Helvetica"/>
          <w:sz w:val="24"/>
          <w:szCs w:val="24"/>
        </w:rPr>
        <w:t xml:space="preserve"> </w:t>
      </w:r>
    </w:p>
    <w:p w:rsidR="00864B77" w:rsidRPr="00A35C58" w:rsidRDefault="00864B77" w:rsidP="00F42212">
      <w:pPr>
        <w:pStyle w:val="Heading1"/>
      </w:pPr>
      <w:r w:rsidRPr="00A35C58">
        <w:t xml:space="preserve">Slide </w:t>
      </w:r>
      <w:r w:rsidR="00975B2F">
        <w:t>9</w:t>
      </w:r>
    </w:p>
    <w:p w:rsidR="00857203" w:rsidRDefault="005634FF" w:rsidP="00F42212">
      <w:pPr>
        <w:pStyle w:val="Heading2"/>
      </w:pPr>
      <w:r w:rsidRPr="005634FF">
        <w:t>Finalize Taskforce Charter</w:t>
      </w:r>
    </w:p>
    <w:p w:rsidR="005634FF" w:rsidRPr="005634FF" w:rsidRDefault="005634FF" w:rsidP="006602F4">
      <w:pPr>
        <w:pStyle w:val="ListParagraph"/>
        <w:numPr>
          <w:ilvl w:val="0"/>
          <w:numId w:val="5"/>
        </w:numPr>
        <w:jc w:val="left"/>
        <w:rPr>
          <w:rFonts w:ascii="Helvetica" w:hAnsi="Helvetica"/>
          <w:sz w:val="24"/>
          <w:szCs w:val="24"/>
        </w:rPr>
      </w:pPr>
      <w:r w:rsidRPr="005634FF">
        <w:rPr>
          <w:rFonts w:ascii="Helvetica" w:hAnsi="Helvetica"/>
          <w:sz w:val="24"/>
          <w:szCs w:val="24"/>
        </w:rPr>
        <w:t>Following the October Taskforce meeting, Taskforce staff distributed an updated version of the Taskforce Charter for your final review on 10/18.</w:t>
      </w:r>
    </w:p>
    <w:p w:rsidR="005634FF" w:rsidRPr="005634FF" w:rsidRDefault="005634FF" w:rsidP="006602F4">
      <w:pPr>
        <w:pStyle w:val="ListParagraph"/>
        <w:numPr>
          <w:ilvl w:val="1"/>
          <w:numId w:val="6"/>
        </w:numPr>
        <w:jc w:val="left"/>
        <w:rPr>
          <w:rFonts w:ascii="Helvetica" w:hAnsi="Helvetica"/>
          <w:sz w:val="24"/>
          <w:szCs w:val="24"/>
        </w:rPr>
      </w:pPr>
      <w:r w:rsidRPr="005634FF">
        <w:rPr>
          <w:rFonts w:ascii="Helvetica" w:hAnsi="Helvetica"/>
          <w:sz w:val="24"/>
          <w:szCs w:val="24"/>
        </w:rPr>
        <w:t>As a reminder, EOHHS has decided not to revisit the problem statement it established in 2017.</w:t>
      </w:r>
    </w:p>
    <w:p w:rsidR="005634FF" w:rsidRPr="005634FF" w:rsidRDefault="005634FF" w:rsidP="006602F4">
      <w:pPr>
        <w:pStyle w:val="ListParagraph"/>
        <w:numPr>
          <w:ilvl w:val="1"/>
          <w:numId w:val="6"/>
        </w:numPr>
        <w:jc w:val="left"/>
        <w:rPr>
          <w:rFonts w:ascii="Helvetica" w:hAnsi="Helvetica"/>
          <w:sz w:val="24"/>
          <w:szCs w:val="24"/>
        </w:rPr>
      </w:pPr>
      <w:r w:rsidRPr="005634FF">
        <w:rPr>
          <w:rFonts w:ascii="Helvetica" w:hAnsi="Helvetica"/>
          <w:sz w:val="24"/>
          <w:szCs w:val="24"/>
        </w:rPr>
        <w:t>Other changes recommended by the Taskforce on 10/16 were incorporated into the most recent draft, with changes tracked.</w:t>
      </w:r>
    </w:p>
    <w:p w:rsidR="005634FF" w:rsidRPr="005634FF" w:rsidRDefault="005634FF" w:rsidP="006602F4">
      <w:pPr>
        <w:pStyle w:val="ListParagraph"/>
        <w:numPr>
          <w:ilvl w:val="0"/>
          <w:numId w:val="5"/>
        </w:numPr>
        <w:jc w:val="left"/>
        <w:rPr>
          <w:rStyle w:val="Strong"/>
        </w:rPr>
      </w:pPr>
      <w:r w:rsidRPr="005634FF">
        <w:rPr>
          <w:rStyle w:val="Strong"/>
        </w:rPr>
        <w:t>Does the Taskforce recommend finalizing the revised Taskforce Charter?</w:t>
      </w:r>
    </w:p>
    <w:p w:rsidR="00BA2ADC" w:rsidRPr="00A35C58" w:rsidRDefault="00BA2ADC" w:rsidP="00F42212">
      <w:pPr>
        <w:pStyle w:val="Heading1"/>
      </w:pPr>
      <w:r w:rsidRPr="00A35C58">
        <w:t xml:space="preserve">Slide </w:t>
      </w:r>
      <w:r>
        <w:t>10</w:t>
      </w:r>
    </w:p>
    <w:p w:rsidR="006540D1" w:rsidRDefault="006540D1" w:rsidP="00F42212">
      <w:pPr>
        <w:pStyle w:val="Heading2"/>
      </w:pPr>
      <w:r w:rsidRPr="00864B77">
        <w:t>Agenda</w:t>
      </w:r>
    </w:p>
    <w:p w:rsidR="006540D1" w:rsidRPr="00D2408B" w:rsidRDefault="006540D1" w:rsidP="006602F4">
      <w:pPr>
        <w:pStyle w:val="ListParagraph"/>
        <w:numPr>
          <w:ilvl w:val="0"/>
          <w:numId w:val="2"/>
        </w:numPr>
        <w:jc w:val="left"/>
        <w:rPr>
          <w:rStyle w:val="Strong"/>
          <w:b w:val="0"/>
        </w:rPr>
      </w:pPr>
      <w:r w:rsidRPr="00D2408B">
        <w:rPr>
          <w:rStyle w:val="Strong"/>
          <w:b w:val="0"/>
        </w:rPr>
        <w:t xml:space="preserve">Legislative update </w:t>
      </w:r>
    </w:p>
    <w:p w:rsidR="006540D1" w:rsidRPr="006540D1" w:rsidRDefault="006540D1" w:rsidP="006602F4">
      <w:pPr>
        <w:pStyle w:val="ListParagraph"/>
        <w:numPr>
          <w:ilvl w:val="0"/>
          <w:numId w:val="2"/>
        </w:numPr>
        <w:jc w:val="left"/>
        <w:rPr>
          <w:rStyle w:val="Strong"/>
          <w:b w:val="0"/>
        </w:rPr>
      </w:pPr>
      <w:r w:rsidRPr="006540D1">
        <w:rPr>
          <w:rStyle w:val="Strong"/>
          <w:b w:val="0"/>
        </w:rPr>
        <w:t>Finalize the Taskforce charter</w:t>
      </w:r>
    </w:p>
    <w:p w:rsidR="006540D1" w:rsidRPr="006540D1" w:rsidRDefault="006540D1" w:rsidP="006602F4">
      <w:pPr>
        <w:pStyle w:val="ListParagraph"/>
        <w:numPr>
          <w:ilvl w:val="0"/>
          <w:numId w:val="2"/>
        </w:numPr>
        <w:jc w:val="left"/>
        <w:rPr>
          <w:rFonts w:ascii="Helvetica" w:hAnsi="Helvetica"/>
          <w:b/>
          <w:sz w:val="24"/>
          <w:szCs w:val="24"/>
        </w:rPr>
      </w:pPr>
      <w:r w:rsidRPr="006540D1">
        <w:rPr>
          <w:rFonts w:ascii="Helvetica" w:hAnsi="Helvetica"/>
          <w:b/>
          <w:sz w:val="24"/>
          <w:szCs w:val="24"/>
        </w:rPr>
        <w:t>Discuss the process for considering non-endorsed measures</w:t>
      </w:r>
    </w:p>
    <w:p w:rsidR="006540D1" w:rsidRDefault="006540D1" w:rsidP="006602F4">
      <w:pPr>
        <w:pStyle w:val="ListParagraph"/>
        <w:numPr>
          <w:ilvl w:val="0"/>
          <w:numId w:val="2"/>
        </w:numPr>
        <w:jc w:val="left"/>
        <w:rPr>
          <w:rFonts w:ascii="Helvetica" w:hAnsi="Helvetica"/>
          <w:sz w:val="24"/>
          <w:szCs w:val="24"/>
        </w:rPr>
      </w:pPr>
      <w:r w:rsidRPr="00FA64DE">
        <w:rPr>
          <w:rFonts w:ascii="Helvetica" w:hAnsi="Helvetica"/>
          <w:sz w:val="24"/>
          <w:szCs w:val="24"/>
        </w:rPr>
        <w:t xml:space="preserve">Begin the annual review of the Aligned Measure Set </w:t>
      </w:r>
    </w:p>
    <w:p w:rsidR="006540D1" w:rsidRPr="00D2408B" w:rsidRDefault="006540D1" w:rsidP="006602F4">
      <w:pPr>
        <w:pStyle w:val="ListParagraph"/>
        <w:numPr>
          <w:ilvl w:val="0"/>
          <w:numId w:val="2"/>
        </w:numPr>
        <w:jc w:val="left"/>
        <w:rPr>
          <w:rFonts w:ascii="Helvetica" w:hAnsi="Helvetica"/>
          <w:sz w:val="24"/>
          <w:szCs w:val="24"/>
        </w:rPr>
      </w:pPr>
      <w:r w:rsidRPr="00F876AA">
        <w:rPr>
          <w:rFonts w:ascii="Helvetica" w:hAnsi="Helvetica"/>
          <w:sz w:val="24"/>
          <w:szCs w:val="24"/>
        </w:rPr>
        <w:t>Next Steps</w:t>
      </w:r>
      <w:r w:rsidRPr="00D2408B">
        <w:rPr>
          <w:rFonts w:ascii="Helvetica" w:hAnsi="Helvetica"/>
          <w:sz w:val="24"/>
          <w:szCs w:val="24"/>
        </w:rPr>
        <w:t xml:space="preserve"> </w:t>
      </w:r>
    </w:p>
    <w:p w:rsidR="00BA2ADC" w:rsidRPr="00A35C58" w:rsidRDefault="00BA2ADC" w:rsidP="00F42212">
      <w:pPr>
        <w:pStyle w:val="Heading1"/>
      </w:pPr>
      <w:r w:rsidRPr="00A35C58">
        <w:t xml:space="preserve">Slide </w:t>
      </w:r>
      <w:r>
        <w:t>1</w:t>
      </w:r>
      <w:r w:rsidR="008E1998">
        <w:t>1</w:t>
      </w:r>
    </w:p>
    <w:p w:rsidR="006540D1" w:rsidRDefault="006540D1" w:rsidP="00F42212">
      <w:pPr>
        <w:pStyle w:val="Heading2"/>
      </w:pPr>
      <w:r w:rsidRPr="006540D1">
        <w:t>Process for Considering Non-endorsed Measures: Context</w:t>
      </w:r>
    </w:p>
    <w:p w:rsidR="006540D1" w:rsidRPr="00C62575" w:rsidRDefault="006540D1" w:rsidP="006602F4">
      <w:pPr>
        <w:pStyle w:val="ListParagraph"/>
        <w:numPr>
          <w:ilvl w:val="0"/>
          <w:numId w:val="41"/>
        </w:numPr>
        <w:contextualSpacing w:val="0"/>
        <w:jc w:val="left"/>
        <w:rPr>
          <w:rFonts w:ascii="Helvetica" w:hAnsi="Helvetica" w:cs="Helvetica"/>
          <w:sz w:val="24"/>
          <w:szCs w:val="24"/>
        </w:rPr>
      </w:pPr>
      <w:r w:rsidRPr="00C62575">
        <w:rPr>
          <w:rFonts w:ascii="Helvetica" w:hAnsi="Helvetica" w:cs="Helvetica"/>
          <w:sz w:val="24"/>
          <w:szCs w:val="24"/>
        </w:rPr>
        <w:t>Since early in the Taskforce’s work, BCBSMA and Partners have expressed an interest in the Aligned Measure Set parameters permitting them to use measures outside of the Aligned Measure Set within their contracts.</w:t>
      </w:r>
    </w:p>
    <w:p w:rsidR="006540D1" w:rsidRPr="00C62575" w:rsidRDefault="006540D1" w:rsidP="006602F4">
      <w:pPr>
        <w:pStyle w:val="ListParagraph"/>
        <w:numPr>
          <w:ilvl w:val="1"/>
          <w:numId w:val="42"/>
        </w:numPr>
        <w:jc w:val="left"/>
        <w:rPr>
          <w:rFonts w:ascii="Helvetica" w:hAnsi="Helvetica" w:cs="Helvetica"/>
          <w:sz w:val="24"/>
          <w:szCs w:val="24"/>
        </w:rPr>
      </w:pPr>
      <w:r w:rsidRPr="00C62575">
        <w:rPr>
          <w:rFonts w:ascii="Helvetica" w:hAnsi="Helvetica" w:cs="Helvetica"/>
          <w:sz w:val="24"/>
          <w:szCs w:val="24"/>
        </w:rPr>
        <w:t>For BCBSMA, this would allow for development and testing of new measures to fill current measurement gaps, e.g., patient-reported outcome measures.</w:t>
      </w:r>
    </w:p>
    <w:p w:rsidR="006540D1" w:rsidRPr="00C62575" w:rsidRDefault="006540D1" w:rsidP="006602F4">
      <w:pPr>
        <w:pStyle w:val="ListParagraph"/>
        <w:numPr>
          <w:ilvl w:val="1"/>
          <w:numId w:val="42"/>
        </w:numPr>
        <w:contextualSpacing w:val="0"/>
        <w:jc w:val="left"/>
        <w:rPr>
          <w:rFonts w:ascii="Helvetica" w:hAnsi="Helvetica" w:cs="Helvetica"/>
          <w:sz w:val="24"/>
          <w:szCs w:val="24"/>
        </w:rPr>
      </w:pPr>
      <w:r w:rsidRPr="00C62575">
        <w:rPr>
          <w:rFonts w:ascii="Helvetica" w:hAnsi="Helvetica" w:cs="Helvetica"/>
          <w:sz w:val="24"/>
          <w:szCs w:val="24"/>
        </w:rPr>
        <w:t xml:space="preserve">For Partners, this would allow for use of Partners’ internally developed </w:t>
      </w:r>
      <w:proofErr w:type="spellStart"/>
      <w:r w:rsidRPr="00C62575">
        <w:rPr>
          <w:rFonts w:ascii="Helvetica" w:hAnsi="Helvetica" w:cs="Helvetica"/>
          <w:sz w:val="24"/>
          <w:szCs w:val="24"/>
        </w:rPr>
        <w:t>eCare</w:t>
      </w:r>
      <w:proofErr w:type="spellEnd"/>
      <w:r w:rsidRPr="00C62575">
        <w:rPr>
          <w:rFonts w:ascii="Helvetica" w:hAnsi="Helvetica" w:cs="Helvetica"/>
          <w:sz w:val="24"/>
          <w:szCs w:val="24"/>
        </w:rPr>
        <w:t xml:space="preserve"> measures instead of similar HEDIS measures.</w:t>
      </w:r>
    </w:p>
    <w:p w:rsidR="006540D1" w:rsidRPr="00C62575" w:rsidRDefault="006540D1" w:rsidP="006602F4">
      <w:pPr>
        <w:pStyle w:val="ListParagraph"/>
        <w:numPr>
          <w:ilvl w:val="0"/>
          <w:numId w:val="41"/>
        </w:numPr>
        <w:contextualSpacing w:val="0"/>
        <w:jc w:val="left"/>
        <w:rPr>
          <w:rFonts w:ascii="Helvetica" w:hAnsi="Helvetica" w:cs="Helvetica"/>
          <w:sz w:val="24"/>
          <w:szCs w:val="24"/>
        </w:rPr>
      </w:pPr>
      <w:r w:rsidRPr="00C62575">
        <w:rPr>
          <w:rFonts w:ascii="Helvetica" w:hAnsi="Helvetica" w:cs="Helvetica"/>
          <w:sz w:val="24"/>
          <w:szCs w:val="24"/>
        </w:rPr>
        <w:t xml:space="preserve">In response, the Taskforce recommended, and Secretary </w:t>
      </w:r>
      <w:proofErr w:type="spellStart"/>
      <w:r w:rsidRPr="00C62575">
        <w:rPr>
          <w:rFonts w:ascii="Helvetica" w:hAnsi="Helvetica" w:cs="Helvetica"/>
          <w:sz w:val="24"/>
          <w:szCs w:val="24"/>
        </w:rPr>
        <w:t>Sudders</w:t>
      </w:r>
      <w:proofErr w:type="spellEnd"/>
      <w:r w:rsidRPr="00C62575">
        <w:rPr>
          <w:rFonts w:ascii="Helvetica" w:hAnsi="Helvetica" w:cs="Helvetica"/>
          <w:sz w:val="24"/>
          <w:szCs w:val="24"/>
        </w:rPr>
        <w:t xml:space="preserve"> endorsed, the creation of a measure category titled “Innovation Measures.”</w:t>
      </w:r>
    </w:p>
    <w:p w:rsidR="008E1998" w:rsidRDefault="008E1998" w:rsidP="00F42212">
      <w:pPr>
        <w:pStyle w:val="Heading1"/>
      </w:pPr>
      <w:r w:rsidRPr="00A35C58">
        <w:t xml:space="preserve">Slide </w:t>
      </w:r>
      <w:r>
        <w:t>12</w:t>
      </w:r>
    </w:p>
    <w:p w:rsidR="008E1998" w:rsidRDefault="00DB2254" w:rsidP="00F42212">
      <w:pPr>
        <w:pStyle w:val="Heading2"/>
      </w:pPr>
      <w:r w:rsidRPr="00DB2254">
        <w:t>Process for Considering Non-endorsed Measures: Context</w:t>
      </w:r>
    </w:p>
    <w:p w:rsidR="00DB2254" w:rsidRPr="00DB2254" w:rsidRDefault="00DB2254" w:rsidP="006602F4">
      <w:pPr>
        <w:pStyle w:val="ListParagraph"/>
        <w:numPr>
          <w:ilvl w:val="0"/>
          <w:numId w:val="7"/>
        </w:numPr>
        <w:contextualSpacing w:val="0"/>
        <w:jc w:val="left"/>
        <w:rPr>
          <w:rFonts w:ascii="Helvetica" w:hAnsi="Helvetica"/>
          <w:sz w:val="24"/>
          <w:szCs w:val="24"/>
        </w:rPr>
      </w:pPr>
      <w:r w:rsidRPr="00DB2254">
        <w:rPr>
          <w:rFonts w:ascii="Helvetica" w:hAnsi="Helvetica"/>
          <w:sz w:val="24"/>
          <w:szCs w:val="24"/>
        </w:rPr>
        <w:t>Partners’ was concerned whether its homegrown “</w:t>
      </w:r>
      <w:proofErr w:type="spellStart"/>
      <w:r w:rsidRPr="00DB2254">
        <w:rPr>
          <w:rFonts w:ascii="Helvetica" w:hAnsi="Helvetica"/>
          <w:sz w:val="24"/>
          <w:szCs w:val="24"/>
        </w:rPr>
        <w:t>eCare</w:t>
      </w:r>
      <w:proofErr w:type="spellEnd"/>
      <w:r w:rsidRPr="00DB2254">
        <w:rPr>
          <w:rFonts w:ascii="Helvetica" w:hAnsi="Helvetica"/>
          <w:sz w:val="24"/>
          <w:szCs w:val="24"/>
        </w:rPr>
        <w:t xml:space="preserve">” measures would qualify as meeting the Taskforce’s Innovation measures definition.  In response, a few Taskforce staff met with Partners on 11/12/18 to better understand the Partners </w:t>
      </w:r>
      <w:proofErr w:type="spellStart"/>
      <w:r w:rsidRPr="00DB2254">
        <w:rPr>
          <w:rFonts w:ascii="Helvetica" w:hAnsi="Helvetica"/>
          <w:sz w:val="24"/>
          <w:szCs w:val="24"/>
        </w:rPr>
        <w:t>eCare</w:t>
      </w:r>
      <w:proofErr w:type="spellEnd"/>
      <w:r w:rsidRPr="00DB2254">
        <w:rPr>
          <w:rFonts w:ascii="Helvetica" w:hAnsi="Helvetica"/>
          <w:sz w:val="24"/>
          <w:szCs w:val="24"/>
        </w:rPr>
        <w:t xml:space="preserve"> measures in order to answer the question.</w:t>
      </w:r>
    </w:p>
    <w:p w:rsidR="00DB2254" w:rsidRPr="00DB2254" w:rsidRDefault="00DB2254" w:rsidP="006602F4">
      <w:pPr>
        <w:pStyle w:val="ListParagraph"/>
        <w:numPr>
          <w:ilvl w:val="0"/>
          <w:numId w:val="7"/>
        </w:numPr>
        <w:contextualSpacing w:val="0"/>
        <w:jc w:val="left"/>
        <w:rPr>
          <w:rFonts w:ascii="Helvetica" w:hAnsi="Helvetica"/>
          <w:sz w:val="24"/>
          <w:szCs w:val="24"/>
        </w:rPr>
      </w:pPr>
      <w:r w:rsidRPr="00DB2254">
        <w:rPr>
          <w:rFonts w:ascii="Helvetica" w:hAnsi="Helvetica"/>
          <w:sz w:val="24"/>
          <w:szCs w:val="24"/>
        </w:rPr>
        <w:t xml:space="preserve">Staff learned that Partners </w:t>
      </w:r>
      <w:proofErr w:type="spellStart"/>
      <w:r w:rsidRPr="00DB2254">
        <w:rPr>
          <w:rFonts w:ascii="Helvetica" w:hAnsi="Helvetica"/>
          <w:sz w:val="24"/>
          <w:szCs w:val="24"/>
        </w:rPr>
        <w:t>eCare</w:t>
      </w:r>
      <w:proofErr w:type="spellEnd"/>
      <w:r w:rsidRPr="00DB2254">
        <w:rPr>
          <w:rFonts w:ascii="Helvetica" w:hAnsi="Helvetica"/>
          <w:sz w:val="24"/>
          <w:szCs w:val="24"/>
        </w:rPr>
        <w:t xml:space="preserve"> measures were created to better define the quality of care in the Partners clinically managed population with the ultimate goal of more effectively engaging providers in care improvement, and decided to bring the topic to the Taskforce for discussion.</w:t>
      </w:r>
    </w:p>
    <w:p w:rsidR="003A57E9" w:rsidRPr="00DB2254" w:rsidRDefault="00DB2254" w:rsidP="006602F4">
      <w:pPr>
        <w:pStyle w:val="ListParagraph"/>
        <w:numPr>
          <w:ilvl w:val="0"/>
          <w:numId w:val="7"/>
        </w:numPr>
        <w:contextualSpacing w:val="0"/>
        <w:jc w:val="left"/>
        <w:rPr>
          <w:rFonts w:ascii="Helvetica" w:hAnsi="Helvetica"/>
          <w:sz w:val="24"/>
          <w:szCs w:val="24"/>
        </w:rPr>
      </w:pPr>
      <w:r w:rsidRPr="00DB2254">
        <w:rPr>
          <w:rFonts w:ascii="Helvetica" w:hAnsi="Helvetica"/>
          <w:sz w:val="24"/>
          <w:szCs w:val="24"/>
        </w:rPr>
        <w:t xml:space="preserve">The following slides were initially presented at the 2/29/19 Taskforce meeting to explain Partners’ </w:t>
      </w:r>
      <w:proofErr w:type="spellStart"/>
      <w:r w:rsidRPr="00DB2254">
        <w:rPr>
          <w:rFonts w:ascii="Helvetica" w:hAnsi="Helvetica"/>
          <w:sz w:val="24"/>
          <w:szCs w:val="24"/>
        </w:rPr>
        <w:t>eCare</w:t>
      </w:r>
      <w:proofErr w:type="spellEnd"/>
      <w:r w:rsidRPr="00DB2254">
        <w:rPr>
          <w:rFonts w:ascii="Helvetica" w:hAnsi="Helvetica"/>
          <w:sz w:val="24"/>
          <w:szCs w:val="24"/>
        </w:rPr>
        <w:t xml:space="preserve"> measures.</w:t>
      </w:r>
      <w:r w:rsidRPr="00DB2254">
        <w:rPr>
          <w:rFonts w:ascii="Helvetica" w:hAnsi="Helvetica"/>
          <w:sz w:val="24"/>
          <w:szCs w:val="24"/>
        </w:rPr>
        <w:t xml:space="preserve"> </w:t>
      </w:r>
    </w:p>
    <w:p w:rsidR="003A57E9" w:rsidRDefault="003A57E9" w:rsidP="00F42212">
      <w:pPr>
        <w:pStyle w:val="Heading1"/>
      </w:pPr>
      <w:r w:rsidRPr="00A35C58">
        <w:t xml:space="preserve">Slide </w:t>
      </w:r>
      <w:r>
        <w:t>13</w:t>
      </w:r>
    </w:p>
    <w:p w:rsidR="003A57E9" w:rsidRDefault="00DB2254" w:rsidP="00F42212">
      <w:pPr>
        <w:pStyle w:val="Heading2"/>
      </w:pPr>
      <w:r w:rsidRPr="00DB2254">
        <w:t>Process for Considering Non-endorsed Measures: Context</w:t>
      </w:r>
      <w:r w:rsidR="003A57E9" w:rsidRPr="003A57E9">
        <w:t xml:space="preserve"> </w:t>
      </w:r>
    </w:p>
    <w:p w:rsidR="00DB2254" w:rsidRPr="00DB2254" w:rsidRDefault="00DB2254" w:rsidP="006602F4">
      <w:pPr>
        <w:pStyle w:val="ListParagraph"/>
        <w:numPr>
          <w:ilvl w:val="0"/>
          <w:numId w:val="8"/>
        </w:numPr>
        <w:jc w:val="left"/>
        <w:rPr>
          <w:rFonts w:ascii="Helvetica" w:hAnsi="Helvetica"/>
          <w:sz w:val="24"/>
          <w:szCs w:val="24"/>
        </w:rPr>
      </w:pPr>
      <w:r w:rsidRPr="00DB2254">
        <w:rPr>
          <w:rFonts w:ascii="Helvetica" w:hAnsi="Helvetica"/>
          <w:sz w:val="24"/>
          <w:szCs w:val="24"/>
        </w:rPr>
        <w:t xml:space="preserve">The Partners </w:t>
      </w:r>
      <w:proofErr w:type="spellStart"/>
      <w:r w:rsidRPr="00DB2254">
        <w:rPr>
          <w:rFonts w:ascii="Helvetica" w:hAnsi="Helvetica"/>
          <w:sz w:val="24"/>
          <w:szCs w:val="24"/>
        </w:rPr>
        <w:t>eCare</w:t>
      </w:r>
      <w:proofErr w:type="spellEnd"/>
      <w:r w:rsidRPr="00DB2254">
        <w:rPr>
          <w:rFonts w:ascii="Helvetica" w:hAnsi="Helvetica"/>
          <w:sz w:val="24"/>
          <w:szCs w:val="24"/>
        </w:rPr>
        <w:t xml:space="preserve"> measures deviate from the following measures in the 2020 Massachusetts Aligned Measure Set:</w:t>
      </w:r>
    </w:p>
    <w:p w:rsidR="00DB2254" w:rsidRPr="00DB2254" w:rsidRDefault="00DB2254" w:rsidP="006602F4">
      <w:pPr>
        <w:pStyle w:val="ListParagraph"/>
        <w:numPr>
          <w:ilvl w:val="1"/>
          <w:numId w:val="8"/>
        </w:numPr>
        <w:jc w:val="left"/>
        <w:rPr>
          <w:rFonts w:ascii="Helvetica" w:hAnsi="Helvetica"/>
          <w:sz w:val="24"/>
          <w:szCs w:val="24"/>
        </w:rPr>
      </w:pPr>
      <w:r w:rsidRPr="00DB2254">
        <w:rPr>
          <w:rFonts w:ascii="Helvetica" w:hAnsi="Helvetica"/>
          <w:sz w:val="24"/>
          <w:szCs w:val="24"/>
        </w:rPr>
        <w:t>Core</w:t>
      </w:r>
    </w:p>
    <w:p w:rsidR="00DB2254" w:rsidRPr="00DB2254" w:rsidRDefault="00DB2254" w:rsidP="006602F4">
      <w:pPr>
        <w:pStyle w:val="ListParagraph"/>
        <w:numPr>
          <w:ilvl w:val="2"/>
          <w:numId w:val="9"/>
        </w:numPr>
        <w:jc w:val="left"/>
        <w:rPr>
          <w:rFonts w:ascii="Helvetica" w:hAnsi="Helvetica"/>
          <w:sz w:val="24"/>
          <w:szCs w:val="24"/>
        </w:rPr>
      </w:pPr>
      <w:r w:rsidRPr="00DB2254">
        <w:rPr>
          <w:rFonts w:ascii="Helvetica" w:hAnsi="Helvetica"/>
          <w:sz w:val="24"/>
          <w:szCs w:val="24"/>
        </w:rPr>
        <w:t xml:space="preserve">Diabetes HbA1c Control </w:t>
      </w:r>
    </w:p>
    <w:p w:rsidR="00DB2254" w:rsidRPr="00DB2254" w:rsidRDefault="00DB2254" w:rsidP="006602F4">
      <w:pPr>
        <w:pStyle w:val="ListParagraph"/>
        <w:numPr>
          <w:ilvl w:val="2"/>
          <w:numId w:val="9"/>
        </w:numPr>
        <w:jc w:val="left"/>
        <w:rPr>
          <w:rFonts w:ascii="Helvetica" w:hAnsi="Helvetica"/>
          <w:sz w:val="24"/>
          <w:szCs w:val="24"/>
        </w:rPr>
      </w:pPr>
      <w:r w:rsidRPr="00DB2254">
        <w:rPr>
          <w:rFonts w:ascii="Helvetica" w:hAnsi="Helvetica"/>
          <w:sz w:val="24"/>
          <w:szCs w:val="24"/>
        </w:rPr>
        <w:t>Hypertension Blood Pressure Control</w:t>
      </w:r>
    </w:p>
    <w:p w:rsidR="00DB2254" w:rsidRPr="00DB2254" w:rsidRDefault="00DB2254" w:rsidP="006602F4">
      <w:pPr>
        <w:pStyle w:val="ListParagraph"/>
        <w:numPr>
          <w:ilvl w:val="1"/>
          <w:numId w:val="8"/>
        </w:numPr>
        <w:jc w:val="left"/>
        <w:rPr>
          <w:rFonts w:ascii="Helvetica" w:hAnsi="Helvetica"/>
          <w:sz w:val="24"/>
          <w:szCs w:val="24"/>
        </w:rPr>
      </w:pPr>
      <w:r w:rsidRPr="00DB2254">
        <w:rPr>
          <w:rFonts w:ascii="Helvetica" w:hAnsi="Helvetica"/>
          <w:sz w:val="24"/>
          <w:szCs w:val="24"/>
        </w:rPr>
        <w:t>Menu</w:t>
      </w:r>
    </w:p>
    <w:p w:rsidR="00DB2254" w:rsidRPr="00DB2254" w:rsidRDefault="00DB2254" w:rsidP="006602F4">
      <w:pPr>
        <w:pStyle w:val="ListParagraph"/>
        <w:numPr>
          <w:ilvl w:val="2"/>
          <w:numId w:val="10"/>
        </w:numPr>
        <w:jc w:val="left"/>
        <w:rPr>
          <w:rFonts w:ascii="Helvetica" w:hAnsi="Helvetica"/>
          <w:sz w:val="24"/>
          <w:szCs w:val="24"/>
        </w:rPr>
      </w:pPr>
      <w:r w:rsidRPr="00DB2254">
        <w:rPr>
          <w:rFonts w:ascii="Helvetica" w:hAnsi="Helvetica"/>
          <w:sz w:val="24"/>
          <w:szCs w:val="24"/>
        </w:rPr>
        <w:t>Breast Cancer Screening</w:t>
      </w:r>
    </w:p>
    <w:p w:rsidR="00DB2254" w:rsidRPr="00DB2254" w:rsidRDefault="00DB2254" w:rsidP="006602F4">
      <w:pPr>
        <w:pStyle w:val="ListParagraph"/>
        <w:numPr>
          <w:ilvl w:val="2"/>
          <w:numId w:val="10"/>
        </w:numPr>
        <w:jc w:val="left"/>
        <w:rPr>
          <w:rFonts w:ascii="Helvetica" w:hAnsi="Helvetica"/>
          <w:sz w:val="24"/>
          <w:szCs w:val="24"/>
        </w:rPr>
      </w:pPr>
      <w:r w:rsidRPr="00DB2254">
        <w:rPr>
          <w:rFonts w:ascii="Helvetica" w:hAnsi="Helvetica"/>
          <w:sz w:val="24"/>
          <w:szCs w:val="24"/>
        </w:rPr>
        <w:t>Cervical Cancer Screening</w:t>
      </w:r>
    </w:p>
    <w:p w:rsidR="00DB2254" w:rsidRPr="00DB2254" w:rsidRDefault="00DB2254" w:rsidP="006602F4">
      <w:pPr>
        <w:pStyle w:val="ListParagraph"/>
        <w:numPr>
          <w:ilvl w:val="2"/>
          <w:numId w:val="10"/>
        </w:numPr>
        <w:jc w:val="left"/>
        <w:rPr>
          <w:rFonts w:ascii="Helvetica" w:hAnsi="Helvetica"/>
          <w:sz w:val="24"/>
          <w:szCs w:val="24"/>
        </w:rPr>
      </w:pPr>
      <w:r w:rsidRPr="00DB2254">
        <w:rPr>
          <w:rFonts w:ascii="Helvetica" w:hAnsi="Helvetica"/>
          <w:sz w:val="24"/>
          <w:szCs w:val="24"/>
        </w:rPr>
        <w:t>Colorectal Cancer Screening</w:t>
      </w:r>
    </w:p>
    <w:p w:rsidR="003A57E9" w:rsidRPr="00DB2254" w:rsidRDefault="00DB2254" w:rsidP="006602F4">
      <w:pPr>
        <w:pStyle w:val="ListParagraph"/>
        <w:numPr>
          <w:ilvl w:val="2"/>
          <w:numId w:val="10"/>
        </w:numPr>
        <w:jc w:val="left"/>
        <w:rPr>
          <w:rFonts w:ascii="Helvetica" w:hAnsi="Helvetica"/>
          <w:sz w:val="24"/>
          <w:szCs w:val="24"/>
        </w:rPr>
      </w:pPr>
      <w:r w:rsidRPr="00DB2254">
        <w:rPr>
          <w:rFonts w:ascii="Helvetica" w:hAnsi="Helvetica"/>
          <w:sz w:val="24"/>
          <w:szCs w:val="24"/>
        </w:rPr>
        <w:t>Diabetes Blood Pressure Control</w:t>
      </w:r>
    </w:p>
    <w:p w:rsidR="00A61A2D" w:rsidRDefault="00A61A2D" w:rsidP="00F42212">
      <w:pPr>
        <w:pStyle w:val="Heading1"/>
      </w:pPr>
      <w:r w:rsidRPr="00A35C58">
        <w:t xml:space="preserve">Slide </w:t>
      </w:r>
      <w:r>
        <w:t>14</w:t>
      </w:r>
    </w:p>
    <w:p w:rsidR="003A57E9" w:rsidRDefault="00DB2254" w:rsidP="00F42212">
      <w:pPr>
        <w:pStyle w:val="Heading2"/>
      </w:pPr>
      <w:r w:rsidRPr="00DB2254">
        <w:t>Process for Considering Non-endorsed Measures: Context</w:t>
      </w:r>
    </w:p>
    <w:p w:rsidR="00CB64F7" w:rsidRPr="00CB64F7" w:rsidRDefault="00CB64F7" w:rsidP="006602F4">
      <w:pPr>
        <w:pStyle w:val="ListParagraph"/>
        <w:numPr>
          <w:ilvl w:val="0"/>
          <w:numId w:val="11"/>
        </w:numPr>
        <w:jc w:val="left"/>
        <w:rPr>
          <w:rFonts w:ascii="Helvetica" w:hAnsi="Helvetica"/>
          <w:sz w:val="24"/>
          <w:szCs w:val="24"/>
        </w:rPr>
      </w:pPr>
      <w:r w:rsidRPr="00CB64F7">
        <w:rPr>
          <w:rFonts w:ascii="Helvetica" w:hAnsi="Helvetica"/>
          <w:sz w:val="24"/>
          <w:szCs w:val="24"/>
        </w:rPr>
        <w:t xml:space="preserve">The primary differences between the Partners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and the HEDIS measures in the Aligned Set are:</w:t>
      </w:r>
    </w:p>
    <w:p w:rsidR="00CB64F7" w:rsidRPr="00CB64F7" w:rsidRDefault="00CB64F7" w:rsidP="006602F4">
      <w:pPr>
        <w:pStyle w:val="ListParagraph"/>
        <w:numPr>
          <w:ilvl w:val="1"/>
          <w:numId w:val="12"/>
        </w:numPr>
        <w:jc w:val="left"/>
        <w:rPr>
          <w:rFonts w:ascii="Helvetica" w:hAnsi="Helvetica"/>
          <w:sz w:val="24"/>
          <w:szCs w:val="24"/>
        </w:rPr>
      </w:pPr>
      <w:r w:rsidRPr="00CB64F7">
        <w:rPr>
          <w:rStyle w:val="Strong"/>
        </w:rPr>
        <w:t>Health Maintenance Modifiers (HMM):</w:t>
      </w:r>
      <w:r w:rsidRPr="00CB64F7">
        <w:rPr>
          <w:rFonts w:ascii="Helvetica" w:hAnsi="Helvetica"/>
          <w:sz w:val="24"/>
          <w:szCs w:val="24"/>
        </w:rPr>
        <w:t xml:space="preserve">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allow Partners clinicians flexibility to use their judgement in treatment plans by: 1) designating an alternative screening timeframe for screening measures, and 2) designation of a clinical “pass”* for a period of time for selected screening and outcomes measures if certain patient factors exist. </w:t>
      </w:r>
    </w:p>
    <w:p w:rsidR="00CB64F7" w:rsidRPr="00CB64F7" w:rsidRDefault="00CB64F7" w:rsidP="006602F4">
      <w:pPr>
        <w:pStyle w:val="ListParagraph"/>
        <w:numPr>
          <w:ilvl w:val="1"/>
          <w:numId w:val="12"/>
        </w:numPr>
        <w:jc w:val="left"/>
        <w:rPr>
          <w:rFonts w:ascii="Helvetica" w:hAnsi="Helvetica"/>
          <w:sz w:val="24"/>
          <w:szCs w:val="24"/>
        </w:rPr>
      </w:pPr>
      <w:r w:rsidRPr="00CB64F7">
        <w:rPr>
          <w:rStyle w:val="Strong"/>
        </w:rPr>
        <w:t>Denominator Differences:</w:t>
      </w:r>
      <w:r w:rsidRPr="00CB64F7">
        <w:rPr>
          <w:rFonts w:ascii="Helvetica" w:hAnsi="Helvetica"/>
          <w:sz w:val="24"/>
          <w:szCs w:val="24"/>
        </w:rPr>
        <w:t xml:space="preserve"> Partners also allows for additional denominator adjustments if 1) the patient is deceased, 2) the patient does not have the condition, 3) the patient is not the clinician’s patient, or  4) the patient should be monitored but is not captured by default measure logic (e.g., female &lt;50 with family history of breast cancer) </w:t>
      </w:r>
    </w:p>
    <w:p w:rsidR="0018150A" w:rsidRPr="00CB64F7" w:rsidRDefault="00CB64F7" w:rsidP="00F42212">
      <w:pPr>
        <w:jc w:val="left"/>
        <w:rPr>
          <w:rStyle w:val="Emphasis"/>
        </w:rPr>
      </w:pPr>
      <w:r w:rsidRPr="00CB64F7">
        <w:rPr>
          <w:rStyle w:val="Emphasis"/>
        </w:rPr>
        <w:t>*Designation of a “pass” gives a clinician credit for appropriately managing a patient if the clinician decides that a screening is not needed.  Acceptable reasons are defined and not open-ended.</w:t>
      </w:r>
    </w:p>
    <w:p w:rsidR="0018150A" w:rsidRDefault="0018150A" w:rsidP="00F42212">
      <w:pPr>
        <w:pStyle w:val="Heading1"/>
      </w:pPr>
      <w:r w:rsidRPr="00A35C58">
        <w:t xml:space="preserve">Slide </w:t>
      </w:r>
      <w:r>
        <w:t>15</w:t>
      </w:r>
    </w:p>
    <w:p w:rsidR="0018150A" w:rsidRPr="0018150A" w:rsidRDefault="00CB64F7" w:rsidP="00F42212">
      <w:pPr>
        <w:pStyle w:val="Heading2"/>
      </w:pPr>
      <w:r w:rsidRPr="00CB64F7">
        <w:t>Process for Considering Non-endorsed Measures: Context</w:t>
      </w:r>
    </w:p>
    <w:p w:rsidR="00CB64F7" w:rsidRPr="00CB64F7" w:rsidRDefault="00CB64F7" w:rsidP="006602F4">
      <w:pPr>
        <w:pStyle w:val="ListParagraph"/>
        <w:numPr>
          <w:ilvl w:val="0"/>
          <w:numId w:val="13"/>
        </w:numPr>
        <w:jc w:val="left"/>
        <w:rPr>
          <w:rFonts w:ascii="Helvetica" w:hAnsi="Helvetica"/>
          <w:sz w:val="24"/>
          <w:szCs w:val="24"/>
        </w:rPr>
      </w:pPr>
      <w:r w:rsidRPr="00CB64F7">
        <w:rPr>
          <w:rFonts w:ascii="Helvetica" w:hAnsi="Helvetica"/>
          <w:sz w:val="24"/>
          <w:szCs w:val="24"/>
        </w:rPr>
        <w:t xml:space="preserve">Other differences between the Partners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and HEDIS measures include:</w:t>
      </w:r>
    </w:p>
    <w:p w:rsidR="00CB64F7" w:rsidRPr="00CB64F7" w:rsidRDefault="00CB64F7" w:rsidP="006602F4">
      <w:pPr>
        <w:pStyle w:val="ListParagraph"/>
        <w:numPr>
          <w:ilvl w:val="1"/>
          <w:numId w:val="14"/>
        </w:numPr>
        <w:jc w:val="left"/>
        <w:rPr>
          <w:rFonts w:ascii="Helvetica" w:hAnsi="Helvetica"/>
          <w:sz w:val="24"/>
          <w:szCs w:val="24"/>
        </w:rPr>
      </w:pPr>
      <w:r w:rsidRPr="00CB64F7">
        <w:rPr>
          <w:rStyle w:val="Strong"/>
        </w:rPr>
        <w:t xml:space="preserve">Non-Claims-Based Sources: </w:t>
      </w:r>
      <w:r w:rsidRPr="00CB64F7">
        <w:rPr>
          <w:rFonts w:ascii="Helvetica" w:hAnsi="Helvetica"/>
          <w:sz w:val="24"/>
          <w:szCs w:val="24"/>
        </w:rPr>
        <w:t xml:space="preserve">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use medical records from Epic. </w:t>
      </w:r>
    </w:p>
    <w:p w:rsidR="00CB64F7" w:rsidRPr="00CB64F7" w:rsidRDefault="00CB64F7" w:rsidP="006602F4">
      <w:pPr>
        <w:pStyle w:val="ListParagraph"/>
        <w:numPr>
          <w:ilvl w:val="1"/>
          <w:numId w:val="14"/>
        </w:numPr>
        <w:jc w:val="left"/>
        <w:rPr>
          <w:rFonts w:ascii="Helvetica" w:hAnsi="Helvetica"/>
          <w:sz w:val="24"/>
          <w:szCs w:val="24"/>
        </w:rPr>
      </w:pPr>
      <w:r w:rsidRPr="00CB64F7">
        <w:rPr>
          <w:rStyle w:val="Strong"/>
        </w:rPr>
        <w:t>Open-Ended Age Ranges:</w:t>
      </w:r>
      <w:r w:rsidRPr="00CB64F7">
        <w:rPr>
          <w:rFonts w:ascii="Helvetica" w:hAnsi="Helvetica"/>
          <w:sz w:val="24"/>
          <w:szCs w:val="24"/>
        </w:rPr>
        <w:t xml:space="preserve">  Diabetes and hypertension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include denominators with open-ended age ranges. </w:t>
      </w:r>
    </w:p>
    <w:p w:rsidR="0018150A" w:rsidRPr="00CB64F7" w:rsidRDefault="00CB64F7" w:rsidP="006602F4">
      <w:pPr>
        <w:pStyle w:val="ListParagraph"/>
        <w:numPr>
          <w:ilvl w:val="1"/>
          <w:numId w:val="14"/>
        </w:numPr>
        <w:jc w:val="left"/>
        <w:rPr>
          <w:rFonts w:ascii="Helvetica" w:hAnsi="Helvetica"/>
          <w:sz w:val="24"/>
          <w:szCs w:val="24"/>
        </w:rPr>
      </w:pPr>
      <w:r w:rsidRPr="00CB64F7">
        <w:rPr>
          <w:rStyle w:val="Strong"/>
        </w:rPr>
        <w:t xml:space="preserve">Numerator Differences: </w:t>
      </w:r>
      <w:proofErr w:type="spellStart"/>
      <w:r w:rsidRPr="00CB64F7">
        <w:rPr>
          <w:rFonts w:ascii="Helvetica" w:hAnsi="Helvetica"/>
          <w:sz w:val="24"/>
          <w:szCs w:val="24"/>
        </w:rPr>
        <w:t>eCare</w:t>
      </w:r>
      <w:proofErr w:type="spellEnd"/>
      <w:r w:rsidRPr="00CB64F7">
        <w:rPr>
          <w:rFonts w:ascii="Helvetica" w:hAnsi="Helvetica"/>
          <w:sz w:val="24"/>
          <w:szCs w:val="24"/>
        </w:rPr>
        <w:t xml:space="preserve"> measures have broader numerator definitions for their “Diabetes BP Control” and “Hypertension BP Control” measures: 1) a patient is considered as “passing” if on three blood pressure medications, 2) home blood pressure readings are included in numerator compliance, and 3) either the latest or the average of the last three blood pressure readings (taken in the last 18 months) is used for numerator compliance.</w:t>
      </w:r>
    </w:p>
    <w:p w:rsidR="00AC5635" w:rsidRDefault="00AC5635" w:rsidP="00F42212">
      <w:pPr>
        <w:pStyle w:val="Heading1"/>
      </w:pPr>
      <w:r w:rsidRPr="00A35C58">
        <w:t xml:space="preserve">Slide </w:t>
      </w:r>
      <w:r>
        <w:t>16</w:t>
      </w:r>
    </w:p>
    <w:p w:rsidR="00CB64F7" w:rsidRPr="0018150A" w:rsidRDefault="00CB64F7" w:rsidP="00F42212">
      <w:pPr>
        <w:pStyle w:val="Heading2"/>
      </w:pPr>
      <w:r w:rsidRPr="00CB64F7">
        <w:t>Process for Considering Non-endorsed Measures: Context</w:t>
      </w:r>
    </w:p>
    <w:p w:rsidR="005303C6" w:rsidRPr="005303C6" w:rsidRDefault="005303C6" w:rsidP="006602F4">
      <w:pPr>
        <w:pStyle w:val="ListParagraph"/>
        <w:numPr>
          <w:ilvl w:val="0"/>
          <w:numId w:val="15"/>
        </w:numPr>
        <w:contextualSpacing w:val="0"/>
        <w:jc w:val="left"/>
        <w:rPr>
          <w:rFonts w:ascii="Helvetica" w:hAnsi="Helvetica"/>
          <w:sz w:val="24"/>
          <w:szCs w:val="24"/>
        </w:rPr>
      </w:pPr>
      <w:r w:rsidRPr="005303C6">
        <w:rPr>
          <w:rFonts w:ascii="Helvetica" w:hAnsi="Helvetica"/>
          <w:sz w:val="24"/>
          <w:szCs w:val="24"/>
        </w:rPr>
        <w:t xml:space="preserve">The Partners </w:t>
      </w:r>
      <w:proofErr w:type="spellStart"/>
      <w:r w:rsidRPr="005303C6">
        <w:rPr>
          <w:rFonts w:ascii="Helvetica" w:hAnsi="Helvetica"/>
          <w:sz w:val="24"/>
          <w:szCs w:val="24"/>
        </w:rPr>
        <w:t>eCare</w:t>
      </w:r>
      <w:proofErr w:type="spellEnd"/>
      <w:r w:rsidRPr="005303C6">
        <w:rPr>
          <w:rFonts w:ascii="Helvetica" w:hAnsi="Helvetica"/>
          <w:sz w:val="24"/>
          <w:szCs w:val="24"/>
        </w:rPr>
        <w:t xml:space="preserve"> measures contain more exclusions than traditional HEDIS measures, some of which are discretionary.  The differences in cancer screening measures are denominator source expansions, with broader differences in standards of care for diabetes and hypertension measures.  </w:t>
      </w:r>
    </w:p>
    <w:p w:rsidR="00AC5635" w:rsidRDefault="005303C6" w:rsidP="006602F4">
      <w:pPr>
        <w:pStyle w:val="ListParagraph"/>
        <w:numPr>
          <w:ilvl w:val="0"/>
          <w:numId w:val="15"/>
        </w:numPr>
        <w:contextualSpacing w:val="0"/>
        <w:jc w:val="left"/>
      </w:pPr>
      <w:r w:rsidRPr="005303C6">
        <w:rPr>
          <w:rFonts w:ascii="Helvetica" w:hAnsi="Helvetica"/>
          <w:sz w:val="24"/>
          <w:szCs w:val="24"/>
        </w:rPr>
        <w:t xml:space="preserve">Unlike with HEDIS measures where a rate of 100% is seldom considered attainable due to idiosyncratic patient characteristics that cause clinical standards to be non-applicable for a small subset of patients, Partners believes that rates of 100% are attainable with its </w:t>
      </w:r>
      <w:proofErr w:type="spellStart"/>
      <w:r w:rsidRPr="005303C6">
        <w:rPr>
          <w:rFonts w:ascii="Helvetica" w:hAnsi="Helvetica"/>
          <w:sz w:val="24"/>
          <w:szCs w:val="24"/>
        </w:rPr>
        <w:t>eCare</w:t>
      </w:r>
      <w:proofErr w:type="spellEnd"/>
      <w:r w:rsidRPr="005303C6">
        <w:rPr>
          <w:rFonts w:ascii="Helvetica" w:hAnsi="Helvetica"/>
          <w:sz w:val="24"/>
          <w:szCs w:val="24"/>
        </w:rPr>
        <w:t xml:space="preserve"> measures.</w:t>
      </w:r>
    </w:p>
    <w:p w:rsidR="005303C6" w:rsidRDefault="005303C6" w:rsidP="00F42212">
      <w:pPr>
        <w:pStyle w:val="Heading1"/>
      </w:pPr>
      <w:r w:rsidRPr="00A35C58">
        <w:t xml:space="preserve">Slide </w:t>
      </w:r>
      <w:r>
        <w:t>1</w:t>
      </w:r>
      <w:r>
        <w:t>7</w:t>
      </w:r>
    </w:p>
    <w:p w:rsidR="005303C6" w:rsidRPr="0018150A" w:rsidRDefault="005303C6" w:rsidP="00F42212">
      <w:pPr>
        <w:pStyle w:val="Heading2"/>
      </w:pPr>
      <w:r w:rsidRPr="005303C6">
        <w:t>Process for Considering Non-endorsed Measures: Context</w:t>
      </w:r>
    </w:p>
    <w:p w:rsidR="005303C6" w:rsidRPr="005303C6" w:rsidRDefault="005303C6" w:rsidP="006602F4">
      <w:pPr>
        <w:pStyle w:val="ListParagraph"/>
        <w:numPr>
          <w:ilvl w:val="0"/>
          <w:numId w:val="16"/>
        </w:numPr>
        <w:jc w:val="left"/>
        <w:rPr>
          <w:rFonts w:ascii="Helvetica" w:hAnsi="Helvetica"/>
          <w:sz w:val="24"/>
          <w:szCs w:val="24"/>
        </w:rPr>
      </w:pPr>
      <w:r w:rsidRPr="005303C6">
        <w:rPr>
          <w:rFonts w:ascii="Helvetica" w:hAnsi="Helvetica"/>
          <w:sz w:val="24"/>
          <w:szCs w:val="24"/>
        </w:rPr>
        <w:t xml:space="preserve">The Taskforce discussed Partners’ </w:t>
      </w:r>
      <w:proofErr w:type="spellStart"/>
      <w:r w:rsidRPr="005303C6">
        <w:rPr>
          <w:rFonts w:ascii="Helvetica" w:hAnsi="Helvetica"/>
          <w:sz w:val="24"/>
          <w:szCs w:val="24"/>
        </w:rPr>
        <w:t>eCare</w:t>
      </w:r>
      <w:proofErr w:type="spellEnd"/>
      <w:r w:rsidRPr="005303C6">
        <w:rPr>
          <w:rFonts w:ascii="Helvetica" w:hAnsi="Helvetica"/>
          <w:sz w:val="24"/>
          <w:szCs w:val="24"/>
        </w:rPr>
        <w:t xml:space="preserve"> measures earlier this year during the 2/27, 3/20, and 4/29 meetings.</w:t>
      </w:r>
    </w:p>
    <w:p w:rsidR="005303C6" w:rsidRPr="005303C6" w:rsidRDefault="005303C6" w:rsidP="006602F4">
      <w:pPr>
        <w:pStyle w:val="ListParagraph"/>
        <w:numPr>
          <w:ilvl w:val="0"/>
          <w:numId w:val="16"/>
        </w:numPr>
        <w:jc w:val="left"/>
        <w:rPr>
          <w:rFonts w:ascii="Helvetica" w:hAnsi="Helvetica"/>
          <w:sz w:val="24"/>
          <w:szCs w:val="24"/>
        </w:rPr>
      </w:pPr>
      <w:r w:rsidRPr="005303C6">
        <w:rPr>
          <w:rFonts w:ascii="Helvetica" w:hAnsi="Helvetica"/>
          <w:sz w:val="24"/>
          <w:szCs w:val="24"/>
        </w:rPr>
        <w:t>During the 4/29 meeting EOHHS proposed, and the Taskforce endorsed, the following modified definitions of an Innovation measure and Developmental Set.</w:t>
      </w:r>
    </w:p>
    <w:p w:rsidR="00AC5635" w:rsidRDefault="00AC5635" w:rsidP="00F42212">
      <w:pPr>
        <w:pStyle w:val="Heading1"/>
      </w:pPr>
      <w:r w:rsidRPr="00A35C58">
        <w:t xml:space="preserve">Slide </w:t>
      </w:r>
      <w:r>
        <w:t>18</w:t>
      </w:r>
    </w:p>
    <w:p w:rsidR="005303C6" w:rsidRDefault="005303C6" w:rsidP="00F42212">
      <w:pPr>
        <w:pStyle w:val="Heading2"/>
      </w:pPr>
      <w:r w:rsidRPr="005303C6">
        <w:t>Process for Considering Non-endorsed Measures: Context</w:t>
      </w:r>
    </w:p>
    <w:p w:rsidR="005303C6" w:rsidRPr="00F3689A" w:rsidRDefault="005303C6" w:rsidP="006602F4">
      <w:pPr>
        <w:pStyle w:val="ListParagraph"/>
        <w:numPr>
          <w:ilvl w:val="0"/>
          <w:numId w:val="34"/>
        </w:numPr>
        <w:jc w:val="left"/>
        <w:rPr>
          <w:rFonts w:ascii="Helvetica" w:hAnsi="Helvetica" w:cs="Helvetica"/>
          <w:sz w:val="24"/>
          <w:szCs w:val="24"/>
        </w:rPr>
      </w:pPr>
      <w:r w:rsidRPr="00F3689A">
        <w:rPr>
          <w:rFonts w:ascii="Helvetica" w:hAnsi="Helvetica" w:cs="Helvetica"/>
          <w:sz w:val="24"/>
          <w:szCs w:val="24"/>
        </w:rPr>
        <w:t xml:space="preserve">The Innovation measure category includes measures which address: </w:t>
      </w:r>
    </w:p>
    <w:p w:rsidR="005303C6" w:rsidRPr="00F3689A" w:rsidRDefault="005303C6" w:rsidP="006602F4">
      <w:pPr>
        <w:pStyle w:val="ListParagraph"/>
        <w:numPr>
          <w:ilvl w:val="1"/>
          <w:numId w:val="35"/>
        </w:numPr>
        <w:jc w:val="left"/>
        <w:rPr>
          <w:rFonts w:ascii="Helvetica" w:hAnsi="Helvetica" w:cs="Helvetica"/>
          <w:sz w:val="24"/>
          <w:szCs w:val="24"/>
        </w:rPr>
      </w:pPr>
      <w:r w:rsidRPr="00F3689A">
        <w:rPr>
          <w:rFonts w:ascii="Helvetica" w:hAnsi="Helvetica" w:cs="Helvetica"/>
          <w:sz w:val="24"/>
          <w:szCs w:val="24"/>
        </w:rPr>
        <w:t xml:space="preserve">clinical topics or clinical outcomes in the Core or Menu Sets utilizing a novel approach, or </w:t>
      </w:r>
    </w:p>
    <w:p w:rsidR="005303C6" w:rsidRPr="00F3689A" w:rsidRDefault="005303C6" w:rsidP="006602F4">
      <w:pPr>
        <w:pStyle w:val="ListParagraph"/>
        <w:numPr>
          <w:ilvl w:val="1"/>
          <w:numId w:val="35"/>
        </w:numPr>
        <w:jc w:val="left"/>
        <w:rPr>
          <w:rFonts w:ascii="Helvetica" w:hAnsi="Helvetica" w:cs="Helvetica"/>
          <w:sz w:val="24"/>
          <w:szCs w:val="24"/>
        </w:rPr>
      </w:pPr>
      <w:proofErr w:type="gramStart"/>
      <w:r w:rsidRPr="00F3689A">
        <w:rPr>
          <w:rFonts w:ascii="Helvetica" w:hAnsi="Helvetica" w:cs="Helvetica"/>
          <w:sz w:val="24"/>
          <w:szCs w:val="24"/>
        </w:rPr>
        <w:t>clinical</w:t>
      </w:r>
      <w:proofErr w:type="gramEnd"/>
      <w:r w:rsidRPr="00F3689A">
        <w:rPr>
          <w:rFonts w:ascii="Helvetica" w:hAnsi="Helvetica" w:cs="Helvetica"/>
          <w:sz w:val="24"/>
          <w:szCs w:val="24"/>
        </w:rPr>
        <w:t xml:space="preserve"> topics that are not addr</w:t>
      </w:r>
      <w:r w:rsidR="009C157C">
        <w:rPr>
          <w:rFonts w:ascii="Helvetica" w:hAnsi="Helvetica" w:cs="Helvetica"/>
          <w:sz w:val="24"/>
          <w:szCs w:val="24"/>
        </w:rPr>
        <w:t>essed in the Core or Menu Sets.</w:t>
      </w:r>
    </w:p>
    <w:p w:rsidR="005303C6" w:rsidRPr="00F3689A" w:rsidRDefault="005303C6" w:rsidP="00F42212">
      <w:pPr>
        <w:ind w:left="720"/>
        <w:jc w:val="left"/>
        <w:rPr>
          <w:rFonts w:ascii="Helvetica" w:hAnsi="Helvetica" w:cs="Helvetica"/>
          <w:sz w:val="24"/>
          <w:szCs w:val="24"/>
        </w:rPr>
      </w:pPr>
      <w:r w:rsidRPr="00F3689A">
        <w:rPr>
          <w:rFonts w:ascii="Helvetica" w:hAnsi="Helvetica" w:cs="Helvetica"/>
          <w:sz w:val="24"/>
          <w:szCs w:val="24"/>
        </w:rPr>
        <w:t xml:space="preserve">Innovation measures are well-defined, and have been validated and tested for implementation.  Innovation measures are intended to advance measure development and therefore cannot include measures that have been previously considered and rejected by the Taskforce as potential Core or Menu measures. </w:t>
      </w:r>
    </w:p>
    <w:p w:rsidR="00AC5635" w:rsidRPr="00F3689A" w:rsidRDefault="005303C6" w:rsidP="006602F4">
      <w:pPr>
        <w:pStyle w:val="ListParagraph"/>
        <w:numPr>
          <w:ilvl w:val="0"/>
          <w:numId w:val="34"/>
        </w:numPr>
        <w:jc w:val="left"/>
        <w:rPr>
          <w:rStyle w:val="Strong"/>
          <w:rFonts w:cs="Helvetica"/>
          <w:b w:val="0"/>
        </w:rPr>
      </w:pPr>
      <w:r w:rsidRPr="00F3689A">
        <w:rPr>
          <w:rFonts w:ascii="Helvetica" w:hAnsi="Helvetica" w:cs="Helvetica"/>
          <w:sz w:val="24"/>
          <w:szCs w:val="24"/>
        </w:rPr>
        <w:t>Innovation measures can be used on a pay-for-performance or pay-for-reporting basis at the mutual agreement of the payer and providers.</w:t>
      </w:r>
    </w:p>
    <w:p w:rsidR="003C0E0D" w:rsidRDefault="003C0E0D" w:rsidP="00F42212">
      <w:pPr>
        <w:pStyle w:val="Heading1"/>
      </w:pPr>
      <w:r w:rsidRPr="00A35C58">
        <w:t xml:space="preserve">Slide </w:t>
      </w:r>
      <w:r>
        <w:t>19</w:t>
      </w:r>
    </w:p>
    <w:p w:rsidR="00AC5635" w:rsidRDefault="00F6332A" w:rsidP="00F42212">
      <w:pPr>
        <w:pStyle w:val="Heading2"/>
      </w:pPr>
      <w:r w:rsidRPr="00F6332A">
        <w:t>Process for Considering Non-endorsed Measures: Context</w:t>
      </w:r>
    </w:p>
    <w:p w:rsidR="00F6332A" w:rsidRPr="00F6332A" w:rsidRDefault="00F6332A" w:rsidP="006602F4">
      <w:pPr>
        <w:pStyle w:val="ListParagraph"/>
        <w:numPr>
          <w:ilvl w:val="0"/>
          <w:numId w:val="17"/>
        </w:numPr>
        <w:contextualSpacing w:val="0"/>
        <w:jc w:val="left"/>
        <w:rPr>
          <w:rStyle w:val="Strong"/>
          <w:b w:val="0"/>
        </w:rPr>
      </w:pPr>
      <w:r w:rsidRPr="00F6332A">
        <w:rPr>
          <w:rStyle w:val="Strong"/>
          <w:b w:val="0"/>
        </w:rPr>
        <w:t>The Developmental Set includes measures and measure concepts that address priority areas for the Taskforce, but the measure has not yet been defined, validated and/or tested for implementation. Willing payers and providers may use these measures in their value-based contracts.</w:t>
      </w:r>
    </w:p>
    <w:p w:rsidR="00F6332A" w:rsidRPr="00F6332A" w:rsidRDefault="00F6332A" w:rsidP="006602F4">
      <w:pPr>
        <w:pStyle w:val="ListParagraph"/>
        <w:numPr>
          <w:ilvl w:val="1"/>
          <w:numId w:val="18"/>
        </w:numPr>
        <w:jc w:val="left"/>
        <w:rPr>
          <w:rStyle w:val="Strong"/>
          <w:b w:val="0"/>
        </w:rPr>
      </w:pPr>
      <w:r w:rsidRPr="00F6332A">
        <w:rPr>
          <w:rStyle w:val="Strong"/>
        </w:rPr>
        <w:t>Definition of “Validated”:</w:t>
      </w:r>
      <w:r w:rsidRPr="00F6332A">
        <w:rPr>
          <w:rStyle w:val="Strong"/>
          <w:b w:val="0"/>
        </w:rPr>
        <w:t xml:space="preserve"> “Validity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 -  National Quality Forum (source)</w:t>
      </w:r>
    </w:p>
    <w:p w:rsidR="00F6332A" w:rsidRPr="00F6332A" w:rsidRDefault="00F6332A" w:rsidP="006602F4">
      <w:pPr>
        <w:pStyle w:val="ListParagraph"/>
        <w:numPr>
          <w:ilvl w:val="1"/>
          <w:numId w:val="18"/>
        </w:numPr>
        <w:jc w:val="left"/>
        <w:rPr>
          <w:rStyle w:val="Strong"/>
        </w:rPr>
      </w:pPr>
      <w:r w:rsidRPr="00F6332A">
        <w:rPr>
          <w:rStyle w:val="Strong"/>
        </w:rPr>
        <w:t>Current Development Measures:</w:t>
      </w:r>
    </w:p>
    <w:p w:rsidR="00F6332A" w:rsidRPr="00F6332A" w:rsidRDefault="00F6332A" w:rsidP="006602F4">
      <w:pPr>
        <w:pStyle w:val="ListParagraph"/>
        <w:numPr>
          <w:ilvl w:val="1"/>
          <w:numId w:val="19"/>
        </w:numPr>
        <w:jc w:val="left"/>
        <w:rPr>
          <w:rStyle w:val="Strong"/>
          <w:b w:val="0"/>
        </w:rPr>
      </w:pPr>
      <w:r w:rsidRPr="00F6332A">
        <w:rPr>
          <w:rStyle w:val="Strong"/>
          <w:b w:val="0"/>
        </w:rPr>
        <w:t>Depression Remission or Response for Adolescents and Adults</w:t>
      </w:r>
    </w:p>
    <w:p w:rsidR="00F6332A" w:rsidRPr="00F6332A" w:rsidRDefault="00F6332A" w:rsidP="006602F4">
      <w:pPr>
        <w:pStyle w:val="ListParagraph"/>
        <w:numPr>
          <w:ilvl w:val="1"/>
          <w:numId w:val="19"/>
        </w:numPr>
        <w:jc w:val="left"/>
        <w:rPr>
          <w:rStyle w:val="Strong"/>
          <w:b w:val="0"/>
        </w:rPr>
      </w:pPr>
      <w:r w:rsidRPr="00F6332A">
        <w:rPr>
          <w:rStyle w:val="Strong"/>
          <w:b w:val="0"/>
        </w:rPr>
        <w:t>Joint replacement patient-reported outcome performance measure</w:t>
      </w:r>
    </w:p>
    <w:p w:rsidR="00F6332A" w:rsidRPr="00F6332A" w:rsidRDefault="00F6332A" w:rsidP="006602F4">
      <w:pPr>
        <w:pStyle w:val="ListParagraph"/>
        <w:numPr>
          <w:ilvl w:val="1"/>
          <w:numId w:val="19"/>
        </w:numPr>
        <w:jc w:val="left"/>
        <w:rPr>
          <w:rStyle w:val="Strong"/>
          <w:b w:val="0"/>
        </w:rPr>
      </w:pPr>
      <w:r w:rsidRPr="00F6332A">
        <w:rPr>
          <w:rStyle w:val="Strong"/>
          <w:b w:val="0"/>
        </w:rPr>
        <w:t>Kindergarten Readiness</w:t>
      </w:r>
    </w:p>
    <w:p w:rsidR="003C0E0D" w:rsidRPr="00F6332A" w:rsidRDefault="00F6332A" w:rsidP="006602F4">
      <w:pPr>
        <w:pStyle w:val="ListParagraph"/>
        <w:numPr>
          <w:ilvl w:val="1"/>
          <w:numId w:val="19"/>
        </w:numPr>
        <w:jc w:val="left"/>
        <w:rPr>
          <w:rFonts w:ascii="Helvetica" w:hAnsi="Helvetica"/>
          <w:sz w:val="24"/>
          <w:szCs w:val="24"/>
        </w:rPr>
      </w:pPr>
      <w:r w:rsidRPr="00F6332A">
        <w:rPr>
          <w:rStyle w:val="Strong"/>
          <w:b w:val="0"/>
        </w:rPr>
        <w:t>Stratification of measures to understand equity and disparities</w:t>
      </w:r>
    </w:p>
    <w:p w:rsidR="003C0E0D" w:rsidRDefault="003C0E0D" w:rsidP="00F42212">
      <w:pPr>
        <w:pStyle w:val="Heading1"/>
      </w:pPr>
      <w:r w:rsidRPr="00A35C58">
        <w:t xml:space="preserve">Slide </w:t>
      </w:r>
      <w:r>
        <w:t>20</w:t>
      </w:r>
    </w:p>
    <w:p w:rsidR="003C0E0D" w:rsidRDefault="00F6332A" w:rsidP="00F42212">
      <w:pPr>
        <w:pStyle w:val="Heading2"/>
      </w:pPr>
      <w:r w:rsidRPr="00F6332A">
        <w:t>Process for Considering Non-endorsed Measures: Context</w:t>
      </w:r>
    </w:p>
    <w:p w:rsidR="00F6332A" w:rsidRPr="00F6332A" w:rsidRDefault="00F6332A" w:rsidP="006602F4">
      <w:pPr>
        <w:pStyle w:val="ListParagraph"/>
        <w:numPr>
          <w:ilvl w:val="0"/>
          <w:numId w:val="20"/>
        </w:numPr>
        <w:contextualSpacing w:val="0"/>
        <w:jc w:val="left"/>
        <w:rPr>
          <w:rFonts w:ascii="Helvetica" w:hAnsi="Helvetica"/>
          <w:sz w:val="24"/>
          <w:szCs w:val="24"/>
        </w:rPr>
      </w:pPr>
      <w:r w:rsidRPr="00F6332A">
        <w:rPr>
          <w:rFonts w:ascii="Helvetica" w:hAnsi="Helvetica"/>
          <w:sz w:val="24"/>
          <w:szCs w:val="24"/>
        </w:rPr>
        <w:t xml:space="preserve">In addition, Taskforce staff proposed, and the Taskforce supported, the following decisions during the 4/29 meeting. </w:t>
      </w:r>
    </w:p>
    <w:p w:rsidR="00F6332A" w:rsidRPr="00F6332A" w:rsidRDefault="00F6332A" w:rsidP="006602F4">
      <w:pPr>
        <w:pStyle w:val="ListParagraph"/>
        <w:numPr>
          <w:ilvl w:val="1"/>
          <w:numId w:val="21"/>
        </w:numPr>
        <w:jc w:val="left"/>
        <w:rPr>
          <w:rFonts w:ascii="Helvetica" w:hAnsi="Helvetica"/>
          <w:sz w:val="24"/>
          <w:szCs w:val="24"/>
        </w:rPr>
      </w:pPr>
      <w:r w:rsidRPr="00F6332A">
        <w:rPr>
          <w:rFonts w:ascii="Helvetica" w:hAnsi="Helvetica"/>
          <w:sz w:val="24"/>
          <w:szCs w:val="24"/>
        </w:rPr>
        <w:t xml:space="preserve">Developmental and Innovation Measures may be used in contracts so long as they are in addition to, and not in lieu of, the Core and Menu Measures. </w:t>
      </w:r>
    </w:p>
    <w:p w:rsidR="00F6332A" w:rsidRPr="00F6332A" w:rsidRDefault="00F6332A" w:rsidP="006602F4">
      <w:pPr>
        <w:pStyle w:val="ListParagraph"/>
        <w:numPr>
          <w:ilvl w:val="1"/>
          <w:numId w:val="21"/>
        </w:numPr>
        <w:jc w:val="left"/>
        <w:rPr>
          <w:rFonts w:ascii="Helvetica" w:hAnsi="Helvetica"/>
          <w:sz w:val="24"/>
          <w:szCs w:val="24"/>
        </w:rPr>
      </w:pPr>
      <w:r w:rsidRPr="00F6332A">
        <w:rPr>
          <w:rFonts w:ascii="Helvetica" w:hAnsi="Helvetica"/>
          <w:sz w:val="24"/>
          <w:szCs w:val="24"/>
        </w:rPr>
        <w:t>It is outside the scope of the Taskforce to provide specific guidance on monetary values that s</w:t>
      </w:r>
      <w:r w:rsidRPr="00F6332A">
        <w:rPr>
          <w:rFonts w:ascii="Helvetica" w:hAnsi="Helvetica"/>
          <w:sz w:val="24"/>
          <w:szCs w:val="24"/>
        </w:rPr>
        <w:t xml:space="preserve">hould be attached to measures; </w:t>
      </w:r>
      <w:r w:rsidRPr="00F6332A">
        <w:rPr>
          <w:rFonts w:ascii="Helvetica" w:hAnsi="Helvetica"/>
          <w:sz w:val="24"/>
          <w:szCs w:val="24"/>
        </w:rPr>
        <w:t xml:space="preserve">however, an insurer may not attach a de </w:t>
      </w:r>
      <w:proofErr w:type="spellStart"/>
      <w:r w:rsidRPr="00F6332A">
        <w:rPr>
          <w:rFonts w:ascii="Helvetica" w:hAnsi="Helvetica"/>
          <w:sz w:val="24"/>
          <w:szCs w:val="24"/>
        </w:rPr>
        <w:t>minimis</w:t>
      </w:r>
      <w:proofErr w:type="spellEnd"/>
      <w:r w:rsidRPr="00F6332A">
        <w:rPr>
          <w:rFonts w:ascii="Helvetica" w:hAnsi="Helvetica"/>
          <w:sz w:val="24"/>
          <w:szCs w:val="24"/>
        </w:rPr>
        <w:t xml:space="preserve"> amount to a Core Measure such that performance on the Core Measure lacks meaningful financial implication for the provider.</w:t>
      </w:r>
    </w:p>
    <w:p w:rsidR="003C0E0D" w:rsidRDefault="003C0E0D" w:rsidP="00F42212">
      <w:pPr>
        <w:pStyle w:val="Heading1"/>
      </w:pPr>
      <w:r w:rsidRPr="00A35C58">
        <w:t xml:space="preserve">Slide </w:t>
      </w:r>
      <w:r>
        <w:t>21</w:t>
      </w:r>
    </w:p>
    <w:p w:rsidR="003C0E0D" w:rsidRDefault="005B0498" w:rsidP="00F42212">
      <w:pPr>
        <w:pStyle w:val="Heading2"/>
      </w:pPr>
      <w:r w:rsidRPr="005B0498">
        <w:t>Process for Considering Non-endorsed Measures: Context</w:t>
      </w:r>
    </w:p>
    <w:p w:rsidR="00F61872" w:rsidRPr="00F61872" w:rsidRDefault="00F61872" w:rsidP="006602F4">
      <w:pPr>
        <w:pStyle w:val="ListParagraph"/>
        <w:numPr>
          <w:ilvl w:val="0"/>
          <w:numId w:val="22"/>
        </w:numPr>
        <w:contextualSpacing w:val="0"/>
        <w:jc w:val="left"/>
        <w:rPr>
          <w:rFonts w:ascii="Helvetica" w:hAnsi="Helvetica"/>
          <w:sz w:val="24"/>
          <w:szCs w:val="24"/>
        </w:rPr>
      </w:pPr>
      <w:r w:rsidRPr="00F61872">
        <w:rPr>
          <w:rFonts w:ascii="Helvetica" w:hAnsi="Helvetica"/>
          <w:sz w:val="24"/>
          <w:szCs w:val="24"/>
        </w:rPr>
        <w:t xml:space="preserve">EOHHS concluded in April that Partners </w:t>
      </w:r>
      <w:proofErr w:type="spellStart"/>
      <w:r w:rsidRPr="00F61872">
        <w:rPr>
          <w:rFonts w:ascii="Helvetica" w:hAnsi="Helvetica"/>
          <w:sz w:val="24"/>
          <w:szCs w:val="24"/>
        </w:rPr>
        <w:t>eCare</w:t>
      </w:r>
      <w:proofErr w:type="spellEnd"/>
      <w:r w:rsidRPr="00F61872">
        <w:rPr>
          <w:rFonts w:ascii="Helvetica" w:hAnsi="Helvetica"/>
          <w:sz w:val="24"/>
          <w:szCs w:val="24"/>
        </w:rPr>
        <w:t xml:space="preserve"> measures met the Developmental definition.</w:t>
      </w:r>
    </w:p>
    <w:p w:rsidR="00F61872" w:rsidRPr="00F61872" w:rsidRDefault="00F61872" w:rsidP="006602F4">
      <w:pPr>
        <w:pStyle w:val="ListParagraph"/>
        <w:numPr>
          <w:ilvl w:val="0"/>
          <w:numId w:val="22"/>
        </w:numPr>
        <w:contextualSpacing w:val="0"/>
        <w:jc w:val="left"/>
        <w:rPr>
          <w:rFonts w:ascii="Helvetica" w:hAnsi="Helvetica"/>
          <w:sz w:val="24"/>
          <w:szCs w:val="24"/>
        </w:rPr>
      </w:pPr>
      <w:r w:rsidRPr="00F61872">
        <w:rPr>
          <w:rFonts w:ascii="Helvetica" w:hAnsi="Helvetica"/>
          <w:sz w:val="24"/>
          <w:szCs w:val="24"/>
        </w:rPr>
        <w:t>EOHHS asked that Partners report back on the status of these measures in early 2020; specifically, on validation efforts related to the three concerns identified by the Taskforce:</w:t>
      </w:r>
    </w:p>
    <w:p w:rsidR="00F61872" w:rsidRPr="00F61872" w:rsidRDefault="00F61872" w:rsidP="006602F4">
      <w:pPr>
        <w:pStyle w:val="ListParagraph"/>
        <w:numPr>
          <w:ilvl w:val="0"/>
          <w:numId w:val="23"/>
        </w:numPr>
        <w:jc w:val="left"/>
        <w:rPr>
          <w:rFonts w:ascii="Helvetica" w:hAnsi="Helvetica"/>
          <w:sz w:val="24"/>
          <w:szCs w:val="24"/>
        </w:rPr>
      </w:pPr>
      <w:r w:rsidRPr="00F61872">
        <w:rPr>
          <w:rFonts w:ascii="Helvetica" w:hAnsi="Helvetica"/>
          <w:sz w:val="24"/>
          <w:szCs w:val="24"/>
        </w:rPr>
        <w:t>the impact on provider quality improvement motivation when providers have the ability to exclude certain patients from the measure denominator;</w:t>
      </w:r>
    </w:p>
    <w:p w:rsidR="00F61872" w:rsidRPr="00F61872" w:rsidRDefault="00F61872" w:rsidP="006602F4">
      <w:pPr>
        <w:pStyle w:val="ListParagraph"/>
        <w:numPr>
          <w:ilvl w:val="0"/>
          <w:numId w:val="23"/>
        </w:numPr>
        <w:jc w:val="left"/>
        <w:rPr>
          <w:rFonts w:ascii="Helvetica" w:hAnsi="Helvetica"/>
          <w:sz w:val="24"/>
          <w:szCs w:val="24"/>
        </w:rPr>
      </w:pPr>
      <w:r w:rsidRPr="00F61872">
        <w:rPr>
          <w:rFonts w:ascii="Helvetica" w:hAnsi="Helvetica"/>
          <w:sz w:val="24"/>
          <w:szCs w:val="24"/>
        </w:rPr>
        <w:t>whether the ability to exclude patients from the measure denominator will result in gaming behavior, and</w:t>
      </w:r>
    </w:p>
    <w:p w:rsidR="005B0498" w:rsidRPr="00F61872" w:rsidRDefault="00F61872" w:rsidP="006602F4">
      <w:pPr>
        <w:pStyle w:val="ListParagraph"/>
        <w:numPr>
          <w:ilvl w:val="0"/>
          <w:numId w:val="23"/>
        </w:numPr>
        <w:jc w:val="left"/>
        <w:rPr>
          <w:rFonts w:ascii="Helvetica" w:hAnsi="Helvetica"/>
          <w:sz w:val="24"/>
          <w:szCs w:val="24"/>
        </w:rPr>
      </w:pPr>
      <w:proofErr w:type="gramStart"/>
      <w:r w:rsidRPr="00F61872">
        <w:rPr>
          <w:rFonts w:ascii="Helvetica" w:hAnsi="Helvetica"/>
          <w:sz w:val="24"/>
          <w:szCs w:val="24"/>
        </w:rPr>
        <w:t>whether</w:t>
      </w:r>
      <w:proofErr w:type="gramEnd"/>
      <w:r w:rsidRPr="00F61872">
        <w:rPr>
          <w:rFonts w:ascii="Helvetica" w:hAnsi="Helvetica"/>
          <w:sz w:val="24"/>
          <w:szCs w:val="24"/>
        </w:rPr>
        <w:t xml:space="preserve"> the measures will truly better provider buy-in and engagement, especially because the </w:t>
      </w:r>
      <w:proofErr w:type="spellStart"/>
      <w:r w:rsidRPr="00F61872">
        <w:rPr>
          <w:rFonts w:ascii="Helvetica" w:hAnsi="Helvetica"/>
          <w:sz w:val="24"/>
          <w:szCs w:val="24"/>
        </w:rPr>
        <w:t>eCare</w:t>
      </w:r>
      <w:proofErr w:type="spellEnd"/>
      <w:r w:rsidRPr="00F61872">
        <w:rPr>
          <w:rFonts w:ascii="Helvetica" w:hAnsi="Helvetica"/>
          <w:sz w:val="24"/>
          <w:szCs w:val="24"/>
        </w:rPr>
        <w:t xml:space="preserve"> measures require more documentation than is required for HEDIS measures.</w:t>
      </w:r>
    </w:p>
    <w:p w:rsidR="00E75383" w:rsidRDefault="00E75383" w:rsidP="00F42212">
      <w:pPr>
        <w:pStyle w:val="Heading1"/>
      </w:pPr>
      <w:r w:rsidRPr="00A35C58">
        <w:t xml:space="preserve">Slide </w:t>
      </w:r>
      <w:r>
        <w:t>22</w:t>
      </w:r>
    </w:p>
    <w:p w:rsidR="003C0E0D" w:rsidRDefault="00CC67EA" w:rsidP="00F42212">
      <w:pPr>
        <w:pStyle w:val="Heading2"/>
      </w:pPr>
      <w:r w:rsidRPr="00CC67EA">
        <w:t>Process for Considering Non-endorsed Measures: Context</w:t>
      </w:r>
    </w:p>
    <w:p w:rsidR="00CC67EA" w:rsidRPr="00C62575" w:rsidRDefault="00CC67EA" w:rsidP="006602F4">
      <w:pPr>
        <w:pStyle w:val="ListParagraph"/>
        <w:numPr>
          <w:ilvl w:val="0"/>
          <w:numId w:val="24"/>
        </w:numPr>
        <w:contextualSpacing w:val="0"/>
        <w:jc w:val="left"/>
        <w:rPr>
          <w:rFonts w:ascii="Helvetica" w:hAnsi="Helvetica"/>
          <w:sz w:val="24"/>
          <w:szCs w:val="24"/>
        </w:rPr>
      </w:pPr>
      <w:r w:rsidRPr="00CC67EA">
        <w:rPr>
          <w:rFonts w:ascii="Helvetica" w:hAnsi="Helvetica"/>
          <w:sz w:val="24"/>
          <w:szCs w:val="24"/>
        </w:rPr>
        <w:t xml:space="preserve">These decisions allow Partners and BCBSMA to utilize the </w:t>
      </w:r>
      <w:proofErr w:type="spellStart"/>
      <w:r w:rsidRPr="00CC67EA">
        <w:rPr>
          <w:rFonts w:ascii="Helvetica" w:hAnsi="Helvetica"/>
          <w:sz w:val="24"/>
          <w:szCs w:val="24"/>
        </w:rPr>
        <w:t>eCare</w:t>
      </w:r>
      <w:proofErr w:type="spellEnd"/>
      <w:r w:rsidRPr="00CC67EA">
        <w:rPr>
          <w:rFonts w:ascii="Helvetica" w:hAnsi="Helvetica"/>
          <w:sz w:val="24"/>
          <w:szCs w:val="24"/>
        </w:rPr>
        <w:t xml:space="preserve"> measures in their ACO contract and still </w:t>
      </w:r>
      <w:proofErr w:type="gramStart"/>
      <w:r w:rsidRPr="00CC67EA">
        <w:rPr>
          <w:rFonts w:ascii="Helvetica" w:hAnsi="Helvetica"/>
          <w:sz w:val="24"/>
          <w:szCs w:val="24"/>
        </w:rPr>
        <w:t>be</w:t>
      </w:r>
      <w:proofErr w:type="gramEnd"/>
      <w:r w:rsidRPr="00CC67EA">
        <w:rPr>
          <w:rFonts w:ascii="Helvetica" w:hAnsi="Helvetica"/>
          <w:sz w:val="24"/>
          <w:szCs w:val="24"/>
        </w:rPr>
        <w:t xml:space="preserve"> considered to be adhering to the paramete</w:t>
      </w:r>
      <w:r w:rsidR="00C62575">
        <w:rPr>
          <w:rFonts w:ascii="Helvetica" w:hAnsi="Helvetica"/>
          <w:sz w:val="24"/>
          <w:szCs w:val="24"/>
        </w:rPr>
        <w:t>rs of the Aligned Measure Set.</w:t>
      </w:r>
    </w:p>
    <w:p w:rsidR="00970D2A" w:rsidRPr="00CC67EA" w:rsidRDefault="00CC67EA" w:rsidP="006602F4">
      <w:pPr>
        <w:pStyle w:val="ListParagraph"/>
        <w:numPr>
          <w:ilvl w:val="0"/>
          <w:numId w:val="24"/>
        </w:numPr>
        <w:contextualSpacing w:val="0"/>
        <w:jc w:val="left"/>
        <w:rPr>
          <w:rFonts w:ascii="Helvetica" w:hAnsi="Helvetica"/>
          <w:sz w:val="24"/>
          <w:szCs w:val="24"/>
        </w:rPr>
      </w:pPr>
      <w:r w:rsidRPr="00CC67EA">
        <w:rPr>
          <w:rFonts w:ascii="Helvetica" w:hAnsi="Helvetica"/>
          <w:sz w:val="24"/>
          <w:szCs w:val="24"/>
        </w:rPr>
        <w:t>They would not, however, compel other payers to utilize them in their contracts with Partners, and the measures would remain outside the Core and Menu sets for at least the time being.</w:t>
      </w:r>
    </w:p>
    <w:p w:rsidR="00E23590" w:rsidRDefault="00E23590" w:rsidP="00F42212">
      <w:pPr>
        <w:pStyle w:val="Heading1"/>
      </w:pPr>
      <w:r w:rsidRPr="00A35C58">
        <w:t xml:space="preserve">Slide </w:t>
      </w:r>
      <w:r>
        <w:t>23</w:t>
      </w:r>
    </w:p>
    <w:p w:rsidR="00E23590" w:rsidRDefault="00CC67EA" w:rsidP="00F42212">
      <w:pPr>
        <w:pStyle w:val="Heading2"/>
      </w:pPr>
      <w:r w:rsidRPr="00CC67EA">
        <w:t>Process for Considering Non-endorsed Measures: Context</w:t>
      </w:r>
      <w:r w:rsidR="00E23590">
        <w:t xml:space="preserve"> </w:t>
      </w:r>
    </w:p>
    <w:p w:rsidR="00CC67EA" w:rsidRPr="00CC67EA" w:rsidRDefault="00CC67EA" w:rsidP="006602F4">
      <w:pPr>
        <w:pStyle w:val="ListParagraph"/>
        <w:numPr>
          <w:ilvl w:val="0"/>
          <w:numId w:val="25"/>
        </w:numPr>
        <w:jc w:val="left"/>
        <w:rPr>
          <w:rFonts w:ascii="Helvetica" w:hAnsi="Helvetica"/>
          <w:sz w:val="24"/>
          <w:szCs w:val="24"/>
        </w:rPr>
      </w:pPr>
      <w:r w:rsidRPr="00CC67EA">
        <w:rPr>
          <w:rFonts w:ascii="Helvetica" w:hAnsi="Helvetica"/>
          <w:sz w:val="24"/>
          <w:szCs w:val="24"/>
        </w:rPr>
        <w:t>At the conclusion of the 4/29 meeting Partners requested further definition of what it means for a measure to be validated.</w:t>
      </w:r>
    </w:p>
    <w:p w:rsidR="00CC67EA" w:rsidRPr="00CC67EA" w:rsidRDefault="00CC67EA" w:rsidP="006602F4">
      <w:pPr>
        <w:pStyle w:val="ListParagraph"/>
        <w:numPr>
          <w:ilvl w:val="0"/>
          <w:numId w:val="25"/>
        </w:numPr>
        <w:jc w:val="left"/>
        <w:rPr>
          <w:rFonts w:ascii="Helvetica" w:hAnsi="Helvetica"/>
          <w:sz w:val="24"/>
          <w:szCs w:val="24"/>
        </w:rPr>
      </w:pPr>
      <w:r w:rsidRPr="00CC67EA">
        <w:rPr>
          <w:rFonts w:ascii="Helvetica" w:hAnsi="Helvetica"/>
          <w:sz w:val="24"/>
          <w:szCs w:val="24"/>
        </w:rPr>
        <w:t xml:space="preserve">In response, Taskforce staff developed draft criteria for the review of homegrown measures like the </w:t>
      </w:r>
      <w:proofErr w:type="spellStart"/>
      <w:r w:rsidRPr="00CC67EA">
        <w:rPr>
          <w:rFonts w:ascii="Helvetica" w:hAnsi="Helvetica"/>
          <w:sz w:val="24"/>
          <w:szCs w:val="24"/>
        </w:rPr>
        <w:t>eCare</w:t>
      </w:r>
      <w:proofErr w:type="spellEnd"/>
      <w:r w:rsidRPr="00CC67EA">
        <w:rPr>
          <w:rFonts w:ascii="Helvetica" w:hAnsi="Helvetica"/>
          <w:sz w:val="24"/>
          <w:szCs w:val="24"/>
        </w:rPr>
        <w:t xml:space="preserve"> measures.  Those draft criteria were distributed to the Taskforce for comment on 9/19, with feedback requested by 10/9.</w:t>
      </w:r>
    </w:p>
    <w:p w:rsidR="00E23590" w:rsidRPr="00CC67EA" w:rsidRDefault="00CC67EA" w:rsidP="006602F4">
      <w:pPr>
        <w:pStyle w:val="ListParagraph"/>
        <w:numPr>
          <w:ilvl w:val="0"/>
          <w:numId w:val="25"/>
        </w:numPr>
        <w:jc w:val="left"/>
        <w:rPr>
          <w:rFonts w:ascii="Helvetica" w:hAnsi="Helvetica"/>
          <w:sz w:val="24"/>
          <w:szCs w:val="24"/>
        </w:rPr>
      </w:pPr>
      <w:r w:rsidRPr="00CC67EA">
        <w:rPr>
          <w:rFonts w:ascii="Helvetica" w:hAnsi="Helvetica"/>
          <w:sz w:val="24"/>
          <w:szCs w:val="24"/>
        </w:rPr>
        <w:t>A few Taskforce members responded, providing valuable feedback.  In advance of today’s meeting, Taskforce staff distributed revised criteria for your review.</w:t>
      </w:r>
    </w:p>
    <w:p w:rsidR="00E23590" w:rsidRDefault="00E23590" w:rsidP="00F42212">
      <w:pPr>
        <w:pStyle w:val="Heading1"/>
        <w:tabs>
          <w:tab w:val="left" w:pos="2296"/>
        </w:tabs>
      </w:pPr>
      <w:r w:rsidRPr="00A35C58">
        <w:t xml:space="preserve">Slide </w:t>
      </w:r>
      <w:r>
        <w:t>24</w:t>
      </w:r>
    </w:p>
    <w:p w:rsidR="00E23590" w:rsidRDefault="00CC67EA" w:rsidP="00F42212">
      <w:pPr>
        <w:pStyle w:val="Heading2"/>
      </w:pPr>
      <w:r w:rsidRPr="00CC67EA">
        <w:t>Process for Considering Non-endorsed Measures: Context</w:t>
      </w:r>
      <w:r w:rsidR="00E23590" w:rsidRPr="00E23590">
        <w:t xml:space="preserve"> </w:t>
      </w:r>
    </w:p>
    <w:p w:rsidR="00CC67EA" w:rsidRPr="00CC67EA" w:rsidRDefault="00CC67EA" w:rsidP="006602F4">
      <w:pPr>
        <w:pStyle w:val="ListParagraph"/>
        <w:numPr>
          <w:ilvl w:val="0"/>
          <w:numId w:val="26"/>
        </w:numPr>
        <w:contextualSpacing w:val="0"/>
        <w:jc w:val="left"/>
        <w:rPr>
          <w:rFonts w:ascii="Helvetica" w:hAnsi="Helvetica"/>
          <w:sz w:val="24"/>
          <w:szCs w:val="24"/>
        </w:rPr>
      </w:pPr>
      <w:r w:rsidRPr="00CC67EA">
        <w:rPr>
          <w:rFonts w:ascii="Helvetica" w:hAnsi="Helvetica"/>
          <w:sz w:val="24"/>
          <w:szCs w:val="24"/>
        </w:rPr>
        <w:t xml:space="preserve">One substantive change in response to the feedback was to rename the criteria as “Criteria for Non-Endorsed Measure Adoption.” </w:t>
      </w:r>
    </w:p>
    <w:p w:rsidR="00CC67EA" w:rsidRPr="00CC67EA" w:rsidRDefault="00CC67EA" w:rsidP="006602F4">
      <w:pPr>
        <w:pStyle w:val="ListParagraph"/>
        <w:numPr>
          <w:ilvl w:val="0"/>
          <w:numId w:val="26"/>
        </w:numPr>
        <w:contextualSpacing w:val="0"/>
        <w:jc w:val="left"/>
        <w:rPr>
          <w:rFonts w:ascii="Helvetica" w:hAnsi="Helvetica"/>
          <w:sz w:val="24"/>
          <w:szCs w:val="24"/>
        </w:rPr>
      </w:pPr>
      <w:r w:rsidRPr="00CC67EA">
        <w:rPr>
          <w:rFonts w:ascii="Helvetica" w:hAnsi="Helvetica"/>
          <w:sz w:val="24"/>
          <w:szCs w:val="24"/>
        </w:rPr>
        <w:t xml:space="preserve">We defined “Non-Endorsed Measures” as those for which the measure steward has not obtained endorsement from a national recognition body, such as the National Quality Forum (NQF), National Committee for Quality Assurance (NCQA), or Centers for Medicare and Medicaid Services (CMS). </w:t>
      </w:r>
    </w:p>
    <w:p w:rsidR="00E23590" w:rsidRPr="008464FB" w:rsidRDefault="00CC67EA" w:rsidP="006602F4">
      <w:pPr>
        <w:pStyle w:val="ListParagraph"/>
        <w:numPr>
          <w:ilvl w:val="0"/>
          <w:numId w:val="26"/>
        </w:numPr>
        <w:contextualSpacing w:val="0"/>
        <w:jc w:val="left"/>
        <w:rPr>
          <w:rFonts w:ascii="Helvetica" w:hAnsi="Helvetica"/>
          <w:sz w:val="24"/>
          <w:szCs w:val="24"/>
        </w:rPr>
      </w:pPr>
      <w:r w:rsidRPr="00CC67EA">
        <w:rPr>
          <w:rFonts w:ascii="Helvetica" w:hAnsi="Helvetica"/>
          <w:sz w:val="24"/>
          <w:szCs w:val="24"/>
        </w:rPr>
        <w:t xml:space="preserve">Today, Taskforce </w:t>
      </w:r>
      <w:proofErr w:type="gramStart"/>
      <w:r w:rsidRPr="00CC67EA">
        <w:rPr>
          <w:rFonts w:ascii="Helvetica" w:hAnsi="Helvetica"/>
          <w:sz w:val="24"/>
          <w:szCs w:val="24"/>
        </w:rPr>
        <w:t>staff ask</w:t>
      </w:r>
      <w:proofErr w:type="gramEnd"/>
      <w:r w:rsidRPr="00CC67EA">
        <w:rPr>
          <w:rFonts w:ascii="Helvetica" w:hAnsi="Helvetica"/>
          <w:sz w:val="24"/>
          <w:szCs w:val="24"/>
        </w:rPr>
        <w:t xml:space="preserve"> that you provide feedback on the updated proposed criteria.</w:t>
      </w:r>
    </w:p>
    <w:p w:rsidR="00E23590" w:rsidRDefault="00E23590" w:rsidP="00F42212">
      <w:pPr>
        <w:pStyle w:val="Heading1"/>
        <w:tabs>
          <w:tab w:val="left" w:pos="2296"/>
        </w:tabs>
      </w:pPr>
      <w:r w:rsidRPr="00A35C58">
        <w:t xml:space="preserve">Slide </w:t>
      </w:r>
      <w:r>
        <w:t>25</w:t>
      </w:r>
    </w:p>
    <w:p w:rsidR="00E23590" w:rsidRDefault="008464FB" w:rsidP="00F42212">
      <w:pPr>
        <w:pStyle w:val="Heading2"/>
      </w:pPr>
      <w:r w:rsidRPr="008464FB">
        <w:t>Proposed Criteria for Non-endorsed Measure Adoption</w:t>
      </w:r>
    </w:p>
    <w:p w:rsidR="008464FB" w:rsidRPr="008464FB" w:rsidRDefault="008464FB" w:rsidP="006602F4">
      <w:pPr>
        <w:pStyle w:val="ListParagraph"/>
        <w:numPr>
          <w:ilvl w:val="0"/>
          <w:numId w:val="27"/>
        </w:numPr>
        <w:contextualSpacing w:val="0"/>
        <w:jc w:val="left"/>
        <w:rPr>
          <w:rFonts w:ascii="Helvetica" w:hAnsi="Helvetica"/>
          <w:sz w:val="24"/>
          <w:szCs w:val="24"/>
        </w:rPr>
      </w:pPr>
      <w:r w:rsidRPr="008464FB">
        <w:rPr>
          <w:rStyle w:val="Strong"/>
        </w:rPr>
        <w:t>Evidence-Based:</w:t>
      </w:r>
      <w:r w:rsidRPr="008464FB">
        <w:rPr>
          <w:rFonts w:ascii="Helvetica" w:hAnsi="Helvetica"/>
          <w:sz w:val="24"/>
          <w:szCs w:val="24"/>
        </w:rPr>
        <w:t xml:space="preserve"> The measure topic is evidence-based.  There must be evidence demonstrating that the structure, process, or outcome being measured correlates with improved patient health.</w:t>
      </w:r>
    </w:p>
    <w:p w:rsidR="008464FB" w:rsidRPr="008464FB" w:rsidRDefault="008464FB" w:rsidP="006602F4">
      <w:pPr>
        <w:pStyle w:val="ListParagraph"/>
        <w:numPr>
          <w:ilvl w:val="0"/>
          <w:numId w:val="27"/>
        </w:numPr>
        <w:contextualSpacing w:val="0"/>
        <w:jc w:val="left"/>
        <w:rPr>
          <w:rFonts w:ascii="Helvetica" w:hAnsi="Helvetica"/>
          <w:sz w:val="24"/>
          <w:szCs w:val="24"/>
        </w:rPr>
      </w:pPr>
      <w:r w:rsidRPr="008464FB">
        <w:rPr>
          <w:rStyle w:val="Strong"/>
        </w:rPr>
        <w:t xml:space="preserve">Room for Improvement: </w:t>
      </w:r>
      <w:r w:rsidRPr="008464FB">
        <w:rPr>
          <w:rFonts w:ascii="Helvetica" w:hAnsi="Helvetica"/>
          <w:sz w:val="24"/>
          <w:szCs w:val="24"/>
        </w:rPr>
        <w:t xml:space="preserve"> The measure shows room for improvement.  </w:t>
      </w:r>
    </w:p>
    <w:p w:rsidR="008464FB" w:rsidRPr="008464FB" w:rsidRDefault="008464FB" w:rsidP="006602F4">
      <w:pPr>
        <w:pStyle w:val="ListParagraph"/>
        <w:numPr>
          <w:ilvl w:val="0"/>
          <w:numId w:val="27"/>
        </w:numPr>
        <w:contextualSpacing w:val="0"/>
        <w:jc w:val="left"/>
        <w:rPr>
          <w:rFonts w:ascii="Helvetica" w:hAnsi="Helvetica"/>
          <w:sz w:val="24"/>
          <w:szCs w:val="24"/>
        </w:rPr>
      </w:pPr>
      <w:r w:rsidRPr="00630DA9">
        <w:rPr>
          <w:rStyle w:val="Strong"/>
        </w:rPr>
        <w:t>Addresses a State Priority or Measure Gap in the Aligned Measure Set:</w:t>
      </w:r>
      <w:r w:rsidRPr="008464FB">
        <w:rPr>
          <w:rFonts w:ascii="Helvetica" w:hAnsi="Helvetica"/>
          <w:sz w:val="24"/>
          <w:szCs w:val="24"/>
        </w:rPr>
        <w:t xml:space="preserve">  The measure addresses a topic or population priority that is not currently accounted for in the Aligned Measure Set.</w:t>
      </w:r>
    </w:p>
    <w:p w:rsidR="00F73585" w:rsidRPr="008464FB" w:rsidRDefault="008464FB" w:rsidP="006602F4">
      <w:pPr>
        <w:pStyle w:val="ListParagraph"/>
        <w:numPr>
          <w:ilvl w:val="0"/>
          <w:numId w:val="27"/>
        </w:numPr>
        <w:contextualSpacing w:val="0"/>
        <w:jc w:val="left"/>
        <w:rPr>
          <w:rStyle w:val="Strong"/>
          <w:rFonts w:asciiTheme="minorHAnsi" w:hAnsiTheme="minorHAnsi"/>
          <w:b w:val="0"/>
          <w:sz w:val="22"/>
          <w:szCs w:val="20"/>
        </w:rPr>
      </w:pPr>
      <w:r w:rsidRPr="008464FB">
        <w:rPr>
          <w:rStyle w:val="Strong"/>
        </w:rPr>
        <w:t xml:space="preserve">No Nationally Endorsed Measures on the Topic: </w:t>
      </w:r>
      <w:r w:rsidRPr="008464FB">
        <w:rPr>
          <w:rFonts w:ascii="Helvetica" w:hAnsi="Helvetica"/>
          <w:sz w:val="24"/>
          <w:szCs w:val="24"/>
        </w:rPr>
        <w:t xml:space="preserve">The measure specifications are novel, and there are no nationally endorsed (i.e., endorsed by NQF, NCQA, or CMS, or other national recognition bodies) measures available for </w:t>
      </w:r>
      <w:proofErr w:type="gramStart"/>
      <w:r w:rsidRPr="008464FB">
        <w:rPr>
          <w:rFonts w:ascii="Helvetica" w:hAnsi="Helvetica"/>
          <w:sz w:val="24"/>
          <w:szCs w:val="24"/>
        </w:rPr>
        <w:t>use,</w:t>
      </w:r>
      <w:proofErr w:type="gramEnd"/>
      <w:r w:rsidRPr="008464FB">
        <w:rPr>
          <w:rFonts w:ascii="Helvetica" w:hAnsi="Helvetica"/>
          <w:sz w:val="24"/>
          <w:szCs w:val="24"/>
        </w:rPr>
        <w:t xml:space="preserve"> or the Taskforce has evaluated the nationally endorsed measures as failing to meet other measure selection principles. </w:t>
      </w:r>
    </w:p>
    <w:p w:rsidR="008464FB" w:rsidRDefault="008464FB" w:rsidP="00F42212">
      <w:pPr>
        <w:pStyle w:val="Heading1"/>
        <w:tabs>
          <w:tab w:val="left" w:pos="2296"/>
        </w:tabs>
      </w:pPr>
      <w:r w:rsidRPr="00A35C58">
        <w:t xml:space="preserve">Slide </w:t>
      </w:r>
      <w:r>
        <w:t>2</w:t>
      </w:r>
      <w:r>
        <w:t>6</w:t>
      </w:r>
    </w:p>
    <w:p w:rsidR="008464FB" w:rsidRDefault="008464FB" w:rsidP="00F42212">
      <w:pPr>
        <w:pStyle w:val="Heading2"/>
      </w:pPr>
      <w:r w:rsidRPr="008464FB">
        <w:t>Proposed Criteria for Non-endorsed Measure Adoption (cont’d)</w:t>
      </w:r>
    </w:p>
    <w:p w:rsidR="008464FB" w:rsidRPr="008464FB" w:rsidRDefault="008464FB" w:rsidP="006602F4">
      <w:pPr>
        <w:pStyle w:val="ListParagraph"/>
        <w:numPr>
          <w:ilvl w:val="0"/>
          <w:numId w:val="27"/>
        </w:numPr>
        <w:contextualSpacing w:val="0"/>
        <w:jc w:val="left"/>
        <w:rPr>
          <w:rFonts w:ascii="Helvetica" w:hAnsi="Helvetica"/>
          <w:sz w:val="24"/>
          <w:szCs w:val="24"/>
        </w:rPr>
      </w:pPr>
      <w:r w:rsidRPr="008464FB">
        <w:rPr>
          <w:rStyle w:val="Strong"/>
        </w:rPr>
        <w:t>Statistically Valid:</w:t>
      </w:r>
      <w:r w:rsidRPr="008464FB">
        <w:rPr>
          <w:rFonts w:ascii="Helvetica" w:hAnsi="Helvetica"/>
          <w:sz w:val="24"/>
          <w:szCs w:val="24"/>
        </w:rPr>
        <w:t xml:space="preserve"> The measure is valid and has undergone testing at both the data element and performance score level.  Any exclusion criteria are also valid.  For this purpose, the NQF definition of validity is used: “Validity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p w:rsidR="008464FB" w:rsidRPr="008464FB" w:rsidRDefault="008464FB" w:rsidP="006602F4">
      <w:pPr>
        <w:pStyle w:val="ListParagraph"/>
        <w:numPr>
          <w:ilvl w:val="0"/>
          <w:numId w:val="27"/>
        </w:numPr>
        <w:contextualSpacing w:val="0"/>
        <w:jc w:val="left"/>
      </w:pPr>
      <w:r w:rsidRPr="008464FB">
        <w:rPr>
          <w:rStyle w:val="Strong"/>
        </w:rPr>
        <w:t>Statistically Reliable:</w:t>
      </w:r>
      <w:r w:rsidRPr="008464FB">
        <w:rPr>
          <w:rFonts w:ascii="Helvetica" w:hAnsi="Helvetica"/>
          <w:sz w:val="24"/>
          <w:szCs w:val="24"/>
        </w:rPr>
        <w:t xml:space="preserve"> The measure can be applied consistently across providers, within and across organizations.  For this purpose, the NQF definition of reliability is used: “Reliability refers to the repeatability or precision of measurement.” To achieve this criterion, the measure must be clearly specified and have undergone reliability testing at the data element level and performance score level.</w:t>
      </w:r>
    </w:p>
    <w:p w:rsidR="00F73585" w:rsidRDefault="00F73585" w:rsidP="00F42212">
      <w:pPr>
        <w:pStyle w:val="Heading1"/>
        <w:tabs>
          <w:tab w:val="left" w:pos="2296"/>
        </w:tabs>
      </w:pPr>
      <w:r w:rsidRPr="00A35C58">
        <w:t xml:space="preserve">Slide </w:t>
      </w:r>
      <w:r>
        <w:t>2</w:t>
      </w:r>
      <w:r w:rsidR="00C82E49">
        <w:t>7</w:t>
      </w:r>
    </w:p>
    <w:p w:rsidR="00F73585" w:rsidRDefault="008464FB" w:rsidP="00F42212">
      <w:pPr>
        <w:pStyle w:val="Heading2"/>
      </w:pPr>
      <w:r w:rsidRPr="008464FB">
        <w:t>NQF on Reliability and Validity</w:t>
      </w:r>
    </w:p>
    <w:p w:rsidR="00BE257F" w:rsidRPr="00BE257F" w:rsidRDefault="00BE257F" w:rsidP="006602F4">
      <w:pPr>
        <w:pStyle w:val="ListParagraph"/>
        <w:numPr>
          <w:ilvl w:val="0"/>
          <w:numId w:val="28"/>
        </w:numPr>
        <w:contextualSpacing w:val="0"/>
        <w:jc w:val="left"/>
        <w:rPr>
          <w:rFonts w:ascii="Helvetica" w:hAnsi="Helvetica"/>
          <w:sz w:val="24"/>
          <w:szCs w:val="24"/>
        </w:rPr>
      </w:pPr>
      <w:r w:rsidRPr="00BE257F">
        <w:rPr>
          <w:rFonts w:ascii="Helvetica" w:hAnsi="Helvetica"/>
          <w:sz w:val="24"/>
          <w:szCs w:val="24"/>
        </w:rPr>
        <w:t xml:space="preserve">NQF considers both measure reliability and validity as instrumental in determining the scientific acceptability of a measure’s properties. </w:t>
      </w:r>
    </w:p>
    <w:p w:rsidR="00BE257F" w:rsidRPr="00BE257F" w:rsidRDefault="00BE257F" w:rsidP="006602F4">
      <w:pPr>
        <w:pStyle w:val="ListParagraph"/>
        <w:numPr>
          <w:ilvl w:val="0"/>
          <w:numId w:val="28"/>
        </w:numPr>
        <w:contextualSpacing w:val="0"/>
        <w:jc w:val="left"/>
        <w:rPr>
          <w:rFonts w:ascii="Helvetica" w:hAnsi="Helvetica"/>
          <w:sz w:val="24"/>
          <w:szCs w:val="24"/>
        </w:rPr>
      </w:pPr>
      <w:r w:rsidRPr="00BE257F">
        <w:rPr>
          <w:rFonts w:ascii="Helvetica" w:hAnsi="Helvetica"/>
          <w:sz w:val="24"/>
          <w:szCs w:val="24"/>
        </w:rPr>
        <w:t xml:space="preserve">Before considering validity, one must confirm the measure’s reliability to ensure it is applied consistently across providers. </w:t>
      </w:r>
    </w:p>
    <w:p w:rsidR="00BE257F" w:rsidRPr="00BE257F" w:rsidRDefault="00BE257F" w:rsidP="006602F4">
      <w:pPr>
        <w:pStyle w:val="ListParagraph"/>
        <w:numPr>
          <w:ilvl w:val="1"/>
          <w:numId w:val="29"/>
        </w:numPr>
        <w:jc w:val="left"/>
        <w:rPr>
          <w:rFonts w:ascii="Helvetica" w:hAnsi="Helvetica"/>
          <w:sz w:val="24"/>
          <w:szCs w:val="24"/>
        </w:rPr>
      </w:pPr>
      <w:r w:rsidRPr="00BE257F">
        <w:rPr>
          <w:rFonts w:ascii="Helvetica" w:hAnsi="Helvetica"/>
          <w:sz w:val="24"/>
          <w:szCs w:val="24"/>
        </w:rPr>
        <w:t xml:space="preserve">To be reliable, the measure must be clearly specified and reliability testing must be performed.  </w:t>
      </w:r>
    </w:p>
    <w:p w:rsidR="00BE257F" w:rsidRPr="00BE257F" w:rsidRDefault="00BE257F" w:rsidP="006602F4">
      <w:pPr>
        <w:pStyle w:val="ListParagraph"/>
        <w:numPr>
          <w:ilvl w:val="1"/>
          <w:numId w:val="29"/>
        </w:numPr>
        <w:jc w:val="left"/>
        <w:rPr>
          <w:rFonts w:ascii="Helvetica" w:hAnsi="Helvetica"/>
          <w:sz w:val="24"/>
          <w:szCs w:val="24"/>
        </w:rPr>
      </w:pPr>
      <w:r w:rsidRPr="00BE257F">
        <w:rPr>
          <w:rFonts w:ascii="Helvetica" w:hAnsi="Helvetica"/>
          <w:sz w:val="24"/>
          <w:szCs w:val="24"/>
        </w:rPr>
        <w:t>NQF recommended that measure stewards conduct interrater reliability testing at the data element level and performance score level.</w:t>
      </w:r>
    </w:p>
    <w:p w:rsidR="00C82E49" w:rsidRDefault="00C82E49" w:rsidP="00F42212">
      <w:pPr>
        <w:pStyle w:val="Heading1"/>
        <w:tabs>
          <w:tab w:val="left" w:pos="2296"/>
        </w:tabs>
      </w:pPr>
      <w:r w:rsidRPr="00A35C58">
        <w:t xml:space="preserve">Slide </w:t>
      </w:r>
      <w:r>
        <w:t>28</w:t>
      </w:r>
    </w:p>
    <w:p w:rsidR="00C82E49" w:rsidRDefault="00103708" w:rsidP="00F42212">
      <w:pPr>
        <w:pStyle w:val="Heading2"/>
      </w:pPr>
      <w:r w:rsidRPr="00103708">
        <w:t>NQF on Validity</w:t>
      </w:r>
    </w:p>
    <w:p w:rsidR="00103708" w:rsidRPr="00103708" w:rsidRDefault="00103708" w:rsidP="006602F4">
      <w:pPr>
        <w:pStyle w:val="ListParagraph"/>
        <w:numPr>
          <w:ilvl w:val="0"/>
          <w:numId w:val="30"/>
        </w:numPr>
        <w:jc w:val="left"/>
        <w:rPr>
          <w:rFonts w:ascii="Helvetica" w:hAnsi="Helvetica"/>
          <w:sz w:val="24"/>
          <w:szCs w:val="24"/>
        </w:rPr>
      </w:pPr>
      <w:r w:rsidRPr="00103708">
        <w:rPr>
          <w:rFonts w:ascii="Helvetica" w:hAnsi="Helvetica"/>
          <w:sz w:val="24"/>
          <w:szCs w:val="24"/>
        </w:rPr>
        <w:t xml:space="preserve">Validity is tested by NQF at both the data element and performance score level.  </w:t>
      </w:r>
    </w:p>
    <w:p w:rsidR="00103708" w:rsidRPr="00103708" w:rsidRDefault="00103708" w:rsidP="006602F4">
      <w:pPr>
        <w:pStyle w:val="ListParagraph"/>
        <w:numPr>
          <w:ilvl w:val="1"/>
          <w:numId w:val="31"/>
        </w:numPr>
        <w:jc w:val="left"/>
        <w:rPr>
          <w:rFonts w:ascii="Helvetica" w:hAnsi="Helvetica"/>
          <w:sz w:val="24"/>
          <w:szCs w:val="24"/>
        </w:rPr>
      </w:pPr>
      <w:r w:rsidRPr="00103708">
        <w:rPr>
          <w:rFonts w:ascii="Helvetica" w:hAnsi="Helvetica"/>
          <w:sz w:val="24"/>
          <w:szCs w:val="24"/>
        </w:rPr>
        <w:t xml:space="preserve">To examine validity, the NQF confirms that specifications are supported by evidence and tests the validity of the data elements and performance score.  </w:t>
      </w:r>
    </w:p>
    <w:p w:rsidR="00103708" w:rsidRPr="00103708" w:rsidRDefault="00103708" w:rsidP="006602F4">
      <w:pPr>
        <w:pStyle w:val="ListParagraph"/>
        <w:numPr>
          <w:ilvl w:val="1"/>
          <w:numId w:val="31"/>
        </w:numPr>
        <w:jc w:val="left"/>
        <w:rPr>
          <w:rFonts w:ascii="Helvetica" w:hAnsi="Helvetica"/>
          <w:sz w:val="24"/>
          <w:szCs w:val="24"/>
        </w:rPr>
      </w:pPr>
      <w:r w:rsidRPr="00103708">
        <w:rPr>
          <w:rFonts w:ascii="Helvetica" w:hAnsi="Helvetica"/>
          <w:sz w:val="24"/>
          <w:szCs w:val="24"/>
        </w:rPr>
        <w:t xml:space="preserve">Validity testing at the data element level confirms if information is being captured accurately and correctly.  </w:t>
      </w:r>
    </w:p>
    <w:p w:rsidR="00103708" w:rsidRPr="00103708" w:rsidRDefault="00103708" w:rsidP="006602F4">
      <w:pPr>
        <w:pStyle w:val="ListParagraph"/>
        <w:numPr>
          <w:ilvl w:val="1"/>
          <w:numId w:val="31"/>
        </w:numPr>
        <w:jc w:val="left"/>
        <w:rPr>
          <w:rFonts w:ascii="Helvetica" w:hAnsi="Helvetica"/>
          <w:sz w:val="24"/>
          <w:szCs w:val="24"/>
        </w:rPr>
      </w:pPr>
      <w:r w:rsidRPr="00103708">
        <w:rPr>
          <w:rFonts w:ascii="Helvetica" w:hAnsi="Helvetica"/>
          <w:sz w:val="24"/>
          <w:szCs w:val="24"/>
        </w:rPr>
        <w:t xml:space="preserve">At the performance score level, NQF recommended comparing the measure to a well-established measure (that is conceptually linked to the measure in question) at a provider level to see if results are correlated, the magnitude of correlation, and if it is in the direction anticipated.  </w:t>
      </w:r>
    </w:p>
    <w:p w:rsidR="00C82E49" w:rsidRDefault="00103708" w:rsidP="006602F4">
      <w:pPr>
        <w:pStyle w:val="ListParagraph"/>
        <w:numPr>
          <w:ilvl w:val="1"/>
          <w:numId w:val="31"/>
        </w:numPr>
        <w:jc w:val="left"/>
        <w:rPr>
          <w:rFonts w:ascii="Helvetica" w:hAnsi="Helvetica"/>
          <w:sz w:val="24"/>
          <w:szCs w:val="24"/>
        </w:rPr>
      </w:pPr>
      <w:r w:rsidRPr="00103708">
        <w:rPr>
          <w:rFonts w:ascii="Helvetica" w:hAnsi="Helvetica"/>
          <w:sz w:val="24"/>
          <w:szCs w:val="24"/>
        </w:rPr>
        <w:t>Scores should allow for identification of statistically significant and practically/clinically meaningful differences in performance.</w:t>
      </w:r>
    </w:p>
    <w:p w:rsidR="00103708" w:rsidRDefault="00103708" w:rsidP="00F42212">
      <w:pPr>
        <w:pStyle w:val="Heading1"/>
        <w:tabs>
          <w:tab w:val="left" w:pos="2296"/>
        </w:tabs>
      </w:pPr>
      <w:r w:rsidRPr="00A35C58">
        <w:t xml:space="preserve">Slide </w:t>
      </w:r>
      <w:r>
        <w:t>2</w:t>
      </w:r>
      <w:r>
        <w:t>9</w:t>
      </w:r>
    </w:p>
    <w:p w:rsidR="00103708" w:rsidRDefault="00103708" w:rsidP="00F42212">
      <w:pPr>
        <w:pStyle w:val="Heading2"/>
      </w:pPr>
      <w:r w:rsidRPr="00103708">
        <w:t>Proposed Criteria for Non-endorsed Measure Adoption (cont’d)</w:t>
      </w:r>
    </w:p>
    <w:p w:rsidR="00103708" w:rsidRPr="00103708" w:rsidRDefault="00103708" w:rsidP="006602F4">
      <w:pPr>
        <w:pStyle w:val="ListParagraph"/>
        <w:numPr>
          <w:ilvl w:val="0"/>
          <w:numId w:val="27"/>
        </w:numPr>
        <w:contextualSpacing w:val="0"/>
        <w:jc w:val="left"/>
        <w:rPr>
          <w:rFonts w:ascii="Helvetica" w:hAnsi="Helvetica"/>
          <w:sz w:val="24"/>
          <w:szCs w:val="24"/>
        </w:rPr>
      </w:pPr>
      <w:r w:rsidRPr="00103708">
        <w:rPr>
          <w:rStyle w:val="Strong"/>
        </w:rPr>
        <w:t>Appropriate for Measurement at the ACO-Level:</w:t>
      </w:r>
      <w:r w:rsidRPr="00103708">
        <w:rPr>
          <w:rFonts w:ascii="Helvetica" w:hAnsi="Helvetica"/>
          <w:sz w:val="24"/>
          <w:szCs w:val="24"/>
        </w:rPr>
        <w:t xml:space="preserve"> The measure is appropriate for use in an ACO contract.  For this purpose, an ACO is defined as a provider organization that has entered into a global budget-based risk contract with a commercial or MassHealth payer.</w:t>
      </w:r>
    </w:p>
    <w:p w:rsidR="00103708" w:rsidRPr="00103708" w:rsidRDefault="00103708" w:rsidP="006602F4">
      <w:pPr>
        <w:pStyle w:val="ListParagraph"/>
        <w:numPr>
          <w:ilvl w:val="0"/>
          <w:numId w:val="27"/>
        </w:numPr>
        <w:contextualSpacing w:val="0"/>
        <w:jc w:val="left"/>
        <w:rPr>
          <w:rFonts w:ascii="Helvetica" w:hAnsi="Helvetica"/>
          <w:sz w:val="24"/>
          <w:szCs w:val="24"/>
        </w:rPr>
      </w:pPr>
      <w:r w:rsidRPr="00103708">
        <w:rPr>
          <w:rStyle w:val="Strong"/>
        </w:rPr>
        <w:t xml:space="preserve">Suitable for Implementation by Providers and Payers </w:t>
      </w:r>
      <w:proofErr w:type="gramStart"/>
      <w:r w:rsidRPr="00103708">
        <w:rPr>
          <w:rStyle w:val="Strong"/>
        </w:rPr>
        <w:t>Without</w:t>
      </w:r>
      <w:proofErr w:type="gramEnd"/>
      <w:r w:rsidRPr="00103708">
        <w:rPr>
          <w:rStyle w:val="Strong"/>
        </w:rPr>
        <w:t xml:space="preserve"> Extensive Administrative Effort for Either:</w:t>
      </w:r>
      <w:r w:rsidRPr="00103708">
        <w:rPr>
          <w:rFonts w:ascii="Helvetica" w:hAnsi="Helvetica"/>
          <w:sz w:val="24"/>
          <w:szCs w:val="24"/>
        </w:rPr>
        <w:t xml:space="preserve"> The measure can be generated without causing extensive burden, or the measure would reduce burden by supplanting a measure in the Aligned Measure Set with greater burden.</w:t>
      </w:r>
    </w:p>
    <w:p w:rsidR="00103708" w:rsidRDefault="00103708" w:rsidP="00F42212">
      <w:pPr>
        <w:pStyle w:val="Heading1"/>
        <w:tabs>
          <w:tab w:val="left" w:pos="2296"/>
        </w:tabs>
      </w:pPr>
      <w:r w:rsidRPr="00A35C58">
        <w:t xml:space="preserve">Slide </w:t>
      </w:r>
      <w:r>
        <w:t>30</w:t>
      </w:r>
    </w:p>
    <w:p w:rsidR="00103708" w:rsidRDefault="00103708" w:rsidP="00F42212">
      <w:pPr>
        <w:pStyle w:val="Heading2"/>
      </w:pPr>
      <w:r w:rsidRPr="00103708">
        <w:t>Proposed Criteria for Non-endorsed Measure Adoption vs. Measure Selection Criteria</w:t>
      </w:r>
    </w:p>
    <w:tbl>
      <w:tblPr>
        <w:tblStyle w:val="TableGrid"/>
        <w:tblW w:w="5000" w:type="pct"/>
        <w:tblCellMar>
          <w:left w:w="0" w:type="dxa"/>
          <w:right w:w="0" w:type="dxa"/>
        </w:tblCellMar>
        <w:tblLook w:val="04A0" w:firstRow="1" w:lastRow="0" w:firstColumn="1" w:lastColumn="0" w:noHBand="0" w:noVBand="1"/>
        <w:tblCaption w:val="Proposed Criteria for Non-endorsed Measure Adoption vs. Measure Selection Criteria"/>
      </w:tblPr>
      <w:tblGrid>
        <w:gridCol w:w="1918"/>
        <w:gridCol w:w="1327"/>
        <w:gridCol w:w="1602"/>
        <w:gridCol w:w="1790"/>
        <w:gridCol w:w="1470"/>
        <w:gridCol w:w="1465"/>
      </w:tblGrid>
      <w:tr w:rsidR="00461F51" w:rsidRPr="00461F51" w:rsidTr="00475F90">
        <w:trPr>
          <w:trHeight w:val="3916"/>
          <w:tblHeader/>
        </w:trPr>
        <w:tc>
          <w:tcPr>
            <w:tcW w:w="1002" w:type="pct"/>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103708"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Criteria for Adoption of Non-Endorsed Measures as Core, Menu or On Deck Measures in the Massachusetts Aligned Measure Set</w:t>
            </w:r>
          </w:p>
          <w:p w:rsidR="00461F51" w:rsidRPr="00461F51" w:rsidRDefault="00103708" w:rsidP="00F42212">
            <w:pPr>
              <w:spacing w:after="200" w:line="276" w:lineRule="auto"/>
              <w:jc w:val="left"/>
              <w:rPr>
                <w:rStyle w:val="Emphasis"/>
                <w:b/>
                <w:i w:val="0"/>
              </w:rPr>
            </w:pPr>
            <w:r w:rsidRPr="00461F51">
              <w:rPr>
                <w:rStyle w:val="Strong"/>
              </w:rPr>
              <w:t>(Proposed)</w:t>
            </w:r>
          </w:p>
        </w:tc>
        <w:tc>
          <w:tcPr>
            <w:tcW w:w="693" w:type="pct"/>
            <w:tcBorders>
              <w:top w:val="single" w:sz="8" w:space="0" w:color="000000"/>
              <w:left w:val="single" w:sz="8" w:space="0" w:color="000000"/>
              <w:bottom w:val="single" w:sz="8" w:space="0" w:color="000000"/>
              <w:right w:val="single" w:sz="8" w:space="0" w:color="000000"/>
            </w:tcBorders>
            <w:shd w:val="clear" w:color="auto" w:fill="DEEAF6"/>
            <w:tcMar>
              <w:top w:w="15" w:type="dxa"/>
              <w:left w:w="106" w:type="dxa"/>
              <w:bottom w:w="0" w:type="dxa"/>
              <w:right w:w="106" w:type="dxa"/>
            </w:tcMar>
            <w:hideMark/>
          </w:tcPr>
          <w:p w:rsidR="00103708"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Measure Selection Criteria – Principles to be Applied to Individual Measures</w:t>
            </w:r>
          </w:p>
          <w:p w:rsidR="00000000" w:rsidRPr="00461F51" w:rsidRDefault="00103708" w:rsidP="00F42212">
            <w:pPr>
              <w:spacing w:after="200" w:line="276" w:lineRule="auto"/>
              <w:jc w:val="left"/>
              <w:rPr>
                <w:rStyle w:val="Strong"/>
              </w:rPr>
            </w:pPr>
            <w:r w:rsidRPr="00461F51">
              <w:rPr>
                <w:rStyle w:val="Strong"/>
              </w:rPr>
              <w:t>(Current)</w:t>
            </w:r>
          </w:p>
        </w:tc>
        <w:tc>
          <w:tcPr>
            <w:tcW w:w="837" w:type="pct"/>
            <w:tcBorders>
              <w:top w:val="single" w:sz="8" w:space="0" w:color="000000"/>
              <w:left w:val="single" w:sz="8" w:space="0" w:color="000000"/>
              <w:bottom w:val="single" w:sz="8" w:space="0" w:color="000000"/>
              <w:right w:val="single" w:sz="8" w:space="0" w:color="000000"/>
            </w:tcBorders>
            <w:shd w:val="clear" w:color="auto" w:fill="DEEAF6"/>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Evidence-based, scientifically acceptable, nationally-endorsed and valid at the level at which it is being used (ACO-level in particular)</w:t>
            </w:r>
          </w:p>
        </w:tc>
        <w:tc>
          <w:tcPr>
            <w:tcW w:w="935" w:type="pct"/>
            <w:tcBorders>
              <w:top w:val="single" w:sz="8" w:space="0" w:color="000000"/>
              <w:left w:val="single" w:sz="8" w:space="0" w:color="000000"/>
              <w:bottom w:val="single" w:sz="8" w:space="0" w:color="000000"/>
              <w:right w:val="single" w:sz="8" w:space="0" w:color="000000"/>
            </w:tcBorders>
            <w:shd w:val="clear" w:color="auto" w:fill="DEEAF6"/>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Required data should be either readily available, not overly burdensome to collect, or, if burdensome, of demonstrable value for improving patient care</w:t>
            </w:r>
          </w:p>
        </w:tc>
        <w:tc>
          <w:tcPr>
            <w:tcW w:w="768" w:type="pct"/>
            <w:tcBorders>
              <w:top w:val="single" w:sz="8" w:space="0" w:color="000000"/>
              <w:left w:val="single" w:sz="8" w:space="0" w:color="000000"/>
              <w:bottom w:val="single" w:sz="8" w:space="0" w:color="000000"/>
              <w:right w:val="single" w:sz="8" w:space="0" w:color="000000"/>
            </w:tcBorders>
            <w:shd w:val="clear" w:color="auto" w:fill="DEEAF6"/>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 xml:space="preserve">Represents an </w:t>
            </w:r>
            <w:proofErr w:type="spellStart"/>
            <w:r w:rsidRPr="00461F51">
              <w:rPr>
                <w:rFonts w:ascii="Helvetica" w:hAnsi="Helvetica"/>
                <w:sz w:val="24"/>
                <w:szCs w:val="24"/>
              </w:rPr>
              <w:t>opportu-nity</w:t>
            </w:r>
            <w:proofErr w:type="spellEnd"/>
            <w:r w:rsidRPr="00461F51">
              <w:rPr>
                <w:rFonts w:ascii="Helvetica" w:hAnsi="Helvetica"/>
                <w:sz w:val="24"/>
                <w:szCs w:val="24"/>
              </w:rPr>
              <w:t xml:space="preserve"> for improve-</w:t>
            </w:r>
            <w:proofErr w:type="spellStart"/>
            <w:r w:rsidRPr="00461F51">
              <w:rPr>
                <w:rFonts w:ascii="Helvetica" w:hAnsi="Helvetica"/>
                <w:sz w:val="24"/>
                <w:szCs w:val="24"/>
              </w:rPr>
              <w:t>ment</w:t>
            </w:r>
            <w:proofErr w:type="spellEnd"/>
          </w:p>
        </w:tc>
        <w:tc>
          <w:tcPr>
            <w:tcW w:w="765" w:type="pct"/>
            <w:tcBorders>
              <w:top w:val="single" w:sz="8" w:space="0" w:color="000000"/>
              <w:left w:val="single" w:sz="8" w:space="0" w:color="000000"/>
              <w:bottom w:val="single" w:sz="8" w:space="0" w:color="000000"/>
              <w:right w:val="single" w:sz="8" w:space="0" w:color="000000"/>
            </w:tcBorders>
            <w:shd w:val="clear" w:color="auto" w:fill="DEEAF6"/>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Is important to consumers and supports the triple aim of better care, better health and lower cost</w:t>
            </w:r>
          </w:p>
        </w:tc>
      </w:tr>
      <w:tr w:rsidR="00461F51" w:rsidRPr="00461F51" w:rsidTr="00461F51">
        <w:trPr>
          <w:trHeight w:val="154"/>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Evidence-based</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X</w:t>
            </w: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39"/>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Room for improvement</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X</w:t>
            </w: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226"/>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Address a state priority or measure gap in the Aligned Measure Set</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103708" w:rsidRPr="00461F51" w:rsidRDefault="00103708" w:rsidP="00F42212">
            <w:pPr>
              <w:spacing w:after="200" w:line="276" w:lineRule="auto"/>
              <w:jc w:val="left"/>
              <w:rPr>
                <w:rFonts w:ascii="Helvetica" w:hAnsi="Helvetica"/>
                <w:sz w:val="24"/>
                <w:szCs w:val="24"/>
              </w:rPr>
            </w:pPr>
          </w:p>
        </w:tc>
      </w:tr>
      <w:tr w:rsidR="00461F51" w:rsidRPr="00461F51" w:rsidTr="00461F51">
        <w:trPr>
          <w:trHeight w:val="691"/>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No nationally endorsed measures on the topic</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345"/>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Statistically valid</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X</w:t>
            </w: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345"/>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Statistically reliable</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691"/>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Appropriate for measurement at the ACO-level</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X</w:t>
            </w: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r w:rsidR="00461F51" w:rsidRPr="00461F51" w:rsidTr="00461F51">
        <w:trPr>
          <w:trHeight w:val="1036"/>
        </w:trPr>
        <w:tc>
          <w:tcPr>
            <w:tcW w:w="1695" w:type="pct"/>
            <w:gridSpan w:val="2"/>
            <w:tcBorders>
              <w:top w:val="single" w:sz="8" w:space="0" w:color="000000"/>
              <w:left w:val="single" w:sz="8" w:space="0" w:color="000000"/>
              <w:bottom w:val="single" w:sz="8" w:space="0" w:color="000000"/>
              <w:right w:val="single" w:sz="8" w:space="0" w:color="000000"/>
            </w:tcBorders>
            <w:shd w:val="clear" w:color="auto" w:fill="FFE599"/>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Implementation by providers and/or payers without extensive administrative effort for either</w:t>
            </w:r>
          </w:p>
        </w:tc>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9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103708" w:rsidP="00F42212">
            <w:pPr>
              <w:spacing w:after="200" w:line="276" w:lineRule="auto"/>
              <w:jc w:val="left"/>
              <w:rPr>
                <w:rFonts w:ascii="Helvetica" w:hAnsi="Helvetica"/>
                <w:sz w:val="24"/>
                <w:szCs w:val="24"/>
              </w:rPr>
            </w:pPr>
            <w:r w:rsidRPr="00461F51">
              <w:rPr>
                <w:rFonts w:ascii="Helvetica" w:hAnsi="Helvetica"/>
                <w:sz w:val="24"/>
                <w:szCs w:val="24"/>
              </w:rPr>
              <w:t>X</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c>
          <w:tcPr>
            <w:tcW w:w="7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000000" w:rsidRPr="00461F51" w:rsidRDefault="006602F4" w:rsidP="00F42212">
            <w:pPr>
              <w:spacing w:after="200" w:line="276" w:lineRule="auto"/>
              <w:jc w:val="left"/>
              <w:rPr>
                <w:rFonts w:ascii="Helvetica" w:hAnsi="Helvetica"/>
                <w:sz w:val="24"/>
                <w:szCs w:val="24"/>
              </w:rPr>
            </w:pPr>
          </w:p>
        </w:tc>
      </w:tr>
    </w:tbl>
    <w:p w:rsidR="00630DA9" w:rsidRDefault="00630DA9" w:rsidP="00F42212">
      <w:pPr>
        <w:pStyle w:val="Heading1"/>
        <w:tabs>
          <w:tab w:val="left" w:pos="2296"/>
        </w:tabs>
      </w:pPr>
      <w:r>
        <w:br w:type="page"/>
      </w:r>
    </w:p>
    <w:p w:rsidR="00103708" w:rsidRDefault="00103708" w:rsidP="00F42212">
      <w:pPr>
        <w:pStyle w:val="Heading1"/>
        <w:tabs>
          <w:tab w:val="left" w:pos="2296"/>
        </w:tabs>
      </w:pPr>
      <w:r w:rsidRPr="00A35C58">
        <w:t xml:space="preserve">Slide </w:t>
      </w:r>
      <w:r>
        <w:t>3</w:t>
      </w:r>
      <w:r w:rsidR="00F3689A">
        <w:t>1</w:t>
      </w:r>
    </w:p>
    <w:p w:rsidR="00103708" w:rsidRDefault="00F3689A" w:rsidP="00F42212">
      <w:pPr>
        <w:pStyle w:val="Heading2"/>
      </w:pPr>
      <w:r w:rsidRPr="00F3689A">
        <w:t>Proposed Criteria for</w:t>
      </w:r>
      <w:r>
        <w:t xml:space="preserve"> Non-endorsed Measure Adoption</w:t>
      </w:r>
    </w:p>
    <w:p w:rsidR="00F3689A" w:rsidRPr="00F3689A" w:rsidRDefault="00F3689A" w:rsidP="006602F4">
      <w:pPr>
        <w:pStyle w:val="ListParagraph"/>
        <w:numPr>
          <w:ilvl w:val="0"/>
          <w:numId w:val="32"/>
        </w:numPr>
        <w:jc w:val="left"/>
        <w:rPr>
          <w:rFonts w:ascii="Helvetica" w:hAnsi="Helvetica"/>
          <w:sz w:val="24"/>
          <w:szCs w:val="24"/>
        </w:rPr>
      </w:pPr>
      <w:r w:rsidRPr="00F3689A">
        <w:rPr>
          <w:rFonts w:ascii="Helvetica" w:hAnsi="Helvetica"/>
          <w:sz w:val="24"/>
          <w:szCs w:val="24"/>
        </w:rPr>
        <w:t>Does the Taskforce support adoption of the proposed criteria?</w:t>
      </w:r>
    </w:p>
    <w:p w:rsidR="00F3689A" w:rsidRPr="00F3689A" w:rsidRDefault="00F3689A" w:rsidP="006602F4">
      <w:pPr>
        <w:pStyle w:val="ListParagraph"/>
        <w:numPr>
          <w:ilvl w:val="1"/>
          <w:numId w:val="33"/>
        </w:numPr>
        <w:jc w:val="left"/>
        <w:rPr>
          <w:rFonts w:ascii="Helvetica" w:hAnsi="Helvetica"/>
          <w:sz w:val="24"/>
          <w:szCs w:val="24"/>
        </w:rPr>
      </w:pPr>
      <w:r w:rsidRPr="00F3689A">
        <w:rPr>
          <w:rFonts w:ascii="Helvetica" w:hAnsi="Helvetica"/>
          <w:sz w:val="24"/>
          <w:szCs w:val="24"/>
        </w:rPr>
        <w:t xml:space="preserve">Should any of these criteria be removed? </w:t>
      </w:r>
    </w:p>
    <w:p w:rsidR="00103708" w:rsidRPr="00F3689A" w:rsidRDefault="00F3689A" w:rsidP="006602F4">
      <w:pPr>
        <w:pStyle w:val="ListParagraph"/>
        <w:numPr>
          <w:ilvl w:val="1"/>
          <w:numId w:val="33"/>
        </w:numPr>
        <w:jc w:val="left"/>
        <w:rPr>
          <w:rFonts w:ascii="Helvetica" w:hAnsi="Helvetica"/>
          <w:sz w:val="24"/>
          <w:szCs w:val="24"/>
        </w:rPr>
      </w:pPr>
      <w:r w:rsidRPr="00F3689A">
        <w:rPr>
          <w:rFonts w:ascii="Helvetica" w:hAnsi="Helvetica"/>
          <w:sz w:val="24"/>
          <w:szCs w:val="24"/>
        </w:rPr>
        <w:t>Are there any additional criteria that should be considered?</w:t>
      </w:r>
    </w:p>
    <w:p w:rsidR="00103708" w:rsidRDefault="00103708" w:rsidP="00F42212">
      <w:pPr>
        <w:pStyle w:val="Heading1"/>
        <w:tabs>
          <w:tab w:val="left" w:pos="2296"/>
        </w:tabs>
      </w:pPr>
      <w:r w:rsidRPr="00A35C58">
        <w:t xml:space="preserve">Slide </w:t>
      </w:r>
      <w:r>
        <w:t>3</w:t>
      </w:r>
      <w:r w:rsidR="00F3689A">
        <w:t>2</w:t>
      </w:r>
    </w:p>
    <w:p w:rsidR="00630DA9" w:rsidRDefault="00630DA9" w:rsidP="00F42212">
      <w:pPr>
        <w:pStyle w:val="Heading2"/>
      </w:pPr>
      <w:r w:rsidRPr="00864B77">
        <w:t>Agenda</w:t>
      </w:r>
    </w:p>
    <w:p w:rsidR="00630DA9" w:rsidRPr="00D2408B" w:rsidRDefault="00630DA9" w:rsidP="006602F4">
      <w:pPr>
        <w:pStyle w:val="ListParagraph"/>
        <w:numPr>
          <w:ilvl w:val="0"/>
          <w:numId w:val="2"/>
        </w:numPr>
        <w:jc w:val="left"/>
        <w:rPr>
          <w:rStyle w:val="Strong"/>
          <w:b w:val="0"/>
        </w:rPr>
      </w:pPr>
      <w:r w:rsidRPr="00D2408B">
        <w:rPr>
          <w:rStyle w:val="Strong"/>
          <w:b w:val="0"/>
        </w:rPr>
        <w:t xml:space="preserve">Legislative update </w:t>
      </w:r>
    </w:p>
    <w:p w:rsidR="00630DA9" w:rsidRPr="00630DA9" w:rsidRDefault="00630DA9" w:rsidP="006602F4">
      <w:pPr>
        <w:pStyle w:val="ListParagraph"/>
        <w:numPr>
          <w:ilvl w:val="0"/>
          <w:numId w:val="2"/>
        </w:numPr>
        <w:jc w:val="left"/>
        <w:rPr>
          <w:rStyle w:val="Strong"/>
          <w:b w:val="0"/>
        </w:rPr>
      </w:pPr>
      <w:r w:rsidRPr="00630DA9">
        <w:rPr>
          <w:rStyle w:val="Strong"/>
          <w:b w:val="0"/>
        </w:rPr>
        <w:t>Finalize the Taskforce charter</w:t>
      </w:r>
    </w:p>
    <w:p w:rsidR="00630DA9" w:rsidRPr="00FA64DE" w:rsidRDefault="00630DA9" w:rsidP="006602F4">
      <w:pPr>
        <w:pStyle w:val="ListParagraph"/>
        <w:numPr>
          <w:ilvl w:val="0"/>
          <w:numId w:val="2"/>
        </w:numPr>
        <w:jc w:val="left"/>
        <w:rPr>
          <w:rFonts w:ascii="Helvetica" w:hAnsi="Helvetica"/>
          <w:sz w:val="24"/>
          <w:szCs w:val="24"/>
        </w:rPr>
      </w:pPr>
      <w:r w:rsidRPr="00FA64DE">
        <w:rPr>
          <w:rFonts w:ascii="Helvetica" w:hAnsi="Helvetica"/>
          <w:sz w:val="24"/>
          <w:szCs w:val="24"/>
        </w:rPr>
        <w:t>Discuss the process for considering non-endorsed measures</w:t>
      </w:r>
    </w:p>
    <w:p w:rsidR="00630DA9" w:rsidRPr="00630DA9" w:rsidRDefault="00630DA9" w:rsidP="006602F4">
      <w:pPr>
        <w:pStyle w:val="ListParagraph"/>
        <w:numPr>
          <w:ilvl w:val="0"/>
          <w:numId w:val="2"/>
        </w:numPr>
        <w:jc w:val="left"/>
        <w:rPr>
          <w:rStyle w:val="Strong"/>
        </w:rPr>
      </w:pPr>
      <w:r w:rsidRPr="00630DA9">
        <w:rPr>
          <w:rStyle w:val="Strong"/>
        </w:rPr>
        <w:t xml:space="preserve">Begin the annual review of the Aligned Measure Set </w:t>
      </w:r>
    </w:p>
    <w:p w:rsidR="00630DA9" w:rsidRPr="00D2408B" w:rsidRDefault="00630DA9" w:rsidP="006602F4">
      <w:pPr>
        <w:pStyle w:val="ListParagraph"/>
        <w:numPr>
          <w:ilvl w:val="0"/>
          <w:numId w:val="2"/>
        </w:numPr>
        <w:jc w:val="left"/>
        <w:rPr>
          <w:rFonts w:ascii="Helvetica" w:hAnsi="Helvetica"/>
          <w:sz w:val="24"/>
          <w:szCs w:val="24"/>
        </w:rPr>
      </w:pPr>
      <w:r w:rsidRPr="00F876AA">
        <w:rPr>
          <w:rFonts w:ascii="Helvetica" w:hAnsi="Helvetica"/>
          <w:sz w:val="24"/>
          <w:szCs w:val="24"/>
        </w:rPr>
        <w:t>Next Steps</w:t>
      </w:r>
      <w:r w:rsidRPr="00D2408B">
        <w:rPr>
          <w:rFonts w:ascii="Helvetica" w:hAnsi="Helvetica"/>
          <w:sz w:val="24"/>
          <w:szCs w:val="24"/>
        </w:rPr>
        <w:t xml:space="preserve"> </w:t>
      </w:r>
    </w:p>
    <w:p w:rsidR="00F3689A" w:rsidRDefault="00F3689A" w:rsidP="00F42212">
      <w:pPr>
        <w:pStyle w:val="Heading1"/>
        <w:tabs>
          <w:tab w:val="left" w:pos="2296"/>
        </w:tabs>
      </w:pPr>
      <w:r w:rsidRPr="00A35C58">
        <w:t xml:space="preserve">Slide </w:t>
      </w:r>
      <w:r>
        <w:t>3</w:t>
      </w:r>
      <w:r>
        <w:t>3</w:t>
      </w:r>
    </w:p>
    <w:p w:rsidR="00F3689A" w:rsidRDefault="00630DA9" w:rsidP="00F42212">
      <w:pPr>
        <w:pStyle w:val="Heading2"/>
      </w:pPr>
      <w:r w:rsidRPr="00630DA9">
        <w:t>Quality Measure Catalogue: Background</w:t>
      </w:r>
    </w:p>
    <w:p w:rsidR="00630DA9" w:rsidRPr="00630DA9" w:rsidRDefault="00630DA9" w:rsidP="006602F4">
      <w:pPr>
        <w:pStyle w:val="ListParagraph"/>
        <w:numPr>
          <w:ilvl w:val="0"/>
          <w:numId w:val="43"/>
        </w:numPr>
        <w:contextualSpacing w:val="0"/>
        <w:jc w:val="left"/>
        <w:rPr>
          <w:rFonts w:ascii="Helvetica" w:hAnsi="Helvetica"/>
          <w:sz w:val="24"/>
          <w:szCs w:val="24"/>
        </w:rPr>
      </w:pPr>
      <w:r w:rsidRPr="00630DA9">
        <w:rPr>
          <w:rFonts w:ascii="Helvetica" w:hAnsi="Helvetica"/>
          <w:sz w:val="24"/>
          <w:szCs w:val="24"/>
        </w:rPr>
        <w:t>The purpose of the Quality Measure Catalogue is to capture the measures in use by payers in Massachusetts for the purposes of:</w:t>
      </w:r>
    </w:p>
    <w:p w:rsidR="00630DA9" w:rsidRPr="00630DA9" w:rsidRDefault="00630DA9" w:rsidP="006602F4">
      <w:pPr>
        <w:pStyle w:val="ListParagraph"/>
        <w:numPr>
          <w:ilvl w:val="1"/>
          <w:numId w:val="44"/>
        </w:numPr>
        <w:jc w:val="left"/>
        <w:rPr>
          <w:rFonts w:ascii="Helvetica" w:hAnsi="Helvetica"/>
          <w:sz w:val="24"/>
          <w:szCs w:val="24"/>
        </w:rPr>
      </w:pPr>
      <w:r w:rsidRPr="00630DA9">
        <w:rPr>
          <w:rFonts w:ascii="Helvetica" w:hAnsi="Helvetica"/>
          <w:sz w:val="24"/>
          <w:szCs w:val="24"/>
        </w:rPr>
        <w:t>global budget-based risk contracts</w:t>
      </w:r>
    </w:p>
    <w:p w:rsidR="00630DA9" w:rsidRPr="00630DA9" w:rsidRDefault="00630DA9" w:rsidP="006602F4">
      <w:pPr>
        <w:pStyle w:val="ListParagraph"/>
        <w:numPr>
          <w:ilvl w:val="1"/>
          <w:numId w:val="44"/>
        </w:numPr>
        <w:jc w:val="left"/>
        <w:rPr>
          <w:rFonts w:ascii="Helvetica" w:hAnsi="Helvetica"/>
          <w:sz w:val="24"/>
          <w:szCs w:val="24"/>
        </w:rPr>
      </w:pPr>
      <w:proofErr w:type="spellStart"/>
      <w:r w:rsidRPr="00630DA9">
        <w:rPr>
          <w:rFonts w:ascii="Helvetica" w:hAnsi="Helvetica"/>
          <w:sz w:val="24"/>
          <w:szCs w:val="24"/>
        </w:rPr>
        <w:t>tiering</w:t>
      </w:r>
      <w:proofErr w:type="spellEnd"/>
      <w:r w:rsidRPr="00630DA9">
        <w:rPr>
          <w:rFonts w:ascii="Helvetica" w:hAnsi="Helvetica"/>
          <w:sz w:val="24"/>
          <w:szCs w:val="24"/>
        </w:rPr>
        <w:t xml:space="preserve"> or limited network product methodology</w:t>
      </w:r>
    </w:p>
    <w:p w:rsidR="00630DA9" w:rsidRPr="00630DA9" w:rsidRDefault="00630DA9" w:rsidP="006602F4">
      <w:pPr>
        <w:pStyle w:val="ListParagraph"/>
        <w:numPr>
          <w:ilvl w:val="1"/>
          <w:numId w:val="44"/>
        </w:numPr>
        <w:contextualSpacing w:val="0"/>
        <w:jc w:val="left"/>
        <w:rPr>
          <w:rFonts w:ascii="Helvetica" w:hAnsi="Helvetica"/>
          <w:sz w:val="24"/>
          <w:szCs w:val="24"/>
        </w:rPr>
      </w:pPr>
      <w:r w:rsidRPr="00630DA9">
        <w:rPr>
          <w:rFonts w:ascii="Helvetica" w:hAnsi="Helvetica"/>
          <w:sz w:val="24"/>
          <w:szCs w:val="24"/>
        </w:rPr>
        <w:t>consumer transparency</w:t>
      </w:r>
    </w:p>
    <w:p w:rsidR="00F3689A" w:rsidRPr="00630DA9" w:rsidRDefault="00630DA9" w:rsidP="006602F4">
      <w:pPr>
        <w:pStyle w:val="ListParagraph"/>
        <w:numPr>
          <w:ilvl w:val="0"/>
          <w:numId w:val="43"/>
        </w:numPr>
        <w:contextualSpacing w:val="0"/>
        <w:jc w:val="left"/>
        <w:rPr>
          <w:rFonts w:ascii="Helvetica" w:hAnsi="Helvetica"/>
          <w:sz w:val="24"/>
          <w:szCs w:val="24"/>
        </w:rPr>
      </w:pPr>
      <w:r w:rsidRPr="00630DA9">
        <w:rPr>
          <w:rFonts w:ascii="Helvetica" w:hAnsi="Helvetica"/>
          <w:sz w:val="24"/>
          <w:szCs w:val="24"/>
        </w:rPr>
        <w:t>CHIA and the HPC have been collecting these data since 2013.</w:t>
      </w:r>
    </w:p>
    <w:p w:rsidR="00F3689A" w:rsidRDefault="00F3689A" w:rsidP="00F42212">
      <w:pPr>
        <w:pStyle w:val="Heading1"/>
        <w:tabs>
          <w:tab w:val="left" w:pos="2296"/>
        </w:tabs>
      </w:pPr>
      <w:r w:rsidRPr="00A35C58">
        <w:t xml:space="preserve">Slide </w:t>
      </w:r>
      <w:r>
        <w:t>3</w:t>
      </w:r>
      <w:r w:rsidR="00630DA9">
        <w:t>4</w:t>
      </w:r>
    </w:p>
    <w:p w:rsidR="00F3689A" w:rsidRDefault="00630DA9" w:rsidP="00F42212">
      <w:pPr>
        <w:pStyle w:val="Heading2"/>
      </w:pPr>
      <w:r w:rsidRPr="00630DA9">
        <w:t>Quality Measure Catalogue: Background</w:t>
      </w:r>
    </w:p>
    <w:p w:rsidR="00630DA9" w:rsidRPr="00630DA9" w:rsidRDefault="00630DA9" w:rsidP="006602F4">
      <w:pPr>
        <w:pStyle w:val="ListParagraph"/>
        <w:numPr>
          <w:ilvl w:val="0"/>
          <w:numId w:val="45"/>
        </w:numPr>
        <w:jc w:val="left"/>
        <w:rPr>
          <w:rFonts w:ascii="Helvetica" w:hAnsi="Helvetica"/>
          <w:sz w:val="24"/>
          <w:szCs w:val="24"/>
        </w:rPr>
      </w:pPr>
      <w:r w:rsidRPr="00630DA9">
        <w:rPr>
          <w:rFonts w:ascii="Helvetica" w:hAnsi="Helvetica"/>
          <w:sz w:val="24"/>
          <w:szCs w:val="24"/>
        </w:rPr>
        <w:t>In October 2019, CHIA and the HPC issued a request for all Massachusetts commercial payers (N=12) to complete submissions to the Quality Measures Catalogue (QMC) including measures in use for 2020 contracts, by October 25, 2019.</w:t>
      </w:r>
    </w:p>
    <w:p w:rsidR="00630DA9" w:rsidRPr="00630DA9" w:rsidRDefault="00630DA9" w:rsidP="006602F4">
      <w:pPr>
        <w:pStyle w:val="ListParagraph"/>
        <w:numPr>
          <w:ilvl w:val="1"/>
          <w:numId w:val="46"/>
        </w:numPr>
        <w:jc w:val="left"/>
        <w:rPr>
          <w:rFonts w:ascii="Helvetica" w:hAnsi="Helvetica"/>
          <w:sz w:val="24"/>
          <w:szCs w:val="24"/>
        </w:rPr>
      </w:pPr>
      <w:r w:rsidRPr="00630DA9">
        <w:rPr>
          <w:rFonts w:ascii="Helvetica" w:hAnsi="Helvetica"/>
          <w:sz w:val="24"/>
          <w:szCs w:val="24"/>
        </w:rPr>
        <w:t>Nine payers submitted responses to the QMC (</w:t>
      </w:r>
      <w:proofErr w:type="spellStart"/>
      <w:r w:rsidRPr="00630DA9">
        <w:rPr>
          <w:rFonts w:ascii="Helvetica" w:hAnsi="Helvetica"/>
          <w:sz w:val="24"/>
          <w:szCs w:val="24"/>
        </w:rPr>
        <w:t>AllWays</w:t>
      </w:r>
      <w:proofErr w:type="spellEnd"/>
      <w:r w:rsidRPr="00630DA9">
        <w:rPr>
          <w:rFonts w:ascii="Helvetica" w:hAnsi="Helvetica"/>
          <w:sz w:val="24"/>
          <w:szCs w:val="24"/>
        </w:rPr>
        <w:t xml:space="preserve"> was excluded from the analysis and removed from 2019 analysis because they reported they do not use quality measures in their global budget contracts).</w:t>
      </w:r>
    </w:p>
    <w:p w:rsidR="00630DA9" w:rsidRPr="00630DA9" w:rsidRDefault="00630DA9" w:rsidP="006602F4">
      <w:pPr>
        <w:pStyle w:val="ListParagraph"/>
        <w:numPr>
          <w:ilvl w:val="1"/>
          <w:numId w:val="46"/>
        </w:numPr>
        <w:jc w:val="left"/>
        <w:rPr>
          <w:rFonts w:ascii="Helvetica" w:hAnsi="Helvetica"/>
          <w:sz w:val="24"/>
          <w:szCs w:val="24"/>
        </w:rPr>
      </w:pPr>
      <w:r w:rsidRPr="00630DA9">
        <w:rPr>
          <w:rFonts w:ascii="Helvetica" w:hAnsi="Helvetica"/>
          <w:sz w:val="24"/>
          <w:szCs w:val="24"/>
        </w:rPr>
        <w:t xml:space="preserve">Three payers did not complete the QMC request (Aetna, Cigna, </w:t>
      </w:r>
      <w:proofErr w:type="gramStart"/>
      <w:r w:rsidRPr="00630DA9">
        <w:rPr>
          <w:rFonts w:ascii="Helvetica" w:hAnsi="Helvetica"/>
          <w:sz w:val="24"/>
          <w:szCs w:val="24"/>
        </w:rPr>
        <w:t>CCA</w:t>
      </w:r>
      <w:proofErr w:type="gramEnd"/>
      <w:r w:rsidRPr="00630DA9">
        <w:rPr>
          <w:rFonts w:ascii="Helvetica" w:hAnsi="Helvetica"/>
          <w:sz w:val="24"/>
          <w:szCs w:val="24"/>
        </w:rPr>
        <w:t>).</w:t>
      </w:r>
    </w:p>
    <w:p w:rsidR="00630DA9" w:rsidRPr="00630DA9" w:rsidRDefault="00630DA9" w:rsidP="006602F4">
      <w:pPr>
        <w:pStyle w:val="ListParagraph"/>
        <w:numPr>
          <w:ilvl w:val="1"/>
          <w:numId w:val="46"/>
        </w:numPr>
        <w:jc w:val="left"/>
      </w:pPr>
      <w:r w:rsidRPr="00630DA9">
        <w:rPr>
          <w:rFonts w:ascii="Helvetica" w:hAnsi="Helvetica"/>
          <w:sz w:val="24"/>
          <w:szCs w:val="24"/>
        </w:rPr>
        <w:t>Analysis excludes hospital measures and measures added by payers since these were not reviewed by the Taskforce for inclusion in the Aligned Measure Set.</w:t>
      </w:r>
    </w:p>
    <w:p w:rsidR="00F3689A" w:rsidRDefault="00F3689A" w:rsidP="00F42212">
      <w:pPr>
        <w:pStyle w:val="Heading1"/>
        <w:tabs>
          <w:tab w:val="left" w:pos="2296"/>
        </w:tabs>
      </w:pPr>
      <w:r w:rsidRPr="00A35C58">
        <w:t xml:space="preserve">Slide </w:t>
      </w:r>
      <w:r>
        <w:t>3</w:t>
      </w:r>
      <w:r w:rsidR="00630DA9">
        <w:t>5</w:t>
      </w:r>
    </w:p>
    <w:p w:rsidR="00F3689A" w:rsidRDefault="00FE0029" w:rsidP="00F42212">
      <w:pPr>
        <w:pStyle w:val="Heading2"/>
      </w:pPr>
      <w:r w:rsidRPr="00FE0029">
        <w:t>Quality Measure Catalogue: Questions</w:t>
      </w:r>
    </w:p>
    <w:p w:rsidR="002E0D79" w:rsidRPr="002E0D79" w:rsidRDefault="00F3689A" w:rsidP="006602F4">
      <w:pPr>
        <w:pStyle w:val="ListParagraph"/>
        <w:numPr>
          <w:ilvl w:val="0"/>
          <w:numId w:val="45"/>
        </w:numPr>
        <w:jc w:val="left"/>
        <w:rPr>
          <w:rFonts w:ascii="Helvetica" w:hAnsi="Helvetica"/>
          <w:sz w:val="24"/>
          <w:szCs w:val="24"/>
        </w:rPr>
      </w:pPr>
      <w:r w:rsidRPr="002E0D79">
        <w:rPr>
          <w:rFonts w:ascii="Helvetica" w:hAnsi="Helvetica"/>
          <w:sz w:val="24"/>
          <w:szCs w:val="24"/>
        </w:rPr>
        <w:t xml:space="preserve">Appropriate </w:t>
      </w:r>
      <w:r w:rsidR="002E0D79" w:rsidRPr="002E0D79">
        <w:rPr>
          <w:rFonts w:ascii="Helvetica" w:hAnsi="Helvetica"/>
          <w:sz w:val="24"/>
          <w:szCs w:val="24"/>
        </w:rPr>
        <w:t>Payers were asked to answer all of the following questions for each measure:</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1. Is this measure used in global budget contracts?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 xml:space="preserve">1a. </w:t>
      </w:r>
      <w:proofErr w:type="gramStart"/>
      <w:r w:rsidRPr="002E0D79">
        <w:rPr>
          <w:rFonts w:ascii="Helvetica" w:hAnsi="Helvetica"/>
          <w:sz w:val="24"/>
          <w:szCs w:val="24"/>
        </w:rPr>
        <w:t>If</w:t>
      </w:r>
      <w:proofErr w:type="gramEnd"/>
      <w:r w:rsidRPr="002E0D79">
        <w:rPr>
          <w:rFonts w:ascii="Helvetica" w:hAnsi="Helvetica"/>
          <w:sz w:val="24"/>
          <w:szCs w:val="24"/>
        </w:rPr>
        <w:t xml:space="preserve"> yes, # of contracts (#)</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 xml:space="preserve">1b. </w:t>
      </w:r>
      <w:proofErr w:type="gramStart"/>
      <w:r w:rsidRPr="002E0D79">
        <w:rPr>
          <w:rFonts w:ascii="Helvetica" w:hAnsi="Helvetica"/>
          <w:sz w:val="24"/>
          <w:szCs w:val="24"/>
        </w:rPr>
        <w:t>Is</w:t>
      </w:r>
      <w:proofErr w:type="gramEnd"/>
      <w:r w:rsidRPr="002E0D79">
        <w:rPr>
          <w:rFonts w:ascii="Helvetica" w:hAnsi="Helvetica"/>
          <w:sz w:val="24"/>
          <w:szCs w:val="24"/>
        </w:rPr>
        <w:t xml:space="preserve"> the measure Pay for Performance in Contracts?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 xml:space="preserve">1b. </w:t>
      </w:r>
      <w:proofErr w:type="gramStart"/>
      <w:r w:rsidRPr="002E0D79">
        <w:rPr>
          <w:rFonts w:ascii="Helvetica" w:hAnsi="Helvetica"/>
          <w:sz w:val="24"/>
          <w:szCs w:val="24"/>
        </w:rPr>
        <w:t>Is</w:t>
      </w:r>
      <w:proofErr w:type="gramEnd"/>
      <w:r w:rsidRPr="002E0D79">
        <w:rPr>
          <w:rFonts w:ascii="Helvetica" w:hAnsi="Helvetica"/>
          <w:sz w:val="24"/>
          <w:szCs w:val="24"/>
        </w:rPr>
        <w:t xml:space="preserve"> the measure Pay for Reporting in Contracts?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 xml:space="preserve">2. Is the measure used for </w:t>
      </w:r>
      <w:proofErr w:type="spellStart"/>
      <w:r w:rsidRPr="002E0D79">
        <w:rPr>
          <w:rFonts w:ascii="Helvetica" w:hAnsi="Helvetica"/>
          <w:sz w:val="24"/>
          <w:szCs w:val="24"/>
        </w:rPr>
        <w:t>tiering</w:t>
      </w:r>
      <w:proofErr w:type="spellEnd"/>
      <w:r w:rsidRPr="002E0D79">
        <w:rPr>
          <w:rFonts w:ascii="Helvetica" w:hAnsi="Helvetica"/>
          <w:sz w:val="24"/>
          <w:szCs w:val="24"/>
        </w:rPr>
        <w:t xml:space="preserve"> or limited network product methodology?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3. Is the measure used for consumer transparency information about provider performance (e.g., website)?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4. Is performance risk-adjusted for this measure?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5. Have you modified the externally developed specifications for this measure? (Y/N)</w:t>
      </w:r>
    </w:p>
    <w:p w:rsidR="002E0D79" w:rsidRPr="002E0D79" w:rsidRDefault="002E0D79" w:rsidP="00F42212">
      <w:pPr>
        <w:ind w:left="720"/>
        <w:jc w:val="left"/>
        <w:rPr>
          <w:rFonts w:ascii="Helvetica" w:hAnsi="Helvetica"/>
          <w:sz w:val="24"/>
          <w:szCs w:val="24"/>
        </w:rPr>
      </w:pPr>
      <w:r w:rsidRPr="002E0D79">
        <w:rPr>
          <w:rFonts w:ascii="Helvetica" w:hAnsi="Helvetica"/>
          <w:sz w:val="24"/>
          <w:szCs w:val="24"/>
        </w:rPr>
        <w:t>6. Is this measure homegrown (Y/N)?</w:t>
      </w:r>
    </w:p>
    <w:p w:rsidR="00F3689A" w:rsidRPr="002E0D79" w:rsidRDefault="002E0D79" w:rsidP="006602F4">
      <w:pPr>
        <w:pStyle w:val="ListParagraph"/>
        <w:numPr>
          <w:ilvl w:val="0"/>
          <w:numId w:val="45"/>
        </w:numPr>
        <w:jc w:val="left"/>
        <w:rPr>
          <w:rFonts w:ascii="Helvetica" w:hAnsi="Helvetica"/>
          <w:sz w:val="24"/>
          <w:szCs w:val="24"/>
        </w:rPr>
      </w:pPr>
      <w:r w:rsidRPr="002E0D79">
        <w:rPr>
          <w:rFonts w:ascii="Helvetica" w:hAnsi="Helvetica"/>
          <w:sz w:val="24"/>
          <w:szCs w:val="24"/>
        </w:rPr>
        <w:t>Payers were asked to add any measures not included in the spreadsheet, and to respond to the questions as applicable.</w:t>
      </w:r>
    </w:p>
    <w:p w:rsidR="00F3689A" w:rsidRDefault="00F3689A" w:rsidP="00F42212">
      <w:pPr>
        <w:pStyle w:val="Heading1"/>
        <w:tabs>
          <w:tab w:val="left" w:pos="2296"/>
        </w:tabs>
      </w:pPr>
      <w:r w:rsidRPr="00A35C58">
        <w:t xml:space="preserve">Slide </w:t>
      </w:r>
      <w:r>
        <w:t>3</w:t>
      </w:r>
      <w:r w:rsidR="002E0D79">
        <w:t>6</w:t>
      </w:r>
    </w:p>
    <w:p w:rsidR="00F3689A" w:rsidRDefault="002E0D79" w:rsidP="00F42212">
      <w:pPr>
        <w:pStyle w:val="Heading2"/>
      </w:pPr>
      <w:r w:rsidRPr="002E0D79">
        <w:t>Quality Measure Catalogue: Questions</w:t>
      </w:r>
    </w:p>
    <w:p w:rsidR="002E0D79" w:rsidRPr="002E0D79" w:rsidRDefault="002E0D79" w:rsidP="006602F4">
      <w:pPr>
        <w:pStyle w:val="ListParagraph"/>
        <w:numPr>
          <w:ilvl w:val="0"/>
          <w:numId w:val="47"/>
        </w:numPr>
        <w:contextualSpacing w:val="0"/>
        <w:jc w:val="left"/>
        <w:rPr>
          <w:rFonts w:ascii="Helvetica" w:hAnsi="Helvetica"/>
          <w:sz w:val="24"/>
          <w:szCs w:val="24"/>
        </w:rPr>
      </w:pPr>
      <w:r w:rsidRPr="002E0D79">
        <w:rPr>
          <w:rFonts w:ascii="Helvetica" w:hAnsi="Helvetica"/>
          <w:sz w:val="24"/>
          <w:szCs w:val="24"/>
        </w:rPr>
        <w:t xml:space="preserve">If Payers answered “Y” to questions 5 and/or 6, they were asked to complete a supplemental form to provide the following information: </w:t>
      </w:r>
    </w:p>
    <w:p w:rsidR="002E0D79" w:rsidRPr="002E0D79" w:rsidRDefault="002E0D79" w:rsidP="006602F4">
      <w:pPr>
        <w:pStyle w:val="ListParagraph"/>
        <w:numPr>
          <w:ilvl w:val="1"/>
          <w:numId w:val="48"/>
        </w:numPr>
        <w:jc w:val="left"/>
        <w:rPr>
          <w:rFonts w:ascii="Helvetica" w:hAnsi="Helvetica"/>
          <w:sz w:val="24"/>
          <w:szCs w:val="24"/>
        </w:rPr>
      </w:pPr>
      <w:r w:rsidRPr="002E0D79">
        <w:rPr>
          <w:rFonts w:ascii="Helvetica" w:hAnsi="Helvetica"/>
          <w:sz w:val="24"/>
          <w:szCs w:val="24"/>
        </w:rPr>
        <w:t>Please provide the original measure’s specifications (through PDF or hyperlink), and specify the changes to the measure specifications (modification); OR, Please provide numerator, denominator, exclusion and data source information for the measure specifications (homegrown).</w:t>
      </w:r>
    </w:p>
    <w:p w:rsidR="002E0D79" w:rsidRPr="002E0D79" w:rsidRDefault="002E0D79" w:rsidP="006602F4">
      <w:pPr>
        <w:pStyle w:val="ListParagraph"/>
        <w:numPr>
          <w:ilvl w:val="1"/>
          <w:numId w:val="48"/>
        </w:numPr>
        <w:jc w:val="left"/>
        <w:rPr>
          <w:rFonts w:ascii="Helvetica" w:hAnsi="Helvetica"/>
          <w:sz w:val="24"/>
          <w:szCs w:val="24"/>
        </w:rPr>
      </w:pPr>
      <w:r w:rsidRPr="002E0D79">
        <w:rPr>
          <w:rFonts w:ascii="Helvetica" w:hAnsi="Helvetica"/>
          <w:sz w:val="24"/>
          <w:szCs w:val="24"/>
        </w:rPr>
        <w:t>What was the purpose of modifying the measure specifications? (modification only)</w:t>
      </w:r>
    </w:p>
    <w:p w:rsidR="002E0D79" w:rsidRPr="002E0D79" w:rsidRDefault="002E0D79" w:rsidP="006602F4">
      <w:pPr>
        <w:pStyle w:val="ListParagraph"/>
        <w:numPr>
          <w:ilvl w:val="1"/>
          <w:numId w:val="48"/>
        </w:numPr>
        <w:jc w:val="left"/>
        <w:rPr>
          <w:rFonts w:ascii="Helvetica" w:hAnsi="Helvetica"/>
          <w:sz w:val="24"/>
          <w:szCs w:val="24"/>
        </w:rPr>
      </w:pPr>
      <w:r w:rsidRPr="002E0D79">
        <w:rPr>
          <w:rFonts w:ascii="Helvetica" w:hAnsi="Helvetica"/>
          <w:sz w:val="24"/>
          <w:szCs w:val="24"/>
        </w:rPr>
        <w:t>Have you tested the validity of these measure specifications? If yes, please describe the results.</w:t>
      </w:r>
    </w:p>
    <w:p w:rsidR="002E0D79" w:rsidRPr="002E0D79" w:rsidRDefault="002E0D79" w:rsidP="006602F4">
      <w:pPr>
        <w:pStyle w:val="ListParagraph"/>
        <w:numPr>
          <w:ilvl w:val="1"/>
          <w:numId w:val="48"/>
        </w:numPr>
        <w:contextualSpacing w:val="0"/>
        <w:jc w:val="left"/>
        <w:rPr>
          <w:rFonts w:ascii="Helvetica" w:hAnsi="Helvetica"/>
          <w:sz w:val="24"/>
          <w:szCs w:val="24"/>
        </w:rPr>
      </w:pPr>
      <w:r w:rsidRPr="002E0D79">
        <w:rPr>
          <w:rFonts w:ascii="Helvetica" w:hAnsi="Helvetica"/>
          <w:sz w:val="24"/>
          <w:szCs w:val="24"/>
        </w:rPr>
        <w:t>Is the measure replicable by other payers and/or providers without extensive administrative effort? Why or why not?</w:t>
      </w:r>
    </w:p>
    <w:p w:rsidR="00F3689A" w:rsidRPr="002E0D79" w:rsidRDefault="002E0D79" w:rsidP="006602F4">
      <w:pPr>
        <w:pStyle w:val="ListParagraph"/>
        <w:numPr>
          <w:ilvl w:val="0"/>
          <w:numId w:val="47"/>
        </w:numPr>
        <w:contextualSpacing w:val="0"/>
        <w:jc w:val="left"/>
        <w:rPr>
          <w:rFonts w:ascii="Helvetica" w:hAnsi="Helvetica"/>
          <w:sz w:val="24"/>
          <w:szCs w:val="24"/>
        </w:rPr>
      </w:pPr>
      <w:r w:rsidRPr="002E0D79">
        <w:rPr>
          <w:rFonts w:ascii="Helvetica" w:hAnsi="Helvetica"/>
          <w:sz w:val="24"/>
          <w:szCs w:val="24"/>
        </w:rPr>
        <w:t>This process for collecting detailed information is new to the survey, and allows the HPC and CHIA to track potential Innovation measures for future Taskforce consideration.</w:t>
      </w:r>
    </w:p>
    <w:p w:rsidR="002E0D79" w:rsidRDefault="002E0D79" w:rsidP="00F42212">
      <w:pPr>
        <w:pStyle w:val="Heading1"/>
        <w:tabs>
          <w:tab w:val="left" w:pos="2296"/>
        </w:tabs>
      </w:pPr>
      <w:r w:rsidRPr="00A35C58">
        <w:t xml:space="preserve">Slide </w:t>
      </w:r>
      <w:r>
        <w:t>3</w:t>
      </w:r>
      <w:r>
        <w:t>8</w:t>
      </w:r>
    </w:p>
    <w:p w:rsidR="002E0D79" w:rsidRDefault="002E0D79" w:rsidP="00F42212">
      <w:pPr>
        <w:pStyle w:val="Heading2"/>
      </w:pPr>
      <w:r w:rsidRPr="002E0D79">
        <w:t>Overview of Quality Measures in Use in Any Global Budget Contract by Commercial Payers</w:t>
      </w:r>
    </w:p>
    <w:p w:rsidR="002E0D79" w:rsidRPr="002E0D79" w:rsidRDefault="002E0D79" w:rsidP="00F42212">
      <w:pPr>
        <w:jc w:val="left"/>
        <w:rPr>
          <w:rFonts w:ascii="Helvetica" w:hAnsi="Helvetica"/>
          <w:sz w:val="24"/>
          <w:szCs w:val="24"/>
        </w:rPr>
      </w:pPr>
      <w:r w:rsidRPr="002E0D79">
        <w:rPr>
          <w:rFonts w:ascii="Helvetica" w:hAnsi="Helvetica"/>
          <w:sz w:val="24"/>
          <w:szCs w:val="24"/>
        </w:rPr>
        <w:drawing>
          <wp:inline distT="0" distB="0" distL="0" distR="0" wp14:anchorId="0612AD90" wp14:editId="15991F4B">
            <wp:extent cx="5943600" cy="318516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a:stretch>
                      <a:fillRect/>
                    </a:stretch>
                  </pic:blipFill>
                  <pic:spPr>
                    <a:xfrm>
                      <a:off x="0" y="0"/>
                      <a:ext cx="5943600" cy="3185160"/>
                    </a:xfrm>
                    <a:prstGeom prst="rect">
                      <a:avLst/>
                    </a:prstGeom>
                  </pic:spPr>
                </pic:pic>
              </a:graphicData>
            </a:graphic>
          </wp:inline>
        </w:drawing>
      </w:r>
    </w:p>
    <w:p w:rsidR="002E0D79" w:rsidRPr="002E0D79" w:rsidRDefault="002E0D79" w:rsidP="006602F4">
      <w:pPr>
        <w:pStyle w:val="ListParagraph"/>
        <w:numPr>
          <w:ilvl w:val="0"/>
          <w:numId w:val="49"/>
        </w:numPr>
        <w:jc w:val="left"/>
        <w:rPr>
          <w:rFonts w:ascii="Helvetica" w:hAnsi="Helvetica"/>
          <w:sz w:val="24"/>
          <w:szCs w:val="24"/>
        </w:rPr>
      </w:pPr>
      <w:r w:rsidRPr="002E0D79">
        <w:rPr>
          <w:rFonts w:ascii="Helvetica" w:hAnsi="Helvetica"/>
          <w:sz w:val="24"/>
          <w:szCs w:val="24"/>
        </w:rPr>
        <w:t>Notable decrease in process measures used by one payer from 24 in 2019 to 10 in 2020, while patient experience measures in use by a single payer increased from 0 in 2019 to 5 in 2020.</w:t>
      </w:r>
    </w:p>
    <w:p w:rsidR="002E0D79" w:rsidRPr="002E0D79" w:rsidRDefault="002E0D79" w:rsidP="006602F4">
      <w:pPr>
        <w:pStyle w:val="ListParagraph"/>
        <w:numPr>
          <w:ilvl w:val="0"/>
          <w:numId w:val="49"/>
        </w:numPr>
        <w:jc w:val="left"/>
        <w:rPr>
          <w:rFonts w:ascii="Helvetica" w:hAnsi="Helvetica"/>
          <w:sz w:val="24"/>
          <w:szCs w:val="24"/>
        </w:rPr>
      </w:pPr>
      <w:r w:rsidRPr="002E0D79">
        <w:rPr>
          <w:rFonts w:ascii="Helvetica" w:hAnsi="Helvetica"/>
          <w:sz w:val="24"/>
          <w:szCs w:val="24"/>
        </w:rPr>
        <w:t xml:space="preserve">No measure used by all eight reporting payers in </w:t>
      </w:r>
      <w:proofErr w:type="gramStart"/>
      <w:r w:rsidRPr="002E0D79">
        <w:rPr>
          <w:rFonts w:ascii="Helvetica" w:hAnsi="Helvetica"/>
          <w:sz w:val="24"/>
          <w:szCs w:val="24"/>
        </w:rPr>
        <w:t>2020,</w:t>
      </w:r>
      <w:proofErr w:type="gramEnd"/>
      <w:r w:rsidRPr="002E0D79">
        <w:rPr>
          <w:rFonts w:ascii="Helvetica" w:hAnsi="Helvetica"/>
          <w:sz w:val="24"/>
          <w:szCs w:val="24"/>
        </w:rPr>
        <w:t xml:space="preserve"> and by no more than six of seven payers in 2019.</w:t>
      </w:r>
    </w:p>
    <w:p w:rsidR="002E0D79" w:rsidRPr="002E0D79" w:rsidRDefault="002E0D79" w:rsidP="006602F4">
      <w:pPr>
        <w:pStyle w:val="ListParagraph"/>
        <w:numPr>
          <w:ilvl w:val="1"/>
          <w:numId w:val="49"/>
        </w:numPr>
        <w:jc w:val="left"/>
        <w:rPr>
          <w:rFonts w:ascii="Helvetica" w:hAnsi="Helvetica"/>
          <w:sz w:val="24"/>
          <w:szCs w:val="24"/>
        </w:rPr>
      </w:pPr>
      <w:r w:rsidRPr="002E0D79">
        <w:rPr>
          <w:rFonts w:ascii="Helvetica" w:hAnsi="Helvetica"/>
          <w:sz w:val="24"/>
          <w:szCs w:val="24"/>
        </w:rPr>
        <w:t>The only outcome measure used by six payers both years is Comprehensive Diabetes Care: Blood Pressure Control (&lt;140/90 mm Hg)</w:t>
      </w:r>
    </w:p>
    <w:p w:rsidR="002E0D79" w:rsidRDefault="002E0D79" w:rsidP="00F42212">
      <w:pPr>
        <w:pStyle w:val="Heading1"/>
        <w:tabs>
          <w:tab w:val="left" w:pos="2296"/>
        </w:tabs>
      </w:pPr>
      <w:r w:rsidRPr="00A35C58">
        <w:t xml:space="preserve">Slide </w:t>
      </w:r>
      <w:r>
        <w:t>4</w:t>
      </w:r>
      <w:r>
        <w:t>0</w:t>
      </w:r>
    </w:p>
    <w:p w:rsidR="002E0D79" w:rsidRDefault="002E0D79" w:rsidP="00F42212">
      <w:pPr>
        <w:pStyle w:val="Heading2"/>
      </w:pPr>
      <w:r w:rsidRPr="002E0D79">
        <w:t>Overview of Quality Measures in Use in at Least 10 Contracts by Commercial Payers</w:t>
      </w:r>
    </w:p>
    <w:p w:rsidR="002E0D79" w:rsidRPr="002E0D79" w:rsidRDefault="002E0D79" w:rsidP="00F42212">
      <w:pPr>
        <w:jc w:val="left"/>
        <w:rPr>
          <w:rFonts w:ascii="Helvetica" w:hAnsi="Helvetica"/>
          <w:sz w:val="24"/>
          <w:szCs w:val="24"/>
        </w:rPr>
      </w:pPr>
      <w:r w:rsidRPr="002E0D79">
        <w:rPr>
          <w:rFonts w:ascii="Helvetica" w:hAnsi="Helvetica"/>
          <w:sz w:val="24"/>
          <w:szCs w:val="24"/>
        </w:rPr>
        <w:drawing>
          <wp:inline distT="0" distB="0" distL="0" distR="0" wp14:anchorId="2E5239A4" wp14:editId="237A27AA">
            <wp:extent cx="5943600" cy="3439160"/>
            <wp:effectExtent l="0" t="0" r="0" b="889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7"/>
                    <a:stretch>
                      <a:fillRect/>
                    </a:stretch>
                  </pic:blipFill>
                  <pic:spPr>
                    <a:xfrm>
                      <a:off x="0" y="0"/>
                      <a:ext cx="5943600" cy="3439160"/>
                    </a:xfrm>
                    <a:prstGeom prst="rect">
                      <a:avLst/>
                    </a:prstGeom>
                  </pic:spPr>
                </pic:pic>
              </a:graphicData>
            </a:graphic>
          </wp:inline>
        </w:drawing>
      </w:r>
    </w:p>
    <w:p w:rsidR="002E0D79" w:rsidRPr="002E0D79" w:rsidRDefault="002E0D79" w:rsidP="006602F4">
      <w:pPr>
        <w:pStyle w:val="ListParagraph"/>
        <w:numPr>
          <w:ilvl w:val="0"/>
          <w:numId w:val="50"/>
        </w:numPr>
        <w:jc w:val="left"/>
        <w:rPr>
          <w:rFonts w:ascii="Helvetica" w:hAnsi="Helvetica"/>
          <w:sz w:val="24"/>
          <w:szCs w:val="24"/>
        </w:rPr>
      </w:pPr>
      <w:r w:rsidRPr="002E0D79">
        <w:rPr>
          <w:rFonts w:ascii="Helvetica" w:hAnsi="Helvetica"/>
          <w:sz w:val="24"/>
          <w:szCs w:val="24"/>
        </w:rPr>
        <w:t xml:space="preserve">In 2020, two of the eight reporting plans reported use of some measures in </w:t>
      </w:r>
      <w:r w:rsidRPr="002E0D79">
        <w:rPr>
          <w:rFonts w:ascii="Arial" w:hAnsi="Arial" w:cs="Arial"/>
          <w:sz w:val="24"/>
          <w:szCs w:val="24"/>
        </w:rPr>
        <w:t>≥</w:t>
      </w:r>
      <w:r w:rsidRPr="002E0D79">
        <w:rPr>
          <w:rFonts w:ascii="Helvetica" w:hAnsi="Helvetica"/>
          <w:sz w:val="24"/>
          <w:szCs w:val="24"/>
        </w:rPr>
        <w:t xml:space="preserve"> 10 contracts</w:t>
      </w:r>
    </w:p>
    <w:p w:rsidR="002E0D79" w:rsidRPr="002E0D79" w:rsidRDefault="002E0D79" w:rsidP="006602F4">
      <w:pPr>
        <w:pStyle w:val="ListParagraph"/>
        <w:numPr>
          <w:ilvl w:val="0"/>
          <w:numId w:val="50"/>
        </w:numPr>
        <w:jc w:val="left"/>
        <w:rPr>
          <w:rFonts w:ascii="Helvetica" w:hAnsi="Helvetica"/>
          <w:sz w:val="24"/>
          <w:szCs w:val="24"/>
        </w:rPr>
      </w:pPr>
      <w:r w:rsidRPr="002E0D79">
        <w:rPr>
          <w:rFonts w:ascii="Helvetica" w:hAnsi="Helvetica"/>
          <w:sz w:val="24"/>
          <w:szCs w:val="24"/>
        </w:rPr>
        <w:t xml:space="preserve">Process measures are the most commonly used measures in </w:t>
      </w:r>
      <w:r w:rsidRPr="002E0D79">
        <w:rPr>
          <w:rFonts w:ascii="Arial" w:hAnsi="Arial" w:cs="Arial"/>
          <w:sz w:val="24"/>
          <w:szCs w:val="24"/>
        </w:rPr>
        <w:t>≥</w:t>
      </w:r>
      <w:r w:rsidRPr="002E0D79">
        <w:rPr>
          <w:rFonts w:ascii="Helvetica" w:hAnsi="Helvetica"/>
          <w:sz w:val="24"/>
          <w:szCs w:val="24"/>
        </w:rPr>
        <w:t xml:space="preserve"> 10 contracts</w:t>
      </w:r>
    </w:p>
    <w:p w:rsidR="002E0D79" w:rsidRPr="002E0D79" w:rsidRDefault="002E0D79" w:rsidP="006602F4">
      <w:pPr>
        <w:pStyle w:val="ListParagraph"/>
        <w:numPr>
          <w:ilvl w:val="0"/>
          <w:numId w:val="50"/>
        </w:numPr>
        <w:jc w:val="left"/>
        <w:rPr>
          <w:rFonts w:ascii="Helvetica" w:hAnsi="Helvetica"/>
          <w:sz w:val="24"/>
          <w:szCs w:val="24"/>
        </w:rPr>
      </w:pPr>
      <w:r w:rsidRPr="002E0D79">
        <w:rPr>
          <w:rFonts w:ascii="Helvetica" w:hAnsi="Helvetica"/>
          <w:sz w:val="24"/>
          <w:szCs w:val="24"/>
        </w:rPr>
        <w:t xml:space="preserve">The majority of measures used in </w:t>
      </w:r>
      <w:r w:rsidRPr="002E0D79">
        <w:rPr>
          <w:rFonts w:ascii="Arial" w:hAnsi="Arial" w:cs="Arial"/>
          <w:sz w:val="24"/>
          <w:szCs w:val="24"/>
        </w:rPr>
        <w:t>≥</w:t>
      </w:r>
      <w:r w:rsidRPr="002E0D79">
        <w:rPr>
          <w:rFonts w:ascii="Helvetica" w:hAnsi="Helvetica"/>
          <w:sz w:val="24"/>
          <w:szCs w:val="24"/>
        </w:rPr>
        <w:t xml:space="preserve"> 10 contracts are not shared across more than one payer</w:t>
      </w:r>
    </w:p>
    <w:p w:rsidR="002E0D79" w:rsidRPr="002E0D79" w:rsidRDefault="002E0D79" w:rsidP="006602F4">
      <w:pPr>
        <w:pStyle w:val="ListParagraph"/>
        <w:numPr>
          <w:ilvl w:val="0"/>
          <w:numId w:val="50"/>
        </w:numPr>
        <w:jc w:val="left"/>
        <w:rPr>
          <w:rFonts w:ascii="Helvetica" w:hAnsi="Helvetica"/>
          <w:sz w:val="24"/>
          <w:szCs w:val="24"/>
        </w:rPr>
      </w:pPr>
      <w:r w:rsidRPr="002E0D79">
        <w:rPr>
          <w:rFonts w:ascii="Helvetica" w:hAnsi="Helvetica"/>
          <w:sz w:val="24"/>
          <w:szCs w:val="24"/>
        </w:rPr>
        <w:t xml:space="preserve">One measure included by both plans in </w:t>
      </w:r>
      <w:r w:rsidRPr="002E0D79">
        <w:rPr>
          <w:rFonts w:ascii="Arial" w:hAnsi="Arial" w:cs="Arial"/>
          <w:sz w:val="24"/>
          <w:szCs w:val="24"/>
        </w:rPr>
        <w:t>≥</w:t>
      </w:r>
      <w:r w:rsidRPr="002E0D79">
        <w:rPr>
          <w:rFonts w:ascii="Helvetica" w:hAnsi="Helvetica"/>
          <w:sz w:val="24"/>
          <w:szCs w:val="24"/>
        </w:rPr>
        <w:t xml:space="preserve"> 10 contracts:</w:t>
      </w:r>
      <w:r w:rsidRPr="002E0D79">
        <w:rPr>
          <w:rFonts w:ascii="Helvetica" w:hAnsi="Helvetica" w:cs="Helvetica"/>
          <w:sz w:val="24"/>
          <w:szCs w:val="24"/>
        </w:rPr>
        <w:t> </w:t>
      </w:r>
      <w:r w:rsidRPr="002E0D79">
        <w:rPr>
          <w:rFonts w:ascii="Helvetica" w:hAnsi="Helvetica"/>
          <w:sz w:val="24"/>
          <w:szCs w:val="24"/>
        </w:rPr>
        <w:t xml:space="preserve"> </w:t>
      </w:r>
    </w:p>
    <w:p w:rsidR="002E0D79" w:rsidRPr="002E0D79" w:rsidRDefault="002E0D79" w:rsidP="006602F4">
      <w:pPr>
        <w:pStyle w:val="ListParagraph"/>
        <w:numPr>
          <w:ilvl w:val="0"/>
          <w:numId w:val="50"/>
        </w:numPr>
        <w:jc w:val="left"/>
        <w:rPr>
          <w:rFonts w:ascii="Helvetica" w:hAnsi="Helvetica"/>
          <w:sz w:val="24"/>
          <w:szCs w:val="24"/>
        </w:rPr>
      </w:pPr>
      <w:r w:rsidRPr="002E0D79">
        <w:rPr>
          <w:rFonts w:ascii="Helvetica" w:hAnsi="Helvetica"/>
          <w:sz w:val="24"/>
          <w:szCs w:val="24"/>
        </w:rPr>
        <w:t>Comprehensive Diabetes Care: Blood Pressure Control (&lt;140/90 mm Hg)</w:t>
      </w:r>
    </w:p>
    <w:p w:rsidR="00D60C2E" w:rsidRDefault="00D60C2E" w:rsidP="00F42212">
      <w:pPr>
        <w:pStyle w:val="Heading1"/>
        <w:tabs>
          <w:tab w:val="left" w:pos="2296"/>
        </w:tabs>
      </w:pPr>
      <w:r>
        <w:br w:type="page"/>
      </w:r>
    </w:p>
    <w:p w:rsidR="002E0D79" w:rsidRDefault="002E0D79" w:rsidP="00F42212">
      <w:pPr>
        <w:pStyle w:val="Heading1"/>
        <w:tabs>
          <w:tab w:val="left" w:pos="2296"/>
        </w:tabs>
      </w:pPr>
      <w:r w:rsidRPr="00A35C58">
        <w:t xml:space="preserve">Slide </w:t>
      </w:r>
      <w:r w:rsidR="00D60C2E">
        <w:t>41</w:t>
      </w:r>
    </w:p>
    <w:p w:rsidR="002E0D79" w:rsidRDefault="00D60C2E" w:rsidP="00F42212">
      <w:pPr>
        <w:pStyle w:val="Heading2"/>
      </w:pPr>
      <w:r w:rsidRPr="00D60C2E">
        <w:t>Plans Use of Core and Menu Measures in Any Global Budget Contract</w:t>
      </w:r>
    </w:p>
    <w:p w:rsidR="00D60C2E" w:rsidRPr="00D60C2E" w:rsidRDefault="00D60C2E" w:rsidP="00F42212">
      <w:pPr>
        <w:jc w:val="left"/>
        <w:rPr>
          <w:rFonts w:ascii="Helvetica" w:hAnsi="Helvetica"/>
          <w:sz w:val="24"/>
          <w:szCs w:val="24"/>
        </w:rPr>
      </w:pPr>
      <w:r w:rsidRPr="00D60C2E">
        <w:rPr>
          <w:rFonts w:ascii="Helvetica" w:hAnsi="Helvetica"/>
          <w:sz w:val="24"/>
          <w:szCs w:val="24"/>
        </w:rPr>
        <w:drawing>
          <wp:inline distT="0" distB="0" distL="0" distR="0" wp14:anchorId="20506B7E" wp14:editId="4838863B">
            <wp:extent cx="5943600" cy="313309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a:stretch>
                      <a:fillRect/>
                    </a:stretch>
                  </pic:blipFill>
                  <pic:spPr>
                    <a:xfrm>
                      <a:off x="0" y="0"/>
                      <a:ext cx="5943600" cy="3133090"/>
                    </a:xfrm>
                    <a:prstGeom prst="rect">
                      <a:avLst/>
                    </a:prstGeom>
                  </pic:spPr>
                </pic:pic>
              </a:graphicData>
            </a:graphic>
          </wp:inline>
        </w:drawing>
      </w:r>
    </w:p>
    <w:p w:rsidR="002E0D79" w:rsidRPr="00D60C2E" w:rsidRDefault="00D60C2E" w:rsidP="006602F4">
      <w:pPr>
        <w:pStyle w:val="ListParagraph"/>
        <w:numPr>
          <w:ilvl w:val="0"/>
          <w:numId w:val="51"/>
        </w:numPr>
        <w:jc w:val="left"/>
        <w:rPr>
          <w:rFonts w:ascii="Helvetica" w:hAnsi="Helvetica"/>
          <w:sz w:val="24"/>
          <w:szCs w:val="24"/>
        </w:rPr>
      </w:pPr>
      <w:r w:rsidRPr="00D60C2E">
        <w:rPr>
          <w:rFonts w:ascii="Helvetica" w:hAnsi="Helvetica"/>
          <w:sz w:val="24"/>
          <w:szCs w:val="24"/>
        </w:rPr>
        <w:t>In 2019, only two plans reported using behavioral health measures from the core and menu sets.  In 2020, this increased to four plans.</w:t>
      </w:r>
    </w:p>
    <w:p w:rsidR="00D60C2E" w:rsidRDefault="00D60C2E" w:rsidP="00F42212">
      <w:pPr>
        <w:pStyle w:val="Heading1"/>
        <w:tabs>
          <w:tab w:val="left" w:pos="2296"/>
        </w:tabs>
      </w:pPr>
      <w:r w:rsidRPr="00A35C58">
        <w:t xml:space="preserve">Slide </w:t>
      </w:r>
      <w:r>
        <w:t>43</w:t>
      </w:r>
    </w:p>
    <w:p w:rsidR="00D60C2E" w:rsidRDefault="00D60C2E" w:rsidP="00F42212">
      <w:pPr>
        <w:pStyle w:val="Heading2"/>
      </w:pPr>
      <w:r w:rsidRPr="00D60C2E">
        <w:t>Plans Report Continued Use of Non-endorsed Quality Measures and Developmental/Monitoring Measures in Global Budget Contracts</w:t>
      </w:r>
    </w:p>
    <w:p w:rsidR="00DE3263" w:rsidRPr="00D60C2E" w:rsidRDefault="00D60C2E" w:rsidP="00F42212">
      <w:pPr>
        <w:jc w:val="left"/>
        <w:rPr>
          <w:rFonts w:ascii="Helvetica" w:hAnsi="Helvetica"/>
          <w:sz w:val="24"/>
          <w:szCs w:val="24"/>
        </w:rPr>
      </w:pPr>
      <w:r w:rsidRPr="00D60C2E">
        <w:rPr>
          <w:rFonts w:ascii="Helvetica" w:hAnsi="Helvetica"/>
          <w:sz w:val="24"/>
          <w:szCs w:val="24"/>
        </w:rPr>
        <w:drawing>
          <wp:inline distT="0" distB="0" distL="0" distR="0" wp14:anchorId="3B826DE2" wp14:editId="15BE58E3">
            <wp:extent cx="5943600" cy="2631057"/>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5943600" cy="2631057"/>
                    </a:xfrm>
                    <a:prstGeom prst="rect">
                      <a:avLst/>
                    </a:prstGeom>
                  </pic:spPr>
                </pic:pic>
              </a:graphicData>
            </a:graphic>
          </wp:inline>
        </w:drawing>
      </w:r>
      <w:bookmarkStart w:id="0" w:name="_GoBack"/>
      <w:bookmarkEnd w:id="0"/>
    </w:p>
    <w:p w:rsidR="00D60C2E" w:rsidRPr="00D60C2E" w:rsidRDefault="00D60C2E" w:rsidP="006602F4">
      <w:pPr>
        <w:pStyle w:val="ListParagraph"/>
        <w:numPr>
          <w:ilvl w:val="0"/>
          <w:numId w:val="51"/>
        </w:numPr>
        <w:jc w:val="left"/>
        <w:rPr>
          <w:rFonts w:ascii="Helvetica" w:hAnsi="Helvetica"/>
          <w:sz w:val="24"/>
          <w:szCs w:val="24"/>
        </w:rPr>
      </w:pPr>
      <w:r w:rsidRPr="00D60C2E">
        <w:rPr>
          <w:rFonts w:ascii="Helvetica" w:hAnsi="Helvetica"/>
          <w:sz w:val="24"/>
          <w:szCs w:val="24"/>
        </w:rPr>
        <w:t>Many non-aligned measures continue to be included in global budget-based contracts, though fewer in 2020 than in 2019.</w:t>
      </w:r>
    </w:p>
    <w:p w:rsidR="00D60C2E" w:rsidRPr="00D60C2E" w:rsidRDefault="00D60C2E" w:rsidP="006602F4">
      <w:pPr>
        <w:pStyle w:val="ListParagraph"/>
        <w:numPr>
          <w:ilvl w:val="0"/>
          <w:numId w:val="51"/>
        </w:numPr>
        <w:jc w:val="left"/>
        <w:rPr>
          <w:rFonts w:ascii="Helvetica" w:hAnsi="Helvetica"/>
          <w:sz w:val="24"/>
          <w:szCs w:val="24"/>
        </w:rPr>
      </w:pPr>
      <w:r w:rsidRPr="00D60C2E">
        <w:rPr>
          <w:rFonts w:ascii="Helvetica" w:hAnsi="Helvetica"/>
          <w:sz w:val="24"/>
          <w:szCs w:val="24"/>
        </w:rPr>
        <w:t>26 non-endorsed measures are in use in contracts in 2020 (down from 34 in 2019), and 14 by only a)</w:t>
      </w:r>
    </w:p>
    <w:p w:rsidR="00D60C2E" w:rsidRDefault="00D60C2E" w:rsidP="006602F4">
      <w:pPr>
        <w:pStyle w:val="ListParagraph"/>
        <w:numPr>
          <w:ilvl w:val="0"/>
          <w:numId w:val="51"/>
        </w:numPr>
        <w:jc w:val="left"/>
        <w:rPr>
          <w:rFonts w:ascii="Helvetica" w:hAnsi="Helvetica"/>
          <w:sz w:val="24"/>
          <w:szCs w:val="24"/>
        </w:rPr>
      </w:pPr>
      <w:r w:rsidRPr="00D60C2E">
        <w:rPr>
          <w:rFonts w:ascii="Helvetica" w:hAnsi="Helvetica"/>
          <w:sz w:val="24"/>
          <w:szCs w:val="24"/>
        </w:rPr>
        <w:t>Developmental measures include: Community Tenure, Joint Replacement Patient Reported Outcome Measure, and Depression Remission or Response for Adolescents and Adults (2020 only)</w:t>
      </w:r>
    </w:p>
    <w:p w:rsidR="001B33E9" w:rsidRPr="001B33E9" w:rsidRDefault="001B33E9" w:rsidP="00F42212">
      <w:pPr>
        <w:pStyle w:val="Heading1"/>
        <w:tabs>
          <w:tab w:val="left" w:pos="2296"/>
        </w:tabs>
      </w:pPr>
      <w:r w:rsidRPr="00A35C58">
        <w:t xml:space="preserve">Slide </w:t>
      </w:r>
      <w:r>
        <w:t>44</w:t>
      </w:r>
    </w:p>
    <w:p w:rsidR="001B33E9" w:rsidRDefault="001B33E9" w:rsidP="00F42212">
      <w:pPr>
        <w:pStyle w:val="Heading2"/>
      </w:pPr>
      <w:r w:rsidRPr="001B33E9">
        <w:t>Annual Review Timing</w:t>
      </w:r>
    </w:p>
    <w:p w:rsidR="001B33E9" w:rsidRPr="001B33E9" w:rsidRDefault="001B33E9" w:rsidP="006602F4">
      <w:pPr>
        <w:pStyle w:val="ListParagraph"/>
        <w:numPr>
          <w:ilvl w:val="0"/>
          <w:numId w:val="52"/>
        </w:numPr>
        <w:contextualSpacing w:val="0"/>
        <w:jc w:val="left"/>
        <w:rPr>
          <w:rFonts w:ascii="Helvetica" w:hAnsi="Helvetica"/>
          <w:sz w:val="24"/>
          <w:szCs w:val="24"/>
        </w:rPr>
      </w:pPr>
      <w:r w:rsidRPr="001B33E9">
        <w:rPr>
          <w:rFonts w:ascii="Helvetica" w:hAnsi="Helvetica"/>
          <w:sz w:val="24"/>
          <w:szCs w:val="24"/>
        </w:rPr>
        <w:t>During today’s meeting, the Taskforce will commence its first full annual review of the Aligned Measure Set.</w:t>
      </w:r>
    </w:p>
    <w:p w:rsidR="001B33E9" w:rsidRPr="001B33E9" w:rsidRDefault="001B33E9" w:rsidP="006602F4">
      <w:pPr>
        <w:pStyle w:val="ListParagraph"/>
        <w:numPr>
          <w:ilvl w:val="0"/>
          <w:numId w:val="53"/>
        </w:numPr>
        <w:jc w:val="left"/>
        <w:rPr>
          <w:rFonts w:ascii="Helvetica" w:hAnsi="Helvetica"/>
          <w:sz w:val="24"/>
          <w:szCs w:val="24"/>
        </w:rPr>
      </w:pPr>
      <w:r w:rsidRPr="001B33E9">
        <w:rPr>
          <w:rFonts w:ascii="Helvetica" w:hAnsi="Helvetica"/>
          <w:sz w:val="24"/>
          <w:szCs w:val="24"/>
        </w:rPr>
        <w:t>This review will determine the 2021 Massachusetts Aligned Measure Set.</w:t>
      </w:r>
    </w:p>
    <w:p w:rsidR="001B33E9" w:rsidRPr="001B33E9" w:rsidRDefault="001B33E9" w:rsidP="006602F4">
      <w:pPr>
        <w:pStyle w:val="ListParagraph"/>
        <w:numPr>
          <w:ilvl w:val="0"/>
          <w:numId w:val="53"/>
        </w:numPr>
        <w:contextualSpacing w:val="0"/>
        <w:jc w:val="left"/>
        <w:rPr>
          <w:rFonts w:ascii="Helvetica" w:hAnsi="Helvetica"/>
          <w:sz w:val="24"/>
          <w:szCs w:val="24"/>
        </w:rPr>
      </w:pPr>
      <w:r w:rsidRPr="001B33E9">
        <w:rPr>
          <w:rFonts w:ascii="Helvetica" w:hAnsi="Helvetica"/>
          <w:sz w:val="24"/>
          <w:szCs w:val="24"/>
        </w:rPr>
        <w:t>In 2019, the Taskforce conducted an abbreviated review because the 2020 set had been finalized only a short time previously.</w:t>
      </w:r>
    </w:p>
    <w:p w:rsidR="001B33E9" w:rsidRPr="001B33E9" w:rsidRDefault="001B33E9" w:rsidP="006602F4">
      <w:pPr>
        <w:pStyle w:val="ListParagraph"/>
        <w:numPr>
          <w:ilvl w:val="0"/>
          <w:numId w:val="52"/>
        </w:numPr>
        <w:jc w:val="left"/>
      </w:pPr>
      <w:r w:rsidRPr="001B33E9">
        <w:rPr>
          <w:rFonts w:ascii="Helvetica" w:hAnsi="Helvetica"/>
          <w:sz w:val="24"/>
          <w:szCs w:val="24"/>
        </w:rPr>
        <w:t>Following the Taskforce’s annual review, the Taskforce will submit its recommendations for annual changes to the Secretary of the Executive Office of Health and Human Services for re</w:t>
      </w:r>
    </w:p>
    <w:p w:rsidR="00D60C2E" w:rsidRDefault="00D60C2E" w:rsidP="00F42212">
      <w:pPr>
        <w:pStyle w:val="Heading1"/>
        <w:tabs>
          <w:tab w:val="left" w:pos="2296"/>
        </w:tabs>
      </w:pPr>
      <w:r w:rsidRPr="00A35C58">
        <w:t xml:space="preserve">Slide </w:t>
      </w:r>
      <w:r w:rsidR="001B33E9">
        <w:t>45</w:t>
      </w:r>
    </w:p>
    <w:p w:rsidR="00D60C2E" w:rsidRDefault="001B33E9" w:rsidP="00F42212">
      <w:pPr>
        <w:pStyle w:val="Heading2"/>
      </w:pPr>
      <w:r w:rsidRPr="001B33E9">
        <w:t>Annual Review Process</w:t>
      </w:r>
    </w:p>
    <w:p w:rsidR="001B33E9" w:rsidRPr="001B33E9" w:rsidRDefault="001B33E9" w:rsidP="006602F4">
      <w:pPr>
        <w:pStyle w:val="ListParagraph"/>
        <w:numPr>
          <w:ilvl w:val="0"/>
          <w:numId w:val="54"/>
        </w:numPr>
        <w:contextualSpacing w:val="0"/>
        <w:jc w:val="left"/>
        <w:rPr>
          <w:rFonts w:ascii="Helvetica" w:hAnsi="Helvetica"/>
          <w:sz w:val="24"/>
          <w:szCs w:val="24"/>
        </w:rPr>
      </w:pPr>
      <w:r w:rsidRPr="001B33E9">
        <w:rPr>
          <w:rFonts w:ascii="Helvetica" w:hAnsi="Helvetica"/>
          <w:sz w:val="24"/>
          <w:szCs w:val="24"/>
        </w:rPr>
        <w:t>The proposed annual review process is as follows:</w:t>
      </w:r>
    </w:p>
    <w:p w:rsidR="001B33E9" w:rsidRPr="001B33E9" w:rsidRDefault="001B33E9" w:rsidP="006602F4">
      <w:pPr>
        <w:pStyle w:val="ListParagraph"/>
        <w:numPr>
          <w:ilvl w:val="1"/>
          <w:numId w:val="55"/>
        </w:numPr>
        <w:jc w:val="left"/>
        <w:rPr>
          <w:rFonts w:ascii="Helvetica" w:hAnsi="Helvetica"/>
          <w:sz w:val="24"/>
          <w:szCs w:val="24"/>
        </w:rPr>
      </w:pPr>
      <w:r w:rsidRPr="001B33E9">
        <w:rPr>
          <w:rFonts w:ascii="Helvetica" w:hAnsi="Helvetica"/>
          <w:sz w:val="24"/>
          <w:szCs w:val="24"/>
        </w:rPr>
        <w:t>Background</w:t>
      </w:r>
    </w:p>
    <w:p w:rsidR="001B33E9" w:rsidRPr="001B33E9" w:rsidRDefault="001B33E9" w:rsidP="006602F4">
      <w:pPr>
        <w:pStyle w:val="ListParagraph"/>
        <w:numPr>
          <w:ilvl w:val="2"/>
          <w:numId w:val="56"/>
        </w:numPr>
        <w:jc w:val="left"/>
        <w:rPr>
          <w:rFonts w:ascii="Helvetica" w:hAnsi="Helvetica"/>
          <w:sz w:val="24"/>
          <w:szCs w:val="24"/>
        </w:rPr>
      </w:pPr>
      <w:r w:rsidRPr="001B33E9">
        <w:rPr>
          <w:rFonts w:ascii="Helvetica" w:hAnsi="Helvetica"/>
          <w:sz w:val="24"/>
          <w:szCs w:val="24"/>
        </w:rPr>
        <w:t>Review guiding principles</w:t>
      </w:r>
    </w:p>
    <w:p w:rsidR="001B33E9" w:rsidRPr="001B33E9" w:rsidRDefault="001B33E9" w:rsidP="006602F4">
      <w:pPr>
        <w:pStyle w:val="ListParagraph"/>
        <w:numPr>
          <w:ilvl w:val="2"/>
          <w:numId w:val="56"/>
        </w:numPr>
        <w:jc w:val="left"/>
        <w:rPr>
          <w:rFonts w:ascii="Helvetica" w:hAnsi="Helvetica"/>
          <w:sz w:val="24"/>
          <w:szCs w:val="24"/>
        </w:rPr>
      </w:pPr>
      <w:r w:rsidRPr="001B33E9">
        <w:rPr>
          <w:rFonts w:ascii="Helvetica" w:hAnsi="Helvetica"/>
          <w:sz w:val="24"/>
          <w:szCs w:val="24"/>
        </w:rPr>
        <w:t>Review State priorities</w:t>
      </w:r>
    </w:p>
    <w:p w:rsidR="00D60C2E" w:rsidRPr="001B33E9" w:rsidRDefault="001B33E9" w:rsidP="006602F4">
      <w:pPr>
        <w:pStyle w:val="ListParagraph"/>
        <w:numPr>
          <w:ilvl w:val="1"/>
          <w:numId w:val="55"/>
        </w:numPr>
        <w:jc w:val="left"/>
        <w:rPr>
          <w:rFonts w:ascii="Helvetica" w:hAnsi="Helvetica"/>
          <w:sz w:val="24"/>
          <w:szCs w:val="24"/>
        </w:rPr>
      </w:pPr>
      <w:r w:rsidRPr="001B33E9">
        <w:rPr>
          <w:rFonts w:ascii="Helvetica" w:hAnsi="Helvetica"/>
          <w:sz w:val="24"/>
          <w:szCs w:val="24"/>
        </w:rPr>
        <w:t>Solicit Taskforce member proposals for additions, subtractions and replacements for 2021</w:t>
      </w:r>
    </w:p>
    <w:p w:rsidR="001B33E9" w:rsidRDefault="001B33E9" w:rsidP="00F42212">
      <w:pPr>
        <w:pStyle w:val="Heading1"/>
        <w:tabs>
          <w:tab w:val="left" w:pos="2296"/>
        </w:tabs>
      </w:pPr>
      <w:r w:rsidRPr="00A35C58">
        <w:t xml:space="preserve">Slide </w:t>
      </w:r>
      <w:r w:rsidR="009B7197">
        <w:t>46</w:t>
      </w:r>
    </w:p>
    <w:p w:rsidR="001B33E9" w:rsidRDefault="009B7197" w:rsidP="00F42212">
      <w:pPr>
        <w:pStyle w:val="Heading2"/>
      </w:pPr>
      <w:r w:rsidRPr="009B7197">
        <w:t>Annual Review Process</w:t>
      </w:r>
    </w:p>
    <w:p w:rsidR="009B7197" w:rsidRPr="00EB6DEB" w:rsidRDefault="009B7197" w:rsidP="006602F4">
      <w:pPr>
        <w:pStyle w:val="ListParagraph"/>
        <w:numPr>
          <w:ilvl w:val="0"/>
          <w:numId w:val="58"/>
        </w:numPr>
        <w:contextualSpacing w:val="0"/>
        <w:jc w:val="left"/>
        <w:rPr>
          <w:rStyle w:val="Strong"/>
        </w:rPr>
      </w:pPr>
      <w:r w:rsidRPr="00EB6DEB">
        <w:rPr>
          <w:rStyle w:val="Strong"/>
        </w:rPr>
        <w:t>Initial review of new measures/topics</w:t>
      </w:r>
    </w:p>
    <w:p w:rsidR="009B7197" w:rsidRPr="009B7197" w:rsidRDefault="009B7197" w:rsidP="006602F4">
      <w:pPr>
        <w:pStyle w:val="ListParagraph"/>
        <w:numPr>
          <w:ilvl w:val="1"/>
          <w:numId w:val="57"/>
        </w:numPr>
        <w:jc w:val="left"/>
        <w:rPr>
          <w:rFonts w:ascii="Helvetica" w:hAnsi="Helvetica"/>
          <w:sz w:val="24"/>
          <w:szCs w:val="24"/>
        </w:rPr>
      </w:pPr>
      <w:r w:rsidRPr="009B7197">
        <w:rPr>
          <w:rFonts w:ascii="Helvetica" w:hAnsi="Helvetica"/>
          <w:sz w:val="24"/>
          <w:szCs w:val="24"/>
        </w:rPr>
        <w:t>Consider whether to add hospital measures for 2021</w:t>
      </w:r>
    </w:p>
    <w:p w:rsidR="009B7197" w:rsidRPr="009B7197" w:rsidRDefault="009B7197" w:rsidP="006602F4">
      <w:pPr>
        <w:pStyle w:val="ListParagraph"/>
        <w:numPr>
          <w:ilvl w:val="1"/>
          <w:numId w:val="57"/>
        </w:numPr>
        <w:jc w:val="left"/>
        <w:rPr>
          <w:rFonts w:ascii="Helvetica" w:hAnsi="Helvetica"/>
          <w:sz w:val="24"/>
          <w:szCs w:val="24"/>
        </w:rPr>
      </w:pPr>
      <w:r w:rsidRPr="009B7197">
        <w:rPr>
          <w:rFonts w:ascii="Helvetica" w:hAnsi="Helvetica"/>
          <w:sz w:val="24"/>
          <w:szCs w:val="24"/>
        </w:rPr>
        <w:t>Review candidate pediatric measures for further consideration</w:t>
      </w:r>
    </w:p>
    <w:p w:rsidR="009B7197" w:rsidRPr="009B7197" w:rsidRDefault="009B7197" w:rsidP="006602F4">
      <w:pPr>
        <w:pStyle w:val="ListParagraph"/>
        <w:numPr>
          <w:ilvl w:val="2"/>
          <w:numId w:val="57"/>
        </w:numPr>
        <w:jc w:val="left"/>
        <w:rPr>
          <w:rFonts w:ascii="Helvetica" w:hAnsi="Helvetica"/>
          <w:sz w:val="24"/>
          <w:szCs w:val="24"/>
        </w:rPr>
      </w:pPr>
      <w:r w:rsidRPr="009B7197">
        <w:rPr>
          <w:rFonts w:ascii="Helvetica" w:hAnsi="Helvetica"/>
          <w:sz w:val="24"/>
          <w:szCs w:val="24"/>
        </w:rPr>
        <w:t>During the 10/18 Taskforce meeting a few Taskforce members recommended adding additional pediatric measures to the Aligned Measure Set</w:t>
      </w:r>
    </w:p>
    <w:p w:rsidR="009B7197" w:rsidRPr="009B7197" w:rsidRDefault="009B7197" w:rsidP="006602F4">
      <w:pPr>
        <w:pStyle w:val="ListParagraph"/>
        <w:numPr>
          <w:ilvl w:val="1"/>
          <w:numId w:val="57"/>
        </w:numPr>
        <w:jc w:val="left"/>
        <w:rPr>
          <w:rFonts w:ascii="Helvetica" w:hAnsi="Helvetica"/>
          <w:sz w:val="24"/>
          <w:szCs w:val="24"/>
        </w:rPr>
      </w:pPr>
      <w:r w:rsidRPr="009B7197">
        <w:rPr>
          <w:rFonts w:ascii="Helvetica" w:hAnsi="Helvetica"/>
          <w:sz w:val="24"/>
          <w:szCs w:val="24"/>
        </w:rPr>
        <w:t>Review new HEDIS measures</w:t>
      </w:r>
    </w:p>
    <w:p w:rsidR="009B7197" w:rsidRPr="009B7197" w:rsidRDefault="009B7197" w:rsidP="006602F4">
      <w:pPr>
        <w:pStyle w:val="ListParagraph"/>
        <w:numPr>
          <w:ilvl w:val="1"/>
          <w:numId w:val="57"/>
        </w:numPr>
        <w:jc w:val="left"/>
        <w:rPr>
          <w:rFonts w:ascii="Helvetica" w:hAnsi="Helvetica"/>
          <w:sz w:val="24"/>
          <w:szCs w:val="24"/>
        </w:rPr>
      </w:pPr>
      <w:r w:rsidRPr="009B7197">
        <w:rPr>
          <w:rFonts w:ascii="Helvetica" w:hAnsi="Helvetica"/>
          <w:sz w:val="24"/>
          <w:szCs w:val="24"/>
        </w:rPr>
        <w:t>Review recommended additions to the:</w:t>
      </w:r>
    </w:p>
    <w:p w:rsidR="009B7197" w:rsidRPr="009B7197" w:rsidRDefault="009B7197" w:rsidP="006602F4">
      <w:pPr>
        <w:pStyle w:val="ListParagraph"/>
        <w:numPr>
          <w:ilvl w:val="2"/>
          <w:numId w:val="57"/>
        </w:numPr>
        <w:jc w:val="left"/>
        <w:rPr>
          <w:rFonts w:ascii="Helvetica" w:hAnsi="Helvetica"/>
          <w:sz w:val="24"/>
          <w:szCs w:val="24"/>
        </w:rPr>
      </w:pPr>
      <w:r w:rsidRPr="009B7197">
        <w:rPr>
          <w:rFonts w:ascii="Helvetica" w:hAnsi="Helvetica"/>
          <w:sz w:val="24"/>
          <w:szCs w:val="24"/>
        </w:rPr>
        <w:t>Core Set of Children’s Health Care Quality Measures for Medicaid and CHIP (Child Core Set)</w:t>
      </w:r>
    </w:p>
    <w:p w:rsidR="001B33E9" w:rsidRPr="009B7197" w:rsidRDefault="009B7197" w:rsidP="006602F4">
      <w:pPr>
        <w:pStyle w:val="ListParagraph"/>
        <w:numPr>
          <w:ilvl w:val="2"/>
          <w:numId w:val="57"/>
        </w:numPr>
        <w:jc w:val="left"/>
        <w:rPr>
          <w:rFonts w:ascii="Helvetica" w:hAnsi="Helvetica"/>
          <w:sz w:val="24"/>
          <w:szCs w:val="24"/>
        </w:rPr>
      </w:pPr>
      <w:r w:rsidRPr="009B7197">
        <w:rPr>
          <w:rFonts w:ascii="Helvetica" w:hAnsi="Helvetica"/>
          <w:sz w:val="24"/>
          <w:szCs w:val="24"/>
        </w:rPr>
        <w:t>Core Set of Adult Health Care Quality Measures for Medicaid (Adult Core Set)</w:t>
      </w:r>
    </w:p>
    <w:p w:rsidR="001B33E9" w:rsidRDefault="001B33E9" w:rsidP="00F42212">
      <w:pPr>
        <w:pStyle w:val="Heading1"/>
        <w:tabs>
          <w:tab w:val="left" w:pos="2296"/>
        </w:tabs>
      </w:pPr>
      <w:r w:rsidRPr="00A35C58">
        <w:t xml:space="preserve">Slide </w:t>
      </w:r>
      <w:r w:rsidR="009B7197">
        <w:t>47</w:t>
      </w:r>
    </w:p>
    <w:p w:rsidR="001B33E9" w:rsidRDefault="009B7197" w:rsidP="00F42212">
      <w:pPr>
        <w:pStyle w:val="Heading2"/>
      </w:pPr>
      <w:r w:rsidRPr="009B7197">
        <w:t>Annual Review Process</w:t>
      </w:r>
    </w:p>
    <w:p w:rsidR="009B7197" w:rsidRPr="00EB6DEB" w:rsidRDefault="009B7197" w:rsidP="006602F4">
      <w:pPr>
        <w:pStyle w:val="ListParagraph"/>
        <w:numPr>
          <w:ilvl w:val="0"/>
          <w:numId w:val="61"/>
        </w:numPr>
        <w:ind w:left="720"/>
        <w:contextualSpacing w:val="0"/>
        <w:jc w:val="left"/>
        <w:rPr>
          <w:rStyle w:val="Strong"/>
        </w:rPr>
      </w:pPr>
      <w:r w:rsidRPr="00EB6DEB">
        <w:rPr>
          <w:rStyle w:val="Strong"/>
        </w:rPr>
        <w:t>Review the 2020 Aligned Measure Set</w:t>
      </w:r>
    </w:p>
    <w:p w:rsidR="009B7197" w:rsidRPr="00EB6DEB" w:rsidRDefault="009B7197" w:rsidP="006602F4">
      <w:pPr>
        <w:pStyle w:val="ListParagraph"/>
        <w:numPr>
          <w:ilvl w:val="1"/>
          <w:numId w:val="59"/>
        </w:numPr>
        <w:ind w:left="1080"/>
        <w:jc w:val="left"/>
        <w:rPr>
          <w:rFonts w:ascii="Helvetica" w:hAnsi="Helvetica"/>
          <w:sz w:val="24"/>
          <w:szCs w:val="24"/>
        </w:rPr>
      </w:pPr>
      <w:r w:rsidRPr="00EB6DEB">
        <w:rPr>
          <w:rFonts w:ascii="Helvetica" w:hAnsi="Helvetica"/>
          <w:sz w:val="24"/>
          <w:szCs w:val="24"/>
        </w:rPr>
        <w:t>Review adoption in global budget-based risk contracts</w:t>
      </w:r>
    </w:p>
    <w:p w:rsidR="009B7197" w:rsidRPr="00EB6DEB" w:rsidRDefault="009B7197" w:rsidP="006602F4">
      <w:pPr>
        <w:pStyle w:val="ListParagraph"/>
        <w:numPr>
          <w:ilvl w:val="1"/>
          <w:numId w:val="59"/>
        </w:numPr>
        <w:ind w:left="1080"/>
        <w:jc w:val="left"/>
        <w:rPr>
          <w:rFonts w:ascii="Helvetica" w:hAnsi="Helvetica"/>
          <w:sz w:val="24"/>
          <w:szCs w:val="24"/>
        </w:rPr>
      </w:pPr>
      <w:r w:rsidRPr="00EB6DEB">
        <w:rPr>
          <w:rFonts w:ascii="Helvetica" w:hAnsi="Helvetica"/>
          <w:sz w:val="24"/>
          <w:szCs w:val="24"/>
        </w:rPr>
        <w:t>Review substantive HEDIS changes</w:t>
      </w:r>
    </w:p>
    <w:p w:rsidR="009B7197" w:rsidRPr="00EB6DEB" w:rsidRDefault="009B7197" w:rsidP="006602F4">
      <w:pPr>
        <w:pStyle w:val="ListParagraph"/>
        <w:numPr>
          <w:ilvl w:val="1"/>
          <w:numId w:val="59"/>
        </w:numPr>
        <w:ind w:left="1080"/>
        <w:jc w:val="left"/>
        <w:rPr>
          <w:rFonts w:ascii="Helvetica" w:hAnsi="Helvetica"/>
          <w:sz w:val="24"/>
          <w:szCs w:val="24"/>
        </w:rPr>
      </w:pPr>
      <w:r w:rsidRPr="00EB6DEB">
        <w:rPr>
          <w:rFonts w:ascii="Helvetica" w:hAnsi="Helvetica"/>
          <w:sz w:val="24"/>
          <w:szCs w:val="24"/>
        </w:rPr>
        <w:t>Review CMS-driven changes to existing measures in the MassHealth ACO, Medicaid Core, and Medicare ACO Sets</w:t>
      </w:r>
    </w:p>
    <w:p w:rsidR="009B7197" w:rsidRPr="00EB6DEB" w:rsidRDefault="009B7197" w:rsidP="006602F4">
      <w:pPr>
        <w:pStyle w:val="ListParagraph"/>
        <w:numPr>
          <w:ilvl w:val="1"/>
          <w:numId w:val="59"/>
        </w:numPr>
        <w:ind w:left="1080"/>
        <w:contextualSpacing w:val="0"/>
        <w:jc w:val="left"/>
        <w:rPr>
          <w:rFonts w:ascii="Helvetica" w:hAnsi="Helvetica"/>
          <w:sz w:val="24"/>
          <w:szCs w:val="24"/>
        </w:rPr>
      </w:pPr>
      <w:r w:rsidRPr="00EB6DEB">
        <w:rPr>
          <w:rFonts w:ascii="Helvetica" w:hAnsi="Helvetica"/>
          <w:sz w:val="24"/>
          <w:szCs w:val="24"/>
        </w:rPr>
        <w:t>Review performance of Core, Menu, and Monitoring measures</w:t>
      </w:r>
    </w:p>
    <w:p w:rsidR="009B7197" w:rsidRPr="00EB6DEB" w:rsidRDefault="009B7197" w:rsidP="006602F4">
      <w:pPr>
        <w:pStyle w:val="ListParagraph"/>
        <w:numPr>
          <w:ilvl w:val="0"/>
          <w:numId w:val="61"/>
        </w:numPr>
        <w:ind w:left="720"/>
        <w:contextualSpacing w:val="0"/>
        <w:jc w:val="left"/>
        <w:rPr>
          <w:rStyle w:val="Strong"/>
        </w:rPr>
      </w:pPr>
      <w:r w:rsidRPr="00EB6DEB">
        <w:rPr>
          <w:rStyle w:val="Strong"/>
        </w:rPr>
        <w:t>Revisit refined list of new measures/topics for inclusion</w:t>
      </w:r>
    </w:p>
    <w:p w:rsidR="009B7197" w:rsidRPr="00EB6DEB" w:rsidRDefault="009B7197" w:rsidP="006602F4">
      <w:pPr>
        <w:pStyle w:val="ListParagraph"/>
        <w:numPr>
          <w:ilvl w:val="1"/>
          <w:numId w:val="60"/>
        </w:numPr>
        <w:ind w:left="1080"/>
        <w:jc w:val="left"/>
        <w:rPr>
          <w:rFonts w:ascii="Helvetica" w:hAnsi="Helvetica"/>
          <w:sz w:val="24"/>
          <w:szCs w:val="24"/>
        </w:rPr>
      </w:pPr>
      <w:r w:rsidRPr="00EB6DEB">
        <w:rPr>
          <w:rFonts w:ascii="Helvetica" w:hAnsi="Helvetica"/>
          <w:sz w:val="24"/>
          <w:szCs w:val="24"/>
        </w:rPr>
        <w:t>Hospital measures</w:t>
      </w:r>
    </w:p>
    <w:p w:rsidR="009B7197" w:rsidRPr="00EB6DEB" w:rsidRDefault="009B7197" w:rsidP="006602F4">
      <w:pPr>
        <w:pStyle w:val="ListParagraph"/>
        <w:numPr>
          <w:ilvl w:val="1"/>
          <w:numId w:val="60"/>
        </w:numPr>
        <w:ind w:left="1080"/>
        <w:jc w:val="left"/>
        <w:rPr>
          <w:rFonts w:ascii="Helvetica" w:hAnsi="Helvetica"/>
          <w:sz w:val="24"/>
          <w:szCs w:val="24"/>
        </w:rPr>
      </w:pPr>
      <w:r w:rsidRPr="00EB6DEB">
        <w:rPr>
          <w:rFonts w:ascii="Helvetica" w:hAnsi="Helvetica"/>
          <w:sz w:val="24"/>
          <w:szCs w:val="24"/>
        </w:rPr>
        <w:t>Pediatric measures</w:t>
      </w:r>
    </w:p>
    <w:p w:rsidR="009B7197" w:rsidRPr="00EB6DEB" w:rsidRDefault="009B7197" w:rsidP="006602F4">
      <w:pPr>
        <w:pStyle w:val="ListParagraph"/>
        <w:numPr>
          <w:ilvl w:val="1"/>
          <w:numId w:val="60"/>
        </w:numPr>
        <w:ind w:left="1080"/>
        <w:jc w:val="left"/>
        <w:rPr>
          <w:rFonts w:ascii="Helvetica" w:hAnsi="Helvetica"/>
          <w:sz w:val="24"/>
          <w:szCs w:val="24"/>
        </w:rPr>
      </w:pPr>
      <w:r w:rsidRPr="00EB6DEB">
        <w:rPr>
          <w:rFonts w:ascii="Helvetica" w:hAnsi="Helvetica"/>
          <w:sz w:val="24"/>
          <w:szCs w:val="24"/>
        </w:rPr>
        <w:t>New HEDIS measures</w:t>
      </w:r>
    </w:p>
    <w:p w:rsidR="009B7197" w:rsidRPr="00EB6DEB" w:rsidRDefault="009B7197" w:rsidP="006602F4">
      <w:pPr>
        <w:pStyle w:val="ListParagraph"/>
        <w:numPr>
          <w:ilvl w:val="1"/>
          <w:numId w:val="60"/>
        </w:numPr>
        <w:ind w:left="1080"/>
        <w:jc w:val="left"/>
        <w:rPr>
          <w:rFonts w:ascii="Helvetica" w:hAnsi="Helvetica"/>
          <w:sz w:val="24"/>
          <w:szCs w:val="24"/>
        </w:rPr>
      </w:pPr>
      <w:r w:rsidRPr="00EB6DEB">
        <w:rPr>
          <w:rFonts w:ascii="Helvetica" w:hAnsi="Helvetica"/>
          <w:sz w:val="24"/>
          <w:szCs w:val="24"/>
        </w:rPr>
        <w:t>New Medicaid Core measures</w:t>
      </w:r>
    </w:p>
    <w:p w:rsidR="001B33E9" w:rsidRPr="00EB6DEB" w:rsidRDefault="009B7197" w:rsidP="006602F4">
      <w:pPr>
        <w:pStyle w:val="ListParagraph"/>
        <w:numPr>
          <w:ilvl w:val="1"/>
          <w:numId w:val="60"/>
        </w:numPr>
        <w:ind w:left="1080"/>
        <w:jc w:val="left"/>
        <w:rPr>
          <w:rFonts w:ascii="Helvetica" w:hAnsi="Helvetica"/>
          <w:sz w:val="24"/>
          <w:szCs w:val="24"/>
        </w:rPr>
      </w:pPr>
      <w:r w:rsidRPr="00EB6DEB">
        <w:rPr>
          <w:rFonts w:ascii="Helvetica" w:hAnsi="Helvetica"/>
          <w:sz w:val="24"/>
          <w:szCs w:val="24"/>
        </w:rPr>
        <w:t>Other measures</w:t>
      </w:r>
    </w:p>
    <w:p w:rsidR="001B33E9" w:rsidRDefault="001B33E9" w:rsidP="00F42212">
      <w:pPr>
        <w:pStyle w:val="Heading1"/>
        <w:tabs>
          <w:tab w:val="left" w:pos="2296"/>
        </w:tabs>
      </w:pPr>
      <w:r w:rsidRPr="00A35C58">
        <w:t xml:space="preserve">Slide </w:t>
      </w:r>
      <w:r w:rsidR="00EB6DEB">
        <w:t>48</w:t>
      </w:r>
    </w:p>
    <w:p w:rsidR="001B33E9" w:rsidRDefault="00EB6DEB" w:rsidP="00F42212">
      <w:pPr>
        <w:pStyle w:val="Heading2"/>
      </w:pPr>
      <w:r w:rsidRPr="00EB6DEB">
        <w:t>Annual Review Process (cont’d)</w:t>
      </w:r>
    </w:p>
    <w:p w:rsidR="00EB6DEB" w:rsidRPr="00EB6DEB" w:rsidRDefault="00EB6DEB" w:rsidP="006602F4">
      <w:pPr>
        <w:pStyle w:val="ListParagraph"/>
        <w:numPr>
          <w:ilvl w:val="0"/>
          <w:numId w:val="61"/>
        </w:numPr>
        <w:tabs>
          <w:tab w:val="left" w:pos="720"/>
        </w:tabs>
        <w:ind w:left="720"/>
        <w:contextualSpacing w:val="0"/>
        <w:jc w:val="left"/>
        <w:rPr>
          <w:rFonts w:ascii="Helvetica" w:hAnsi="Helvetica"/>
          <w:sz w:val="24"/>
          <w:szCs w:val="24"/>
        </w:rPr>
      </w:pPr>
      <w:r w:rsidRPr="00EB6DEB">
        <w:rPr>
          <w:rFonts w:ascii="Helvetica" w:hAnsi="Helvetica"/>
          <w:sz w:val="24"/>
          <w:szCs w:val="24"/>
        </w:rPr>
        <w:t>Consider movement of measures within measure set categories</w:t>
      </w:r>
    </w:p>
    <w:p w:rsidR="00EB6DEB" w:rsidRPr="00EB6DEB" w:rsidRDefault="00EB6DEB" w:rsidP="006602F4">
      <w:pPr>
        <w:pStyle w:val="ListParagraph"/>
        <w:numPr>
          <w:ilvl w:val="1"/>
          <w:numId w:val="62"/>
        </w:numPr>
        <w:jc w:val="left"/>
        <w:rPr>
          <w:rFonts w:ascii="Helvetica" w:hAnsi="Helvetica"/>
          <w:sz w:val="24"/>
          <w:szCs w:val="24"/>
        </w:rPr>
      </w:pPr>
      <w:r w:rsidRPr="00EB6DEB">
        <w:rPr>
          <w:rFonts w:ascii="Helvetica" w:hAnsi="Helvetica"/>
          <w:sz w:val="24"/>
          <w:szCs w:val="24"/>
        </w:rPr>
        <w:t>Finalize recommendation on Depression measure from 10/18</w:t>
      </w:r>
    </w:p>
    <w:p w:rsidR="00EB6DEB" w:rsidRDefault="00EB6DEB" w:rsidP="006602F4">
      <w:pPr>
        <w:pStyle w:val="ListParagraph"/>
        <w:numPr>
          <w:ilvl w:val="1"/>
          <w:numId w:val="62"/>
        </w:numPr>
        <w:contextualSpacing w:val="0"/>
        <w:jc w:val="left"/>
        <w:rPr>
          <w:rFonts w:ascii="Helvetica" w:hAnsi="Helvetica"/>
          <w:sz w:val="24"/>
          <w:szCs w:val="24"/>
        </w:rPr>
      </w:pPr>
      <w:r w:rsidRPr="00EB6DEB">
        <w:rPr>
          <w:rFonts w:ascii="Helvetica" w:hAnsi="Helvetica"/>
          <w:sz w:val="24"/>
          <w:szCs w:val="24"/>
        </w:rPr>
        <w:t>Consider transition of Developmental measures into the Core or Menu</w:t>
      </w:r>
    </w:p>
    <w:p w:rsidR="00EB6DEB" w:rsidRPr="00EB6DEB" w:rsidRDefault="00EB6DEB" w:rsidP="006602F4">
      <w:pPr>
        <w:pStyle w:val="ListParagraph"/>
        <w:numPr>
          <w:ilvl w:val="0"/>
          <w:numId w:val="61"/>
        </w:numPr>
        <w:ind w:left="720"/>
        <w:contextualSpacing w:val="0"/>
        <w:jc w:val="left"/>
        <w:rPr>
          <w:rFonts w:ascii="Helvetica" w:hAnsi="Helvetica"/>
          <w:sz w:val="24"/>
          <w:szCs w:val="24"/>
        </w:rPr>
      </w:pPr>
      <w:r w:rsidRPr="00EB6DEB">
        <w:rPr>
          <w:rFonts w:ascii="Helvetica" w:hAnsi="Helvetica"/>
          <w:sz w:val="24"/>
          <w:szCs w:val="24"/>
        </w:rPr>
        <w:t>Finalize recommended changes to the Aligned Measure Set</w:t>
      </w:r>
    </w:p>
    <w:p w:rsidR="009B7197" w:rsidRDefault="009B7197" w:rsidP="00F42212">
      <w:pPr>
        <w:pStyle w:val="Heading1"/>
        <w:tabs>
          <w:tab w:val="left" w:pos="2296"/>
        </w:tabs>
      </w:pPr>
      <w:r w:rsidRPr="00A35C58">
        <w:t xml:space="preserve">Slide </w:t>
      </w:r>
      <w:r w:rsidR="00010CD9">
        <w:t>49</w:t>
      </w:r>
    </w:p>
    <w:p w:rsidR="009B7197" w:rsidRDefault="00F55757" w:rsidP="00F42212">
      <w:pPr>
        <w:pStyle w:val="Heading2"/>
      </w:pPr>
      <w:r w:rsidRPr="00F55757">
        <w:t>Annual Review Process</w:t>
      </w:r>
    </w:p>
    <w:p w:rsidR="00F55757" w:rsidRPr="00F55757" w:rsidRDefault="00F55757" w:rsidP="006602F4">
      <w:pPr>
        <w:pStyle w:val="ListParagraph"/>
        <w:numPr>
          <w:ilvl w:val="0"/>
          <w:numId w:val="63"/>
        </w:numPr>
        <w:contextualSpacing w:val="0"/>
        <w:jc w:val="left"/>
        <w:rPr>
          <w:rFonts w:ascii="Helvetica" w:hAnsi="Helvetica" w:cs="Helvetica"/>
          <w:sz w:val="24"/>
          <w:szCs w:val="24"/>
        </w:rPr>
      </w:pPr>
      <w:r w:rsidRPr="00F55757">
        <w:rPr>
          <w:rFonts w:ascii="Helvetica" w:hAnsi="Helvetica" w:cs="Helvetica"/>
          <w:sz w:val="24"/>
          <w:szCs w:val="24"/>
        </w:rPr>
        <w:t>Background</w:t>
      </w:r>
      <w:r w:rsidR="009B7197" w:rsidRPr="00F55757">
        <w:rPr>
          <w:rFonts w:ascii="Helvetica" w:hAnsi="Helvetica" w:cs="Helvetica"/>
          <w:sz w:val="24"/>
          <w:szCs w:val="24"/>
        </w:rPr>
        <w:t xml:space="preserve"> </w:t>
      </w:r>
    </w:p>
    <w:p w:rsidR="00F55757" w:rsidRPr="00F55757" w:rsidRDefault="00F55757" w:rsidP="006602F4">
      <w:pPr>
        <w:pStyle w:val="ListParagraph"/>
        <w:numPr>
          <w:ilvl w:val="1"/>
          <w:numId w:val="64"/>
        </w:numPr>
        <w:jc w:val="left"/>
        <w:rPr>
          <w:rFonts w:ascii="Helvetica" w:hAnsi="Helvetica" w:cs="Helvetica"/>
          <w:sz w:val="24"/>
          <w:szCs w:val="24"/>
        </w:rPr>
      </w:pPr>
      <w:r w:rsidRPr="00F55757">
        <w:rPr>
          <w:rFonts w:ascii="Helvetica" w:hAnsi="Helvetica" w:cs="Helvetica"/>
          <w:sz w:val="24"/>
          <w:szCs w:val="24"/>
        </w:rPr>
        <w:t>Review guiding principles</w:t>
      </w:r>
    </w:p>
    <w:p w:rsidR="00F55757" w:rsidRPr="00F55757" w:rsidRDefault="00F55757" w:rsidP="006602F4">
      <w:pPr>
        <w:pStyle w:val="ListParagraph"/>
        <w:numPr>
          <w:ilvl w:val="1"/>
          <w:numId w:val="64"/>
        </w:numPr>
        <w:jc w:val="left"/>
        <w:rPr>
          <w:rFonts w:ascii="Helvetica" w:hAnsi="Helvetica" w:cs="Helvetica"/>
          <w:sz w:val="24"/>
          <w:szCs w:val="24"/>
        </w:rPr>
      </w:pPr>
      <w:r w:rsidRPr="00F55757">
        <w:rPr>
          <w:rFonts w:ascii="Helvetica" w:hAnsi="Helvetica" w:cs="Helvetica"/>
          <w:sz w:val="24"/>
          <w:szCs w:val="24"/>
        </w:rPr>
        <w:t>Review State priorities</w:t>
      </w:r>
    </w:p>
    <w:p w:rsidR="009B7197" w:rsidRDefault="009B7197" w:rsidP="00F42212">
      <w:pPr>
        <w:pStyle w:val="Heading1"/>
        <w:tabs>
          <w:tab w:val="left" w:pos="2296"/>
        </w:tabs>
      </w:pPr>
      <w:r w:rsidRPr="00A35C58">
        <w:t xml:space="preserve">Slide </w:t>
      </w:r>
      <w:r w:rsidR="00F55757">
        <w:t>5</w:t>
      </w:r>
      <w:r>
        <w:t>0</w:t>
      </w:r>
    </w:p>
    <w:p w:rsidR="00F42212" w:rsidRDefault="00F55757" w:rsidP="00F42212">
      <w:pPr>
        <w:pStyle w:val="Heading2"/>
      </w:pPr>
      <w:r w:rsidRPr="00F55757">
        <w:t>Background</w:t>
      </w:r>
    </w:p>
    <w:p w:rsidR="00F42212" w:rsidRPr="00F42212" w:rsidRDefault="00F42212" w:rsidP="006602F4">
      <w:pPr>
        <w:pStyle w:val="ListParagraph"/>
        <w:numPr>
          <w:ilvl w:val="0"/>
          <w:numId w:val="65"/>
        </w:numPr>
        <w:contextualSpacing w:val="0"/>
        <w:jc w:val="left"/>
        <w:rPr>
          <w:rFonts w:ascii="Helvetica" w:hAnsi="Helvetica"/>
          <w:sz w:val="24"/>
          <w:szCs w:val="24"/>
        </w:rPr>
      </w:pPr>
      <w:r w:rsidRPr="00F42212">
        <w:rPr>
          <w:rFonts w:ascii="Helvetica" w:hAnsi="Helvetica"/>
          <w:sz w:val="24"/>
          <w:szCs w:val="24"/>
        </w:rPr>
        <w:t>The first step of the annual review process is to re-orient ourselves to key considerations impacting our discussion of all measures.</w:t>
      </w:r>
    </w:p>
    <w:p w:rsidR="00F42212" w:rsidRPr="00F42212" w:rsidRDefault="00F42212" w:rsidP="006602F4">
      <w:pPr>
        <w:pStyle w:val="ListParagraph"/>
        <w:numPr>
          <w:ilvl w:val="0"/>
          <w:numId w:val="65"/>
        </w:numPr>
        <w:contextualSpacing w:val="0"/>
        <w:jc w:val="left"/>
        <w:rPr>
          <w:rFonts w:ascii="Helvetica" w:hAnsi="Helvetica"/>
          <w:sz w:val="24"/>
          <w:szCs w:val="24"/>
        </w:rPr>
      </w:pPr>
      <w:r w:rsidRPr="00F42212">
        <w:rPr>
          <w:rFonts w:ascii="Helvetica" w:hAnsi="Helvetica"/>
          <w:sz w:val="24"/>
          <w:szCs w:val="24"/>
        </w:rPr>
        <w:t>These key considerations include:</w:t>
      </w:r>
    </w:p>
    <w:p w:rsidR="00F42212" w:rsidRPr="00F42212" w:rsidRDefault="00F42212" w:rsidP="006602F4">
      <w:pPr>
        <w:pStyle w:val="ListParagraph"/>
        <w:numPr>
          <w:ilvl w:val="1"/>
          <w:numId w:val="66"/>
        </w:numPr>
        <w:jc w:val="left"/>
        <w:rPr>
          <w:rFonts w:ascii="Helvetica" w:hAnsi="Helvetica"/>
          <w:sz w:val="24"/>
          <w:szCs w:val="24"/>
        </w:rPr>
      </w:pPr>
      <w:r w:rsidRPr="00F42212">
        <w:rPr>
          <w:rFonts w:ascii="Helvetica" w:hAnsi="Helvetica"/>
          <w:sz w:val="24"/>
          <w:szCs w:val="24"/>
        </w:rPr>
        <w:t>The Measure Set Guiding Principles</w:t>
      </w:r>
    </w:p>
    <w:p w:rsidR="00F42212" w:rsidRPr="00F42212" w:rsidRDefault="00F42212" w:rsidP="006602F4">
      <w:pPr>
        <w:pStyle w:val="ListParagraph"/>
        <w:numPr>
          <w:ilvl w:val="1"/>
          <w:numId w:val="66"/>
        </w:numPr>
        <w:contextualSpacing w:val="0"/>
        <w:jc w:val="left"/>
        <w:rPr>
          <w:rFonts w:ascii="Helvetica" w:hAnsi="Helvetica"/>
          <w:sz w:val="24"/>
          <w:szCs w:val="24"/>
        </w:rPr>
      </w:pPr>
      <w:r w:rsidRPr="00F42212">
        <w:rPr>
          <w:rFonts w:ascii="Helvetica" w:hAnsi="Helvetica"/>
          <w:sz w:val="24"/>
          <w:szCs w:val="24"/>
        </w:rPr>
        <w:t>State health priorities</w:t>
      </w:r>
    </w:p>
    <w:p w:rsidR="00F42212" w:rsidRPr="00F42212" w:rsidRDefault="00F42212" w:rsidP="006602F4">
      <w:pPr>
        <w:pStyle w:val="ListParagraph"/>
        <w:numPr>
          <w:ilvl w:val="0"/>
          <w:numId w:val="65"/>
        </w:numPr>
        <w:jc w:val="left"/>
      </w:pPr>
      <w:r w:rsidRPr="00F42212">
        <w:rPr>
          <w:rFonts w:ascii="Helvetica" w:hAnsi="Helvetica"/>
          <w:sz w:val="24"/>
          <w:szCs w:val="24"/>
        </w:rPr>
        <w:t>Please keep these considerations in mind throughout the annual review process.</w:t>
      </w:r>
    </w:p>
    <w:p w:rsidR="00F55757" w:rsidRDefault="00F55757" w:rsidP="00F42212">
      <w:pPr>
        <w:pStyle w:val="Heading1"/>
        <w:tabs>
          <w:tab w:val="left" w:pos="2296"/>
        </w:tabs>
      </w:pPr>
      <w:r w:rsidRPr="00A35C58">
        <w:t xml:space="preserve">Slide </w:t>
      </w:r>
      <w:r w:rsidR="00075E14">
        <w:t>51</w:t>
      </w:r>
    </w:p>
    <w:p w:rsidR="00F55757" w:rsidRDefault="00075E14" w:rsidP="00F42212">
      <w:pPr>
        <w:pStyle w:val="Heading2"/>
      </w:pPr>
      <w:r w:rsidRPr="00075E14">
        <w:t>Guiding Principles</w:t>
      </w:r>
    </w:p>
    <w:p w:rsidR="00075E14" w:rsidRPr="00075E14" w:rsidRDefault="00075E14" w:rsidP="00075E14">
      <w:pPr>
        <w:pStyle w:val="Heading3"/>
      </w:pPr>
      <w:r w:rsidRPr="00075E14">
        <w:t>Principles applied to individual measures</w:t>
      </w:r>
    </w:p>
    <w:p w:rsidR="00075E14" w:rsidRPr="00075E14" w:rsidRDefault="00075E14" w:rsidP="006602F4">
      <w:pPr>
        <w:pStyle w:val="ListParagraph"/>
        <w:numPr>
          <w:ilvl w:val="0"/>
          <w:numId w:val="67"/>
        </w:numPr>
        <w:rPr>
          <w:rFonts w:ascii="Helvetica" w:hAnsi="Helvetica" w:cs="Helvetica"/>
          <w:sz w:val="24"/>
          <w:szCs w:val="24"/>
        </w:rPr>
      </w:pPr>
      <w:r w:rsidRPr="00075E14">
        <w:rPr>
          <w:rFonts w:ascii="Helvetica" w:hAnsi="Helvetica" w:cs="Helvetica"/>
          <w:sz w:val="24"/>
          <w:szCs w:val="24"/>
        </w:rPr>
        <w:t>Evidence-based, scientifically acceptable, nationally-endorsed and valid at the level at which it is being used (ACO-level, in particular).</w:t>
      </w:r>
    </w:p>
    <w:p w:rsidR="00075E14" w:rsidRPr="00075E14" w:rsidRDefault="00075E14" w:rsidP="006602F4">
      <w:pPr>
        <w:pStyle w:val="ListParagraph"/>
        <w:numPr>
          <w:ilvl w:val="0"/>
          <w:numId w:val="67"/>
        </w:numPr>
        <w:rPr>
          <w:rFonts w:ascii="Helvetica" w:hAnsi="Helvetica" w:cs="Helvetica"/>
          <w:sz w:val="24"/>
          <w:szCs w:val="24"/>
        </w:rPr>
      </w:pPr>
      <w:r w:rsidRPr="00075E14">
        <w:rPr>
          <w:rFonts w:ascii="Helvetica" w:hAnsi="Helvetica" w:cs="Helvetica"/>
          <w:sz w:val="24"/>
          <w:szCs w:val="24"/>
        </w:rPr>
        <w:t>Required data should be either readily available, not overly burdensome to collect, or, if burdensome, of demonstrable value for improving patient care.</w:t>
      </w:r>
    </w:p>
    <w:p w:rsidR="00075E14" w:rsidRPr="00075E14" w:rsidRDefault="00075E14" w:rsidP="006602F4">
      <w:pPr>
        <w:pStyle w:val="ListParagraph"/>
        <w:numPr>
          <w:ilvl w:val="0"/>
          <w:numId w:val="67"/>
        </w:numPr>
        <w:rPr>
          <w:rFonts w:ascii="Helvetica" w:hAnsi="Helvetica" w:cs="Helvetica"/>
          <w:sz w:val="24"/>
          <w:szCs w:val="24"/>
        </w:rPr>
      </w:pPr>
      <w:r w:rsidRPr="00075E14">
        <w:rPr>
          <w:rFonts w:ascii="Helvetica" w:hAnsi="Helvetica" w:cs="Helvetica"/>
          <w:sz w:val="24"/>
          <w:szCs w:val="24"/>
        </w:rPr>
        <w:t>Represents an opportunity for improvement.</w:t>
      </w:r>
    </w:p>
    <w:p w:rsidR="00075E14" w:rsidRPr="00075E14" w:rsidRDefault="00075E14" w:rsidP="006602F4">
      <w:pPr>
        <w:pStyle w:val="ListParagraph"/>
        <w:numPr>
          <w:ilvl w:val="0"/>
          <w:numId w:val="67"/>
        </w:numPr>
        <w:rPr>
          <w:rFonts w:ascii="Helvetica" w:hAnsi="Helvetica" w:cs="Helvetica"/>
          <w:sz w:val="24"/>
          <w:szCs w:val="24"/>
        </w:rPr>
      </w:pPr>
      <w:r w:rsidRPr="00075E14">
        <w:rPr>
          <w:rFonts w:ascii="Helvetica" w:hAnsi="Helvetica" w:cs="Helvetica"/>
          <w:sz w:val="24"/>
          <w:szCs w:val="24"/>
        </w:rPr>
        <w:t>Is important to consumers and supports the triple aim of better care, better health and lower cost.</w:t>
      </w:r>
    </w:p>
    <w:p w:rsidR="00075E14" w:rsidRDefault="00075E14" w:rsidP="00075E14">
      <w:pPr>
        <w:pStyle w:val="Heading3"/>
      </w:pPr>
      <w:r w:rsidRPr="00075E14">
        <w:t>Principles applied to the measure set</w:t>
      </w:r>
    </w:p>
    <w:p w:rsidR="00075E14" w:rsidRPr="00075E14" w:rsidRDefault="00075E14" w:rsidP="006602F4">
      <w:pPr>
        <w:pStyle w:val="ListParagraph"/>
        <w:numPr>
          <w:ilvl w:val="0"/>
          <w:numId w:val="68"/>
        </w:numPr>
        <w:rPr>
          <w:rFonts w:ascii="Helvetica" w:hAnsi="Helvetica" w:cs="Helvetica"/>
          <w:sz w:val="24"/>
          <w:szCs w:val="24"/>
        </w:rPr>
      </w:pPr>
      <w:r w:rsidRPr="00075E14">
        <w:rPr>
          <w:rFonts w:ascii="Helvetica" w:hAnsi="Helvetica" w:cs="Helvetica"/>
          <w:sz w:val="24"/>
          <w:szCs w:val="24"/>
        </w:rPr>
        <w:t>Prioritize health outcomes, including measures sourced from clinical and patient-reported data.</w:t>
      </w:r>
    </w:p>
    <w:p w:rsidR="00075E14" w:rsidRPr="00075E14" w:rsidRDefault="00075E14" w:rsidP="006602F4">
      <w:pPr>
        <w:pStyle w:val="ListParagraph"/>
        <w:numPr>
          <w:ilvl w:val="0"/>
          <w:numId w:val="68"/>
        </w:numPr>
        <w:rPr>
          <w:rFonts w:ascii="Helvetica" w:hAnsi="Helvetica" w:cs="Helvetica"/>
          <w:sz w:val="24"/>
          <w:szCs w:val="24"/>
        </w:rPr>
      </w:pPr>
      <w:r w:rsidRPr="00075E14">
        <w:rPr>
          <w:rFonts w:ascii="Helvetica" w:hAnsi="Helvetica" w:cs="Helvetica"/>
          <w:sz w:val="24"/>
          <w:szCs w:val="24"/>
        </w:rPr>
        <w:t>Provide a largely complete and holistic view of the entity being evaluated (i.e., ACO).</w:t>
      </w:r>
    </w:p>
    <w:p w:rsidR="00075E14" w:rsidRPr="00075E14" w:rsidRDefault="00075E14" w:rsidP="006602F4">
      <w:pPr>
        <w:pStyle w:val="ListParagraph"/>
        <w:numPr>
          <w:ilvl w:val="0"/>
          <w:numId w:val="68"/>
        </w:numPr>
        <w:rPr>
          <w:rFonts w:ascii="Helvetica" w:hAnsi="Helvetica" w:cs="Helvetica"/>
          <w:sz w:val="24"/>
          <w:szCs w:val="24"/>
        </w:rPr>
      </w:pPr>
      <w:r w:rsidRPr="00075E14">
        <w:rPr>
          <w:rFonts w:ascii="Helvetica" w:hAnsi="Helvetica" w:cs="Helvetica"/>
          <w:sz w:val="24"/>
          <w:szCs w:val="24"/>
        </w:rPr>
        <w:t>Strive for parsimony.</w:t>
      </w:r>
    </w:p>
    <w:p w:rsidR="00075E14" w:rsidRPr="00075E14" w:rsidRDefault="00075E14" w:rsidP="006602F4">
      <w:pPr>
        <w:pStyle w:val="ListParagraph"/>
        <w:numPr>
          <w:ilvl w:val="0"/>
          <w:numId w:val="68"/>
        </w:numPr>
        <w:rPr>
          <w:rFonts w:ascii="Helvetica" w:hAnsi="Helvetica" w:cs="Helvetica"/>
          <w:sz w:val="24"/>
          <w:szCs w:val="24"/>
        </w:rPr>
      </w:pPr>
      <w:r w:rsidRPr="00075E14">
        <w:rPr>
          <w:rFonts w:ascii="Helvetica" w:hAnsi="Helvetica" w:cs="Helvetica"/>
          <w:sz w:val="24"/>
          <w:szCs w:val="24"/>
        </w:rPr>
        <w:t>Taken as a whole, high performance on the proposed measure set should significantly advance the delivery system toward the goals of safe, timely, effective, efficient, equitable, patient-centered (STEEEP) care.</w:t>
      </w:r>
    </w:p>
    <w:p w:rsidR="00075E14" w:rsidRPr="00075E14" w:rsidRDefault="00075E14" w:rsidP="006602F4">
      <w:pPr>
        <w:pStyle w:val="ListParagraph"/>
        <w:numPr>
          <w:ilvl w:val="0"/>
          <w:numId w:val="68"/>
        </w:numPr>
        <w:rPr>
          <w:rFonts w:ascii="Helvetica" w:hAnsi="Helvetica" w:cs="Helvetica"/>
          <w:sz w:val="24"/>
          <w:szCs w:val="24"/>
        </w:rPr>
      </w:pPr>
      <w:r w:rsidRPr="00075E14">
        <w:rPr>
          <w:rFonts w:ascii="Helvetica" w:hAnsi="Helvetica" w:cs="Helvetica"/>
          <w:sz w:val="24"/>
          <w:szCs w:val="24"/>
        </w:rPr>
        <w:t>Promote value for consumers, purchasers, and providers.</w:t>
      </w:r>
    </w:p>
    <w:p w:rsidR="00075E14" w:rsidRPr="00075E14" w:rsidRDefault="00075E14" w:rsidP="00075E14"/>
    <w:p w:rsidR="00F55757" w:rsidRDefault="00F55757" w:rsidP="00075E14">
      <w:pPr>
        <w:pStyle w:val="Heading1"/>
        <w:tabs>
          <w:tab w:val="left" w:pos="2296"/>
        </w:tabs>
      </w:pPr>
      <w:r w:rsidRPr="00A35C58">
        <w:t xml:space="preserve">Slide </w:t>
      </w:r>
      <w:r w:rsidR="00AE3809">
        <w:t>52</w:t>
      </w:r>
    </w:p>
    <w:p w:rsidR="00F55757" w:rsidRDefault="00AE3809" w:rsidP="00F42212">
      <w:pPr>
        <w:pStyle w:val="Heading2"/>
      </w:pPr>
      <w:r w:rsidRPr="00AE3809">
        <w:t>Guiding Principles (cont’d)</w:t>
      </w:r>
    </w:p>
    <w:p w:rsidR="003B6FF6" w:rsidRPr="003B6FF6" w:rsidRDefault="003B6FF6" w:rsidP="006602F4">
      <w:pPr>
        <w:pStyle w:val="ListParagraph"/>
        <w:numPr>
          <w:ilvl w:val="0"/>
          <w:numId w:val="69"/>
        </w:numPr>
        <w:jc w:val="left"/>
        <w:rPr>
          <w:rFonts w:ascii="Helvetica" w:hAnsi="Helvetica"/>
          <w:sz w:val="24"/>
          <w:szCs w:val="24"/>
        </w:rPr>
      </w:pPr>
      <w:r w:rsidRPr="003B6FF6">
        <w:rPr>
          <w:rFonts w:ascii="Helvetica" w:hAnsi="Helvetica"/>
          <w:sz w:val="24"/>
          <w:szCs w:val="24"/>
        </w:rPr>
        <w:t xml:space="preserve">The Taskforce adopted the following principles specific to </w:t>
      </w:r>
      <w:r w:rsidRPr="003B6FF6">
        <w:rPr>
          <w:rStyle w:val="Strong"/>
        </w:rPr>
        <w:t>Core Measure Set</w:t>
      </w:r>
      <w:r w:rsidRPr="003B6FF6">
        <w:rPr>
          <w:rFonts w:ascii="Helvetica" w:hAnsi="Helvetica"/>
          <w:sz w:val="24"/>
          <w:szCs w:val="24"/>
        </w:rPr>
        <w:t xml:space="preserve"> adoption:</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No more than five in number</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Outcomes-oriented</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At least one measure is focused on behavioral health</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Universally applicable to the greatest extent possible</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Crucial from a public health perspective</w:t>
      </w:r>
    </w:p>
    <w:p w:rsidR="003B6FF6"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Comprised of measures that are highly aligned across existing payer global budget-based risk contract measures</w:t>
      </w:r>
    </w:p>
    <w:p w:rsidR="00F55757" w:rsidRPr="003B6FF6" w:rsidRDefault="003B6FF6" w:rsidP="006602F4">
      <w:pPr>
        <w:pStyle w:val="ListParagraph"/>
        <w:numPr>
          <w:ilvl w:val="1"/>
          <w:numId w:val="70"/>
        </w:numPr>
        <w:jc w:val="left"/>
        <w:rPr>
          <w:rFonts w:ascii="Helvetica" w:hAnsi="Helvetica"/>
          <w:sz w:val="24"/>
          <w:szCs w:val="24"/>
        </w:rPr>
      </w:pPr>
      <w:r w:rsidRPr="003B6FF6">
        <w:rPr>
          <w:rFonts w:ascii="Helvetica" w:hAnsi="Helvetica"/>
          <w:sz w:val="24"/>
          <w:szCs w:val="24"/>
        </w:rPr>
        <w:t>Enhances value</w:t>
      </w:r>
    </w:p>
    <w:p w:rsidR="00F55757" w:rsidRDefault="00F55757" w:rsidP="00F42212">
      <w:pPr>
        <w:pStyle w:val="Heading1"/>
        <w:tabs>
          <w:tab w:val="left" w:pos="2296"/>
        </w:tabs>
      </w:pPr>
      <w:r w:rsidRPr="00A35C58">
        <w:t xml:space="preserve">Slide </w:t>
      </w:r>
      <w:r w:rsidR="00AE3809">
        <w:t>53</w:t>
      </w:r>
    </w:p>
    <w:p w:rsidR="00F55757" w:rsidRDefault="003B6FF6" w:rsidP="00F42212">
      <w:pPr>
        <w:pStyle w:val="Heading2"/>
      </w:pPr>
      <w:r w:rsidRPr="003B6FF6">
        <w:t>Guiding Principles (cont’d)</w:t>
      </w:r>
    </w:p>
    <w:p w:rsidR="003B6FF6" w:rsidRPr="003B6FF6" w:rsidRDefault="003B6FF6" w:rsidP="006602F4">
      <w:pPr>
        <w:pStyle w:val="ListParagraph"/>
        <w:numPr>
          <w:ilvl w:val="0"/>
          <w:numId w:val="71"/>
        </w:numPr>
        <w:contextualSpacing w:val="0"/>
        <w:jc w:val="left"/>
        <w:rPr>
          <w:rFonts w:ascii="Helvetica" w:hAnsi="Helvetica"/>
          <w:sz w:val="24"/>
          <w:szCs w:val="24"/>
        </w:rPr>
      </w:pPr>
      <w:r w:rsidRPr="003B6FF6">
        <w:rPr>
          <w:rFonts w:ascii="Helvetica" w:hAnsi="Helvetica"/>
          <w:sz w:val="24"/>
          <w:szCs w:val="24"/>
        </w:rPr>
        <w:t>Do you recommend any updates to the Guiding Principles?</w:t>
      </w:r>
    </w:p>
    <w:p w:rsidR="003B6FF6" w:rsidRPr="003B6FF6" w:rsidRDefault="003B6FF6" w:rsidP="006602F4">
      <w:pPr>
        <w:pStyle w:val="ListParagraph"/>
        <w:numPr>
          <w:ilvl w:val="1"/>
          <w:numId w:val="72"/>
        </w:numPr>
        <w:jc w:val="left"/>
        <w:rPr>
          <w:rFonts w:ascii="Helvetica" w:hAnsi="Helvetica"/>
          <w:sz w:val="24"/>
          <w:szCs w:val="24"/>
        </w:rPr>
      </w:pPr>
      <w:r w:rsidRPr="003B6FF6">
        <w:rPr>
          <w:rFonts w:ascii="Helvetica" w:hAnsi="Helvetica"/>
          <w:sz w:val="24"/>
          <w:szCs w:val="24"/>
        </w:rPr>
        <w:t>If so, do you recommend changes to:</w:t>
      </w:r>
    </w:p>
    <w:p w:rsidR="003B6FF6" w:rsidRPr="003B6FF6" w:rsidRDefault="003B6FF6" w:rsidP="006602F4">
      <w:pPr>
        <w:pStyle w:val="ListParagraph"/>
        <w:numPr>
          <w:ilvl w:val="2"/>
          <w:numId w:val="73"/>
        </w:numPr>
        <w:jc w:val="left"/>
        <w:rPr>
          <w:rFonts w:ascii="Helvetica" w:hAnsi="Helvetica"/>
          <w:sz w:val="24"/>
          <w:szCs w:val="24"/>
        </w:rPr>
      </w:pPr>
      <w:r w:rsidRPr="003B6FF6">
        <w:rPr>
          <w:rFonts w:ascii="Helvetica" w:hAnsi="Helvetica"/>
          <w:sz w:val="24"/>
          <w:szCs w:val="24"/>
        </w:rPr>
        <w:t>principles applied to individual measures,</w:t>
      </w:r>
    </w:p>
    <w:p w:rsidR="003B6FF6" w:rsidRPr="003B6FF6" w:rsidRDefault="003B6FF6" w:rsidP="006602F4">
      <w:pPr>
        <w:pStyle w:val="ListParagraph"/>
        <w:numPr>
          <w:ilvl w:val="2"/>
          <w:numId w:val="73"/>
        </w:numPr>
        <w:jc w:val="left"/>
        <w:rPr>
          <w:rFonts w:ascii="Helvetica" w:hAnsi="Helvetica"/>
          <w:sz w:val="24"/>
          <w:szCs w:val="24"/>
        </w:rPr>
      </w:pPr>
      <w:r w:rsidRPr="003B6FF6">
        <w:rPr>
          <w:rFonts w:ascii="Helvetica" w:hAnsi="Helvetica"/>
          <w:sz w:val="24"/>
          <w:szCs w:val="24"/>
        </w:rPr>
        <w:t>principles applied to the measure set, and/or</w:t>
      </w:r>
    </w:p>
    <w:p w:rsidR="00F55757" w:rsidRPr="003B6FF6" w:rsidRDefault="003B6FF6" w:rsidP="006602F4">
      <w:pPr>
        <w:pStyle w:val="ListParagraph"/>
        <w:numPr>
          <w:ilvl w:val="2"/>
          <w:numId w:val="73"/>
        </w:numPr>
        <w:jc w:val="left"/>
        <w:rPr>
          <w:rFonts w:ascii="Helvetica" w:hAnsi="Helvetica"/>
          <w:sz w:val="24"/>
          <w:szCs w:val="24"/>
        </w:rPr>
      </w:pPr>
      <w:proofErr w:type="gramStart"/>
      <w:r w:rsidRPr="003B6FF6">
        <w:rPr>
          <w:rFonts w:ascii="Helvetica" w:hAnsi="Helvetica"/>
          <w:sz w:val="24"/>
          <w:szCs w:val="24"/>
        </w:rPr>
        <w:t>principles</w:t>
      </w:r>
      <w:proofErr w:type="gramEnd"/>
      <w:r w:rsidRPr="003B6FF6">
        <w:rPr>
          <w:rFonts w:ascii="Helvetica" w:hAnsi="Helvetica"/>
          <w:sz w:val="24"/>
          <w:szCs w:val="24"/>
        </w:rPr>
        <w:t xml:space="preserve"> specific to Core Measure Set adoption?</w:t>
      </w:r>
    </w:p>
    <w:p w:rsidR="00AE3809" w:rsidRDefault="00AE3809" w:rsidP="00AE3809">
      <w:pPr>
        <w:pStyle w:val="Heading1"/>
        <w:tabs>
          <w:tab w:val="left" w:pos="2296"/>
        </w:tabs>
      </w:pPr>
      <w:r w:rsidRPr="00A35C58">
        <w:t xml:space="preserve">Slide </w:t>
      </w:r>
      <w:r>
        <w:t>54</w:t>
      </w:r>
    </w:p>
    <w:p w:rsidR="00AE3809" w:rsidRDefault="003B6FF6" w:rsidP="00AE3809">
      <w:pPr>
        <w:pStyle w:val="Heading2"/>
      </w:pPr>
      <w:r w:rsidRPr="003B6FF6">
        <w:t>State Health Priorities</w:t>
      </w:r>
    </w:p>
    <w:p w:rsidR="003B6FF6" w:rsidRPr="003B6FF6" w:rsidRDefault="003B6FF6" w:rsidP="003B6FF6">
      <w:pPr>
        <w:jc w:val="left"/>
        <w:rPr>
          <w:rFonts w:ascii="Helvetica" w:hAnsi="Helvetica"/>
          <w:sz w:val="24"/>
          <w:szCs w:val="24"/>
        </w:rPr>
      </w:pPr>
      <w:r w:rsidRPr="003B6FF6">
        <w:rPr>
          <w:rFonts w:ascii="Helvetica" w:hAnsi="Helvetica"/>
          <w:sz w:val="24"/>
          <w:szCs w:val="24"/>
        </w:rPr>
        <w:t>The Secretariat has identified the following as continuing state health priorities:</w:t>
      </w:r>
    </w:p>
    <w:p w:rsidR="003B6FF6"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Substance use disorders</w:t>
      </w:r>
    </w:p>
    <w:p w:rsidR="003B6FF6"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Mental health, including pediatric mental health</w:t>
      </w:r>
    </w:p>
    <w:p w:rsidR="003B6FF6"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 xml:space="preserve">Chronic disease, with a focus on cancer, heart disease, and diabetes </w:t>
      </w:r>
    </w:p>
    <w:p w:rsidR="003B6FF6"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Housing stability/homelessness</w:t>
      </w:r>
    </w:p>
    <w:p w:rsidR="003B6FF6"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Community tenure</w:t>
      </w:r>
    </w:p>
    <w:p w:rsidR="00AE3809" w:rsidRPr="003B6FF6" w:rsidRDefault="003B6FF6" w:rsidP="006602F4">
      <w:pPr>
        <w:pStyle w:val="ListParagraph"/>
        <w:numPr>
          <w:ilvl w:val="0"/>
          <w:numId w:val="74"/>
        </w:numPr>
        <w:jc w:val="left"/>
        <w:rPr>
          <w:rFonts w:ascii="Helvetica" w:hAnsi="Helvetica"/>
          <w:sz w:val="24"/>
          <w:szCs w:val="24"/>
        </w:rPr>
      </w:pPr>
      <w:r w:rsidRPr="003B6FF6">
        <w:rPr>
          <w:rFonts w:ascii="Helvetica" w:hAnsi="Helvetica"/>
          <w:sz w:val="24"/>
          <w:szCs w:val="24"/>
        </w:rPr>
        <w:t>Health equity</w:t>
      </w:r>
    </w:p>
    <w:p w:rsidR="00AE3809" w:rsidRDefault="00AE3809" w:rsidP="00AE3809">
      <w:pPr>
        <w:pStyle w:val="Heading1"/>
        <w:tabs>
          <w:tab w:val="left" w:pos="2296"/>
        </w:tabs>
      </w:pPr>
      <w:r w:rsidRPr="00A35C58">
        <w:t xml:space="preserve">Slide </w:t>
      </w:r>
      <w:r>
        <w:t>55</w:t>
      </w:r>
    </w:p>
    <w:p w:rsidR="003B6FF6" w:rsidRDefault="003B6FF6" w:rsidP="003B6FF6">
      <w:pPr>
        <w:pStyle w:val="Heading2"/>
      </w:pPr>
      <w:r w:rsidRPr="00864B77">
        <w:t>Agenda</w:t>
      </w:r>
    </w:p>
    <w:p w:rsidR="003B6FF6" w:rsidRPr="003B6FF6" w:rsidRDefault="003B6FF6" w:rsidP="006602F4">
      <w:pPr>
        <w:pStyle w:val="ListParagraph"/>
        <w:numPr>
          <w:ilvl w:val="0"/>
          <w:numId w:val="2"/>
        </w:numPr>
        <w:jc w:val="left"/>
        <w:rPr>
          <w:rStyle w:val="Strong"/>
          <w:b w:val="0"/>
        </w:rPr>
      </w:pPr>
      <w:r w:rsidRPr="003B6FF6">
        <w:rPr>
          <w:rStyle w:val="Strong"/>
          <w:b w:val="0"/>
        </w:rPr>
        <w:t xml:space="preserve">Legislative update </w:t>
      </w:r>
    </w:p>
    <w:p w:rsidR="003B6FF6" w:rsidRPr="00FA64DE" w:rsidRDefault="003B6FF6" w:rsidP="006602F4">
      <w:pPr>
        <w:pStyle w:val="ListParagraph"/>
        <w:numPr>
          <w:ilvl w:val="0"/>
          <w:numId w:val="2"/>
        </w:numPr>
        <w:jc w:val="left"/>
        <w:rPr>
          <w:rFonts w:ascii="Helvetica" w:hAnsi="Helvetica"/>
          <w:sz w:val="24"/>
          <w:szCs w:val="24"/>
        </w:rPr>
      </w:pPr>
      <w:r w:rsidRPr="00FA64DE">
        <w:rPr>
          <w:rFonts w:ascii="Helvetica" w:hAnsi="Helvetica"/>
          <w:sz w:val="24"/>
          <w:szCs w:val="24"/>
        </w:rPr>
        <w:t>Finalize the Taskforce charter</w:t>
      </w:r>
    </w:p>
    <w:p w:rsidR="003B6FF6" w:rsidRPr="00FA64DE" w:rsidRDefault="003B6FF6" w:rsidP="006602F4">
      <w:pPr>
        <w:pStyle w:val="ListParagraph"/>
        <w:numPr>
          <w:ilvl w:val="0"/>
          <w:numId w:val="2"/>
        </w:numPr>
        <w:jc w:val="left"/>
        <w:rPr>
          <w:rFonts w:ascii="Helvetica" w:hAnsi="Helvetica"/>
          <w:sz w:val="24"/>
          <w:szCs w:val="24"/>
        </w:rPr>
      </w:pPr>
      <w:r w:rsidRPr="00FA64DE">
        <w:rPr>
          <w:rFonts w:ascii="Helvetica" w:hAnsi="Helvetica"/>
          <w:sz w:val="24"/>
          <w:szCs w:val="24"/>
        </w:rPr>
        <w:t>Discuss the process for considering non-endorsed measures</w:t>
      </w:r>
    </w:p>
    <w:p w:rsidR="003B6FF6" w:rsidRDefault="003B6FF6" w:rsidP="006602F4">
      <w:pPr>
        <w:pStyle w:val="ListParagraph"/>
        <w:numPr>
          <w:ilvl w:val="0"/>
          <w:numId w:val="2"/>
        </w:numPr>
        <w:jc w:val="left"/>
        <w:rPr>
          <w:rFonts w:ascii="Helvetica" w:hAnsi="Helvetica"/>
          <w:sz w:val="24"/>
          <w:szCs w:val="24"/>
        </w:rPr>
      </w:pPr>
      <w:r w:rsidRPr="00FA64DE">
        <w:rPr>
          <w:rFonts w:ascii="Helvetica" w:hAnsi="Helvetica"/>
          <w:sz w:val="24"/>
          <w:szCs w:val="24"/>
        </w:rPr>
        <w:t xml:space="preserve">Begin the annual review of the Aligned Measure Set </w:t>
      </w:r>
    </w:p>
    <w:p w:rsidR="003B6FF6" w:rsidRPr="003B6FF6" w:rsidRDefault="003B6FF6" w:rsidP="006602F4">
      <w:pPr>
        <w:pStyle w:val="ListParagraph"/>
        <w:numPr>
          <w:ilvl w:val="0"/>
          <w:numId w:val="2"/>
        </w:numPr>
        <w:jc w:val="left"/>
        <w:rPr>
          <w:rStyle w:val="Strong"/>
        </w:rPr>
      </w:pPr>
      <w:r w:rsidRPr="003B6FF6">
        <w:rPr>
          <w:rStyle w:val="Strong"/>
        </w:rPr>
        <w:t>Next Steps</w:t>
      </w:r>
    </w:p>
    <w:p w:rsidR="00AE3809" w:rsidRDefault="00AE3809" w:rsidP="00AE3809">
      <w:pPr>
        <w:pStyle w:val="Heading1"/>
        <w:tabs>
          <w:tab w:val="left" w:pos="2296"/>
        </w:tabs>
      </w:pPr>
      <w:r w:rsidRPr="00A35C58">
        <w:t xml:space="preserve">Slide </w:t>
      </w:r>
      <w:r>
        <w:t>56</w:t>
      </w:r>
    </w:p>
    <w:p w:rsidR="00AE3809" w:rsidRDefault="00F66BA7" w:rsidP="00AE3809">
      <w:pPr>
        <w:pStyle w:val="Heading2"/>
      </w:pPr>
      <w:r w:rsidRPr="00F66BA7">
        <w:t>Next Meeting</w:t>
      </w:r>
    </w:p>
    <w:p w:rsidR="00F66BA7" w:rsidRPr="00F66BA7" w:rsidRDefault="00F66BA7" w:rsidP="006602F4">
      <w:pPr>
        <w:pStyle w:val="ListParagraph"/>
        <w:numPr>
          <w:ilvl w:val="0"/>
          <w:numId w:val="75"/>
        </w:numPr>
        <w:jc w:val="left"/>
        <w:rPr>
          <w:rStyle w:val="Strong"/>
        </w:rPr>
      </w:pPr>
      <w:r w:rsidRPr="00F66BA7">
        <w:rPr>
          <w:rStyle w:val="Strong"/>
        </w:rPr>
        <w:t>December 9</w:t>
      </w:r>
    </w:p>
    <w:p w:rsidR="00103708" w:rsidRPr="00F66BA7" w:rsidRDefault="00F66BA7" w:rsidP="006602F4">
      <w:pPr>
        <w:pStyle w:val="ListParagraph"/>
        <w:numPr>
          <w:ilvl w:val="1"/>
          <w:numId w:val="75"/>
        </w:numPr>
        <w:jc w:val="left"/>
        <w:rPr>
          <w:rFonts w:ascii="Helvetica" w:hAnsi="Helvetica"/>
          <w:sz w:val="24"/>
          <w:szCs w:val="24"/>
        </w:rPr>
      </w:pPr>
      <w:r w:rsidRPr="00F66BA7">
        <w:rPr>
          <w:rFonts w:ascii="Helvetica" w:hAnsi="Helvetica"/>
          <w:sz w:val="24"/>
          <w:szCs w:val="24"/>
        </w:rPr>
        <w:t>Continue annual review of the Aligned Measure Set</w:t>
      </w:r>
    </w:p>
    <w:sectPr w:rsidR="00103708" w:rsidRPr="00F66BA7" w:rsidSect="00575B5D">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B0500000000000000"/>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C2D"/>
    <w:multiLevelType w:val="hybridMultilevel"/>
    <w:tmpl w:val="8B523F92"/>
    <w:lvl w:ilvl="0" w:tplc="154EB0BC">
      <w:start w:val="4"/>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E04C7A"/>
    <w:multiLevelType w:val="hybridMultilevel"/>
    <w:tmpl w:val="62641862"/>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25524"/>
    <w:multiLevelType w:val="hybridMultilevel"/>
    <w:tmpl w:val="558EC4EE"/>
    <w:lvl w:ilvl="0" w:tplc="92F65F20">
      <w:start w:val="1"/>
      <w:numFmt w:val="bullet"/>
      <w:lvlText w:val=""/>
      <w:lvlJc w:val="left"/>
      <w:pPr>
        <w:ind w:left="720" w:hanging="360"/>
      </w:pPr>
      <w:rPr>
        <w:rFonts w:ascii="Wingdings" w:hAnsi="Wingdings" w:hint="default"/>
        <w:sz w:val="24"/>
        <w:szCs w:val="24"/>
      </w:rPr>
    </w:lvl>
    <w:lvl w:ilvl="1" w:tplc="871C9E42">
      <w:start w:val="1"/>
      <w:numFmt w:val="decimal"/>
      <w:lvlText w:val="%2."/>
      <w:lvlJc w:val="left"/>
      <w:pPr>
        <w:ind w:left="1440" w:hanging="360"/>
      </w:pPr>
      <w:rPr>
        <w:rStyle w:val="Strong"/>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73AF6"/>
    <w:multiLevelType w:val="hybridMultilevel"/>
    <w:tmpl w:val="5186D97E"/>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B56EA"/>
    <w:multiLevelType w:val="hybridMultilevel"/>
    <w:tmpl w:val="1DBE5A2A"/>
    <w:lvl w:ilvl="0" w:tplc="3DFC4812">
      <w:start w:val="1"/>
      <w:numFmt w:val="decimal"/>
      <w:lvlText w:val="%1."/>
      <w:lvlJc w:val="left"/>
      <w:pPr>
        <w:ind w:left="720" w:hanging="360"/>
      </w:pPr>
      <w:rPr>
        <w:rStyle w:val="Strong"/>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A651C"/>
    <w:multiLevelType w:val="hybridMultilevel"/>
    <w:tmpl w:val="7284C628"/>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D48FB"/>
    <w:multiLevelType w:val="hybridMultilevel"/>
    <w:tmpl w:val="F40C2228"/>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797923"/>
    <w:multiLevelType w:val="hybridMultilevel"/>
    <w:tmpl w:val="1D64DBBE"/>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990E53"/>
    <w:multiLevelType w:val="hybridMultilevel"/>
    <w:tmpl w:val="75F6D306"/>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291CBD"/>
    <w:multiLevelType w:val="hybridMultilevel"/>
    <w:tmpl w:val="8EDE7DC4"/>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2454C1"/>
    <w:multiLevelType w:val="hybridMultilevel"/>
    <w:tmpl w:val="1CCC2310"/>
    <w:lvl w:ilvl="0" w:tplc="10F6F5FA">
      <w:start w:val="1"/>
      <w:numFmt w:val="decimal"/>
      <w:lvlText w:val="%1."/>
      <w:lvlJc w:val="left"/>
      <w:pPr>
        <w:ind w:left="720" w:hanging="360"/>
      </w:pPr>
      <w:rPr>
        <w:rStyle w:val="Strong"/>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91DA7"/>
    <w:multiLevelType w:val="hybridMultilevel"/>
    <w:tmpl w:val="A73AEA0C"/>
    <w:lvl w:ilvl="0" w:tplc="92F65F20">
      <w:start w:val="1"/>
      <w:numFmt w:val="bullet"/>
      <w:lvlText w:val=""/>
      <w:lvlJc w:val="left"/>
      <w:pPr>
        <w:ind w:left="720" w:hanging="360"/>
      </w:pPr>
      <w:rPr>
        <w:rFonts w:ascii="Wingdings" w:hAnsi="Wingdings" w:hint="default"/>
        <w:sz w:val="24"/>
        <w:szCs w:val="24"/>
      </w:rPr>
    </w:lvl>
    <w:lvl w:ilvl="1" w:tplc="917A5CA0">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E24FB"/>
    <w:multiLevelType w:val="hybridMultilevel"/>
    <w:tmpl w:val="EEE0A2F8"/>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D002B6"/>
    <w:multiLevelType w:val="hybridMultilevel"/>
    <w:tmpl w:val="4840408E"/>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E74A86"/>
    <w:multiLevelType w:val="hybridMultilevel"/>
    <w:tmpl w:val="92A448FE"/>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EE35ED"/>
    <w:multiLevelType w:val="hybridMultilevel"/>
    <w:tmpl w:val="294EE10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F240A"/>
    <w:multiLevelType w:val="hybridMultilevel"/>
    <w:tmpl w:val="9F4E186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193AE5"/>
    <w:multiLevelType w:val="hybridMultilevel"/>
    <w:tmpl w:val="929013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126B51"/>
    <w:multiLevelType w:val="hybridMultilevel"/>
    <w:tmpl w:val="8690C77C"/>
    <w:lvl w:ilvl="0" w:tplc="0409001B">
      <w:start w:val="1"/>
      <w:numFmt w:val="lowerRoman"/>
      <w:lvlText w:val="%1."/>
      <w:lvlJc w:val="right"/>
      <w:pPr>
        <w:ind w:left="1080" w:hanging="360"/>
      </w:pPr>
      <w:rPr>
        <w:rFont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D84A4A"/>
    <w:multiLevelType w:val="hybridMultilevel"/>
    <w:tmpl w:val="77B4BBAE"/>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110EE6"/>
    <w:multiLevelType w:val="hybridMultilevel"/>
    <w:tmpl w:val="8F2C0CA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693CE0"/>
    <w:multiLevelType w:val="hybridMultilevel"/>
    <w:tmpl w:val="4F001A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506296"/>
    <w:multiLevelType w:val="hybridMultilevel"/>
    <w:tmpl w:val="DE8419C8"/>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0C3759"/>
    <w:multiLevelType w:val="hybridMultilevel"/>
    <w:tmpl w:val="409C2DA6"/>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8F52EF"/>
    <w:multiLevelType w:val="hybridMultilevel"/>
    <w:tmpl w:val="E574283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672B6B"/>
    <w:multiLevelType w:val="hybridMultilevel"/>
    <w:tmpl w:val="F14EDE46"/>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A02C341C">
      <w:start w:val="1"/>
      <w:numFmt w:val="decimal"/>
      <w:lvlText w:val="%3."/>
      <w:lvlJc w:val="left"/>
      <w:pPr>
        <w:ind w:left="2160" w:hanging="360"/>
      </w:pPr>
      <w:rPr>
        <w:rStyle w:val="Strong"/>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A21C72"/>
    <w:multiLevelType w:val="hybridMultilevel"/>
    <w:tmpl w:val="EE1AE0D4"/>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500F27"/>
    <w:multiLevelType w:val="hybridMultilevel"/>
    <w:tmpl w:val="DE2E1A88"/>
    <w:lvl w:ilvl="0" w:tplc="04090001">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6B465FF"/>
    <w:multiLevelType w:val="hybridMultilevel"/>
    <w:tmpl w:val="4982847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030EC6"/>
    <w:multiLevelType w:val="hybridMultilevel"/>
    <w:tmpl w:val="9DB4B33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07322"/>
    <w:multiLevelType w:val="hybridMultilevel"/>
    <w:tmpl w:val="DF5C4EA2"/>
    <w:lvl w:ilvl="0" w:tplc="3DFC4812">
      <w:start w:val="1"/>
      <w:numFmt w:val="decimal"/>
      <w:lvlText w:val="%1."/>
      <w:lvlJc w:val="left"/>
      <w:pPr>
        <w:ind w:left="720" w:hanging="360"/>
      </w:pPr>
      <w:rPr>
        <w:rStyle w:val="Stro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29381A"/>
    <w:multiLevelType w:val="hybridMultilevel"/>
    <w:tmpl w:val="EFBC9926"/>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57114D"/>
    <w:multiLevelType w:val="hybridMultilevel"/>
    <w:tmpl w:val="A9BE4AEA"/>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4336A3"/>
    <w:multiLevelType w:val="hybridMultilevel"/>
    <w:tmpl w:val="59C07DF4"/>
    <w:lvl w:ilvl="0" w:tplc="3DFC4812">
      <w:start w:val="1"/>
      <w:numFmt w:val="decimal"/>
      <w:lvlText w:val="%1."/>
      <w:lvlJc w:val="left"/>
      <w:pPr>
        <w:ind w:left="720" w:hanging="360"/>
      </w:pPr>
      <w:rPr>
        <w:rStyle w:val="Strong"/>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2F57CD"/>
    <w:multiLevelType w:val="hybridMultilevel"/>
    <w:tmpl w:val="342035B8"/>
    <w:lvl w:ilvl="0" w:tplc="92F65F20">
      <w:start w:val="1"/>
      <w:numFmt w:val="bullet"/>
      <w:lvlText w:val=""/>
      <w:lvlJc w:val="left"/>
      <w:pPr>
        <w:ind w:left="720" w:hanging="360"/>
      </w:pPr>
      <w:rPr>
        <w:rFonts w:ascii="Wingdings" w:hAnsi="Wingdings" w:hint="default"/>
        <w:sz w:val="24"/>
        <w:szCs w:val="24"/>
      </w:rPr>
    </w:lvl>
    <w:lvl w:ilvl="1" w:tplc="0409000F">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4A3202"/>
    <w:multiLevelType w:val="hybridMultilevel"/>
    <w:tmpl w:val="4FF271F0"/>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607D6E"/>
    <w:multiLevelType w:val="hybridMultilevel"/>
    <w:tmpl w:val="7E26FED8"/>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6C14AD"/>
    <w:multiLevelType w:val="hybridMultilevel"/>
    <w:tmpl w:val="C15EB7B0"/>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D32109"/>
    <w:multiLevelType w:val="hybridMultilevel"/>
    <w:tmpl w:val="F90E1EA6"/>
    <w:lvl w:ilvl="0" w:tplc="92F65F20">
      <w:start w:val="1"/>
      <w:numFmt w:val="bullet"/>
      <w:lvlText w:val=""/>
      <w:lvlJc w:val="left"/>
      <w:pPr>
        <w:ind w:left="1080" w:hanging="360"/>
      </w:pPr>
      <w:rPr>
        <w:rFonts w:ascii="Wingdings" w:hAnsi="Wingdings"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5DE07B2"/>
    <w:multiLevelType w:val="hybridMultilevel"/>
    <w:tmpl w:val="CD3AB644"/>
    <w:lvl w:ilvl="0" w:tplc="EF426020">
      <w:start w:val="3"/>
      <w:numFmt w:val="decimal"/>
      <w:lvlText w:val="%1."/>
      <w:lvlJc w:val="left"/>
      <w:pPr>
        <w:ind w:left="720" w:hanging="360"/>
      </w:pPr>
      <w:rPr>
        <w:rStyle w:val="Stro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1F4EAC"/>
    <w:multiLevelType w:val="hybridMultilevel"/>
    <w:tmpl w:val="B94AE58E"/>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2D5FE3"/>
    <w:multiLevelType w:val="hybridMultilevel"/>
    <w:tmpl w:val="A65A634A"/>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2A6565"/>
    <w:multiLevelType w:val="hybridMultilevel"/>
    <w:tmpl w:val="719E286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3B4380"/>
    <w:multiLevelType w:val="hybridMultilevel"/>
    <w:tmpl w:val="78AC00E6"/>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8C3FE3"/>
    <w:multiLevelType w:val="hybridMultilevel"/>
    <w:tmpl w:val="A002DE2C"/>
    <w:lvl w:ilvl="0" w:tplc="DF683B4A">
      <w:start w:val="1"/>
      <w:numFmt w:val="decimal"/>
      <w:lvlText w:val="%1."/>
      <w:lvlJc w:val="left"/>
      <w:pPr>
        <w:ind w:left="720" w:hanging="360"/>
      </w:pPr>
      <w:rPr>
        <w:rStyle w:val="Strong"/>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E80375"/>
    <w:multiLevelType w:val="hybridMultilevel"/>
    <w:tmpl w:val="45D8F0F8"/>
    <w:lvl w:ilvl="0" w:tplc="92F65F20">
      <w:start w:val="1"/>
      <w:numFmt w:val="bullet"/>
      <w:lvlText w:val=""/>
      <w:lvlJc w:val="left"/>
      <w:pPr>
        <w:ind w:left="720" w:hanging="360"/>
      </w:pPr>
      <w:rPr>
        <w:rFonts w:ascii="Wingdings" w:hAnsi="Wingdings" w:hint="default"/>
        <w:sz w:val="24"/>
        <w:szCs w:val="24"/>
      </w:rPr>
    </w:lvl>
    <w:lvl w:ilvl="1" w:tplc="F558EDD2">
      <w:start w:val="1"/>
      <w:numFmt w:val="decimal"/>
      <w:lvlText w:val="%2."/>
      <w:lvlJc w:val="left"/>
      <w:pPr>
        <w:ind w:left="1440" w:hanging="360"/>
      </w:pPr>
      <w:rPr>
        <w:rStyle w:val="Strong"/>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1019F8"/>
    <w:multiLevelType w:val="hybridMultilevel"/>
    <w:tmpl w:val="E0C2FE9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B676F0"/>
    <w:multiLevelType w:val="hybridMultilevel"/>
    <w:tmpl w:val="07327808"/>
    <w:lvl w:ilvl="0" w:tplc="5694BD2A">
      <w:start w:val="1"/>
      <w:numFmt w:val="decimal"/>
      <w:lvlText w:val="%1."/>
      <w:lvlJc w:val="left"/>
      <w:pPr>
        <w:ind w:left="720" w:hanging="360"/>
      </w:pPr>
      <w:rPr>
        <w:rStyle w:val="Strong"/>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A9575D"/>
    <w:multiLevelType w:val="hybridMultilevel"/>
    <w:tmpl w:val="AE244D3A"/>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CF21524"/>
    <w:multiLevelType w:val="hybridMultilevel"/>
    <w:tmpl w:val="3FFA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EB5652"/>
    <w:multiLevelType w:val="hybridMultilevel"/>
    <w:tmpl w:val="9470FD5C"/>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3B519F7"/>
    <w:multiLevelType w:val="hybridMultilevel"/>
    <w:tmpl w:val="95B846F2"/>
    <w:lvl w:ilvl="0" w:tplc="3B20B376">
      <w:start w:val="4"/>
      <w:numFmt w:val="decimal"/>
      <w:lvlText w:val="%1."/>
      <w:lvlJc w:val="left"/>
      <w:pPr>
        <w:ind w:left="1080" w:hanging="360"/>
      </w:pPr>
      <w:rPr>
        <w:rStyle w:val="Strong"/>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46F64AE"/>
    <w:multiLevelType w:val="hybridMultilevel"/>
    <w:tmpl w:val="4F1E8362"/>
    <w:lvl w:ilvl="0" w:tplc="BC92C7D2">
      <w:start w:val="1"/>
      <w:numFmt w:val="decimal"/>
      <w:lvlText w:val="%1."/>
      <w:lvlJc w:val="left"/>
      <w:pPr>
        <w:ind w:left="720" w:hanging="360"/>
      </w:pPr>
      <w:rPr>
        <w:rStyle w:val="Strong"/>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5031B80"/>
    <w:multiLevelType w:val="hybridMultilevel"/>
    <w:tmpl w:val="88188D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2C4967"/>
    <w:multiLevelType w:val="hybridMultilevel"/>
    <w:tmpl w:val="79C4B250"/>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EF74B4"/>
    <w:multiLevelType w:val="hybridMultilevel"/>
    <w:tmpl w:val="BDB44244"/>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821B83"/>
    <w:multiLevelType w:val="hybridMultilevel"/>
    <w:tmpl w:val="69460BFA"/>
    <w:lvl w:ilvl="0" w:tplc="92F65F20">
      <w:start w:val="1"/>
      <w:numFmt w:val="bullet"/>
      <w:lvlText w:val=""/>
      <w:lvlJc w:val="left"/>
      <w:pPr>
        <w:ind w:left="720" w:hanging="360"/>
      </w:pPr>
      <w:rPr>
        <w:rFonts w:ascii="Wingdings" w:hAnsi="Wingding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0B179E"/>
    <w:multiLevelType w:val="hybridMultilevel"/>
    <w:tmpl w:val="97D8DA4A"/>
    <w:lvl w:ilvl="0" w:tplc="92F65F20">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1676548"/>
    <w:multiLevelType w:val="hybridMultilevel"/>
    <w:tmpl w:val="7A220DAC"/>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29B2FBF"/>
    <w:multiLevelType w:val="hybridMultilevel"/>
    <w:tmpl w:val="F9E2F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A86AD9"/>
    <w:multiLevelType w:val="hybridMultilevel"/>
    <w:tmpl w:val="92F8D5F0"/>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D12365"/>
    <w:multiLevelType w:val="hybridMultilevel"/>
    <w:tmpl w:val="1876C504"/>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D51D0C"/>
    <w:multiLevelType w:val="hybridMultilevel"/>
    <w:tmpl w:val="F9DCF39A"/>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6367121"/>
    <w:multiLevelType w:val="hybridMultilevel"/>
    <w:tmpl w:val="824892EA"/>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7EC09DD"/>
    <w:multiLevelType w:val="hybridMultilevel"/>
    <w:tmpl w:val="09AEC376"/>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8619B9"/>
    <w:multiLevelType w:val="hybridMultilevel"/>
    <w:tmpl w:val="2E863B60"/>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5592E21"/>
    <w:multiLevelType w:val="hybridMultilevel"/>
    <w:tmpl w:val="B37C3188"/>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713E5E"/>
    <w:multiLevelType w:val="hybridMultilevel"/>
    <w:tmpl w:val="9F3A0474"/>
    <w:lvl w:ilvl="0" w:tplc="92F65F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5C01A30"/>
    <w:multiLevelType w:val="hybridMultilevel"/>
    <w:tmpl w:val="92346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61A1C3A"/>
    <w:multiLevelType w:val="hybridMultilevel"/>
    <w:tmpl w:val="26A2A020"/>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F206D4"/>
    <w:multiLevelType w:val="hybridMultilevel"/>
    <w:tmpl w:val="375C3FF6"/>
    <w:lvl w:ilvl="0" w:tplc="92F65F20">
      <w:start w:val="1"/>
      <w:numFmt w:val="bullet"/>
      <w:lvlText w:val=""/>
      <w:lvlJc w:val="left"/>
      <w:pPr>
        <w:ind w:left="720" w:hanging="360"/>
      </w:pPr>
      <w:rPr>
        <w:rFonts w:ascii="Wingdings" w:hAnsi="Wingdings" w:hint="default"/>
        <w:sz w:val="24"/>
        <w:szCs w:val="24"/>
      </w:rPr>
    </w:lvl>
    <w:lvl w:ilvl="1" w:tplc="DC7E7B60">
      <w:start w:val="1"/>
      <w:numFmt w:val="decimal"/>
      <w:lvlText w:val="%2."/>
      <w:lvlJc w:val="left"/>
      <w:pPr>
        <w:ind w:left="1440" w:hanging="360"/>
      </w:pPr>
      <w:rPr>
        <w:rStyle w:val="Strong"/>
        <w:b w:val="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D56608"/>
    <w:multiLevelType w:val="hybridMultilevel"/>
    <w:tmpl w:val="F96438E2"/>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8540EB"/>
    <w:multiLevelType w:val="hybridMultilevel"/>
    <w:tmpl w:val="652A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AD16775"/>
    <w:multiLevelType w:val="hybridMultilevel"/>
    <w:tmpl w:val="90B26E1A"/>
    <w:lvl w:ilvl="0" w:tplc="92F65F2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FE55647"/>
    <w:multiLevelType w:val="hybridMultilevel"/>
    <w:tmpl w:val="572A4382"/>
    <w:lvl w:ilvl="0" w:tplc="92F65F20">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2"/>
  </w:num>
  <w:num w:numId="3">
    <w:abstractNumId w:val="59"/>
  </w:num>
  <w:num w:numId="4">
    <w:abstractNumId w:val="1"/>
  </w:num>
  <w:num w:numId="5">
    <w:abstractNumId w:val="37"/>
  </w:num>
  <w:num w:numId="6">
    <w:abstractNumId w:val="3"/>
  </w:num>
  <w:num w:numId="7">
    <w:abstractNumId w:val="13"/>
  </w:num>
  <w:num w:numId="8">
    <w:abstractNumId w:val="74"/>
  </w:num>
  <w:num w:numId="9">
    <w:abstractNumId w:val="23"/>
  </w:num>
  <w:num w:numId="10">
    <w:abstractNumId w:val="14"/>
  </w:num>
  <w:num w:numId="11">
    <w:abstractNumId w:val="48"/>
  </w:num>
  <w:num w:numId="12">
    <w:abstractNumId w:val="15"/>
  </w:num>
  <w:num w:numId="13">
    <w:abstractNumId w:val="24"/>
  </w:num>
  <w:num w:numId="14">
    <w:abstractNumId w:val="19"/>
  </w:num>
  <w:num w:numId="15">
    <w:abstractNumId w:val="61"/>
  </w:num>
  <w:num w:numId="16">
    <w:abstractNumId w:val="60"/>
  </w:num>
  <w:num w:numId="17">
    <w:abstractNumId w:val="41"/>
  </w:num>
  <w:num w:numId="18">
    <w:abstractNumId w:val="35"/>
  </w:num>
  <w:num w:numId="19">
    <w:abstractNumId w:val="34"/>
  </w:num>
  <w:num w:numId="20">
    <w:abstractNumId w:val="40"/>
  </w:num>
  <w:num w:numId="21">
    <w:abstractNumId w:val="56"/>
  </w:num>
  <w:num w:numId="22">
    <w:abstractNumId w:val="8"/>
  </w:num>
  <w:num w:numId="23">
    <w:abstractNumId w:val="18"/>
  </w:num>
  <w:num w:numId="24">
    <w:abstractNumId w:val="73"/>
  </w:num>
  <w:num w:numId="25">
    <w:abstractNumId w:val="71"/>
  </w:num>
  <w:num w:numId="26">
    <w:abstractNumId w:val="69"/>
  </w:num>
  <w:num w:numId="27">
    <w:abstractNumId w:val="30"/>
  </w:num>
  <w:num w:numId="28">
    <w:abstractNumId w:val="57"/>
  </w:num>
  <w:num w:numId="29">
    <w:abstractNumId w:val="38"/>
  </w:num>
  <w:num w:numId="30">
    <w:abstractNumId w:val="62"/>
  </w:num>
  <w:num w:numId="31">
    <w:abstractNumId w:val="66"/>
  </w:num>
  <w:num w:numId="32">
    <w:abstractNumId w:val="64"/>
  </w:num>
  <w:num w:numId="33">
    <w:abstractNumId w:val="31"/>
  </w:num>
  <w:num w:numId="34">
    <w:abstractNumId w:val="22"/>
  </w:num>
  <w:num w:numId="35">
    <w:abstractNumId w:val="11"/>
  </w:num>
  <w:num w:numId="36">
    <w:abstractNumId w:val="26"/>
  </w:num>
  <w:num w:numId="37">
    <w:abstractNumId w:val="65"/>
  </w:num>
  <w:num w:numId="38">
    <w:abstractNumId w:val="68"/>
  </w:num>
  <w:num w:numId="39">
    <w:abstractNumId w:val="5"/>
  </w:num>
  <w:num w:numId="40">
    <w:abstractNumId w:val="27"/>
  </w:num>
  <w:num w:numId="41">
    <w:abstractNumId w:val="20"/>
  </w:num>
  <w:num w:numId="42">
    <w:abstractNumId w:val="46"/>
  </w:num>
  <w:num w:numId="43">
    <w:abstractNumId w:val="63"/>
  </w:num>
  <w:num w:numId="44">
    <w:abstractNumId w:val="36"/>
  </w:num>
  <w:num w:numId="45">
    <w:abstractNumId w:val="58"/>
  </w:num>
  <w:num w:numId="46">
    <w:abstractNumId w:val="7"/>
  </w:num>
  <w:num w:numId="47">
    <w:abstractNumId w:val="67"/>
  </w:num>
  <w:num w:numId="48">
    <w:abstractNumId w:val="43"/>
  </w:num>
  <w:num w:numId="49">
    <w:abstractNumId w:val="17"/>
  </w:num>
  <w:num w:numId="50">
    <w:abstractNumId w:val="72"/>
  </w:num>
  <w:num w:numId="51">
    <w:abstractNumId w:val="49"/>
  </w:num>
  <w:num w:numId="52">
    <w:abstractNumId w:val="32"/>
  </w:num>
  <w:num w:numId="53">
    <w:abstractNumId w:val="9"/>
  </w:num>
  <w:num w:numId="54">
    <w:abstractNumId w:val="16"/>
  </w:num>
  <w:num w:numId="55">
    <w:abstractNumId w:val="2"/>
  </w:num>
  <w:num w:numId="56">
    <w:abstractNumId w:val="70"/>
  </w:num>
  <w:num w:numId="57">
    <w:abstractNumId w:val="33"/>
  </w:num>
  <w:num w:numId="58">
    <w:abstractNumId w:val="39"/>
  </w:num>
  <w:num w:numId="59">
    <w:abstractNumId w:val="53"/>
  </w:num>
  <w:num w:numId="60">
    <w:abstractNumId w:val="21"/>
  </w:num>
  <w:num w:numId="61">
    <w:abstractNumId w:val="51"/>
  </w:num>
  <w:num w:numId="62">
    <w:abstractNumId w:val="0"/>
  </w:num>
  <w:num w:numId="63">
    <w:abstractNumId w:val="44"/>
  </w:num>
  <w:num w:numId="64">
    <w:abstractNumId w:val="4"/>
  </w:num>
  <w:num w:numId="65">
    <w:abstractNumId w:val="28"/>
  </w:num>
  <w:num w:numId="66">
    <w:abstractNumId w:val="6"/>
  </w:num>
  <w:num w:numId="67">
    <w:abstractNumId w:val="47"/>
  </w:num>
  <w:num w:numId="68">
    <w:abstractNumId w:val="52"/>
  </w:num>
  <w:num w:numId="69">
    <w:abstractNumId w:val="54"/>
  </w:num>
  <w:num w:numId="70">
    <w:abstractNumId w:val="45"/>
  </w:num>
  <w:num w:numId="71">
    <w:abstractNumId w:val="55"/>
  </w:num>
  <w:num w:numId="72">
    <w:abstractNumId w:val="50"/>
  </w:num>
  <w:num w:numId="73">
    <w:abstractNumId w:val="25"/>
  </w:num>
  <w:num w:numId="74">
    <w:abstractNumId w:val="10"/>
  </w:num>
  <w:num w:numId="75">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A5"/>
    <w:rsid w:val="00010CD9"/>
    <w:rsid w:val="00075E14"/>
    <w:rsid w:val="000E0261"/>
    <w:rsid w:val="000F3811"/>
    <w:rsid w:val="00103708"/>
    <w:rsid w:val="0018150A"/>
    <w:rsid w:val="001B33E9"/>
    <w:rsid w:val="002E0D79"/>
    <w:rsid w:val="00354022"/>
    <w:rsid w:val="003A57E9"/>
    <w:rsid w:val="003B6FF6"/>
    <w:rsid w:val="003C0D0F"/>
    <w:rsid w:val="003C0E0D"/>
    <w:rsid w:val="003F7FE7"/>
    <w:rsid w:val="00461F51"/>
    <w:rsid w:val="00475F90"/>
    <w:rsid w:val="005303C6"/>
    <w:rsid w:val="005634FF"/>
    <w:rsid w:val="00575B5D"/>
    <w:rsid w:val="005B0498"/>
    <w:rsid w:val="0060292D"/>
    <w:rsid w:val="00630DA9"/>
    <w:rsid w:val="006540D1"/>
    <w:rsid w:val="006602F4"/>
    <w:rsid w:val="00750653"/>
    <w:rsid w:val="008464FB"/>
    <w:rsid w:val="00864B77"/>
    <w:rsid w:val="008E1998"/>
    <w:rsid w:val="00970D2A"/>
    <w:rsid w:val="00975B2F"/>
    <w:rsid w:val="0099078B"/>
    <w:rsid w:val="009B7197"/>
    <w:rsid w:val="009C157C"/>
    <w:rsid w:val="009F43C9"/>
    <w:rsid w:val="00A61A2D"/>
    <w:rsid w:val="00AC5635"/>
    <w:rsid w:val="00AE3809"/>
    <w:rsid w:val="00B87B3D"/>
    <w:rsid w:val="00BA2ADC"/>
    <w:rsid w:val="00BC68A5"/>
    <w:rsid w:val="00BE257F"/>
    <w:rsid w:val="00C62575"/>
    <w:rsid w:val="00C67D01"/>
    <w:rsid w:val="00C82E49"/>
    <w:rsid w:val="00CB2E16"/>
    <w:rsid w:val="00CB64F7"/>
    <w:rsid w:val="00CC67EA"/>
    <w:rsid w:val="00CD59EE"/>
    <w:rsid w:val="00D2408B"/>
    <w:rsid w:val="00D60C2E"/>
    <w:rsid w:val="00DB2254"/>
    <w:rsid w:val="00DB3134"/>
    <w:rsid w:val="00DE3263"/>
    <w:rsid w:val="00E23590"/>
    <w:rsid w:val="00E75383"/>
    <w:rsid w:val="00EB6DEB"/>
    <w:rsid w:val="00F3689A"/>
    <w:rsid w:val="00F42212"/>
    <w:rsid w:val="00F4245F"/>
    <w:rsid w:val="00F55757"/>
    <w:rsid w:val="00F61872"/>
    <w:rsid w:val="00F6332A"/>
    <w:rsid w:val="00F66BA7"/>
    <w:rsid w:val="00F73585"/>
    <w:rsid w:val="00F876AA"/>
    <w:rsid w:val="00FA64DE"/>
    <w:rsid w:val="00FE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A5"/>
    <w:rPr>
      <w:sz w:val="22"/>
    </w:rPr>
  </w:style>
  <w:style w:type="paragraph" w:styleId="Heading1">
    <w:name w:val="heading 1"/>
    <w:basedOn w:val="Normal"/>
    <w:next w:val="Normal"/>
    <w:link w:val="Heading1Char"/>
    <w:uiPriority w:val="9"/>
    <w:qFormat/>
    <w:rsid w:val="00BC68A5"/>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864B77"/>
    <w:pPr>
      <w:spacing w:before="240" w:after="80"/>
      <w:jc w:val="left"/>
      <w:outlineLvl w:val="1"/>
    </w:pPr>
    <w:rPr>
      <w:b/>
      <w:spacing w:val="5"/>
      <w:sz w:val="28"/>
      <w:szCs w:val="28"/>
    </w:rPr>
  </w:style>
  <w:style w:type="paragraph" w:styleId="Heading3">
    <w:name w:val="heading 3"/>
    <w:basedOn w:val="Normal"/>
    <w:next w:val="Normal"/>
    <w:link w:val="Heading3Char"/>
    <w:uiPriority w:val="9"/>
    <w:unhideWhenUsed/>
    <w:qFormat/>
    <w:rsid w:val="00B87B3D"/>
    <w:pPr>
      <w:jc w:val="left"/>
      <w:outlineLvl w:val="2"/>
    </w:pPr>
    <w:rPr>
      <w:rFonts w:ascii="Helvetica" w:hAnsi="Helvetica"/>
      <w:b/>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A5"/>
    <w:rPr>
      <w:b/>
      <w:smallCaps/>
      <w:spacing w:val="5"/>
      <w:sz w:val="32"/>
      <w:szCs w:val="32"/>
    </w:rPr>
  </w:style>
  <w:style w:type="character" w:customStyle="1" w:styleId="Heading2Char">
    <w:name w:val="Heading 2 Char"/>
    <w:basedOn w:val="DefaultParagraphFont"/>
    <w:link w:val="Heading2"/>
    <w:uiPriority w:val="9"/>
    <w:rsid w:val="00864B77"/>
    <w:rPr>
      <w:b/>
      <w:spacing w:val="5"/>
      <w:sz w:val="28"/>
      <w:szCs w:val="28"/>
    </w:rPr>
  </w:style>
  <w:style w:type="character" w:customStyle="1" w:styleId="Heading3Char">
    <w:name w:val="Heading 3 Char"/>
    <w:basedOn w:val="DefaultParagraphFont"/>
    <w:link w:val="Heading3"/>
    <w:uiPriority w:val="9"/>
    <w:rsid w:val="00B87B3D"/>
    <w:rPr>
      <w:rFonts w:ascii="Helvetica" w:hAnsi="Helvetica"/>
      <w:b/>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B2E16"/>
    <w:rPr>
      <w:rFonts w:ascii="Helvetica" w:hAnsi="Helvetica"/>
      <w:b/>
      <w:caps w:val="0"/>
      <w:smallCaps w:val="0"/>
      <w:strike w:val="0"/>
      <w:dstrike w:val="0"/>
      <w:vanish w:val="0"/>
      <w:sz w:val="24"/>
      <w:szCs w:val="24"/>
      <w:vertAlign w:val="baseline"/>
    </w:rPr>
  </w:style>
  <w:style w:type="character" w:styleId="Emphasis">
    <w:name w:val="Emphasis"/>
    <w:uiPriority w:val="20"/>
    <w:qFormat/>
    <w:rsid w:val="00CB64F7"/>
    <w:rPr>
      <w:rFonts w:ascii="Helvetica" w:hAnsi="Helvetica"/>
      <w:i/>
      <w:sz w:val="24"/>
      <w:szCs w:val="24"/>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BC68A5"/>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BC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0A"/>
    <w:rPr>
      <w:color w:val="0000FF" w:themeColor="hyperlink"/>
      <w:u w:val="single"/>
    </w:rPr>
  </w:style>
  <w:style w:type="paragraph" w:styleId="BalloonText">
    <w:name w:val="Balloon Text"/>
    <w:basedOn w:val="Normal"/>
    <w:link w:val="BalloonTextChar"/>
    <w:uiPriority w:val="99"/>
    <w:semiHidden/>
    <w:unhideWhenUsed/>
    <w:rsid w:val="00E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A5"/>
    <w:rPr>
      <w:sz w:val="22"/>
    </w:rPr>
  </w:style>
  <w:style w:type="paragraph" w:styleId="Heading1">
    <w:name w:val="heading 1"/>
    <w:basedOn w:val="Normal"/>
    <w:next w:val="Normal"/>
    <w:link w:val="Heading1Char"/>
    <w:uiPriority w:val="9"/>
    <w:qFormat/>
    <w:rsid w:val="00BC68A5"/>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864B77"/>
    <w:pPr>
      <w:spacing w:before="240" w:after="80"/>
      <w:jc w:val="left"/>
      <w:outlineLvl w:val="1"/>
    </w:pPr>
    <w:rPr>
      <w:b/>
      <w:spacing w:val="5"/>
      <w:sz w:val="28"/>
      <w:szCs w:val="28"/>
    </w:rPr>
  </w:style>
  <w:style w:type="paragraph" w:styleId="Heading3">
    <w:name w:val="heading 3"/>
    <w:basedOn w:val="Normal"/>
    <w:next w:val="Normal"/>
    <w:link w:val="Heading3Char"/>
    <w:uiPriority w:val="9"/>
    <w:unhideWhenUsed/>
    <w:qFormat/>
    <w:rsid w:val="00B87B3D"/>
    <w:pPr>
      <w:jc w:val="left"/>
      <w:outlineLvl w:val="2"/>
    </w:pPr>
    <w:rPr>
      <w:rFonts w:ascii="Helvetica" w:hAnsi="Helvetica"/>
      <w:b/>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A5"/>
    <w:rPr>
      <w:b/>
      <w:smallCaps/>
      <w:spacing w:val="5"/>
      <w:sz w:val="32"/>
      <w:szCs w:val="32"/>
    </w:rPr>
  </w:style>
  <w:style w:type="character" w:customStyle="1" w:styleId="Heading2Char">
    <w:name w:val="Heading 2 Char"/>
    <w:basedOn w:val="DefaultParagraphFont"/>
    <w:link w:val="Heading2"/>
    <w:uiPriority w:val="9"/>
    <w:rsid w:val="00864B77"/>
    <w:rPr>
      <w:b/>
      <w:spacing w:val="5"/>
      <w:sz w:val="28"/>
      <w:szCs w:val="28"/>
    </w:rPr>
  </w:style>
  <w:style w:type="character" w:customStyle="1" w:styleId="Heading3Char">
    <w:name w:val="Heading 3 Char"/>
    <w:basedOn w:val="DefaultParagraphFont"/>
    <w:link w:val="Heading3"/>
    <w:uiPriority w:val="9"/>
    <w:rsid w:val="00B87B3D"/>
    <w:rPr>
      <w:rFonts w:ascii="Helvetica" w:hAnsi="Helvetica"/>
      <w:b/>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B2E16"/>
    <w:rPr>
      <w:rFonts w:ascii="Helvetica" w:hAnsi="Helvetica"/>
      <w:b/>
      <w:caps w:val="0"/>
      <w:smallCaps w:val="0"/>
      <w:strike w:val="0"/>
      <w:dstrike w:val="0"/>
      <w:vanish w:val="0"/>
      <w:sz w:val="24"/>
      <w:szCs w:val="24"/>
      <w:vertAlign w:val="baseline"/>
    </w:rPr>
  </w:style>
  <w:style w:type="character" w:styleId="Emphasis">
    <w:name w:val="Emphasis"/>
    <w:uiPriority w:val="20"/>
    <w:qFormat/>
    <w:rsid w:val="00CB64F7"/>
    <w:rPr>
      <w:rFonts w:ascii="Helvetica" w:hAnsi="Helvetica"/>
      <w:i/>
      <w:sz w:val="24"/>
      <w:szCs w:val="24"/>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NormalWeb">
    <w:name w:val="Normal (Web)"/>
    <w:basedOn w:val="Normal"/>
    <w:uiPriority w:val="99"/>
    <w:unhideWhenUsed/>
    <w:rsid w:val="00BC68A5"/>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BC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50A"/>
    <w:rPr>
      <w:color w:val="0000FF" w:themeColor="hyperlink"/>
      <w:u w:val="single"/>
    </w:rPr>
  </w:style>
  <w:style w:type="paragraph" w:styleId="BalloonText">
    <w:name w:val="Balloon Text"/>
    <w:basedOn w:val="Normal"/>
    <w:link w:val="BalloonTextChar"/>
    <w:uiPriority w:val="99"/>
    <w:semiHidden/>
    <w:unhideWhenUsed/>
    <w:rsid w:val="00E23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8895">
      <w:bodyDiv w:val="1"/>
      <w:marLeft w:val="0"/>
      <w:marRight w:val="0"/>
      <w:marTop w:val="0"/>
      <w:marBottom w:val="0"/>
      <w:divBdr>
        <w:top w:val="none" w:sz="0" w:space="0" w:color="auto"/>
        <w:left w:val="none" w:sz="0" w:space="0" w:color="auto"/>
        <w:bottom w:val="none" w:sz="0" w:space="0" w:color="auto"/>
        <w:right w:val="none" w:sz="0" w:space="0" w:color="auto"/>
      </w:divBdr>
      <w:divsChild>
        <w:div w:id="293144907">
          <w:marLeft w:val="1440"/>
          <w:marRight w:val="0"/>
          <w:marTop w:val="0"/>
          <w:marBottom w:val="240"/>
          <w:divBdr>
            <w:top w:val="none" w:sz="0" w:space="0" w:color="auto"/>
            <w:left w:val="none" w:sz="0" w:space="0" w:color="auto"/>
            <w:bottom w:val="none" w:sz="0" w:space="0" w:color="auto"/>
            <w:right w:val="none" w:sz="0" w:space="0" w:color="auto"/>
          </w:divBdr>
        </w:div>
      </w:divsChild>
    </w:div>
    <w:div w:id="256868090">
      <w:bodyDiv w:val="1"/>
      <w:marLeft w:val="0"/>
      <w:marRight w:val="0"/>
      <w:marTop w:val="0"/>
      <w:marBottom w:val="0"/>
      <w:divBdr>
        <w:top w:val="none" w:sz="0" w:space="0" w:color="auto"/>
        <w:left w:val="none" w:sz="0" w:space="0" w:color="auto"/>
        <w:bottom w:val="none" w:sz="0" w:space="0" w:color="auto"/>
        <w:right w:val="none" w:sz="0" w:space="0" w:color="auto"/>
      </w:divBdr>
    </w:div>
    <w:div w:id="314991676">
      <w:bodyDiv w:val="1"/>
      <w:marLeft w:val="0"/>
      <w:marRight w:val="0"/>
      <w:marTop w:val="0"/>
      <w:marBottom w:val="0"/>
      <w:divBdr>
        <w:top w:val="none" w:sz="0" w:space="0" w:color="auto"/>
        <w:left w:val="none" w:sz="0" w:space="0" w:color="auto"/>
        <w:bottom w:val="none" w:sz="0" w:space="0" w:color="auto"/>
        <w:right w:val="none" w:sz="0" w:space="0" w:color="auto"/>
      </w:divBdr>
      <w:divsChild>
        <w:div w:id="525338413">
          <w:marLeft w:val="720"/>
          <w:marRight w:val="0"/>
          <w:marTop w:val="0"/>
          <w:marBottom w:val="120"/>
          <w:divBdr>
            <w:top w:val="none" w:sz="0" w:space="0" w:color="auto"/>
            <w:left w:val="none" w:sz="0" w:space="0" w:color="auto"/>
            <w:bottom w:val="none" w:sz="0" w:space="0" w:color="auto"/>
            <w:right w:val="none" w:sz="0" w:space="0" w:color="auto"/>
          </w:divBdr>
        </w:div>
        <w:div w:id="1090857272">
          <w:marLeft w:val="1440"/>
          <w:marRight w:val="0"/>
          <w:marTop w:val="0"/>
          <w:marBottom w:val="240"/>
          <w:divBdr>
            <w:top w:val="none" w:sz="0" w:space="0" w:color="auto"/>
            <w:left w:val="none" w:sz="0" w:space="0" w:color="auto"/>
            <w:bottom w:val="none" w:sz="0" w:space="0" w:color="auto"/>
            <w:right w:val="none" w:sz="0" w:space="0" w:color="auto"/>
          </w:divBdr>
        </w:div>
        <w:div w:id="1910075830">
          <w:marLeft w:val="720"/>
          <w:marRight w:val="0"/>
          <w:marTop w:val="0"/>
          <w:marBottom w:val="120"/>
          <w:divBdr>
            <w:top w:val="none" w:sz="0" w:space="0" w:color="auto"/>
            <w:left w:val="none" w:sz="0" w:space="0" w:color="auto"/>
            <w:bottom w:val="none" w:sz="0" w:space="0" w:color="auto"/>
            <w:right w:val="none" w:sz="0" w:space="0" w:color="auto"/>
          </w:divBdr>
        </w:div>
        <w:div w:id="1132748562">
          <w:marLeft w:val="1555"/>
          <w:marRight w:val="0"/>
          <w:marTop w:val="0"/>
          <w:marBottom w:val="120"/>
          <w:divBdr>
            <w:top w:val="none" w:sz="0" w:space="0" w:color="auto"/>
            <w:left w:val="none" w:sz="0" w:space="0" w:color="auto"/>
            <w:bottom w:val="none" w:sz="0" w:space="0" w:color="auto"/>
            <w:right w:val="none" w:sz="0" w:space="0" w:color="auto"/>
          </w:divBdr>
        </w:div>
        <w:div w:id="1191919488">
          <w:marLeft w:val="720"/>
          <w:marRight w:val="0"/>
          <w:marTop w:val="0"/>
          <w:marBottom w:val="120"/>
          <w:divBdr>
            <w:top w:val="none" w:sz="0" w:space="0" w:color="auto"/>
            <w:left w:val="none" w:sz="0" w:space="0" w:color="auto"/>
            <w:bottom w:val="none" w:sz="0" w:space="0" w:color="auto"/>
            <w:right w:val="none" w:sz="0" w:space="0" w:color="auto"/>
          </w:divBdr>
        </w:div>
        <w:div w:id="982124391">
          <w:marLeft w:val="1440"/>
          <w:marRight w:val="0"/>
          <w:marTop w:val="0"/>
          <w:marBottom w:val="0"/>
          <w:divBdr>
            <w:top w:val="none" w:sz="0" w:space="0" w:color="auto"/>
            <w:left w:val="none" w:sz="0" w:space="0" w:color="auto"/>
            <w:bottom w:val="none" w:sz="0" w:space="0" w:color="auto"/>
            <w:right w:val="none" w:sz="0" w:space="0" w:color="auto"/>
          </w:divBdr>
        </w:div>
        <w:div w:id="998583318">
          <w:marLeft w:val="1440"/>
          <w:marRight w:val="0"/>
          <w:marTop w:val="0"/>
          <w:marBottom w:val="0"/>
          <w:divBdr>
            <w:top w:val="none" w:sz="0" w:space="0" w:color="auto"/>
            <w:left w:val="none" w:sz="0" w:space="0" w:color="auto"/>
            <w:bottom w:val="none" w:sz="0" w:space="0" w:color="auto"/>
            <w:right w:val="none" w:sz="0" w:space="0" w:color="auto"/>
          </w:divBdr>
        </w:div>
        <w:div w:id="124812247">
          <w:marLeft w:val="1440"/>
          <w:marRight w:val="0"/>
          <w:marTop w:val="0"/>
          <w:marBottom w:val="0"/>
          <w:divBdr>
            <w:top w:val="none" w:sz="0" w:space="0" w:color="auto"/>
            <w:left w:val="none" w:sz="0" w:space="0" w:color="auto"/>
            <w:bottom w:val="none" w:sz="0" w:space="0" w:color="auto"/>
            <w:right w:val="none" w:sz="0" w:space="0" w:color="auto"/>
          </w:divBdr>
        </w:div>
      </w:divsChild>
    </w:div>
    <w:div w:id="350962053">
      <w:bodyDiv w:val="1"/>
      <w:marLeft w:val="0"/>
      <w:marRight w:val="0"/>
      <w:marTop w:val="0"/>
      <w:marBottom w:val="0"/>
      <w:divBdr>
        <w:top w:val="none" w:sz="0" w:space="0" w:color="auto"/>
        <w:left w:val="none" w:sz="0" w:space="0" w:color="auto"/>
        <w:bottom w:val="none" w:sz="0" w:space="0" w:color="auto"/>
        <w:right w:val="none" w:sz="0" w:space="0" w:color="auto"/>
      </w:divBdr>
    </w:div>
    <w:div w:id="663167093">
      <w:bodyDiv w:val="1"/>
      <w:marLeft w:val="0"/>
      <w:marRight w:val="0"/>
      <w:marTop w:val="0"/>
      <w:marBottom w:val="0"/>
      <w:divBdr>
        <w:top w:val="none" w:sz="0" w:space="0" w:color="auto"/>
        <w:left w:val="none" w:sz="0" w:space="0" w:color="auto"/>
        <w:bottom w:val="none" w:sz="0" w:space="0" w:color="auto"/>
        <w:right w:val="none" w:sz="0" w:space="0" w:color="auto"/>
      </w:divBdr>
      <w:divsChild>
        <w:div w:id="334462522">
          <w:marLeft w:val="605"/>
          <w:marRight w:val="0"/>
          <w:marTop w:val="0"/>
          <w:marBottom w:val="0"/>
          <w:divBdr>
            <w:top w:val="none" w:sz="0" w:space="0" w:color="auto"/>
            <w:left w:val="none" w:sz="0" w:space="0" w:color="auto"/>
            <w:bottom w:val="none" w:sz="0" w:space="0" w:color="auto"/>
            <w:right w:val="none" w:sz="0" w:space="0" w:color="auto"/>
          </w:divBdr>
        </w:div>
        <w:div w:id="1422796325">
          <w:marLeft w:val="605"/>
          <w:marRight w:val="0"/>
          <w:marTop w:val="0"/>
          <w:marBottom w:val="0"/>
          <w:divBdr>
            <w:top w:val="none" w:sz="0" w:space="0" w:color="auto"/>
            <w:left w:val="none" w:sz="0" w:space="0" w:color="auto"/>
            <w:bottom w:val="none" w:sz="0" w:space="0" w:color="auto"/>
            <w:right w:val="none" w:sz="0" w:space="0" w:color="auto"/>
          </w:divBdr>
        </w:div>
        <w:div w:id="1904556503">
          <w:marLeft w:val="893"/>
          <w:marRight w:val="0"/>
          <w:marTop w:val="0"/>
          <w:marBottom w:val="0"/>
          <w:divBdr>
            <w:top w:val="none" w:sz="0" w:space="0" w:color="auto"/>
            <w:left w:val="none" w:sz="0" w:space="0" w:color="auto"/>
            <w:bottom w:val="none" w:sz="0" w:space="0" w:color="auto"/>
            <w:right w:val="none" w:sz="0" w:space="0" w:color="auto"/>
          </w:divBdr>
        </w:div>
        <w:div w:id="1653944959">
          <w:marLeft w:val="893"/>
          <w:marRight w:val="0"/>
          <w:marTop w:val="0"/>
          <w:marBottom w:val="240"/>
          <w:divBdr>
            <w:top w:val="none" w:sz="0" w:space="0" w:color="auto"/>
            <w:left w:val="none" w:sz="0" w:space="0" w:color="auto"/>
            <w:bottom w:val="none" w:sz="0" w:space="0" w:color="auto"/>
            <w:right w:val="none" w:sz="0" w:space="0" w:color="auto"/>
          </w:divBdr>
        </w:div>
        <w:div w:id="144974365">
          <w:marLeft w:val="605"/>
          <w:marRight w:val="0"/>
          <w:marTop w:val="0"/>
          <w:marBottom w:val="0"/>
          <w:divBdr>
            <w:top w:val="none" w:sz="0" w:space="0" w:color="auto"/>
            <w:left w:val="none" w:sz="0" w:space="0" w:color="auto"/>
            <w:bottom w:val="none" w:sz="0" w:space="0" w:color="auto"/>
            <w:right w:val="none" w:sz="0" w:space="0" w:color="auto"/>
          </w:divBdr>
        </w:div>
        <w:div w:id="187060610">
          <w:marLeft w:val="893"/>
          <w:marRight w:val="0"/>
          <w:marTop w:val="0"/>
          <w:marBottom w:val="0"/>
          <w:divBdr>
            <w:top w:val="none" w:sz="0" w:space="0" w:color="auto"/>
            <w:left w:val="none" w:sz="0" w:space="0" w:color="auto"/>
            <w:bottom w:val="none" w:sz="0" w:space="0" w:color="auto"/>
            <w:right w:val="none" w:sz="0" w:space="0" w:color="auto"/>
          </w:divBdr>
        </w:div>
        <w:div w:id="746684385">
          <w:marLeft w:val="893"/>
          <w:marRight w:val="0"/>
          <w:marTop w:val="0"/>
          <w:marBottom w:val="0"/>
          <w:divBdr>
            <w:top w:val="none" w:sz="0" w:space="0" w:color="auto"/>
            <w:left w:val="none" w:sz="0" w:space="0" w:color="auto"/>
            <w:bottom w:val="none" w:sz="0" w:space="0" w:color="auto"/>
            <w:right w:val="none" w:sz="0" w:space="0" w:color="auto"/>
          </w:divBdr>
        </w:div>
        <w:div w:id="1646230528">
          <w:marLeft w:val="893"/>
          <w:marRight w:val="0"/>
          <w:marTop w:val="0"/>
          <w:marBottom w:val="0"/>
          <w:divBdr>
            <w:top w:val="none" w:sz="0" w:space="0" w:color="auto"/>
            <w:left w:val="none" w:sz="0" w:space="0" w:color="auto"/>
            <w:bottom w:val="none" w:sz="0" w:space="0" w:color="auto"/>
            <w:right w:val="none" w:sz="0" w:space="0" w:color="auto"/>
          </w:divBdr>
        </w:div>
        <w:div w:id="1728258652">
          <w:marLeft w:val="893"/>
          <w:marRight w:val="0"/>
          <w:marTop w:val="0"/>
          <w:marBottom w:val="0"/>
          <w:divBdr>
            <w:top w:val="none" w:sz="0" w:space="0" w:color="auto"/>
            <w:left w:val="none" w:sz="0" w:space="0" w:color="auto"/>
            <w:bottom w:val="none" w:sz="0" w:space="0" w:color="auto"/>
            <w:right w:val="none" w:sz="0" w:space="0" w:color="auto"/>
          </w:divBdr>
        </w:div>
      </w:divsChild>
    </w:div>
    <w:div w:id="1013262122">
      <w:bodyDiv w:val="1"/>
      <w:marLeft w:val="0"/>
      <w:marRight w:val="0"/>
      <w:marTop w:val="0"/>
      <w:marBottom w:val="0"/>
      <w:divBdr>
        <w:top w:val="none" w:sz="0" w:space="0" w:color="auto"/>
        <w:left w:val="none" w:sz="0" w:space="0" w:color="auto"/>
        <w:bottom w:val="none" w:sz="0" w:space="0" w:color="auto"/>
        <w:right w:val="none" w:sz="0" w:space="0" w:color="auto"/>
      </w:divBdr>
    </w:div>
    <w:div w:id="1089345956">
      <w:bodyDiv w:val="1"/>
      <w:marLeft w:val="0"/>
      <w:marRight w:val="0"/>
      <w:marTop w:val="0"/>
      <w:marBottom w:val="0"/>
      <w:divBdr>
        <w:top w:val="none" w:sz="0" w:space="0" w:color="auto"/>
        <w:left w:val="none" w:sz="0" w:space="0" w:color="auto"/>
        <w:bottom w:val="none" w:sz="0" w:space="0" w:color="auto"/>
        <w:right w:val="none" w:sz="0" w:space="0" w:color="auto"/>
      </w:divBdr>
    </w:div>
    <w:div w:id="1226254720">
      <w:bodyDiv w:val="1"/>
      <w:marLeft w:val="0"/>
      <w:marRight w:val="0"/>
      <w:marTop w:val="0"/>
      <w:marBottom w:val="0"/>
      <w:divBdr>
        <w:top w:val="none" w:sz="0" w:space="0" w:color="auto"/>
        <w:left w:val="none" w:sz="0" w:space="0" w:color="auto"/>
        <w:bottom w:val="none" w:sz="0" w:space="0" w:color="auto"/>
        <w:right w:val="none" w:sz="0" w:space="0" w:color="auto"/>
      </w:divBdr>
      <w:divsChild>
        <w:div w:id="1499072749">
          <w:marLeft w:val="605"/>
          <w:marRight w:val="0"/>
          <w:marTop w:val="0"/>
          <w:marBottom w:val="240"/>
          <w:divBdr>
            <w:top w:val="none" w:sz="0" w:space="0" w:color="auto"/>
            <w:left w:val="none" w:sz="0" w:space="0" w:color="auto"/>
            <w:bottom w:val="none" w:sz="0" w:space="0" w:color="auto"/>
            <w:right w:val="none" w:sz="0" w:space="0" w:color="auto"/>
          </w:divBdr>
        </w:div>
        <w:div w:id="1666085095">
          <w:marLeft w:val="605"/>
          <w:marRight w:val="0"/>
          <w:marTop w:val="0"/>
          <w:marBottom w:val="240"/>
          <w:divBdr>
            <w:top w:val="none" w:sz="0" w:space="0" w:color="auto"/>
            <w:left w:val="none" w:sz="0" w:space="0" w:color="auto"/>
            <w:bottom w:val="none" w:sz="0" w:space="0" w:color="auto"/>
            <w:right w:val="none" w:sz="0" w:space="0" w:color="auto"/>
          </w:divBdr>
        </w:div>
        <w:div w:id="1104571418">
          <w:marLeft w:val="605"/>
          <w:marRight w:val="0"/>
          <w:marTop w:val="0"/>
          <w:marBottom w:val="240"/>
          <w:divBdr>
            <w:top w:val="none" w:sz="0" w:space="0" w:color="auto"/>
            <w:left w:val="none" w:sz="0" w:space="0" w:color="auto"/>
            <w:bottom w:val="none" w:sz="0" w:space="0" w:color="auto"/>
            <w:right w:val="none" w:sz="0" w:space="0" w:color="auto"/>
          </w:divBdr>
        </w:div>
        <w:div w:id="55780584">
          <w:marLeft w:val="605"/>
          <w:marRight w:val="0"/>
          <w:marTop w:val="0"/>
          <w:marBottom w:val="240"/>
          <w:divBdr>
            <w:top w:val="none" w:sz="0" w:space="0" w:color="auto"/>
            <w:left w:val="none" w:sz="0" w:space="0" w:color="auto"/>
            <w:bottom w:val="none" w:sz="0" w:space="0" w:color="auto"/>
            <w:right w:val="none" w:sz="0" w:space="0" w:color="auto"/>
          </w:divBdr>
        </w:div>
        <w:div w:id="347416087">
          <w:marLeft w:val="605"/>
          <w:marRight w:val="0"/>
          <w:marTop w:val="0"/>
          <w:marBottom w:val="240"/>
          <w:divBdr>
            <w:top w:val="none" w:sz="0" w:space="0" w:color="auto"/>
            <w:left w:val="none" w:sz="0" w:space="0" w:color="auto"/>
            <w:bottom w:val="none" w:sz="0" w:space="0" w:color="auto"/>
            <w:right w:val="none" w:sz="0" w:space="0" w:color="auto"/>
          </w:divBdr>
        </w:div>
      </w:divsChild>
    </w:div>
    <w:div w:id="1632512898">
      <w:bodyDiv w:val="1"/>
      <w:marLeft w:val="0"/>
      <w:marRight w:val="0"/>
      <w:marTop w:val="0"/>
      <w:marBottom w:val="0"/>
      <w:divBdr>
        <w:top w:val="none" w:sz="0" w:space="0" w:color="auto"/>
        <w:left w:val="none" w:sz="0" w:space="0" w:color="auto"/>
        <w:bottom w:val="none" w:sz="0" w:space="0" w:color="auto"/>
        <w:right w:val="none" w:sz="0" w:space="0" w:color="auto"/>
      </w:divBdr>
      <w:divsChild>
        <w:div w:id="1244219606">
          <w:marLeft w:val="1440"/>
          <w:marRight w:val="0"/>
          <w:marTop w:val="0"/>
          <w:marBottom w:val="240"/>
          <w:divBdr>
            <w:top w:val="none" w:sz="0" w:space="0" w:color="auto"/>
            <w:left w:val="none" w:sz="0" w:space="0" w:color="auto"/>
            <w:bottom w:val="none" w:sz="0" w:space="0" w:color="auto"/>
            <w:right w:val="none" w:sz="0" w:space="0" w:color="auto"/>
          </w:divBdr>
        </w:div>
      </w:divsChild>
    </w:div>
    <w:div w:id="1692605256">
      <w:bodyDiv w:val="1"/>
      <w:marLeft w:val="0"/>
      <w:marRight w:val="0"/>
      <w:marTop w:val="0"/>
      <w:marBottom w:val="0"/>
      <w:divBdr>
        <w:top w:val="none" w:sz="0" w:space="0" w:color="auto"/>
        <w:left w:val="none" w:sz="0" w:space="0" w:color="auto"/>
        <w:bottom w:val="none" w:sz="0" w:space="0" w:color="auto"/>
        <w:right w:val="none" w:sz="0" w:space="0" w:color="auto"/>
      </w:divBdr>
    </w:div>
    <w:div w:id="1950118788">
      <w:bodyDiv w:val="1"/>
      <w:marLeft w:val="0"/>
      <w:marRight w:val="0"/>
      <w:marTop w:val="0"/>
      <w:marBottom w:val="0"/>
      <w:divBdr>
        <w:top w:val="none" w:sz="0" w:space="0" w:color="auto"/>
        <w:left w:val="none" w:sz="0" w:space="0" w:color="auto"/>
        <w:bottom w:val="none" w:sz="0" w:space="0" w:color="auto"/>
        <w:right w:val="none" w:sz="0" w:space="0" w:color="auto"/>
      </w:divBdr>
    </w:div>
    <w:div w:id="20323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2618</TotalTime>
  <Pages>22</Pages>
  <Words>4192</Words>
  <Characters>24569</Characters>
  <Application>Microsoft Office Word</Application>
  <DocSecurity>0</DocSecurity>
  <Lines>614</Lines>
  <Paragraphs>174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Slide 1</vt:lpstr>
      <vt:lpstr>Commonwealth of Massachusetts</vt:lpstr>
      <vt:lpstr>Slide 2</vt:lpstr>
      <vt:lpstr>    Agenda</vt:lpstr>
      <vt:lpstr>Slide 3</vt:lpstr>
      <vt:lpstr>    Legislative Update</vt:lpstr>
      <vt:lpstr/>
      <vt:lpstr>Slide 4</vt:lpstr>
      <vt:lpstr>    Taskforce Membership</vt:lpstr>
      <vt:lpstr>Slide 5</vt:lpstr>
      <vt:lpstr>    Taskforce Membership (cont’d)</vt:lpstr>
      <vt:lpstr/>
      <vt:lpstr>Slide 6</vt:lpstr>
      <vt:lpstr>    Aligned Measure Set Purpose &amp; Process</vt:lpstr>
      <vt:lpstr>Slide 7</vt:lpstr>
      <vt:lpstr>    Timing of Taskforce Activities</vt:lpstr>
      <vt:lpstr/>
      <vt:lpstr>Slide 8</vt:lpstr>
      <vt:lpstr>    Agenda</vt:lpstr>
      <vt:lpstr>Slide 9</vt:lpstr>
      <vt:lpstr>    Finalize Taskforce Charter</vt:lpstr>
      <vt:lpstr>Slide 10</vt:lpstr>
      <vt:lpstr>    Agenda</vt:lpstr>
      <vt:lpstr>Slide 11</vt:lpstr>
      <vt:lpstr>    Process for Considering Non-endorsed Measures: Context</vt:lpstr>
      <vt:lpstr>Slide 12</vt:lpstr>
      <vt:lpstr>    Process for Considering Non-endorsed Measures: Context</vt:lpstr>
      <vt:lpstr>Slide 13</vt:lpstr>
      <vt:lpstr>    Process for Considering Non-endorsed Measures: Context </vt:lpstr>
      <vt:lpstr>Slide 14</vt:lpstr>
      <vt:lpstr>    Process for Considering Non-endorsed Measures: Context</vt:lpstr>
      <vt:lpstr>Slide 15</vt:lpstr>
      <vt:lpstr>    Process for Considering Non-endorsed Measures: Context</vt:lpstr>
      <vt:lpstr>Slide 16</vt:lpstr>
      <vt:lpstr>    Process for Considering Non-endorsed Measures: Context</vt:lpstr>
      <vt:lpstr>Slide 17</vt:lpstr>
      <vt:lpstr>    Process for Considering Non-endorsed Measures: Context</vt:lpstr>
      <vt:lpstr>Slide 18</vt:lpstr>
      <vt:lpstr>    Process for Considering Non-endorsed Measures: Context</vt:lpstr>
      <vt:lpstr>Slide 19</vt:lpstr>
      <vt:lpstr>    Process for Considering Non-endorsed Measures: Context</vt:lpstr>
      <vt:lpstr>Slide 20</vt:lpstr>
      <vt:lpstr>    Process for Considering Non-endorsed Measures: Context</vt:lpstr>
      <vt:lpstr>Slide 21</vt:lpstr>
      <vt:lpstr>    Process for Considering Non-endorsed Measures: Context</vt:lpstr>
      <vt:lpstr>Slide 22</vt:lpstr>
      <vt:lpstr>    Process for Considering Non-endorsed Measures: Context</vt:lpstr>
      <vt:lpstr>Slide 23</vt:lpstr>
      <vt:lpstr>    Process for Considering Non-endorsed Measures: Context </vt:lpstr>
      <vt:lpstr>Slide 24</vt:lpstr>
      <vt:lpstr>    Process for Considering Non-endorsed Measures: Context </vt:lpstr>
      <vt:lpstr>Slide 25</vt:lpstr>
      <vt:lpstr>    Proposed Criteria for Non-endorsed Measure Adoption</vt:lpstr>
      <vt:lpstr>Slide 26</vt:lpstr>
      <vt:lpstr>    Proposed Criteria for Non-endorsed Measure Adoption (cont’d)</vt:lpstr>
      <vt:lpstr>Slide 27</vt:lpstr>
      <vt:lpstr>    NQF on Reliability and Validity</vt:lpstr>
      <vt:lpstr>Slide 28</vt:lpstr>
      <vt:lpstr>    NQF on Validity</vt:lpstr>
      <vt:lpstr>Slide 29</vt:lpstr>
      <vt:lpstr>    Proposed Criteria for Non-endorsed Measure Adoption (cont’d)</vt:lpstr>
      <vt:lpstr>Slide 30</vt:lpstr>
      <vt:lpstr>    Proposed Criteria for Non-endorsed Measure Adoption vs. Measure Selection Criter</vt:lpstr>
      <vt:lpstr/>
      <vt:lpstr>Slide 31</vt:lpstr>
      <vt:lpstr>    Proposed Criteria for Non-endorsed Measure Adoption</vt:lpstr>
      <vt:lpstr>Slide 32</vt:lpstr>
      <vt:lpstr>    Agenda</vt:lpstr>
      <vt:lpstr>Slide 33</vt:lpstr>
      <vt:lpstr>    Quality Measure Catalogue: Background</vt:lpstr>
      <vt:lpstr>Slide 34</vt:lpstr>
      <vt:lpstr>    Quality Measure Catalogue: Background</vt:lpstr>
      <vt:lpstr>Slide 35</vt:lpstr>
      <vt:lpstr>    Quality Measure Catalogue: Questions</vt:lpstr>
      <vt:lpstr>Slide 36</vt:lpstr>
      <vt:lpstr>    Quality Measure Catalogue: Questions</vt:lpstr>
      <vt:lpstr>Slide 38</vt:lpstr>
      <vt:lpstr>    Overview of Quality Measures in Use in Any Global Budget Contract by Commercial </vt:lpstr>
      <vt:lpstr>Slide 40</vt:lpstr>
      <vt:lpstr>    Overview of Quality Measures in Use in at Least 10 Contracts by Commercial Payer</vt:lpstr>
      <vt:lpstr/>
      <vt:lpstr>Slide 41</vt:lpstr>
      <vt:lpstr>    Plans Use of Core and Menu Measures in Any Global Budget Contract</vt:lpstr>
      <vt:lpstr>Slide 43</vt:lpstr>
      <vt:lpstr>    Plans Report Continued Use of Non-endorsed Quality Measures and Developmental/Mo</vt:lpstr>
      <vt:lpstr>Slide 44</vt:lpstr>
      <vt:lpstr>    Annual Review Timing</vt:lpstr>
      <vt:lpstr>Slide 45</vt:lpstr>
      <vt:lpstr>    Annual Review Process</vt:lpstr>
      <vt:lpstr>Slide 46</vt:lpstr>
      <vt:lpstr>    Annual Review Process</vt:lpstr>
      <vt:lpstr>Slide 47</vt:lpstr>
      <vt:lpstr>    Annual Review Process</vt:lpstr>
      <vt:lpstr>Slide 48</vt:lpstr>
      <vt:lpstr>    Annual Review Process (cont’d)</vt:lpstr>
      <vt:lpstr>Slide 49</vt:lpstr>
      <vt:lpstr>    Annual Review Process</vt:lpstr>
      <vt:lpstr>Slide 50</vt:lpstr>
      <vt:lpstr>    Background</vt:lpstr>
      <vt:lpstr>Slide 51</vt:lpstr>
    </vt:vector>
  </TitlesOfParts>
  <Company/>
  <LinksUpToDate>false</LinksUpToDate>
  <CharactersWithSpaces>28587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2019-11-20T19:07:00Z</dcterms:created>
  <dcterms:modified xsi:type="dcterms:W3CDTF">2019-11-22T14:47:00Z</dcterms:modified>
</cp:coreProperties>
</file>