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8A5" w:rsidRPr="00BC68A5" w:rsidRDefault="00BC68A5" w:rsidP="00CA1C68">
      <w:pPr>
        <w:pStyle w:val="Heading1"/>
      </w:pPr>
      <w:r w:rsidRPr="00BC68A5">
        <w:t>Slide 1</w:t>
      </w:r>
    </w:p>
    <w:p w:rsidR="00BC68A5" w:rsidRPr="00154D2C" w:rsidRDefault="00BC68A5" w:rsidP="00CA1C68">
      <w:pPr>
        <w:spacing w:before="360"/>
        <w:jc w:val="left"/>
        <w:outlineLvl w:val="0"/>
        <w:rPr>
          <w:rFonts w:ascii="Helvetica" w:hAnsi="Helvetica"/>
          <w:sz w:val="24"/>
          <w:szCs w:val="24"/>
        </w:rPr>
      </w:pPr>
      <w:r w:rsidRPr="00154D2C">
        <w:rPr>
          <w:rFonts w:ascii="Helvetica" w:hAnsi="Helvetica"/>
          <w:sz w:val="24"/>
          <w:szCs w:val="24"/>
        </w:rPr>
        <w:t>Commonwealth of Massachusetts</w:t>
      </w:r>
    </w:p>
    <w:p w:rsidR="00BC68A5" w:rsidRPr="00154D2C" w:rsidRDefault="00BC68A5" w:rsidP="00CA1C68">
      <w:pPr>
        <w:jc w:val="left"/>
        <w:rPr>
          <w:rFonts w:ascii="Helvetica" w:hAnsi="Helvetica"/>
          <w:sz w:val="24"/>
          <w:szCs w:val="24"/>
        </w:rPr>
      </w:pPr>
      <w:r w:rsidRPr="00154D2C">
        <w:rPr>
          <w:rFonts w:ascii="Helvetica" w:hAnsi="Helvetica"/>
          <w:sz w:val="24"/>
          <w:szCs w:val="24"/>
        </w:rPr>
        <w:t>Executive Office of Health and Human Services</w:t>
      </w:r>
      <w:r>
        <w:rPr>
          <w:rFonts w:ascii="Helvetica" w:hAnsi="Helvetica"/>
          <w:sz w:val="24"/>
          <w:szCs w:val="24"/>
        </w:rPr>
        <w:t xml:space="preserve"> (EOHHS)</w:t>
      </w:r>
    </w:p>
    <w:p w:rsidR="00BC68A5" w:rsidRDefault="00BC68A5" w:rsidP="00CA1C68">
      <w:pPr>
        <w:jc w:val="left"/>
        <w:rPr>
          <w:rFonts w:ascii="Helvetica" w:hAnsi="Helvetica"/>
          <w:sz w:val="24"/>
          <w:szCs w:val="24"/>
        </w:rPr>
      </w:pPr>
      <w:r w:rsidRPr="00154D2C">
        <w:rPr>
          <w:rFonts w:ascii="Helvetica" w:hAnsi="Helvetica"/>
          <w:sz w:val="24"/>
          <w:szCs w:val="24"/>
        </w:rPr>
        <w:t>EOHHS Qual</w:t>
      </w:r>
      <w:r>
        <w:rPr>
          <w:rFonts w:ascii="Helvetica" w:hAnsi="Helvetica"/>
          <w:sz w:val="24"/>
          <w:szCs w:val="24"/>
        </w:rPr>
        <w:t>ity Measure alignment taskforce</w:t>
      </w:r>
    </w:p>
    <w:p w:rsidR="00BC68A5" w:rsidRPr="00BC68A5" w:rsidRDefault="004B47B8" w:rsidP="00CA1C68">
      <w:pPr>
        <w:jc w:val="left"/>
        <w:rPr>
          <w:rFonts w:ascii="Helvetica" w:hAnsi="Helvetica"/>
          <w:sz w:val="24"/>
          <w:szCs w:val="24"/>
        </w:rPr>
      </w:pPr>
      <w:r>
        <w:rPr>
          <w:rFonts w:ascii="Helvetica" w:hAnsi="Helvetica"/>
          <w:sz w:val="24"/>
          <w:szCs w:val="24"/>
        </w:rPr>
        <w:t>Meeting #31</w:t>
      </w:r>
    </w:p>
    <w:p w:rsidR="00BC68A5" w:rsidRDefault="004B47B8" w:rsidP="00CA1C68">
      <w:pPr>
        <w:jc w:val="left"/>
        <w:rPr>
          <w:rFonts w:ascii="Helvetica" w:hAnsi="Helvetica"/>
          <w:sz w:val="24"/>
          <w:szCs w:val="24"/>
        </w:rPr>
      </w:pPr>
      <w:r w:rsidRPr="004B47B8">
        <w:rPr>
          <w:rFonts w:ascii="Helvetica" w:hAnsi="Helvetica"/>
          <w:sz w:val="24"/>
          <w:szCs w:val="24"/>
        </w:rPr>
        <w:t>December 9, 2019</w:t>
      </w:r>
    </w:p>
    <w:p w:rsidR="00864B77" w:rsidRPr="00A35C58" w:rsidRDefault="00864B77" w:rsidP="00CA1C68">
      <w:pPr>
        <w:pStyle w:val="Heading1"/>
      </w:pPr>
      <w:r w:rsidRPr="00A35C58">
        <w:t>Slide 2</w:t>
      </w:r>
    </w:p>
    <w:p w:rsidR="004B47B8" w:rsidRDefault="004B47B8" w:rsidP="00CA1C68">
      <w:pPr>
        <w:pStyle w:val="Heading2"/>
      </w:pPr>
      <w:r w:rsidRPr="00864B77">
        <w:t>Agenda</w:t>
      </w:r>
    </w:p>
    <w:p w:rsidR="004B47B8" w:rsidRPr="004B47B8" w:rsidRDefault="004B47B8" w:rsidP="00A40DC0">
      <w:pPr>
        <w:pStyle w:val="ListParagraph"/>
        <w:numPr>
          <w:ilvl w:val="0"/>
          <w:numId w:val="15"/>
        </w:numPr>
        <w:jc w:val="left"/>
        <w:rPr>
          <w:rFonts w:ascii="Helvetica" w:hAnsi="Helvetica"/>
          <w:b/>
          <w:sz w:val="24"/>
          <w:szCs w:val="24"/>
        </w:rPr>
      </w:pPr>
      <w:r w:rsidRPr="004B47B8">
        <w:rPr>
          <w:rFonts w:ascii="Helvetica" w:hAnsi="Helvetica"/>
          <w:b/>
          <w:sz w:val="24"/>
          <w:szCs w:val="24"/>
        </w:rPr>
        <w:t>Welcome</w:t>
      </w:r>
    </w:p>
    <w:p w:rsidR="004B47B8" w:rsidRPr="004B47B8" w:rsidRDefault="004B47B8" w:rsidP="00A40DC0">
      <w:pPr>
        <w:pStyle w:val="ListParagraph"/>
        <w:numPr>
          <w:ilvl w:val="0"/>
          <w:numId w:val="15"/>
        </w:numPr>
        <w:jc w:val="left"/>
        <w:rPr>
          <w:rFonts w:ascii="Helvetica" w:hAnsi="Helvetica"/>
          <w:sz w:val="24"/>
          <w:szCs w:val="24"/>
        </w:rPr>
      </w:pPr>
      <w:r w:rsidRPr="004B47B8">
        <w:rPr>
          <w:rFonts w:ascii="Helvetica" w:hAnsi="Helvetica"/>
          <w:sz w:val="24"/>
          <w:szCs w:val="24"/>
        </w:rPr>
        <w:t>Revisit the process for considering non-endorsed measures</w:t>
      </w:r>
    </w:p>
    <w:p w:rsidR="004B47B8" w:rsidRPr="004B47B8" w:rsidRDefault="004B47B8" w:rsidP="00A40DC0">
      <w:pPr>
        <w:pStyle w:val="ListParagraph"/>
        <w:numPr>
          <w:ilvl w:val="0"/>
          <w:numId w:val="15"/>
        </w:numPr>
        <w:jc w:val="left"/>
        <w:rPr>
          <w:rFonts w:ascii="Helvetica" w:hAnsi="Helvetica"/>
          <w:sz w:val="24"/>
          <w:szCs w:val="24"/>
        </w:rPr>
      </w:pPr>
      <w:r w:rsidRPr="004B47B8">
        <w:rPr>
          <w:rFonts w:ascii="Helvetica" w:hAnsi="Helvetica"/>
          <w:sz w:val="24"/>
          <w:szCs w:val="24"/>
        </w:rPr>
        <w:t>Quality Catalogue analysis of non-aligned measures</w:t>
      </w:r>
    </w:p>
    <w:p w:rsidR="004B47B8" w:rsidRPr="004B47B8" w:rsidRDefault="004B47B8" w:rsidP="00A40DC0">
      <w:pPr>
        <w:pStyle w:val="ListParagraph"/>
        <w:numPr>
          <w:ilvl w:val="0"/>
          <w:numId w:val="15"/>
        </w:numPr>
        <w:jc w:val="left"/>
        <w:rPr>
          <w:rFonts w:ascii="Helvetica" w:hAnsi="Helvetica"/>
          <w:sz w:val="24"/>
          <w:szCs w:val="24"/>
        </w:rPr>
      </w:pPr>
      <w:r w:rsidRPr="004B47B8">
        <w:rPr>
          <w:rFonts w:ascii="Helvetica" w:hAnsi="Helvetica"/>
          <w:sz w:val="24"/>
          <w:szCs w:val="24"/>
        </w:rPr>
        <w:t>Continue the annual review of the Aligned Measure Set</w:t>
      </w:r>
    </w:p>
    <w:p w:rsidR="004B47B8" w:rsidRPr="004B47B8" w:rsidRDefault="004B47B8" w:rsidP="00A40DC0">
      <w:pPr>
        <w:pStyle w:val="ListParagraph"/>
        <w:numPr>
          <w:ilvl w:val="0"/>
          <w:numId w:val="15"/>
        </w:numPr>
        <w:jc w:val="left"/>
        <w:rPr>
          <w:rFonts w:ascii="Helvetica" w:hAnsi="Helvetica"/>
        </w:rPr>
      </w:pPr>
      <w:r w:rsidRPr="004B47B8">
        <w:rPr>
          <w:rFonts w:ascii="Helvetica" w:hAnsi="Helvetica"/>
          <w:sz w:val="24"/>
          <w:szCs w:val="24"/>
        </w:rPr>
        <w:t>Next steps</w:t>
      </w:r>
    </w:p>
    <w:p w:rsidR="004B47B8" w:rsidRPr="004B47B8" w:rsidRDefault="004B47B8" w:rsidP="00CA1C68">
      <w:pPr>
        <w:jc w:val="left"/>
      </w:pPr>
    </w:p>
    <w:p w:rsidR="00F876AA" w:rsidRPr="00A35C58" w:rsidRDefault="00F876AA" w:rsidP="00CA1C68">
      <w:pPr>
        <w:pStyle w:val="Heading1"/>
      </w:pPr>
      <w:r w:rsidRPr="00A35C58">
        <w:t xml:space="preserve">Slide </w:t>
      </w:r>
      <w:r>
        <w:t>3</w:t>
      </w:r>
    </w:p>
    <w:p w:rsidR="00864B77" w:rsidRPr="00864B77" w:rsidRDefault="00FA64DE" w:rsidP="00CA1C68">
      <w:pPr>
        <w:pStyle w:val="Heading2"/>
        <w:rPr>
          <w:rStyle w:val="Strong"/>
          <w:rFonts w:asciiTheme="minorHAnsi" w:hAnsiTheme="minorHAnsi"/>
          <w:b/>
          <w:sz w:val="28"/>
          <w:szCs w:val="28"/>
        </w:rPr>
      </w:pPr>
      <w:r w:rsidRPr="00FA64DE">
        <w:t>Legislative Update</w:t>
      </w:r>
    </w:p>
    <w:p w:rsidR="004B47B8" w:rsidRPr="004B47B8" w:rsidRDefault="004B47B8" w:rsidP="00CA1C68">
      <w:pPr>
        <w:pStyle w:val="ListParagraph"/>
        <w:numPr>
          <w:ilvl w:val="0"/>
          <w:numId w:val="1"/>
        </w:numPr>
        <w:jc w:val="left"/>
        <w:rPr>
          <w:rStyle w:val="Strong"/>
          <w:b w:val="0"/>
        </w:rPr>
      </w:pPr>
      <w:r w:rsidRPr="004B47B8">
        <w:rPr>
          <w:rStyle w:val="Strong"/>
          <w:b w:val="0"/>
        </w:rPr>
        <w:t>During the 11/19 Taskforce meeting, the Taskforce decided to finalize its charter once “Problem Statement” was changed to “The Case for Advancing a Coordinated Quality Strategy.”</w:t>
      </w:r>
    </w:p>
    <w:p w:rsidR="00FA64DE" w:rsidRPr="004B47B8" w:rsidRDefault="004B47B8" w:rsidP="00CA1C68">
      <w:pPr>
        <w:pStyle w:val="ListParagraph"/>
        <w:numPr>
          <w:ilvl w:val="0"/>
          <w:numId w:val="1"/>
        </w:numPr>
        <w:jc w:val="left"/>
        <w:rPr>
          <w:rStyle w:val="Strong"/>
          <w:b w:val="0"/>
        </w:rPr>
      </w:pPr>
      <w:r w:rsidRPr="004B47B8">
        <w:rPr>
          <w:rStyle w:val="Strong"/>
          <w:b w:val="0"/>
        </w:rPr>
        <w:t>Prior to today’s meeting, we distributed the finalized c</w:t>
      </w:r>
      <w:r>
        <w:rPr>
          <w:rStyle w:val="Strong"/>
          <w:b w:val="0"/>
        </w:rPr>
        <w:t>harter reflecting that change.</w:t>
      </w:r>
      <w:r w:rsidR="00FA64DE" w:rsidRPr="004B47B8">
        <w:rPr>
          <w:rStyle w:val="Strong"/>
          <w:b w:val="0"/>
        </w:rPr>
        <w:t xml:space="preserve"> </w:t>
      </w:r>
    </w:p>
    <w:p w:rsidR="00FA64DE" w:rsidRDefault="00FA64DE" w:rsidP="00CA1C68">
      <w:pPr>
        <w:pStyle w:val="Heading1"/>
      </w:pPr>
      <w:r>
        <w:br w:type="page"/>
      </w:r>
    </w:p>
    <w:p w:rsidR="00F876AA" w:rsidRPr="00A35C58" w:rsidRDefault="00F876AA" w:rsidP="00CA1C68">
      <w:pPr>
        <w:pStyle w:val="Heading1"/>
      </w:pPr>
      <w:r w:rsidRPr="00A35C58">
        <w:lastRenderedPageBreak/>
        <w:t xml:space="preserve">Slide </w:t>
      </w:r>
      <w:r>
        <w:t>4</w:t>
      </w:r>
    </w:p>
    <w:p w:rsidR="004B47B8" w:rsidRDefault="004B47B8" w:rsidP="00CA1C68">
      <w:pPr>
        <w:pStyle w:val="Heading2"/>
      </w:pPr>
      <w:r w:rsidRPr="00864B77">
        <w:t>Agenda</w:t>
      </w:r>
    </w:p>
    <w:p w:rsidR="004B47B8" w:rsidRPr="004B47B8" w:rsidRDefault="004B47B8" w:rsidP="00A40DC0">
      <w:pPr>
        <w:pStyle w:val="ListParagraph"/>
        <w:numPr>
          <w:ilvl w:val="0"/>
          <w:numId w:val="16"/>
        </w:numPr>
        <w:jc w:val="left"/>
        <w:rPr>
          <w:rFonts w:ascii="Helvetica" w:hAnsi="Helvetica"/>
          <w:sz w:val="24"/>
          <w:szCs w:val="24"/>
        </w:rPr>
      </w:pPr>
      <w:r w:rsidRPr="004B47B8">
        <w:rPr>
          <w:rFonts w:ascii="Helvetica" w:hAnsi="Helvetica"/>
          <w:sz w:val="24"/>
          <w:szCs w:val="24"/>
        </w:rPr>
        <w:t>Welcome</w:t>
      </w:r>
    </w:p>
    <w:p w:rsidR="004B47B8" w:rsidRPr="004B47B8" w:rsidRDefault="004B47B8" w:rsidP="00A40DC0">
      <w:pPr>
        <w:pStyle w:val="ListParagraph"/>
        <w:numPr>
          <w:ilvl w:val="0"/>
          <w:numId w:val="16"/>
        </w:numPr>
        <w:jc w:val="left"/>
        <w:rPr>
          <w:rFonts w:ascii="Helvetica" w:hAnsi="Helvetica"/>
          <w:b/>
          <w:sz w:val="24"/>
          <w:szCs w:val="24"/>
        </w:rPr>
      </w:pPr>
      <w:r w:rsidRPr="004B47B8">
        <w:rPr>
          <w:rFonts w:ascii="Helvetica" w:hAnsi="Helvetica"/>
          <w:b/>
          <w:sz w:val="24"/>
          <w:szCs w:val="24"/>
        </w:rPr>
        <w:t>Revisit the process for considering non-endorsed measures</w:t>
      </w:r>
    </w:p>
    <w:p w:rsidR="004B47B8" w:rsidRPr="004B47B8" w:rsidRDefault="004B47B8" w:rsidP="00A40DC0">
      <w:pPr>
        <w:pStyle w:val="ListParagraph"/>
        <w:numPr>
          <w:ilvl w:val="0"/>
          <w:numId w:val="16"/>
        </w:numPr>
        <w:jc w:val="left"/>
        <w:rPr>
          <w:rFonts w:ascii="Helvetica" w:hAnsi="Helvetica"/>
          <w:sz w:val="24"/>
          <w:szCs w:val="24"/>
        </w:rPr>
      </w:pPr>
      <w:r w:rsidRPr="004B47B8">
        <w:rPr>
          <w:rFonts w:ascii="Helvetica" w:hAnsi="Helvetica"/>
          <w:sz w:val="24"/>
          <w:szCs w:val="24"/>
        </w:rPr>
        <w:t>Quality Catalogue analysis of non-aligned measures</w:t>
      </w:r>
    </w:p>
    <w:p w:rsidR="004B47B8" w:rsidRPr="004B47B8" w:rsidRDefault="004B47B8" w:rsidP="00A40DC0">
      <w:pPr>
        <w:pStyle w:val="ListParagraph"/>
        <w:numPr>
          <w:ilvl w:val="0"/>
          <w:numId w:val="16"/>
        </w:numPr>
        <w:jc w:val="left"/>
        <w:rPr>
          <w:rFonts w:ascii="Helvetica" w:hAnsi="Helvetica"/>
          <w:sz w:val="24"/>
          <w:szCs w:val="24"/>
        </w:rPr>
      </w:pPr>
      <w:r w:rsidRPr="004B47B8">
        <w:rPr>
          <w:rFonts w:ascii="Helvetica" w:hAnsi="Helvetica"/>
          <w:sz w:val="24"/>
          <w:szCs w:val="24"/>
        </w:rPr>
        <w:t>Continue the annual review of the Aligned Measure Set</w:t>
      </w:r>
    </w:p>
    <w:p w:rsidR="004B47B8" w:rsidRPr="004B47B8" w:rsidRDefault="004B47B8" w:rsidP="00A40DC0">
      <w:pPr>
        <w:pStyle w:val="ListParagraph"/>
        <w:numPr>
          <w:ilvl w:val="0"/>
          <w:numId w:val="16"/>
        </w:numPr>
        <w:jc w:val="left"/>
        <w:rPr>
          <w:rFonts w:ascii="Helvetica" w:hAnsi="Helvetica"/>
        </w:rPr>
      </w:pPr>
      <w:r w:rsidRPr="004B47B8">
        <w:rPr>
          <w:rFonts w:ascii="Helvetica" w:hAnsi="Helvetica"/>
          <w:sz w:val="24"/>
          <w:szCs w:val="24"/>
        </w:rPr>
        <w:t>Next steps</w:t>
      </w:r>
    </w:p>
    <w:p w:rsidR="00F876AA" w:rsidRPr="00A35C58" w:rsidRDefault="00F876AA" w:rsidP="00CA1C68">
      <w:pPr>
        <w:pStyle w:val="Heading1"/>
      </w:pPr>
      <w:r w:rsidRPr="00A35C58">
        <w:t xml:space="preserve">Slide </w:t>
      </w:r>
      <w:r>
        <w:t>5</w:t>
      </w:r>
    </w:p>
    <w:p w:rsidR="00F876AA" w:rsidRDefault="004B47B8" w:rsidP="00CA1C68">
      <w:pPr>
        <w:pStyle w:val="Heading2"/>
      </w:pPr>
      <w:r w:rsidRPr="004B47B8">
        <w:t>Revisit the Process for Considering Non-endorsed Measures</w:t>
      </w:r>
    </w:p>
    <w:p w:rsidR="006A7071" w:rsidRPr="006A7071" w:rsidRDefault="006A7071" w:rsidP="00A40DC0">
      <w:pPr>
        <w:pStyle w:val="ListParagraph"/>
        <w:numPr>
          <w:ilvl w:val="0"/>
          <w:numId w:val="17"/>
        </w:numPr>
        <w:jc w:val="left"/>
        <w:rPr>
          <w:rFonts w:ascii="Helvetica" w:hAnsi="Helvetica"/>
          <w:sz w:val="24"/>
          <w:szCs w:val="24"/>
        </w:rPr>
      </w:pPr>
      <w:r w:rsidRPr="006A7071">
        <w:rPr>
          <w:rFonts w:ascii="Helvetica" w:hAnsi="Helvetica"/>
          <w:sz w:val="24"/>
          <w:szCs w:val="24"/>
        </w:rPr>
        <w:t>Taskforce staff developed draft criteria for the review of non-endorsed measures.  Those draft criteria were initially distributed to the Taskforce for comment on 9/19, with feedback requested by 10/9.</w:t>
      </w:r>
    </w:p>
    <w:p w:rsidR="006A7071" w:rsidRPr="006A7071" w:rsidRDefault="006A7071" w:rsidP="00A40DC0">
      <w:pPr>
        <w:pStyle w:val="ListParagraph"/>
        <w:numPr>
          <w:ilvl w:val="0"/>
          <w:numId w:val="17"/>
        </w:numPr>
        <w:jc w:val="left"/>
        <w:rPr>
          <w:rFonts w:ascii="Helvetica" w:hAnsi="Helvetica"/>
          <w:sz w:val="24"/>
          <w:szCs w:val="24"/>
        </w:rPr>
      </w:pPr>
      <w:r w:rsidRPr="006A7071">
        <w:rPr>
          <w:rFonts w:ascii="Helvetica" w:hAnsi="Helvetica"/>
          <w:sz w:val="24"/>
          <w:szCs w:val="24"/>
        </w:rPr>
        <w:t>After staff incorporated feedback, the Taskforce discussed the criteria during the 11/19 Taskforce meeting.</w:t>
      </w:r>
    </w:p>
    <w:p w:rsidR="006A7071" w:rsidRPr="006A7071" w:rsidRDefault="006A7071" w:rsidP="00A40DC0">
      <w:pPr>
        <w:pStyle w:val="ListParagraph"/>
        <w:numPr>
          <w:ilvl w:val="0"/>
          <w:numId w:val="17"/>
        </w:numPr>
        <w:jc w:val="left"/>
        <w:rPr>
          <w:rFonts w:ascii="Helvetica" w:hAnsi="Helvetica"/>
          <w:sz w:val="24"/>
          <w:szCs w:val="24"/>
        </w:rPr>
      </w:pPr>
      <w:r w:rsidRPr="006A7071">
        <w:rPr>
          <w:rFonts w:ascii="Helvetica" w:hAnsi="Helvetica"/>
          <w:sz w:val="24"/>
          <w:szCs w:val="24"/>
        </w:rPr>
        <w:t>Prior to today, Taskforce staff distributed further revised criteria for your review.</w:t>
      </w:r>
    </w:p>
    <w:p w:rsidR="006A7071" w:rsidRPr="006A7071" w:rsidRDefault="006A7071" w:rsidP="00A40DC0">
      <w:pPr>
        <w:pStyle w:val="ListParagraph"/>
        <w:numPr>
          <w:ilvl w:val="0"/>
          <w:numId w:val="17"/>
        </w:numPr>
        <w:jc w:val="left"/>
        <w:rPr>
          <w:rFonts w:ascii="Helvetica" w:hAnsi="Helvetica"/>
          <w:sz w:val="24"/>
          <w:szCs w:val="24"/>
        </w:rPr>
      </w:pPr>
      <w:r w:rsidRPr="006A7071">
        <w:rPr>
          <w:rFonts w:ascii="Helvetica" w:hAnsi="Helvetica"/>
          <w:sz w:val="24"/>
          <w:szCs w:val="24"/>
        </w:rPr>
        <w:t>Is the Taskforce comfortable adopting the updated criteria?</w:t>
      </w:r>
    </w:p>
    <w:p w:rsidR="00575B5D" w:rsidRPr="006A7071" w:rsidRDefault="006A7071" w:rsidP="00A40DC0">
      <w:pPr>
        <w:pStyle w:val="ListParagraph"/>
        <w:numPr>
          <w:ilvl w:val="0"/>
          <w:numId w:val="17"/>
        </w:numPr>
        <w:jc w:val="left"/>
        <w:sectPr w:rsidR="00575B5D" w:rsidRPr="006A7071" w:rsidSect="006A7071">
          <w:type w:val="continuous"/>
          <w:pgSz w:w="12240" w:h="15840"/>
          <w:pgMar w:top="1080" w:right="1440" w:bottom="1080" w:left="1440" w:header="720" w:footer="720" w:gutter="0"/>
          <w:cols w:space="720"/>
          <w:docGrid w:linePitch="360"/>
        </w:sectPr>
      </w:pPr>
      <w:r w:rsidRPr="006A7071">
        <w:rPr>
          <w:rFonts w:ascii="Helvetica" w:hAnsi="Helvetica"/>
          <w:sz w:val="24"/>
          <w:szCs w:val="24"/>
        </w:rPr>
        <w:t>For consistency, would the Taskforce prefer to use the term “criteria or “principles” going forward?</w:t>
      </w:r>
    </w:p>
    <w:p w:rsidR="00975B2F" w:rsidRPr="00575B5D" w:rsidRDefault="00975B2F" w:rsidP="00CA1C68">
      <w:pPr>
        <w:pStyle w:val="Heading1"/>
      </w:pPr>
      <w:r w:rsidRPr="00575B5D">
        <w:t>Slide 6</w:t>
      </w:r>
    </w:p>
    <w:p w:rsidR="006A7071" w:rsidRDefault="006A7071" w:rsidP="00CA1C68">
      <w:pPr>
        <w:pStyle w:val="Heading2"/>
      </w:pPr>
      <w:r w:rsidRPr="00864B77">
        <w:t>Agenda</w:t>
      </w:r>
    </w:p>
    <w:p w:rsidR="006A7071" w:rsidRPr="004B47B8" w:rsidRDefault="006A7071" w:rsidP="00A40DC0">
      <w:pPr>
        <w:pStyle w:val="ListParagraph"/>
        <w:numPr>
          <w:ilvl w:val="0"/>
          <w:numId w:val="18"/>
        </w:numPr>
        <w:jc w:val="left"/>
        <w:rPr>
          <w:rFonts w:ascii="Helvetica" w:hAnsi="Helvetica"/>
          <w:sz w:val="24"/>
          <w:szCs w:val="24"/>
        </w:rPr>
      </w:pPr>
      <w:r w:rsidRPr="004B47B8">
        <w:rPr>
          <w:rFonts w:ascii="Helvetica" w:hAnsi="Helvetica"/>
          <w:sz w:val="24"/>
          <w:szCs w:val="24"/>
        </w:rPr>
        <w:t>Welcome</w:t>
      </w:r>
    </w:p>
    <w:p w:rsidR="006A7071" w:rsidRPr="006A7071" w:rsidRDefault="006A7071" w:rsidP="00A40DC0">
      <w:pPr>
        <w:pStyle w:val="ListParagraph"/>
        <w:numPr>
          <w:ilvl w:val="0"/>
          <w:numId w:val="18"/>
        </w:numPr>
        <w:jc w:val="left"/>
        <w:rPr>
          <w:rFonts w:ascii="Helvetica" w:hAnsi="Helvetica"/>
          <w:sz w:val="24"/>
          <w:szCs w:val="24"/>
        </w:rPr>
      </w:pPr>
      <w:r w:rsidRPr="006A7071">
        <w:rPr>
          <w:rFonts w:ascii="Helvetica" w:hAnsi="Helvetica"/>
          <w:sz w:val="24"/>
          <w:szCs w:val="24"/>
        </w:rPr>
        <w:t>Revisit the process for considering non-endorsed measures</w:t>
      </w:r>
    </w:p>
    <w:p w:rsidR="006A7071" w:rsidRPr="006A7071" w:rsidRDefault="006A7071" w:rsidP="00A40DC0">
      <w:pPr>
        <w:pStyle w:val="ListParagraph"/>
        <w:numPr>
          <w:ilvl w:val="0"/>
          <w:numId w:val="18"/>
        </w:numPr>
        <w:jc w:val="left"/>
        <w:rPr>
          <w:rFonts w:ascii="Helvetica" w:hAnsi="Helvetica"/>
          <w:b/>
          <w:sz w:val="24"/>
          <w:szCs w:val="24"/>
        </w:rPr>
      </w:pPr>
      <w:r w:rsidRPr="006A7071">
        <w:rPr>
          <w:rFonts w:ascii="Helvetica" w:hAnsi="Helvetica"/>
          <w:b/>
          <w:sz w:val="24"/>
          <w:szCs w:val="24"/>
        </w:rPr>
        <w:t>Quality Catalogue analysis of non-aligned measures</w:t>
      </w:r>
    </w:p>
    <w:p w:rsidR="006A7071" w:rsidRPr="004B47B8" w:rsidRDefault="006A7071" w:rsidP="00A40DC0">
      <w:pPr>
        <w:pStyle w:val="ListParagraph"/>
        <w:numPr>
          <w:ilvl w:val="0"/>
          <w:numId w:val="18"/>
        </w:numPr>
        <w:jc w:val="left"/>
        <w:rPr>
          <w:rFonts w:ascii="Helvetica" w:hAnsi="Helvetica"/>
          <w:sz w:val="24"/>
          <w:szCs w:val="24"/>
        </w:rPr>
      </w:pPr>
      <w:r w:rsidRPr="004B47B8">
        <w:rPr>
          <w:rFonts w:ascii="Helvetica" w:hAnsi="Helvetica"/>
          <w:sz w:val="24"/>
          <w:szCs w:val="24"/>
        </w:rPr>
        <w:t>Continue the annual review of the Aligned Measure Set</w:t>
      </w:r>
    </w:p>
    <w:p w:rsidR="006A7071" w:rsidRPr="006A7071" w:rsidRDefault="006A7071" w:rsidP="00A40DC0">
      <w:pPr>
        <w:pStyle w:val="ListParagraph"/>
        <w:numPr>
          <w:ilvl w:val="0"/>
          <w:numId w:val="18"/>
        </w:numPr>
        <w:jc w:val="left"/>
        <w:rPr>
          <w:rFonts w:ascii="Helvetica" w:hAnsi="Helvetica"/>
        </w:rPr>
      </w:pPr>
      <w:r w:rsidRPr="004B47B8">
        <w:rPr>
          <w:rFonts w:ascii="Helvetica" w:hAnsi="Helvetica"/>
          <w:sz w:val="24"/>
          <w:szCs w:val="24"/>
        </w:rPr>
        <w:t>Next steps</w:t>
      </w:r>
    </w:p>
    <w:p w:rsidR="00BC68A5" w:rsidRPr="00A35C58" w:rsidRDefault="00BC68A5" w:rsidP="00CA1C68">
      <w:pPr>
        <w:pStyle w:val="Heading1"/>
      </w:pPr>
      <w:r w:rsidRPr="00A35C58">
        <w:t xml:space="preserve">Slide </w:t>
      </w:r>
      <w:r w:rsidR="00975B2F">
        <w:t>7</w:t>
      </w:r>
    </w:p>
    <w:p w:rsidR="00BC68A5" w:rsidRDefault="006A7071" w:rsidP="00CA1C68">
      <w:pPr>
        <w:pStyle w:val="Heading2"/>
      </w:pPr>
      <w:r w:rsidRPr="006A7071">
        <w:t>Quality Catalogue Analysis of Non-Aligned Measures</w:t>
      </w:r>
    </w:p>
    <w:p w:rsidR="006A7071" w:rsidRPr="006A7071" w:rsidRDefault="006A7071" w:rsidP="00A40DC0">
      <w:pPr>
        <w:pStyle w:val="ListParagraph"/>
        <w:numPr>
          <w:ilvl w:val="0"/>
          <w:numId w:val="2"/>
        </w:numPr>
        <w:jc w:val="left"/>
        <w:rPr>
          <w:rStyle w:val="Strong"/>
          <w:b w:val="0"/>
        </w:rPr>
      </w:pPr>
      <w:r w:rsidRPr="006A7071">
        <w:rPr>
          <w:rStyle w:val="Strong"/>
          <w:b w:val="0"/>
        </w:rPr>
        <w:t>During the 11/19 Taskforce meeting, Taskforce staff shared results from the fall 2019 Quality Measure Catalogue collection of measures that will be used in 2020 global budget-based risk contracts.</w:t>
      </w:r>
    </w:p>
    <w:p w:rsidR="006A7071" w:rsidRPr="006A7071" w:rsidRDefault="006A7071" w:rsidP="00A40DC0">
      <w:pPr>
        <w:pStyle w:val="ListParagraph"/>
        <w:numPr>
          <w:ilvl w:val="0"/>
          <w:numId w:val="2"/>
        </w:numPr>
        <w:jc w:val="left"/>
        <w:rPr>
          <w:rStyle w:val="Strong"/>
          <w:b w:val="0"/>
        </w:rPr>
      </w:pPr>
      <w:r w:rsidRPr="006A7071">
        <w:rPr>
          <w:rStyle w:val="Strong"/>
          <w:b w:val="0"/>
        </w:rPr>
        <w:t>A Taskforce member requested analysis of how many non-aligned measures have been endorsed by a nationally recognized body.</w:t>
      </w:r>
    </w:p>
    <w:p w:rsidR="00630DA9" w:rsidRDefault="006A7071" w:rsidP="00A40DC0">
      <w:pPr>
        <w:pStyle w:val="ListParagraph"/>
        <w:numPr>
          <w:ilvl w:val="0"/>
          <w:numId w:val="2"/>
        </w:numPr>
        <w:contextualSpacing w:val="0"/>
        <w:jc w:val="left"/>
      </w:pPr>
      <w:r w:rsidRPr="006A7071">
        <w:rPr>
          <w:rStyle w:val="Strong"/>
          <w:b w:val="0"/>
        </w:rPr>
        <w:lastRenderedPageBreak/>
        <w:t>The next slide displays the 11/19 results and the following slide displays results of the additional analysis.</w:t>
      </w:r>
    </w:p>
    <w:p w:rsidR="00BC68A5" w:rsidRPr="00A35C58" w:rsidRDefault="00BC68A5" w:rsidP="00CA1C68">
      <w:pPr>
        <w:pStyle w:val="Heading1"/>
      </w:pPr>
      <w:r w:rsidRPr="00A35C58">
        <w:t xml:space="preserve">Slide </w:t>
      </w:r>
      <w:r w:rsidR="00975B2F">
        <w:t>8</w:t>
      </w:r>
    </w:p>
    <w:p w:rsidR="00D2408B" w:rsidRDefault="006A7071" w:rsidP="00CA1C68">
      <w:pPr>
        <w:pStyle w:val="Heading2"/>
      </w:pPr>
      <w:r w:rsidRPr="006A7071">
        <w:t>Plans Report Continued Use of Non-Aligned Quality Measures and Developmental/Monitoring Measures in Global Budget Contracts</w:t>
      </w:r>
    </w:p>
    <w:p w:rsidR="006A7071" w:rsidRDefault="006A7071" w:rsidP="00CA1C68">
      <w:pPr>
        <w:jc w:val="left"/>
        <w:rPr>
          <w:rStyle w:val="Strong"/>
          <w:b w:val="0"/>
        </w:rPr>
      </w:pPr>
      <w:r w:rsidRPr="006A7071">
        <w:rPr>
          <w:rFonts w:ascii="Helvetica" w:hAnsi="Helvetica"/>
          <w:noProof/>
          <w:sz w:val="24"/>
          <w:szCs w:val="24"/>
        </w:rPr>
        <w:drawing>
          <wp:inline distT="0" distB="0" distL="0" distR="0" wp14:anchorId="1D530AEC" wp14:editId="15D6B696">
            <wp:extent cx="5622482" cy="2918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5"/>
                    <a:stretch>
                      <a:fillRect/>
                    </a:stretch>
                  </pic:blipFill>
                  <pic:spPr>
                    <a:xfrm>
                      <a:off x="0" y="0"/>
                      <a:ext cx="5619661" cy="2917301"/>
                    </a:xfrm>
                    <a:prstGeom prst="rect">
                      <a:avLst/>
                    </a:prstGeom>
                  </pic:spPr>
                </pic:pic>
              </a:graphicData>
            </a:graphic>
          </wp:inline>
        </w:drawing>
      </w:r>
    </w:p>
    <w:p w:rsidR="004B5FF9" w:rsidRDefault="004B5FF9" w:rsidP="004B5FF9">
      <w:pPr>
        <w:jc w:val="left"/>
        <w:rPr>
          <w:rFonts w:ascii="Helvetica" w:hAnsi="Helvetica"/>
          <w:sz w:val="24"/>
          <w:szCs w:val="24"/>
        </w:rPr>
      </w:pPr>
      <w:r>
        <w:rPr>
          <w:rFonts w:ascii="Helvetica" w:hAnsi="Helvetica"/>
          <w:sz w:val="24"/>
          <w:szCs w:val="24"/>
        </w:rPr>
        <w:t>Figure Summary:</w:t>
      </w:r>
    </w:p>
    <w:p w:rsidR="004B5FF9" w:rsidRDefault="004B5FF9" w:rsidP="004B5FF9">
      <w:pPr>
        <w:pStyle w:val="ListParagraph"/>
        <w:numPr>
          <w:ilvl w:val="0"/>
          <w:numId w:val="39"/>
        </w:numPr>
        <w:jc w:val="left"/>
        <w:rPr>
          <w:rFonts w:ascii="Helvetica" w:hAnsi="Helvetica"/>
          <w:sz w:val="24"/>
          <w:szCs w:val="24"/>
        </w:rPr>
      </w:pPr>
      <w:r>
        <w:rPr>
          <w:rFonts w:ascii="Helvetica" w:hAnsi="Helvetica"/>
          <w:sz w:val="24"/>
          <w:szCs w:val="24"/>
        </w:rPr>
        <w:t>Depicts count of measures in use that are not part of the Core and Menu sets by number of payers using the measure for 2019 and 2020. Measures were reviewed by the Taskforce and either not endorsed (NE), or categorized as Developmental or Monitoring measures.</w:t>
      </w:r>
    </w:p>
    <w:p w:rsidR="004B5FF9" w:rsidRDefault="004B5FF9" w:rsidP="004B5FF9">
      <w:pPr>
        <w:pStyle w:val="ListParagraph"/>
        <w:numPr>
          <w:ilvl w:val="1"/>
          <w:numId w:val="39"/>
        </w:numPr>
        <w:jc w:val="left"/>
        <w:rPr>
          <w:rFonts w:ascii="Helvetica" w:hAnsi="Helvetica"/>
          <w:sz w:val="24"/>
          <w:szCs w:val="24"/>
        </w:rPr>
      </w:pPr>
      <w:r>
        <w:rPr>
          <w:rFonts w:ascii="Helvetica" w:hAnsi="Helvetica"/>
          <w:sz w:val="24"/>
          <w:szCs w:val="24"/>
        </w:rPr>
        <w:t>For 2019:</w:t>
      </w:r>
    </w:p>
    <w:p w:rsidR="004B5FF9" w:rsidRDefault="004B5FF9" w:rsidP="004B5FF9">
      <w:pPr>
        <w:pStyle w:val="ListParagraph"/>
        <w:numPr>
          <w:ilvl w:val="2"/>
          <w:numId w:val="39"/>
        </w:numPr>
        <w:jc w:val="left"/>
        <w:rPr>
          <w:rFonts w:ascii="Helvetica" w:hAnsi="Helvetica"/>
          <w:sz w:val="24"/>
          <w:szCs w:val="24"/>
        </w:rPr>
      </w:pPr>
      <w:r>
        <w:rPr>
          <w:rFonts w:ascii="Helvetica" w:hAnsi="Helvetica"/>
          <w:sz w:val="24"/>
          <w:szCs w:val="24"/>
        </w:rPr>
        <w:t>Single payer – 24 measures; 23 NE, 1 developmental</w:t>
      </w:r>
    </w:p>
    <w:p w:rsidR="004B5FF9" w:rsidRDefault="004B5FF9" w:rsidP="004B5FF9">
      <w:pPr>
        <w:pStyle w:val="ListParagraph"/>
        <w:numPr>
          <w:ilvl w:val="2"/>
          <w:numId w:val="39"/>
        </w:numPr>
        <w:jc w:val="left"/>
        <w:rPr>
          <w:rFonts w:ascii="Helvetica" w:hAnsi="Helvetica"/>
          <w:sz w:val="24"/>
          <w:szCs w:val="24"/>
        </w:rPr>
      </w:pPr>
      <w:r>
        <w:rPr>
          <w:rFonts w:ascii="Helvetica" w:hAnsi="Helvetica"/>
          <w:sz w:val="24"/>
          <w:szCs w:val="24"/>
        </w:rPr>
        <w:t>Two payers – 5 measures; all NE</w:t>
      </w:r>
    </w:p>
    <w:p w:rsidR="004B5FF9" w:rsidRDefault="004B5FF9" w:rsidP="004B5FF9">
      <w:pPr>
        <w:pStyle w:val="ListParagraph"/>
        <w:numPr>
          <w:ilvl w:val="2"/>
          <w:numId w:val="39"/>
        </w:numPr>
        <w:jc w:val="left"/>
        <w:rPr>
          <w:rFonts w:ascii="Helvetica" w:hAnsi="Helvetica"/>
          <w:sz w:val="24"/>
          <w:szCs w:val="24"/>
        </w:rPr>
      </w:pPr>
      <w:r>
        <w:rPr>
          <w:rFonts w:ascii="Helvetica" w:hAnsi="Helvetica"/>
          <w:sz w:val="24"/>
          <w:szCs w:val="24"/>
        </w:rPr>
        <w:t>Three payers – 4 measures; 3 NE, 1 monitoring</w:t>
      </w:r>
    </w:p>
    <w:p w:rsidR="004B5FF9" w:rsidRDefault="004B5FF9" w:rsidP="004B5FF9">
      <w:pPr>
        <w:pStyle w:val="ListParagraph"/>
        <w:numPr>
          <w:ilvl w:val="2"/>
          <w:numId w:val="39"/>
        </w:numPr>
        <w:jc w:val="left"/>
        <w:rPr>
          <w:rFonts w:ascii="Helvetica" w:hAnsi="Helvetica"/>
          <w:sz w:val="24"/>
          <w:szCs w:val="24"/>
        </w:rPr>
      </w:pPr>
      <w:r>
        <w:rPr>
          <w:rFonts w:ascii="Helvetica" w:hAnsi="Helvetica"/>
          <w:sz w:val="24"/>
          <w:szCs w:val="24"/>
        </w:rPr>
        <w:t>Four payers – none</w:t>
      </w:r>
    </w:p>
    <w:p w:rsidR="004B5FF9" w:rsidRDefault="004B5FF9" w:rsidP="004B5FF9">
      <w:pPr>
        <w:pStyle w:val="ListParagraph"/>
        <w:numPr>
          <w:ilvl w:val="2"/>
          <w:numId w:val="39"/>
        </w:numPr>
        <w:jc w:val="left"/>
        <w:rPr>
          <w:rFonts w:ascii="Helvetica" w:hAnsi="Helvetica"/>
          <w:sz w:val="24"/>
          <w:szCs w:val="24"/>
        </w:rPr>
      </w:pPr>
      <w:r>
        <w:rPr>
          <w:rFonts w:ascii="Helvetica" w:hAnsi="Helvetica"/>
          <w:sz w:val="24"/>
          <w:szCs w:val="24"/>
        </w:rPr>
        <w:t>Five payers – 3 measures; all NE</w:t>
      </w:r>
    </w:p>
    <w:p w:rsidR="004B5FF9" w:rsidRDefault="004B5FF9" w:rsidP="004B5FF9">
      <w:pPr>
        <w:pStyle w:val="ListParagraph"/>
        <w:numPr>
          <w:ilvl w:val="2"/>
          <w:numId w:val="39"/>
        </w:numPr>
        <w:jc w:val="left"/>
        <w:rPr>
          <w:rFonts w:ascii="Helvetica" w:hAnsi="Helvetica"/>
          <w:sz w:val="24"/>
          <w:szCs w:val="24"/>
        </w:rPr>
      </w:pPr>
      <w:r>
        <w:rPr>
          <w:rFonts w:ascii="Helvetica" w:hAnsi="Helvetica"/>
          <w:sz w:val="24"/>
          <w:szCs w:val="24"/>
        </w:rPr>
        <w:t>Six payers – 5 measures; all monitoring</w:t>
      </w:r>
    </w:p>
    <w:p w:rsidR="004B5FF9" w:rsidRDefault="004B5FF9" w:rsidP="004B5FF9">
      <w:pPr>
        <w:pStyle w:val="ListParagraph"/>
        <w:numPr>
          <w:ilvl w:val="2"/>
          <w:numId w:val="39"/>
        </w:numPr>
        <w:jc w:val="left"/>
        <w:rPr>
          <w:rFonts w:ascii="Helvetica" w:hAnsi="Helvetica"/>
          <w:sz w:val="24"/>
          <w:szCs w:val="24"/>
        </w:rPr>
      </w:pPr>
      <w:r>
        <w:rPr>
          <w:rFonts w:ascii="Helvetica" w:hAnsi="Helvetica"/>
          <w:sz w:val="24"/>
          <w:szCs w:val="24"/>
        </w:rPr>
        <w:t>Seven payers – none</w:t>
      </w:r>
    </w:p>
    <w:p w:rsidR="004B5FF9" w:rsidRDefault="004B5FF9" w:rsidP="004B5FF9">
      <w:pPr>
        <w:pStyle w:val="ListParagraph"/>
        <w:numPr>
          <w:ilvl w:val="1"/>
          <w:numId w:val="39"/>
        </w:numPr>
        <w:jc w:val="left"/>
        <w:rPr>
          <w:rFonts w:ascii="Helvetica" w:hAnsi="Helvetica"/>
          <w:sz w:val="24"/>
          <w:szCs w:val="24"/>
        </w:rPr>
      </w:pPr>
      <w:r>
        <w:rPr>
          <w:rFonts w:ascii="Helvetica" w:hAnsi="Helvetica"/>
          <w:sz w:val="24"/>
          <w:szCs w:val="24"/>
        </w:rPr>
        <w:t>For 2020:</w:t>
      </w:r>
    </w:p>
    <w:p w:rsidR="004B5FF9" w:rsidRDefault="004B5FF9" w:rsidP="004B5FF9">
      <w:pPr>
        <w:pStyle w:val="ListParagraph"/>
        <w:numPr>
          <w:ilvl w:val="2"/>
          <w:numId w:val="39"/>
        </w:numPr>
        <w:jc w:val="left"/>
        <w:rPr>
          <w:rFonts w:ascii="Helvetica" w:hAnsi="Helvetica"/>
          <w:sz w:val="24"/>
          <w:szCs w:val="24"/>
        </w:rPr>
      </w:pPr>
      <w:r>
        <w:rPr>
          <w:rFonts w:ascii="Helvetica" w:hAnsi="Helvetica"/>
          <w:sz w:val="24"/>
          <w:szCs w:val="24"/>
        </w:rPr>
        <w:t>Single payer – 16 measures; 14 NE, 2 developmental</w:t>
      </w:r>
    </w:p>
    <w:p w:rsidR="004B5FF9" w:rsidRDefault="004B5FF9" w:rsidP="004B5FF9">
      <w:pPr>
        <w:pStyle w:val="ListParagraph"/>
        <w:numPr>
          <w:ilvl w:val="2"/>
          <w:numId w:val="39"/>
        </w:numPr>
        <w:jc w:val="left"/>
        <w:rPr>
          <w:rFonts w:ascii="Helvetica" w:hAnsi="Helvetica"/>
          <w:sz w:val="24"/>
          <w:szCs w:val="24"/>
        </w:rPr>
      </w:pPr>
      <w:r>
        <w:rPr>
          <w:rFonts w:ascii="Helvetica" w:hAnsi="Helvetica"/>
          <w:sz w:val="24"/>
          <w:szCs w:val="24"/>
        </w:rPr>
        <w:t>Two payers – 5 measures; all NE</w:t>
      </w:r>
    </w:p>
    <w:p w:rsidR="004B5FF9" w:rsidRDefault="004B5FF9" w:rsidP="004B5FF9">
      <w:pPr>
        <w:pStyle w:val="ListParagraph"/>
        <w:numPr>
          <w:ilvl w:val="2"/>
          <w:numId w:val="39"/>
        </w:numPr>
        <w:jc w:val="left"/>
        <w:rPr>
          <w:rFonts w:ascii="Helvetica" w:hAnsi="Helvetica"/>
          <w:sz w:val="24"/>
          <w:szCs w:val="24"/>
        </w:rPr>
      </w:pPr>
      <w:r>
        <w:rPr>
          <w:rFonts w:ascii="Helvetica" w:hAnsi="Helvetica"/>
          <w:sz w:val="24"/>
          <w:szCs w:val="24"/>
        </w:rPr>
        <w:t>Three payers – 3 measures; 2 NE, 1 monitoring</w:t>
      </w:r>
    </w:p>
    <w:p w:rsidR="004B5FF9" w:rsidRDefault="004B5FF9" w:rsidP="004B5FF9">
      <w:pPr>
        <w:pStyle w:val="ListParagraph"/>
        <w:numPr>
          <w:ilvl w:val="2"/>
          <w:numId w:val="39"/>
        </w:numPr>
        <w:jc w:val="left"/>
        <w:rPr>
          <w:rFonts w:ascii="Helvetica" w:hAnsi="Helvetica"/>
          <w:sz w:val="24"/>
          <w:szCs w:val="24"/>
        </w:rPr>
      </w:pPr>
      <w:r>
        <w:rPr>
          <w:rFonts w:ascii="Helvetica" w:hAnsi="Helvetica"/>
          <w:sz w:val="24"/>
          <w:szCs w:val="24"/>
        </w:rPr>
        <w:t>Four payers – 4 measures; all NE</w:t>
      </w:r>
    </w:p>
    <w:p w:rsidR="004B5FF9" w:rsidRDefault="004B5FF9" w:rsidP="004B5FF9">
      <w:pPr>
        <w:pStyle w:val="ListParagraph"/>
        <w:numPr>
          <w:ilvl w:val="2"/>
          <w:numId w:val="39"/>
        </w:numPr>
        <w:jc w:val="left"/>
        <w:rPr>
          <w:rFonts w:ascii="Helvetica" w:hAnsi="Helvetica"/>
          <w:sz w:val="24"/>
          <w:szCs w:val="24"/>
        </w:rPr>
      </w:pPr>
      <w:r>
        <w:rPr>
          <w:rFonts w:ascii="Helvetica" w:hAnsi="Helvetica"/>
          <w:sz w:val="24"/>
          <w:szCs w:val="24"/>
        </w:rPr>
        <w:t>Five payers – 3 measures; 1 NE, 2 monitoring</w:t>
      </w:r>
    </w:p>
    <w:p w:rsidR="004B5FF9" w:rsidRDefault="004B5FF9" w:rsidP="004B5FF9">
      <w:pPr>
        <w:pStyle w:val="ListParagraph"/>
        <w:numPr>
          <w:ilvl w:val="2"/>
          <w:numId w:val="39"/>
        </w:numPr>
        <w:jc w:val="left"/>
        <w:rPr>
          <w:rFonts w:ascii="Helvetica" w:hAnsi="Helvetica"/>
          <w:sz w:val="24"/>
          <w:szCs w:val="24"/>
        </w:rPr>
      </w:pPr>
      <w:r>
        <w:rPr>
          <w:rFonts w:ascii="Helvetica" w:hAnsi="Helvetica"/>
          <w:sz w:val="24"/>
          <w:szCs w:val="24"/>
        </w:rPr>
        <w:lastRenderedPageBreak/>
        <w:t>Six payers – 2 measures; both monitoring</w:t>
      </w:r>
    </w:p>
    <w:p w:rsidR="004B5FF9" w:rsidRDefault="004B5FF9" w:rsidP="004B5FF9">
      <w:pPr>
        <w:pStyle w:val="ListParagraph"/>
        <w:numPr>
          <w:ilvl w:val="2"/>
          <w:numId w:val="39"/>
        </w:numPr>
        <w:jc w:val="left"/>
        <w:rPr>
          <w:rFonts w:ascii="Helvetica" w:hAnsi="Helvetica"/>
          <w:sz w:val="24"/>
          <w:szCs w:val="24"/>
        </w:rPr>
      </w:pPr>
      <w:r>
        <w:rPr>
          <w:rFonts w:ascii="Helvetica" w:hAnsi="Helvetica"/>
          <w:sz w:val="24"/>
          <w:szCs w:val="24"/>
        </w:rPr>
        <w:t>Seven payers – 1 measure; monitoring</w:t>
      </w:r>
    </w:p>
    <w:p w:rsidR="004B5FF9" w:rsidRDefault="004B5FF9" w:rsidP="004B5FF9">
      <w:pPr>
        <w:pStyle w:val="ListParagraph"/>
        <w:numPr>
          <w:ilvl w:val="2"/>
          <w:numId w:val="39"/>
        </w:numPr>
        <w:jc w:val="left"/>
        <w:rPr>
          <w:rFonts w:ascii="Helvetica" w:hAnsi="Helvetica"/>
          <w:sz w:val="24"/>
          <w:szCs w:val="24"/>
        </w:rPr>
      </w:pPr>
      <w:r>
        <w:rPr>
          <w:rFonts w:ascii="Helvetica" w:hAnsi="Helvetica"/>
          <w:sz w:val="24"/>
          <w:szCs w:val="24"/>
        </w:rPr>
        <w:t>Eight payers - none</w:t>
      </w:r>
    </w:p>
    <w:p w:rsidR="004B5FF9" w:rsidRPr="004B5FF9" w:rsidRDefault="004B5FF9" w:rsidP="004B5FF9">
      <w:pPr>
        <w:jc w:val="left"/>
        <w:rPr>
          <w:rStyle w:val="Strong"/>
          <w:b w:val="0"/>
        </w:rPr>
      </w:pPr>
      <w:r>
        <w:rPr>
          <w:rStyle w:val="Strong"/>
          <w:b w:val="0"/>
        </w:rPr>
        <w:t>Key Findings:</w:t>
      </w:r>
    </w:p>
    <w:p w:rsidR="006A7071" w:rsidRPr="006A7071" w:rsidRDefault="006A7071" w:rsidP="00A40DC0">
      <w:pPr>
        <w:pStyle w:val="ListParagraph"/>
        <w:numPr>
          <w:ilvl w:val="0"/>
          <w:numId w:val="20"/>
        </w:numPr>
        <w:jc w:val="left"/>
        <w:rPr>
          <w:rStyle w:val="Strong"/>
          <w:b w:val="0"/>
        </w:rPr>
      </w:pPr>
      <w:r w:rsidRPr="006A7071">
        <w:rPr>
          <w:rStyle w:val="Strong"/>
          <w:b w:val="0"/>
        </w:rPr>
        <w:t>Many non-aligned measures continue to be included in global budget-based contracts, though fewer in 2020 than in 2019.</w:t>
      </w:r>
    </w:p>
    <w:p w:rsidR="006A7071" w:rsidRPr="006A7071" w:rsidRDefault="006A7071" w:rsidP="00A40DC0">
      <w:pPr>
        <w:pStyle w:val="ListParagraph"/>
        <w:numPr>
          <w:ilvl w:val="0"/>
          <w:numId w:val="20"/>
        </w:numPr>
        <w:jc w:val="left"/>
        <w:rPr>
          <w:rStyle w:val="Strong"/>
          <w:b w:val="0"/>
        </w:rPr>
      </w:pPr>
      <w:r w:rsidRPr="006A7071">
        <w:rPr>
          <w:rStyle w:val="Strong"/>
          <w:b w:val="0"/>
        </w:rPr>
        <w:t>26 non-endorsed measures are in use in contracts in 2020 (down from 34 in 2019), and 14 by only a single payer (down from 23 in 2019)</w:t>
      </w:r>
    </w:p>
    <w:p w:rsidR="006A7071" w:rsidRDefault="006A7071" w:rsidP="00A40DC0">
      <w:pPr>
        <w:pStyle w:val="ListParagraph"/>
        <w:numPr>
          <w:ilvl w:val="0"/>
          <w:numId w:val="20"/>
        </w:numPr>
        <w:jc w:val="left"/>
        <w:rPr>
          <w:rStyle w:val="Strong"/>
          <w:b w:val="0"/>
        </w:rPr>
        <w:sectPr w:rsidR="006A7071" w:rsidSect="00575B5D">
          <w:type w:val="continuous"/>
          <w:pgSz w:w="12240" w:h="15840"/>
          <w:pgMar w:top="1080" w:right="1440" w:bottom="1080" w:left="1440" w:header="720" w:footer="720" w:gutter="0"/>
          <w:cols w:space="720"/>
          <w:docGrid w:linePitch="360"/>
        </w:sectPr>
      </w:pPr>
      <w:r w:rsidRPr="006A7071">
        <w:rPr>
          <w:rStyle w:val="Strong"/>
          <w:b w:val="0"/>
        </w:rPr>
        <w:t>Developmental measures include: Community Tenure, Joint Replacement Patient Reported Outcome Measure, and Depression Remission or Response for Adolescents and Adults (2020 only)</w:t>
      </w:r>
    </w:p>
    <w:p w:rsidR="00864B77" w:rsidRPr="00A35C58" w:rsidRDefault="00864B77" w:rsidP="00CA1C68">
      <w:pPr>
        <w:pStyle w:val="Heading1"/>
      </w:pPr>
      <w:r w:rsidRPr="00A35C58">
        <w:lastRenderedPageBreak/>
        <w:t xml:space="preserve">Slide </w:t>
      </w:r>
      <w:r w:rsidR="00975B2F">
        <w:t>9</w:t>
      </w:r>
    </w:p>
    <w:p w:rsidR="004D6B5A" w:rsidRDefault="006A7071" w:rsidP="00CA1C68">
      <w:pPr>
        <w:pStyle w:val="Heading2"/>
      </w:pPr>
      <w:r w:rsidRPr="006A7071">
        <w:t xml:space="preserve">Breakout of Measures Not </w:t>
      </w:r>
      <w:r w:rsidR="004B5FF9">
        <w:t>Endorsed</w:t>
      </w:r>
      <w:r w:rsidRPr="006A7071">
        <w:t xml:space="preserve"> in the Aligned Measure Set by National Endorsement Status</w:t>
      </w:r>
    </w:p>
    <w:p w:rsidR="006A7071" w:rsidRPr="006A7071" w:rsidRDefault="004B5FF9" w:rsidP="00CA1C68">
      <w:pPr>
        <w:jc w:val="left"/>
        <w:rPr>
          <w:rFonts w:ascii="Helvetica" w:hAnsi="Helvetica"/>
          <w:sz w:val="24"/>
          <w:szCs w:val="24"/>
        </w:rPr>
      </w:pPr>
      <w:r>
        <w:rPr>
          <w:noProof/>
        </w:rPr>
        <w:drawing>
          <wp:anchor distT="0" distB="0" distL="114300" distR="114300" simplePos="0" relativeHeight="251658240" behindDoc="1" locked="0" layoutInCell="1" allowOverlap="1">
            <wp:simplePos x="0" y="0"/>
            <wp:positionH relativeFrom="column">
              <wp:posOffset>4344899</wp:posOffset>
            </wp:positionH>
            <wp:positionV relativeFrom="paragraph">
              <wp:posOffset>99339</wp:posOffset>
            </wp:positionV>
            <wp:extent cx="943610" cy="518795"/>
            <wp:effectExtent l="0" t="0" r="8890" b="0"/>
            <wp:wrapTight wrapText="bothSides">
              <wp:wrapPolygon edited="0">
                <wp:start x="0" y="0"/>
                <wp:lineTo x="0" y="20622"/>
                <wp:lineTo x="21367" y="20622"/>
                <wp:lineTo x="213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943610" cy="518795"/>
                    </a:xfrm>
                    <a:prstGeom prst="rect">
                      <a:avLst/>
                    </a:prstGeom>
                  </pic:spPr>
                </pic:pic>
              </a:graphicData>
            </a:graphic>
          </wp:anchor>
        </w:drawing>
      </w:r>
      <w:r w:rsidR="006A7071" w:rsidRPr="006A7071">
        <w:rPr>
          <w:rFonts w:ascii="Helvetica" w:hAnsi="Helvetica"/>
          <w:noProof/>
          <w:sz w:val="24"/>
          <w:szCs w:val="24"/>
        </w:rPr>
        <w:drawing>
          <wp:inline distT="0" distB="0" distL="0" distR="0" wp14:anchorId="69274A78" wp14:editId="2360BD5B">
            <wp:extent cx="4213555" cy="26541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a:stretch>
                      <a:fillRect/>
                    </a:stretch>
                  </pic:blipFill>
                  <pic:spPr>
                    <a:xfrm>
                      <a:off x="0" y="0"/>
                      <a:ext cx="4211955" cy="2653172"/>
                    </a:xfrm>
                    <a:prstGeom prst="rect">
                      <a:avLst/>
                    </a:prstGeom>
                  </pic:spPr>
                </pic:pic>
              </a:graphicData>
            </a:graphic>
          </wp:inline>
        </w:drawing>
      </w:r>
    </w:p>
    <w:p w:rsidR="004B5FF9" w:rsidRDefault="004B5FF9" w:rsidP="004B5FF9">
      <w:pPr>
        <w:jc w:val="left"/>
        <w:rPr>
          <w:rFonts w:ascii="Helvetica" w:hAnsi="Helvetica"/>
          <w:sz w:val="24"/>
          <w:szCs w:val="24"/>
        </w:rPr>
      </w:pPr>
      <w:r>
        <w:rPr>
          <w:rFonts w:ascii="Helvetica" w:hAnsi="Helvetica"/>
          <w:sz w:val="24"/>
          <w:szCs w:val="24"/>
        </w:rPr>
        <w:t>Figure Summary</w:t>
      </w:r>
    </w:p>
    <w:p w:rsidR="004B5FF9" w:rsidRDefault="004B5FF9" w:rsidP="004B5FF9">
      <w:pPr>
        <w:pStyle w:val="ListParagraph"/>
        <w:numPr>
          <w:ilvl w:val="0"/>
          <w:numId w:val="40"/>
        </w:numPr>
        <w:jc w:val="left"/>
        <w:rPr>
          <w:rFonts w:ascii="Helvetica" w:hAnsi="Helvetica"/>
          <w:sz w:val="24"/>
          <w:szCs w:val="24"/>
        </w:rPr>
      </w:pPr>
      <w:r>
        <w:rPr>
          <w:rFonts w:ascii="Helvetica" w:hAnsi="Helvetica"/>
          <w:sz w:val="24"/>
          <w:szCs w:val="24"/>
        </w:rPr>
        <w:t>Depicts use of measures that were not endorsed (NE) for inclusion in the Aligned Measure Set, broken out by whether or not they have national endorsement.</w:t>
      </w:r>
    </w:p>
    <w:p w:rsidR="004B5FF9" w:rsidRDefault="004B5FF9" w:rsidP="004B5FF9">
      <w:pPr>
        <w:pStyle w:val="ListParagraph"/>
        <w:numPr>
          <w:ilvl w:val="1"/>
          <w:numId w:val="40"/>
        </w:numPr>
        <w:jc w:val="left"/>
        <w:rPr>
          <w:rFonts w:ascii="Helvetica" w:hAnsi="Helvetica"/>
          <w:sz w:val="24"/>
          <w:szCs w:val="24"/>
        </w:rPr>
      </w:pPr>
      <w:r>
        <w:rPr>
          <w:rFonts w:ascii="Helvetica" w:hAnsi="Helvetica"/>
          <w:sz w:val="24"/>
          <w:szCs w:val="24"/>
        </w:rPr>
        <w:t>For 2019:</w:t>
      </w:r>
    </w:p>
    <w:p w:rsidR="004B5FF9" w:rsidRDefault="004B5FF9" w:rsidP="004B5FF9">
      <w:pPr>
        <w:pStyle w:val="ListParagraph"/>
        <w:numPr>
          <w:ilvl w:val="2"/>
          <w:numId w:val="40"/>
        </w:numPr>
        <w:jc w:val="left"/>
        <w:rPr>
          <w:rFonts w:ascii="Helvetica" w:hAnsi="Helvetica"/>
          <w:sz w:val="24"/>
          <w:szCs w:val="24"/>
        </w:rPr>
      </w:pPr>
      <w:r>
        <w:rPr>
          <w:rFonts w:ascii="Helvetica" w:hAnsi="Helvetica"/>
          <w:sz w:val="24"/>
          <w:szCs w:val="24"/>
        </w:rPr>
        <w:t>Single</w:t>
      </w:r>
      <w:r w:rsidR="00E016DA">
        <w:rPr>
          <w:rFonts w:ascii="Helvetica" w:hAnsi="Helvetica"/>
          <w:sz w:val="24"/>
          <w:szCs w:val="24"/>
        </w:rPr>
        <w:t xml:space="preserve"> payer – 23 NE</w:t>
      </w:r>
      <w:r>
        <w:rPr>
          <w:rFonts w:ascii="Helvetica" w:hAnsi="Helvetica"/>
          <w:sz w:val="24"/>
          <w:szCs w:val="24"/>
        </w:rPr>
        <w:t xml:space="preserve"> measures, 8 nationally endorsed</w:t>
      </w:r>
      <w:r w:rsidR="00E016DA">
        <w:rPr>
          <w:rFonts w:ascii="Helvetica" w:hAnsi="Helvetica"/>
          <w:sz w:val="24"/>
          <w:szCs w:val="24"/>
        </w:rPr>
        <w:t>, 15 not nationally endorsed</w:t>
      </w:r>
    </w:p>
    <w:p w:rsidR="00E016DA" w:rsidRDefault="00E016DA" w:rsidP="004B5FF9">
      <w:pPr>
        <w:pStyle w:val="ListParagraph"/>
        <w:numPr>
          <w:ilvl w:val="2"/>
          <w:numId w:val="40"/>
        </w:numPr>
        <w:jc w:val="left"/>
        <w:rPr>
          <w:rFonts w:ascii="Helvetica" w:hAnsi="Helvetica"/>
          <w:sz w:val="24"/>
          <w:szCs w:val="24"/>
        </w:rPr>
      </w:pPr>
      <w:r>
        <w:rPr>
          <w:rFonts w:ascii="Helvetica" w:hAnsi="Helvetica"/>
          <w:sz w:val="24"/>
          <w:szCs w:val="24"/>
        </w:rPr>
        <w:t>Two payers – 5 NE measures, 3 nationally endorsed, 2 not nationally endorsed</w:t>
      </w:r>
    </w:p>
    <w:p w:rsidR="00E016DA" w:rsidRDefault="00E016DA" w:rsidP="004B5FF9">
      <w:pPr>
        <w:pStyle w:val="ListParagraph"/>
        <w:numPr>
          <w:ilvl w:val="2"/>
          <w:numId w:val="40"/>
        </w:numPr>
        <w:jc w:val="left"/>
        <w:rPr>
          <w:rFonts w:ascii="Helvetica" w:hAnsi="Helvetica"/>
          <w:sz w:val="24"/>
          <w:szCs w:val="24"/>
        </w:rPr>
      </w:pPr>
      <w:r>
        <w:rPr>
          <w:rFonts w:ascii="Helvetica" w:hAnsi="Helvetica"/>
          <w:sz w:val="24"/>
          <w:szCs w:val="24"/>
        </w:rPr>
        <w:t>Three payers – 3 NE measures, all nationally endorsed</w:t>
      </w:r>
    </w:p>
    <w:p w:rsidR="00E016DA" w:rsidRDefault="00E016DA" w:rsidP="004B5FF9">
      <w:pPr>
        <w:pStyle w:val="ListParagraph"/>
        <w:numPr>
          <w:ilvl w:val="2"/>
          <w:numId w:val="40"/>
        </w:numPr>
        <w:jc w:val="left"/>
        <w:rPr>
          <w:rFonts w:ascii="Helvetica" w:hAnsi="Helvetica"/>
          <w:sz w:val="24"/>
          <w:szCs w:val="24"/>
        </w:rPr>
      </w:pPr>
      <w:r>
        <w:rPr>
          <w:rFonts w:ascii="Helvetica" w:hAnsi="Helvetica"/>
          <w:sz w:val="24"/>
          <w:szCs w:val="24"/>
        </w:rPr>
        <w:t>Four payers – none</w:t>
      </w:r>
    </w:p>
    <w:p w:rsidR="00E016DA" w:rsidRDefault="00E016DA" w:rsidP="004B5FF9">
      <w:pPr>
        <w:pStyle w:val="ListParagraph"/>
        <w:numPr>
          <w:ilvl w:val="2"/>
          <w:numId w:val="40"/>
        </w:numPr>
        <w:jc w:val="left"/>
        <w:rPr>
          <w:rFonts w:ascii="Helvetica" w:hAnsi="Helvetica"/>
          <w:sz w:val="24"/>
          <w:szCs w:val="24"/>
        </w:rPr>
      </w:pPr>
      <w:r>
        <w:rPr>
          <w:rFonts w:ascii="Helvetica" w:hAnsi="Helvetica"/>
          <w:sz w:val="24"/>
          <w:szCs w:val="24"/>
        </w:rPr>
        <w:t>Five payers – 3 NE measures, 2 nationally endorsed, 1 not nationally endorsed</w:t>
      </w:r>
    </w:p>
    <w:p w:rsidR="00E016DA" w:rsidRDefault="00E016DA" w:rsidP="004B5FF9">
      <w:pPr>
        <w:pStyle w:val="ListParagraph"/>
        <w:numPr>
          <w:ilvl w:val="2"/>
          <w:numId w:val="40"/>
        </w:numPr>
        <w:jc w:val="left"/>
        <w:rPr>
          <w:rFonts w:ascii="Helvetica" w:hAnsi="Helvetica"/>
          <w:sz w:val="24"/>
          <w:szCs w:val="24"/>
        </w:rPr>
      </w:pPr>
      <w:r>
        <w:rPr>
          <w:rFonts w:ascii="Helvetica" w:hAnsi="Helvetica"/>
          <w:sz w:val="24"/>
          <w:szCs w:val="24"/>
        </w:rPr>
        <w:t>Six payers – none</w:t>
      </w:r>
    </w:p>
    <w:p w:rsidR="00E016DA" w:rsidRDefault="00E016DA" w:rsidP="004B5FF9">
      <w:pPr>
        <w:pStyle w:val="ListParagraph"/>
        <w:numPr>
          <w:ilvl w:val="2"/>
          <w:numId w:val="40"/>
        </w:numPr>
        <w:jc w:val="left"/>
        <w:rPr>
          <w:rFonts w:ascii="Helvetica" w:hAnsi="Helvetica"/>
          <w:sz w:val="24"/>
          <w:szCs w:val="24"/>
        </w:rPr>
      </w:pPr>
      <w:r>
        <w:rPr>
          <w:rFonts w:ascii="Helvetica" w:hAnsi="Helvetica"/>
          <w:sz w:val="24"/>
          <w:szCs w:val="24"/>
        </w:rPr>
        <w:t>Seven payers – none</w:t>
      </w:r>
    </w:p>
    <w:p w:rsidR="00E016DA" w:rsidRDefault="00E016DA" w:rsidP="00E016DA">
      <w:pPr>
        <w:pStyle w:val="ListParagraph"/>
        <w:numPr>
          <w:ilvl w:val="1"/>
          <w:numId w:val="40"/>
        </w:numPr>
        <w:jc w:val="left"/>
        <w:rPr>
          <w:rFonts w:ascii="Helvetica" w:hAnsi="Helvetica"/>
          <w:sz w:val="24"/>
          <w:szCs w:val="24"/>
        </w:rPr>
      </w:pPr>
      <w:r>
        <w:rPr>
          <w:rFonts w:ascii="Helvetica" w:hAnsi="Helvetica"/>
          <w:sz w:val="24"/>
          <w:szCs w:val="24"/>
        </w:rPr>
        <w:t>For 2020:</w:t>
      </w:r>
    </w:p>
    <w:p w:rsidR="00E016DA" w:rsidRDefault="00E016DA" w:rsidP="00E016DA">
      <w:pPr>
        <w:pStyle w:val="ListParagraph"/>
        <w:numPr>
          <w:ilvl w:val="2"/>
          <w:numId w:val="40"/>
        </w:numPr>
        <w:jc w:val="left"/>
        <w:rPr>
          <w:rFonts w:ascii="Helvetica" w:hAnsi="Helvetica"/>
          <w:sz w:val="24"/>
          <w:szCs w:val="24"/>
        </w:rPr>
      </w:pPr>
      <w:r>
        <w:rPr>
          <w:rFonts w:ascii="Helvetica" w:hAnsi="Helvetica"/>
          <w:sz w:val="24"/>
          <w:szCs w:val="24"/>
        </w:rPr>
        <w:t>Single payer – 14 NE measures, 8 nationally endorsed, 6 not nationally endorsed</w:t>
      </w:r>
    </w:p>
    <w:p w:rsidR="00E016DA" w:rsidRDefault="00E016DA" w:rsidP="00E016DA">
      <w:pPr>
        <w:pStyle w:val="ListParagraph"/>
        <w:numPr>
          <w:ilvl w:val="2"/>
          <w:numId w:val="40"/>
        </w:numPr>
        <w:jc w:val="left"/>
        <w:rPr>
          <w:rFonts w:ascii="Helvetica" w:hAnsi="Helvetica"/>
          <w:sz w:val="24"/>
          <w:szCs w:val="24"/>
        </w:rPr>
      </w:pPr>
      <w:r>
        <w:rPr>
          <w:rFonts w:ascii="Helvetica" w:hAnsi="Helvetica"/>
          <w:sz w:val="24"/>
          <w:szCs w:val="24"/>
        </w:rPr>
        <w:t>Two payers – five NE measures, 4 nationally endorsed, 1 not nationally endorsed</w:t>
      </w:r>
    </w:p>
    <w:p w:rsidR="00E016DA" w:rsidRDefault="00E016DA" w:rsidP="00E016DA">
      <w:pPr>
        <w:pStyle w:val="ListParagraph"/>
        <w:numPr>
          <w:ilvl w:val="2"/>
          <w:numId w:val="40"/>
        </w:numPr>
        <w:jc w:val="left"/>
        <w:rPr>
          <w:rFonts w:ascii="Helvetica" w:hAnsi="Helvetica"/>
          <w:sz w:val="24"/>
          <w:szCs w:val="24"/>
        </w:rPr>
      </w:pPr>
      <w:r>
        <w:rPr>
          <w:rFonts w:ascii="Helvetica" w:hAnsi="Helvetica"/>
          <w:sz w:val="24"/>
          <w:szCs w:val="24"/>
        </w:rPr>
        <w:t>Three payers – 2 NE measures, 1 nationally endorsed, 1 not nationally endorsed</w:t>
      </w:r>
    </w:p>
    <w:p w:rsidR="00E016DA" w:rsidRDefault="00E016DA" w:rsidP="00E016DA">
      <w:pPr>
        <w:pStyle w:val="ListParagraph"/>
        <w:numPr>
          <w:ilvl w:val="2"/>
          <w:numId w:val="40"/>
        </w:numPr>
        <w:jc w:val="left"/>
        <w:rPr>
          <w:rFonts w:ascii="Helvetica" w:hAnsi="Helvetica"/>
          <w:sz w:val="24"/>
          <w:szCs w:val="24"/>
        </w:rPr>
      </w:pPr>
      <w:r>
        <w:rPr>
          <w:rFonts w:ascii="Helvetica" w:hAnsi="Helvetica"/>
          <w:sz w:val="24"/>
          <w:szCs w:val="24"/>
        </w:rPr>
        <w:t>Four payers – 3 nationally endorsed, 1 not nationally endorsed</w:t>
      </w:r>
    </w:p>
    <w:p w:rsidR="00E016DA" w:rsidRDefault="00E016DA" w:rsidP="00E016DA">
      <w:pPr>
        <w:pStyle w:val="ListParagraph"/>
        <w:numPr>
          <w:ilvl w:val="2"/>
          <w:numId w:val="40"/>
        </w:numPr>
        <w:jc w:val="left"/>
        <w:rPr>
          <w:rFonts w:ascii="Helvetica" w:hAnsi="Helvetica"/>
          <w:sz w:val="24"/>
          <w:szCs w:val="24"/>
        </w:rPr>
      </w:pPr>
      <w:r>
        <w:rPr>
          <w:rFonts w:ascii="Helvetica" w:hAnsi="Helvetica"/>
          <w:sz w:val="24"/>
          <w:szCs w:val="24"/>
        </w:rPr>
        <w:t>Five payers – 1 NE measure, not nationally endorsed</w:t>
      </w:r>
    </w:p>
    <w:p w:rsidR="00E016DA" w:rsidRDefault="00E016DA" w:rsidP="00E016DA">
      <w:pPr>
        <w:pStyle w:val="ListParagraph"/>
        <w:numPr>
          <w:ilvl w:val="2"/>
          <w:numId w:val="40"/>
        </w:numPr>
        <w:jc w:val="left"/>
        <w:rPr>
          <w:rFonts w:ascii="Helvetica" w:hAnsi="Helvetica"/>
          <w:sz w:val="24"/>
          <w:szCs w:val="24"/>
        </w:rPr>
      </w:pPr>
      <w:r>
        <w:rPr>
          <w:rFonts w:ascii="Helvetica" w:hAnsi="Helvetica"/>
          <w:sz w:val="24"/>
          <w:szCs w:val="24"/>
        </w:rPr>
        <w:lastRenderedPageBreak/>
        <w:t>Six payers – none</w:t>
      </w:r>
    </w:p>
    <w:p w:rsidR="00E016DA" w:rsidRDefault="00E016DA" w:rsidP="00E016DA">
      <w:pPr>
        <w:pStyle w:val="ListParagraph"/>
        <w:numPr>
          <w:ilvl w:val="2"/>
          <w:numId w:val="40"/>
        </w:numPr>
        <w:jc w:val="left"/>
        <w:rPr>
          <w:rFonts w:ascii="Helvetica" w:hAnsi="Helvetica"/>
          <w:sz w:val="24"/>
          <w:szCs w:val="24"/>
        </w:rPr>
      </w:pPr>
      <w:r>
        <w:rPr>
          <w:rFonts w:ascii="Helvetica" w:hAnsi="Helvetica"/>
          <w:sz w:val="24"/>
          <w:szCs w:val="24"/>
        </w:rPr>
        <w:t>Seven payers – none</w:t>
      </w:r>
    </w:p>
    <w:p w:rsidR="00E016DA" w:rsidRDefault="00E016DA" w:rsidP="00E016DA">
      <w:pPr>
        <w:pStyle w:val="ListParagraph"/>
        <w:numPr>
          <w:ilvl w:val="2"/>
          <w:numId w:val="40"/>
        </w:numPr>
        <w:jc w:val="left"/>
        <w:rPr>
          <w:rFonts w:ascii="Helvetica" w:hAnsi="Helvetica"/>
          <w:sz w:val="24"/>
          <w:szCs w:val="24"/>
        </w:rPr>
      </w:pPr>
      <w:r>
        <w:rPr>
          <w:rFonts w:ascii="Helvetica" w:hAnsi="Helvetica"/>
          <w:sz w:val="24"/>
          <w:szCs w:val="24"/>
        </w:rPr>
        <w:t>Eight payers - none</w:t>
      </w:r>
      <w:bookmarkStart w:id="0" w:name="_GoBack"/>
      <w:bookmarkEnd w:id="0"/>
    </w:p>
    <w:p w:rsidR="004B5FF9" w:rsidRPr="004B5FF9" w:rsidRDefault="004B5FF9" w:rsidP="004B5FF9">
      <w:pPr>
        <w:jc w:val="left"/>
        <w:rPr>
          <w:rFonts w:ascii="Helvetica" w:hAnsi="Helvetica"/>
          <w:sz w:val="24"/>
          <w:szCs w:val="24"/>
        </w:rPr>
      </w:pPr>
      <w:r>
        <w:rPr>
          <w:rFonts w:ascii="Helvetica" w:hAnsi="Helvetica"/>
          <w:sz w:val="24"/>
          <w:szCs w:val="24"/>
        </w:rPr>
        <w:t>Key Findings:</w:t>
      </w:r>
    </w:p>
    <w:p w:rsidR="006A7071" w:rsidRPr="006A7071" w:rsidRDefault="006A7071" w:rsidP="00A40DC0">
      <w:pPr>
        <w:pStyle w:val="ListParagraph"/>
        <w:numPr>
          <w:ilvl w:val="0"/>
          <w:numId w:val="19"/>
        </w:numPr>
        <w:jc w:val="left"/>
        <w:rPr>
          <w:rFonts w:ascii="Helvetica" w:hAnsi="Helvetica"/>
          <w:sz w:val="24"/>
          <w:szCs w:val="24"/>
        </w:rPr>
      </w:pPr>
      <w:r w:rsidRPr="006A7071">
        <w:rPr>
          <w:rFonts w:ascii="Helvetica" w:hAnsi="Helvetica"/>
          <w:sz w:val="24"/>
          <w:szCs w:val="24"/>
        </w:rPr>
        <w:t>Of the 26 measures in use in contracts in 2020 that were not endorsed by the Taskforce for inclusion in the Aligned Measure Set, approximately 2</w:t>
      </w:r>
      <w:r w:rsidRPr="006A7071">
        <w:rPr>
          <w:rFonts w:ascii="Arial" w:hAnsi="Arial" w:cs="Arial"/>
          <w:sz w:val="24"/>
          <w:szCs w:val="24"/>
        </w:rPr>
        <w:t>⁄</w:t>
      </w:r>
      <w:r w:rsidRPr="006A7071">
        <w:rPr>
          <w:rFonts w:ascii="Helvetica" w:hAnsi="Helvetica"/>
          <w:sz w:val="24"/>
          <w:szCs w:val="24"/>
        </w:rPr>
        <w:t>3 have national endorsement (16 measures)</w:t>
      </w:r>
    </w:p>
    <w:p w:rsidR="006A7071" w:rsidRPr="006A7071" w:rsidRDefault="006A7071" w:rsidP="00A40DC0">
      <w:pPr>
        <w:pStyle w:val="ListParagraph"/>
        <w:numPr>
          <w:ilvl w:val="0"/>
          <w:numId w:val="19"/>
        </w:numPr>
        <w:jc w:val="left"/>
        <w:rPr>
          <w:rFonts w:ascii="Helvetica" w:hAnsi="Helvetica"/>
          <w:sz w:val="24"/>
          <w:szCs w:val="24"/>
        </w:rPr>
      </w:pPr>
      <w:r w:rsidRPr="006A7071">
        <w:rPr>
          <w:rFonts w:ascii="Helvetica" w:hAnsi="Helvetica"/>
          <w:sz w:val="24"/>
          <w:szCs w:val="24"/>
        </w:rPr>
        <w:t>In 2019, approximately 1</w:t>
      </w:r>
      <w:r w:rsidRPr="006A7071">
        <w:rPr>
          <w:rFonts w:ascii="Arial" w:hAnsi="Arial" w:cs="Arial"/>
          <w:sz w:val="24"/>
          <w:szCs w:val="24"/>
        </w:rPr>
        <w:t>⁄</w:t>
      </w:r>
      <w:r w:rsidRPr="006A7071">
        <w:rPr>
          <w:rFonts w:ascii="Helvetica" w:hAnsi="Helvetica"/>
          <w:sz w:val="24"/>
          <w:szCs w:val="24"/>
        </w:rPr>
        <w:t>2 of non-endorsed measures that were in use had national endorsement (16/34 measures)</w:t>
      </w:r>
    </w:p>
    <w:p w:rsidR="00BA2ADC" w:rsidRPr="00A35C58" w:rsidRDefault="00BA2ADC" w:rsidP="00CA1C68">
      <w:pPr>
        <w:pStyle w:val="Heading1"/>
      </w:pPr>
      <w:r w:rsidRPr="00A35C58">
        <w:t xml:space="preserve">Slide </w:t>
      </w:r>
      <w:r>
        <w:t>10</w:t>
      </w:r>
    </w:p>
    <w:p w:rsidR="00B83C24" w:rsidRDefault="00B83C24" w:rsidP="00CA1C68">
      <w:pPr>
        <w:pStyle w:val="Heading2"/>
      </w:pPr>
      <w:r w:rsidRPr="00864B77">
        <w:t>Agenda</w:t>
      </w:r>
    </w:p>
    <w:p w:rsidR="00B83C24" w:rsidRPr="004B47B8" w:rsidRDefault="00B83C24" w:rsidP="00A40DC0">
      <w:pPr>
        <w:pStyle w:val="ListParagraph"/>
        <w:numPr>
          <w:ilvl w:val="0"/>
          <w:numId w:val="21"/>
        </w:numPr>
        <w:jc w:val="left"/>
        <w:rPr>
          <w:rFonts w:ascii="Helvetica" w:hAnsi="Helvetica"/>
          <w:sz w:val="24"/>
          <w:szCs w:val="24"/>
        </w:rPr>
      </w:pPr>
      <w:r w:rsidRPr="004B47B8">
        <w:rPr>
          <w:rFonts w:ascii="Helvetica" w:hAnsi="Helvetica"/>
          <w:sz w:val="24"/>
          <w:szCs w:val="24"/>
        </w:rPr>
        <w:t>Welcome</w:t>
      </w:r>
    </w:p>
    <w:p w:rsidR="00B83C24" w:rsidRPr="006A7071" w:rsidRDefault="00B83C24" w:rsidP="00A40DC0">
      <w:pPr>
        <w:pStyle w:val="ListParagraph"/>
        <w:numPr>
          <w:ilvl w:val="0"/>
          <w:numId w:val="21"/>
        </w:numPr>
        <w:jc w:val="left"/>
        <w:rPr>
          <w:rFonts w:ascii="Helvetica" w:hAnsi="Helvetica"/>
          <w:sz w:val="24"/>
          <w:szCs w:val="24"/>
        </w:rPr>
      </w:pPr>
      <w:r w:rsidRPr="006A7071">
        <w:rPr>
          <w:rFonts w:ascii="Helvetica" w:hAnsi="Helvetica"/>
          <w:sz w:val="24"/>
          <w:szCs w:val="24"/>
        </w:rPr>
        <w:t>Revisit the process for considering non-endorsed measures</w:t>
      </w:r>
    </w:p>
    <w:p w:rsidR="00B83C24" w:rsidRPr="00B83C24" w:rsidRDefault="00B83C24" w:rsidP="00A40DC0">
      <w:pPr>
        <w:pStyle w:val="ListParagraph"/>
        <w:numPr>
          <w:ilvl w:val="0"/>
          <w:numId w:val="21"/>
        </w:numPr>
        <w:jc w:val="left"/>
        <w:rPr>
          <w:rFonts w:ascii="Helvetica" w:hAnsi="Helvetica"/>
          <w:sz w:val="24"/>
          <w:szCs w:val="24"/>
        </w:rPr>
      </w:pPr>
      <w:r w:rsidRPr="00B83C24">
        <w:rPr>
          <w:rFonts w:ascii="Helvetica" w:hAnsi="Helvetica"/>
          <w:sz w:val="24"/>
          <w:szCs w:val="24"/>
        </w:rPr>
        <w:t>Quality Catalogue analysis of non-aligned measures</w:t>
      </w:r>
    </w:p>
    <w:p w:rsidR="00B83C24" w:rsidRPr="00B83C24" w:rsidRDefault="00B83C24" w:rsidP="00A40DC0">
      <w:pPr>
        <w:pStyle w:val="ListParagraph"/>
        <w:numPr>
          <w:ilvl w:val="0"/>
          <w:numId w:val="21"/>
        </w:numPr>
        <w:jc w:val="left"/>
        <w:rPr>
          <w:rFonts w:ascii="Helvetica" w:hAnsi="Helvetica"/>
          <w:b/>
          <w:sz w:val="24"/>
          <w:szCs w:val="24"/>
        </w:rPr>
      </w:pPr>
      <w:r w:rsidRPr="00B83C24">
        <w:rPr>
          <w:rFonts w:ascii="Helvetica" w:hAnsi="Helvetica"/>
          <w:b/>
          <w:sz w:val="24"/>
          <w:szCs w:val="24"/>
        </w:rPr>
        <w:t>Continue the annual review of the Aligned Measure Set</w:t>
      </w:r>
    </w:p>
    <w:p w:rsidR="00B83C24" w:rsidRPr="00B83C24" w:rsidRDefault="00B83C24" w:rsidP="00A40DC0">
      <w:pPr>
        <w:pStyle w:val="ListParagraph"/>
        <w:numPr>
          <w:ilvl w:val="0"/>
          <w:numId w:val="21"/>
        </w:numPr>
        <w:jc w:val="left"/>
        <w:rPr>
          <w:rFonts w:ascii="Helvetica" w:hAnsi="Helvetica"/>
        </w:rPr>
      </w:pPr>
      <w:r w:rsidRPr="004B47B8">
        <w:rPr>
          <w:rFonts w:ascii="Helvetica" w:hAnsi="Helvetica"/>
          <w:sz w:val="24"/>
          <w:szCs w:val="24"/>
        </w:rPr>
        <w:t>Next steps</w:t>
      </w:r>
    </w:p>
    <w:p w:rsidR="00BA2ADC" w:rsidRPr="00A35C58" w:rsidRDefault="00BA2ADC" w:rsidP="00CA1C68">
      <w:pPr>
        <w:pStyle w:val="Heading1"/>
      </w:pPr>
      <w:r w:rsidRPr="00A35C58">
        <w:t xml:space="preserve">Slide </w:t>
      </w:r>
      <w:r>
        <w:t>1</w:t>
      </w:r>
      <w:r w:rsidR="008E1998">
        <w:t>1</w:t>
      </w:r>
    </w:p>
    <w:p w:rsidR="006540D1" w:rsidRDefault="00B83C24" w:rsidP="00CA1C68">
      <w:pPr>
        <w:pStyle w:val="Heading2"/>
      </w:pPr>
      <w:r w:rsidRPr="00B83C24">
        <w:t>Continue the Annual Review of the Aligned Measure Set</w:t>
      </w:r>
    </w:p>
    <w:p w:rsidR="006540D1" w:rsidRPr="00C62575" w:rsidRDefault="00B83C24" w:rsidP="00A40DC0">
      <w:pPr>
        <w:pStyle w:val="ListParagraph"/>
        <w:numPr>
          <w:ilvl w:val="0"/>
          <w:numId w:val="11"/>
        </w:numPr>
        <w:contextualSpacing w:val="0"/>
        <w:jc w:val="left"/>
        <w:rPr>
          <w:rFonts w:ascii="Helvetica" w:hAnsi="Helvetica" w:cs="Helvetica"/>
          <w:sz w:val="24"/>
          <w:szCs w:val="24"/>
        </w:rPr>
      </w:pPr>
      <w:r w:rsidRPr="00B83C24">
        <w:rPr>
          <w:rFonts w:ascii="Helvetica" w:hAnsi="Helvetica" w:cs="Helvetica"/>
          <w:sz w:val="24"/>
          <w:szCs w:val="24"/>
        </w:rPr>
        <w:t>Today, we will continue the annual review of the Aligned Measure Set.  Specifically we will:</w:t>
      </w:r>
    </w:p>
    <w:p w:rsidR="00B83C24" w:rsidRPr="00B83C24" w:rsidRDefault="00B83C24" w:rsidP="00A40DC0">
      <w:pPr>
        <w:pStyle w:val="ListParagraph"/>
        <w:numPr>
          <w:ilvl w:val="0"/>
          <w:numId w:val="22"/>
        </w:numPr>
        <w:jc w:val="left"/>
        <w:rPr>
          <w:rFonts w:ascii="Helvetica" w:hAnsi="Helvetica" w:cs="Helvetica"/>
          <w:sz w:val="24"/>
          <w:szCs w:val="24"/>
        </w:rPr>
      </w:pPr>
      <w:r w:rsidRPr="00B83C24">
        <w:rPr>
          <w:rFonts w:ascii="Helvetica" w:hAnsi="Helvetica" w:cs="Helvetica"/>
          <w:sz w:val="24"/>
          <w:szCs w:val="24"/>
        </w:rPr>
        <w:t>Revisit guiding principles</w:t>
      </w:r>
    </w:p>
    <w:p w:rsidR="00B83C24" w:rsidRPr="00B83C24" w:rsidRDefault="00B83C24" w:rsidP="00A40DC0">
      <w:pPr>
        <w:pStyle w:val="ListParagraph"/>
        <w:numPr>
          <w:ilvl w:val="0"/>
          <w:numId w:val="22"/>
        </w:numPr>
        <w:jc w:val="left"/>
        <w:rPr>
          <w:rFonts w:ascii="Helvetica" w:hAnsi="Helvetica" w:cs="Helvetica"/>
          <w:sz w:val="24"/>
          <w:szCs w:val="24"/>
        </w:rPr>
      </w:pPr>
      <w:r w:rsidRPr="00B83C24">
        <w:rPr>
          <w:rFonts w:ascii="Helvetica" w:hAnsi="Helvetica" w:cs="Helvetica"/>
          <w:sz w:val="24"/>
          <w:szCs w:val="24"/>
        </w:rPr>
        <w:t>Discuss Taskforce member proposals for additions, subtractions and replacements for 2021</w:t>
      </w:r>
    </w:p>
    <w:p w:rsidR="00B83C24" w:rsidRPr="00B83C24" w:rsidRDefault="00B83C24" w:rsidP="00A40DC0">
      <w:pPr>
        <w:pStyle w:val="ListParagraph"/>
        <w:numPr>
          <w:ilvl w:val="0"/>
          <w:numId w:val="22"/>
        </w:numPr>
        <w:jc w:val="left"/>
        <w:rPr>
          <w:rFonts w:ascii="Helvetica" w:hAnsi="Helvetica" w:cs="Helvetica"/>
          <w:sz w:val="24"/>
          <w:szCs w:val="24"/>
        </w:rPr>
      </w:pPr>
      <w:r w:rsidRPr="00B83C24">
        <w:rPr>
          <w:rFonts w:ascii="Helvetica" w:hAnsi="Helvetica" w:cs="Helvetica"/>
          <w:sz w:val="24"/>
          <w:szCs w:val="24"/>
        </w:rPr>
        <w:t>Conduct an initial review of new measures/topics</w:t>
      </w:r>
    </w:p>
    <w:p w:rsidR="006540D1" w:rsidRPr="00B83C24" w:rsidRDefault="00B83C24" w:rsidP="00A40DC0">
      <w:pPr>
        <w:pStyle w:val="ListParagraph"/>
        <w:numPr>
          <w:ilvl w:val="0"/>
          <w:numId w:val="22"/>
        </w:numPr>
        <w:jc w:val="left"/>
        <w:rPr>
          <w:rFonts w:ascii="Helvetica" w:hAnsi="Helvetica" w:cs="Helvetica"/>
          <w:sz w:val="24"/>
          <w:szCs w:val="24"/>
        </w:rPr>
      </w:pPr>
      <w:r w:rsidRPr="00B83C24">
        <w:rPr>
          <w:rFonts w:ascii="Helvetica" w:hAnsi="Helvetica" w:cs="Helvetica"/>
          <w:sz w:val="24"/>
          <w:szCs w:val="24"/>
        </w:rPr>
        <w:t>Review the 2020 Aligned Measure Set for possible changes for 2021</w:t>
      </w:r>
    </w:p>
    <w:p w:rsidR="008E1998" w:rsidRDefault="008E1998" w:rsidP="00CA1C68">
      <w:pPr>
        <w:pStyle w:val="Heading1"/>
      </w:pPr>
      <w:r w:rsidRPr="00A35C58">
        <w:t xml:space="preserve">Slide </w:t>
      </w:r>
      <w:r>
        <w:t>12</w:t>
      </w:r>
    </w:p>
    <w:p w:rsidR="008E1998" w:rsidRDefault="00B83C24" w:rsidP="00CA1C68">
      <w:pPr>
        <w:pStyle w:val="Heading2"/>
      </w:pPr>
      <w:r w:rsidRPr="00B83C24">
        <w:t>Annual Review Process</w:t>
      </w:r>
    </w:p>
    <w:p w:rsidR="00B83C24" w:rsidRPr="00B83C24" w:rsidRDefault="00B83C24" w:rsidP="00CA1C68">
      <w:pPr>
        <w:jc w:val="left"/>
      </w:pPr>
      <w:r w:rsidRPr="00B83C24">
        <w:t>Background</w:t>
      </w:r>
    </w:p>
    <w:p w:rsidR="00DB2254" w:rsidRPr="00B83C24" w:rsidRDefault="00B83C24" w:rsidP="00A40DC0">
      <w:pPr>
        <w:pStyle w:val="ListParagraph"/>
        <w:numPr>
          <w:ilvl w:val="0"/>
          <w:numId w:val="23"/>
        </w:numPr>
        <w:jc w:val="left"/>
        <w:rPr>
          <w:rFonts w:ascii="Helvetica" w:hAnsi="Helvetica"/>
          <w:sz w:val="24"/>
          <w:szCs w:val="24"/>
        </w:rPr>
      </w:pPr>
      <w:r w:rsidRPr="00B83C24">
        <w:rPr>
          <w:rFonts w:ascii="Helvetica" w:hAnsi="Helvetica"/>
          <w:sz w:val="24"/>
          <w:szCs w:val="24"/>
        </w:rPr>
        <w:t>Revisit guiding principles</w:t>
      </w:r>
    </w:p>
    <w:p w:rsidR="003A57E9" w:rsidRDefault="003A57E9" w:rsidP="00CA1C68">
      <w:pPr>
        <w:pStyle w:val="Heading1"/>
      </w:pPr>
      <w:r w:rsidRPr="00A35C58">
        <w:t xml:space="preserve">Slide </w:t>
      </w:r>
      <w:r>
        <w:t>13</w:t>
      </w:r>
    </w:p>
    <w:p w:rsidR="003A57E9" w:rsidRDefault="00B67D27" w:rsidP="00CA1C68">
      <w:pPr>
        <w:pStyle w:val="Heading2"/>
      </w:pPr>
      <w:r w:rsidRPr="00B67D27">
        <w:lastRenderedPageBreak/>
        <w:t>Taskforce Guiding Principles</w:t>
      </w:r>
    </w:p>
    <w:p w:rsidR="00B67D27" w:rsidRPr="00B67D27" w:rsidRDefault="00B67D27" w:rsidP="00A40DC0">
      <w:pPr>
        <w:pStyle w:val="ListParagraph"/>
        <w:numPr>
          <w:ilvl w:val="0"/>
          <w:numId w:val="3"/>
        </w:numPr>
        <w:jc w:val="left"/>
        <w:rPr>
          <w:rFonts w:ascii="Helvetica" w:hAnsi="Helvetica"/>
          <w:sz w:val="24"/>
          <w:szCs w:val="24"/>
        </w:rPr>
      </w:pPr>
      <w:r w:rsidRPr="00B67D27">
        <w:rPr>
          <w:rFonts w:ascii="Helvetica" w:hAnsi="Helvetica"/>
          <w:sz w:val="24"/>
          <w:szCs w:val="24"/>
        </w:rPr>
        <w:t>During the 11/19 meeting, Taskforce members recommended a number of changes to the Guiding Principles.</w:t>
      </w:r>
    </w:p>
    <w:p w:rsidR="00B67D27" w:rsidRPr="00B67D27" w:rsidRDefault="00B67D27" w:rsidP="00A40DC0">
      <w:pPr>
        <w:pStyle w:val="ListParagraph"/>
        <w:numPr>
          <w:ilvl w:val="0"/>
          <w:numId w:val="3"/>
        </w:numPr>
        <w:jc w:val="left"/>
        <w:rPr>
          <w:rFonts w:ascii="Helvetica" w:hAnsi="Helvetica"/>
          <w:sz w:val="24"/>
          <w:szCs w:val="24"/>
        </w:rPr>
      </w:pPr>
      <w:r w:rsidRPr="00B67D27">
        <w:rPr>
          <w:rFonts w:ascii="Helvetica" w:hAnsi="Helvetica"/>
          <w:sz w:val="24"/>
          <w:szCs w:val="24"/>
        </w:rPr>
        <w:t>The next few slides show changes made to the Guiding Principles based on Taskforce member feedback.</w:t>
      </w:r>
    </w:p>
    <w:p w:rsidR="00B67D27" w:rsidRPr="00B67D27" w:rsidRDefault="00B67D27" w:rsidP="00A40DC0">
      <w:pPr>
        <w:pStyle w:val="ListParagraph"/>
        <w:numPr>
          <w:ilvl w:val="1"/>
          <w:numId w:val="3"/>
        </w:numPr>
        <w:jc w:val="left"/>
        <w:rPr>
          <w:rFonts w:ascii="Helvetica" w:hAnsi="Helvetica"/>
          <w:sz w:val="24"/>
          <w:szCs w:val="24"/>
        </w:rPr>
      </w:pPr>
      <w:r w:rsidRPr="00B67D27">
        <w:rPr>
          <w:rFonts w:ascii="Helvetica" w:hAnsi="Helvetica"/>
          <w:sz w:val="24"/>
          <w:szCs w:val="24"/>
        </w:rPr>
        <w:t>Note: These edits do not reflect the 11/20 emailed recommendation by Arlene Ash.  Those recommended changes can be discussed today.</w:t>
      </w:r>
    </w:p>
    <w:p w:rsidR="00B67D27" w:rsidRPr="00B67D27" w:rsidRDefault="00B67D27" w:rsidP="00A40DC0">
      <w:pPr>
        <w:pStyle w:val="ListParagraph"/>
        <w:numPr>
          <w:ilvl w:val="0"/>
          <w:numId w:val="3"/>
        </w:numPr>
        <w:jc w:val="left"/>
        <w:rPr>
          <w:rFonts w:ascii="Helvetica" w:hAnsi="Helvetica"/>
          <w:sz w:val="24"/>
          <w:szCs w:val="24"/>
        </w:rPr>
      </w:pPr>
      <w:r w:rsidRPr="00B67D27">
        <w:rPr>
          <w:rFonts w:ascii="Helvetica" w:hAnsi="Helvetica"/>
          <w:sz w:val="24"/>
          <w:szCs w:val="24"/>
        </w:rPr>
        <w:t xml:space="preserve">We will allocate up to 30 minutes for this conversation today, mindful that we need to commence discussions of the 2021 set today if we are to meet our deadline of a March recommendation to the EOHHS Secretary.  </w:t>
      </w:r>
    </w:p>
    <w:p w:rsidR="00DB2254" w:rsidRPr="00DB2254" w:rsidRDefault="00B67D27" w:rsidP="00A40DC0">
      <w:pPr>
        <w:pStyle w:val="ListParagraph"/>
        <w:numPr>
          <w:ilvl w:val="1"/>
          <w:numId w:val="3"/>
        </w:numPr>
        <w:jc w:val="left"/>
        <w:rPr>
          <w:rFonts w:ascii="Helvetica" w:hAnsi="Helvetica"/>
          <w:sz w:val="24"/>
          <w:szCs w:val="24"/>
        </w:rPr>
      </w:pPr>
      <w:r w:rsidRPr="00B67D27">
        <w:rPr>
          <w:rFonts w:ascii="Helvetica" w:hAnsi="Helvetica"/>
          <w:sz w:val="24"/>
          <w:szCs w:val="24"/>
        </w:rPr>
        <w:t>If additional time is needed, we can continue discussion during the January meeting.</w:t>
      </w:r>
    </w:p>
    <w:p w:rsidR="00A61A2D" w:rsidRDefault="00A61A2D" w:rsidP="00CA1C68">
      <w:pPr>
        <w:pStyle w:val="Heading1"/>
      </w:pPr>
      <w:r w:rsidRPr="00A35C58">
        <w:t xml:space="preserve">Slide </w:t>
      </w:r>
      <w:r>
        <w:t>14</w:t>
      </w:r>
    </w:p>
    <w:p w:rsidR="003A57E9" w:rsidRDefault="00B67D27" w:rsidP="00CA1C68">
      <w:pPr>
        <w:pStyle w:val="Heading2"/>
      </w:pPr>
      <w:r w:rsidRPr="00B67D27">
        <w:t>Principles Applied to Individual Measures</w:t>
      </w:r>
    </w:p>
    <w:p w:rsidR="00B67D27" w:rsidRPr="00B67D27" w:rsidRDefault="00B67D27" w:rsidP="00A40DC0">
      <w:pPr>
        <w:pStyle w:val="ListParagraph"/>
        <w:numPr>
          <w:ilvl w:val="0"/>
          <w:numId w:val="24"/>
        </w:numPr>
        <w:jc w:val="left"/>
        <w:rPr>
          <w:rFonts w:ascii="Helvetica" w:hAnsi="Helvetica"/>
          <w:sz w:val="24"/>
          <w:szCs w:val="24"/>
        </w:rPr>
      </w:pPr>
      <w:r w:rsidRPr="00B67D27">
        <w:rPr>
          <w:rFonts w:ascii="Helvetica" w:hAnsi="Helvetica"/>
          <w:sz w:val="24"/>
          <w:szCs w:val="24"/>
        </w:rPr>
        <w:t xml:space="preserve">Evidence-based, </w:t>
      </w:r>
      <w:r w:rsidRPr="00B67D27">
        <w:rPr>
          <w:rFonts w:ascii="Helvetica" w:hAnsi="Helvetica"/>
          <w:strike/>
          <w:sz w:val="24"/>
          <w:szCs w:val="24"/>
        </w:rPr>
        <w:t>scientifically acceptable, nationally endorsed and</w:t>
      </w:r>
      <w:r w:rsidRPr="00B67D27">
        <w:rPr>
          <w:rFonts w:ascii="Helvetica" w:hAnsi="Helvetica"/>
          <w:sz w:val="24"/>
          <w:szCs w:val="24"/>
        </w:rPr>
        <w:t xml:space="preserve"> valid </w:t>
      </w:r>
      <w:r w:rsidRPr="00B67D27">
        <w:rPr>
          <w:rFonts w:ascii="Helvetica" w:hAnsi="Helvetica"/>
          <w:b/>
          <w:sz w:val="24"/>
          <w:szCs w:val="24"/>
        </w:rPr>
        <w:t>and reliable</w:t>
      </w:r>
      <w:r w:rsidRPr="00B67D27">
        <w:rPr>
          <w:rFonts w:ascii="Helvetica" w:hAnsi="Helvetica"/>
          <w:sz w:val="24"/>
          <w:szCs w:val="24"/>
        </w:rPr>
        <w:t xml:space="preserve"> at the level at which it is being used (ACO-level in particular).</w:t>
      </w:r>
    </w:p>
    <w:p w:rsidR="00B67D27" w:rsidRPr="00B67D27" w:rsidRDefault="00B67D27" w:rsidP="00A40DC0">
      <w:pPr>
        <w:pStyle w:val="ListParagraph"/>
        <w:numPr>
          <w:ilvl w:val="0"/>
          <w:numId w:val="24"/>
        </w:numPr>
        <w:jc w:val="left"/>
        <w:rPr>
          <w:rFonts w:ascii="Helvetica" w:hAnsi="Helvetica"/>
          <w:sz w:val="24"/>
          <w:szCs w:val="24"/>
        </w:rPr>
      </w:pPr>
      <w:r w:rsidRPr="00B67D27">
        <w:rPr>
          <w:rFonts w:ascii="Helvetica" w:hAnsi="Helvetica"/>
          <w:sz w:val="24"/>
          <w:szCs w:val="24"/>
        </w:rPr>
        <w:t>Required data should be either readily available, not overly burdensome to collect, or, if burdensome, of demonstrable value for improving patient care.</w:t>
      </w:r>
    </w:p>
    <w:p w:rsidR="00B67D27" w:rsidRPr="00B67D27" w:rsidRDefault="00B67D27" w:rsidP="00A40DC0">
      <w:pPr>
        <w:pStyle w:val="ListParagraph"/>
        <w:numPr>
          <w:ilvl w:val="0"/>
          <w:numId w:val="24"/>
        </w:numPr>
        <w:jc w:val="left"/>
        <w:rPr>
          <w:rFonts w:ascii="Helvetica" w:hAnsi="Helvetica"/>
          <w:sz w:val="24"/>
          <w:szCs w:val="24"/>
        </w:rPr>
      </w:pPr>
      <w:r w:rsidRPr="00B67D27">
        <w:rPr>
          <w:rFonts w:ascii="Helvetica" w:hAnsi="Helvetica"/>
          <w:sz w:val="24"/>
          <w:szCs w:val="24"/>
        </w:rPr>
        <w:t xml:space="preserve">Represents an opportunity </w:t>
      </w:r>
      <w:r w:rsidRPr="00B67D27">
        <w:rPr>
          <w:rFonts w:ascii="Helvetica" w:hAnsi="Helvetica"/>
          <w:strike/>
          <w:sz w:val="24"/>
          <w:szCs w:val="24"/>
        </w:rPr>
        <w:t>for improvement</w:t>
      </w:r>
      <w:r w:rsidRPr="00B67D27">
        <w:rPr>
          <w:rFonts w:ascii="Helvetica" w:hAnsi="Helvetica"/>
          <w:sz w:val="24"/>
          <w:szCs w:val="24"/>
        </w:rPr>
        <w:t xml:space="preserve"> </w:t>
      </w:r>
      <w:r w:rsidRPr="00B67D27">
        <w:rPr>
          <w:rFonts w:ascii="Helvetica" w:hAnsi="Helvetica"/>
          <w:b/>
          <w:sz w:val="24"/>
          <w:szCs w:val="24"/>
        </w:rPr>
        <w:t>to improve population health at the total population and/or subpopulation level</w:t>
      </w:r>
      <w:r w:rsidRPr="00B67D27">
        <w:rPr>
          <w:rFonts w:ascii="Helvetica" w:hAnsi="Helvetica"/>
          <w:sz w:val="24"/>
          <w:szCs w:val="24"/>
        </w:rPr>
        <w:t>.</w:t>
      </w:r>
    </w:p>
    <w:p w:rsidR="00CB64F7" w:rsidRPr="00B67D27" w:rsidRDefault="00B67D27" w:rsidP="00A40DC0">
      <w:pPr>
        <w:pStyle w:val="ListParagraph"/>
        <w:numPr>
          <w:ilvl w:val="0"/>
          <w:numId w:val="24"/>
        </w:numPr>
        <w:jc w:val="left"/>
        <w:rPr>
          <w:rFonts w:ascii="Helvetica" w:hAnsi="Helvetica"/>
          <w:strike/>
          <w:sz w:val="24"/>
          <w:szCs w:val="24"/>
        </w:rPr>
      </w:pPr>
      <w:r w:rsidRPr="00B67D27">
        <w:rPr>
          <w:rFonts w:ascii="Helvetica" w:hAnsi="Helvetica"/>
          <w:strike/>
          <w:sz w:val="24"/>
          <w:szCs w:val="24"/>
        </w:rPr>
        <w:t>Is important to consumers and supports the triple aim of better care, better health and lower cost.</w:t>
      </w:r>
    </w:p>
    <w:p w:rsidR="0018150A" w:rsidRDefault="0018150A" w:rsidP="00CA1C68">
      <w:pPr>
        <w:pStyle w:val="Heading1"/>
      </w:pPr>
      <w:r w:rsidRPr="00A35C58">
        <w:t xml:space="preserve">Slide </w:t>
      </w:r>
      <w:r>
        <w:t>15</w:t>
      </w:r>
    </w:p>
    <w:p w:rsidR="0018150A" w:rsidRPr="0018150A" w:rsidRDefault="00B67D27" w:rsidP="00CA1C68">
      <w:pPr>
        <w:pStyle w:val="Heading2"/>
      </w:pPr>
      <w:r w:rsidRPr="00B67D27">
        <w:t xml:space="preserve">Principles to be </w:t>
      </w:r>
      <w:proofErr w:type="gramStart"/>
      <w:r w:rsidRPr="00B67D27">
        <w:t>Applied</w:t>
      </w:r>
      <w:proofErr w:type="gramEnd"/>
      <w:r w:rsidRPr="00B67D27">
        <w:t xml:space="preserve"> to the Measure Set</w:t>
      </w:r>
    </w:p>
    <w:p w:rsidR="00B67D27" w:rsidRPr="00B67D27" w:rsidRDefault="00B67D27" w:rsidP="00A40DC0">
      <w:pPr>
        <w:pStyle w:val="ListParagraph"/>
        <w:numPr>
          <w:ilvl w:val="0"/>
          <w:numId w:val="25"/>
        </w:numPr>
        <w:jc w:val="left"/>
        <w:rPr>
          <w:rFonts w:ascii="Helvetica" w:hAnsi="Helvetica"/>
          <w:sz w:val="24"/>
          <w:szCs w:val="24"/>
        </w:rPr>
      </w:pPr>
      <w:r w:rsidRPr="00B67D27">
        <w:rPr>
          <w:rFonts w:ascii="Helvetica" w:hAnsi="Helvetica"/>
          <w:sz w:val="24"/>
          <w:szCs w:val="24"/>
        </w:rPr>
        <w:t xml:space="preserve">Prioritize health outcomes, including measures sourced from clinical and patient-reported data.  </w:t>
      </w:r>
    </w:p>
    <w:p w:rsidR="00B67D27" w:rsidRPr="00B67D27" w:rsidRDefault="00B67D27" w:rsidP="00A40DC0">
      <w:pPr>
        <w:pStyle w:val="ListParagraph"/>
        <w:numPr>
          <w:ilvl w:val="0"/>
          <w:numId w:val="25"/>
        </w:numPr>
        <w:jc w:val="left"/>
        <w:rPr>
          <w:rFonts w:ascii="Helvetica" w:hAnsi="Helvetica"/>
          <w:sz w:val="24"/>
          <w:szCs w:val="24"/>
        </w:rPr>
      </w:pPr>
      <w:r w:rsidRPr="00B67D27">
        <w:rPr>
          <w:rFonts w:ascii="Helvetica" w:hAnsi="Helvetica"/>
          <w:sz w:val="24"/>
          <w:szCs w:val="24"/>
        </w:rPr>
        <w:t xml:space="preserve">Provide a largely complete and holistic view of the entity being evaluated (e.g., ACO, primary care practice, hospital). </w:t>
      </w:r>
    </w:p>
    <w:p w:rsidR="00B67D27" w:rsidRPr="00B67D27" w:rsidRDefault="00B67D27" w:rsidP="00A40DC0">
      <w:pPr>
        <w:pStyle w:val="ListParagraph"/>
        <w:numPr>
          <w:ilvl w:val="0"/>
          <w:numId w:val="25"/>
        </w:numPr>
        <w:jc w:val="left"/>
        <w:rPr>
          <w:rFonts w:ascii="Helvetica" w:hAnsi="Helvetica"/>
          <w:sz w:val="24"/>
          <w:szCs w:val="24"/>
        </w:rPr>
      </w:pPr>
      <w:r w:rsidRPr="00B67D27">
        <w:rPr>
          <w:rFonts w:ascii="Helvetica" w:hAnsi="Helvetica"/>
          <w:sz w:val="24"/>
          <w:szCs w:val="24"/>
        </w:rPr>
        <w:t>The measure set should strive for parsimony.</w:t>
      </w:r>
    </w:p>
    <w:p w:rsidR="00B67D27" w:rsidRPr="00B67D27" w:rsidRDefault="00B67D27" w:rsidP="00A40DC0">
      <w:pPr>
        <w:pStyle w:val="ListParagraph"/>
        <w:numPr>
          <w:ilvl w:val="0"/>
          <w:numId w:val="25"/>
        </w:numPr>
        <w:jc w:val="left"/>
        <w:rPr>
          <w:rFonts w:ascii="Helvetica" w:hAnsi="Helvetica"/>
          <w:sz w:val="24"/>
          <w:szCs w:val="24"/>
        </w:rPr>
      </w:pPr>
      <w:r w:rsidRPr="00B67D27">
        <w:rPr>
          <w:rFonts w:ascii="Helvetica" w:hAnsi="Helvetica"/>
          <w:sz w:val="24"/>
          <w:szCs w:val="24"/>
        </w:rPr>
        <w:t>Taken as a whole, high performance on the proposed measure set should significantly advance the delivery system toward the goals of safe, timely, effective, efficient, equitable, patient-centered (STEEEP) care.</w:t>
      </w:r>
    </w:p>
    <w:p w:rsidR="00CB64F7" w:rsidRPr="00B67D27" w:rsidRDefault="00B67D27" w:rsidP="00A40DC0">
      <w:pPr>
        <w:pStyle w:val="ListParagraph"/>
        <w:numPr>
          <w:ilvl w:val="0"/>
          <w:numId w:val="25"/>
        </w:numPr>
        <w:jc w:val="left"/>
        <w:rPr>
          <w:rFonts w:ascii="Helvetica" w:hAnsi="Helvetica"/>
          <w:sz w:val="24"/>
          <w:szCs w:val="24"/>
        </w:rPr>
      </w:pPr>
      <w:r w:rsidRPr="00B67D27">
        <w:rPr>
          <w:rFonts w:ascii="Helvetica" w:hAnsi="Helvetica"/>
          <w:sz w:val="24"/>
          <w:szCs w:val="24"/>
        </w:rPr>
        <w:t xml:space="preserve">Promotes value for </w:t>
      </w:r>
      <w:proofErr w:type="gramStart"/>
      <w:r w:rsidRPr="00B67D27">
        <w:rPr>
          <w:rFonts w:ascii="Helvetica" w:hAnsi="Helvetica"/>
          <w:strike/>
          <w:sz w:val="24"/>
          <w:szCs w:val="24"/>
        </w:rPr>
        <w:t>consumers</w:t>
      </w:r>
      <w:proofErr w:type="gramEnd"/>
      <w:r w:rsidRPr="00B67D27">
        <w:rPr>
          <w:rFonts w:ascii="Helvetica" w:hAnsi="Helvetica"/>
          <w:sz w:val="24"/>
          <w:szCs w:val="24"/>
        </w:rPr>
        <w:t xml:space="preserve"> </w:t>
      </w:r>
      <w:r w:rsidRPr="00B67D27">
        <w:rPr>
          <w:rFonts w:ascii="Helvetica" w:hAnsi="Helvetica"/>
          <w:b/>
          <w:sz w:val="24"/>
          <w:szCs w:val="24"/>
        </w:rPr>
        <w:t>patients</w:t>
      </w:r>
      <w:r w:rsidRPr="00B67D27">
        <w:rPr>
          <w:rFonts w:ascii="Helvetica" w:hAnsi="Helvetica"/>
          <w:sz w:val="24"/>
          <w:szCs w:val="24"/>
        </w:rPr>
        <w:t xml:space="preserve">, purchasers, and providers </w:t>
      </w:r>
      <w:r w:rsidRPr="00B67D27">
        <w:rPr>
          <w:rFonts w:ascii="Helvetica" w:hAnsi="Helvetica"/>
          <w:b/>
          <w:sz w:val="24"/>
          <w:szCs w:val="24"/>
        </w:rPr>
        <w:t>and supports the triple aim of better care, better health, and lower cost</w:t>
      </w:r>
      <w:r w:rsidRPr="00B67D27">
        <w:rPr>
          <w:rFonts w:ascii="Helvetica" w:hAnsi="Helvetica"/>
          <w:sz w:val="24"/>
          <w:szCs w:val="24"/>
        </w:rPr>
        <w:t>.</w:t>
      </w:r>
    </w:p>
    <w:p w:rsidR="00AC5635" w:rsidRDefault="00AC5635" w:rsidP="00CA1C68">
      <w:pPr>
        <w:pStyle w:val="Heading1"/>
      </w:pPr>
      <w:r w:rsidRPr="00A35C58">
        <w:t xml:space="preserve">Slide </w:t>
      </w:r>
      <w:r>
        <w:t>16</w:t>
      </w:r>
    </w:p>
    <w:p w:rsidR="00CB64F7" w:rsidRPr="0018150A" w:rsidRDefault="00E46B7E" w:rsidP="00CA1C68">
      <w:pPr>
        <w:pStyle w:val="Heading2"/>
      </w:pPr>
      <w:r w:rsidRPr="00E46B7E">
        <w:lastRenderedPageBreak/>
        <w:t xml:space="preserve">Principles to be </w:t>
      </w:r>
      <w:proofErr w:type="gramStart"/>
      <w:r w:rsidRPr="00E46B7E">
        <w:t>Applied</w:t>
      </w:r>
      <w:proofErr w:type="gramEnd"/>
      <w:r w:rsidRPr="00E46B7E">
        <w:t xml:space="preserve"> to Core Measures</w:t>
      </w:r>
    </w:p>
    <w:p w:rsidR="00E46B7E" w:rsidRPr="00E46B7E" w:rsidRDefault="00E46B7E" w:rsidP="00A40DC0">
      <w:pPr>
        <w:pStyle w:val="ListParagraph"/>
        <w:numPr>
          <w:ilvl w:val="0"/>
          <w:numId w:val="26"/>
        </w:numPr>
        <w:jc w:val="left"/>
        <w:rPr>
          <w:rFonts w:ascii="Helvetica" w:hAnsi="Helvetica"/>
          <w:sz w:val="24"/>
          <w:szCs w:val="24"/>
        </w:rPr>
      </w:pPr>
      <w:r w:rsidRPr="00E46B7E">
        <w:rPr>
          <w:rFonts w:ascii="Helvetica" w:hAnsi="Helvetica"/>
          <w:sz w:val="24"/>
          <w:szCs w:val="24"/>
        </w:rPr>
        <w:t>No more than five in number</w:t>
      </w:r>
    </w:p>
    <w:p w:rsidR="00E46B7E" w:rsidRPr="00E46B7E" w:rsidRDefault="00E46B7E" w:rsidP="00A40DC0">
      <w:pPr>
        <w:pStyle w:val="ListParagraph"/>
        <w:numPr>
          <w:ilvl w:val="0"/>
          <w:numId w:val="26"/>
        </w:numPr>
        <w:jc w:val="left"/>
        <w:rPr>
          <w:rFonts w:ascii="Helvetica" w:hAnsi="Helvetica"/>
          <w:sz w:val="24"/>
          <w:szCs w:val="24"/>
        </w:rPr>
      </w:pPr>
      <w:r w:rsidRPr="00E46B7E">
        <w:rPr>
          <w:rFonts w:ascii="Helvetica" w:hAnsi="Helvetica"/>
          <w:sz w:val="24"/>
          <w:szCs w:val="24"/>
        </w:rPr>
        <w:t>Outcomes-oriented</w:t>
      </w:r>
    </w:p>
    <w:p w:rsidR="00E46B7E" w:rsidRPr="00E46B7E" w:rsidRDefault="00E46B7E" w:rsidP="00A40DC0">
      <w:pPr>
        <w:pStyle w:val="ListParagraph"/>
        <w:numPr>
          <w:ilvl w:val="0"/>
          <w:numId w:val="26"/>
        </w:numPr>
        <w:jc w:val="left"/>
        <w:rPr>
          <w:rFonts w:ascii="Helvetica" w:hAnsi="Helvetica"/>
          <w:sz w:val="24"/>
          <w:szCs w:val="24"/>
        </w:rPr>
      </w:pPr>
      <w:r w:rsidRPr="00E46B7E">
        <w:rPr>
          <w:rFonts w:ascii="Helvetica" w:hAnsi="Helvetica"/>
          <w:sz w:val="24"/>
          <w:szCs w:val="24"/>
        </w:rPr>
        <w:t>At least one measure is focused on behavioral health</w:t>
      </w:r>
    </w:p>
    <w:p w:rsidR="00E46B7E" w:rsidRPr="00E46B7E" w:rsidRDefault="00E46B7E" w:rsidP="00A40DC0">
      <w:pPr>
        <w:pStyle w:val="ListParagraph"/>
        <w:numPr>
          <w:ilvl w:val="0"/>
          <w:numId w:val="26"/>
        </w:numPr>
        <w:jc w:val="left"/>
        <w:rPr>
          <w:rFonts w:ascii="Helvetica" w:hAnsi="Helvetica"/>
          <w:sz w:val="24"/>
          <w:szCs w:val="24"/>
        </w:rPr>
      </w:pPr>
      <w:r w:rsidRPr="00E46B7E">
        <w:rPr>
          <w:rFonts w:ascii="Helvetica" w:hAnsi="Helvetica"/>
          <w:sz w:val="24"/>
          <w:szCs w:val="24"/>
        </w:rPr>
        <w:t>Universally applicable to the greatest extent possible</w:t>
      </w:r>
    </w:p>
    <w:p w:rsidR="00E46B7E" w:rsidRPr="00E46B7E" w:rsidRDefault="00E46B7E" w:rsidP="00A40DC0">
      <w:pPr>
        <w:pStyle w:val="ListParagraph"/>
        <w:numPr>
          <w:ilvl w:val="0"/>
          <w:numId w:val="26"/>
        </w:numPr>
        <w:jc w:val="left"/>
        <w:rPr>
          <w:rFonts w:ascii="Helvetica" w:hAnsi="Helvetica"/>
          <w:sz w:val="24"/>
          <w:szCs w:val="24"/>
        </w:rPr>
      </w:pPr>
      <w:r w:rsidRPr="00E46B7E">
        <w:rPr>
          <w:rFonts w:ascii="Helvetica" w:hAnsi="Helvetica"/>
          <w:sz w:val="24"/>
          <w:szCs w:val="24"/>
        </w:rPr>
        <w:t>Crucial from a public health perspective</w:t>
      </w:r>
    </w:p>
    <w:p w:rsidR="00E46B7E" w:rsidRPr="00E46B7E" w:rsidRDefault="00E46B7E" w:rsidP="00A40DC0">
      <w:pPr>
        <w:pStyle w:val="ListParagraph"/>
        <w:numPr>
          <w:ilvl w:val="0"/>
          <w:numId w:val="26"/>
        </w:numPr>
        <w:jc w:val="left"/>
        <w:rPr>
          <w:rFonts w:ascii="Helvetica" w:hAnsi="Helvetica"/>
          <w:sz w:val="24"/>
          <w:szCs w:val="24"/>
        </w:rPr>
      </w:pPr>
      <w:r w:rsidRPr="00E46B7E">
        <w:rPr>
          <w:rFonts w:ascii="Helvetica" w:hAnsi="Helvetica"/>
          <w:sz w:val="24"/>
          <w:szCs w:val="24"/>
        </w:rPr>
        <w:t>Comprised of measures that are highly aligned across existing payer global budget-based risk contract measures</w:t>
      </w:r>
    </w:p>
    <w:p w:rsidR="005303C6" w:rsidRPr="00E46B7E" w:rsidRDefault="00E46B7E" w:rsidP="00A40DC0">
      <w:pPr>
        <w:pStyle w:val="ListParagraph"/>
        <w:numPr>
          <w:ilvl w:val="0"/>
          <w:numId w:val="26"/>
        </w:numPr>
        <w:jc w:val="left"/>
        <w:rPr>
          <w:rFonts w:ascii="Helvetica" w:hAnsi="Helvetica"/>
          <w:sz w:val="24"/>
          <w:szCs w:val="24"/>
        </w:rPr>
      </w:pPr>
      <w:r w:rsidRPr="00E46B7E">
        <w:rPr>
          <w:rFonts w:ascii="Helvetica" w:hAnsi="Helvetica"/>
          <w:sz w:val="24"/>
          <w:szCs w:val="24"/>
        </w:rPr>
        <w:t>Enhances value</w:t>
      </w:r>
      <w:r w:rsidR="005303C6" w:rsidRPr="00E46B7E">
        <w:rPr>
          <w:rFonts w:ascii="Helvetica" w:hAnsi="Helvetica"/>
          <w:sz w:val="24"/>
          <w:szCs w:val="24"/>
        </w:rPr>
        <w:t xml:space="preserve"> </w:t>
      </w:r>
    </w:p>
    <w:p w:rsidR="005303C6" w:rsidRDefault="005303C6" w:rsidP="00CA1C68">
      <w:pPr>
        <w:pStyle w:val="Heading1"/>
      </w:pPr>
      <w:r w:rsidRPr="00A35C58">
        <w:t xml:space="preserve">Slide </w:t>
      </w:r>
      <w:r>
        <w:t>17</w:t>
      </w:r>
    </w:p>
    <w:p w:rsidR="005303C6" w:rsidRPr="0018150A" w:rsidRDefault="00E46B7E" w:rsidP="00CA1C68">
      <w:pPr>
        <w:pStyle w:val="Heading2"/>
      </w:pPr>
      <w:r w:rsidRPr="00E46B7E">
        <w:t>Annual Review Process</w:t>
      </w:r>
    </w:p>
    <w:p w:rsidR="005303C6" w:rsidRPr="00E46B7E" w:rsidRDefault="00E46B7E" w:rsidP="00A40DC0">
      <w:pPr>
        <w:pStyle w:val="ListParagraph"/>
        <w:numPr>
          <w:ilvl w:val="0"/>
          <w:numId w:val="27"/>
        </w:numPr>
        <w:jc w:val="left"/>
        <w:rPr>
          <w:rFonts w:ascii="Helvetica" w:hAnsi="Helvetica"/>
          <w:sz w:val="24"/>
          <w:szCs w:val="24"/>
        </w:rPr>
      </w:pPr>
      <w:r w:rsidRPr="00E46B7E">
        <w:rPr>
          <w:rFonts w:ascii="Helvetica" w:hAnsi="Helvetica"/>
          <w:sz w:val="24"/>
          <w:szCs w:val="24"/>
        </w:rPr>
        <w:t>Solicit Proposals for Additions, Subtractions and Replacements for 2021</w:t>
      </w:r>
    </w:p>
    <w:p w:rsidR="00AC5635" w:rsidRDefault="00AC5635" w:rsidP="00CA1C68">
      <w:pPr>
        <w:pStyle w:val="Heading1"/>
      </w:pPr>
      <w:r w:rsidRPr="00A35C58">
        <w:t xml:space="preserve">Slide </w:t>
      </w:r>
      <w:r>
        <w:t>18</w:t>
      </w:r>
    </w:p>
    <w:p w:rsidR="00E46B7E" w:rsidRDefault="00E46B7E" w:rsidP="00CA1C68">
      <w:pPr>
        <w:pStyle w:val="Heading2"/>
      </w:pPr>
      <w:r w:rsidRPr="00E46B7E">
        <w:t>Solicit Proposals for Additions, Subtrac</w:t>
      </w:r>
      <w:r>
        <w:t>tions and Replacements for 2021</w:t>
      </w:r>
    </w:p>
    <w:p w:rsidR="00E46B7E" w:rsidRPr="00E46B7E" w:rsidRDefault="00E46B7E" w:rsidP="00A40DC0">
      <w:pPr>
        <w:pStyle w:val="ListParagraph"/>
        <w:numPr>
          <w:ilvl w:val="0"/>
          <w:numId w:val="4"/>
        </w:numPr>
        <w:jc w:val="left"/>
        <w:rPr>
          <w:rStyle w:val="Strong"/>
          <w:b w:val="0"/>
        </w:rPr>
      </w:pPr>
      <w:r w:rsidRPr="00E46B7E">
        <w:rPr>
          <w:rStyle w:val="Strong"/>
          <w:b w:val="0"/>
        </w:rPr>
        <w:t>We will begin our review by asking you for your recommended additions, subtractions and replacements for the 2021 Aligned Measure Set.</w:t>
      </w:r>
    </w:p>
    <w:p w:rsidR="00E46B7E" w:rsidRPr="00E46B7E" w:rsidRDefault="00E46B7E" w:rsidP="00A40DC0">
      <w:pPr>
        <w:pStyle w:val="ListParagraph"/>
        <w:numPr>
          <w:ilvl w:val="1"/>
          <w:numId w:val="4"/>
        </w:numPr>
        <w:jc w:val="left"/>
        <w:rPr>
          <w:rStyle w:val="Strong"/>
          <w:b w:val="0"/>
        </w:rPr>
      </w:pPr>
      <w:r w:rsidRPr="00E46B7E">
        <w:rPr>
          <w:rStyle w:val="Strong"/>
          <w:b w:val="0"/>
        </w:rPr>
        <w:t>Do you have any recommended changes you wish to voice now?</w:t>
      </w:r>
    </w:p>
    <w:p w:rsidR="00E46B7E" w:rsidRPr="00E46B7E" w:rsidRDefault="00E46B7E" w:rsidP="00A40DC0">
      <w:pPr>
        <w:pStyle w:val="ListParagraph"/>
        <w:numPr>
          <w:ilvl w:val="1"/>
          <w:numId w:val="4"/>
        </w:numPr>
        <w:jc w:val="left"/>
        <w:rPr>
          <w:rStyle w:val="Strong"/>
          <w:b w:val="0"/>
        </w:rPr>
      </w:pPr>
      <w:r w:rsidRPr="00E46B7E">
        <w:rPr>
          <w:rStyle w:val="Strong"/>
          <w:b w:val="0"/>
        </w:rPr>
        <w:t xml:space="preserve">If you have additional thoughts, please email Justine with your recommendations at </w:t>
      </w:r>
      <w:hyperlink r:id="rId8" w:history="1">
        <w:r w:rsidRPr="002C3A74">
          <w:rPr>
            <w:rStyle w:val="Hyperlink"/>
            <w:rFonts w:ascii="Helvetica" w:hAnsi="Helvetica"/>
            <w:sz w:val="24"/>
            <w:szCs w:val="24"/>
          </w:rPr>
          <w:t>jzayhowski@bailit-health.com</w:t>
        </w:r>
      </w:hyperlink>
      <w:r>
        <w:rPr>
          <w:rStyle w:val="Strong"/>
          <w:b w:val="0"/>
        </w:rPr>
        <w:t xml:space="preserve"> </w:t>
      </w:r>
      <w:r w:rsidRPr="00E46B7E">
        <w:rPr>
          <w:rStyle w:val="Strong"/>
          <w:b w:val="0"/>
        </w:rPr>
        <w:t>by 12/27.</w:t>
      </w:r>
    </w:p>
    <w:p w:rsidR="00E46B7E" w:rsidRPr="00E46B7E" w:rsidRDefault="00E46B7E" w:rsidP="00A40DC0">
      <w:pPr>
        <w:pStyle w:val="ListParagraph"/>
        <w:numPr>
          <w:ilvl w:val="0"/>
          <w:numId w:val="4"/>
        </w:numPr>
        <w:jc w:val="left"/>
        <w:rPr>
          <w:rStyle w:val="Strong"/>
          <w:b w:val="0"/>
        </w:rPr>
      </w:pPr>
      <w:r w:rsidRPr="00E46B7E">
        <w:rPr>
          <w:rStyle w:val="Strong"/>
          <w:b w:val="0"/>
        </w:rPr>
        <w:t xml:space="preserve">We will also seek public input on recommended changes to the Aligned Measure Set. </w:t>
      </w:r>
    </w:p>
    <w:p w:rsidR="00E46B7E" w:rsidRPr="00F6332A" w:rsidRDefault="00E46B7E" w:rsidP="00A40DC0">
      <w:pPr>
        <w:pStyle w:val="ListParagraph"/>
        <w:numPr>
          <w:ilvl w:val="0"/>
          <w:numId w:val="4"/>
        </w:numPr>
        <w:contextualSpacing w:val="0"/>
        <w:jc w:val="left"/>
        <w:rPr>
          <w:rFonts w:ascii="Helvetica" w:hAnsi="Helvetica"/>
          <w:sz w:val="24"/>
          <w:szCs w:val="24"/>
        </w:rPr>
      </w:pPr>
      <w:r w:rsidRPr="00E46B7E">
        <w:rPr>
          <w:rStyle w:val="Strong"/>
          <w:b w:val="0"/>
        </w:rPr>
        <w:t>We will discuss any recommended changes during the January Taskforce meeting.</w:t>
      </w:r>
    </w:p>
    <w:p w:rsidR="003C0E0D" w:rsidRDefault="003C0E0D" w:rsidP="00CA1C68">
      <w:pPr>
        <w:pStyle w:val="Heading1"/>
      </w:pPr>
      <w:r w:rsidRPr="00A35C58">
        <w:t xml:space="preserve">Slide </w:t>
      </w:r>
      <w:r>
        <w:t>19</w:t>
      </w:r>
    </w:p>
    <w:p w:rsidR="00AC5635" w:rsidRDefault="00E46B7E" w:rsidP="00CA1C68">
      <w:pPr>
        <w:pStyle w:val="Heading2"/>
      </w:pPr>
      <w:r w:rsidRPr="00E46B7E">
        <w:t>Annual Review Process</w:t>
      </w:r>
    </w:p>
    <w:p w:rsidR="00E46B7E" w:rsidRPr="00E46B7E" w:rsidRDefault="00E46B7E" w:rsidP="00CA1C68">
      <w:pPr>
        <w:jc w:val="left"/>
        <w:rPr>
          <w:rFonts w:ascii="Helvetica" w:hAnsi="Helvetica" w:cs="Helvetica"/>
          <w:sz w:val="24"/>
          <w:szCs w:val="24"/>
        </w:rPr>
      </w:pPr>
      <w:r w:rsidRPr="00E46B7E">
        <w:rPr>
          <w:rFonts w:ascii="Helvetica" w:hAnsi="Helvetica" w:cs="Helvetica"/>
          <w:sz w:val="24"/>
          <w:szCs w:val="24"/>
        </w:rPr>
        <w:t>Initial Review of New Measures/Topics</w:t>
      </w:r>
    </w:p>
    <w:p w:rsidR="00E46B7E" w:rsidRPr="00E46B7E" w:rsidRDefault="00E46B7E" w:rsidP="00A40DC0">
      <w:pPr>
        <w:pStyle w:val="ListParagraph"/>
        <w:numPr>
          <w:ilvl w:val="0"/>
          <w:numId w:val="28"/>
        </w:numPr>
        <w:jc w:val="left"/>
        <w:rPr>
          <w:rFonts w:ascii="Helvetica" w:hAnsi="Helvetica" w:cs="Helvetica"/>
          <w:sz w:val="24"/>
          <w:szCs w:val="24"/>
        </w:rPr>
      </w:pPr>
      <w:r w:rsidRPr="00E46B7E">
        <w:rPr>
          <w:rFonts w:ascii="Helvetica" w:hAnsi="Helvetica" w:cs="Helvetica"/>
          <w:sz w:val="24"/>
          <w:szCs w:val="24"/>
        </w:rPr>
        <w:t>Consider whether to add hospital measures for 2021</w:t>
      </w:r>
    </w:p>
    <w:p w:rsidR="00E46B7E" w:rsidRPr="00E46B7E" w:rsidRDefault="00E46B7E" w:rsidP="00A40DC0">
      <w:pPr>
        <w:pStyle w:val="ListParagraph"/>
        <w:numPr>
          <w:ilvl w:val="0"/>
          <w:numId w:val="28"/>
        </w:numPr>
        <w:jc w:val="left"/>
        <w:rPr>
          <w:rFonts w:ascii="Helvetica" w:hAnsi="Helvetica" w:cs="Helvetica"/>
          <w:sz w:val="24"/>
          <w:szCs w:val="24"/>
        </w:rPr>
      </w:pPr>
      <w:r w:rsidRPr="00E46B7E">
        <w:rPr>
          <w:rFonts w:ascii="Helvetica" w:hAnsi="Helvetica" w:cs="Helvetica"/>
          <w:sz w:val="24"/>
          <w:szCs w:val="24"/>
        </w:rPr>
        <w:t>Review candidate pediatric measures for further consideration</w:t>
      </w:r>
    </w:p>
    <w:p w:rsidR="00E46B7E" w:rsidRPr="00E46B7E" w:rsidRDefault="00E46B7E" w:rsidP="00A40DC0">
      <w:pPr>
        <w:pStyle w:val="ListParagraph"/>
        <w:numPr>
          <w:ilvl w:val="0"/>
          <w:numId w:val="28"/>
        </w:numPr>
        <w:jc w:val="left"/>
        <w:rPr>
          <w:rFonts w:ascii="Helvetica" w:hAnsi="Helvetica" w:cs="Helvetica"/>
          <w:sz w:val="24"/>
          <w:szCs w:val="24"/>
        </w:rPr>
      </w:pPr>
      <w:r w:rsidRPr="00E46B7E">
        <w:rPr>
          <w:rFonts w:ascii="Helvetica" w:hAnsi="Helvetica" w:cs="Helvetica"/>
          <w:sz w:val="24"/>
          <w:szCs w:val="24"/>
        </w:rPr>
        <w:t>Consider other new measure topics</w:t>
      </w:r>
    </w:p>
    <w:p w:rsidR="00E46B7E" w:rsidRPr="00E46B7E" w:rsidRDefault="00E46B7E" w:rsidP="00A40DC0">
      <w:pPr>
        <w:pStyle w:val="ListParagraph"/>
        <w:numPr>
          <w:ilvl w:val="0"/>
          <w:numId w:val="28"/>
        </w:numPr>
        <w:jc w:val="left"/>
        <w:rPr>
          <w:rFonts w:ascii="Helvetica" w:hAnsi="Helvetica" w:cs="Helvetica"/>
          <w:sz w:val="24"/>
          <w:szCs w:val="24"/>
        </w:rPr>
      </w:pPr>
      <w:r w:rsidRPr="00E46B7E">
        <w:rPr>
          <w:rFonts w:ascii="Helvetica" w:hAnsi="Helvetica" w:cs="Helvetica"/>
          <w:sz w:val="24"/>
          <w:szCs w:val="24"/>
        </w:rPr>
        <w:t>Review new HEDIS measures</w:t>
      </w:r>
    </w:p>
    <w:p w:rsidR="00E46B7E" w:rsidRPr="00E46B7E" w:rsidRDefault="00E46B7E" w:rsidP="00A40DC0">
      <w:pPr>
        <w:pStyle w:val="ListParagraph"/>
        <w:numPr>
          <w:ilvl w:val="0"/>
          <w:numId w:val="28"/>
        </w:numPr>
        <w:jc w:val="left"/>
        <w:rPr>
          <w:rFonts w:ascii="Helvetica" w:hAnsi="Helvetica" w:cs="Helvetica"/>
          <w:sz w:val="24"/>
          <w:szCs w:val="24"/>
        </w:rPr>
      </w:pPr>
      <w:r w:rsidRPr="00E46B7E">
        <w:rPr>
          <w:rFonts w:ascii="Helvetica" w:hAnsi="Helvetica" w:cs="Helvetica"/>
          <w:sz w:val="24"/>
          <w:szCs w:val="24"/>
        </w:rPr>
        <w:t>Review new Medicaid Core Set measures</w:t>
      </w:r>
    </w:p>
    <w:p w:rsidR="003C0E0D" w:rsidRDefault="003C0E0D" w:rsidP="00CA1C68">
      <w:pPr>
        <w:pStyle w:val="Heading1"/>
      </w:pPr>
      <w:r w:rsidRPr="00A35C58">
        <w:t xml:space="preserve">Slide </w:t>
      </w:r>
      <w:r>
        <w:t>20</w:t>
      </w:r>
    </w:p>
    <w:p w:rsidR="003C0E0D" w:rsidRDefault="00043E5E" w:rsidP="00CA1C68">
      <w:pPr>
        <w:pStyle w:val="Heading2"/>
      </w:pPr>
      <w:r w:rsidRPr="00043E5E">
        <w:lastRenderedPageBreak/>
        <w:t>Initial Review of New Topics and Measures</w:t>
      </w:r>
    </w:p>
    <w:p w:rsidR="00043E5E" w:rsidRPr="00043E5E" w:rsidRDefault="00043E5E" w:rsidP="00A40DC0">
      <w:pPr>
        <w:pStyle w:val="ListParagraph"/>
        <w:numPr>
          <w:ilvl w:val="0"/>
          <w:numId w:val="5"/>
        </w:numPr>
        <w:jc w:val="left"/>
        <w:rPr>
          <w:rFonts w:ascii="Helvetica" w:hAnsi="Helvetica"/>
          <w:sz w:val="24"/>
          <w:szCs w:val="24"/>
        </w:rPr>
      </w:pPr>
      <w:r w:rsidRPr="00043E5E">
        <w:rPr>
          <w:rFonts w:ascii="Helvetica" w:hAnsi="Helvetica"/>
          <w:sz w:val="24"/>
          <w:szCs w:val="24"/>
        </w:rPr>
        <w:t>We will now consider new topics and new measures for consideration.</w:t>
      </w:r>
    </w:p>
    <w:p w:rsidR="00043E5E" w:rsidRPr="00043E5E" w:rsidRDefault="00043E5E" w:rsidP="00A40DC0">
      <w:pPr>
        <w:pStyle w:val="ListParagraph"/>
        <w:numPr>
          <w:ilvl w:val="0"/>
          <w:numId w:val="5"/>
        </w:numPr>
        <w:jc w:val="left"/>
        <w:rPr>
          <w:rFonts w:ascii="Helvetica" w:hAnsi="Helvetica"/>
          <w:sz w:val="24"/>
          <w:szCs w:val="24"/>
        </w:rPr>
      </w:pPr>
      <w:r w:rsidRPr="00043E5E">
        <w:rPr>
          <w:rFonts w:ascii="Helvetica" w:hAnsi="Helvetica"/>
          <w:sz w:val="24"/>
          <w:szCs w:val="24"/>
        </w:rPr>
        <w:t>For the topics of hospital measures and pediatric measures, we seek your initial feedback on inclusion of the topic or particular measures.</w:t>
      </w:r>
    </w:p>
    <w:p w:rsidR="00043E5E" w:rsidRPr="00043E5E" w:rsidRDefault="00043E5E" w:rsidP="00A40DC0">
      <w:pPr>
        <w:pStyle w:val="ListParagraph"/>
        <w:numPr>
          <w:ilvl w:val="1"/>
          <w:numId w:val="5"/>
        </w:numPr>
        <w:jc w:val="left"/>
        <w:rPr>
          <w:rFonts w:ascii="Helvetica" w:hAnsi="Helvetica"/>
          <w:sz w:val="24"/>
          <w:szCs w:val="24"/>
        </w:rPr>
      </w:pPr>
      <w:r w:rsidRPr="00043E5E">
        <w:rPr>
          <w:rFonts w:ascii="Helvetica" w:hAnsi="Helvetica"/>
          <w:sz w:val="24"/>
          <w:szCs w:val="24"/>
        </w:rPr>
        <w:t>Following initial feedback, Taskforce staff will pull together specifications and performance, where available, for further consideration at a future meeting.</w:t>
      </w:r>
    </w:p>
    <w:p w:rsidR="00F6332A" w:rsidRPr="00F6332A" w:rsidRDefault="00043E5E" w:rsidP="00A40DC0">
      <w:pPr>
        <w:pStyle w:val="ListParagraph"/>
        <w:numPr>
          <w:ilvl w:val="0"/>
          <w:numId w:val="5"/>
        </w:numPr>
        <w:contextualSpacing w:val="0"/>
        <w:jc w:val="left"/>
        <w:rPr>
          <w:rFonts w:ascii="Helvetica" w:hAnsi="Helvetica"/>
          <w:sz w:val="24"/>
          <w:szCs w:val="24"/>
        </w:rPr>
      </w:pPr>
      <w:r w:rsidRPr="00043E5E">
        <w:rPr>
          <w:rFonts w:ascii="Helvetica" w:hAnsi="Helvetica"/>
          <w:sz w:val="24"/>
          <w:szCs w:val="24"/>
        </w:rPr>
        <w:t xml:space="preserve">For new HEDIS measures and recommended new Medicaid Core Set measures, we seek your feedback on whether the new measures should be adopted into the Aligned Measure Set. </w:t>
      </w:r>
      <w:r w:rsidR="00F6332A" w:rsidRPr="00F6332A">
        <w:rPr>
          <w:rFonts w:ascii="Helvetica" w:hAnsi="Helvetica"/>
          <w:sz w:val="24"/>
          <w:szCs w:val="24"/>
        </w:rPr>
        <w:t xml:space="preserve"> </w:t>
      </w:r>
    </w:p>
    <w:p w:rsidR="003C0E0D" w:rsidRDefault="003C0E0D" w:rsidP="00CA1C68">
      <w:pPr>
        <w:pStyle w:val="Heading1"/>
      </w:pPr>
      <w:r w:rsidRPr="00A35C58">
        <w:t xml:space="preserve">Slide </w:t>
      </w:r>
      <w:r>
        <w:t>21</w:t>
      </w:r>
    </w:p>
    <w:p w:rsidR="003C0E0D" w:rsidRDefault="00043E5E" w:rsidP="00CA1C68">
      <w:pPr>
        <w:pStyle w:val="Heading2"/>
      </w:pPr>
      <w:r w:rsidRPr="00043E5E">
        <w:t>Consider Whether to Add Hospital Measures for 2021</w:t>
      </w:r>
    </w:p>
    <w:p w:rsidR="00043E5E" w:rsidRPr="00043E5E" w:rsidRDefault="00043E5E" w:rsidP="00A40DC0">
      <w:pPr>
        <w:pStyle w:val="ListParagraph"/>
        <w:numPr>
          <w:ilvl w:val="0"/>
          <w:numId w:val="6"/>
        </w:numPr>
        <w:jc w:val="left"/>
        <w:rPr>
          <w:rFonts w:ascii="Helvetica" w:hAnsi="Helvetica"/>
          <w:sz w:val="24"/>
          <w:szCs w:val="24"/>
        </w:rPr>
      </w:pPr>
      <w:r w:rsidRPr="00043E5E">
        <w:rPr>
          <w:rFonts w:ascii="Helvetica" w:hAnsi="Helvetica"/>
          <w:sz w:val="24"/>
          <w:szCs w:val="24"/>
        </w:rPr>
        <w:t xml:space="preserve">Previously, the Taskforce recommended deferring discussion of possibly including inpatient measures in the Aligned Measure Set until the 2019 annual review process.  </w:t>
      </w:r>
    </w:p>
    <w:p w:rsidR="00043E5E" w:rsidRPr="00043E5E" w:rsidRDefault="00043E5E" w:rsidP="00A40DC0">
      <w:pPr>
        <w:pStyle w:val="ListParagraph"/>
        <w:numPr>
          <w:ilvl w:val="1"/>
          <w:numId w:val="6"/>
        </w:numPr>
        <w:jc w:val="left"/>
        <w:rPr>
          <w:rFonts w:ascii="Helvetica" w:hAnsi="Helvetica"/>
          <w:sz w:val="24"/>
          <w:szCs w:val="24"/>
        </w:rPr>
      </w:pPr>
      <w:r w:rsidRPr="00043E5E">
        <w:rPr>
          <w:rFonts w:ascii="Helvetica" w:hAnsi="Helvetica"/>
          <w:sz w:val="24"/>
          <w:szCs w:val="24"/>
        </w:rPr>
        <w:t>The rationale at that time was that only one payer was using hospital measures in global budget-based risk contracts.</w:t>
      </w:r>
    </w:p>
    <w:p w:rsidR="00043E5E" w:rsidRPr="00043E5E" w:rsidRDefault="00043E5E" w:rsidP="00A40DC0">
      <w:pPr>
        <w:pStyle w:val="ListParagraph"/>
        <w:numPr>
          <w:ilvl w:val="0"/>
          <w:numId w:val="6"/>
        </w:numPr>
        <w:jc w:val="left"/>
        <w:rPr>
          <w:rFonts w:ascii="Helvetica" w:hAnsi="Helvetica"/>
          <w:sz w:val="24"/>
          <w:szCs w:val="24"/>
        </w:rPr>
      </w:pPr>
      <w:r w:rsidRPr="00043E5E">
        <w:rPr>
          <w:rFonts w:ascii="Helvetica" w:hAnsi="Helvetica"/>
          <w:sz w:val="24"/>
          <w:szCs w:val="24"/>
        </w:rPr>
        <w:t xml:space="preserve">The most recent Quality Measure Catalogue results show that five </w:t>
      </w:r>
      <w:proofErr w:type="spellStart"/>
      <w:r w:rsidRPr="00043E5E">
        <w:rPr>
          <w:rFonts w:ascii="Helvetica" w:hAnsi="Helvetica"/>
          <w:sz w:val="24"/>
          <w:szCs w:val="24"/>
        </w:rPr>
        <w:t>payers</w:t>
      </w:r>
      <w:proofErr w:type="spellEnd"/>
      <w:r w:rsidRPr="00043E5E">
        <w:rPr>
          <w:rFonts w:ascii="Helvetica" w:hAnsi="Helvetica"/>
          <w:sz w:val="24"/>
          <w:szCs w:val="24"/>
        </w:rPr>
        <w:t xml:space="preserve"> are now using hospital measures in global budget-based risk contracts in 2019.  </w:t>
      </w:r>
    </w:p>
    <w:p w:rsidR="00043E5E" w:rsidRPr="00043E5E" w:rsidRDefault="00043E5E" w:rsidP="00A40DC0">
      <w:pPr>
        <w:pStyle w:val="ListParagraph"/>
        <w:numPr>
          <w:ilvl w:val="0"/>
          <w:numId w:val="6"/>
        </w:numPr>
        <w:jc w:val="left"/>
        <w:rPr>
          <w:rFonts w:ascii="Helvetica" w:hAnsi="Helvetica"/>
          <w:sz w:val="24"/>
          <w:szCs w:val="24"/>
        </w:rPr>
      </w:pPr>
      <w:r w:rsidRPr="00043E5E">
        <w:rPr>
          <w:rFonts w:ascii="Helvetica" w:hAnsi="Helvetica"/>
          <w:sz w:val="24"/>
          <w:szCs w:val="24"/>
        </w:rPr>
        <w:t>We heard from Cory King in October that Rhode Island includes hospital measures in its aligned ACO measure set.</w:t>
      </w:r>
    </w:p>
    <w:p w:rsidR="00F61872" w:rsidRPr="00043E5E" w:rsidRDefault="00043E5E" w:rsidP="00A40DC0">
      <w:pPr>
        <w:pStyle w:val="ListParagraph"/>
        <w:numPr>
          <w:ilvl w:val="0"/>
          <w:numId w:val="6"/>
        </w:numPr>
        <w:contextualSpacing w:val="0"/>
        <w:jc w:val="left"/>
        <w:rPr>
          <w:rFonts w:ascii="Helvetica" w:hAnsi="Helvetica"/>
          <w:b/>
          <w:sz w:val="24"/>
          <w:szCs w:val="24"/>
        </w:rPr>
      </w:pPr>
      <w:r w:rsidRPr="00043E5E">
        <w:rPr>
          <w:rFonts w:ascii="Helvetica" w:hAnsi="Helvetica"/>
          <w:b/>
          <w:sz w:val="24"/>
          <w:szCs w:val="24"/>
        </w:rPr>
        <w:t>Does the Taskforce recommend adding hospital measures to the Aligned Measure Set for 2021?</w:t>
      </w:r>
    </w:p>
    <w:p w:rsidR="00E75383" w:rsidRDefault="00E75383" w:rsidP="00CA1C68">
      <w:pPr>
        <w:pStyle w:val="Heading1"/>
      </w:pPr>
      <w:r w:rsidRPr="00A35C58">
        <w:t xml:space="preserve">Slide </w:t>
      </w:r>
      <w:r>
        <w:t>22</w:t>
      </w:r>
    </w:p>
    <w:p w:rsidR="003C0E0D" w:rsidRDefault="00CA1C68" w:rsidP="00CA1C68">
      <w:pPr>
        <w:pStyle w:val="Heading2"/>
      </w:pPr>
      <w:r w:rsidRPr="00CA1C68">
        <w:t>Pediatric Measures</w:t>
      </w:r>
    </w:p>
    <w:p w:rsidR="00CA1C68" w:rsidRPr="00CA1C68" w:rsidRDefault="00CA1C68" w:rsidP="00A40DC0">
      <w:pPr>
        <w:pStyle w:val="ListParagraph"/>
        <w:numPr>
          <w:ilvl w:val="0"/>
          <w:numId w:val="7"/>
        </w:numPr>
        <w:jc w:val="left"/>
        <w:rPr>
          <w:rFonts w:ascii="Helvetica" w:hAnsi="Helvetica"/>
          <w:sz w:val="24"/>
          <w:szCs w:val="24"/>
        </w:rPr>
      </w:pPr>
      <w:r w:rsidRPr="00CA1C68">
        <w:rPr>
          <w:rFonts w:ascii="Helvetica" w:hAnsi="Helvetica"/>
          <w:sz w:val="24"/>
          <w:szCs w:val="24"/>
        </w:rPr>
        <w:t>During the 10/18 Taskforce meeting, a few Taskforce members recommended adding additional pediatric measures to the Aligned Measure Set.</w:t>
      </w:r>
    </w:p>
    <w:p w:rsidR="00CA1C68" w:rsidRPr="00CA1C68" w:rsidRDefault="00CA1C68" w:rsidP="00A40DC0">
      <w:pPr>
        <w:pStyle w:val="ListParagraph"/>
        <w:numPr>
          <w:ilvl w:val="0"/>
          <w:numId w:val="7"/>
        </w:numPr>
        <w:jc w:val="left"/>
        <w:rPr>
          <w:rFonts w:ascii="Helvetica" w:hAnsi="Helvetica"/>
          <w:sz w:val="24"/>
          <w:szCs w:val="24"/>
        </w:rPr>
      </w:pPr>
      <w:r w:rsidRPr="00CA1C68">
        <w:rPr>
          <w:rFonts w:ascii="Helvetica" w:hAnsi="Helvetica"/>
          <w:sz w:val="24"/>
          <w:szCs w:val="24"/>
        </w:rPr>
        <w:t>Prior to November’s meeting, we distributed a crosswalk of candidate pediatric measures for your consideration.</w:t>
      </w:r>
    </w:p>
    <w:p w:rsidR="00CA1C68" w:rsidRPr="00CA1C68" w:rsidRDefault="00CA1C68" w:rsidP="00A40DC0">
      <w:pPr>
        <w:pStyle w:val="ListParagraph"/>
        <w:numPr>
          <w:ilvl w:val="0"/>
          <w:numId w:val="7"/>
        </w:numPr>
        <w:jc w:val="left"/>
        <w:rPr>
          <w:rFonts w:ascii="Helvetica" w:hAnsi="Helvetica"/>
          <w:b/>
          <w:sz w:val="24"/>
          <w:szCs w:val="24"/>
        </w:rPr>
      </w:pPr>
      <w:r w:rsidRPr="00CA1C68">
        <w:rPr>
          <w:rFonts w:ascii="Helvetica" w:hAnsi="Helvetica"/>
          <w:b/>
          <w:sz w:val="24"/>
          <w:szCs w:val="24"/>
        </w:rPr>
        <w:t>Today, we request that you flag any candidate (or other) pediatric measures you wish the Taskforce to consider.</w:t>
      </w:r>
    </w:p>
    <w:p w:rsidR="00CC67EA" w:rsidRPr="00C62575" w:rsidRDefault="00CA1C68" w:rsidP="00A40DC0">
      <w:pPr>
        <w:pStyle w:val="ListParagraph"/>
        <w:numPr>
          <w:ilvl w:val="1"/>
          <w:numId w:val="7"/>
        </w:numPr>
        <w:contextualSpacing w:val="0"/>
        <w:jc w:val="left"/>
        <w:rPr>
          <w:rFonts w:ascii="Helvetica" w:hAnsi="Helvetica"/>
          <w:sz w:val="24"/>
          <w:szCs w:val="24"/>
        </w:rPr>
      </w:pPr>
      <w:r w:rsidRPr="00CA1C68">
        <w:rPr>
          <w:rFonts w:ascii="Helvetica" w:hAnsi="Helvetica"/>
          <w:sz w:val="24"/>
          <w:szCs w:val="24"/>
        </w:rPr>
        <w:t>After initial discussion, Taskforce staff will pull together specifications and performance data, where available, for a more in-depth review during a future meeting.</w:t>
      </w:r>
    </w:p>
    <w:p w:rsidR="00E23590" w:rsidRDefault="00E23590" w:rsidP="00CA1C68">
      <w:pPr>
        <w:pStyle w:val="Heading1"/>
      </w:pPr>
      <w:r w:rsidRPr="00A35C58">
        <w:t xml:space="preserve">Slide </w:t>
      </w:r>
      <w:r>
        <w:t>23</w:t>
      </w:r>
    </w:p>
    <w:p w:rsidR="00E23590" w:rsidRDefault="00CA1C68" w:rsidP="00CA1C68">
      <w:pPr>
        <w:pStyle w:val="Heading2"/>
      </w:pPr>
      <w:r w:rsidRPr="00CA1C68">
        <w:lastRenderedPageBreak/>
        <w:t>Consideration of Other New Measure Topics/Special Populations</w:t>
      </w:r>
    </w:p>
    <w:p w:rsidR="00CA1C68" w:rsidRPr="00CA1C68" w:rsidRDefault="00CA1C68" w:rsidP="00A40DC0">
      <w:pPr>
        <w:pStyle w:val="ListParagraph"/>
        <w:numPr>
          <w:ilvl w:val="0"/>
          <w:numId w:val="8"/>
        </w:numPr>
        <w:jc w:val="left"/>
        <w:rPr>
          <w:rFonts w:ascii="Helvetica" w:hAnsi="Helvetica"/>
          <w:sz w:val="24"/>
          <w:szCs w:val="24"/>
        </w:rPr>
      </w:pPr>
      <w:r w:rsidRPr="00CA1C68">
        <w:rPr>
          <w:rFonts w:ascii="Helvetica" w:hAnsi="Helvetica"/>
          <w:sz w:val="24"/>
          <w:szCs w:val="24"/>
        </w:rPr>
        <w:t>Are there other topics or subpopulations the Taskforce wishes to consider?</w:t>
      </w:r>
    </w:p>
    <w:p w:rsidR="00CA1C68" w:rsidRPr="00CA1C68" w:rsidRDefault="00CA1C68" w:rsidP="00A40DC0">
      <w:pPr>
        <w:pStyle w:val="ListParagraph"/>
        <w:numPr>
          <w:ilvl w:val="1"/>
          <w:numId w:val="8"/>
        </w:numPr>
        <w:jc w:val="left"/>
        <w:rPr>
          <w:rFonts w:ascii="Helvetica" w:hAnsi="Helvetica"/>
          <w:sz w:val="24"/>
          <w:szCs w:val="24"/>
        </w:rPr>
      </w:pPr>
      <w:r w:rsidRPr="00CA1C68">
        <w:rPr>
          <w:rFonts w:ascii="Helvetica" w:hAnsi="Helvetica"/>
          <w:sz w:val="24"/>
          <w:szCs w:val="24"/>
        </w:rPr>
        <w:t xml:space="preserve">Previously, one member of the Taskforce expressed interest in explicitly considering other special populations, including pregnant/post-partum women. </w:t>
      </w:r>
    </w:p>
    <w:p w:rsidR="00CC67EA" w:rsidRPr="00CC67EA" w:rsidRDefault="00CA1C68" w:rsidP="00A40DC0">
      <w:pPr>
        <w:pStyle w:val="ListParagraph"/>
        <w:numPr>
          <w:ilvl w:val="0"/>
          <w:numId w:val="8"/>
        </w:numPr>
        <w:jc w:val="left"/>
        <w:rPr>
          <w:rFonts w:ascii="Helvetica" w:hAnsi="Helvetica"/>
          <w:sz w:val="24"/>
          <w:szCs w:val="24"/>
        </w:rPr>
      </w:pPr>
      <w:r w:rsidRPr="00CA1C68">
        <w:rPr>
          <w:rFonts w:ascii="Helvetica" w:hAnsi="Helvetica"/>
          <w:sz w:val="24"/>
          <w:szCs w:val="24"/>
        </w:rPr>
        <w:t>Should there be any additional topics, Taskforce staff will pull together specifications and performance, where available, for further consideration at a future meeting.</w:t>
      </w:r>
    </w:p>
    <w:p w:rsidR="00E23590" w:rsidRDefault="00E23590" w:rsidP="00CA1C68">
      <w:pPr>
        <w:pStyle w:val="Heading1"/>
        <w:tabs>
          <w:tab w:val="left" w:pos="2296"/>
        </w:tabs>
      </w:pPr>
      <w:r w:rsidRPr="00A35C58">
        <w:t xml:space="preserve">Slide </w:t>
      </w:r>
      <w:r>
        <w:t>24</w:t>
      </w:r>
    </w:p>
    <w:p w:rsidR="00E23590" w:rsidRDefault="002924F7" w:rsidP="00CA1C68">
      <w:pPr>
        <w:pStyle w:val="Heading2"/>
      </w:pPr>
      <w:r w:rsidRPr="002924F7">
        <w:t>New HEDIS Measures Introduced in HEDIS 2019 and 2020</w:t>
      </w:r>
    </w:p>
    <w:p w:rsidR="002924F7" w:rsidRPr="002924F7" w:rsidRDefault="002924F7" w:rsidP="00A40DC0">
      <w:pPr>
        <w:pStyle w:val="ListParagraph"/>
        <w:numPr>
          <w:ilvl w:val="0"/>
          <w:numId w:val="9"/>
        </w:numPr>
        <w:jc w:val="left"/>
        <w:rPr>
          <w:rFonts w:ascii="Helvetica" w:hAnsi="Helvetica"/>
          <w:sz w:val="24"/>
          <w:szCs w:val="24"/>
        </w:rPr>
      </w:pPr>
      <w:r w:rsidRPr="002924F7">
        <w:rPr>
          <w:rFonts w:ascii="Helvetica" w:hAnsi="Helvetica"/>
          <w:sz w:val="24"/>
          <w:szCs w:val="24"/>
        </w:rPr>
        <w:t>During our last (abbreviated) annual review, conducted during early 2019, the Taskforce did not consider new HEDIS measures.</w:t>
      </w:r>
    </w:p>
    <w:p w:rsidR="002924F7" w:rsidRPr="002924F7" w:rsidRDefault="002924F7" w:rsidP="00A40DC0">
      <w:pPr>
        <w:pStyle w:val="ListParagraph"/>
        <w:numPr>
          <w:ilvl w:val="0"/>
          <w:numId w:val="9"/>
        </w:numPr>
        <w:jc w:val="left"/>
        <w:rPr>
          <w:rFonts w:ascii="Helvetica" w:hAnsi="Helvetica"/>
          <w:sz w:val="24"/>
          <w:szCs w:val="24"/>
        </w:rPr>
      </w:pPr>
      <w:r w:rsidRPr="002924F7">
        <w:rPr>
          <w:rFonts w:ascii="Helvetica" w:hAnsi="Helvetica"/>
          <w:sz w:val="24"/>
          <w:szCs w:val="24"/>
        </w:rPr>
        <w:t>Therefore, we will review new HEDIS 2019 and HEDIS 2020 measures for your consideration during this year’s annual review.</w:t>
      </w:r>
    </w:p>
    <w:p w:rsidR="002924F7" w:rsidRPr="002924F7" w:rsidRDefault="002924F7" w:rsidP="00A40DC0">
      <w:pPr>
        <w:pStyle w:val="ListParagraph"/>
        <w:numPr>
          <w:ilvl w:val="1"/>
          <w:numId w:val="9"/>
        </w:numPr>
        <w:jc w:val="left"/>
        <w:rPr>
          <w:rFonts w:ascii="Helvetica" w:hAnsi="Helvetica"/>
          <w:sz w:val="24"/>
          <w:szCs w:val="24"/>
        </w:rPr>
      </w:pPr>
      <w:r w:rsidRPr="002924F7">
        <w:rPr>
          <w:rFonts w:ascii="Helvetica" w:hAnsi="Helvetica"/>
          <w:sz w:val="24"/>
          <w:szCs w:val="24"/>
        </w:rPr>
        <w:t>Benchmark data are not available from NCQA for first-year measures.</w:t>
      </w:r>
    </w:p>
    <w:p w:rsidR="002924F7" w:rsidRPr="002924F7" w:rsidRDefault="002924F7" w:rsidP="00A40DC0">
      <w:pPr>
        <w:pStyle w:val="ListParagraph"/>
        <w:numPr>
          <w:ilvl w:val="0"/>
          <w:numId w:val="9"/>
        </w:numPr>
        <w:jc w:val="left"/>
        <w:rPr>
          <w:rFonts w:ascii="Helvetica" w:hAnsi="Helvetica"/>
          <w:b/>
          <w:sz w:val="24"/>
          <w:szCs w:val="24"/>
        </w:rPr>
      </w:pPr>
      <w:r w:rsidRPr="002924F7">
        <w:rPr>
          <w:rFonts w:ascii="Helvetica" w:hAnsi="Helvetica"/>
          <w:b/>
          <w:sz w:val="24"/>
          <w:szCs w:val="24"/>
        </w:rPr>
        <w:t>As we review each measure, please indicate if you are interested in potentially adding the measure to the Aligned Measure Set.</w:t>
      </w:r>
    </w:p>
    <w:p w:rsidR="00E23590" w:rsidRPr="002924F7" w:rsidRDefault="002924F7" w:rsidP="002924F7">
      <w:pPr>
        <w:ind w:left="360"/>
        <w:jc w:val="left"/>
        <w:rPr>
          <w:rFonts w:ascii="Helvetica" w:hAnsi="Helvetica"/>
          <w:sz w:val="24"/>
          <w:szCs w:val="24"/>
        </w:rPr>
      </w:pPr>
      <w:r w:rsidRPr="002924F7">
        <w:rPr>
          <w:rFonts w:ascii="Helvetica" w:hAnsi="Helvetica"/>
          <w:sz w:val="24"/>
          <w:szCs w:val="24"/>
        </w:rPr>
        <w:t>Note: We did not include Hospitalization Following Discharge from a Skilled Nursing Facility as it is a Medicare-only measure.</w:t>
      </w:r>
    </w:p>
    <w:p w:rsidR="00E23590" w:rsidRDefault="00E23590" w:rsidP="00CA1C68">
      <w:pPr>
        <w:pStyle w:val="Heading1"/>
        <w:tabs>
          <w:tab w:val="left" w:pos="2296"/>
        </w:tabs>
      </w:pPr>
      <w:r w:rsidRPr="00A35C58">
        <w:t xml:space="preserve">Slide </w:t>
      </w:r>
      <w:r>
        <w:t>25</w:t>
      </w:r>
    </w:p>
    <w:p w:rsidR="00E23590" w:rsidRDefault="002924F7" w:rsidP="00CA1C68">
      <w:pPr>
        <w:pStyle w:val="Heading2"/>
      </w:pPr>
      <w:r w:rsidRPr="002924F7">
        <w:t>What are ECDS Measures?</w:t>
      </w:r>
    </w:p>
    <w:p w:rsidR="002924F7" w:rsidRPr="002924F7" w:rsidRDefault="002924F7" w:rsidP="00A40DC0">
      <w:pPr>
        <w:pStyle w:val="ListParagraph"/>
        <w:numPr>
          <w:ilvl w:val="0"/>
          <w:numId w:val="29"/>
        </w:numPr>
        <w:jc w:val="left"/>
        <w:rPr>
          <w:rFonts w:ascii="Helvetica" w:hAnsi="Helvetica"/>
          <w:sz w:val="24"/>
          <w:szCs w:val="24"/>
        </w:rPr>
      </w:pPr>
      <w:r w:rsidRPr="002924F7">
        <w:rPr>
          <w:rFonts w:ascii="Helvetica" w:hAnsi="Helvetica"/>
          <w:sz w:val="24"/>
          <w:szCs w:val="24"/>
        </w:rPr>
        <w:t>A number of the new HEDIS measures use Electronic Clinical Data System (ECDS) as their reporting standard.</w:t>
      </w:r>
    </w:p>
    <w:p w:rsidR="002924F7" w:rsidRPr="002924F7" w:rsidRDefault="002924F7" w:rsidP="00A40DC0">
      <w:pPr>
        <w:pStyle w:val="ListParagraph"/>
        <w:numPr>
          <w:ilvl w:val="1"/>
          <w:numId w:val="29"/>
        </w:numPr>
        <w:jc w:val="left"/>
        <w:rPr>
          <w:rFonts w:ascii="Helvetica" w:hAnsi="Helvetica"/>
          <w:sz w:val="24"/>
          <w:szCs w:val="24"/>
        </w:rPr>
      </w:pPr>
      <w:r w:rsidRPr="002924F7">
        <w:rPr>
          <w:rFonts w:ascii="Helvetica" w:hAnsi="Helvetica"/>
          <w:sz w:val="24"/>
          <w:szCs w:val="24"/>
        </w:rPr>
        <w:t xml:space="preserve">These measures use electronic databases arranged so that queries can extract information both efficiently and accurately. </w:t>
      </w:r>
    </w:p>
    <w:p w:rsidR="008464FB" w:rsidRDefault="002924F7" w:rsidP="00A40DC0">
      <w:pPr>
        <w:pStyle w:val="ListParagraph"/>
        <w:numPr>
          <w:ilvl w:val="0"/>
          <w:numId w:val="29"/>
        </w:numPr>
        <w:jc w:val="left"/>
        <w:rPr>
          <w:rFonts w:ascii="Helvetica" w:hAnsi="Helvetica"/>
          <w:sz w:val="24"/>
          <w:szCs w:val="24"/>
        </w:rPr>
      </w:pPr>
      <w:r w:rsidRPr="002924F7">
        <w:rPr>
          <w:rFonts w:ascii="Helvetica" w:hAnsi="Helvetica"/>
          <w:sz w:val="24"/>
          <w:szCs w:val="24"/>
        </w:rPr>
        <w:t>Data systems eligible for HEDIS ECDS reporting include:</w:t>
      </w:r>
    </w:p>
    <w:p w:rsidR="002924F7" w:rsidRDefault="002924F7" w:rsidP="00A40DC0">
      <w:pPr>
        <w:pStyle w:val="ListParagraph"/>
        <w:numPr>
          <w:ilvl w:val="1"/>
          <w:numId w:val="29"/>
        </w:numPr>
        <w:jc w:val="left"/>
        <w:rPr>
          <w:rFonts w:ascii="Helvetica" w:hAnsi="Helvetica"/>
          <w:sz w:val="24"/>
          <w:szCs w:val="24"/>
        </w:rPr>
        <w:sectPr w:rsidR="002924F7" w:rsidSect="006A7071">
          <w:pgSz w:w="12240" w:h="15840"/>
          <w:pgMar w:top="1080" w:right="1440" w:bottom="1080" w:left="1440" w:header="720" w:footer="720" w:gutter="0"/>
          <w:cols w:space="720"/>
          <w:docGrid w:linePitch="360"/>
        </w:sectPr>
      </w:pPr>
    </w:p>
    <w:p w:rsidR="002924F7" w:rsidRPr="002924F7" w:rsidRDefault="002924F7" w:rsidP="00A40DC0">
      <w:pPr>
        <w:pStyle w:val="ListParagraph"/>
        <w:numPr>
          <w:ilvl w:val="1"/>
          <w:numId w:val="29"/>
        </w:numPr>
        <w:jc w:val="left"/>
        <w:rPr>
          <w:rFonts w:ascii="Helvetica" w:hAnsi="Helvetica"/>
          <w:sz w:val="24"/>
          <w:szCs w:val="24"/>
        </w:rPr>
      </w:pPr>
      <w:r w:rsidRPr="002924F7">
        <w:rPr>
          <w:rFonts w:ascii="Helvetica" w:hAnsi="Helvetica"/>
          <w:sz w:val="24"/>
          <w:szCs w:val="24"/>
        </w:rPr>
        <w:t>member eligibility files</w:t>
      </w:r>
    </w:p>
    <w:p w:rsidR="002924F7" w:rsidRPr="002924F7" w:rsidRDefault="002924F7" w:rsidP="00A40DC0">
      <w:pPr>
        <w:pStyle w:val="ListParagraph"/>
        <w:numPr>
          <w:ilvl w:val="1"/>
          <w:numId w:val="29"/>
        </w:numPr>
        <w:jc w:val="left"/>
        <w:rPr>
          <w:rFonts w:ascii="Helvetica" w:hAnsi="Helvetica"/>
          <w:sz w:val="24"/>
          <w:szCs w:val="24"/>
        </w:rPr>
      </w:pPr>
      <w:r w:rsidRPr="002924F7">
        <w:rPr>
          <w:rFonts w:ascii="Helvetica" w:hAnsi="Helvetica"/>
          <w:sz w:val="24"/>
          <w:szCs w:val="24"/>
        </w:rPr>
        <w:t>EHRs</w:t>
      </w:r>
    </w:p>
    <w:p w:rsidR="002924F7" w:rsidRPr="002924F7" w:rsidRDefault="002924F7" w:rsidP="00A40DC0">
      <w:pPr>
        <w:pStyle w:val="ListParagraph"/>
        <w:numPr>
          <w:ilvl w:val="1"/>
          <w:numId w:val="29"/>
        </w:numPr>
        <w:jc w:val="left"/>
        <w:rPr>
          <w:rFonts w:ascii="Helvetica" w:hAnsi="Helvetica"/>
          <w:sz w:val="24"/>
          <w:szCs w:val="24"/>
        </w:rPr>
      </w:pPr>
      <w:r w:rsidRPr="002924F7">
        <w:rPr>
          <w:rFonts w:ascii="Helvetica" w:hAnsi="Helvetica"/>
          <w:sz w:val="24"/>
          <w:szCs w:val="24"/>
        </w:rPr>
        <w:t>clinical registries</w:t>
      </w:r>
    </w:p>
    <w:p w:rsidR="002924F7" w:rsidRPr="002924F7" w:rsidRDefault="002924F7" w:rsidP="00A40DC0">
      <w:pPr>
        <w:pStyle w:val="ListParagraph"/>
        <w:numPr>
          <w:ilvl w:val="1"/>
          <w:numId w:val="29"/>
        </w:numPr>
        <w:jc w:val="left"/>
        <w:rPr>
          <w:rFonts w:ascii="Helvetica" w:hAnsi="Helvetica"/>
          <w:sz w:val="24"/>
          <w:szCs w:val="24"/>
        </w:rPr>
      </w:pPr>
      <w:r w:rsidRPr="002924F7">
        <w:rPr>
          <w:rFonts w:ascii="Helvetica" w:hAnsi="Helvetica"/>
          <w:sz w:val="24"/>
          <w:szCs w:val="24"/>
        </w:rPr>
        <w:t>HIEs</w:t>
      </w:r>
    </w:p>
    <w:p w:rsidR="002924F7" w:rsidRPr="002924F7" w:rsidRDefault="002924F7" w:rsidP="00A40DC0">
      <w:pPr>
        <w:pStyle w:val="ListParagraph"/>
        <w:numPr>
          <w:ilvl w:val="1"/>
          <w:numId w:val="29"/>
        </w:numPr>
        <w:jc w:val="left"/>
        <w:rPr>
          <w:rFonts w:ascii="Helvetica" w:hAnsi="Helvetica"/>
          <w:sz w:val="24"/>
          <w:szCs w:val="24"/>
        </w:rPr>
      </w:pPr>
      <w:r w:rsidRPr="002924F7">
        <w:rPr>
          <w:rFonts w:ascii="Helvetica" w:hAnsi="Helvetica"/>
          <w:sz w:val="24"/>
          <w:szCs w:val="24"/>
        </w:rPr>
        <w:t>administrative claims systems</w:t>
      </w:r>
    </w:p>
    <w:p w:rsidR="002924F7" w:rsidRPr="002924F7" w:rsidRDefault="002924F7" w:rsidP="00A40DC0">
      <w:pPr>
        <w:pStyle w:val="ListParagraph"/>
        <w:numPr>
          <w:ilvl w:val="1"/>
          <w:numId w:val="29"/>
        </w:numPr>
        <w:jc w:val="left"/>
        <w:rPr>
          <w:rFonts w:ascii="Helvetica" w:hAnsi="Helvetica"/>
          <w:sz w:val="24"/>
          <w:szCs w:val="24"/>
        </w:rPr>
      </w:pPr>
      <w:r w:rsidRPr="002924F7">
        <w:rPr>
          <w:rFonts w:ascii="Helvetica" w:hAnsi="Helvetica"/>
          <w:sz w:val="24"/>
          <w:szCs w:val="24"/>
        </w:rPr>
        <w:t>electronic laboratory reports</w:t>
      </w:r>
    </w:p>
    <w:p w:rsidR="002924F7" w:rsidRPr="002924F7" w:rsidRDefault="002924F7" w:rsidP="00A40DC0">
      <w:pPr>
        <w:pStyle w:val="ListParagraph"/>
        <w:numPr>
          <w:ilvl w:val="1"/>
          <w:numId w:val="29"/>
        </w:numPr>
        <w:jc w:val="left"/>
        <w:rPr>
          <w:rFonts w:ascii="Helvetica" w:hAnsi="Helvetica"/>
          <w:sz w:val="24"/>
          <w:szCs w:val="24"/>
        </w:rPr>
      </w:pPr>
      <w:r w:rsidRPr="002924F7">
        <w:rPr>
          <w:rFonts w:ascii="Helvetica" w:hAnsi="Helvetica"/>
          <w:sz w:val="24"/>
          <w:szCs w:val="24"/>
        </w:rPr>
        <w:t>electronic pharmacy systems</w:t>
      </w:r>
    </w:p>
    <w:p w:rsidR="002924F7" w:rsidRPr="002924F7" w:rsidRDefault="002924F7" w:rsidP="00A40DC0">
      <w:pPr>
        <w:pStyle w:val="ListParagraph"/>
        <w:numPr>
          <w:ilvl w:val="1"/>
          <w:numId w:val="29"/>
        </w:numPr>
        <w:jc w:val="left"/>
        <w:rPr>
          <w:rFonts w:ascii="Helvetica" w:hAnsi="Helvetica"/>
          <w:sz w:val="24"/>
          <w:szCs w:val="24"/>
        </w:rPr>
      </w:pPr>
      <w:r w:rsidRPr="002924F7">
        <w:rPr>
          <w:rFonts w:ascii="Helvetica" w:hAnsi="Helvetica"/>
          <w:sz w:val="24"/>
          <w:szCs w:val="24"/>
        </w:rPr>
        <w:t xml:space="preserve">immunization information systems </w:t>
      </w:r>
    </w:p>
    <w:p w:rsidR="002924F7" w:rsidRPr="002924F7" w:rsidRDefault="002924F7" w:rsidP="00A40DC0">
      <w:pPr>
        <w:pStyle w:val="ListParagraph"/>
        <w:numPr>
          <w:ilvl w:val="1"/>
          <w:numId w:val="29"/>
        </w:numPr>
        <w:jc w:val="left"/>
        <w:rPr>
          <w:rFonts w:ascii="Helvetica" w:hAnsi="Helvetica"/>
          <w:sz w:val="24"/>
          <w:szCs w:val="24"/>
        </w:rPr>
      </w:pPr>
      <w:r w:rsidRPr="002924F7">
        <w:rPr>
          <w:rFonts w:ascii="Helvetica" w:hAnsi="Helvetica"/>
          <w:sz w:val="24"/>
          <w:szCs w:val="24"/>
        </w:rPr>
        <w:t>disease/case management registries</w:t>
      </w:r>
    </w:p>
    <w:p w:rsidR="002924F7" w:rsidRDefault="002924F7" w:rsidP="002924F7">
      <w:pPr>
        <w:jc w:val="left"/>
        <w:rPr>
          <w:rFonts w:ascii="Helvetica" w:hAnsi="Helvetica"/>
          <w:sz w:val="24"/>
          <w:szCs w:val="24"/>
        </w:rPr>
        <w:sectPr w:rsidR="002924F7" w:rsidSect="002924F7">
          <w:type w:val="continuous"/>
          <w:pgSz w:w="12240" w:h="15840"/>
          <w:pgMar w:top="1080" w:right="1440" w:bottom="1080" w:left="1440" w:header="720" w:footer="720" w:gutter="0"/>
          <w:cols w:num="2" w:space="720"/>
          <w:docGrid w:linePitch="360"/>
        </w:sectPr>
      </w:pPr>
    </w:p>
    <w:p w:rsidR="002924F7" w:rsidRPr="002924F7" w:rsidRDefault="004B5FF9" w:rsidP="002924F7">
      <w:hyperlink r:id="rId9" w:history="1">
        <w:r w:rsidR="002924F7" w:rsidRPr="002C3A74">
          <w:rPr>
            <w:rStyle w:val="Hyperlink"/>
          </w:rPr>
          <w:t>https://www.ncqa.org/hedis/the-future-of-hedis/hedis-electronic-clinical-data-system-ecds-reporting/</w:t>
        </w:r>
      </w:hyperlink>
      <w:r w:rsidR="002924F7">
        <w:t xml:space="preserve"> </w:t>
      </w:r>
    </w:p>
    <w:p w:rsidR="008464FB" w:rsidRDefault="008464FB" w:rsidP="00CA1C68">
      <w:pPr>
        <w:pStyle w:val="Heading1"/>
        <w:tabs>
          <w:tab w:val="left" w:pos="2296"/>
        </w:tabs>
      </w:pPr>
      <w:r w:rsidRPr="00A35C58">
        <w:lastRenderedPageBreak/>
        <w:t xml:space="preserve">Slide </w:t>
      </w:r>
      <w:r>
        <w:t>26</w:t>
      </w:r>
    </w:p>
    <w:p w:rsidR="002924F7" w:rsidRPr="002924F7" w:rsidRDefault="002924F7" w:rsidP="002924F7">
      <w:pPr>
        <w:pStyle w:val="Heading2"/>
      </w:pPr>
      <w:r w:rsidRPr="002924F7">
        <w:t>New HEDIS Measures Introduced in HEDIS 2019 and 2020 (cont’d)</w:t>
      </w:r>
    </w:p>
    <w:tbl>
      <w:tblPr>
        <w:tblStyle w:val="TableGrid"/>
        <w:tblW w:w="0" w:type="auto"/>
        <w:tblCellMar>
          <w:left w:w="0" w:type="dxa"/>
          <w:right w:w="0" w:type="dxa"/>
        </w:tblCellMar>
        <w:tblLook w:val="0420" w:firstRow="1" w:lastRow="0" w:firstColumn="0" w:lastColumn="0" w:noHBand="0" w:noVBand="1"/>
        <w:tblCaption w:val="New HEDIS Measures Introduced in HEDIS 2019 and 2020 (cont’d)"/>
      </w:tblPr>
      <w:tblGrid>
        <w:gridCol w:w="2532"/>
        <w:gridCol w:w="1572"/>
        <w:gridCol w:w="1179"/>
        <w:gridCol w:w="4365"/>
      </w:tblGrid>
      <w:tr w:rsidR="002924F7" w:rsidRPr="002924F7" w:rsidTr="002924F7">
        <w:trPr>
          <w:tblHeader/>
        </w:trPr>
        <w:tc>
          <w:tcPr>
            <w:tcW w:w="0" w:type="auto"/>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2924F7" w:rsidRPr="002924F7" w:rsidRDefault="002924F7" w:rsidP="002924F7">
            <w:pPr>
              <w:jc w:val="left"/>
              <w:rPr>
                <w:rFonts w:ascii="Helvetica" w:eastAsia="Times New Roman" w:hAnsi="Helvetica" w:cs="Helvetica"/>
                <w:sz w:val="24"/>
                <w:szCs w:val="24"/>
              </w:rPr>
            </w:pPr>
            <w:r w:rsidRPr="002924F7">
              <w:rPr>
                <w:rFonts w:ascii="Helvetica" w:eastAsia="Times New Roman" w:hAnsi="Helvetica" w:cs="Helvetica"/>
                <w:b/>
                <w:bCs/>
                <w:color w:val="FFFFFF" w:themeColor="light1"/>
                <w:kern w:val="24"/>
                <w:sz w:val="24"/>
                <w:szCs w:val="24"/>
              </w:rPr>
              <w:t>Measure</w:t>
            </w:r>
          </w:p>
        </w:tc>
        <w:tc>
          <w:tcPr>
            <w:tcW w:w="0" w:type="auto"/>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2924F7" w:rsidRPr="002924F7" w:rsidRDefault="002924F7" w:rsidP="002924F7">
            <w:pPr>
              <w:jc w:val="left"/>
              <w:rPr>
                <w:rFonts w:ascii="Helvetica" w:eastAsia="Times New Roman" w:hAnsi="Helvetica" w:cs="Helvetica"/>
                <w:sz w:val="24"/>
                <w:szCs w:val="24"/>
              </w:rPr>
            </w:pPr>
            <w:r w:rsidRPr="002924F7">
              <w:rPr>
                <w:rFonts w:ascii="Helvetica" w:eastAsia="Times New Roman" w:hAnsi="Helvetica" w:cs="Helvetica"/>
                <w:b/>
                <w:bCs/>
                <w:color w:val="FFFFFF" w:themeColor="light1"/>
                <w:kern w:val="24"/>
                <w:sz w:val="24"/>
                <w:szCs w:val="24"/>
              </w:rPr>
              <w:t>LOB</w:t>
            </w:r>
          </w:p>
        </w:tc>
        <w:tc>
          <w:tcPr>
            <w:tcW w:w="0" w:type="auto"/>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2924F7" w:rsidRPr="002924F7" w:rsidRDefault="002924F7" w:rsidP="002924F7">
            <w:pPr>
              <w:jc w:val="left"/>
              <w:rPr>
                <w:rFonts w:ascii="Helvetica" w:eastAsia="Times New Roman" w:hAnsi="Helvetica" w:cs="Helvetica"/>
                <w:sz w:val="24"/>
                <w:szCs w:val="24"/>
              </w:rPr>
            </w:pPr>
            <w:r w:rsidRPr="002924F7">
              <w:rPr>
                <w:rFonts w:ascii="Helvetica" w:eastAsia="Times New Roman" w:hAnsi="Helvetica" w:cs="Helvetica"/>
                <w:b/>
                <w:bCs/>
                <w:color w:val="FFFFFF" w:themeColor="light1"/>
                <w:kern w:val="24"/>
                <w:sz w:val="24"/>
                <w:szCs w:val="24"/>
              </w:rPr>
              <w:t>Data Source</w:t>
            </w:r>
          </w:p>
        </w:tc>
        <w:tc>
          <w:tcPr>
            <w:tcW w:w="0" w:type="auto"/>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2924F7" w:rsidRPr="002924F7" w:rsidRDefault="002924F7" w:rsidP="002924F7">
            <w:pPr>
              <w:jc w:val="left"/>
              <w:rPr>
                <w:rFonts w:ascii="Helvetica" w:eastAsia="Times New Roman" w:hAnsi="Helvetica" w:cs="Helvetica"/>
                <w:sz w:val="24"/>
                <w:szCs w:val="24"/>
              </w:rPr>
            </w:pPr>
            <w:r w:rsidRPr="002924F7">
              <w:rPr>
                <w:rFonts w:ascii="Helvetica" w:eastAsia="Times New Roman" w:hAnsi="Helvetica" w:cs="Helvetica"/>
                <w:b/>
                <w:bCs/>
                <w:color w:val="FFFFFF" w:themeColor="light1"/>
                <w:kern w:val="24"/>
                <w:sz w:val="24"/>
                <w:szCs w:val="24"/>
              </w:rPr>
              <w:t>Description</w:t>
            </w:r>
          </w:p>
        </w:tc>
      </w:tr>
      <w:tr w:rsidR="002924F7" w:rsidRPr="002924F7" w:rsidTr="002924F7">
        <w:trPr>
          <w:trHeight w:val="58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924F7" w:rsidRPr="002924F7" w:rsidRDefault="002924F7" w:rsidP="002924F7">
            <w:pPr>
              <w:jc w:val="left"/>
              <w:rPr>
                <w:rFonts w:ascii="Helvetica" w:eastAsia="Times New Roman" w:hAnsi="Helvetica" w:cs="Helvetica"/>
                <w:sz w:val="24"/>
                <w:szCs w:val="24"/>
              </w:rPr>
            </w:pPr>
            <w:r w:rsidRPr="002924F7">
              <w:rPr>
                <w:rFonts w:ascii="Helvetica" w:eastAsia="Times New Roman" w:hAnsi="Helvetica" w:cs="Helvetica"/>
                <w:color w:val="000000" w:themeColor="dark1"/>
                <w:kern w:val="24"/>
                <w:sz w:val="24"/>
                <w:szCs w:val="24"/>
              </w:rPr>
              <w:t xml:space="preserve">Adult Immunization Status </w:t>
            </w:r>
            <w:r w:rsidRPr="002924F7">
              <w:rPr>
                <w:rFonts w:ascii="Helvetica" w:eastAsia="Times New Roman" w:hAnsi="Helvetica" w:cs="Helvetica"/>
                <w:i/>
                <w:iCs/>
                <w:color w:val="000000" w:themeColor="dark1"/>
                <w:kern w:val="24"/>
                <w:sz w:val="24"/>
                <w:szCs w:val="24"/>
              </w:rPr>
              <w:t>–proposed for addition to CMS ACOs in 2020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924F7" w:rsidRPr="002924F7" w:rsidRDefault="002924F7" w:rsidP="002924F7">
            <w:pPr>
              <w:jc w:val="left"/>
              <w:rPr>
                <w:rFonts w:ascii="Helvetica" w:eastAsia="Times New Roman" w:hAnsi="Helvetica" w:cs="Helvetica"/>
                <w:sz w:val="24"/>
                <w:szCs w:val="24"/>
              </w:rPr>
            </w:pPr>
            <w:r w:rsidRPr="002924F7">
              <w:rPr>
                <w:rFonts w:ascii="Helvetica" w:eastAsia="Times New Roman" w:hAnsi="Helvetica" w:cs="Helvetica"/>
                <w:color w:val="000000" w:themeColor="dark1"/>
                <w:kern w:val="24"/>
                <w:sz w:val="24"/>
                <w:szCs w:val="24"/>
              </w:rPr>
              <w:t>Comm., Medicaid, Medicare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924F7" w:rsidRPr="002924F7" w:rsidRDefault="002924F7" w:rsidP="002924F7">
            <w:pPr>
              <w:jc w:val="left"/>
              <w:rPr>
                <w:rFonts w:ascii="Helvetica" w:eastAsia="Times New Roman" w:hAnsi="Helvetica" w:cs="Helvetica"/>
                <w:sz w:val="24"/>
                <w:szCs w:val="24"/>
              </w:rPr>
            </w:pPr>
            <w:r w:rsidRPr="002924F7">
              <w:rPr>
                <w:rFonts w:ascii="Helvetica" w:eastAsia="Times New Roman" w:hAnsi="Helvetica" w:cs="Helvetica"/>
                <w:color w:val="000000" w:themeColor="dark1"/>
                <w:kern w:val="24"/>
                <w:sz w:val="24"/>
                <w:szCs w:val="24"/>
              </w:rPr>
              <w:t>ECDS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924F7" w:rsidRPr="002924F7" w:rsidRDefault="002924F7" w:rsidP="002924F7">
            <w:pPr>
              <w:jc w:val="left"/>
              <w:rPr>
                <w:rFonts w:ascii="Helvetica" w:eastAsia="Times New Roman" w:hAnsi="Helvetica" w:cs="Helvetica"/>
                <w:sz w:val="24"/>
                <w:szCs w:val="24"/>
              </w:rPr>
            </w:pPr>
            <w:r w:rsidRPr="002924F7">
              <w:rPr>
                <w:rFonts w:ascii="Helvetica" w:eastAsiaTheme="minorEastAsia" w:hAnsi="Helvetica" w:cs="Helvetica"/>
                <w:color w:val="000000" w:themeColor="dark1"/>
                <w:kern w:val="24"/>
                <w:sz w:val="24"/>
                <w:szCs w:val="24"/>
              </w:rPr>
              <w:t xml:space="preserve">The percentage of adults 19 years and older who are up to date on recommended routine vaccines for influenza, tetanus and diphtheria (Td) or tetanus, </w:t>
            </w:r>
            <w:proofErr w:type="spellStart"/>
            <w:r w:rsidRPr="002924F7">
              <w:rPr>
                <w:rFonts w:ascii="Helvetica" w:eastAsiaTheme="minorEastAsia" w:hAnsi="Helvetica" w:cs="Helvetica"/>
                <w:color w:val="000000" w:themeColor="dark1"/>
                <w:kern w:val="24"/>
                <w:sz w:val="24"/>
                <w:szCs w:val="24"/>
              </w:rPr>
              <w:t>Tdap</w:t>
            </w:r>
            <w:proofErr w:type="spellEnd"/>
            <w:r w:rsidRPr="002924F7">
              <w:rPr>
                <w:rFonts w:ascii="Helvetica" w:eastAsiaTheme="minorEastAsia" w:hAnsi="Helvetica" w:cs="Helvetica"/>
                <w:color w:val="000000" w:themeColor="dark1"/>
                <w:kern w:val="24"/>
                <w:sz w:val="24"/>
                <w:szCs w:val="24"/>
              </w:rPr>
              <w:t>, herpes zoster and pneumococcal.</w:t>
            </w:r>
          </w:p>
        </w:tc>
      </w:tr>
      <w:tr w:rsidR="002924F7" w:rsidRPr="002924F7" w:rsidTr="002924F7">
        <w:trPr>
          <w:trHeight w:val="58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924F7" w:rsidRPr="002924F7" w:rsidRDefault="002924F7" w:rsidP="002924F7">
            <w:pPr>
              <w:jc w:val="left"/>
              <w:rPr>
                <w:rFonts w:ascii="Helvetica" w:eastAsia="Times New Roman" w:hAnsi="Helvetica" w:cs="Helvetica"/>
                <w:sz w:val="24"/>
                <w:szCs w:val="24"/>
              </w:rPr>
            </w:pPr>
            <w:r w:rsidRPr="002924F7">
              <w:rPr>
                <w:rFonts w:ascii="Helvetica" w:eastAsia="Times New Roman" w:hAnsi="Helvetica" w:cs="Helvetica"/>
                <w:color w:val="000000" w:themeColor="dark1"/>
                <w:kern w:val="24"/>
                <w:sz w:val="24"/>
                <w:szCs w:val="24"/>
              </w:rPr>
              <w:t>Prenatal Immunization Status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924F7" w:rsidRPr="002924F7" w:rsidRDefault="002924F7" w:rsidP="002924F7">
            <w:pPr>
              <w:jc w:val="left"/>
              <w:rPr>
                <w:rFonts w:ascii="Helvetica" w:eastAsia="Times New Roman" w:hAnsi="Helvetica" w:cs="Helvetica"/>
                <w:sz w:val="24"/>
                <w:szCs w:val="24"/>
              </w:rPr>
            </w:pPr>
            <w:r w:rsidRPr="002924F7">
              <w:rPr>
                <w:rFonts w:ascii="Helvetica" w:eastAsia="Times New Roman" w:hAnsi="Helvetica" w:cs="Helvetica"/>
                <w:color w:val="000000" w:themeColor="dark1"/>
                <w:kern w:val="24"/>
                <w:sz w:val="24"/>
                <w:szCs w:val="24"/>
              </w:rPr>
              <w:t>Comm., Medicaid</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924F7" w:rsidRPr="002924F7" w:rsidRDefault="002924F7" w:rsidP="002924F7">
            <w:pPr>
              <w:jc w:val="left"/>
              <w:rPr>
                <w:rFonts w:ascii="Helvetica" w:eastAsia="Times New Roman" w:hAnsi="Helvetica" w:cs="Helvetica"/>
                <w:sz w:val="24"/>
                <w:szCs w:val="24"/>
              </w:rPr>
            </w:pPr>
            <w:r w:rsidRPr="002924F7">
              <w:rPr>
                <w:rFonts w:ascii="Helvetica" w:eastAsia="Times New Roman" w:hAnsi="Helvetica" w:cs="Helvetica"/>
                <w:color w:val="000000" w:themeColor="dark1"/>
                <w:kern w:val="24"/>
                <w:sz w:val="24"/>
                <w:szCs w:val="24"/>
              </w:rPr>
              <w:t>ECDS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924F7" w:rsidRPr="002924F7" w:rsidRDefault="002924F7" w:rsidP="002924F7">
            <w:pPr>
              <w:jc w:val="left"/>
              <w:rPr>
                <w:rFonts w:ascii="Helvetica" w:eastAsia="Times New Roman" w:hAnsi="Helvetica" w:cs="Helvetica"/>
                <w:sz w:val="24"/>
                <w:szCs w:val="24"/>
              </w:rPr>
            </w:pPr>
            <w:r w:rsidRPr="002924F7">
              <w:rPr>
                <w:rFonts w:ascii="Helvetica" w:eastAsiaTheme="minorEastAsia" w:hAnsi="Helvetica" w:cs="Helvetica"/>
                <w:color w:val="000000" w:themeColor="dark1"/>
                <w:kern w:val="24"/>
                <w:sz w:val="24"/>
                <w:szCs w:val="24"/>
              </w:rPr>
              <w:t>The percentage of deliveries on or after 37 gestational weeks in which women received influenza and diphtheria and pertussis (</w:t>
            </w:r>
            <w:proofErr w:type="spellStart"/>
            <w:r w:rsidRPr="002924F7">
              <w:rPr>
                <w:rFonts w:ascii="Helvetica" w:eastAsiaTheme="minorEastAsia" w:hAnsi="Helvetica" w:cs="Helvetica"/>
                <w:color w:val="000000" w:themeColor="dark1"/>
                <w:kern w:val="24"/>
                <w:sz w:val="24"/>
                <w:szCs w:val="24"/>
              </w:rPr>
              <w:t>Tdap</w:t>
            </w:r>
            <w:proofErr w:type="spellEnd"/>
            <w:r w:rsidRPr="002924F7">
              <w:rPr>
                <w:rFonts w:ascii="Helvetica" w:eastAsiaTheme="minorEastAsia" w:hAnsi="Helvetica" w:cs="Helvetica"/>
                <w:color w:val="000000" w:themeColor="dark1"/>
                <w:kern w:val="24"/>
                <w:sz w:val="24"/>
                <w:szCs w:val="24"/>
              </w:rPr>
              <w:t>) vaccines.</w:t>
            </w:r>
          </w:p>
        </w:tc>
      </w:tr>
    </w:tbl>
    <w:p w:rsidR="008464FB" w:rsidRPr="008464FB" w:rsidRDefault="008464FB" w:rsidP="002924F7">
      <w:pPr>
        <w:jc w:val="left"/>
      </w:pPr>
    </w:p>
    <w:p w:rsidR="00822523" w:rsidRDefault="00822523" w:rsidP="00CA1C68">
      <w:pPr>
        <w:pStyle w:val="Heading1"/>
        <w:tabs>
          <w:tab w:val="left" w:pos="2296"/>
        </w:tabs>
        <w:sectPr w:rsidR="00822523" w:rsidSect="002924F7">
          <w:type w:val="continuous"/>
          <w:pgSz w:w="12240" w:h="15840"/>
          <w:pgMar w:top="1080" w:right="1440" w:bottom="1080" w:left="1440" w:header="720" w:footer="720" w:gutter="0"/>
          <w:cols w:space="720"/>
          <w:docGrid w:linePitch="360"/>
        </w:sectPr>
      </w:pPr>
    </w:p>
    <w:p w:rsidR="00F73585" w:rsidRDefault="00F73585" w:rsidP="00CA1C68">
      <w:pPr>
        <w:pStyle w:val="Heading1"/>
        <w:tabs>
          <w:tab w:val="left" w:pos="2296"/>
        </w:tabs>
      </w:pPr>
      <w:r w:rsidRPr="00A35C58">
        <w:lastRenderedPageBreak/>
        <w:t xml:space="preserve">Slide </w:t>
      </w:r>
      <w:r>
        <w:t>2</w:t>
      </w:r>
      <w:r w:rsidR="00C82E49">
        <w:t>7</w:t>
      </w:r>
    </w:p>
    <w:p w:rsidR="00BE257F" w:rsidRPr="00822523" w:rsidRDefault="002924F7" w:rsidP="00822523">
      <w:pPr>
        <w:pStyle w:val="Heading2"/>
      </w:pPr>
      <w:r w:rsidRPr="002924F7">
        <w:t>New HEDIS Measures Introduced in HEDIS 2019 and 2020 (cont’d)</w:t>
      </w:r>
    </w:p>
    <w:tbl>
      <w:tblPr>
        <w:tblStyle w:val="TableGrid"/>
        <w:tblW w:w="5000" w:type="pct"/>
        <w:tblCellMar>
          <w:left w:w="0" w:type="dxa"/>
          <w:right w:w="0" w:type="dxa"/>
        </w:tblCellMar>
        <w:tblLook w:val="0420" w:firstRow="1" w:lastRow="0" w:firstColumn="0" w:lastColumn="0" w:noHBand="0" w:noVBand="1"/>
        <w:tblCaption w:val="New HEDIS Measures Introduced in HEDIS 2019 and 2020 (cont’d)"/>
      </w:tblPr>
      <w:tblGrid>
        <w:gridCol w:w="1713"/>
        <w:gridCol w:w="1602"/>
        <w:gridCol w:w="1247"/>
        <w:gridCol w:w="5086"/>
      </w:tblGrid>
      <w:tr w:rsidR="002924F7" w:rsidRPr="002924F7" w:rsidTr="002924F7">
        <w:trPr>
          <w:trHeight w:val="718"/>
          <w:tblHeader/>
        </w:trPr>
        <w:tc>
          <w:tcPr>
            <w:tcW w:w="888" w:type="pct"/>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2924F7" w:rsidRPr="002924F7" w:rsidRDefault="002924F7" w:rsidP="002924F7">
            <w:pPr>
              <w:jc w:val="left"/>
              <w:rPr>
                <w:rFonts w:ascii="Helvetica" w:eastAsia="Times New Roman" w:hAnsi="Helvetica" w:cs="Helvetica"/>
                <w:sz w:val="24"/>
                <w:szCs w:val="24"/>
              </w:rPr>
            </w:pPr>
            <w:r w:rsidRPr="002924F7">
              <w:rPr>
                <w:rFonts w:ascii="Helvetica" w:eastAsia="Times New Roman" w:hAnsi="Helvetica" w:cs="Helvetica"/>
                <w:b/>
                <w:bCs/>
                <w:color w:val="FFFFFF" w:themeColor="light1"/>
                <w:kern w:val="24"/>
                <w:sz w:val="24"/>
                <w:szCs w:val="24"/>
              </w:rPr>
              <w:t>Measure</w:t>
            </w:r>
          </w:p>
        </w:tc>
        <w:tc>
          <w:tcPr>
            <w:tcW w:w="830" w:type="pct"/>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2924F7" w:rsidRPr="002924F7" w:rsidRDefault="002924F7" w:rsidP="002924F7">
            <w:pPr>
              <w:jc w:val="left"/>
              <w:rPr>
                <w:rFonts w:ascii="Helvetica" w:eastAsia="Times New Roman" w:hAnsi="Helvetica" w:cs="Helvetica"/>
                <w:sz w:val="24"/>
                <w:szCs w:val="24"/>
              </w:rPr>
            </w:pPr>
            <w:r w:rsidRPr="002924F7">
              <w:rPr>
                <w:rFonts w:ascii="Helvetica" w:eastAsia="Times New Roman" w:hAnsi="Helvetica" w:cs="Helvetica"/>
                <w:b/>
                <w:bCs/>
                <w:color w:val="FFFFFF" w:themeColor="light1"/>
                <w:kern w:val="24"/>
                <w:sz w:val="24"/>
                <w:szCs w:val="24"/>
              </w:rPr>
              <w:t>LOB</w:t>
            </w:r>
          </w:p>
        </w:tc>
        <w:tc>
          <w:tcPr>
            <w:tcW w:w="646" w:type="pct"/>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2924F7" w:rsidRPr="002924F7" w:rsidRDefault="002924F7" w:rsidP="002924F7">
            <w:pPr>
              <w:jc w:val="left"/>
              <w:rPr>
                <w:rFonts w:ascii="Helvetica" w:eastAsia="Times New Roman" w:hAnsi="Helvetica" w:cs="Helvetica"/>
                <w:sz w:val="24"/>
                <w:szCs w:val="24"/>
              </w:rPr>
            </w:pPr>
            <w:r w:rsidRPr="002924F7">
              <w:rPr>
                <w:rFonts w:ascii="Helvetica" w:eastAsia="Times New Roman" w:hAnsi="Helvetica" w:cs="Helvetica"/>
                <w:b/>
                <w:bCs/>
                <w:color w:val="FFFFFF" w:themeColor="light1"/>
                <w:kern w:val="24"/>
                <w:sz w:val="24"/>
                <w:szCs w:val="24"/>
              </w:rPr>
              <w:t>Data Source</w:t>
            </w:r>
          </w:p>
        </w:tc>
        <w:tc>
          <w:tcPr>
            <w:tcW w:w="2636" w:type="pct"/>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2924F7" w:rsidRPr="002924F7" w:rsidRDefault="002924F7" w:rsidP="002924F7">
            <w:pPr>
              <w:jc w:val="left"/>
              <w:rPr>
                <w:rFonts w:ascii="Helvetica" w:eastAsia="Times New Roman" w:hAnsi="Helvetica" w:cs="Helvetica"/>
                <w:sz w:val="24"/>
                <w:szCs w:val="24"/>
              </w:rPr>
            </w:pPr>
            <w:r w:rsidRPr="002924F7">
              <w:rPr>
                <w:rFonts w:ascii="Helvetica" w:eastAsia="Times New Roman" w:hAnsi="Helvetica" w:cs="Helvetica"/>
                <w:b/>
                <w:bCs/>
                <w:color w:val="FFFFFF" w:themeColor="light1"/>
                <w:kern w:val="24"/>
                <w:sz w:val="24"/>
                <w:szCs w:val="24"/>
              </w:rPr>
              <w:t>Description</w:t>
            </w:r>
          </w:p>
        </w:tc>
      </w:tr>
      <w:tr w:rsidR="002924F7" w:rsidRPr="002924F7" w:rsidTr="002924F7">
        <w:trPr>
          <w:trHeight w:val="584"/>
        </w:trPr>
        <w:tc>
          <w:tcPr>
            <w:tcW w:w="88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924F7" w:rsidRPr="002924F7" w:rsidRDefault="002924F7" w:rsidP="002924F7">
            <w:pPr>
              <w:jc w:val="left"/>
              <w:rPr>
                <w:rFonts w:ascii="Helvetica" w:eastAsia="Times New Roman" w:hAnsi="Helvetica" w:cs="Helvetica"/>
                <w:sz w:val="24"/>
                <w:szCs w:val="24"/>
              </w:rPr>
            </w:pPr>
            <w:r w:rsidRPr="002924F7">
              <w:rPr>
                <w:rFonts w:ascii="Helvetica" w:eastAsia="Times New Roman" w:hAnsi="Helvetica" w:cs="Helvetica"/>
                <w:color w:val="000000" w:themeColor="dark1"/>
                <w:kern w:val="24"/>
                <w:sz w:val="24"/>
                <w:szCs w:val="24"/>
              </w:rPr>
              <w:t>Prenatal Depression Screening and Follow-up*</w:t>
            </w:r>
          </w:p>
        </w:tc>
        <w:tc>
          <w:tcPr>
            <w:tcW w:w="83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924F7" w:rsidRPr="002924F7" w:rsidRDefault="002924F7" w:rsidP="002924F7">
            <w:pPr>
              <w:jc w:val="left"/>
              <w:rPr>
                <w:rFonts w:ascii="Helvetica" w:eastAsia="Times New Roman" w:hAnsi="Helvetica" w:cs="Helvetica"/>
                <w:sz w:val="24"/>
                <w:szCs w:val="24"/>
              </w:rPr>
            </w:pPr>
            <w:r w:rsidRPr="002924F7">
              <w:rPr>
                <w:rFonts w:ascii="Helvetica" w:eastAsia="Times New Roman" w:hAnsi="Helvetica" w:cs="Helvetica"/>
                <w:color w:val="000000" w:themeColor="dark1"/>
                <w:kern w:val="24"/>
                <w:sz w:val="24"/>
                <w:szCs w:val="24"/>
              </w:rPr>
              <w:t>Comm., Medicaid</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924F7" w:rsidRPr="002924F7" w:rsidRDefault="002924F7" w:rsidP="002924F7">
            <w:pPr>
              <w:jc w:val="left"/>
              <w:rPr>
                <w:rFonts w:ascii="Helvetica" w:eastAsia="Times New Roman" w:hAnsi="Helvetica" w:cs="Helvetica"/>
                <w:sz w:val="24"/>
                <w:szCs w:val="24"/>
              </w:rPr>
            </w:pPr>
            <w:r w:rsidRPr="002924F7">
              <w:rPr>
                <w:rFonts w:ascii="Helvetica" w:eastAsia="Times New Roman" w:hAnsi="Helvetica" w:cs="Helvetica"/>
                <w:color w:val="000000" w:themeColor="dark1"/>
                <w:kern w:val="24"/>
                <w:sz w:val="24"/>
                <w:szCs w:val="24"/>
              </w:rPr>
              <w:t>ECDS</w:t>
            </w:r>
          </w:p>
        </w:tc>
        <w:tc>
          <w:tcPr>
            <w:tcW w:w="26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924F7" w:rsidRPr="002924F7" w:rsidRDefault="002924F7" w:rsidP="002924F7">
            <w:pPr>
              <w:jc w:val="left"/>
              <w:rPr>
                <w:rFonts w:ascii="Helvetica" w:eastAsia="Times New Roman" w:hAnsi="Helvetica" w:cs="Helvetica"/>
                <w:sz w:val="24"/>
                <w:szCs w:val="24"/>
              </w:rPr>
            </w:pPr>
            <w:r w:rsidRPr="002924F7">
              <w:rPr>
                <w:rFonts w:ascii="Helvetica" w:eastAsia="Times New Roman" w:hAnsi="Helvetica" w:cs="Helvetica"/>
                <w:color w:val="000000" w:themeColor="dark1"/>
                <w:kern w:val="24"/>
                <w:sz w:val="24"/>
                <w:szCs w:val="24"/>
              </w:rPr>
              <w:t xml:space="preserve">The percentage of deliveries in which members were screened for clinical depression while pregnant and, if screened positive, received follow-up care. Two rates are reported. </w:t>
            </w:r>
          </w:p>
        </w:tc>
      </w:tr>
      <w:tr w:rsidR="002924F7" w:rsidRPr="002924F7" w:rsidTr="002924F7">
        <w:trPr>
          <w:trHeight w:val="584"/>
        </w:trPr>
        <w:tc>
          <w:tcPr>
            <w:tcW w:w="88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924F7" w:rsidRPr="002924F7" w:rsidRDefault="002924F7" w:rsidP="002924F7">
            <w:pPr>
              <w:jc w:val="left"/>
              <w:rPr>
                <w:rFonts w:ascii="Helvetica" w:eastAsia="Times New Roman" w:hAnsi="Helvetica" w:cs="Helvetica"/>
                <w:sz w:val="24"/>
                <w:szCs w:val="24"/>
              </w:rPr>
            </w:pPr>
            <w:r w:rsidRPr="002924F7">
              <w:rPr>
                <w:rFonts w:ascii="Helvetica" w:eastAsia="Times New Roman" w:hAnsi="Helvetica" w:cs="Helvetica"/>
                <w:color w:val="000000" w:themeColor="dark1"/>
                <w:kern w:val="24"/>
                <w:sz w:val="24"/>
                <w:szCs w:val="24"/>
              </w:rPr>
              <w:t>Post-partum Depression Screening and Follow-up*</w:t>
            </w:r>
          </w:p>
        </w:tc>
        <w:tc>
          <w:tcPr>
            <w:tcW w:w="83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924F7" w:rsidRPr="002924F7" w:rsidRDefault="002924F7" w:rsidP="002924F7">
            <w:pPr>
              <w:jc w:val="left"/>
              <w:rPr>
                <w:rFonts w:ascii="Helvetica" w:eastAsia="Times New Roman" w:hAnsi="Helvetica" w:cs="Helvetica"/>
                <w:sz w:val="24"/>
                <w:szCs w:val="24"/>
              </w:rPr>
            </w:pPr>
            <w:r w:rsidRPr="002924F7">
              <w:rPr>
                <w:rFonts w:ascii="Helvetica" w:eastAsia="Times New Roman" w:hAnsi="Helvetica" w:cs="Helvetica"/>
                <w:color w:val="000000" w:themeColor="dark1"/>
                <w:kern w:val="24"/>
                <w:sz w:val="24"/>
                <w:szCs w:val="24"/>
              </w:rPr>
              <w:t>Comm., Medicaid</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924F7" w:rsidRPr="002924F7" w:rsidRDefault="002924F7" w:rsidP="002924F7">
            <w:pPr>
              <w:jc w:val="left"/>
              <w:rPr>
                <w:rFonts w:ascii="Helvetica" w:eastAsia="Times New Roman" w:hAnsi="Helvetica" w:cs="Helvetica"/>
                <w:sz w:val="24"/>
                <w:szCs w:val="24"/>
              </w:rPr>
            </w:pPr>
            <w:r w:rsidRPr="002924F7">
              <w:rPr>
                <w:rFonts w:ascii="Helvetica" w:eastAsia="Times New Roman" w:hAnsi="Helvetica" w:cs="Helvetica"/>
                <w:color w:val="000000" w:themeColor="dark1"/>
                <w:kern w:val="24"/>
                <w:sz w:val="24"/>
                <w:szCs w:val="24"/>
              </w:rPr>
              <w:t>ECDS</w:t>
            </w:r>
          </w:p>
        </w:tc>
        <w:tc>
          <w:tcPr>
            <w:tcW w:w="26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924F7" w:rsidRPr="002924F7" w:rsidRDefault="002924F7" w:rsidP="002924F7">
            <w:pPr>
              <w:jc w:val="left"/>
              <w:rPr>
                <w:rFonts w:ascii="Helvetica" w:eastAsia="Times New Roman" w:hAnsi="Helvetica" w:cs="Helvetica"/>
                <w:sz w:val="24"/>
                <w:szCs w:val="24"/>
              </w:rPr>
            </w:pPr>
            <w:r w:rsidRPr="002924F7">
              <w:rPr>
                <w:rFonts w:ascii="Helvetica" w:eastAsia="Times New Roman" w:hAnsi="Helvetica" w:cs="Helvetica"/>
                <w:color w:val="000000" w:themeColor="dark1"/>
                <w:kern w:val="24"/>
                <w:sz w:val="24"/>
                <w:szCs w:val="24"/>
              </w:rPr>
              <w:t xml:space="preserve">The percentage of deliveries in which members were screened for clinical depression during the postpartum period, and if screened positive, received follow-up care. </w:t>
            </w:r>
          </w:p>
        </w:tc>
      </w:tr>
    </w:tbl>
    <w:p w:rsidR="002924F7" w:rsidRPr="002924F7" w:rsidRDefault="002924F7" w:rsidP="002924F7">
      <w:pPr>
        <w:jc w:val="left"/>
        <w:rPr>
          <w:rFonts w:ascii="Helvetica" w:hAnsi="Helvetica"/>
          <w:sz w:val="24"/>
          <w:szCs w:val="24"/>
        </w:rPr>
      </w:pPr>
    </w:p>
    <w:p w:rsidR="00C82E49" w:rsidRDefault="00C82E49" w:rsidP="00CA1C68">
      <w:pPr>
        <w:pStyle w:val="Heading1"/>
        <w:tabs>
          <w:tab w:val="left" w:pos="2296"/>
        </w:tabs>
      </w:pPr>
      <w:r w:rsidRPr="00A35C58">
        <w:t xml:space="preserve">Slide </w:t>
      </w:r>
      <w:r>
        <w:t>28</w:t>
      </w:r>
    </w:p>
    <w:p w:rsidR="00C82E49" w:rsidRDefault="00822523" w:rsidP="00CA1C68">
      <w:pPr>
        <w:pStyle w:val="Heading2"/>
      </w:pPr>
      <w:r w:rsidRPr="00822523">
        <w:t>New HEDIS Measures – Introduced in HEDIS 2019 and 2020 (cont’d)</w:t>
      </w:r>
    </w:p>
    <w:tbl>
      <w:tblPr>
        <w:tblStyle w:val="TableGrid"/>
        <w:tblW w:w="0" w:type="auto"/>
        <w:tblCellMar>
          <w:left w:w="0" w:type="dxa"/>
          <w:right w:w="0" w:type="dxa"/>
        </w:tblCellMar>
        <w:tblLook w:val="0420" w:firstRow="1" w:lastRow="0" w:firstColumn="0" w:lastColumn="0" w:noHBand="0" w:noVBand="1"/>
        <w:tblCaption w:val="New HEDIS Measures – Introduced in HEDIS 2019 and 2020 (cont’d)"/>
      </w:tblPr>
      <w:tblGrid>
        <w:gridCol w:w="2095"/>
        <w:gridCol w:w="1533"/>
        <w:gridCol w:w="1167"/>
        <w:gridCol w:w="4853"/>
      </w:tblGrid>
      <w:tr w:rsidR="00822523" w:rsidRPr="00822523" w:rsidTr="00A40DC0">
        <w:trPr>
          <w:tblHeader/>
        </w:trPr>
        <w:tc>
          <w:tcPr>
            <w:tcW w:w="0" w:type="auto"/>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822523" w:rsidRPr="00822523" w:rsidRDefault="00822523" w:rsidP="00822523">
            <w:pPr>
              <w:jc w:val="left"/>
              <w:rPr>
                <w:rFonts w:ascii="Helvetica" w:eastAsia="Times New Roman" w:hAnsi="Helvetica" w:cs="Helvetica"/>
                <w:sz w:val="24"/>
                <w:szCs w:val="24"/>
              </w:rPr>
            </w:pPr>
            <w:r w:rsidRPr="00822523">
              <w:rPr>
                <w:rFonts w:ascii="Helvetica" w:eastAsia="Times New Roman" w:hAnsi="Helvetica" w:cs="Helvetica"/>
                <w:b/>
                <w:bCs/>
                <w:color w:val="FFFFFF" w:themeColor="light1"/>
                <w:kern w:val="24"/>
                <w:sz w:val="24"/>
                <w:szCs w:val="24"/>
              </w:rPr>
              <w:t>Measure</w:t>
            </w:r>
          </w:p>
        </w:tc>
        <w:tc>
          <w:tcPr>
            <w:tcW w:w="0" w:type="auto"/>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822523" w:rsidRPr="00822523" w:rsidRDefault="00822523" w:rsidP="00822523">
            <w:pPr>
              <w:jc w:val="left"/>
              <w:rPr>
                <w:rFonts w:ascii="Helvetica" w:eastAsia="Times New Roman" w:hAnsi="Helvetica" w:cs="Helvetica"/>
                <w:sz w:val="24"/>
                <w:szCs w:val="24"/>
              </w:rPr>
            </w:pPr>
            <w:r w:rsidRPr="00822523">
              <w:rPr>
                <w:rFonts w:ascii="Helvetica" w:eastAsia="Times New Roman" w:hAnsi="Helvetica" w:cs="Helvetica"/>
                <w:b/>
                <w:bCs/>
                <w:color w:val="FFFFFF" w:themeColor="light1"/>
                <w:kern w:val="24"/>
                <w:sz w:val="24"/>
                <w:szCs w:val="24"/>
              </w:rPr>
              <w:t>LOB</w:t>
            </w:r>
          </w:p>
        </w:tc>
        <w:tc>
          <w:tcPr>
            <w:tcW w:w="0" w:type="auto"/>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822523" w:rsidRPr="00822523" w:rsidRDefault="00822523" w:rsidP="00822523">
            <w:pPr>
              <w:jc w:val="left"/>
              <w:rPr>
                <w:rFonts w:ascii="Helvetica" w:eastAsia="Times New Roman" w:hAnsi="Helvetica" w:cs="Helvetica"/>
                <w:sz w:val="24"/>
                <w:szCs w:val="24"/>
              </w:rPr>
            </w:pPr>
            <w:r w:rsidRPr="00822523">
              <w:rPr>
                <w:rFonts w:ascii="Helvetica" w:eastAsia="Times New Roman" w:hAnsi="Helvetica" w:cs="Helvetica"/>
                <w:b/>
                <w:bCs/>
                <w:color w:val="FFFFFF" w:themeColor="light1"/>
                <w:kern w:val="24"/>
                <w:sz w:val="24"/>
                <w:szCs w:val="24"/>
              </w:rPr>
              <w:t>Data Source</w:t>
            </w:r>
          </w:p>
        </w:tc>
        <w:tc>
          <w:tcPr>
            <w:tcW w:w="0" w:type="auto"/>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822523" w:rsidRPr="00822523" w:rsidRDefault="00822523" w:rsidP="00822523">
            <w:pPr>
              <w:jc w:val="left"/>
              <w:rPr>
                <w:rFonts w:ascii="Helvetica" w:eastAsia="Times New Roman" w:hAnsi="Helvetica" w:cs="Helvetica"/>
                <w:sz w:val="24"/>
                <w:szCs w:val="24"/>
              </w:rPr>
            </w:pPr>
            <w:r w:rsidRPr="00822523">
              <w:rPr>
                <w:rFonts w:ascii="Helvetica" w:eastAsia="Times New Roman" w:hAnsi="Helvetica" w:cs="Helvetica"/>
                <w:b/>
                <w:bCs/>
                <w:color w:val="FFFFFF" w:themeColor="light1"/>
                <w:kern w:val="24"/>
                <w:sz w:val="24"/>
                <w:szCs w:val="24"/>
              </w:rPr>
              <w:t>Description</w:t>
            </w:r>
          </w:p>
        </w:tc>
      </w:tr>
      <w:tr w:rsidR="00822523" w:rsidRPr="00822523" w:rsidTr="00822523">
        <w:trPr>
          <w:trHeight w:val="58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rsidP="00822523">
            <w:pPr>
              <w:jc w:val="left"/>
              <w:rPr>
                <w:rFonts w:ascii="Helvetica" w:eastAsia="Times New Roman" w:hAnsi="Helvetica" w:cs="Helvetica"/>
                <w:sz w:val="24"/>
                <w:szCs w:val="24"/>
              </w:rPr>
            </w:pPr>
            <w:r w:rsidRPr="00822523">
              <w:rPr>
                <w:rFonts w:ascii="Helvetica" w:eastAsia="Times New Roman" w:hAnsi="Helvetica" w:cs="Helvetica"/>
                <w:color w:val="000000" w:themeColor="dark1"/>
                <w:kern w:val="24"/>
                <w:sz w:val="24"/>
                <w:szCs w:val="24"/>
              </w:rPr>
              <w:t xml:space="preserve">Follow-Up After High-Intensity Care for Substance Use Disorder*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rsidP="00822523">
            <w:pPr>
              <w:jc w:val="left"/>
              <w:rPr>
                <w:rFonts w:ascii="Helvetica" w:eastAsia="Times New Roman" w:hAnsi="Helvetica" w:cs="Helvetica"/>
                <w:sz w:val="24"/>
                <w:szCs w:val="24"/>
              </w:rPr>
            </w:pPr>
            <w:r w:rsidRPr="00822523">
              <w:rPr>
                <w:rFonts w:ascii="Helvetica" w:eastAsia="Times New Roman" w:hAnsi="Helvetica" w:cs="Helvetica"/>
                <w:color w:val="000000" w:themeColor="dark1"/>
                <w:kern w:val="24"/>
                <w:sz w:val="24"/>
                <w:szCs w:val="24"/>
              </w:rPr>
              <w:t>Comm., Medicaid, Medicare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rsidP="00822523">
            <w:pPr>
              <w:jc w:val="left"/>
              <w:rPr>
                <w:rFonts w:ascii="Helvetica" w:eastAsia="Times New Roman" w:hAnsi="Helvetica" w:cs="Helvetica"/>
                <w:sz w:val="24"/>
                <w:szCs w:val="24"/>
              </w:rPr>
            </w:pPr>
            <w:r w:rsidRPr="00822523">
              <w:rPr>
                <w:rFonts w:ascii="Helvetica" w:eastAsia="Times New Roman" w:hAnsi="Helvetica" w:cs="Helvetica"/>
                <w:color w:val="000000" w:themeColor="dark1"/>
                <w:kern w:val="24"/>
                <w:sz w:val="24"/>
                <w:szCs w:val="24"/>
              </w:rPr>
              <w:t>Admin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rsidP="00822523">
            <w:pPr>
              <w:jc w:val="left"/>
              <w:rPr>
                <w:rFonts w:ascii="Helvetica" w:eastAsia="Times New Roman" w:hAnsi="Helvetica" w:cs="Helvetica"/>
                <w:sz w:val="24"/>
                <w:szCs w:val="24"/>
              </w:rPr>
            </w:pPr>
            <w:r w:rsidRPr="00822523">
              <w:rPr>
                <w:rFonts w:ascii="Helvetica" w:eastAsiaTheme="minorEastAsia" w:hAnsi="Helvetica" w:cs="Helvetica"/>
                <w:color w:val="000000" w:themeColor="dark1"/>
                <w:kern w:val="24"/>
                <w:sz w:val="24"/>
                <w:szCs w:val="24"/>
              </w:rPr>
              <w:t xml:space="preserve">The percentage of acute inpatient hospitalizations, residential treatment or detoxification visits for a diagnosis of substance use disorder among members 13 years of age and older that result in a follow-up visit or service for substance use disorder. </w:t>
            </w:r>
          </w:p>
        </w:tc>
      </w:tr>
      <w:tr w:rsidR="00822523" w:rsidRPr="00822523" w:rsidTr="00822523">
        <w:trPr>
          <w:trHeight w:val="58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rsidP="00822523">
            <w:pPr>
              <w:jc w:val="left"/>
              <w:rPr>
                <w:rFonts w:ascii="Helvetica" w:eastAsia="Times New Roman" w:hAnsi="Helvetica" w:cs="Helvetica"/>
                <w:sz w:val="24"/>
                <w:szCs w:val="24"/>
              </w:rPr>
            </w:pPr>
            <w:proofErr w:type="spellStart"/>
            <w:r w:rsidRPr="00822523">
              <w:rPr>
                <w:rFonts w:ascii="Helvetica" w:eastAsia="Times New Roman" w:hAnsi="Helvetica" w:cs="Helvetica"/>
                <w:color w:val="000000" w:themeColor="dark1"/>
                <w:kern w:val="24"/>
                <w:sz w:val="24"/>
                <w:szCs w:val="24"/>
              </w:rPr>
              <w:t>Pharmaco</w:t>
            </w:r>
            <w:proofErr w:type="spellEnd"/>
            <w:r w:rsidRPr="00822523">
              <w:rPr>
                <w:rFonts w:ascii="Helvetica" w:eastAsia="Times New Roman" w:hAnsi="Helvetica" w:cs="Helvetica"/>
                <w:color w:val="000000" w:themeColor="dark1"/>
                <w:kern w:val="24"/>
                <w:sz w:val="24"/>
                <w:szCs w:val="24"/>
              </w:rPr>
              <w:t>-therapy for Opioid Use Disorder*</w:t>
            </w:r>
            <w:r w:rsidRPr="00822523">
              <w:rPr>
                <w:rFonts w:ascii="Helvetica" w:eastAsia="Times New Roman" w:hAnsi="Helvetica" w:cs="Helvetica"/>
                <w:color w:val="000000" w:themeColor="dark1"/>
                <w:kern w:val="24"/>
                <w:position w:val="11"/>
                <w:sz w:val="24"/>
                <w:szCs w:val="24"/>
                <w:vertAlign w:val="superscript"/>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rsidP="00822523">
            <w:pPr>
              <w:jc w:val="left"/>
              <w:rPr>
                <w:rFonts w:ascii="Helvetica" w:eastAsia="Times New Roman" w:hAnsi="Helvetica" w:cs="Helvetica"/>
                <w:sz w:val="24"/>
                <w:szCs w:val="24"/>
              </w:rPr>
            </w:pPr>
            <w:r w:rsidRPr="00822523">
              <w:rPr>
                <w:rFonts w:ascii="Helvetica" w:eastAsia="Times New Roman" w:hAnsi="Helvetica" w:cs="Helvetica"/>
                <w:color w:val="000000" w:themeColor="dark1"/>
                <w:kern w:val="24"/>
                <w:sz w:val="24"/>
                <w:szCs w:val="24"/>
              </w:rPr>
              <w:t>Comm., Medicaid, Medicare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rsidP="00822523">
            <w:pPr>
              <w:jc w:val="left"/>
              <w:rPr>
                <w:rFonts w:ascii="Helvetica" w:eastAsia="Times New Roman" w:hAnsi="Helvetica" w:cs="Helvetica"/>
                <w:sz w:val="24"/>
                <w:szCs w:val="24"/>
              </w:rPr>
            </w:pPr>
            <w:r w:rsidRPr="00822523">
              <w:rPr>
                <w:rFonts w:ascii="Helvetica" w:eastAsia="Times New Roman" w:hAnsi="Helvetica" w:cs="Helvetica"/>
                <w:color w:val="000000" w:themeColor="dark1"/>
                <w:kern w:val="24"/>
                <w:sz w:val="24"/>
                <w:szCs w:val="24"/>
              </w:rPr>
              <w:t>Admin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rsidP="00822523">
            <w:pPr>
              <w:jc w:val="left"/>
              <w:rPr>
                <w:rFonts w:ascii="Helvetica" w:eastAsia="Times New Roman" w:hAnsi="Helvetica" w:cs="Helvetica"/>
                <w:sz w:val="24"/>
                <w:szCs w:val="24"/>
              </w:rPr>
            </w:pPr>
            <w:r w:rsidRPr="00822523">
              <w:rPr>
                <w:rFonts w:ascii="Helvetica" w:eastAsia="Times New Roman" w:hAnsi="Helvetica" w:cs="Helvetica"/>
                <w:color w:val="000000" w:themeColor="dark1"/>
                <w:kern w:val="24"/>
                <w:sz w:val="24"/>
                <w:szCs w:val="24"/>
              </w:rPr>
              <w:t xml:space="preserve">The percentage of new opioid use disorder (OUD) pharmacotherapy events with OUD pharmacotherapy for 180 or more days among members age 16 and older with a diagnosis of OUD. </w:t>
            </w:r>
          </w:p>
        </w:tc>
      </w:tr>
      <w:tr w:rsidR="00822523" w:rsidRPr="00822523" w:rsidTr="00822523">
        <w:trPr>
          <w:trHeight w:val="58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rsidP="00822523">
            <w:pPr>
              <w:jc w:val="left"/>
              <w:rPr>
                <w:rFonts w:ascii="Helvetica" w:eastAsia="Times New Roman" w:hAnsi="Helvetica" w:cs="Helvetica"/>
                <w:sz w:val="24"/>
                <w:szCs w:val="24"/>
              </w:rPr>
            </w:pPr>
            <w:r w:rsidRPr="00822523">
              <w:rPr>
                <w:rFonts w:ascii="Helvetica" w:eastAsia="Times New Roman" w:hAnsi="Helvetica" w:cs="Helvetica"/>
                <w:color w:val="000000" w:themeColor="dark1"/>
                <w:kern w:val="24"/>
                <w:sz w:val="24"/>
                <w:szCs w:val="24"/>
              </w:rPr>
              <w:t>Risk of Continued Opioid Use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rsidP="00822523">
            <w:pPr>
              <w:jc w:val="left"/>
              <w:rPr>
                <w:rFonts w:ascii="Helvetica" w:eastAsia="Times New Roman" w:hAnsi="Helvetica" w:cs="Helvetica"/>
                <w:sz w:val="24"/>
                <w:szCs w:val="24"/>
              </w:rPr>
            </w:pPr>
            <w:r w:rsidRPr="00822523">
              <w:rPr>
                <w:rFonts w:ascii="Helvetica" w:eastAsia="Times New Roman" w:hAnsi="Helvetica" w:cs="Helvetica"/>
                <w:color w:val="000000" w:themeColor="dark1"/>
                <w:kern w:val="24"/>
                <w:sz w:val="24"/>
                <w:szCs w:val="24"/>
              </w:rPr>
              <w:t>Comm., Medicaid, Medicare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rsidP="00822523">
            <w:pPr>
              <w:jc w:val="left"/>
              <w:rPr>
                <w:rFonts w:ascii="Helvetica" w:eastAsia="Times New Roman" w:hAnsi="Helvetica" w:cs="Helvetica"/>
                <w:sz w:val="24"/>
                <w:szCs w:val="24"/>
              </w:rPr>
            </w:pPr>
            <w:r w:rsidRPr="00822523">
              <w:rPr>
                <w:rFonts w:ascii="Helvetica" w:eastAsia="Times New Roman" w:hAnsi="Helvetica" w:cs="Helvetica"/>
                <w:color w:val="000000" w:themeColor="dark1"/>
                <w:kern w:val="24"/>
                <w:sz w:val="24"/>
                <w:szCs w:val="24"/>
              </w:rPr>
              <w:t>Admin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rsidP="00822523">
            <w:pPr>
              <w:jc w:val="left"/>
              <w:rPr>
                <w:rFonts w:ascii="Helvetica" w:eastAsia="Times New Roman" w:hAnsi="Helvetica" w:cs="Helvetica"/>
                <w:sz w:val="24"/>
                <w:szCs w:val="24"/>
              </w:rPr>
            </w:pPr>
            <w:r w:rsidRPr="00822523">
              <w:rPr>
                <w:rFonts w:ascii="Helvetica" w:eastAsiaTheme="minorEastAsia" w:hAnsi="Helvetica" w:cs="Helvetica"/>
                <w:color w:val="000000" w:themeColor="dark1"/>
                <w:kern w:val="24"/>
                <w:sz w:val="24"/>
                <w:szCs w:val="24"/>
              </w:rPr>
              <w:t xml:space="preserve">The percentage of members 18 years and older who have a new episode of opioid use that puts them at risk for continued use. </w:t>
            </w:r>
          </w:p>
        </w:tc>
      </w:tr>
    </w:tbl>
    <w:p w:rsidR="00822523" w:rsidRDefault="00822523" w:rsidP="00822523">
      <w:pPr>
        <w:jc w:val="left"/>
        <w:rPr>
          <w:rFonts w:ascii="Helvetica" w:hAnsi="Helvetica"/>
          <w:sz w:val="24"/>
          <w:szCs w:val="24"/>
        </w:rPr>
      </w:pPr>
    </w:p>
    <w:p w:rsidR="00822523" w:rsidRPr="00822523" w:rsidRDefault="00822523" w:rsidP="00822523">
      <w:pPr>
        <w:jc w:val="left"/>
        <w:rPr>
          <w:rFonts w:ascii="Helvetica" w:hAnsi="Helvetica"/>
          <w:sz w:val="24"/>
          <w:szCs w:val="24"/>
        </w:rPr>
      </w:pPr>
      <w:r w:rsidRPr="00822523">
        <w:rPr>
          <w:rFonts w:ascii="Helvetica" w:hAnsi="Helvetica"/>
          <w:sz w:val="24"/>
          <w:szCs w:val="24"/>
        </w:rPr>
        <w:t>*indicates new for HEDIS 2020</w:t>
      </w:r>
    </w:p>
    <w:p w:rsidR="00103708" w:rsidRPr="00822523" w:rsidRDefault="00822523" w:rsidP="00822523">
      <w:pPr>
        <w:jc w:val="left"/>
        <w:rPr>
          <w:rFonts w:ascii="Helvetica" w:hAnsi="Helvetica"/>
          <w:sz w:val="24"/>
          <w:szCs w:val="24"/>
        </w:rPr>
      </w:pPr>
      <w:r w:rsidRPr="00822523">
        <w:rPr>
          <w:rFonts w:ascii="Helvetica" w:hAnsi="Helvetica"/>
          <w:sz w:val="24"/>
          <w:szCs w:val="24"/>
          <w:vertAlign w:val="superscript"/>
        </w:rPr>
        <w:lastRenderedPageBreak/>
        <w:t>1</w:t>
      </w:r>
      <w:r w:rsidRPr="00822523">
        <w:rPr>
          <w:rFonts w:ascii="Helvetica" w:hAnsi="Helvetica"/>
          <w:sz w:val="24"/>
          <w:szCs w:val="24"/>
        </w:rPr>
        <w:t>Differences between this measure and the Continuity of Pharmacotherapy for Opioid Use Disorder are described on the next slide.</w:t>
      </w:r>
    </w:p>
    <w:p w:rsidR="00103708" w:rsidRDefault="00103708" w:rsidP="00CA1C68">
      <w:pPr>
        <w:pStyle w:val="Heading1"/>
        <w:tabs>
          <w:tab w:val="left" w:pos="2296"/>
        </w:tabs>
      </w:pPr>
      <w:r w:rsidRPr="00A35C58">
        <w:t xml:space="preserve">Slide </w:t>
      </w:r>
      <w:r>
        <w:t>29</w:t>
      </w:r>
    </w:p>
    <w:p w:rsidR="00103708" w:rsidRPr="00822523" w:rsidRDefault="00822523" w:rsidP="00822523">
      <w:pPr>
        <w:pStyle w:val="Heading2"/>
      </w:pPr>
      <w:r w:rsidRPr="00822523">
        <w:t>Comparison of CMS and NCQA Pharmacotherapy Measure</w:t>
      </w:r>
      <w:r>
        <w:t>s</w:t>
      </w:r>
    </w:p>
    <w:tbl>
      <w:tblPr>
        <w:tblStyle w:val="TableGrid"/>
        <w:tblW w:w="0" w:type="auto"/>
        <w:tblCellMar>
          <w:left w:w="0" w:type="dxa"/>
          <w:right w:w="0" w:type="dxa"/>
        </w:tblCellMar>
        <w:tblLook w:val="0420" w:firstRow="1" w:lastRow="0" w:firstColumn="0" w:lastColumn="0" w:noHBand="0" w:noVBand="1"/>
        <w:tblCaption w:val="Comparison of CMS and NCQA Pharmacotherapy Measures"/>
      </w:tblPr>
      <w:tblGrid>
        <w:gridCol w:w="1718"/>
        <w:gridCol w:w="2421"/>
        <w:gridCol w:w="2826"/>
        <w:gridCol w:w="2683"/>
      </w:tblGrid>
      <w:tr w:rsidR="00822523" w:rsidRPr="00822523" w:rsidTr="00A40DC0">
        <w:trPr>
          <w:trHeight w:val="437"/>
          <w:tblHeader/>
        </w:trPr>
        <w:tc>
          <w:tcPr>
            <w:tcW w:w="0" w:type="auto"/>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822523" w:rsidRPr="00822523" w:rsidRDefault="00822523">
            <w:pPr>
              <w:pStyle w:val="NormalWeb"/>
              <w:spacing w:before="0" w:beforeAutospacing="0" w:after="0" w:afterAutospacing="0"/>
              <w:rPr>
                <w:rFonts w:ascii="Helvetica" w:hAnsi="Helvetica" w:cs="Helvetica"/>
              </w:rPr>
            </w:pPr>
            <w:r w:rsidRPr="00822523">
              <w:rPr>
                <w:rFonts w:ascii="Helvetica" w:hAnsi="Helvetica" w:cs="Helvetica"/>
                <w:b/>
                <w:bCs/>
                <w:color w:val="FFFFFF" w:themeColor="light1"/>
                <w:kern w:val="24"/>
              </w:rPr>
              <w:t>Topic</w:t>
            </w:r>
          </w:p>
        </w:tc>
        <w:tc>
          <w:tcPr>
            <w:tcW w:w="0" w:type="auto"/>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822523" w:rsidRPr="00822523" w:rsidRDefault="00822523">
            <w:pPr>
              <w:pStyle w:val="NormalWeb"/>
              <w:spacing w:before="0" w:beforeAutospacing="0" w:after="0" w:afterAutospacing="0"/>
              <w:rPr>
                <w:rFonts w:ascii="Helvetica" w:hAnsi="Helvetica" w:cs="Helvetica"/>
              </w:rPr>
            </w:pPr>
            <w:r w:rsidRPr="00822523">
              <w:rPr>
                <w:rFonts w:ascii="Helvetica" w:hAnsi="Helvetica" w:cs="Helvetica"/>
                <w:b/>
                <w:bCs/>
                <w:color w:val="FFFFFF" w:themeColor="light1"/>
                <w:kern w:val="24"/>
              </w:rPr>
              <w:t>CMS MIPS</w:t>
            </w:r>
          </w:p>
        </w:tc>
        <w:tc>
          <w:tcPr>
            <w:tcW w:w="0" w:type="auto"/>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822523" w:rsidRPr="00822523" w:rsidRDefault="00822523">
            <w:pPr>
              <w:pStyle w:val="NormalWeb"/>
              <w:spacing w:before="0" w:beforeAutospacing="0" w:after="0" w:afterAutospacing="0"/>
              <w:rPr>
                <w:rFonts w:ascii="Helvetica" w:hAnsi="Helvetica" w:cs="Helvetica"/>
              </w:rPr>
            </w:pPr>
            <w:r w:rsidRPr="00822523">
              <w:rPr>
                <w:rFonts w:ascii="Helvetica" w:hAnsi="Helvetica" w:cs="Helvetica"/>
                <w:b/>
                <w:bCs/>
                <w:color w:val="FFFFFF" w:themeColor="light1"/>
                <w:kern w:val="24"/>
              </w:rPr>
              <w:t xml:space="preserve">HEDIS </w:t>
            </w:r>
          </w:p>
        </w:tc>
        <w:tc>
          <w:tcPr>
            <w:tcW w:w="0" w:type="auto"/>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822523" w:rsidRPr="00822523" w:rsidRDefault="00822523">
            <w:pPr>
              <w:pStyle w:val="NormalWeb"/>
              <w:spacing w:before="0" w:beforeAutospacing="0" w:after="0" w:afterAutospacing="0"/>
              <w:rPr>
                <w:rFonts w:ascii="Helvetica" w:hAnsi="Helvetica" w:cs="Helvetica"/>
              </w:rPr>
            </w:pPr>
            <w:r w:rsidRPr="00822523">
              <w:rPr>
                <w:rFonts w:ascii="Helvetica" w:hAnsi="Helvetica" w:cs="Helvetica"/>
                <w:b/>
                <w:bCs/>
                <w:color w:val="FFFFFF" w:themeColor="light1"/>
                <w:kern w:val="24"/>
              </w:rPr>
              <w:t>MA Aligned Set</w:t>
            </w:r>
          </w:p>
        </w:tc>
      </w:tr>
      <w:tr w:rsidR="00822523" w:rsidRPr="00822523" w:rsidTr="00822523">
        <w:trPr>
          <w:trHeight w:val="749"/>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pPr>
              <w:pStyle w:val="NormalWeb"/>
              <w:spacing w:before="0" w:beforeAutospacing="0" w:after="0" w:afterAutospacing="0"/>
              <w:rPr>
                <w:rFonts w:ascii="Helvetica" w:hAnsi="Helvetica" w:cs="Helvetica"/>
              </w:rPr>
            </w:pPr>
            <w:r w:rsidRPr="00822523">
              <w:rPr>
                <w:rFonts w:ascii="Helvetica" w:hAnsi="Helvetica" w:cs="Helvetica"/>
                <w:b/>
                <w:bCs/>
                <w:color w:val="000000" w:themeColor="dark1"/>
                <w:kern w:val="24"/>
              </w:rPr>
              <w:t>Name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pPr>
              <w:pStyle w:val="NormalWeb"/>
              <w:spacing w:before="0" w:beforeAutospacing="0" w:after="0" w:afterAutospacing="0"/>
              <w:rPr>
                <w:rFonts w:ascii="Helvetica" w:hAnsi="Helvetica" w:cs="Helvetica"/>
              </w:rPr>
            </w:pPr>
            <w:r w:rsidRPr="00822523">
              <w:rPr>
                <w:rFonts w:ascii="Helvetica" w:hAnsi="Helvetica" w:cs="Helvetica"/>
                <w:color w:val="000000" w:themeColor="dark1"/>
                <w:kern w:val="24"/>
              </w:rPr>
              <w:t>Continuity of Pharmacotherapy for Opioid Use Disorder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pPr>
              <w:pStyle w:val="NormalWeb"/>
              <w:spacing w:before="0" w:beforeAutospacing="0" w:after="0" w:afterAutospacing="0"/>
              <w:rPr>
                <w:rFonts w:ascii="Helvetica" w:hAnsi="Helvetica" w:cs="Helvetica"/>
              </w:rPr>
            </w:pPr>
            <w:r w:rsidRPr="00822523">
              <w:rPr>
                <w:rFonts w:ascii="Helvetica" w:hAnsi="Helvetica" w:cs="Helvetica"/>
                <w:color w:val="000000" w:themeColor="dark1"/>
                <w:kern w:val="24"/>
              </w:rPr>
              <w:t>Pharmacotherapy for Opioid Use Disorder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pPr>
              <w:pStyle w:val="NormalWeb"/>
              <w:spacing w:before="0" w:beforeAutospacing="0" w:after="0" w:afterAutospacing="0"/>
              <w:rPr>
                <w:rFonts w:ascii="Helvetica" w:hAnsi="Helvetica" w:cs="Helvetica"/>
              </w:rPr>
            </w:pPr>
            <w:r w:rsidRPr="00822523">
              <w:rPr>
                <w:rFonts w:ascii="Helvetica" w:hAnsi="Helvetica" w:cs="Helvetica"/>
                <w:color w:val="000000" w:themeColor="dark1"/>
                <w:kern w:val="24"/>
              </w:rPr>
              <w:t>Continuity of Pharmacotherapy for Opioid Use Disorder</w:t>
            </w:r>
          </w:p>
        </w:tc>
      </w:tr>
      <w:tr w:rsidR="00822523" w:rsidRPr="00822523" w:rsidTr="00822523">
        <w:trPr>
          <w:trHeight w:val="749"/>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pPr>
              <w:pStyle w:val="NormalWeb"/>
              <w:spacing w:before="0" w:beforeAutospacing="0" w:after="0" w:afterAutospacing="0"/>
              <w:rPr>
                <w:rFonts w:ascii="Helvetica" w:hAnsi="Helvetica" w:cs="Helvetica"/>
              </w:rPr>
            </w:pPr>
            <w:r w:rsidRPr="00822523">
              <w:rPr>
                <w:rFonts w:ascii="Helvetica" w:hAnsi="Helvetica" w:cs="Helvetica"/>
                <w:b/>
                <w:bCs/>
                <w:color w:val="000000" w:themeColor="dark1"/>
                <w:kern w:val="24"/>
              </w:rPr>
              <w:t>Steward</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pPr>
              <w:pStyle w:val="NormalWeb"/>
              <w:spacing w:before="0" w:beforeAutospacing="0" w:after="0" w:afterAutospacing="0"/>
              <w:rPr>
                <w:rFonts w:ascii="Helvetica" w:hAnsi="Helvetica" w:cs="Helvetica"/>
              </w:rPr>
            </w:pPr>
            <w:r w:rsidRPr="00822523">
              <w:rPr>
                <w:rFonts w:ascii="Helvetica" w:hAnsi="Helvetica" w:cs="Helvetica"/>
                <w:color w:val="000000" w:themeColor="dark1"/>
                <w:kern w:val="24"/>
              </w:rPr>
              <w:t>Developer: RAND</w:t>
            </w:r>
          </w:p>
          <w:p w:rsidR="00822523" w:rsidRPr="00822523" w:rsidRDefault="00822523">
            <w:pPr>
              <w:pStyle w:val="NormalWeb"/>
              <w:spacing w:before="0" w:beforeAutospacing="0" w:after="0" w:afterAutospacing="0"/>
              <w:rPr>
                <w:rFonts w:ascii="Helvetica" w:hAnsi="Helvetica" w:cs="Helvetica"/>
              </w:rPr>
            </w:pPr>
            <w:r w:rsidRPr="00822523">
              <w:rPr>
                <w:rFonts w:ascii="Helvetica" w:hAnsi="Helvetica" w:cs="Helvetica"/>
                <w:color w:val="000000" w:themeColor="dark1"/>
                <w:kern w:val="24"/>
              </w:rPr>
              <w:t xml:space="preserve">Steward: U. of Southern California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pPr>
              <w:pStyle w:val="NormalWeb"/>
              <w:spacing w:before="0" w:beforeAutospacing="0" w:after="0" w:afterAutospacing="0"/>
              <w:rPr>
                <w:rFonts w:ascii="Helvetica" w:hAnsi="Helvetica" w:cs="Helvetica"/>
              </w:rPr>
            </w:pPr>
            <w:r w:rsidRPr="00822523">
              <w:rPr>
                <w:rFonts w:ascii="Helvetica" w:hAnsi="Helvetica" w:cs="Helvetica"/>
                <w:color w:val="000000" w:themeColor="dark1"/>
                <w:kern w:val="24"/>
              </w:rPr>
              <w:t>NCQA</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pPr>
              <w:pStyle w:val="NormalWeb"/>
              <w:spacing w:before="0" w:beforeAutospacing="0" w:after="0" w:afterAutospacing="0"/>
              <w:rPr>
                <w:rFonts w:ascii="Helvetica" w:hAnsi="Helvetica" w:cs="Helvetica"/>
              </w:rPr>
            </w:pPr>
            <w:r w:rsidRPr="00822523">
              <w:rPr>
                <w:rFonts w:ascii="Helvetica" w:hAnsi="Helvetica" w:cs="Helvetica"/>
                <w:color w:val="000000" w:themeColor="dark1"/>
                <w:kern w:val="24"/>
              </w:rPr>
              <w:t>RAND</w:t>
            </w:r>
          </w:p>
        </w:tc>
      </w:tr>
      <w:tr w:rsidR="00822523" w:rsidRPr="00822523" w:rsidTr="00822523">
        <w:trPr>
          <w:trHeight w:val="2309"/>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pPr>
              <w:pStyle w:val="NormalWeb"/>
              <w:spacing w:before="0" w:beforeAutospacing="0" w:after="0" w:afterAutospacing="0"/>
              <w:rPr>
                <w:rFonts w:ascii="Helvetica" w:hAnsi="Helvetica" w:cs="Helvetica"/>
              </w:rPr>
            </w:pPr>
            <w:r w:rsidRPr="00822523">
              <w:rPr>
                <w:rFonts w:ascii="Helvetica" w:hAnsi="Helvetica" w:cs="Helvetica"/>
                <w:b/>
                <w:bCs/>
                <w:color w:val="000000" w:themeColor="dark1"/>
                <w:kern w:val="24"/>
              </w:rPr>
              <w:t>Description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pPr>
              <w:pStyle w:val="NormalWeb"/>
              <w:spacing w:before="0" w:beforeAutospacing="0" w:after="0" w:afterAutospacing="0"/>
              <w:rPr>
                <w:rFonts w:ascii="Helvetica" w:hAnsi="Helvetica" w:cs="Helvetica"/>
              </w:rPr>
            </w:pPr>
            <w:r w:rsidRPr="00822523">
              <w:rPr>
                <w:rFonts w:ascii="Helvetica" w:hAnsi="Helvetica" w:cs="Helvetica"/>
                <w:color w:val="000000" w:themeColor="dark1"/>
                <w:kern w:val="24"/>
              </w:rPr>
              <w:t>Percentage of adults aged 18 years and older with pharmacotherapy for opioid</w:t>
            </w:r>
          </w:p>
          <w:p w:rsidR="00822523" w:rsidRPr="00822523" w:rsidRDefault="00822523">
            <w:pPr>
              <w:pStyle w:val="NormalWeb"/>
              <w:spacing w:before="0" w:beforeAutospacing="0" w:after="0" w:afterAutospacing="0"/>
              <w:rPr>
                <w:rFonts w:ascii="Helvetica" w:hAnsi="Helvetica" w:cs="Helvetica"/>
              </w:rPr>
            </w:pPr>
            <w:r w:rsidRPr="00822523">
              <w:rPr>
                <w:rFonts w:ascii="Helvetica" w:hAnsi="Helvetica" w:cs="Helvetica"/>
                <w:color w:val="000000" w:themeColor="dark1"/>
                <w:kern w:val="24"/>
              </w:rPr>
              <w:t>use disorder (OUD) who have at least 180 days of continuous treatment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pPr>
              <w:pStyle w:val="NormalWeb"/>
              <w:spacing w:before="0" w:beforeAutospacing="0" w:after="0" w:afterAutospacing="0"/>
              <w:rPr>
                <w:rFonts w:ascii="Helvetica" w:hAnsi="Helvetica" w:cs="Helvetica"/>
              </w:rPr>
            </w:pPr>
            <w:r w:rsidRPr="00822523">
              <w:rPr>
                <w:rFonts w:ascii="Helvetica" w:hAnsi="Helvetica" w:cs="Helvetica"/>
                <w:color w:val="000000" w:themeColor="dark1"/>
                <w:kern w:val="24"/>
              </w:rPr>
              <w:t>Percentage of new opioid use disorder (OUD) pharmacotherapy events with OUD pharmacotherapy for 180 or more days among members age 16 and older with a diagnosis of OUD.</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pPr>
              <w:pStyle w:val="NormalWeb"/>
              <w:spacing w:before="0" w:beforeAutospacing="0" w:after="0" w:afterAutospacing="0"/>
              <w:rPr>
                <w:rFonts w:ascii="Helvetica" w:hAnsi="Helvetica" w:cs="Helvetica"/>
              </w:rPr>
            </w:pPr>
            <w:r w:rsidRPr="00822523">
              <w:rPr>
                <w:rFonts w:ascii="Helvetica" w:hAnsi="Helvetica" w:cs="Helvetica"/>
                <w:color w:val="000000" w:themeColor="dark1"/>
                <w:kern w:val="24"/>
              </w:rPr>
              <w:t>Percentage of adults 18-64 years of age with pharmacotherapy for opioid use disorder (OUD) who have at least 180 days of continuous treatment</w:t>
            </w:r>
          </w:p>
        </w:tc>
      </w:tr>
      <w:tr w:rsidR="00822523" w:rsidRPr="00822523" w:rsidTr="00822523">
        <w:trPr>
          <w:trHeight w:val="2309"/>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pPr>
              <w:pStyle w:val="NormalWeb"/>
              <w:spacing w:before="0" w:beforeAutospacing="0" w:after="0" w:afterAutospacing="0"/>
              <w:rPr>
                <w:rFonts w:ascii="Helvetica" w:hAnsi="Helvetica" w:cs="Helvetica"/>
              </w:rPr>
            </w:pPr>
            <w:r w:rsidRPr="00822523">
              <w:rPr>
                <w:rFonts w:ascii="Helvetica" w:hAnsi="Helvetica" w:cs="Helvetica"/>
                <w:b/>
                <w:bCs/>
                <w:color w:val="000000" w:themeColor="dark1"/>
                <w:kern w:val="24"/>
              </w:rPr>
              <w:t xml:space="preserve">Major </w:t>
            </w:r>
            <w:proofErr w:type="spellStart"/>
            <w:r w:rsidRPr="00822523">
              <w:rPr>
                <w:rFonts w:ascii="Helvetica" w:hAnsi="Helvetica" w:cs="Helvetica"/>
                <w:b/>
                <w:bCs/>
                <w:color w:val="000000" w:themeColor="dark1"/>
                <w:kern w:val="24"/>
              </w:rPr>
              <w:t>Adapta-tions</w:t>
            </w:r>
            <w:proofErr w:type="spellEnd"/>
            <w:r w:rsidRPr="00822523">
              <w:rPr>
                <w:rFonts w:ascii="Helvetica" w:hAnsi="Helvetica" w:cs="Helvetica"/>
                <w:b/>
                <w:bCs/>
                <w:color w:val="000000" w:themeColor="dark1"/>
                <w:kern w:val="24"/>
              </w:rPr>
              <w:t xml:space="preserve"> from CMS Version</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pPr>
              <w:pStyle w:val="NormalWeb"/>
              <w:spacing w:before="0" w:beforeAutospacing="0" w:after="0" w:afterAutospacing="0"/>
              <w:rPr>
                <w:rFonts w:ascii="Helvetica" w:hAnsi="Helvetica" w:cs="Helvetica"/>
              </w:rPr>
            </w:pPr>
            <w:r w:rsidRPr="00822523">
              <w:rPr>
                <w:rFonts w:ascii="Helvetica" w:hAnsi="Helvetica" w:cs="Helvetica"/>
                <w:color w:val="000000" w:themeColor="dark1"/>
                <w:kern w:val="24"/>
              </w:rPr>
              <w:t xml:space="preserve">The NCQA version of the measure included two major adaptations: </w:t>
            </w:r>
          </w:p>
          <w:p w:rsidR="00822523" w:rsidRPr="00822523" w:rsidRDefault="00822523" w:rsidP="00A40DC0">
            <w:pPr>
              <w:pStyle w:val="ListParagraph"/>
              <w:numPr>
                <w:ilvl w:val="0"/>
                <w:numId w:val="30"/>
              </w:numPr>
              <w:jc w:val="left"/>
              <w:rPr>
                <w:rFonts w:ascii="Helvetica" w:hAnsi="Helvetica" w:cs="Helvetica"/>
                <w:sz w:val="24"/>
                <w:szCs w:val="24"/>
              </w:rPr>
            </w:pPr>
            <w:r w:rsidRPr="00822523">
              <w:rPr>
                <w:rFonts w:ascii="Helvetica" w:hAnsi="Helvetica" w:cs="Helvetica"/>
                <w:color w:val="000000" w:themeColor="dark1"/>
                <w:kern w:val="24"/>
                <w:sz w:val="24"/>
                <w:szCs w:val="24"/>
              </w:rPr>
              <w:t xml:space="preserve">a focus on “new,” or incident episodes of OUD pharmacotherapy, and </w:t>
            </w:r>
          </w:p>
          <w:p w:rsidR="00822523" w:rsidRPr="00822523" w:rsidRDefault="00822523" w:rsidP="00A40DC0">
            <w:pPr>
              <w:pStyle w:val="ListParagraph"/>
              <w:numPr>
                <w:ilvl w:val="0"/>
                <w:numId w:val="30"/>
              </w:numPr>
              <w:jc w:val="left"/>
              <w:rPr>
                <w:rFonts w:ascii="Helvetica" w:hAnsi="Helvetica" w:cs="Helvetica"/>
                <w:sz w:val="24"/>
                <w:szCs w:val="24"/>
              </w:rPr>
            </w:pPr>
            <w:r w:rsidRPr="00822523">
              <w:rPr>
                <w:rFonts w:ascii="Helvetica" w:hAnsi="Helvetica" w:cs="Helvetica"/>
                <w:color w:val="000000" w:themeColor="dark1"/>
                <w:kern w:val="24"/>
                <w:sz w:val="24"/>
                <w:szCs w:val="24"/>
              </w:rPr>
              <w:t>the inclusion of adolescents 16 and 17 years of age, for whom certain OUD pharmacotherapies have been FDA-approved to treat OUD (</w:t>
            </w:r>
            <w:hyperlink r:id="rId10" w:history="1">
              <w:r w:rsidRPr="00822523">
                <w:rPr>
                  <w:rStyle w:val="Hyperlink"/>
                  <w:rFonts w:ascii="Helvetica" w:hAnsi="Helvetica" w:cs="Helvetica"/>
                  <w:color w:val="0070C0"/>
                  <w:kern w:val="24"/>
                  <w:sz w:val="24"/>
                  <w:szCs w:val="24"/>
                </w:rPr>
                <w:t>source</w:t>
              </w:r>
            </w:hyperlink>
            <w:r w:rsidRPr="00822523">
              <w:rPr>
                <w:rFonts w:ascii="Helvetica" w:hAnsi="Helvetica" w:cs="Helvetica"/>
                <w:color w:val="000000" w:themeColor="dark1"/>
                <w:kern w:val="24"/>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822523" w:rsidRPr="00822523" w:rsidRDefault="00822523">
            <w:pPr>
              <w:rPr>
                <w:rFonts w:ascii="Helvetica" w:hAnsi="Helvetica" w:cs="Helvetica"/>
                <w:sz w:val="24"/>
                <w:szCs w:val="24"/>
              </w:rPr>
            </w:pPr>
          </w:p>
        </w:tc>
      </w:tr>
    </w:tbl>
    <w:p w:rsidR="00822523" w:rsidRPr="00822523" w:rsidRDefault="00822523" w:rsidP="00822523">
      <w:pPr>
        <w:jc w:val="left"/>
        <w:rPr>
          <w:rFonts w:ascii="Helvetica" w:hAnsi="Helvetica"/>
          <w:sz w:val="24"/>
          <w:szCs w:val="24"/>
        </w:rPr>
      </w:pPr>
    </w:p>
    <w:p w:rsidR="00822523" w:rsidRDefault="00822523" w:rsidP="00CA1C68">
      <w:pPr>
        <w:pStyle w:val="Heading1"/>
        <w:tabs>
          <w:tab w:val="left" w:pos="2296"/>
        </w:tabs>
        <w:sectPr w:rsidR="00822523" w:rsidSect="00822523">
          <w:pgSz w:w="12240" w:h="15840"/>
          <w:pgMar w:top="1080" w:right="1440" w:bottom="1080" w:left="1440" w:header="720" w:footer="720" w:gutter="0"/>
          <w:cols w:space="720"/>
          <w:docGrid w:linePitch="360"/>
        </w:sectPr>
      </w:pPr>
    </w:p>
    <w:p w:rsidR="00103708" w:rsidRDefault="00103708" w:rsidP="00CA1C68">
      <w:pPr>
        <w:pStyle w:val="Heading1"/>
        <w:tabs>
          <w:tab w:val="left" w:pos="2296"/>
        </w:tabs>
      </w:pPr>
      <w:r w:rsidRPr="00A35C58">
        <w:lastRenderedPageBreak/>
        <w:t xml:space="preserve">Slide </w:t>
      </w:r>
      <w:r>
        <w:t>3</w:t>
      </w:r>
      <w:r w:rsidR="00822523">
        <w:t>0</w:t>
      </w:r>
    </w:p>
    <w:p w:rsidR="00103708" w:rsidRDefault="00822523" w:rsidP="00CA1C68">
      <w:pPr>
        <w:pStyle w:val="Heading2"/>
      </w:pPr>
      <w:r w:rsidRPr="00822523">
        <w:t>New Medicaid Core Set Measures</w:t>
      </w:r>
    </w:p>
    <w:p w:rsidR="00822523" w:rsidRPr="00822523" w:rsidRDefault="00822523" w:rsidP="00A40DC0">
      <w:pPr>
        <w:pStyle w:val="ListParagraph"/>
        <w:numPr>
          <w:ilvl w:val="0"/>
          <w:numId w:val="10"/>
        </w:numPr>
        <w:jc w:val="left"/>
        <w:rPr>
          <w:rFonts w:ascii="Helvetica" w:hAnsi="Helvetica"/>
          <w:sz w:val="24"/>
          <w:szCs w:val="24"/>
        </w:rPr>
      </w:pPr>
      <w:r w:rsidRPr="00822523">
        <w:rPr>
          <w:rFonts w:ascii="Helvetica" w:hAnsi="Helvetica"/>
          <w:sz w:val="24"/>
          <w:szCs w:val="24"/>
        </w:rPr>
        <w:t>On 11/19, CMS released its 2020 updates to the Medicaid and CHIP Child and Medicaid Adult Core Sets.1  CMS added three new measures:</w:t>
      </w:r>
    </w:p>
    <w:p w:rsidR="00822523" w:rsidRPr="00822523" w:rsidRDefault="00822523" w:rsidP="00A40DC0">
      <w:pPr>
        <w:pStyle w:val="ListParagraph"/>
        <w:numPr>
          <w:ilvl w:val="1"/>
          <w:numId w:val="31"/>
        </w:numPr>
        <w:jc w:val="left"/>
        <w:rPr>
          <w:rFonts w:ascii="Helvetica" w:hAnsi="Helvetica"/>
          <w:sz w:val="24"/>
          <w:szCs w:val="24"/>
        </w:rPr>
      </w:pPr>
      <w:r w:rsidRPr="00822523">
        <w:rPr>
          <w:rFonts w:ascii="Helvetica" w:hAnsi="Helvetica"/>
          <w:sz w:val="24"/>
          <w:szCs w:val="24"/>
        </w:rPr>
        <w:t>One of these measures, Metabolic Monitoring for Children and Adolescents on Antipsychotics, is already a Menu measure.</w:t>
      </w:r>
    </w:p>
    <w:p w:rsidR="00822523" w:rsidRPr="00822523" w:rsidRDefault="00822523" w:rsidP="00A40DC0">
      <w:pPr>
        <w:pStyle w:val="ListParagraph"/>
        <w:numPr>
          <w:ilvl w:val="1"/>
          <w:numId w:val="31"/>
        </w:numPr>
        <w:jc w:val="left"/>
        <w:rPr>
          <w:rFonts w:ascii="Helvetica" w:hAnsi="Helvetica"/>
          <w:sz w:val="24"/>
          <w:szCs w:val="24"/>
        </w:rPr>
      </w:pPr>
      <w:r w:rsidRPr="00822523">
        <w:rPr>
          <w:rFonts w:ascii="Helvetica" w:hAnsi="Helvetica"/>
          <w:sz w:val="24"/>
          <w:szCs w:val="24"/>
        </w:rPr>
        <w:t xml:space="preserve">Another of these measures, National Core Indicators (NCI) addresses the experience and outcomes of individuals with intellectual and developmental disabilities, populations primarily covered by Medicaid, and is therefore not well-suited for an aligned set spanning commercial and Medicaid contracts. </w:t>
      </w:r>
    </w:p>
    <w:p w:rsidR="00822523" w:rsidRPr="00822523" w:rsidRDefault="00822523" w:rsidP="00A40DC0">
      <w:pPr>
        <w:pStyle w:val="ListParagraph"/>
        <w:numPr>
          <w:ilvl w:val="0"/>
          <w:numId w:val="10"/>
        </w:numPr>
        <w:jc w:val="left"/>
        <w:rPr>
          <w:rFonts w:ascii="Helvetica" w:hAnsi="Helvetica"/>
          <w:sz w:val="24"/>
          <w:szCs w:val="24"/>
        </w:rPr>
      </w:pPr>
      <w:r w:rsidRPr="00822523">
        <w:rPr>
          <w:rFonts w:ascii="Helvetica" w:hAnsi="Helvetica"/>
          <w:sz w:val="24"/>
          <w:szCs w:val="24"/>
        </w:rPr>
        <w:t xml:space="preserve">As we review the remaining measure, please consider whether you recommend adding the measure to the Aligned Measure </w:t>
      </w:r>
      <w:proofErr w:type="gramStart"/>
      <w:r w:rsidRPr="00822523">
        <w:rPr>
          <w:rFonts w:ascii="Helvetica" w:hAnsi="Helvetica"/>
          <w:sz w:val="24"/>
          <w:szCs w:val="24"/>
        </w:rPr>
        <w:t>Set</w:t>
      </w:r>
      <w:proofErr w:type="gramEnd"/>
      <w:r w:rsidRPr="00822523">
        <w:rPr>
          <w:rFonts w:ascii="Helvetica" w:hAnsi="Helvetica"/>
          <w:sz w:val="24"/>
          <w:szCs w:val="24"/>
        </w:rPr>
        <w:t>, should it be adopted for the 2020 Medicaid Core.</w:t>
      </w:r>
    </w:p>
    <w:p w:rsidR="00F3689A" w:rsidRDefault="00822523" w:rsidP="00A40DC0">
      <w:pPr>
        <w:pStyle w:val="ListParagraph"/>
        <w:numPr>
          <w:ilvl w:val="0"/>
          <w:numId w:val="10"/>
        </w:numPr>
        <w:jc w:val="left"/>
        <w:rPr>
          <w:rFonts w:ascii="Helvetica" w:hAnsi="Helvetica"/>
          <w:sz w:val="24"/>
          <w:szCs w:val="24"/>
        </w:rPr>
      </w:pPr>
      <w:r w:rsidRPr="00822523">
        <w:rPr>
          <w:rFonts w:ascii="Helvetica" w:hAnsi="Helvetica"/>
          <w:sz w:val="24"/>
          <w:szCs w:val="24"/>
        </w:rPr>
        <w:t>Following review of the new measures, we will review other changes made to the Core Sets.</w:t>
      </w:r>
    </w:p>
    <w:p w:rsidR="00822523" w:rsidRPr="00822523" w:rsidRDefault="00822523" w:rsidP="00822523">
      <w:pPr>
        <w:ind w:left="360"/>
        <w:jc w:val="left"/>
        <w:rPr>
          <w:rFonts w:ascii="Helvetica" w:hAnsi="Helvetica"/>
          <w:sz w:val="24"/>
          <w:szCs w:val="24"/>
        </w:rPr>
      </w:pPr>
      <w:r w:rsidRPr="00822523">
        <w:rPr>
          <w:rFonts w:ascii="Helvetica" w:hAnsi="Helvetica"/>
          <w:sz w:val="24"/>
          <w:szCs w:val="24"/>
        </w:rPr>
        <w:t xml:space="preserve">1 </w:t>
      </w:r>
      <w:hyperlink r:id="rId11" w:history="1">
        <w:r w:rsidRPr="002C3A74">
          <w:rPr>
            <w:rStyle w:val="Hyperlink"/>
            <w:rFonts w:ascii="Helvetica" w:hAnsi="Helvetica"/>
            <w:sz w:val="24"/>
            <w:szCs w:val="24"/>
          </w:rPr>
          <w:t>www.medicaid.gov/federal-policy-guidance/downloads/cib111919.pdf</w:t>
        </w:r>
      </w:hyperlink>
      <w:r>
        <w:rPr>
          <w:rFonts w:ascii="Helvetica" w:hAnsi="Helvetica"/>
          <w:sz w:val="24"/>
          <w:szCs w:val="24"/>
        </w:rPr>
        <w:t xml:space="preserve"> </w:t>
      </w:r>
    </w:p>
    <w:p w:rsidR="00103708" w:rsidRDefault="00103708" w:rsidP="00CA1C68">
      <w:pPr>
        <w:pStyle w:val="Heading1"/>
        <w:tabs>
          <w:tab w:val="left" w:pos="2296"/>
        </w:tabs>
      </w:pPr>
      <w:r w:rsidRPr="00A35C58">
        <w:t xml:space="preserve">Slide </w:t>
      </w:r>
      <w:r>
        <w:t>3</w:t>
      </w:r>
      <w:r w:rsidR="00822523">
        <w:t>1</w:t>
      </w:r>
    </w:p>
    <w:p w:rsidR="00630DA9" w:rsidRDefault="00822523" w:rsidP="00CA1C68">
      <w:pPr>
        <w:pStyle w:val="Heading2"/>
      </w:pPr>
      <w:r w:rsidRPr="00822523">
        <w:t>New Medicaid Core Set Measures (cont’d)</w:t>
      </w:r>
    </w:p>
    <w:tbl>
      <w:tblPr>
        <w:tblStyle w:val="TableGrid"/>
        <w:tblW w:w="0" w:type="auto"/>
        <w:tblCellMar>
          <w:left w:w="0" w:type="dxa"/>
          <w:right w:w="0" w:type="dxa"/>
        </w:tblCellMar>
        <w:tblLook w:val="0420" w:firstRow="1" w:lastRow="0" w:firstColumn="0" w:lastColumn="0" w:noHBand="0" w:noVBand="1"/>
        <w:tblCaption w:val="New Medicaid Core Set Measures (cont’d)"/>
      </w:tblPr>
      <w:tblGrid>
        <w:gridCol w:w="1821"/>
        <w:gridCol w:w="1222"/>
        <w:gridCol w:w="1152"/>
        <w:gridCol w:w="2789"/>
        <w:gridCol w:w="2664"/>
      </w:tblGrid>
      <w:tr w:rsidR="00822523" w:rsidRPr="00822523" w:rsidTr="00A40DC0">
        <w:trPr>
          <w:trHeight w:val="627"/>
          <w:tblHeader/>
        </w:trPr>
        <w:tc>
          <w:tcPr>
            <w:tcW w:w="0" w:type="auto"/>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822523" w:rsidRPr="00822523" w:rsidRDefault="00822523" w:rsidP="00822523">
            <w:pPr>
              <w:jc w:val="left"/>
              <w:rPr>
                <w:rFonts w:ascii="Helvetica" w:eastAsia="Times New Roman" w:hAnsi="Helvetica" w:cs="Helvetica"/>
                <w:sz w:val="24"/>
                <w:szCs w:val="24"/>
              </w:rPr>
            </w:pPr>
            <w:r w:rsidRPr="00822523">
              <w:rPr>
                <w:rFonts w:ascii="Helvetica" w:eastAsia="Times New Roman" w:hAnsi="Helvetica" w:cs="Helvetica"/>
                <w:b/>
                <w:bCs/>
                <w:color w:val="FFFFFF" w:themeColor="light1"/>
                <w:kern w:val="24"/>
                <w:sz w:val="24"/>
                <w:szCs w:val="24"/>
              </w:rPr>
              <w:t>Measure</w:t>
            </w:r>
          </w:p>
        </w:tc>
        <w:tc>
          <w:tcPr>
            <w:tcW w:w="0" w:type="auto"/>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822523" w:rsidRPr="00822523" w:rsidRDefault="00822523" w:rsidP="00822523">
            <w:pPr>
              <w:jc w:val="left"/>
              <w:rPr>
                <w:rFonts w:ascii="Helvetica" w:eastAsia="Times New Roman" w:hAnsi="Helvetica" w:cs="Helvetica"/>
                <w:sz w:val="24"/>
                <w:szCs w:val="24"/>
              </w:rPr>
            </w:pPr>
            <w:r w:rsidRPr="00822523">
              <w:rPr>
                <w:rFonts w:ascii="Helvetica" w:eastAsia="Times New Roman" w:hAnsi="Helvetica" w:cs="Helvetica"/>
                <w:b/>
                <w:bCs/>
                <w:color w:val="FFFFFF" w:themeColor="light1"/>
                <w:kern w:val="24"/>
                <w:sz w:val="24"/>
                <w:szCs w:val="24"/>
              </w:rPr>
              <w:t>Steward</w:t>
            </w:r>
          </w:p>
        </w:tc>
        <w:tc>
          <w:tcPr>
            <w:tcW w:w="0" w:type="auto"/>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822523" w:rsidRPr="00822523" w:rsidRDefault="00822523" w:rsidP="00822523">
            <w:pPr>
              <w:jc w:val="left"/>
              <w:rPr>
                <w:rFonts w:ascii="Helvetica" w:eastAsia="Times New Roman" w:hAnsi="Helvetica" w:cs="Helvetica"/>
                <w:sz w:val="24"/>
                <w:szCs w:val="24"/>
              </w:rPr>
            </w:pPr>
            <w:r w:rsidRPr="00822523">
              <w:rPr>
                <w:rFonts w:ascii="Helvetica" w:eastAsia="Times New Roman" w:hAnsi="Helvetica" w:cs="Helvetica"/>
                <w:b/>
                <w:bCs/>
                <w:color w:val="FFFFFF" w:themeColor="light1"/>
                <w:kern w:val="24"/>
                <w:sz w:val="24"/>
                <w:szCs w:val="24"/>
              </w:rPr>
              <w:t>Data Source</w:t>
            </w:r>
          </w:p>
        </w:tc>
        <w:tc>
          <w:tcPr>
            <w:tcW w:w="2789" w:type="dxa"/>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822523" w:rsidRPr="00822523" w:rsidRDefault="00822523" w:rsidP="00822523">
            <w:pPr>
              <w:jc w:val="left"/>
              <w:rPr>
                <w:rFonts w:ascii="Helvetica" w:eastAsia="Times New Roman" w:hAnsi="Helvetica" w:cs="Helvetica"/>
                <w:sz w:val="24"/>
                <w:szCs w:val="24"/>
              </w:rPr>
            </w:pPr>
            <w:r w:rsidRPr="00822523">
              <w:rPr>
                <w:rFonts w:ascii="Helvetica" w:eastAsia="Times New Roman" w:hAnsi="Helvetica" w:cs="Helvetica"/>
                <w:b/>
                <w:bCs/>
                <w:color w:val="FFFFFF" w:themeColor="light1"/>
                <w:kern w:val="24"/>
                <w:sz w:val="24"/>
                <w:szCs w:val="24"/>
              </w:rPr>
              <w:t>Description</w:t>
            </w:r>
          </w:p>
        </w:tc>
        <w:tc>
          <w:tcPr>
            <w:tcW w:w="2664" w:type="dxa"/>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822523" w:rsidRPr="00822523" w:rsidRDefault="00822523" w:rsidP="00822523">
            <w:pPr>
              <w:jc w:val="left"/>
              <w:rPr>
                <w:rFonts w:ascii="Helvetica" w:eastAsia="Times New Roman" w:hAnsi="Helvetica" w:cs="Helvetica"/>
                <w:sz w:val="24"/>
                <w:szCs w:val="24"/>
              </w:rPr>
            </w:pPr>
            <w:r w:rsidRPr="00822523">
              <w:rPr>
                <w:rFonts w:ascii="Helvetica" w:eastAsia="Times New Roman" w:hAnsi="Helvetica" w:cs="Helvetica"/>
                <w:b/>
                <w:bCs/>
                <w:color w:val="FFFFFF" w:themeColor="light1"/>
                <w:kern w:val="24"/>
                <w:sz w:val="24"/>
                <w:szCs w:val="24"/>
              </w:rPr>
              <w:t>Rationale for Addition</w:t>
            </w:r>
          </w:p>
        </w:tc>
      </w:tr>
      <w:tr w:rsidR="00822523" w:rsidRPr="00822523" w:rsidTr="00822523">
        <w:trPr>
          <w:trHeight w:val="290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rsidP="00822523">
            <w:pPr>
              <w:jc w:val="left"/>
              <w:rPr>
                <w:rFonts w:ascii="Helvetica" w:eastAsia="Times New Roman" w:hAnsi="Helvetica" w:cs="Helvetica"/>
                <w:sz w:val="24"/>
                <w:szCs w:val="24"/>
              </w:rPr>
            </w:pPr>
            <w:r w:rsidRPr="00822523">
              <w:rPr>
                <w:rFonts w:ascii="Helvetica" w:eastAsia="Times New Roman" w:hAnsi="Helvetica" w:cs="Helvetica"/>
                <w:color w:val="000000" w:themeColor="dark1"/>
                <w:kern w:val="24"/>
                <w:sz w:val="24"/>
                <w:szCs w:val="24"/>
              </w:rPr>
              <w:t xml:space="preserve">Use of </w:t>
            </w:r>
            <w:proofErr w:type="spellStart"/>
            <w:r w:rsidRPr="00822523">
              <w:rPr>
                <w:rFonts w:ascii="Helvetica" w:eastAsia="Times New Roman" w:hAnsi="Helvetica" w:cs="Helvetica"/>
                <w:color w:val="000000" w:themeColor="dark1"/>
                <w:kern w:val="24"/>
                <w:sz w:val="24"/>
                <w:szCs w:val="24"/>
              </w:rPr>
              <w:t>Pharmaco</w:t>
            </w:r>
            <w:proofErr w:type="spellEnd"/>
            <w:r w:rsidRPr="00822523">
              <w:rPr>
                <w:rFonts w:ascii="Helvetica" w:eastAsia="Times New Roman" w:hAnsi="Helvetica" w:cs="Helvetica"/>
                <w:color w:val="000000" w:themeColor="dark1"/>
                <w:kern w:val="24"/>
                <w:sz w:val="24"/>
                <w:szCs w:val="24"/>
              </w:rPr>
              <w:t xml:space="preserve">-therapy for Opioid Use Disorder*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rsidP="00822523">
            <w:pPr>
              <w:jc w:val="left"/>
              <w:rPr>
                <w:rFonts w:ascii="Helvetica" w:eastAsia="Times New Roman" w:hAnsi="Helvetica" w:cs="Helvetica"/>
                <w:sz w:val="24"/>
                <w:szCs w:val="24"/>
              </w:rPr>
            </w:pPr>
            <w:r w:rsidRPr="00822523">
              <w:rPr>
                <w:rFonts w:ascii="Helvetica" w:eastAsia="Times New Roman" w:hAnsi="Helvetica" w:cs="Helvetica"/>
                <w:color w:val="000000" w:themeColor="dark1"/>
                <w:kern w:val="24"/>
                <w:sz w:val="24"/>
                <w:szCs w:val="24"/>
              </w:rPr>
              <w:t>CMS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rsidP="00822523">
            <w:pPr>
              <w:jc w:val="left"/>
              <w:rPr>
                <w:rFonts w:ascii="Helvetica" w:eastAsia="Times New Roman" w:hAnsi="Helvetica" w:cs="Helvetica"/>
                <w:sz w:val="24"/>
                <w:szCs w:val="24"/>
              </w:rPr>
            </w:pPr>
            <w:r w:rsidRPr="00822523">
              <w:rPr>
                <w:rFonts w:ascii="Helvetica" w:eastAsia="Times New Roman" w:hAnsi="Helvetica" w:cs="Helvetica"/>
                <w:color w:val="000000" w:themeColor="dark1"/>
                <w:kern w:val="24"/>
                <w:sz w:val="24"/>
                <w:szCs w:val="24"/>
              </w:rPr>
              <w:t>Admin</w:t>
            </w:r>
          </w:p>
        </w:tc>
        <w:tc>
          <w:tcPr>
            <w:tcW w:w="2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rsidP="00822523">
            <w:pPr>
              <w:jc w:val="left"/>
              <w:rPr>
                <w:rFonts w:ascii="Helvetica" w:eastAsia="Times New Roman" w:hAnsi="Helvetica" w:cs="Helvetica"/>
                <w:sz w:val="24"/>
                <w:szCs w:val="24"/>
              </w:rPr>
            </w:pPr>
            <w:r w:rsidRPr="00822523">
              <w:rPr>
                <w:rFonts w:ascii="Helvetica" w:eastAsia="Times New Roman" w:hAnsi="Helvetica" w:cs="Helvetica"/>
                <w:color w:val="000000" w:themeColor="dark1"/>
                <w:kern w:val="24"/>
                <w:sz w:val="24"/>
                <w:szCs w:val="24"/>
              </w:rPr>
              <w:t xml:space="preserve">The percentage of Medicaid beneficiaries ages 18 to 64 with an OUD who filled a prescription for or were administered or ordered an FDA-approved medication for the disorder during the measure year. </w:t>
            </w:r>
          </w:p>
        </w:tc>
        <w:tc>
          <w:tcPr>
            <w:tcW w:w="26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22523" w:rsidRPr="00822523" w:rsidRDefault="00822523" w:rsidP="00A40DC0">
            <w:pPr>
              <w:numPr>
                <w:ilvl w:val="0"/>
                <w:numId w:val="32"/>
              </w:numPr>
              <w:ind w:left="361"/>
              <w:contextualSpacing/>
              <w:jc w:val="left"/>
              <w:rPr>
                <w:rFonts w:ascii="Helvetica" w:eastAsia="Times New Roman" w:hAnsi="Helvetica" w:cs="Helvetica"/>
                <w:sz w:val="24"/>
                <w:szCs w:val="24"/>
              </w:rPr>
            </w:pPr>
            <w:r w:rsidRPr="00822523">
              <w:rPr>
                <w:rFonts w:ascii="Helvetica" w:eastAsia="Times New Roman" w:hAnsi="Helvetica" w:cs="Helvetica"/>
                <w:color w:val="000000" w:themeColor="dark1"/>
                <w:kern w:val="24"/>
                <w:sz w:val="24"/>
                <w:szCs w:val="24"/>
              </w:rPr>
              <w:t>Fill measure gap by tracking appropriate treatment of OUDs</w:t>
            </w:r>
          </w:p>
          <w:p w:rsidR="00822523" w:rsidRPr="00822523" w:rsidRDefault="00822523" w:rsidP="00A40DC0">
            <w:pPr>
              <w:numPr>
                <w:ilvl w:val="0"/>
                <w:numId w:val="32"/>
              </w:numPr>
              <w:ind w:left="361"/>
              <w:contextualSpacing/>
              <w:jc w:val="left"/>
              <w:rPr>
                <w:rFonts w:ascii="Helvetica" w:eastAsia="Times New Roman" w:hAnsi="Helvetica" w:cs="Helvetica"/>
                <w:sz w:val="24"/>
                <w:szCs w:val="24"/>
              </w:rPr>
            </w:pPr>
            <w:r w:rsidRPr="00822523">
              <w:rPr>
                <w:rFonts w:ascii="Helvetica" w:eastAsia="Times New Roman" w:hAnsi="Helvetica" w:cs="Helvetica"/>
                <w:color w:val="000000" w:themeColor="dark1"/>
                <w:kern w:val="24"/>
                <w:sz w:val="24"/>
                <w:szCs w:val="24"/>
              </w:rPr>
              <w:t>Good first step, tracking initiation of medication- assisted treatment</w:t>
            </w:r>
          </w:p>
        </w:tc>
      </w:tr>
    </w:tbl>
    <w:p w:rsidR="00822523" w:rsidRPr="00822523" w:rsidRDefault="00822523" w:rsidP="00822523">
      <w:pPr>
        <w:jc w:val="left"/>
        <w:rPr>
          <w:rStyle w:val="Strong"/>
          <w:b w:val="0"/>
          <w:i/>
        </w:rPr>
      </w:pPr>
      <w:r w:rsidRPr="00822523">
        <w:rPr>
          <w:rStyle w:val="Strong"/>
          <w:b w:val="0"/>
          <w:i/>
        </w:rPr>
        <w:t>*The Aligned Measure Set currently has Continuity of Pharmacotherapy for Opioid Use Disorder in the Menu Set.</w:t>
      </w:r>
    </w:p>
    <w:p w:rsidR="00630DA9" w:rsidRPr="00822523" w:rsidRDefault="00822523" w:rsidP="00822523">
      <w:pPr>
        <w:jc w:val="left"/>
        <w:rPr>
          <w:rFonts w:ascii="Helvetica" w:hAnsi="Helvetica"/>
          <w:i/>
          <w:sz w:val="24"/>
          <w:szCs w:val="24"/>
        </w:rPr>
      </w:pPr>
      <w:r w:rsidRPr="00822523">
        <w:rPr>
          <w:rStyle w:val="Strong"/>
          <w:b w:val="0"/>
          <w:i/>
        </w:rPr>
        <w:t xml:space="preserve">Note: DPH and other substance use stakeholders now use medication for opioid use disorder instead of medication- assisted treatment. </w:t>
      </w:r>
    </w:p>
    <w:p w:rsidR="00F3689A" w:rsidRDefault="00F3689A" w:rsidP="00CA1C68">
      <w:pPr>
        <w:pStyle w:val="Heading1"/>
        <w:tabs>
          <w:tab w:val="left" w:pos="2296"/>
        </w:tabs>
      </w:pPr>
      <w:r w:rsidRPr="00A35C58">
        <w:lastRenderedPageBreak/>
        <w:t xml:space="preserve">Slide </w:t>
      </w:r>
      <w:r w:rsidR="00822523">
        <w:t>32</w:t>
      </w:r>
    </w:p>
    <w:p w:rsidR="00F3689A" w:rsidRDefault="00822523" w:rsidP="00CA1C68">
      <w:pPr>
        <w:pStyle w:val="Heading2"/>
      </w:pPr>
      <w:r w:rsidRPr="00822523">
        <w:t>Annual Review Process</w:t>
      </w:r>
    </w:p>
    <w:p w:rsidR="003F2F38" w:rsidRPr="003F2F38" w:rsidRDefault="003F2F38" w:rsidP="003F2F38">
      <w:pPr>
        <w:jc w:val="left"/>
        <w:rPr>
          <w:rFonts w:ascii="Helvetica" w:hAnsi="Helvetica"/>
          <w:sz w:val="24"/>
          <w:szCs w:val="24"/>
        </w:rPr>
      </w:pPr>
      <w:r w:rsidRPr="003F2F38">
        <w:rPr>
          <w:rFonts w:ascii="Helvetica" w:hAnsi="Helvetica"/>
          <w:sz w:val="24"/>
          <w:szCs w:val="24"/>
        </w:rPr>
        <w:t>Review the 2020 Aligned Measure Set</w:t>
      </w:r>
    </w:p>
    <w:p w:rsidR="003F2F38" w:rsidRPr="003F2F38" w:rsidRDefault="003F2F38" w:rsidP="00A40DC0">
      <w:pPr>
        <w:pStyle w:val="ListParagraph"/>
        <w:numPr>
          <w:ilvl w:val="0"/>
          <w:numId w:val="12"/>
        </w:numPr>
        <w:jc w:val="left"/>
        <w:rPr>
          <w:rFonts w:ascii="Helvetica" w:hAnsi="Helvetica"/>
          <w:sz w:val="24"/>
          <w:szCs w:val="24"/>
        </w:rPr>
      </w:pPr>
      <w:r w:rsidRPr="003F2F38">
        <w:rPr>
          <w:rFonts w:ascii="Helvetica" w:hAnsi="Helvetica"/>
          <w:sz w:val="24"/>
          <w:szCs w:val="24"/>
        </w:rPr>
        <w:t>Review adoption in global budget-based risk contracts</w:t>
      </w:r>
    </w:p>
    <w:p w:rsidR="003F2F38" w:rsidRPr="003F2F38" w:rsidRDefault="003F2F38" w:rsidP="00A40DC0">
      <w:pPr>
        <w:pStyle w:val="ListParagraph"/>
        <w:numPr>
          <w:ilvl w:val="0"/>
          <w:numId w:val="12"/>
        </w:numPr>
        <w:jc w:val="left"/>
        <w:rPr>
          <w:rFonts w:ascii="Helvetica" w:hAnsi="Helvetica"/>
          <w:sz w:val="24"/>
          <w:szCs w:val="24"/>
        </w:rPr>
      </w:pPr>
      <w:r w:rsidRPr="003F2F38">
        <w:rPr>
          <w:rFonts w:ascii="Helvetica" w:hAnsi="Helvetica"/>
          <w:sz w:val="24"/>
          <w:szCs w:val="24"/>
        </w:rPr>
        <w:t>Review substantive HEDIS changes</w:t>
      </w:r>
    </w:p>
    <w:p w:rsidR="003F2F38" w:rsidRPr="003F2F38" w:rsidRDefault="003F2F38" w:rsidP="00A40DC0">
      <w:pPr>
        <w:pStyle w:val="ListParagraph"/>
        <w:numPr>
          <w:ilvl w:val="0"/>
          <w:numId w:val="12"/>
        </w:numPr>
        <w:jc w:val="left"/>
        <w:rPr>
          <w:rFonts w:ascii="Helvetica" w:hAnsi="Helvetica"/>
          <w:sz w:val="24"/>
          <w:szCs w:val="24"/>
        </w:rPr>
      </w:pPr>
      <w:r w:rsidRPr="003F2F38">
        <w:rPr>
          <w:rFonts w:ascii="Helvetica" w:hAnsi="Helvetica"/>
          <w:sz w:val="24"/>
          <w:szCs w:val="24"/>
        </w:rPr>
        <w:t>Review CMS-driven changes to existing measures in the MassHealth ACO, Medicaid Core, and Medicare ACO Sets</w:t>
      </w:r>
    </w:p>
    <w:p w:rsidR="00630DA9" w:rsidRPr="00630DA9" w:rsidRDefault="003F2F38" w:rsidP="00A40DC0">
      <w:pPr>
        <w:pStyle w:val="ListParagraph"/>
        <w:numPr>
          <w:ilvl w:val="0"/>
          <w:numId w:val="12"/>
        </w:numPr>
        <w:contextualSpacing w:val="0"/>
        <w:jc w:val="left"/>
        <w:rPr>
          <w:rFonts w:ascii="Helvetica" w:hAnsi="Helvetica"/>
          <w:sz w:val="24"/>
          <w:szCs w:val="24"/>
        </w:rPr>
      </w:pPr>
      <w:r w:rsidRPr="003F2F38">
        <w:rPr>
          <w:rFonts w:ascii="Helvetica" w:hAnsi="Helvetica"/>
          <w:sz w:val="24"/>
          <w:szCs w:val="24"/>
        </w:rPr>
        <w:t>Review performance of Core, Menu, and Monitoring measures</w:t>
      </w:r>
    </w:p>
    <w:p w:rsidR="00F3689A" w:rsidRDefault="00F3689A" w:rsidP="00CA1C68">
      <w:pPr>
        <w:pStyle w:val="Heading1"/>
        <w:tabs>
          <w:tab w:val="left" w:pos="2296"/>
        </w:tabs>
      </w:pPr>
      <w:r w:rsidRPr="00A35C58">
        <w:t xml:space="preserve">Slide </w:t>
      </w:r>
      <w:r>
        <w:t>3</w:t>
      </w:r>
      <w:r w:rsidR="003F2F38">
        <w:t>3</w:t>
      </w:r>
    </w:p>
    <w:p w:rsidR="00F3689A" w:rsidRDefault="00630DA9" w:rsidP="00CA1C68">
      <w:pPr>
        <w:pStyle w:val="Heading2"/>
      </w:pPr>
      <w:r w:rsidRPr="00630DA9">
        <w:t>Quality Measure Catalogue: Background</w:t>
      </w:r>
    </w:p>
    <w:p w:rsidR="003F2F38" w:rsidRPr="003F2F38" w:rsidRDefault="003F2F38" w:rsidP="00A40DC0">
      <w:pPr>
        <w:pStyle w:val="ListParagraph"/>
        <w:numPr>
          <w:ilvl w:val="0"/>
          <w:numId w:val="13"/>
        </w:numPr>
        <w:jc w:val="left"/>
        <w:rPr>
          <w:rFonts w:ascii="Helvetica" w:hAnsi="Helvetica"/>
          <w:sz w:val="24"/>
          <w:szCs w:val="24"/>
        </w:rPr>
      </w:pPr>
      <w:r w:rsidRPr="003F2F38">
        <w:rPr>
          <w:rFonts w:ascii="Helvetica" w:hAnsi="Helvetica"/>
          <w:sz w:val="24"/>
          <w:szCs w:val="24"/>
        </w:rPr>
        <w:t>The next several slides display Core and Menu measures.  When you consider whether these measures should remain in the 2021 Aligned Measure Set, please consider:</w:t>
      </w:r>
    </w:p>
    <w:p w:rsidR="003F2F38" w:rsidRPr="003F2F38" w:rsidRDefault="003F2F38" w:rsidP="00A40DC0">
      <w:pPr>
        <w:pStyle w:val="ListParagraph"/>
        <w:numPr>
          <w:ilvl w:val="1"/>
          <w:numId w:val="13"/>
        </w:numPr>
        <w:jc w:val="left"/>
        <w:rPr>
          <w:rFonts w:ascii="Helvetica" w:hAnsi="Helvetica"/>
          <w:sz w:val="24"/>
          <w:szCs w:val="24"/>
        </w:rPr>
      </w:pPr>
      <w:r w:rsidRPr="003F2F38">
        <w:rPr>
          <w:rFonts w:ascii="Helvetica" w:hAnsi="Helvetica"/>
          <w:sz w:val="24"/>
          <w:szCs w:val="24"/>
        </w:rPr>
        <w:t>Use in global budget-based risk contracts</w:t>
      </w:r>
    </w:p>
    <w:p w:rsidR="003F2F38" w:rsidRPr="003F2F38" w:rsidRDefault="003F2F38" w:rsidP="00A40DC0">
      <w:pPr>
        <w:pStyle w:val="ListParagraph"/>
        <w:numPr>
          <w:ilvl w:val="2"/>
          <w:numId w:val="13"/>
        </w:numPr>
        <w:jc w:val="left"/>
        <w:rPr>
          <w:rFonts w:ascii="Helvetica" w:hAnsi="Helvetica"/>
          <w:sz w:val="24"/>
          <w:szCs w:val="24"/>
        </w:rPr>
      </w:pPr>
      <w:r w:rsidRPr="003F2F38">
        <w:rPr>
          <w:rFonts w:ascii="Helvetica" w:hAnsi="Helvetica"/>
          <w:sz w:val="24"/>
          <w:szCs w:val="24"/>
        </w:rPr>
        <w:t>Source: Quality Catalogue Fall 2019</w:t>
      </w:r>
    </w:p>
    <w:p w:rsidR="003F2F38" w:rsidRDefault="003F2F38" w:rsidP="00A40DC0">
      <w:pPr>
        <w:pStyle w:val="ListParagraph"/>
        <w:numPr>
          <w:ilvl w:val="1"/>
          <w:numId w:val="13"/>
        </w:numPr>
        <w:jc w:val="left"/>
        <w:rPr>
          <w:rFonts w:ascii="Helvetica" w:hAnsi="Helvetica"/>
          <w:sz w:val="24"/>
          <w:szCs w:val="24"/>
        </w:rPr>
      </w:pPr>
      <w:r w:rsidRPr="003F2F38">
        <w:rPr>
          <w:rFonts w:ascii="Helvetica" w:hAnsi="Helvetica"/>
          <w:sz w:val="24"/>
          <w:szCs w:val="24"/>
        </w:rPr>
        <w:t>Substantive changes to the measures</w:t>
      </w:r>
    </w:p>
    <w:tbl>
      <w:tblPr>
        <w:tblStyle w:val="TableGrid"/>
        <w:tblW w:w="0" w:type="auto"/>
        <w:tblCellMar>
          <w:left w:w="0" w:type="dxa"/>
          <w:right w:w="0" w:type="dxa"/>
        </w:tblCellMar>
        <w:tblLook w:val="0420" w:firstRow="1" w:lastRow="0" w:firstColumn="0" w:lastColumn="0" w:noHBand="0" w:noVBand="1"/>
        <w:tblCaption w:val="Quality Measure Catalogue: Background"/>
      </w:tblPr>
      <w:tblGrid>
        <w:gridCol w:w="1657"/>
        <w:gridCol w:w="7991"/>
      </w:tblGrid>
      <w:tr w:rsidR="003F2F38" w:rsidRPr="003F2F38" w:rsidTr="00A40DC0">
        <w:trPr>
          <w:trHeight w:val="349"/>
          <w:tblHeader/>
        </w:trPr>
        <w:tc>
          <w:tcPr>
            <w:tcW w:w="0" w:type="auto"/>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3F2F38" w:rsidRPr="003F2F38" w:rsidRDefault="003F2F38">
            <w:pPr>
              <w:pStyle w:val="NormalWeb"/>
              <w:spacing w:before="0" w:beforeAutospacing="0" w:after="0" w:afterAutospacing="0"/>
              <w:rPr>
                <w:rFonts w:ascii="Helvetica" w:hAnsi="Helvetica" w:cs="Helvetica"/>
              </w:rPr>
            </w:pPr>
            <w:r w:rsidRPr="003F2F38">
              <w:rPr>
                <w:rFonts w:ascii="Helvetica" w:hAnsi="Helvetica" w:cs="Helvetica"/>
                <w:b/>
                <w:bCs/>
                <w:color w:val="FFFFFF" w:themeColor="light1"/>
                <w:kern w:val="24"/>
              </w:rPr>
              <w:t>Topic</w:t>
            </w:r>
          </w:p>
        </w:tc>
        <w:tc>
          <w:tcPr>
            <w:tcW w:w="0" w:type="auto"/>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3F2F38" w:rsidRPr="003F2F38" w:rsidRDefault="003F2F38">
            <w:pPr>
              <w:pStyle w:val="NormalWeb"/>
              <w:spacing w:before="0" w:beforeAutospacing="0" w:after="0" w:afterAutospacing="0"/>
              <w:rPr>
                <w:rFonts w:ascii="Helvetica" w:hAnsi="Helvetica" w:cs="Helvetica"/>
              </w:rPr>
            </w:pPr>
            <w:r w:rsidRPr="003F2F38">
              <w:rPr>
                <w:rFonts w:ascii="Helvetica" w:hAnsi="Helvetica" w:cs="Helvetica"/>
                <w:b/>
                <w:bCs/>
                <w:color w:val="FFFFFF" w:themeColor="light1"/>
                <w:kern w:val="24"/>
              </w:rPr>
              <w:t>Source</w:t>
            </w:r>
          </w:p>
        </w:tc>
      </w:tr>
      <w:tr w:rsidR="003F2F38" w:rsidRPr="003F2F38" w:rsidTr="003F2F38">
        <w:trPr>
          <w:trHeight w:val="58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F2F38" w:rsidRPr="003F2F38" w:rsidRDefault="003F2F38">
            <w:pPr>
              <w:pStyle w:val="NormalWeb"/>
              <w:spacing w:before="0" w:beforeAutospacing="0" w:after="0" w:afterAutospacing="0"/>
              <w:rPr>
                <w:rFonts w:ascii="Helvetica" w:hAnsi="Helvetica" w:cs="Helvetica"/>
              </w:rPr>
            </w:pPr>
            <w:r w:rsidRPr="003F2F38">
              <w:rPr>
                <w:rFonts w:ascii="Helvetica" w:hAnsi="Helvetica" w:cs="Helvetica"/>
                <w:color w:val="000000" w:themeColor="dark1"/>
                <w:kern w:val="24"/>
              </w:rPr>
              <w:t>HEDIS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F2F38" w:rsidRPr="003F2F38" w:rsidRDefault="004B5FF9">
            <w:pPr>
              <w:pStyle w:val="NormalWeb"/>
              <w:spacing w:before="0" w:beforeAutospacing="0" w:after="0" w:afterAutospacing="0"/>
              <w:rPr>
                <w:rFonts w:ascii="Helvetica" w:hAnsi="Helvetica" w:cs="Helvetica"/>
              </w:rPr>
            </w:pPr>
            <w:hyperlink r:id="rId12" w:history="1">
              <w:r w:rsidR="003F2F38" w:rsidRPr="003F2F38">
                <w:rPr>
                  <w:rStyle w:val="Hyperlink"/>
                  <w:rFonts w:ascii="Helvetica" w:hAnsi="Helvetica" w:cs="Helvetica"/>
                  <w:color w:val="0070C0"/>
                  <w:kern w:val="24"/>
                </w:rPr>
                <w:t>NCQA Summary of HEDIS 2020 Changes</w:t>
              </w:r>
            </w:hyperlink>
          </w:p>
          <w:p w:rsidR="003F2F38" w:rsidRPr="003F2F38" w:rsidRDefault="003F2F38" w:rsidP="00A40DC0">
            <w:pPr>
              <w:pStyle w:val="ListParagraph"/>
              <w:numPr>
                <w:ilvl w:val="0"/>
                <w:numId w:val="33"/>
              </w:numPr>
              <w:jc w:val="left"/>
              <w:rPr>
                <w:rFonts w:ascii="Helvetica" w:hAnsi="Helvetica" w:cs="Helvetica"/>
                <w:sz w:val="24"/>
                <w:szCs w:val="24"/>
              </w:rPr>
            </w:pPr>
            <w:r w:rsidRPr="003F2F38">
              <w:rPr>
                <w:rFonts w:ascii="Helvetica" w:hAnsi="Helvetica" w:cs="Helvetica"/>
                <w:color w:val="000000" w:themeColor="text1"/>
                <w:kern w:val="24"/>
                <w:sz w:val="24"/>
                <w:szCs w:val="24"/>
              </w:rPr>
              <w:t>These changes were reviewed with the Taskforce via survey in the spring of 2019.  At the time, the Taskforce recommended adopting all changes once finalized.</w:t>
            </w:r>
          </w:p>
        </w:tc>
      </w:tr>
      <w:tr w:rsidR="003F2F38" w:rsidRPr="003F2F38" w:rsidTr="003F2F38">
        <w:trPr>
          <w:trHeight w:val="58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F2F38" w:rsidRPr="003F2F38" w:rsidRDefault="003F2F38">
            <w:pPr>
              <w:pStyle w:val="NormalWeb"/>
              <w:spacing w:before="0" w:beforeAutospacing="0" w:after="0" w:afterAutospacing="0"/>
              <w:rPr>
                <w:rFonts w:ascii="Helvetica" w:hAnsi="Helvetica" w:cs="Helvetica"/>
              </w:rPr>
            </w:pPr>
            <w:r w:rsidRPr="003F2F38">
              <w:rPr>
                <w:rFonts w:ascii="Helvetica" w:hAnsi="Helvetica" w:cs="Helvetica"/>
                <w:color w:val="000000" w:themeColor="dark1"/>
                <w:kern w:val="24"/>
              </w:rPr>
              <w:t>MassHealth</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F2F38" w:rsidRPr="003F2F38" w:rsidRDefault="003F2F38">
            <w:pPr>
              <w:pStyle w:val="NormalWeb"/>
              <w:spacing w:before="0" w:beforeAutospacing="0" w:after="0" w:afterAutospacing="0"/>
              <w:rPr>
                <w:rFonts w:ascii="Helvetica" w:hAnsi="Helvetica" w:cs="Helvetica"/>
              </w:rPr>
            </w:pPr>
            <w:r w:rsidRPr="003F2F38">
              <w:rPr>
                <w:rFonts w:ascii="Helvetica" w:hAnsi="Helvetica" w:cs="Helvetica"/>
                <w:color w:val="000000" w:themeColor="dark1"/>
                <w:kern w:val="24"/>
              </w:rPr>
              <w:t xml:space="preserve">MassHealth </w:t>
            </w:r>
          </w:p>
          <w:p w:rsidR="003F2F38" w:rsidRPr="003F2F38" w:rsidRDefault="003F2F38" w:rsidP="00A40DC0">
            <w:pPr>
              <w:pStyle w:val="ListParagraph"/>
              <w:numPr>
                <w:ilvl w:val="0"/>
                <w:numId w:val="34"/>
              </w:numPr>
              <w:jc w:val="left"/>
              <w:rPr>
                <w:rFonts w:ascii="Helvetica" w:hAnsi="Helvetica" w:cs="Helvetica"/>
                <w:sz w:val="24"/>
                <w:szCs w:val="24"/>
              </w:rPr>
            </w:pPr>
            <w:r w:rsidRPr="003F2F38">
              <w:rPr>
                <w:rFonts w:ascii="Helvetica" w:hAnsi="Helvetica" w:cs="Helvetica"/>
                <w:color w:val="000000" w:themeColor="dark1"/>
                <w:kern w:val="24"/>
                <w:sz w:val="24"/>
                <w:szCs w:val="24"/>
              </w:rPr>
              <w:t>There are no CMS-driven changes to the MassHealth slate.</w:t>
            </w:r>
          </w:p>
          <w:p w:rsidR="003F2F38" w:rsidRPr="003F2F38" w:rsidRDefault="003F2F38" w:rsidP="00A40DC0">
            <w:pPr>
              <w:pStyle w:val="ListParagraph"/>
              <w:numPr>
                <w:ilvl w:val="0"/>
                <w:numId w:val="34"/>
              </w:numPr>
              <w:jc w:val="left"/>
              <w:rPr>
                <w:rFonts w:ascii="Helvetica" w:hAnsi="Helvetica" w:cs="Helvetica"/>
                <w:sz w:val="24"/>
                <w:szCs w:val="24"/>
              </w:rPr>
            </w:pPr>
            <w:r w:rsidRPr="003F2F38">
              <w:rPr>
                <w:rFonts w:ascii="Helvetica" w:hAnsi="Helvetica" w:cs="Helvetica"/>
                <w:color w:val="000000" w:themeColor="dark1"/>
                <w:kern w:val="24"/>
                <w:sz w:val="24"/>
                <w:szCs w:val="24"/>
              </w:rPr>
              <w:t>There are no new measures moving to payment for 2021.</w:t>
            </w:r>
          </w:p>
        </w:tc>
      </w:tr>
      <w:tr w:rsidR="003F2F38" w:rsidRPr="003F2F38" w:rsidTr="003F2F38">
        <w:trPr>
          <w:trHeight w:val="58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F2F38" w:rsidRPr="003F2F38" w:rsidRDefault="003F2F38">
            <w:pPr>
              <w:pStyle w:val="NormalWeb"/>
              <w:spacing w:before="0" w:beforeAutospacing="0" w:after="0" w:afterAutospacing="0"/>
              <w:rPr>
                <w:rFonts w:ascii="Helvetica" w:hAnsi="Helvetica" w:cs="Helvetica"/>
              </w:rPr>
            </w:pPr>
            <w:r w:rsidRPr="003F2F38">
              <w:rPr>
                <w:rFonts w:ascii="Helvetica" w:hAnsi="Helvetica" w:cs="Helvetica"/>
                <w:color w:val="000000" w:themeColor="dark1"/>
                <w:kern w:val="24"/>
              </w:rPr>
              <w:t>Medicaid Core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F2F38" w:rsidRPr="003F2F38" w:rsidRDefault="003F2F38">
            <w:pPr>
              <w:pStyle w:val="NormalWeb"/>
              <w:spacing w:before="0" w:beforeAutospacing="0" w:after="0" w:afterAutospacing="0"/>
              <w:rPr>
                <w:rFonts w:ascii="Helvetica" w:hAnsi="Helvetica" w:cs="Helvetica"/>
              </w:rPr>
            </w:pPr>
            <w:r w:rsidRPr="003F2F38">
              <w:rPr>
                <w:rFonts w:ascii="Helvetica" w:hAnsi="Helvetica" w:cs="Helvetica"/>
                <w:color w:val="000000" w:themeColor="dark1"/>
                <w:kern w:val="24"/>
              </w:rPr>
              <w:t xml:space="preserve">Changes from </w:t>
            </w:r>
            <w:hyperlink r:id="rId13" w:history="1">
              <w:r w:rsidRPr="003F2F38">
                <w:rPr>
                  <w:rStyle w:val="Hyperlink"/>
                  <w:rFonts w:ascii="Helvetica" w:hAnsi="Helvetica" w:cs="Helvetica"/>
                  <w:color w:val="197EC6"/>
                  <w:kern w:val="24"/>
                </w:rPr>
                <w:t>CMS’ 2020 Updates to the Child and Adult Core Health Care Quality Measurement Sets</w:t>
              </w:r>
            </w:hyperlink>
          </w:p>
        </w:tc>
      </w:tr>
      <w:tr w:rsidR="003F2F38" w:rsidRPr="003F2F38" w:rsidTr="00E4272E">
        <w:trPr>
          <w:trHeight w:val="322"/>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F2F38" w:rsidRPr="003F2F38" w:rsidRDefault="003F2F38">
            <w:pPr>
              <w:pStyle w:val="NormalWeb"/>
              <w:spacing w:before="0" w:beforeAutospacing="0" w:after="0" w:afterAutospacing="0"/>
              <w:rPr>
                <w:rFonts w:ascii="Helvetica" w:hAnsi="Helvetica" w:cs="Helvetica"/>
              </w:rPr>
            </w:pPr>
            <w:r w:rsidRPr="003F2F38">
              <w:rPr>
                <w:rFonts w:ascii="Helvetica" w:hAnsi="Helvetica" w:cs="Helvetica"/>
                <w:color w:val="000000" w:themeColor="dark1"/>
                <w:kern w:val="24"/>
              </w:rPr>
              <w:t>CMS ACOs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F2F38" w:rsidRPr="003F2F38" w:rsidRDefault="003F2F38">
            <w:pPr>
              <w:pStyle w:val="NormalWeb"/>
              <w:spacing w:before="0" w:beforeAutospacing="0" w:after="0" w:afterAutospacing="0"/>
              <w:rPr>
                <w:rFonts w:ascii="Helvetica" w:hAnsi="Helvetica" w:cs="Helvetica"/>
              </w:rPr>
            </w:pPr>
            <w:r w:rsidRPr="003F2F38">
              <w:rPr>
                <w:rFonts w:ascii="Helvetica" w:hAnsi="Helvetica" w:cs="Helvetica"/>
                <w:color w:val="000000" w:themeColor="dark1"/>
                <w:kern w:val="24"/>
              </w:rPr>
              <w:t xml:space="preserve">No changes noted in the </w:t>
            </w:r>
            <w:hyperlink r:id="rId14" w:history="1">
              <w:r w:rsidRPr="003F2F38">
                <w:rPr>
                  <w:rStyle w:val="Hyperlink"/>
                  <w:rFonts w:ascii="Helvetica" w:hAnsi="Helvetica" w:cs="Helvetica"/>
                  <w:color w:val="197EC6"/>
                  <w:kern w:val="24"/>
                </w:rPr>
                <w:t>QPP Final Rule</w:t>
              </w:r>
            </w:hyperlink>
          </w:p>
        </w:tc>
      </w:tr>
    </w:tbl>
    <w:p w:rsidR="003F2F38" w:rsidRDefault="003F2F38" w:rsidP="00E4272E">
      <w:pPr>
        <w:jc w:val="left"/>
        <w:rPr>
          <w:rFonts w:ascii="Helvetica" w:hAnsi="Helvetica"/>
          <w:sz w:val="24"/>
          <w:szCs w:val="24"/>
        </w:rPr>
      </w:pPr>
    </w:p>
    <w:p w:rsidR="00F3689A" w:rsidRDefault="00F3689A" w:rsidP="00CA1C68">
      <w:pPr>
        <w:pStyle w:val="Heading1"/>
        <w:tabs>
          <w:tab w:val="left" w:pos="2296"/>
        </w:tabs>
      </w:pPr>
      <w:r w:rsidRPr="00A35C58">
        <w:t xml:space="preserve">Slide </w:t>
      </w:r>
      <w:r>
        <w:t>3</w:t>
      </w:r>
      <w:r w:rsidR="00E4272E">
        <w:t>4</w:t>
      </w:r>
    </w:p>
    <w:p w:rsidR="00F3689A" w:rsidRDefault="00E4272E" w:rsidP="00CA1C68">
      <w:pPr>
        <w:pStyle w:val="Heading2"/>
      </w:pPr>
      <w:r w:rsidRPr="00E4272E">
        <w:t xml:space="preserve">Review </w:t>
      </w:r>
      <w:r>
        <w:t>of the 2020 Aligned Measure Set</w:t>
      </w:r>
    </w:p>
    <w:p w:rsidR="00E4272E" w:rsidRPr="00E4272E" w:rsidRDefault="00E4272E" w:rsidP="00A40DC0">
      <w:pPr>
        <w:pStyle w:val="ListParagraph"/>
        <w:numPr>
          <w:ilvl w:val="0"/>
          <w:numId w:val="35"/>
        </w:numPr>
        <w:jc w:val="left"/>
        <w:rPr>
          <w:rFonts w:ascii="Helvetica" w:hAnsi="Helvetica"/>
          <w:sz w:val="24"/>
          <w:szCs w:val="24"/>
        </w:rPr>
      </w:pPr>
      <w:r w:rsidRPr="00E4272E">
        <w:rPr>
          <w:rFonts w:ascii="Helvetica" w:hAnsi="Helvetica"/>
          <w:sz w:val="24"/>
          <w:szCs w:val="24"/>
        </w:rPr>
        <w:t>Performance:</w:t>
      </w:r>
    </w:p>
    <w:p w:rsidR="00E4272E" w:rsidRPr="00E4272E" w:rsidRDefault="00E4272E" w:rsidP="00A40DC0">
      <w:pPr>
        <w:pStyle w:val="ListParagraph"/>
        <w:numPr>
          <w:ilvl w:val="1"/>
          <w:numId w:val="36"/>
        </w:numPr>
        <w:jc w:val="left"/>
        <w:rPr>
          <w:rFonts w:ascii="Helvetica" w:hAnsi="Helvetica"/>
          <w:sz w:val="24"/>
          <w:szCs w:val="24"/>
        </w:rPr>
      </w:pPr>
      <w:r w:rsidRPr="00E4272E">
        <w:rPr>
          <w:rFonts w:ascii="Helvetica" w:hAnsi="Helvetica"/>
          <w:sz w:val="24"/>
          <w:szCs w:val="24"/>
        </w:rPr>
        <w:t>Source: Taskforce staff reviewed performance using data from NCQA’s Quality Compass product and from MassHealth.</w:t>
      </w:r>
    </w:p>
    <w:p w:rsidR="00E4272E" w:rsidRPr="00E4272E" w:rsidRDefault="00E4272E" w:rsidP="00A40DC0">
      <w:pPr>
        <w:pStyle w:val="ListParagraph"/>
        <w:numPr>
          <w:ilvl w:val="1"/>
          <w:numId w:val="36"/>
        </w:numPr>
        <w:jc w:val="left"/>
        <w:rPr>
          <w:rFonts w:ascii="Helvetica" w:hAnsi="Helvetica"/>
          <w:sz w:val="24"/>
          <w:szCs w:val="24"/>
        </w:rPr>
      </w:pPr>
      <w:r w:rsidRPr="00E4272E">
        <w:rPr>
          <w:rFonts w:ascii="Helvetica" w:hAnsi="Helvetica"/>
          <w:sz w:val="24"/>
          <w:szCs w:val="24"/>
        </w:rPr>
        <w:lastRenderedPageBreak/>
        <w:t>We compared commercial performance for the three largest plans to national commercial ALOB benchmarks.</w:t>
      </w:r>
    </w:p>
    <w:p w:rsidR="00E4272E" w:rsidRPr="00E4272E" w:rsidRDefault="00E4272E" w:rsidP="00A40DC0">
      <w:pPr>
        <w:pStyle w:val="ListParagraph"/>
        <w:numPr>
          <w:ilvl w:val="1"/>
          <w:numId w:val="36"/>
        </w:numPr>
        <w:jc w:val="left"/>
        <w:rPr>
          <w:rFonts w:ascii="Helvetica" w:hAnsi="Helvetica"/>
          <w:sz w:val="24"/>
          <w:szCs w:val="24"/>
        </w:rPr>
      </w:pPr>
      <w:r w:rsidRPr="00E4272E">
        <w:rPr>
          <w:rFonts w:ascii="Helvetica" w:hAnsi="Helvetica"/>
          <w:sz w:val="24"/>
          <w:szCs w:val="24"/>
        </w:rPr>
        <w:t>We compared MassHealth performance (MCO and PCC Plan combined) to national Medicaid HMO benchmarks.</w:t>
      </w:r>
    </w:p>
    <w:p w:rsidR="00E4272E" w:rsidRPr="00E4272E" w:rsidRDefault="00E4272E" w:rsidP="00A40DC0">
      <w:pPr>
        <w:pStyle w:val="ListParagraph"/>
        <w:numPr>
          <w:ilvl w:val="1"/>
          <w:numId w:val="36"/>
        </w:numPr>
        <w:jc w:val="left"/>
        <w:rPr>
          <w:rFonts w:ascii="Helvetica" w:hAnsi="Helvetica"/>
          <w:sz w:val="24"/>
          <w:szCs w:val="24"/>
        </w:rPr>
      </w:pPr>
      <w:r w:rsidRPr="00E4272E">
        <w:rPr>
          <w:rFonts w:ascii="Helvetica" w:hAnsi="Helvetica"/>
          <w:sz w:val="24"/>
          <w:szCs w:val="24"/>
        </w:rPr>
        <w:t>While the next set of slides only displays 2018 performance, 2016 through 2018 performance can be found in the appendix.</w:t>
      </w:r>
    </w:p>
    <w:tbl>
      <w:tblPr>
        <w:tblStyle w:val="TableGrid"/>
        <w:tblW w:w="5040" w:type="pct"/>
        <w:tblInd w:w="-75" w:type="dxa"/>
        <w:tblCellMar>
          <w:left w:w="0" w:type="dxa"/>
          <w:right w:w="0" w:type="dxa"/>
        </w:tblCellMar>
        <w:tblLook w:val="0600" w:firstRow="0" w:lastRow="0" w:firstColumn="0" w:lastColumn="0" w:noHBand="1" w:noVBand="1"/>
        <w:tblCaption w:val="Key:"/>
      </w:tblPr>
      <w:tblGrid>
        <w:gridCol w:w="1953"/>
        <w:gridCol w:w="1878"/>
        <w:gridCol w:w="1878"/>
        <w:gridCol w:w="1878"/>
        <w:gridCol w:w="1878"/>
      </w:tblGrid>
      <w:tr w:rsidR="00E4272E" w:rsidRPr="00E4272E" w:rsidTr="00A40DC0">
        <w:trPr>
          <w:tblHead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4272E" w:rsidRPr="00E4272E" w:rsidRDefault="00E4272E" w:rsidP="00773B9A">
            <w:pPr>
              <w:jc w:val="center"/>
              <w:textAlignment w:val="center"/>
              <w:rPr>
                <w:rFonts w:ascii="Helvetica" w:eastAsia="Times New Roman" w:hAnsi="Helvetica" w:cs="Helvetica"/>
                <w:sz w:val="24"/>
                <w:szCs w:val="24"/>
              </w:rPr>
            </w:pPr>
            <w:r w:rsidRPr="00E4272E">
              <w:rPr>
                <w:rFonts w:ascii="Helvetica" w:eastAsia="Times New Roman" w:hAnsi="Helvetica" w:cs="Helvetica"/>
                <w:b/>
                <w:bCs/>
                <w:color w:val="000000"/>
                <w:kern w:val="24"/>
                <w:sz w:val="24"/>
                <w:szCs w:val="24"/>
              </w:rPr>
              <w:t>Key:</w:t>
            </w:r>
          </w:p>
        </w:tc>
      </w:tr>
      <w:tr w:rsidR="00E4272E" w:rsidRPr="00E4272E" w:rsidTr="00773B9A">
        <w:tc>
          <w:tcPr>
            <w:tcW w:w="1032" w:type="pct"/>
            <w:tcBorders>
              <w:top w:val="single" w:sz="4" w:space="0" w:color="000000"/>
              <w:left w:val="single" w:sz="4" w:space="0" w:color="000000"/>
              <w:bottom w:val="single" w:sz="4" w:space="0" w:color="000000"/>
              <w:right w:val="single" w:sz="4" w:space="0" w:color="000000"/>
            </w:tcBorders>
            <w:shd w:val="clear" w:color="auto" w:fill="E79791"/>
            <w:tcMar>
              <w:top w:w="15" w:type="dxa"/>
              <w:left w:w="15" w:type="dxa"/>
              <w:bottom w:w="0" w:type="dxa"/>
              <w:right w:w="15" w:type="dxa"/>
            </w:tcMar>
            <w:vAlign w:val="center"/>
            <w:hideMark/>
          </w:tcPr>
          <w:p w:rsidR="00E4272E" w:rsidRPr="00E4272E" w:rsidRDefault="00E4272E" w:rsidP="00773B9A">
            <w:pPr>
              <w:jc w:val="center"/>
              <w:textAlignment w:val="center"/>
              <w:rPr>
                <w:rFonts w:ascii="Helvetica" w:eastAsia="Times New Roman" w:hAnsi="Helvetica" w:cs="Helvetica"/>
                <w:sz w:val="24"/>
                <w:szCs w:val="24"/>
              </w:rPr>
            </w:pPr>
            <w:r w:rsidRPr="00E4272E">
              <w:rPr>
                <w:rFonts w:ascii="Helvetica" w:eastAsia="Times New Roman" w:hAnsi="Helvetica" w:cs="Helvetica"/>
                <w:color w:val="000000"/>
                <w:kern w:val="24"/>
                <w:sz w:val="24"/>
                <w:szCs w:val="24"/>
              </w:rPr>
              <w:t>&lt;25th</w:t>
            </w:r>
          </w:p>
        </w:tc>
        <w:tc>
          <w:tcPr>
            <w:tcW w:w="992" w:type="pct"/>
            <w:tcBorders>
              <w:top w:val="single" w:sz="4" w:space="0" w:color="000000"/>
              <w:left w:val="single" w:sz="4" w:space="0" w:color="000000"/>
              <w:bottom w:val="single" w:sz="4" w:space="0" w:color="000000"/>
              <w:right w:val="single" w:sz="4" w:space="0" w:color="000000"/>
            </w:tcBorders>
            <w:shd w:val="clear" w:color="auto" w:fill="F4CFCC"/>
            <w:tcMar>
              <w:top w:w="15" w:type="dxa"/>
              <w:left w:w="15" w:type="dxa"/>
              <w:bottom w:w="0" w:type="dxa"/>
              <w:right w:w="15" w:type="dxa"/>
            </w:tcMar>
            <w:vAlign w:val="center"/>
            <w:hideMark/>
          </w:tcPr>
          <w:p w:rsidR="00E4272E" w:rsidRPr="00E4272E" w:rsidRDefault="00E4272E" w:rsidP="00773B9A">
            <w:pPr>
              <w:jc w:val="center"/>
              <w:textAlignment w:val="center"/>
              <w:rPr>
                <w:rFonts w:ascii="Helvetica" w:eastAsia="Times New Roman" w:hAnsi="Helvetica" w:cs="Helvetica"/>
                <w:sz w:val="24"/>
                <w:szCs w:val="24"/>
              </w:rPr>
            </w:pPr>
            <w:r w:rsidRPr="00E4272E">
              <w:rPr>
                <w:rFonts w:ascii="Helvetica" w:eastAsia="Times New Roman" w:hAnsi="Helvetica" w:cs="Helvetica"/>
                <w:color w:val="000000"/>
                <w:kern w:val="24"/>
                <w:sz w:val="24"/>
                <w:szCs w:val="24"/>
              </w:rPr>
              <w:t>25th - 50th</w:t>
            </w:r>
          </w:p>
        </w:tc>
        <w:tc>
          <w:tcPr>
            <w:tcW w:w="992" w:type="pct"/>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bottom w:w="0" w:type="dxa"/>
              <w:right w:w="15" w:type="dxa"/>
            </w:tcMar>
            <w:vAlign w:val="center"/>
            <w:hideMark/>
          </w:tcPr>
          <w:p w:rsidR="00E4272E" w:rsidRPr="00E4272E" w:rsidRDefault="00E4272E" w:rsidP="00773B9A">
            <w:pPr>
              <w:jc w:val="center"/>
              <w:textAlignment w:val="center"/>
              <w:rPr>
                <w:rFonts w:ascii="Helvetica" w:eastAsia="Times New Roman" w:hAnsi="Helvetica" w:cs="Helvetica"/>
                <w:sz w:val="24"/>
                <w:szCs w:val="24"/>
              </w:rPr>
            </w:pPr>
            <w:r w:rsidRPr="00E4272E">
              <w:rPr>
                <w:rFonts w:ascii="Helvetica" w:eastAsia="Times New Roman" w:hAnsi="Helvetica" w:cs="Helvetica"/>
                <w:color w:val="000000"/>
                <w:kern w:val="24"/>
                <w:sz w:val="24"/>
                <w:szCs w:val="24"/>
              </w:rPr>
              <w:t>50th - 75th</w:t>
            </w:r>
          </w:p>
        </w:tc>
        <w:tc>
          <w:tcPr>
            <w:tcW w:w="992" w:type="pct"/>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rsidR="00E4272E" w:rsidRPr="00E4272E" w:rsidRDefault="00E4272E" w:rsidP="00773B9A">
            <w:pPr>
              <w:jc w:val="center"/>
              <w:textAlignment w:val="center"/>
              <w:rPr>
                <w:rFonts w:ascii="Helvetica" w:eastAsia="Times New Roman" w:hAnsi="Helvetica" w:cs="Helvetica"/>
                <w:sz w:val="24"/>
                <w:szCs w:val="24"/>
              </w:rPr>
            </w:pPr>
            <w:r w:rsidRPr="00E4272E">
              <w:rPr>
                <w:rFonts w:ascii="Helvetica" w:eastAsia="Times New Roman" w:hAnsi="Helvetica" w:cs="Helvetica"/>
                <w:color w:val="000000"/>
                <w:kern w:val="24"/>
                <w:sz w:val="24"/>
                <w:szCs w:val="24"/>
              </w:rPr>
              <w:t>75th - 90th</w:t>
            </w:r>
          </w:p>
        </w:tc>
        <w:tc>
          <w:tcPr>
            <w:tcW w:w="992" w:type="pct"/>
            <w:tcBorders>
              <w:top w:val="single" w:sz="4" w:space="0" w:color="000000"/>
              <w:left w:val="single" w:sz="4" w:space="0" w:color="000000"/>
              <w:bottom w:val="single" w:sz="4" w:space="0" w:color="000000"/>
              <w:right w:val="single" w:sz="4" w:space="0" w:color="000000"/>
            </w:tcBorders>
            <w:shd w:val="clear" w:color="auto" w:fill="70AD47"/>
            <w:tcMar>
              <w:top w:w="15" w:type="dxa"/>
              <w:left w:w="15" w:type="dxa"/>
              <w:bottom w:w="0" w:type="dxa"/>
              <w:right w:w="15" w:type="dxa"/>
            </w:tcMar>
            <w:vAlign w:val="center"/>
            <w:hideMark/>
          </w:tcPr>
          <w:p w:rsidR="00E4272E" w:rsidRPr="00E4272E" w:rsidRDefault="00E4272E" w:rsidP="00773B9A">
            <w:pPr>
              <w:jc w:val="center"/>
              <w:textAlignment w:val="center"/>
              <w:rPr>
                <w:rFonts w:ascii="Helvetica" w:eastAsia="Times New Roman" w:hAnsi="Helvetica" w:cs="Helvetica"/>
                <w:sz w:val="24"/>
                <w:szCs w:val="24"/>
              </w:rPr>
            </w:pPr>
            <w:r w:rsidRPr="00E4272E">
              <w:rPr>
                <w:rFonts w:ascii="Arial" w:eastAsia="Times New Roman" w:hAnsi="Arial" w:cs="Arial"/>
                <w:color w:val="000000"/>
                <w:kern w:val="24"/>
                <w:sz w:val="24"/>
                <w:szCs w:val="24"/>
              </w:rPr>
              <w:t>≥</w:t>
            </w:r>
            <w:r w:rsidRPr="00E4272E">
              <w:rPr>
                <w:rFonts w:ascii="Helvetica" w:eastAsia="Times New Roman" w:hAnsi="Helvetica" w:cs="Helvetica"/>
                <w:color w:val="000000"/>
                <w:kern w:val="24"/>
                <w:sz w:val="24"/>
                <w:szCs w:val="24"/>
              </w:rPr>
              <w:t>90th</w:t>
            </w:r>
          </w:p>
        </w:tc>
      </w:tr>
    </w:tbl>
    <w:p w:rsidR="00F3689A" w:rsidRDefault="00F3689A" w:rsidP="00CA1C68">
      <w:pPr>
        <w:pStyle w:val="Heading1"/>
        <w:tabs>
          <w:tab w:val="left" w:pos="2296"/>
        </w:tabs>
      </w:pPr>
      <w:r w:rsidRPr="00A35C58">
        <w:t xml:space="preserve">Slide </w:t>
      </w:r>
      <w:r>
        <w:t>3</w:t>
      </w:r>
      <w:r w:rsidR="00E4272E">
        <w:t>5</w:t>
      </w:r>
    </w:p>
    <w:p w:rsidR="00F3689A" w:rsidRDefault="00E4272E" w:rsidP="00CA1C68">
      <w:pPr>
        <w:pStyle w:val="Heading2"/>
      </w:pPr>
      <w:r w:rsidRPr="00E4272E">
        <w:t>2020 Core Measures</w:t>
      </w:r>
    </w:p>
    <w:tbl>
      <w:tblPr>
        <w:tblStyle w:val="TableGrid"/>
        <w:tblW w:w="5000" w:type="pct"/>
        <w:tblCellMar>
          <w:left w:w="0" w:type="dxa"/>
          <w:right w:w="0" w:type="dxa"/>
        </w:tblCellMar>
        <w:tblLook w:val="0420" w:firstRow="1" w:lastRow="0" w:firstColumn="0" w:lastColumn="0" w:noHBand="0" w:noVBand="1"/>
        <w:tblCaption w:val="2020 Core Measures"/>
      </w:tblPr>
      <w:tblGrid>
        <w:gridCol w:w="4666"/>
        <w:gridCol w:w="1275"/>
        <w:gridCol w:w="1729"/>
        <w:gridCol w:w="1102"/>
        <w:gridCol w:w="876"/>
      </w:tblGrid>
      <w:tr w:rsidR="00E4272E" w:rsidRPr="00E4272E" w:rsidTr="00A40DC0">
        <w:trPr>
          <w:trHeight w:val="584"/>
          <w:tblHeader/>
        </w:trPr>
        <w:tc>
          <w:tcPr>
            <w:tcW w:w="2435" w:type="pct"/>
            <w:vMerge w:val="restart"/>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E4272E" w:rsidRPr="00E4272E" w:rsidRDefault="00E4272E" w:rsidP="00E4272E">
            <w:pPr>
              <w:jc w:val="center"/>
              <w:rPr>
                <w:rFonts w:ascii="Helvetica" w:eastAsia="Times New Roman" w:hAnsi="Helvetica" w:cs="Helvetica"/>
                <w:sz w:val="24"/>
                <w:szCs w:val="24"/>
              </w:rPr>
            </w:pPr>
            <w:r w:rsidRPr="00E4272E">
              <w:rPr>
                <w:rFonts w:ascii="Helvetica" w:eastAsia="Times New Roman" w:hAnsi="Helvetica" w:cs="Helvetica"/>
                <w:b/>
                <w:bCs/>
                <w:color w:val="FFFFFF" w:themeColor="background1"/>
                <w:kern w:val="24"/>
                <w:sz w:val="24"/>
                <w:szCs w:val="24"/>
              </w:rPr>
              <w:t>Measure</w:t>
            </w:r>
          </w:p>
        </w:tc>
        <w:tc>
          <w:tcPr>
            <w:tcW w:w="623" w:type="pct"/>
            <w:vMerge w:val="restart"/>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E4272E" w:rsidRPr="00E4272E" w:rsidRDefault="00E4272E" w:rsidP="00E4272E">
            <w:pPr>
              <w:jc w:val="center"/>
              <w:rPr>
                <w:rFonts w:ascii="Helvetica" w:eastAsia="Times New Roman" w:hAnsi="Helvetica" w:cs="Helvetica"/>
                <w:sz w:val="24"/>
                <w:szCs w:val="24"/>
              </w:rPr>
            </w:pPr>
            <w:r w:rsidRPr="00E4272E">
              <w:rPr>
                <w:rFonts w:ascii="Helvetica" w:eastAsia="Times New Roman" w:hAnsi="Helvetica" w:cs="Helvetica"/>
                <w:b/>
                <w:bCs/>
                <w:color w:val="FFFFFF" w:themeColor="background1"/>
                <w:kern w:val="24"/>
                <w:sz w:val="24"/>
                <w:szCs w:val="24"/>
              </w:rPr>
              <w:t>Contract Use 2020</w:t>
            </w:r>
          </w:p>
        </w:tc>
        <w:tc>
          <w:tcPr>
            <w:tcW w:w="913" w:type="pct"/>
            <w:vMerge w:val="restart"/>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E4272E" w:rsidRPr="00E4272E" w:rsidRDefault="00E4272E" w:rsidP="00E4272E">
            <w:pPr>
              <w:jc w:val="center"/>
              <w:rPr>
                <w:rFonts w:ascii="Helvetica" w:eastAsia="Times New Roman" w:hAnsi="Helvetica" w:cs="Helvetica"/>
                <w:sz w:val="24"/>
                <w:szCs w:val="24"/>
              </w:rPr>
            </w:pPr>
            <w:r w:rsidRPr="00E4272E">
              <w:rPr>
                <w:rFonts w:ascii="Helvetica" w:eastAsia="Times New Roman" w:hAnsi="Helvetica" w:cs="Helvetica"/>
                <w:b/>
                <w:bCs/>
                <w:color w:val="FFFFFF" w:themeColor="background1"/>
                <w:kern w:val="24"/>
                <w:sz w:val="24"/>
                <w:szCs w:val="24"/>
              </w:rPr>
              <w:t>Substantive Change</w:t>
            </w:r>
          </w:p>
        </w:tc>
        <w:tc>
          <w:tcPr>
            <w:tcW w:w="1029" w:type="pct"/>
            <w:gridSpan w:val="2"/>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E4272E" w:rsidRPr="00E4272E" w:rsidRDefault="00E4272E" w:rsidP="00E4272E">
            <w:pPr>
              <w:jc w:val="center"/>
              <w:rPr>
                <w:rFonts w:ascii="Helvetica" w:eastAsia="Times New Roman" w:hAnsi="Helvetica" w:cs="Helvetica"/>
                <w:sz w:val="24"/>
                <w:szCs w:val="24"/>
              </w:rPr>
            </w:pPr>
            <w:r w:rsidRPr="00E4272E">
              <w:rPr>
                <w:rFonts w:ascii="Helvetica" w:eastAsia="Times New Roman" w:hAnsi="Helvetica" w:cs="Helvetica"/>
                <w:b/>
                <w:bCs/>
                <w:color w:val="FFFFFF" w:themeColor="background1"/>
                <w:kern w:val="24"/>
                <w:sz w:val="24"/>
                <w:szCs w:val="24"/>
              </w:rPr>
              <w:t>2018 Performance</w:t>
            </w:r>
          </w:p>
        </w:tc>
      </w:tr>
      <w:tr w:rsidR="00E4272E" w:rsidRPr="00E4272E" w:rsidTr="00A40DC0">
        <w:trPr>
          <w:trHeight w:val="304"/>
          <w:tblHeader/>
        </w:trPr>
        <w:tc>
          <w:tcPr>
            <w:tcW w:w="2435" w:type="pct"/>
            <w:vMerge/>
            <w:tcBorders>
              <w:top w:val="single" w:sz="8" w:space="0" w:color="000000"/>
              <w:left w:val="single" w:sz="8" w:space="0" w:color="000000"/>
              <w:bottom w:val="single" w:sz="8" w:space="0" w:color="000000"/>
              <w:right w:val="single" w:sz="8" w:space="0" w:color="000000"/>
            </w:tcBorders>
            <w:vAlign w:val="center"/>
            <w:hideMark/>
          </w:tcPr>
          <w:p w:rsidR="00E4272E" w:rsidRPr="00E4272E" w:rsidRDefault="00E4272E" w:rsidP="00E4272E">
            <w:pPr>
              <w:jc w:val="left"/>
              <w:rPr>
                <w:rFonts w:ascii="Helvetica" w:eastAsia="Times New Roman" w:hAnsi="Helvetica" w:cs="Helvetica"/>
                <w:sz w:val="24"/>
                <w:szCs w:val="24"/>
              </w:rPr>
            </w:pPr>
          </w:p>
        </w:tc>
        <w:tc>
          <w:tcPr>
            <w:tcW w:w="623" w:type="pct"/>
            <w:vMerge/>
            <w:tcBorders>
              <w:top w:val="single" w:sz="8" w:space="0" w:color="000000"/>
              <w:left w:val="single" w:sz="8" w:space="0" w:color="000000"/>
              <w:bottom w:val="single" w:sz="8" w:space="0" w:color="000000"/>
              <w:right w:val="single" w:sz="8" w:space="0" w:color="000000"/>
            </w:tcBorders>
            <w:vAlign w:val="center"/>
            <w:hideMark/>
          </w:tcPr>
          <w:p w:rsidR="00E4272E" w:rsidRPr="00E4272E" w:rsidRDefault="00E4272E" w:rsidP="00E4272E">
            <w:pPr>
              <w:jc w:val="left"/>
              <w:rPr>
                <w:rFonts w:ascii="Helvetica" w:eastAsia="Times New Roman" w:hAnsi="Helvetica" w:cs="Helvetica"/>
                <w:sz w:val="24"/>
                <w:szCs w:val="24"/>
              </w:rPr>
            </w:pPr>
          </w:p>
        </w:tc>
        <w:tc>
          <w:tcPr>
            <w:tcW w:w="913" w:type="pct"/>
            <w:vMerge/>
            <w:tcBorders>
              <w:top w:val="single" w:sz="8" w:space="0" w:color="000000"/>
              <w:left w:val="single" w:sz="8" w:space="0" w:color="000000"/>
              <w:bottom w:val="single" w:sz="8" w:space="0" w:color="000000"/>
              <w:right w:val="single" w:sz="8" w:space="0" w:color="000000"/>
            </w:tcBorders>
            <w:vAlign w:val="center"/>
            <w:hideMark/>
          </w:tcPr>
          <w:p w:rsidR="00E4272E" w:rsidRPr="00E4272E" w:rsidRDefault="00E4272E" w:rsidP="00E4272E">
            <w:pPr>
              <w:jc w:val="left"/>
              <w:rPr>
                <w:rFonts w:ascii="Helvetica" w:eastAsia="Times New Roman" w:hAnsi="Helvetica" w:cs="Helvetica"/>
                <w:sz w:val="24"/>
                <w:szCs w:val="24"/>
              </w:rPr>
            </w:pPr>
          </w:p>
        </w:tc>
        <w:tc>
          <w:tcPr>
            <w:tcW w:w="558" w:type="pct"/>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E4272E" w:rsidRPr="00E4272E" w:rsidRDefault="00E4272E" w:rsidP="00E4272E">
            <w:pPr>
              <w:jc w:val="center"/>
              <w:rPr>
                <w:rFonts w:ascii="Helvetica" w:eastAsia="Times New Roman" w:hAnsi="Helvetica" w:cs="Helvetica"/>
                <w:sz w:val="24"/>
                <w:szCs w:val="24"/>
              </w:rPr>
            </w:pPr>
            <w:r w:rsidRPr="00E4272E">
              <w:rPr>
                <w:rFonts w:ascii="Helvetica" w:eastAsia="Times New Roman" w:hAnsi="Helvetica" w:cs="Helvetica"/>
                <w:b/>
                <w:bCs/>
                <w:color w:val="FFFFFF" w:themeColor="background1"/>
                <w:kern w:val="24"/>
                <w:sz w:val="24"/>
                <w:szCs w:val="24"/>
              </w:rPr>
              <w:t>Comm.</w:t>
            </w:r>
          </w:p>
        </w:tc>
        <w:tc>
          <w:tcPr>
            <w:tcW w:w="471" w:type="pct"/>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E4272E" w:rsidRPr="00E4272E" w:rsidRDefault="00E4272E" w:rsidP="00E4272E">
            <w:pPr>
              <w:jc w:val="center"/>
              <w:rPr>
                <w:rFonts w:ascii="Helvetica" w:eastAsia="Times New Roman" w:hAnsi="Helvetica" w:cs="Helvetica"/>
                <w:sz w:val="24"/>
                <w:szCs w:val="24"/>
              </w:rPr>
            </w:pPr>
            <w:r w:rsidRPr="00E4272E">
              <w:rPr>
                <w:rFonts w:ascii="Helvetica" w:eastAsia="Times New Roman" w:hAnsi="Helvetica" w:cs="Helvetica"/>
                <w:b/>
                <w:bCs/>
                <w:color w:val="FFFFFF" w:themeColor="background1"/>
                <w:kern w:val="24"/>
                <w:sz w:val="24"/>
                <w:szCs w:val="24"/>
              </w:rPr>
              <w:t>MH</w:t>
            </w:r>
          </w:p>
        </w:tc>
      </w:tr>
      <w:tr w:rsidR="00E4272E" w:rsidRPr="00E4272E" w:rsidTr="00A40DC0">
        <w:trPr>
          <w:trHeight w:val="376"/>
        </w:trPr>
        <w:tc>
          <w:tcPr>
            <w:tcW w:w="243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left"/>
              <w:rPr>
                <w:rFonts w:ascii="Helvetica" w:eastAsia="Times New Roman" w:hAnsi="Helvetica" w:cs="Helvetica"/>
                <w:sz w:val="24"/>
                <w:szCs w:val="24"/>
              </w:rPr>
            </w:pPr>
            <w:r w:rsidRPr="00E4272E">
              <w:rPr>
                <w:rFonts w:ascii="Helvetica" w:eastAsia="Times New Roman" w:hAnsi="Helvetica" w:cs="Helvetica"/>
                <w:color w:val="000000" w:themeColor="text1"/>
                <w:kern w:val="24"/>
                <w:sz w:val="24"/>
                <w:szCs w:val="24"/>
              </w:rPr>
              <w:t>CG-CAHPS (MHQP Version)</w:t>
            </w:r>
          </w:p>
        </w:tc>
        <w:tc>
          <w:tcPr>
            <w:tcW w:w="6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center"/>
              <w:rPr>
                <w:rFonts w:ascii="Helvetica" w:eastAsia="Times New Roman" w:hAnsi="Helvetica" w:cs="Helvetica"/>
                <w:sz w:val="24"/>
                <w:szCs w:val="24"/>
              </w:rPr>
            </w:pPr>
            <w:r w:rsidRPr="00E4272E">
              <w:rPr>
                <w:rFonts w:ascii="Helvetica" w:eastAsia="Times New Roman" w:hAnsi="Helvetica" w:cs="Helvetica"/>
                <w:color w:val="000000" w:themeColor="text1"/>
                <w:kern w:val="24"/>
                <w:sz w:val="24"/>
                <w:szCs w:val="24"/>
              </w:rPr>
              <w:t>4 payers</w:t>
            </w:r>
          </w:p>
        </w:tc>
        <w:tc>
          <w:tcPr>
            <w:tcW w:w="9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left"/>
              <w:rPr>
                <w:rFonts w:ascii="Helvetica" w:eastAsia="Times New Roman" w:hAnsi="Helvetica" w:cs="Helvetica"/>
                <w:sz w:val="24"/>
                <w:szCs w:val="24"/>
              </w:rPr>
            </w:pPr>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left"/>
              <w:rPr>
                <w:rFonts w:ascii="Helvetica" w:eastAsia="Times New Roman" w:hAnsi="Helvetica" w:cs="Helvetica"/>
                <w:sz w:val="24"/>
                <w:szCs w:val="24"/>
              </w:rPr>
            </w:pPr>
          </w:p>
        </w:tc>
        <w:tc>
          <w:tcPr>
            <w:tcW w:w="47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4272E" w:rsidRPr="00E4272E" w:rsidRDefault="00E4272E" w:rsidP="00E4272E">
            <w:pPr>
              <w:jc w:val="left"/>
              <w:rPr>
                <w:rFonts w:ascii="Helvetica" w:eastAsia="Times New Roman" w:hAnsi="Helvetica" w:cs="Helvetica"/>
                <w:sz w:val="24"/>
                <w:szCs w:val="24"/>
              </w:rPr>
            </w:pPr>
          </w:p>
        </w:tc>
      </w:tr>
      <w:tr w:rsidR="00E4272E" w:rsidRPr="00E4272E" w:rsidTr="00A40DC0">
        <w:trPr>
          <w:trHeight w:val="584"/>
        </w:trPr>
        <w:tc>
          <w:tcPr>
            <w:tcW w:w="243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left"/>
              <w:rPr>
                <w:rFonts w:ascii="Helvetica" w:eastAsia="Times New Roman" w:hAnsi="Helvetica" w:cs="Helvetica"/>
                <w:sz w:val="24"/>
                <w:szCs w:val="24"/>
              </w:rPr>
            </w:pPr>
            <w:r w:rsidRPr="00E4272E">
              <w:rPr>
                <w:rFonts w:ascii="Helvetica" w:eastAsia="Times New Roman" w:hAnsi="Helvetica" w:cs="Helvetica"/>
                <w:color w:val="000000" w:themeColor="text1"/>
                <w:kern w:val="24"/>
                <w:sz w:val="24"/>
                <w:szCs w:val="24"/>
              </w:rPr>
              <w:t>Comprehensive Diabetes Care: Hemoglobin A1c (HbA1c) Poor Control (&gt;9.0%)</w:t>
            </w:r>
          </w:p>
        </w:tc>
        <w:tc>
          <w:tcPr>
            <w:tcW w:w="6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center"/>
              <w:rPr>
                <w:rFonts w:ascii="Helvetica" w:eastAsia="Times New Roman" w:hAnsi="Helvetica" w:cs="Helvetica"/>
                <w:sz w:val="24"/>
                <w:szCs w:val="24"/>
              </w:rPr>
            </w:pPr>
            <w:r w:rsidRPr="00E4272E">
              <w:rPr>
                <w:rFonts w:ascii="Helvetica" w:eastAsia="Times New Roman" w:hAnsi="Helvetica" w:cs="Helvetica"/>
                <w:color w:val="000000" w:themeColor="text1"/>
                <w:kern w:val="24"/>
                <w:sz w:val="24"/>
                <w:szCs w:val="24"/>
              </w:rPr>
              <w:t>5 payers</w:t>
            </w:r>
          </w:p>
        </w:tc>
        <w:tc>
          <w:tcPr>
            <w:tcW w:w="9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left"/>
              <w:rPr>
                <w:rFonts w:ascii="Helvetica" w:eastAsia="Times New Roman" w:hAnsi="Helvetica" w:cs="Helvetica"/>
                <w:sz w:val="24"/>
                <w:szCs w:val="24"/>
              </w:rPr>
            </w:pPr>
          </w:p>
        </w:tc>
        <w:tc>
          <w:tcPr>
            <w:tcW w:w="558"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vAlign w:val="center"/>
            <w:hideMark/>
          </w:tcPr>
          <w:p w:rsidR="00E4272E" w:rsidRPr="00E4272E" w:rsidRDefault="00E4272E" w:rsidP="00E4272E">
            <w:pPr>
              <w:jc w:val="center"/>
              <w:rPr>
                <w:rFonts w:ascii="Helvetica" w:eastAsia="Times New Roman" w:hAnsi="Helvetica" w:cs="Helvetica"/>
                <w:sz w:val="24"/>
                <w:szCs w:val="24"/>
              </w:rPr>
            </w:pPr>
            <w:r w:rsidRPr="00E4272E">
              <w:rPr>
                <w:rFonts w:ascii="Helvetica" w:eastAsia="Times New Roman" w:hAnsi="Helvetica" w:cs="Helvetica"/>
                <w:b/>
                <w:bCs/>
                <w:color w:val="000000" w:themeColor="text1"/>
                <w:kern w:val="24"/>
                <w:sz w:val="24"/>
                <w:szCs w:val="24"/>
              </w:rPr>
              <w:t>22.3</w:t>
            </w:r>
            <w:r w:rsidR="00D75A0E">
              <w:rPr>
                <w:rFonts w:ascii="Helvetica" w:eastAsia="Times New Roman" w:hAnsi="Helvetica" w:cs="Helvetica"/>
                <w:b/>
                <w:bCs/>
                <w:color w:val="000000" w:themeColor="text1"/>
                <w:kern w:val="24"/>
                <w:sz w:val="24"/>
                <w:szCs w:val="24"/>
              </w:rPr>
              <w:t>*</w:t>
            </w:r>
          </w:p>
        </w:tc>
        <w:tc>
          <w:tcPr>
            <w:tcW w:w="471"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vAlign w:val="center"/>
            <w:hideMark/>
          </w:tcPr>
          <w:p w:rsidR="00E4272E" w:rsidRPr="00E4272E" w:rsidRDefault="00E4272E" w:rsidP="00E4272E">
            <w:pPr>
              <w:jc w:val="center"/>
              <w:rPr>
                <w:rFonts w:ascii="Helvetica" w:eastAsia="Times New Roman" w:hAnsi="Helvetica" w:cs="Helvetica"/>
                <w:sz w:val="24"/>
                <w:szCs w:val="24"/>
              </w:rPr>
            </w:pPr>
            <w:r w:rsidRPr="00E4272E">
              <w:rPr>
                <w:rFonts w:ascii="Helvetica" w:eastAsia="Times New Roman" w:hAnsi="Helvetica" w:cs="Helvetica"/>
                <w:b/>
                <w:bCs/>
                <w:color w:val="000000" w:themeColor="text1"/>
                <w:kern w:val="24"/>
                <w:sz w:val="24"/>
                <w:szCs w:val="24"/>
              </w:rPr>
              <w:t>31.6</w:t>
            </w:r>
            <w:r w:rsidR="00D75A0E">
              <w:rPr>
                <w:rFonts w:ascii="Helvetica" w:eastAsia="Times New Roman" w:hAnsi="Helvetica" w:cs="Helvetica"/>
                <w:b/>
                <w:bCs/>
                <w:color w:val="000000" w:themeColor="text1"/>
                <w:kern w:val="24"/>
                <w:sz w:val="24"/>
                <w:szCs w:val="24"/>
              </w:rPr>
              <w:t>*</w:t>
            </w:r>
          </w:p>
        </w:tc>
      </w:tr>
      <w:tr w:rsidR="00E4272E" w:rsidRPr="00E4272E" w:rsidTr="00A40DC0">
        <w:trPr>
          <w:trHeight w:val="367"/>
        </w:trPr>
        <w:tc>
          <w:tcPr>
            <w:tcW w:w="243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left"/>
              <w:rPr>
                <w:rFonts w:ascii="Helvetica" w:eastAsia="Times New Roman" w:hAnsi="Helvetica" w:cs="Helvetica"/>
                <w:sz w:val="24"/>
                <w:szCs w:val="24"/>
              </w:rPr>
            </w:pPr>
            <w:r w:rsidRPr="00E4272E">
              <w:rPr>
                <w:rFonts w:ascii="Helvetica" w:eastAsia="Times New Roman" w:hAnsi="Helvetica" w:cs="Helvetica"/>
                <w:color w:val="000000" w:themeColor="text1"/>
                <w:kern w:val="24"/>
                <w:sz w:val="24"/>
                <w:szCs w:val="24"/>
              </w:rPr>
              <w:t>Controlling High Blood Pressure</w:t>
            </w:r>
          </w:p>
        </w:tc>
        <w:tc>
          <w:tcPr>
            <w:tcW w:w="6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center"/>
              <w:rPr>
                <w:rFonts w:ascii="Helvetica" w:eastAsia="Times New Roman" w:hAnsi="Helvetica" w:cs="Helvetica"/>
                <w:sz w:val="24"/>
                <w:szCs w:val="24"/>
              </w:rPr>
            </w:pPr>
            <w:r w:rsidRPr="00E4272E">
              <w:rPr>
                <w:rFonts w:ascii="Helvetica" w:eastAsia="Times New Roman" w:hAnsi="Helvetica" w:cs="Helvetica"/>
                <w:color w:val="000000" w:themeColor="text1"/>
                <w:kern w:val="24"/>
                <w:sz w:val="24"/>
                <w:szCs w:val="24"/>
              </w:rPr>
              <w:t>4 payers</w:t>
            </w:r>
          </w:p>
        </w:tc>
        <w:tc>
          <w:tcPr>
            <w:tcW w:w="9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left"/>
              <w:rPr>
                <w:rFonts w:ascii="Helvetica" w:eastAsia="Times New Roman" w:hAnsi="Helvetica" w:cs="Helvetica"/>
                <w:sz w:val="24"/>
                <w:szCs w:val="24"/>
              </w:rPr>
            </w:pPr>
          </w:p>
        </w:tc>
        <w:tc>
          <w:tcPr>
            <w:tcW w:w="558" w:type="pct"/>
            <w:tcBorders>
              <w:top w:val="single" w:sz="8" w:space="0" w:color="000000"/>
              <w:left w:val="single" w:sz="8" w:space="0" w:color="000000"/>
              <w:bottom w:val="single" w:sz="8" w:space="0" w:color="000000"/>
              <w:right w:val="single" w:sz="8" w:space="0" w:color="000000"/>
            </w:tcBorders>
            <w:shd w:val="clear" w:color="auto" w:fill="70AD47"/>
            <w:tcMar>
              <w:top w:w="72" w:type="dxa"/>
              <w:left w:w="144" w:type="dxa"/>
              <w:bottom w:w="72" w:type="dxa"/>
              <w:right w:w="144" w:type="dxa"/>
            </w:tcMar>
            <w:vAlign w:val="center"/>
            <w:hideMark/>
          </w:tcPr>
          <w:p w:rsidR="00E4272E" w:rsidRPr="00E4272E" w:rsidRDefault="00E4272E" w:rsidP="00E4272E">
            <w:pPr>
              <w:jc w:val="center"/>
              <w:rPr>
                <w:rFonts w:ascii="Helvetica" w:eastAsia="Times New Roman" w:hAnsi="Helvetica" w:cs="Helvetica"/>
                <w:sz w:val="24"/>
                <w:szCs w:val="24"/>
              </w:rPr>
            </w:pPr>
            <w:r w:rsidRPr="00E4272E">
              <w:rPr>
                <w:rFonts w:ascii="Helvetica" w:eastAsia="Times New Roman" w:hAnsi="Helvetica" w:cs="Helvetica"/>
                <w:b/>
                <w:bCs/>
                <w:color w:val="000000" w:themeColor="text1"/>
                <w:kern w:val="24"/>
                <w:sz w:val="24"/>
                <w:szCs w:val="24"/>
              </w:rPr>
              <w:t>74.3</w:t>
            </w:r>
            <w:r w:rsidR="00D75A0E">
              <w:rPr>
                <w:rFonts w:ascii="Helvetica" w:eastAsia="Times New Roman" w:hAnsi="Helvetica" w:cs="Helvetica"/>
                <w:b/>
                <w:bCs/>
                <w:color w:val="000000" w:themeColor="text1"/>
                <w:kern w:val="24"/>
                <w:sz w:val="24"/>
                <w:szCs w:val="24"/>
              </w:rPr>
              <w:t>**</w:t>
            </w:r>
          </w:p>
        </w:tc>
        <w:tc>
          <w:tcPr>
            <w:tcW w:w="471"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vAlign w:val="center"/>
            <w:hideMark/>
          </w:tcPr>
          <w:p w:rsidR="00E4272E" w:rsidRPr="00E4272E" w:rsidRDefault="00E4272E" w:rsidP="00E4272E">
            <w:pPr>
              <w:jc w:val="center"/>
              <w:rPr>
                <w:rFonts w:ascii="Helvetica" w:eastAsia="Times New Roman" w:hAnsi="Helvetica" w:cs="Helvetica"/>
                <w:sz w:val="24"/>
                <w:szCs w:val="24"/>
              </w:rPr>
            </w:pPr>
            <w:r w:rsidRPr="00E4272E">
              <w:rPr>
                <w:rFonts w:ascii="Helvetica" w:eastAsia="Times New Roman" w:hAnsi="Helvetica" w:cs="Helvetica"/>
                <w:b/>
                <w:bCs/>
                <w:color w:val="000000" w:themeColor="text1"/>
                <w:kern w:val="24"/>
                <w:sz w:val="24"/>
                <w:szCs w:val="24"/>
              </w:rPr>
              <w:t>66.7</w:t>
            </w:r>
            <w:r w:rsidR="00D75A0E">
              <w:rPr>
                <w:rFonts w:ascii="Helvetica" w:eastAsia="Times New Roman" w:hAnsi="Helvetica" w:cs="Helvetica"/>
                <w:b/>
                <w:bCs/>
                <w:color w:val="000000" w:themeColor="text1"/>
                <w:kern w:val="24"/>
                <w:sz w:val="24"/>
                <w:szCs w:val="24"/>
              </w:rPr>
              <w:t>*</w:t>
            </w:r>
          </w:p>
        </w:tc>
      </w:tr>
      <w:tr w:rsidR="00E4272E" w:rsidRPr="00E4272E" w:rsidTr="00A40DC0">
        <w:trPr>
          <w:trHeight w:val="584"/>
        </w:trPr>
        <w:tc>
          <w:tcPr>
            <w:tcW w:w="243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left"/>
              <w:rPr>
                <w:rFonts w:ascii="Helvetica" w:eastAsia="Times New Roman" w:hAnsi="Helvetica" w:cs="Helvetica"/>
                <w:sz w:val="24"/>
                <w:szCs w:val="24"/>
              </w:rPr>
            </w:pPr>
            <w:r w:rsidRPr="00E4272E">
              <w:rPr>
                <w:rFonts w:ascii="Helvetica" w:eastAsia="Times New Roman" w:hAnsi="Helvetica" w:cs="Helvetica"/>
                <w:color w:val="000000" w:themeColor="text1"/>
                <w:kern w:val="24"/>
                <w:sz w:val="24"/>
                <w:szCs w:val="24"/>
              </w:rPr>
              <w:t>Depression Screening and Follow-Up for Adolescents and Adults (NCQA)</w:t>
            </w:r>
          </w:p>
        </w:tc>
        <w:tc>
          <w:tcPr>
            <w:tcW w:w="6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center"/>
              <w:rPr>
                <w:rFonts w:ascii="Helvetica" w:eastAsia="Times New Roman" w:hAnsi="Helvetica" w:cs="Helvetica"/>
                <w:sz w:val="24"/>
                <w:szCs w:val="24"/>
              </w:rPr>
            </w:pPr>
            <w:r w:rsidRPr="00E4272E">
              <w:rPr>
                <w:rFonts w:ascii="Helvetica" w:eastAsia="Times New Roman" w:hAnsi="Helvetica" w:cs="Helvetica"/>
                <w:color w:val="000000" w:themeColor="text1"/>
                <w:kern w:val="24"/>
                <w:sz w:val="24"/>
                <w:szCs w:val="24"/>
              </w:rPr>
              <w:t>0 payers</w:t>
            </w:r>
          </w:p>
        </w:tc>
        <w:tc>
          <w:tcPr>
            <w:tcW w:w="9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left"/>
              <w:rPr>
                <w:rFonts w:ascii="Helvetica" w:eastAsia="Times New Roman" w:hAnsi="Helvetica" w:cs="Helvetica"/>
                <w:sz w:val="24"/>
                <w:szCs w:val="24"/>
              </w:rPr>
            </w:pPr>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left"/>
              <w:rPr>
                <w:rFonts w:ascii="Helvetica" w:eastAsia="Times New Roman" w:hAnsi="Helvetica" w:cs="Helvetica"/>
                <w:sz w:val="24"/>
                <w:szCs w:val="24"/>
              </w:rPr>
            </w:pPr>
          </w:p>
        </w:tc>
        <w:tc>
          <w:tcPr>
            <w:tcW w:w="47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4272E" w:rsidRPr="00E4272E" w:rsidRDefault="00E4272E" w:rsidP="00E4272E">
            <w:pPr>
              <w:jc w:val="left"/>
              <w:rPr>
                <w:rFonts w:ascii="Helvetica" w:eastAsia="Times New Roman" w:hAnsi="Helvetica" w:cs="Helvetica"/>
                <w:sz w:val="24"/>
                <w:szCs w:val="24"/>
              </w:rPr>
            </w:pPr>
          </w:p>
        </w:tc>
      </w:tr>
      <w:tr w:rsidR="00E4272E" w:rsidRPr="00E4272E" w:rsidTr="00A40DC0">
        <w:trPr>
          <w:trHeight w:val="584"/>
        </w:trPr>
        <w:tc>
          <w:tcPr>
            <w:tcW w:w="243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left"/>
              <w:rPr>
                <w:rFonts w:ascii="Helvetica" w:eastAsia="Times New Roman" w:hAnsi="Helvetica" w:cs="Helvetica"/>
                <w:sz w:val="24"/>
                <w:szCs w:val="24"/>
              </w:rPr>
            </w:pPr>
            <w:r w:rsidRPr="00E4272E">
              <w:rPr>
                <w:rFonts w:ascii="Helvetica" w:eastAsia="Times New Roman" w:hAnsi="Helvetica" w:cs="Helvetica"/>
                <w:color w:val="000000" w:themeColor="text1"/>
                <w:kern w:val="24"/>
                <w:sz w:val="24"/>
                <w:szCs w:val="24"/>
              </w:rPr>
              <w:t>Depression Response at Six or Twelve Months -Progress Towards Remission (MNCM)</w:t>
            </w:r>
          </w:p>
        </w:tc>
        <w:tc>
          <w:tcPr>
            <w:tcW w:w="6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center"/>
              <w:rPr>
                <w:rFonts w:ascii="Helvetica" w:eastAsia="Times New Roman" w:hAnsi="Helvetica" w:cs="Helvetica"/>
                <w:sz w:val="24"/>
                <w:szCs w:val="24"/>
              </w:rPr>
            </w:pPr>
            <w:r w:rsidRPr="00E4272E">
              <w:rPr>
                <w:rFonts w:ascii="Helvetica" w:eastAsia="Times New Roman" w:hAnsi="Helvetica" w:cs="Helvetica"/>
                <w:color w:val="000000" w:themeColor="text1"/>
                <w:kern w:val="24"/>
                <w:sz w:val="24"/>
                <w:szCs w:val="24"/>
              </w:rPr>
              <w:t>0 payers</w:t>
            </w:r>
          </w:p>
        </w:tc>
        <w:tc>
          <w:tcPr>
            <w:tcW w:w="9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left"/>
              <w:rPr>
                <w:rFonts w:ascii="Helvetica" w:eastAsia="Times New Roman" w:hAnsi="Helvetica" w:cs="Helvetica"/>
                <w:sz w:val="24"/>
                <w:szCs w:val="24"/>
              </w:rPr>
            </w:pPr>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left"/>
              <w:rPr>
                <w:rFonts w:ascii="Helvetica" w:eastAsia="Times New Roman" w:hAnsi="Helvetica" w:cs="Helvetica"/>
                <w:sz w:val="24"/>
                <w:szCs w:val="24"/>
              </w:rPr>
            </w:pPr>
          </w:p>
        </w:tc>
        <w:tc>
          <w:tcPr>
            <w:tcW w:w="47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4272E" w:rsidRPr="00E4272E" w:rsidRDefault="00E4272E" w:rsidP="00E4272E">
            <w:pPr>
              <w:jc w:val="left"/>
              <w:rPr>
                <w:rFonts w:ascii="Helvetica" w:eastAsia="Times New Roman" w:hAnsi="Helvetica" w:cs="Helvetica"/>
                <w:sz w:val="24"/>
                <w:szCs w:val="24"/>
              </w:rPr>
            </w:pPr>
          </w:p>
        </w:tc>
      </w:tr>
      <w:tr w:rsidR="00E4272E" w:rsidRPr="00E4272E" w:rsidTr="00A40DC0">
        <w:trPr>
          <w:trHeight w:val="584"/>
        </w:trPr>
        <w:tc>
          <w:tcPr>
            <w:tcW w:w="243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left"/>
              <w:rPr>
                <w:rFonts w:ascii="Helvetica" w:eastAsia="Times New Roman" w:hAnsi="Helvetica" w:cs="Helvetica"/>
                <w:sz w:val="24"/>
                <w:szCs w:val="24"/>
              </w:rPr>
            </w:pPr>
            <w:r w:rsidRPr="00E4272E">
              <w:rPr>
                <w:rFonts w:ascii="Helvetica" w:eastAsia="Times New Roman" w:hAnsi="Helvetica" w:cs="Helvetica"/>
                <w:color w:val="000000" w:themeColor="text1"/>
                <w:kern w:val="24"/>
                <w:sz w:val="24"/>
                <w:szCs w:val="24"/>
              </w:rPr>
              <w:t>Depression Remission at Six or Twelve Months (MNCM)</w:t>
            </w:r>
          </w:p>
        </w:tc>
        <w:tc>
          <w:tcPr>
            <w:tcW w:w="6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center"/>
              <w:rPr>
                <w:rFonts w:ascii="Helvetica" w:eastAsia="Times New Roman" w:hAnsi="Helvetica" w:cs="Helvetica"/>
                <w:sz w:val="24"/>
                <w:szCs w:val="24"/>
              </w:rPr>
            </w:pPr>
            <w:r w:rsidRPr="00E4272E">
              <w:rPr>
                <w:rFonts w:ascii="Helvetica" w:eastAsia="Times New Roman" w:hAnsi="Helvetica" w:cs="Helvetica"/>
                <w:color w:val="000000" w:themeColor="text1"/>
                <w:kern w:val="24"/>
                <w:sz w:val="24"/>
                <w:szCs w:val="24"/>
              </w:rPr>
              <w:t>1 payer</w:t>
            </w:r>
          </w:p>
        </w:tc>
        <w:tc>
          <w:tcPr>
            <w:tcW w:w="9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left"/>
              <w:rPr>
                <w:rFonts w:ascii="Helvetica" w:eastAsia="Times New Roman" w:hAnsi="Helvetica" w:cs="Helvetica"/>
                <w:sz w:val="24"/>
                <w:szCs w:val="24"/>
              </w:rPr>
            </w:pPr>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left"/>
              <w:rPr>
                <w:rFonts w:ascii="Helvetica" w:eastAsia="Times New Roman" w:hAnsi="Helvetica" w:cs="Helvetica"/>
                <w:sz w:val="24"/>
                <w:szCs w:val="24"/>
              </w:rPr>
            </w:pPr>
          </w:p>
        </w:tc>
        <w:tc>
          <w:tcPr>
            <w:tcW w:w="47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4272E" w:rsidRPr="00E4272E" w:rsidRDefault="00E4272E" w:rsidP="00E4272E">
            <w:pPr>
              <w:jc w:val="left"/>
              <w:rPr>
                <w:rFonts w:ascii="Helvetica" w:eastAsia="Times New Roman" w:hAnsi="Helvetica" w:cs="Helvetica"/>
                <w:sz w:val="24"/>
                <w:szCs w:val="24"/>
              </w:rPr>
            </w:pPr>
          </w:p>
        </w:tc>
      </w:tr>
      <w:tr w:rsidR="00E4272E" w:rsidRPr="00E4272E" w:rsidTr="00A40DC0">
        <w:trPr>
          <w:trHeight w:val="584"/>
        </w:trPr>
        <w:tc>
          <w:tcPr>
            <w:tcW w:w="243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left"/>
              <w:rPr>
                <w:rFonts w:ascii="Helvetica" w:eastAsia="Times New Roman" w:hAnsi="Helvetica" w:cs="Helvetica"/>
                <w:sz w:val="24"/>
                <w:szCs w:val="24"/>
              </w:rPr>
            </w:pPr>
            <w:r w:rsidRPr="00E4272E">
              <w:rPr>
                <w:rFonts w:ascii="Helvetica" w:eastAsia="Times New Roman" w:hAnsi="Helvetica" w:cs="Helvetica"/>
                <w:color w:val="000000" w:themeColor="text1"/>
                <w:kern w:val="24"/>
                <w:sz w:val="24"/>
                <w:szCs w:val="24"/>
              </w:rPr>
              <w:t>Depression Remission and Response for Adolescents and Adults (NCQA)</w:t>
            </w:r>
          </w:p>
        </w:tc>
        <w:tc>
          <w:tcPr>
            <w:tcW w:w="6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center"/>
              <w:rPr>
                <w:rFonts w:ascii="Helvetica" w:eastAsia="Times New Roman" w:hAnsi="Helvetica" w:cs="Helvetica"/>
                <w:sz w:val="24"/>
                <w:szCs w:val="24"/>
              </w:rPr>
            </w:pPr>
            <w:r w:rsidRPr="00E4272E">
              <w:rPr>
                <w:rFonts w:ascii="Helvetica" w:eastAsia="Times New Roman" w:hAnsi="Helvetica" w:cs="Helvetica"/>
                <w:color w:val="000000" w:themeColor="text1"/>
                <w:kern w:val="24"/>
                <w:sz w:val="24"/>
                <w:szCs w:val="24"/>
              </w:rPr>
              <w:t>1 payer</w:t>
            </w:r>
          </w:p>
        </w:tc>
        <w:tc>
          <w:tcPr>
            <w:tcW w:w="9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left"/>
              <w:rPr>
                <w:rFonts w:ascii="Helvetica" w:eastAsia="Times New Roman" w:hAnsi="Helvetica" w:cs="Helvetica"/>
                <w:sz w:val="24"/>
                <w:szCs w:val="24"/>
              </w:rPr>
            </w:pPr>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left"/>
              <w:rPr>
                <w:rFonts w:ascii="Helvetica" w:eastAsia="Times New Roman" w:hAnsi="Helvetica" w:cs="Helvetica"/>
                <w:sz w:val="24"/>
                <w:szCs w:val="24"/>
              </w:rPr>
            </w:pPr>
          </w:p>
        </w:tc>
        <w:tc>
          <w:tcPr>
            <w:tcW w:w="47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4272E" w:rsidRPr="00E4272E" w:rsidRDefault="00E4272E" w:rsidP="00E4272E">
            <w:pPr>
              <w:jc w:val="left"/>
              <w:rPr>
                <w:rFonts w:ascii="Helvetica" w:eastAsia="Times New Roman" w:hAnsi="Helvetica" w:cs="Helvetica"/>
                <w:sz w:val="24"/>
                <w:szCs w:val="24"/>
              </w:rPr>
            </w:pPr>
          </w:p>
        </w:tc>
      </w:tr>
      <w:tr w:rsidR="00E4272E" w:rsidRPr="00E4272E" w:rsidTr="00A40DC0">
        <w:trPr>
          <w:trHeight w:val="584"/>
        </w:trPr>
        <w:tc>
          <w:tcPr>
            <w:tcW w:w="243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left"/>
              <w:rPr>
                <w:rFonts w:ascii="Helvetica" w:eastAsia="Times New Roman" w:hAnsi="Helvetica" w:cs="Helvetica"/>
                <w:sz w:val="24"/>
                <w:szCs w:val="24"/>
              </w:rPr>
            </w:pPr>
            <w:r w:rsidRPr="00E4272E">
              <w:rPr>
                <w:rFonts w:ascii="Helvetica" w:eastAsia="Times New Roman" w:hAnsi="Helvetica" w:cs="Helvetica"/>
                <w:color w:val="000000" w:themeColor="text1"/>
                <w:kern w:val="24"/>
                <w:sz w:val="24"/>
                <w:szCs w:val="24"/>
              </w:rPr>
              <w:t>Screening for Depression and Follow-up Plan (CMS)</w:t>
            </w:r>
            <w:r w:rsidRPr="00E4272E">
              <w:rPr>
                <w:rFonts w:ascii="Helvetica" w:eastAsia="Times New Roman" w:hAnsi="Helvetica" w:cs="Helvetica"/>
                <w:color w:val="000000" w:themeColor="text1"/>
                <w:kern w:val="24"/>
                <w:position w:val="10"/>
                <w:sz w:val="24"/>
                <w:szCs w:val="24"/>
                <w:vertAlign w:val="superscript"/>
              </w:rPr>
              <w:t>1</w:t>
            </w:r>
          </w:p>
        </w:tc>
        <w:tc>
          <w:tcPr>
            <w:tcW w:w="6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center"/>
              <w:rPr>
                <w:rFonts w:ascii="Helvetica" w:eastAsia="Times New Roman" w:hAnsi="Helvetica" w:cs="Helvetica"/>
                <w:sz w:val="24"/>
                <w:szCs w:val="24"/>
              </w:rPr>
            </w:pPr>
            <w:r w:rsidRPr="00E4272E">
              <w:rPr>
                <w:rFonts w:ascii="Helvetica" w:eastAsia="Times New Roman" w:hAnsi="Helvetica" w:cs="Helvetica"/>
                <w:color w:val="000000" w:themeColor="text1"/>
                <w:kern w:val="24"/>
                <w:sz w:val="24"/>
                <w:szCs w:val="24"/>
              </w:rPr>
              <w:t>2 payers</w:t>
            </w:r>
          </w:p>
        </w:tc>
        <w:tc>
          <w:tcPr>
            <w:tcW w:w="9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left"/>
              <w:rPr>
                <w:rFonts w:ascii="Helvetica" w:eastAsia="Times New Roman" w:hAnsi="Helvetica" w:cs="Helvetica"/>
                <w:sz w:val="24"/>
                <w:szCs w:val="24"/>
              </w:rPr>
            </w:pPr>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272E" w:rsidRPr="00E4272E" w:rsidRDefault="00E4272E" w:rsidP="00E4272E">
            <w:pPr>
              <w:jc w:val="left"/>
              <w:rPr>
                <w:rFonts w:ascii="Helvetica" w:eastAsia="Times New Roman" w:hAnsi="Helvetica" w:cs="Helvetica"/>
                <w:sz w:val="24"/>
                <w:szCs w:val="24"/>
              </w:rPr>
            </w:pPr>
          </w:p>
        </w:tc>
        <w:tc>
          <w:tcPr>
            <w:tcW w:w="47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4272E" w:rsidRPr="00E4272E" w:rsidRDefault="00E4272E" w:rsidP="00E4272E">
            <w:pPr>
              <w:jc w:val="left"/>
              <w:rPr>
                <w:rFonts w:ascii="Helvetica" w:eastAsia="Times New Roman" w:hAnsi="Helvetica" w:cs="Helvetica"/>
                <w:sz w:val="24"/>
                <w:szCs w:val="24"/>
              </w:rPr>
            </w:pPr>
          </w:p>
        </w:tc>
      </w:tr>
    </w:tbl>
    <w:p w:rsidR="00E4272E" w:rsidRPr="00E4272E" w:rsidRDefault="00E4272E" w:rsidP="00E4272E">
      <w:pPr>
        <w:jc w:val="left"/>
        <w:rPr>
          <w:rFonts w:ascii="Helvetica" w:hAnsi="Helvetica"/>
          <w:sz w:val="24"/>
          <w:szCs w:val="24"/>
        </w:rPr>
      </w:pPr>
    </w:p>
    <w:p w:rsidR="00AC0C8C" w:rsidRPr="00D75A0E" w:rsidRDefault="00AC0C8C" w:rsidP="00AC0C8C">
      <w:pPr>
        <w:jc w:val="left"/>
        <w:rPr>
          <w:rFonts w:ascii="Helvetica" w:hAnsi="Helvetica"/>
          <w:sz w:val="24"/>
          <w:szCs w:val="24"/>
        </w:rPr>
      </w:pPr>
      <w:r>
        <w:rPr>
          <w:rFonts w:ascii="Helvetica" w:hAnsi="Helvetica"/>
          <w:sz w:val="24"/>
          <w:szCs w:val="24"/>
        </w:rPr>
        <w:t>**</w:t>
      </w:r>
      <w:r w:rsidRPr="00AC0C8C">
        <w:rPr>
          <w:rFonts w:ascii="Arial" w:eastAsia="Times New Roman" w:hAnsi="Arial" w:cs="Arial"/>
          <w:color w:val="000000"/>
          <w:kern w:val="24"/>
          <w:sz w:val="24"/>
          <w:szCs w:val="24"/>
        </w:rPr>
        <w:t>25th - 50th</w:t>
      </w:r>
    </w:p>
    <w:p w:rsidR="00D75A0E" w:rsidRDefault="00D75A0E" w:rsidP="00E4272E">
      <w:pPr>
        <w:jc w:val="left"/>
        <w:rPr>
          <w:rFonts w:ascii="Helvetica" w:hAnsi="Helvetica"/>
          <w:sz w:val="24"/>
          <w:szCs w:val="24"/>
        </w:rPr>
      </w:pPr>
      <w:r>
        <w:rPr>
          <w:rFonts w:ascii="Helvetica" w:hAnsi="Helvetica"/>
          <w:sz w:val="24"/>
          <w:szCs w:val="24"/>
        </w:rPr>
        <w:t>*</w:t>
      </w:r>
      <w:r w:rsidRPr="00E4272E">
        <w:rPr>
          <w:rFonts w:ascii="Helvetica" w:eastAsia="Times New Roman" w:hAnsi="Helvetica" w:cs="Helvetica"/>
          <w:color w:val="000000"/>
          <w:kern w:val="24"/>
          <w:sz w:val="24"/>
          <w:szCs w:val="24"/>
        </w:rPr>
        <w:t>75th - 90th</w:t>
      </w:r>
    </w:p>
    <w:p w:rsidR="002E0D79" w:rsidRPr="00E4272E" w:rsidRDefault="00E4272E" w:rsidP="00E4272E">
      <w:pPr>
        <w:jc w:val="left"/>
        <w:rPr>
          <w:rFonts w:ascii="Helvetica" w:hAnsi="Helvetica"/>
          <w:sz w:val="24"/>
          <w:szCs w:val="24"/>
        </w:rPr>
      </w:pPr>
      <w:r w:rsidRPr="00E4272E">
        <w:rPr>
          <w:rFonts w:ascii="Helvetica" w:hAnsi="Helvetica"/>
          <w:sz w:val="24"/>
          <w:szCs w:val="24"/>
          <w:vertAlign w:val="superscript"/>
        </w:rPr>
        <w:t>1</w:t>
      </w:r>
      <w:r w:rsidRPr="00E4272E">
        <w:rPr>
          <w:rFonts w:ascii="Helvetica" w:hAnsi="Helvetica"/>
          <w:sz w:val="24"/>
          <w:szCs w:val="24"/>
        </w:rPr>
        <w:t>Recommended as a Core Measure for 2021.</w:t>
      </w:r>
    </w:p>
    <w:p w:rsidR="002E0D79" w:rsidRDefault="002E0D79" w:rsidP="00CA1C68">
      <w:pPr>
        <w:pStyle w:val="Heading1"/>
        <w:tabs>
          <w:tab w:val="left" w:pos="2296"/>
        </w:tabs>
      </w:pPr>
      <w:r w:rsidRPr="00A35C58">
        <w:lastRenderedPageBreak/>
        <w:t xml:space="preserve">Slide </w:t>
      </w:r>
      <w:r w:rsidR="00D75A0E">
        <w:t>36</w:t>
      </w:r>
    </w:p>
    <w:p w:rsidR="002E0D79" w:rsidRDefault="002E0D79" w:rsidP="00CA1C68">
      <w:pPr>
        <w:pStyle w:val="Heading2"/>
      </w:pPr>
      <w:r w:rsidRPr="002E0D79">
        <w:t>Overview of Quality Measures in Use in Any Global Budget Contract by Commercial Payers</w:t>
      </w:r>
    </w:p>
    <w:tbl>
      <w:tblPr>
        <w:tblStyle w:val="TableGrid"/>
        <w:tblW w:w="5000" w:type="pct"/>
        <w:tblCellMar>
          <w:left w:w="0" w:type="dxa"/>
          <w:right w:w="0" w:type="dxa"/>
        </w:tblCellMar>
        <w:tblLook w:val="0420" w:firstRow="1" w:lastRow="0" w:firstColumn="0" w:lastColumn="0" w:noHBand="0" w:noVBand="1"/>
        <w:tblCaption w:val="Overview of Quality Measures in Use in Any Global Budget Contract by Commercial Payers"/>
      </w:tblPr>
      <w:tblGrid>
        <w:gridCol w:w="4655"/>
        <w:gridCol w:w="1275"/>
        <w:gridCol w:w="1734"/>
        <w:gridCol w:w="1102"/>
        <w:gridCol w:w="882"/>
      </w:tblGrid>
      <w:tr w:rsidR="00D75A0E" w:rsidRPr="00D75A0E" w:rsidTr="00A40DC0">
        <w:trPr>
          <w:trHeight w:val="584"/>
          <w:tblHeader/>
        </w:trPr>
        <w:tc>
          <w:tcPr>
            <w:tcW w:w="2428" w:type="pct"/>
            <w:vMerge w:val="restart"/>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D75A0E" w:rsidRPr="00D75A0E" w:rsidRDefault="00D75A0E" w:rsidP="00D75A0E">
            <w:pPr>
              <w:jc w:val="center"/>
              <w:rPr>
                <w:rFonts w:ascii="Helvetica" w:eastAsia="Times New Roman" w:hAnsi="Helvetica" w:cs="Helvetica"/>
                <w:sz w:val="24"/>
                <w:szCs w:val="24"/>
              </w:rPr>
            </w:pPr>
            <w:r w:rsidRPr="00D75A0E">
              <w:rPr>
                <w:rFonts w:ascii="Helvetica" w:eastAsia="Times New Roman" w:hAnsi="Helvetica" w:cs="Helvetica"/>
                <w:b/>
                <w:bCs/>
                <w:color w:val="FFFFFF" w:themeColor="background1"/>
                <w:kern w:val="24"/>
                <w:sz w:val="24"/>
                <w:szCs w:val="24"/>
              </w:rPr>
              <w:t>Measure</w:t>
            </w:r>
          </w:p>
        </w:tc>
        <w:tc>
          <w:tcPr>
            <w:tcW w:w="626" w:type="pct"/>
            <w:vMerge w:val="restart"/>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D75A0E" w:rsidRPr="00D75A0E" w:rsidRDefault="00D75A0E" w:rsidP="00D75A0E">
            <w:pPr>
              <w:jc w:val="center"/>
              <w:rPr>
                <w:rFonts w:ascii="Helvetica" w:eastAsia="Times New Roman" w:hAnsi="Helvetica" w:cs="Helvetica"/>
                <w:sz w:val="24"/>
                <w:szCs w:val="24"/>
              </w:rPr>
            </w:pPr>
            <w:r w:rsidRPr="00D75A0E">
              <w:rPr>
                <w:rFonts w:ascii="Helvetica" w:eastAsia="Times New Roman" w:hAnsi="Helvetica" w:cs="Helvetica"/>
                <w:b/>
                <w:bCs/>
                <w:color w:val="FFFFFF" w:themeColor="background1"/>
                <w:kern w:val="24"/>
                <w:sz w:val="24"/>
                <w:szCs w:val="24"/>
              </w:rPr>
              <w:t>Contract Use 2020</w:t>
            </w:r>
          </w:p>
        </w:tc>
        <w:tc>
          <w:tcPr>
            <w:tcW w:w="914" w:type="pct"/>
            <w:vMerge w:val="restart"/>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D75A0E" w:rsidRPr="00D75A0E" w:rsidRDefault="00D75A0E" w:rsidP="00D75A0E">
            <w:pPr>
              <w:jc w:val="center"/>
              <w:rPr>
                <w:rFonts w:ascii="Helvetica" w:eastAsia="Times New Roman" w:hAnsi="Helvetica" w:cs="Helvetica"/>
                <w:sz w:val="24"/>
                <w:szCs w:val="24"/>
              </w:rPr>
            </w:pPr>
            <w:r w:rsidRPr="00D75A0E">
              <w:rPr>
                <w:rFonts w:ascii="Helvetica" w:eastAsia="Times New Roman" w:hAnsi="Helvetica" w:cs="Helvetica"/>
                <w:b/>
                <w:bCs/>
                <w:color w:val="FFFFFF" w:themeColor="background1"/>
                <w:kern w:val="24"/>
                <w:sz w:val="24"/>
                <w:szCs w:val="24"/>
              </w:rPr>
              <w:t>Substantive Change</w:t>
            </w:r>
          </w:p>
        </w:tc>
        <w:tc>
          <w:tcPr>
            <w:tcW w:w="1032" w:type="pct"/>
            <w:gridSpan w:val="2"/>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D75A0E" w:rsidRPr="00D75A0E" w:rsidRDefault="00D75A0E" w:rsidP="00D75A0E">
            <w:pPr>
              <w:jc w:val="center"/>
              <w:rPr>
                <w:rFonts w:ascii="Helvetica" w:eastAsia="Times New Roman" w:hAnsi="Helvetica" w:cs="Helvetica"/>
                <w:sz w:val="24"/>
                <w:szCs w:val="24"/>
              </w:rPr>
            </w:pPr>
            <w:r w:rsidRPr="00D75A0E">
              <w:rPr>
                <w:rFonts w:ascii="Helvetica" w:eastAsia="Times New Roman" w:hAnsi="Helvetica" w:cs="Helvetica"/>
                <w:b/>
                <w:bCs/>
                <w:color w:val="FFFFFF" w:themeColor="background1"/>
                <w:kern w:val="24"/>
                <w:sz w:val="24"/>
                <w:szCs w:val="24"/>
              </w:rPr>
              <w:t>2018 Performance</w:t>
            </w:r>
          </w:p>
        </w:tc>
      </w:tr>
      <w:tr w:rsidR="00D75A0E" w:rsidRPr="00D75A0E" w:rsidTr="00A40DC0">
        <w:trPr>
          <w:trHeight w:val="403"/>
          <w:tblHeader/>
        </w:trPr>
        <w:tc>
          <w:tcPr>
            <w:tcW w:w="2428" w:type="pct"/>
            <w:vMerge/>
            <w:tcBorders>
              <w:top w:val="single" w:sz="8" w:space="0" w:color="000000"/>
              <w:left w:val="single" w:sz="8" w:space="0" w:color="000000"/>
              <w:bottom w:val="single" w:sz="8" w:space="0" w:color="000000"/>
              <w:right w:val="single" w:sz="8" w:space="0" w:color="000000"/>
            </w:tcBorders>
            <w:vAlign w:val="center"/>
            <w:hideMark/>
          </w:tcPr>
          <w:p w:rsidR="00D75A0E" w:rsidRPr="00D75A0E" w:rsidRDefault="00D75A0E" w:rsidP="00D75A0E">
            <w:pPr>
              <w:jc w:val="left"/>
              <w:rPr>
                <w:rFonts w:ascii="Helvetica" w:eastAsia="Times New Roman" w:hAnsi="Helvetica" w:cs="Helvetica"/>
                <w:sz w:val="24"/>
                <w:szCs w:val="24"/>
              </w:rPr>
            </w:pPr>
          </w:p>
        </w:tc>
        <w:tc>
          <w:tcPr>
            <w:tcW w:w="626" w:type="pct"/>
            <w:vMerge/>
            <w:tcBorders>
              <w:top w:val="single" w:sz="8" w:space="0" w:color="000000"/>
              <w:left w:val="single" w:sz="8" w:space="0" w:color="000000"/>
              <w:bottom w:val="single" w:sz="8" w:space="0" w:color="000000"/>
              <w:right w:val="single" w:sz="8" w:space="0" w:color="000000"/>
            </w:tcBorders>
            <w:vAlign w:val="center"/>
            <w:hideMark/>
          </w:tcPr>
          <w:p w:rsidR="00D75A0E" w:rsidRPr="00D75A0E" w:rsidRDefault="00D75A0E" w:rsidP="00D75A0E">
            <w:pPr>
              <w:jc w:val="left"/>
              <w:rPr>
                <w:rFonts w:ascii="Helvetica" w:eastAsia="Times New Roman" w:hAnsi="Helvetica" w:cs="Helvetica"/>
                <w:sz w:val="24"/>
                <w:szCs w:val="24"/>
              </w:rPr>
            </w:pPr>
          </w:p>
        </w:tc>
        <w:tc>
          <w:tcPr>
            <w:tcW w:w="914" w:type="pct"/>
            <w:vMerge/>
            <w:tcBorders>
              <w:top w:val="single" w:sz="8" w:space="0" w:color="000000"/>
              <w:left w:val="single" w:sz="8" w:space="0" w:color="000000"/>
              <w:bottom w:val="single" w:sz="8" w:space="0" w:color="000000"/>
              <w:right w:val="single" w:sz="8" w:space="0" w:color="000000"/>
            </w:tcBorders>
            <w:vAlign w:val="center"/>
            <w:hideMark/>
          </w:tcPr>
          <w:p w:rsidR="00D75A0E" w:rsidRPr="00D75A0E" w:rsidRDefault="00D75A0E" w:rsidP="00D75A0E">
            <w:pPr>
              <w:jc w:val="left"/>
              <w:rPr>
                <w:rFonts w:ascii="Helvetica" w:eastAsia="Times New Roman" w:hAnsi="Helvetica" w:cs="Helvetica"/>
                <w:sz w:val="24"/>
                <w:szCs w:val="24"/>
              </w:rPr>
            </w:pPr>
          </w:p>
        </w:tc>
        <w:tc>
          <w:tcPr>
            <w:tcW w:w="560" w:type="pct"/>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D75A0E" w:rsidRPr="00D75A0E" w:rsidRDefault="00D75A0E" w:rsidP="00D75A0E">
            <w:pPr>
              <w:jc w:val="center"/>
              <w:rPr>
                <w:rFonts w:ascii="Helvetica" w:eastAsia="Times New Roman" w:hAnsi="Helvetica" w:cs="Helvetica"/>
                <w:sz w:val="24"/>
                <w:szCs w:val="24"/>
              </w:rPr>
            </w:pPr>
            <w:r w:rsidRPr="00D75A0E">
              <w:rPr>
                <w:rFonts w:ascii="Helvetica" w:eastAsia="Times New Roman" w:hAnsi="Helvetica" w:cs="Helvetica"/>
                <w:b/>
                <w:bCs/>
                <w:color w:val="FFFFFF" w:themeColor="background1"/>
                <w:kern w:val="24"/>
                <w:sz w:val="24"/>
                <w:szCs w:val="24"/>
              </w:rPr>
              <w:t>Comm.</w:t>
            </w:r>
          </w:p>
        </w:tc>
        <w:tc>
          <w:tcPr>
            <w:tcW w:w="472" w:type="pct"/>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D75A0E" w:rsidRPr="00D75A0E" w:rsidRDefault="00D75A0E" w:rsidP="00D75A0E">
            <w:pPr>
              <w:jc w:val="center"/>
              <w:rPr>
                <w:rFonts w:ascii="Helvetica" w:eastAsia="Times New Roman" w:hAnsi="Helvetica" w:cs="Helvetica"/>
                <w:sz w:val="24"/>
                <w:szCs w:val="24"/>
              </w:rPr>
            </w:pPr>
            <w:r w:rsidRPr="00D75A0E">
              <w:rPr>
                <w:rFonts w:ascii="Helvetica" w:eastAsia="Times New Roman" w:hAnsi="Helvetica" w:cs="Helvetica"/>
                <w:b/>
                <w:bCs/>
                <w:color w:val="FFFFFF" w:themeColor="background1"/>
                <w:kern w:val="24"/>
                <w:sz w:val="24"/>
                <w:szCs w:val="24"/>
              </w:rPr>
              <w:t>MH</w:t>
            </w:r>
          </w:p>
        </w:tc>
      </w:tr>
      <w:tr w:rsidR="00D75A0E" w:rsidRPr="00D75A0E" w:rsidTr="00D75A0E">
        <w:trPr>
          <w:trHeight w:val="584"/>
        </w:trPr>
        <w:tc>
          <w:tcPr>
            <w:tcW w:w="242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75A0E" w:rsidRPr="00D75A0E" w:rsidRDefault="00D75A0E" w:rsidP="00D75A0E">
            <w:pPr>
              <w:jc w:val="left"/>
              <w:rPr>
                <w:rFonts w:ascii="Helvetica" w:eastAsia="Times New Roman" w:hAnsi="Helvetica" w:cs="Helvetica"/>
                <w:sz w:val="24"/>
                <w:szCs w:val="24"/>
              </w:rPr>
            </w:pPr>
            <w:r w:rsidRPr="00D75A0E">
              <w:rPr>
                <w:rFonts w:ascii="Helvetica" w:eastAsia="Times New Roman" w:hAnsi="Helvetica" w:cs="Helvetica"/>
                <w:color w:val="000000" w:themeColor="text1"/>
                <w:kern w:val="24"/>
                <w:sz w:val="24"/>
                <w:szCs w:val="24"/>
              </w:rPr>
              <w:t xml:space="preserve">Initiation and Engagement of Alcohol and Other Drug Dependence Treatment - Initiation </w:t>
            </w:r>
          </w:p>
        </w:tc>
        <w:tc>
          <w:tcPr>
            <w:tcW w:w="62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75A0E" w:rsidRPr="00D75A0E" w:rsidRDefault="00D75A0E" w:rsidP="00D75A0E">
            <w:pPr>
              <w:jc w:val="center"/>
              <w:rPr>
                <w:rFonts w:ascii="Helvetica" w:eastAsia="Times New Roman" w:hAnsi="Helvetica" w:cs="Helvetica"/>
                <w:sz w:val="24"/>
                <w:szCs w:val="24"/>
              </w:rPr>
            </w:pPr>
            <w:r w:rsidRPr="00D75A0E">
              <w:rPr>
                <w:rFonts w:ascii="Helvetica" w:eastAsia="Times New Roman" w:hAnsi="Helvetica" w:cs="Helvetica"/>
                <w:color w:val="000000" w:themeColor="text1"/>
                <w:kern w:val="24"/>
                <w:sz w:val="24"/>
                <w:szCs w:val="24"/>
              </w:rPr>
              <w:t>4 payers</w:t>
            </w:r>
          </w:p>
        </w:tc>
        <w:tc>
          <w:tcPr>
            <w:tcW w:w="91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75A0E" w:rsidRPr="00D75A0E" w:rsidRDefault="00D75A0E" w:rsidP="00D75A0E">
            <w:pPr>
              <w:jc w:val="left"/>
              <w:rPr>
                <w:rFonts w:ascii="Helvetica" w:eastAsia="Times New Roman" w:hAnsi="Helvetica" w:cs="Helvetica"/>
                <w:sz w:val="24"/>
                <w:szCs w:val="24"/>
              </w:rPr>
            </w:pPr>
          </w:p>
        </w:tc>
        <w:tc>
          <w:tcPr>
            <w:tcW w:w="560" w:type="pct"/>
            <w:tcBorders>
              <w:top w:val="single" w:sz="8" w:space="0" w:color="000000"/>
              <w:left w:val="single" w:sz="8" w:space="0" w:color="000000"/>
              <w:bottom w:val="single" w:sz="8" w:space="0" w:color="000000"/>
              <w:right w:val="single" w:sz="8" w:space="0" w:color="000000"/>
            </w:tcBorders>
            <w:shd w:val="clear" w:color="auto" w:fill="F4CFCC"/>
            <w:tcMar>
              <w:top w:w="72" w:type="dxa"/>
              <w:left w:w="144" w:type="dxa"/>
              <w:bottom w:w="72" w:type="dxa"/>
              <w:right w:w="144" w:type="dxa"/>
            </w:tcMar>
            <w:vAlign w:val="center"/>
            <w:hideMark/>
          </w:tcPr>
          <w:p w:rsidR="00D75A0E" w:rsidRPr="00D75A0E" w:rsidRDefault="00D75A0E" w:rsidP="00D75A0E">
            <w:pPr>
              <w:jc w:val="center"/>
              <w:rPr>
                <w:rFonts w:ascii="Helvetica" w:eastAsia="Times New Roman" w:hAnsi="Helvetica" w:cs="Helvetica"/>
                <w:sz w:val="24"/>
                <w:szCs w:val="24"/>
              </w:rPr>
            </w:pPr>
            <w:r w:rsidRPr="00D75A0E">
              <w:rPr>
                <w:rFonts w:ascii="Helvetica" w:eastAsia="Times New Roman" w:hAnsi="Helvetica" w:cs="Helvetica"/>
                <w:b/>
                <w:bCs/>
                <w:color w:val="000000" w:themeColor="text1"/>
                <w:kern w:val="24"/>
                <w:sz w:val="24"/>
                <w:szCs w:val="24"/>
              </w:rPr>
              <w:t>34.4</w:t>
            </w:r>
          </w:p>
        </w:tc>
        <w:tc>
          <w:tcPr>
            <w:tcW w:w="472"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vAlign w:val="center"/>
            <w:hideMark/>
          </w:tcPr>
          <w:p w:rsidR="00D75A0E" w:rsidRPr="00D75A0E" w:rsidRDefault="00D75A0E" w:rsidP="00D75A0E">
            <w:pPr>
              <w:jc w:val="center"/>
              <w:rPr>
                <w:rFonts w:ascii="Helvetica" w:eastAsia="Times New Roman" w:hAnsi="Helvetica" w:cs="Helvetica"/>
                <w:sz w:val="24"/>
                <w:szCs w:val="24"/>
              </w:rPr>
            </w:pPr>
            <w:r w:rsidRPr="00D75A0E">
              <w:rPr>
                <w:rFonts w:ascii="Helvetica" w:eastAsia="Times New Roman" w:hAnsi="Helvetica" w:cs="Helvetica"/>
                <w:b/>
                <w:bCs/>
                <w:color w:val="000000" w:themeColor="text1"/>
                <w:kern w:val="24"/>
                <w:sz w:val="24"/>
                <w:szCs w:val="24"/>
              </w:rPr>
              <w:t>47.5</w:t>
            </w:r>
          </w:p>
        </w:tc>
      </w:tr>
      <w:tr w:rsidR="00D75A0E" w:rsidRPr="00D75A0E" w:rsidTr="00D75A0E">
        <w:trPr>
          <w:trHeight w:val="584"/>
        </w:trPr>
        <w:tc>
          <w:tcPr>
            <w:tcW w:w="242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75A0E" w:rsidRPr="00D75A0E" w:rsidRDefault="00D75A0E" w:rsidP="00D75A0E">
            <w:pPr>
              <w:jc w:val="left"/>
              <w:rPr>
                <w:rFonts w:ascii="Helvetica" w:eastAsia="Times New Roman" w:hAnsi="Helvetica" w:cs="Helvetica"/>
                <w:sz w:val="24"/>
                <w:szCs w:val="24"/>
              </w:rPr>
            </w:pPr>
            <w:r w:rsidRPr="00D75A0E">
              <w:rPr>
                <w:rFonts w:ascii="Helvetica" w:eastAsia="Times New Roman" w:hAnsi="Helvetica" w:cs="Helvetica"/>
                <w:color w:val="000000" w:themeColor="text1"/>
                <w:kern w:val="24"/>
                <w:sz w:val="24"/>
                <w:szCs w:val="24"/>
              </w:rPr>
              <w:t>Initiation and Engagement of Alcohol and Other Drug Dependence Treatment - Engagement</w:t>
            </w:r>
          </w:p>
        </w:tc>
        <w:tc>
          <w:tcPr>
            <w:tcW w:w="62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75A0E" w:rsidRPr="00D75A0E" w:rsidRDefault="00D75A0E" w:rsidP="00D75A0E">
            <w:pPr>
              <w:jc w:val="center"/>
              <w:rPr>
                <w:rFonts w:ascii="Helvetica" w:eastAsia="Times New Roman" w:hAnsi="Helvetica" w:cs="Helvetica"/>
                <w:sz w:val="24"/>
                <w:szCs w:val="24"/>
              </w:rPr>
            </w:pPr>
            <w:r w:rsidRPr="00D75A0E">
              <w:rPr>
                <w:rFonts w:ascii="Helvetica" w:eastAsia="Times New Roman" w:hAnsi="Helvetica" w:cs="Helvetica"/>
                <w:color w:val="000000" w:themeColor="text1"/>
                <w:kern w:val="24"/>
                <w:sz w:val="24"/>
                <w:szCs w:val="24"/>
              </w:rPr>
              <w:t>4 payers</w:t>
            </w:r>
          </w:p>
        </w:tc>
        <w:tc>
          <w:tcPr>
            <w:tcW w:w="91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75A0E" w:rsidRPr="00D75A0E" w:rsidRDefault="00D75A0E" w:rsidP="00D75A0E">
            <w:pPr>
              <w:jc w:val="left"/>
              <w:rPr>
                <w:rFonts w:ascii="Helvetica" w:eastAsia="Times New Roman" w:hAnsi="Helvetica" w:cs="Helvetica"/>
                <w:sz w:val="24"/>
                <w:szCs w:val="24"/>
              </w:rPr>
            </w:pPr>
          </w:p>
        </w:tc>
        <w:tc>
          <w:tcPr>
            <w:tcW w:w="560" w:type="pct"/>
            <w:tcBorders>
              <w:top w:val="single" w:sz="8" w:space="0" w:color="000000"/>
              <w:left w:val="single" w:sz="8" w:space="0" w:color="000000"/>
              <w:bottom w:val="single" w:sz="8" w:space="0" w:color="000000"/>
              <w:right w:val="single" w:sz="8" w:space="0" w:color="000000"/>
            </w:tcBorders>
            <w:shd w:val="clear" w:color="auto" w:fill="F4CFCC"/>
            <w:tcMar>
              <w:top w:w="72" w:type="dxa"/>
              <w:left w:w="144" w:type="dxa"/>
              <w:bottom w:w="72" w:type="dxa"/>
              <w:right w:w="144" w:type="dxa"/>
            </w:tcMar>
            <w:vAlign w:val="center"/>
            <w:hideMark/>
          </w:tcPr>
          <w:p w:rsidR="00D75A0E" w:rsidRPr="00D75A0E" w:rsidRDefault="00D75A0E" w:rsidP="00D75A0E">
            <w:pPr>
              <w:jc w:val="center"/>
              <w:rPr>
                <w:rFonts w:ascii="Helvetica" w:eastAsia="Times New Roman" w:hAnsi="Helvetica" w:cs="Helvetica"/>
                <w:sz w:val="24"/>
                <w:szCs w:val="24"/>
              </w:rPr>
            </w:pPr>
            <w:r w:rsidRPr="00D75A0E">
              <w:rPr>
                <w:rFonts w:ascii="Helvetica" w:eastAsia="Times New Roman" w:hAnsi="Helvetica" w:cs="Helvetica"/>
                <w:b/>
                <w:bCs/>
                <w:color w:val="000000" w:themeColor="text1"/>
                <w:kern w:val="24"/>
                <w:sz w:val="24"/>
                <w:szCs w:val="24"/>
              </w:rPr>
              <w:t>12.8</w:t>
            </w:r>
          </w:p>
        </w:tc>
        <w:tc>
          <w:tcPr>
            <w:tcW w:w="472"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vAlign w:val="center"/>
            <w:hideMark/>
          </w:tcPr>
          <w:p w:rsidR="00D75A0E" w:rsidRPr="00D75A0E" w:rsidRDefault="00D75A0E" w:rsidP="00D75A0E">
            <w:pPr>
              <w:jc w:val="center"/>
              <w:rPr>
                <w:rFonts w:ascii="Helvetica" w:eastAsia="Times New Roman" w:hAnsi="Helvetica" w:cs="Helvetica"/>
                <w:sz w:val="24"/>
                <w:szCs w:val="24"/>
              </w:rPr>
            </w:pPr>
            <w:r w:rsidRPr="00D75A0E">
              <w:rPr>
                <w:rFonts w:ascii="Helvetica" w:eastAsia="Times New Roman" w:hAnsi="Helvetica" w:cs="Helvetica"/>
                <w:b/>
                <w:bCs/>
                <w:color w:val="000000" w:themeColor="text1"/>
                <w:kern w:val="24"/>
                <w:sz w:val="24"/>
                <w:szCs w:val="24"/>
              </w:rPr>
              <w:t>18.9</w:t>
            </w:r>
          </w:p>
        </w:tc>
      </w:tr>
    </w:tbl>
    <w:p w:rsidR="002E0D79" w:rsidRPr="002E0D79" w:rsidRDefault="002E0D79" w:rsidP="00CA1C68">
      <w:pPr>
        <w:jc w:val="left"/>
        <w:rPr>
          <w:rFonts w:ascii="Helvetica" w:hAnsi="Helvetica"/>
          <w:sz w:val="24"/>
          <w:szCs w:val="24"/>
        </w:rPr>
      </w:pPr>
    </w:p>
    <w:p w:rsidR="00AC0C8C" w:rsidRPr="00D75A0E" w:rsidRDefault="00AC0C8C" w:rsidP="00AC0C8C">
      <w:pPr>
        <w:jc w:val="left"/>
        <w:rPr>
          <w:rFonts w:ascii="Helvetica" w:hAnsi="Helvetica"/>
          <w:sz w:val="24"/>
          <w:szCs w:val="24"/>
        </w:rPr>
      </w:pPr>
      <w:r>
        <w:rPr>
          <w:rFonts w:ascii="Helvetica" w:hAnsi="Helvetica"/>
          <w:sz w:val="24"/>
          <w:szCs w:val="24"/>
        </w:rPr>
        <w:t>**</w:t>
      </w:r>
      <w:r w:rsidRPr="00AC0C8C">
        <w:rPr>
          <w:rFonts w:ascii="Arial" w:eastAsia="Times New Roman" w:hAnsi="Arial" w:cs="Arial"/>
          <w:color w:val="000000"/>
          <w:kern w:val="24"/>
          <w:sz w:val="24"/>
          <w:szCs w:val="24"/>
        </w:rPr>
        <w:t>25th - 50th</w:t>
      </w:r>
    </w:p>
    <w:p w:rsidR="00AC0C8C" w:rsidRDefault="00AC0C8C" w:rsidP="00AC0C8C">
      <w:pPr>
        <w:jc w:val="left"/>
        <w:rPr>
          <w:rFonts w:ascii="Helvetica" w:eastAsia="Times New Roman" w:hAnsi="Helvetica" w:cs="Helvetica"/>
          <w:color w:val="000000"/>
          <w:kern w:val="24"/>
          <w:sz w:val="24"/>
          <w:szCs w:val="24"/>
        </w:rPr>
      </w:pPr>
      <w:r>
        <w:rPr>
          <w:rFonts w:ascii="Helvetica" w:hAnsi="Helvetica"/>
          <w:sz w:val="24"/>
          <w:szCs w:val="24"/>
        </w:rPr>
        <w:t>*</w:t>
      </w:r>
      <w:r w:rsidRPr="00E4272E">
        <w:rPr>
          <w:rFonts w:ascii="Helvetica" w:eastAsia="Times New Roman" w:hAnsi="Helvetica" w:cs="Helvetica"/>
          <w:color w:val="000000"/>
          <w:kern w:val="24"/>
          <w:sz w:val="24"/>
          <w:szCs w:val="24"/>
        </w:rPr>
        <w:t>75th - 90th</w:t>
      </w:r>
    </w:p>
    <w:p w:rsidR="002E0D79" w:rsidRDefault="002E0D79" w:rsidP="00CA1C68">
      <w:pPr>
        <w:pStyle w:val="Heading1"/>
        <w:tabs>
          <w:tab w:val="left" w:pos="2296"/>
        </w:tabs>
      </w:pPr>
      <w:r w:rsidRPr="00A35C58">
        <w:t xml:space="preserve">Slide </w:t>
      </w:r>
      <w:r w:rsidR="000D48F2">
        <w:t>37</w:t>
      </w:r>
    </w:p>
    <w:p w:rsidR="002E0D79" w:rsidRDefault="000D48F2" w:rsidP="00CA1C68">
      <w:pPr>
        <w:pStyle w:val="Heading2"/>
      </w:pPr>
      <w:r w:rsidRPr="000D48F2">
        <w:t>Menu Measures</w:t>
      </w:r>
    </w:p>
    <w:tbl>
      <w:tblPr>
        <w:tblStyle w:val="TableGrid"/>
        <w:tblW w:w="5000" w:type="pct"/>
        <w:tblCellMar>
          <w:left w:w="0" w:type="dxa"/>
          <w:right w:w="0" w:type="dxa"/>
        </w:tblCellMar>
        <w:tblLook w:val="0420" w:firstRow="1" w:lastRow="0" w:firstColumn="0" w:lastColumn="0" w:noHBand="0" w:noVBand="1"/>
        <w:tblCaption w:val="Menu Measures"/>
      </w:tblPr>
      <w:tblGrid>
        <w:gridCol w:w="4637"/>
        <w:gridCol w:w="1275"/>
        <w:gridCol w:w="1700"/>
        <w:gridCol w:w="1102"/>
        <w:gridCol w:w="934"/>
      </w:tblGrid>
      <w:tr w:rsidR="00702365" w:rsidRPr="000D48F2" w:rsidTr="00A40DC0">
        <w:trPr>
          <w:trHeight w:val="584"/>
          <w:tblHeader/>
        </w:trPr>
        <w:tc>
          <w:tcPr>
            <w:tcW w:w="2435" w:type="pct"/>
            <w:vMerge w:val="restart"/>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b/>
                <w:bCs/>
                <w:color w:val="FFFFFF" w:themeColor="background1"/>
                <w:kern w:val="24"/>
                <w:sz w:val="24"/>
                <w:szCs w:val="24"/>
              </w:rPr>
              <w:t>Measure</w:t>
            </w:r>
          </w:p>
        </w:tc>
        <w:tc>
          <w:tcPr>
            <w:tcW w:w="623" w:type="pct"/>
            <w:vMerge w:val="restart"/>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b/>
                <w:bCs/>
                <w:color w:val="FFFFFF" w:themeColor="background1"/>
                <w:kern w:val="24"/>
                <w:sz w:val="24"/>
                <w:szCs w:val="24"/>
              </w:rPr>
              <w:t>Contract Use 2020</w:t>
            </w:r>
          </w:p>
        </w:tc>
        <w:tc>
          <w:tcPr>
            <w:tcW w:w="913" w:type="pct"/>
            <w:vMerge w:val="restart"/>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b/>
                <w:bCs/>
                <w:color w:val="FFFFFF" w:themeColor="background1"/>
                <w:kern w:val="24"/>
                <w:sz w:val="24"/>
                <w:szCs w:val="24"/>
              </w:rPr>
              <w:t>Substantive Change</w:t>
            </w:r>
          </w:p>
        </w:tc>
        <w:tc>
          <w:tcPr>
            <w:tcW w:w="1029" w:type="pct"/>
            <w:gridSpan w:val="2"/>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b/>
                <w:bCs/>
                <w:color w:val="FFFFFF" w:themeColor="background1"/>
                <w:kern w:val="24"/>
                <w:sz w:val="24"/>
                <w:szCs w:val="24"/>
              </w:rPr>
              <w:t>2018 Performance</w:t>
            </w:r>
          </w:p>
        </w:tc>
      </w:tr>
      <w:tr w:rsidR="00702365" w:rsidRPr="000D48F2" w:rsidTr="00A40DC0">
        <w:trPr>
          <w:trHeight w:val="584"/>
          <w:tblHeader/>
        </w:trPr>
        <w:tc>
          <w:tcPr>
            <w:tcW w:w="2435" w:type="pct"/>
            <w:vMerge/>
            <w:tcBorders>
              <w:top w:val="single" w:sz="8" w:space="0" w:color="000000"/>
              <w:left w:val="single" w:sz="8" w:space="0" w:color="000000"/>
              <w:bottom w:val="single" w:sz="8" w:space="0" w:color="000000"/>
              <w:right w:val="single" w:sz="8" w:space="0" w:color="000000"/>
            </w:tcBorders>
            <w:vAlign w:val="center"/>
            <w:hideMark/>
          </w:tcPr>
          <w:p w:rsidR="000D48F2" w:rsidRPr="000D48F2" w:rsidRDefault="000D48F2" w:rsidP="000D48F2">
            <w:pPr>
              <w:jc w:val="left"/>
              <w:rPr>
                <w:rFonts w:ascii="Helvetica" w:eastAsia="Times New Roman" w:hAnsi="Helvetica" w:cs="Helvetica"/>
                <w:sz w:val="24"/>
                <w:szCs w:val="24"/>
              </w:rPr>
            </w:pPr>
          </w:p>
        </w:tc>
        <w:tc>
          <w:tcPr>
            <w:tcW w:w="623" w:type="pct"/>
            <w:vMerge/>
            <w:tcBorders>
              <w:top w:val="single" w:sz="8" w:space="0" w:color="000000"/>
              <w:left w:val="single" w:sz="8" w:space="0" w:color="000000"/>
              <w:bottom w:val="single" w:sz="8" w:space="0" w:color="000000"/>
              <w:right w:val="single" w:sz="8" w:space="0" w:color="000000"/>
            </w:tcBorders>
            <w:vAlign w:val="center"/>
            <w:hideMark/>
          </w:tcPr>
          <w:p w:rsidR="000D48F2" w:rsidRPr="000D48F2" w:rsidRDefault="000D48F2" w:rsidP="000D48F2">
            <w:pPr>
              <w:jc w:val="left"/>
              <w:rPr>
                <w:rFonts w:ascii="Helvetica" w:eastAsia="Times New Roman" w:hAnsi="Helvetica" w:cs="Helvetica"/>
                <w:sz w:val="24"/>
                <w:szCs w:val="24"/>
              </w:rPr>
            </w:pPr>
          </w:p>
        </w:tc>
        <w:tc>
          <w:tcPr>
            <w:tcW w:w="913" w:type="pct"/>
            <w:vMerge/>
            <w:tcBorders>
              <w:top w:val="single" w:sz="8" w:space="0" w:color="000000"/>
              <w:left w:val="single" w:sz="8" w:space="0" w:color="000000"/>
              <w:bottom w:val="single" w:sz="8" w:space="0" w:color="000000"/>
              <w:right w:val="single" w:sz="8" w:space="0" w:color="000000"/>
            </w:tcBorders>
            <w:vAlign w:val="center"/>
            <w:hideMark/>
          </w:tcPr>
          <w:p w:rsidR="000D48F2" w:rsidRPr="000D48F2" w:rsidRDefault="000D48F2" w:rsidP="000D48F2">
            <w:pPr>
              <w:jc w:val="left"/>
              <w:rPr>
                <w:rFonts w:ascii="Helvetica" w:eastAsia="Times New Roman" w:hAnsi="Helvetica" w:cs="Helvetica"/>
                <w:sz w:val="24"/>
                <w:szCs w:val="24"/>
              </w:rPr>
            </w:pPr>
          </w:p>
        </w:tc>
        <w:tc>
          <w:tcPr>
            <w:tcW w:w="558" w:type="pct"/>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b/>
                <w:bCs/>
                <w:color w:val="FFFFFF" w:themeColor="background1"/>
                <w:kern w:val="24"/>
                <w:sz w:val="24"/>
                <w:szCs w:val="24"/>
              </w:rPr>
              <w:t>Comm.</w:t>
            </w:r>
          </w:p>
        </w:tc>
        <w:tc>
          <w:tcPr>
            <w:tcW w:w="471" w:type="pct"/>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b/>
                <w:bCs/>
                <w:color w:val="FFFFFF" w:themeColor="background1"/>
                <w:kern w:val="24"/>
                <w:sz w:val="24"/>
                <w:szCs w:val="24"/>
              </w:rPr>
              <w:t>MH</w:t>
            </w:r>
          </w:p>
        </w:tc>
      </w:tr>
      <w:tr w:rsidR="00702365" w:rsidRPr="000D48F2" w:rsidTr="000D48F2">
        <w:trPr>
          <w:trHeight w:val="584"/>
        </w:trPr>
        <w:tc>
          <w:tcPr>
            <w:tcW w:w="243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left"/>
              <w:rPr>
                <w:rFonts w:ascii="Helvetica" w:eastAsia="Times New Roman" w:hAnsi="Helvetica" w:cs="Helvetica"/>
                <w:sz w:val="24"/>
                <w:szCs w:val="24"/>
              </w:rPr>
            </w:pPr>
            <w:r w:rsidRPr="000D48F2">
              <w:rPr>
                <w:rFonts w:ascii="Helvetica" w:eastAsia="Times New Roman" w:hAnsi="Helvetica" w:cs="Helvetica"/>
                <w:color w:val="000000" w:themeColor="text1"/>
                <w:kern w:val="24"/>
                <w:sz w:val="24"/>
                <w:szCs w:val="24"/>
              </w:rPr>
              <w:t>Asthma Medication Ratio</w:t>
            </w:r>
          </w:p>
        </w:tc>
        <w:tc>
          <w:tcPr>
            <w:tcW w:w="6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color w:val="000000" w:themeColor="text1"/>
                <w:kern w:val="24"/>
                <w:sz w:val="24"/>
                <w:szCs w:val="24"/>
              </w:rPr>
              <w:t>4 payers</w:t>
            </w:r>
          </w:p>
        </w:tc>
        <w:tc>
          <w:tcPr>
            <w:tcW w:w="9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left"/>
              <w:rPr>
                <w:rFonts w:ascii="Helvetica" w:eastAsia="Times New Roman" w:hAnsi="Helvetica" w:cs="Helvetica"/>
                <w:sz w:val="24"/>
                <w:szCs w:val="24"/>
              </w:rPr>
            </w:pPr>
          </w:p>
        </w:tc>
        <w:tc>
          <w:tcPr>
            <w:tcW w:w="558" w:type="pct"/>
            <w:tcBorders>
              <w:top w:val="single" w:sz="8" w:space="0" w:color="000000"/>
              <w:left w:val="single" w:sz="8" w:space="0" w:color="000000"/>
              <w:bottom w:val="single" w:sz="8" w:space="0" w:color="000000"/>
              <w:right w:val="single" w:sz="8" w:space="0" w:color="000000"/>
            </w:tcBorders>
            <w:shd w:val="clear" w:color="auto" w:fill="E79791"/>
            <w:tcMar>
              <w:top w:w="72" w:type="dxa"/>
              <w:left w:w="144" w:type="dxa"/>
              <w:bottom w:w="72" w:type="dxa"/>
              <w:right w:w="144" w:type="dxa"/>
            </w:tcMar>
            <w:vAlign w:val="cente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b/>
                <w:bCs/>
                <w:color w:val="000000" w:themeColor="text1"/>
                <w:kern w:val="24"/>
                <w:sz w:val="24"/>
                <w:szCs w:val="24"/>
              </w:rPr>
              <w:t>75.5</w:t>
            </w:r>
            <w:r w:rsidR="00702365" w:rsidRPr="00702365">
              <w:rPr>
                <w:rFonts w:ascii="Helvetica" w:eastAsia="Times New Roman" w:hAnsi="Helvetica" w:cs="Helvetica"/>
                <w:b/>
                <w:bCs/>
                <w:color w:val="000000" w:themeColor="text1"/>
                <w:kern w:val="24"/>
                <w:sz w:val="24"/>
                <w:szCs w:val="24"/>
                <w:vertAlign w:val="superscript"/>
              </w:rPr>
              <w:t>2</w:t>
            </w:r>
          </w:p>
        </w:tc>
        <w:tc>
          <w:tcPr>
            <w:tcW w:w="471" w:type="pct"/>
            <w:tcBorders>
              <w:top w:val="single" w:sz="8" w:space="0" w:color="000000"/>
              <w:left w:val="single" w:sz="8" w:space="0" w:color="000000"/>
              <w:bottom w:val="single" w:sz="8" w:space="0" w:color="000000"/>
              <w:right w:val="single" w:sz="8" w:space="0" w:color="000000"/>
            </w:tcBorders>
            <w:shd w:val="clear" w:color="auto" w:fill="F4CFCC"/>
            <w:tcMar>
              <w:top w:w="72" w:type="dxa"/>
              <w:left w:w="144" w:type="dxa"/>
              <w:bottom w:w="72" w:type="dxa"/>
              <w:right w:w="144" w:type="dxa"/>
            </w:tcMar>
            <w:vAlign w:val="cente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b/>
                <w:bCs/>
                <w:color w:val="000000" w:themeColor="text1"/>
                <w:kern w:val="24"/>
                <w:sz w:val="24"/>
                <w:szCs w:val="24"/>
              </w:rPr>
              <w:t>58.7</w:t>
            </w:r>
            <w:r w:rsidR="00702365" w:rsidRPr="00702365">
              <w:rPr>
                <w:rFonts w:ascii="Helvetica" w:eastAsia="Times New Roman" w:hAnsi="Helvetica" w:cs="Helvetica"/>
                <w:b/>
                <w:bCs/>
                <w:color w:val="000000" w:themeColor="text1"/>
                <w:kern w:val="24"/>
                <w:sz w:val="24"/>
                <w:szCs w:val="24"/>
                <w:vertAlign w:val="superscript"/>
              </w:rPr>
              <w:t>3</w:t>
            </w:r>
          </w:p>
        </w:tc>
      </w:tr>
      <w:tr w:rsidR="00702365" w:rsidRPr="000D48F2" w:rsidTr="000D48F2">
        <w:trPr>
          <w:trHeight w:val="584"/>
        </w:trPr>
        <w:tc>
          <w:tcPr>
            <w:tcW w:w="243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left"/>
              <w:rPr>
                <w:rFonts w:ascii="Helvetica" w:eastAsia="Times New Roman" w:hAnsi="Helvetica" w:cs="Helvetica"/>
                <w:sz w:val="24"/>
                <w:szCs w:val="24"/>
              </w:rPr>
            </w:pPr>
            <w:r w:rsidRPr="000D48F2">
              <w:rPr>
                <w:rFonts w:ascii="Helvetica" w:eastAsia="Times New Roman" w:hAnsi="Helvetica" w:cs="Helvetica"/>
                <w:color w:val="000000" w:themeColor="text1"/>
                <w:kern w:val="24"/>
                <w:sz w:val="24"/>
                <w:szCs w:val="24"/>
              </w:rPr>
              <w:t>Breast Cancer Screening</w:t>
            </w:r>
          </w:p>
        </w:tc>
        <w:tc>
          <w:tcPr>
            <w:tcW w:w="6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color w:val="000000" w:themeColor="text1"/>
                <w:kern w:val="24"/>
                <w:sz w:val="24"/>
                <w:szCs w:val="24"/>
              </w:rPr>
              <w:t>7 payers</w:t>
            </w:r>
          </w:p>
        </w:tc>
        <w:tc>
          <w:tcPr>
            <w:tcW w:w="9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left"/>
              <w:rPr>
                <w:rFonts w:ascii="Helvetica" w:eastAsia="Times New Roman" w:hAnsi="Helvetica" w:cs="Helvetica"/>
                <w:sz w:val="24"/>
                <w:szCs w:val="24"/>
              </w:rPr>
            </w:pPr>
          </w:p>
        </w:tc>
        <w:tc>
          <w:tcPr>
            <w:tcW w:w="558" w:type="pct"/>
            <w:tcBorders>
              <w:top w:val="single" w:sz="8" w:space="0" w:color="000000"/>
              <w:left w:val="single" w:sz="8" w:space="0" w:color="000000"/>
              <w:bottom w:val="single" w:sz="8" w:space="0" w:color="000000"/>
              <w:right w:val="single" w:sz="8" w:space="0" w:color="000000"/>
            </w:tcBorders>
            <w:shd w:val="clear" w:color="auto" w:fill="70AD47"/>
            <w:tcMar>
              <w:top w:w="72" w:type="dxa"/>
              <w:left w:w="144" w:type="dxa"/>
              <w:bottom w:w="72" w:type="dxa"/>
              <w:right w:w="144" w:type="dxa"/>
            </w:tcMar>
            <w:vAlign w:val="cente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b/>
                <w:bCs/>
                <w:color w:val="000000" w:themeColor="text1"/>
                <w:kern w:val="24"/>
                <w:sz w:val="24"/>
                <w:szCs w:val="24"/>
              </w:rPr>
              <w:t>83.1</w:t>
            </w:r>
            <w:r w:rsidR="00702365" w:rsidRPr="00702365">
              <w:rPr>
                <w:rFonts w:ascii="Helvetica" w:eastAsia="Times New Roman" w:hAnsi="Helvetica" w:cs="Helvetica"/>
                <w:b/>
                <w:bCs/>
                <w:color w:val="000000" w:themeColor="text1"/>
                <w:kern w:val="24"/>
                <w:sz w:val="24"/>
                <w:szCs w:val="24"/>
                <w:vertAlign w:val="superscript"/>
              </w:rPr>
              <w:t>6</w:t>
            </w:r>
          </w:p>
        </w:tc>
        <w:tc>
          <w:tcPr>
            <w:tcW w:w="471"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vAlign w:val="cente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b/>
                <w:bCs/>
                <w:color w:val="000000" w:themeColor="text1"/>
                <w:kern w:val="24"/>
                <w:sz w:val="24"/>
                <w:szCs w:val="24"/>
              </w:rPr>
              <w:t>68.5</w:t>
            </w:r>
            <w:r w:rsidR="00702365" w:rsidRPr="00702365">
              <w:rPr>
                <w:rFonts w:ascii="Helvetica" w:eastAsia="Times New Roman" w:hAnsi="Helvetica" w:cs="Helvetica"/>
                <w:b/>
                <w:bCs/>
                <w:color w:val="000000" w:themeColor="text1"/>
                <w:kern w:val="24"/>
                <w:sz w:val="24"/>
                <w:szCs w:val="24"/>
                <w:vertAlign w:val="superscript"/>
              </w:rPr>
              <w:t>5</w:t>
            </w:r>
          </w:p>
        </w:tc>
      </w:tr>
      <w:tr w:rsidR="00702365" w:rsidRPr="000D48F2" w:rsidTr="000D48F2">
        <w:trPr>
          <w:trHeight w:val="584"/>
        </w:trPr>
        <w:tc>
          <w:tcPr>
            <w:tcW w:w="243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left"/>
              <w:rPr>
                <w:rFonts w:ascii="Helvetica" w:eastAsia="Times New Roman" w:hAnsi="Helvetica" w:cs="Helvetica"/>
                <w:sz w:val="24"/>
                <w:szCs w:val="24"/>
              </w:rPr>
            </w:pPr>
            <w:r w:rsidRPr="000D48F2">
              <w:rPr>
                <w:rFonts w:ascii="Helvetica" w:eastAsia="Times New Roman" w:hAnsi="Helvetica" w:cs="Helvetica"/>
                <w:color w:val="000000" w:themeColor="text1"/>
                <w:kern w:val="24"/>
                <w:sz w:val="24"/>
                <w:szCs w:val="24"/>
              </w:rPr>
              <w:t>Cervical Cancer Screening</w:t>
            </w:r>
          </w:p>
        </w:tc>
        <w:tc>
          <w:tcPr>
            <w:tcW w:w="6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color w:val="000000" w:themeColor="text1"/>
                <w:kern w:val="24"/>
                <w:sz w:val="24"/>
                <w:szCs w:val="24"/>
              </w:rPr>
              <w:t>7 payers</w:t>
            </w:r>
          </w:p>
        </w:tc>
        <w:tc>
          <w:tcPr>
            <w:tcW w:w="9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color w:val="000000" w:themeColor="text1"/>
                <w:kern w:val="24"/>
                <w:sz w:val="24"/>
                <w:szCs w:val="24"/>
              </w:rPr>
              <w:t>HEDIS 2020 Change</w:t>
            </w:r>
            <w:r w:rsidR="00702365" w:rsidRPr="00702365">
              <w:rPr>
                <w:rFonts w:ascii="Helvetica" w:eastAsia="Times New Roman" w:hAnsi="Helvetica" w:cs="Helvetica"/>
                <w:color w:val="000000" w:themeColor="text1"/>
                <w:kern w:val="24"/>
                <w:sz w:val="24"/>
                <w:szCs w:val="24"/>
              </w:rPr>
              <w:t>*</w:t>
            </w:r>
          </w:p>
        </w:tc>
        <w:tc>
          <w:tcPr>
            <w:tcW w:w="558" w:type="pct"/>
            <w:tcBorders>
              <w:top w:val="single" w:sz="8" w:space="0" w:color="000000"/>
              <w:left w:val="single" w:sz="8" w:space="0" w:color="000000"/>
              <w:bottom w:val="single" w:sz="8" w:space="0" w:color="000000"/>
              <w:right w:val="single" w:sz="8" w:space="0" w:color="000000"/>
            </w:tcBorders>
            <w:shd w:val="clear" w:color="auto" w:fill="70AD47"/>
            <w:tcMar>
              <w:top w:w="72" w:type="dxa"/>
              <w:left w:w="144" w:type="dxa"/>
              <w:bottom w:w="72" w:type="dxa"/>
              <w:right w:w="144" w:type="dxa"/>
            </w:tcMar>
            <w:vAlign w:val="cente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b/>
                <w:bCs/>
                <w:color w:val="000000" w:themeColor="text1"/>
                <w:kern w:val="24"/>
                <w:sz w:val="24"/>
                <w:szCs w:val="24"/>
              </w:rPr>
              <w:t>84.2</w:t>
            </w:r>
            <w:r w:rsidR="00702365" w:rsidRPr="00702365">
              <w:rPr>
                <w:rFonts w:ascii="Helvetica" w:eastAsia="Times New Roman" w:hAnsi="Helvetica" w:cs="Helvetica"/>
                <w:b/>
                <w:bCs/>
                <w:color w:val="000000" w:themeColor="text1"/>
                <w:kern w:val="24"/>
                <w:sz w:val="24"/>
                <w:szCs w:val="24"/>
                <w:vertAlign w:val="superscript"/>
              </w:rPr>
              <w:t>6</w:t>
            </w:r>
          </w:p>
        </w:tc>
        <w:tc>
          <w:tcPr>
            <w:tcW w:w="471"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vAlign w:val="cente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b/>
                <w:bCs/>
                <w:color w:val="000000" w:themeColor="text1"/>
                <w:kern w:val="24"/>
                <w:sz w:val="24"/>
                <w:szCs w:val="24"/>
              </w:rPr>
              <w:t>70.8</w:t>
            </w:r>
            <w:r w:rsidR="00702365" w:rsidRPr="00702365">
              <w:rPr>
                <w:rFonts w:ascii="Helvetica" w:eastAsia="Times New Roman" w:hAnsi="Helvetica" w:cs="Helvetica"/>
                <w:b/>
                <w:bCs/>
                <w:color w:val="000000" w:themeColor="text1"/>
                <w:kern w:val="24"/>
                <w:sz w:val="24"/>
                <w:szCs w:val="24"/>
                <w:vertAlign w:val="superscript"/>
              </w:rPr>
              <w:t>5</w:t>
            </w:r>
          </w:p>
        </w:tc>
      </w:tr>
      <w:tr w:rsidR="00702365" w:rsidRPr="000D48F2" w:rsidTr="000D48F2">
        <w:trPr>
          <w:trHeight w:val="584"/>
        </w:trPr>
        <w:tc>
          <w:tcPr>
            <w:tcW w:w="243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left"/>
              <w:rPr>
                <w:rFonts w:ascii="Helvetica" w:eastAsia="Times New Roman" w:hAnsi="Helvetica" w:cs="Helvetica"/>
                <w:sz w:val="24"/>
                <w:szCs w:val="24"/>
              </w:rPr>
            </w:pPr>
            <w:r w:rsidRPr="000D48F2">
              <w:rPr>
                <w:rFonts w:ascii="Helvetica" w:eastAsia="Times New Roman" w:hAnsi="Helvetica" w:cs="Helvetica"/>
                <w:color w:val="000000" w:themeColor="text1"/>
                <w:kern w:val="24"/>
                <w:sz w:val="24"/>
                <w:szCs w:val="24"/>
              </w:rPr>
              <w:t>Child and Adolescent Major Depressive Disorder: Suicide Risk Assessment</w:t>
            </w:r>
          </w:p>
        </w:tc>
        <w:tc>
          <w:tcPr>
            <w:tcW w:w="6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color w:val="000000" w:themeColor="text1"/>
                <w:kern w:val="24"/>
                <w:sz w:val="24"/>
                <w:szCs w:val="24"/>
              </w:rPr>
              <w:t>0 payers</w:t>
            </w:r>
          </w:p>
        </w:tc>
        <w:tc>
          <w:tcPr>
            <w:tcW w:w="9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left"/>
              <w:rPr>
                <w:rFonts w:ascii="Helvetica" w:eastAsia="Times New Roman" w:hAnsi="Helvetica" w:cs="Helvetica"/>
                <w:sz w:val="24"/>
                <w:szCs w:val="24"/>
              </w:rPr>
            </w:pPr>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D48F2" w:rsidRPr="000D48F2" w:rsidRDefault="000D48F2" w:rsidP="000D48F2">
            <w:pPr>
              <w:jc w:val="left"/>
              <w:rPr>
                <w:rFonts w:ascii="Helvetica" w:eastAsia="Times New Roman" w:hAnsi="Helvetica" w:cs="Helvetica"/>
                <w:sz w:val="24"/>
                <w:szCs w:val="24"/>
              </w:rPr>
            </w:pPr>
          </w:p>
        </w:tc>
        <w:tc>
          <w:tcPr>
            <w:tcW w:w="47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D48F2" w:rsidRPr="000D48F2" w:rsidRDefault="000D48F2" w:rsidP="000D48F2">
            <w:pPr>
              <w:jc w:val="left"/>
              <w:rPr>
                <w:rFonts w:ascii="Helvetica" w:eastAsia="Times New Roman" w:hAnsi="Helvetica" w:cs="Helvetica"/>
                <w:sz w:val="24"/>
                <w:szCs w:val="24"/>
              </w:rPr>
            </w:pPr>
          </w:p>
        </w:tc>
      </w:tr>
      <w:tr w:rsidR="00702365" w:rsidRPr="000D48F2" w:rsidTr="000D48F2">
        <w:trPr>
          <w:trHeight w:val="584"/>
        </w:trPr>
        <w:tc>
          <w:tcPr>
            <w:tcW w:w="243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left"/>
              <w:rPr>
                <w:rFonts w:ascii="Helvetica" w:eastAsia="Times New Roman" w:hAnsi="Helvetica" w:cs="Helvetica"/>
                <w:sz w:val="24"/>
                <w:szCs w:val="24"/>
              </w:rPr>
            </w:pPr>
            <w:r w:rsidRPr="000D48F2">
              <w:rPr>
                <w:rFonts w:ascii="Helvetica" w:eastAsia="Times New Roman" w:hAnsi="Helvetica" w:cs="Helvetica"/>
                <w:color w:val="000000" w:themeColor="text1"/>
                <w:kern w:val="24"/>
                <w:sz w:val="24"/>
                <w:szCs w:val="24"/>
              </w:rPr>
              <w:t>Childhood Immunization Status (Combo 10)</w:t>
            </w:r>
          </w:p>
        </w:tc>
        <w:tc>
          <w:tcPr>
            <w:tcW w:w="6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color w:val="000000" w:themeColor="text1"/>
                <w:kern w:val="24"/>
                <w:sz w:val="24"/>
                <w:szCs w:val="24"/>
              </w:rPr>
              <w:t>3 payers</w:t>
            </w:r>
          </w:p>
        </w:tc>
        <w:tc>
          <w:tcPr>
            <w:tcW w:w="9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left"/>
              <w:rPr>
                <w:rFonts w:ascii="Helvetica" w:eastAsia="Times New Roman" w:hAnsi="Helvetica" w:cs="Helvetica"/>
                <w:sz w:val="24"/>
                <w:szCs w:val="24"/>
              </w:rPr>
            </w:pPr>
          </w:p>
        </w:tc>
        <w:tc>
          <w:tcPr>
            <w:tcW w:w="558" w:type="pct"/>
            <w:tcBorders>
              <w:top w:val="single" w:sz="8" w:space="0" w:color="000000"/>
              <w:left w:val="single" w:sz="8" w:space="0" w:color="000000"/>
              <w:bottom w:val="single" w:sz="8" w:space="0" w:color="000000"/>
              <w:right w:val="single" w:sz="8" w:space="0" w:color="000000"/>
            </w:tcBorders>
            <w:shd w:val="clear" w:color="auto" w:fill="70AD47"/>
            <w:tcMar>
              <w:top w:w="72" w:type="dxa"/>
              <w:left w:w="144" w:type="dxa"/>
              <w:bottom w:w="72" w:type="dxa"/>
              <w:right w:w="144" w:type="dxa"/>
            </w:tcMar>
            <w:vAlign w:val="cente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b/>
                <w:bCs/>
                <w:color w:val="000000" w:themeColor="text1"/>
                <w:kern w:val="24"/>
                <w:sz w:val="24"/>
                <w:szCs w:val="24"/>
              </w:rPr>
              <w:t>71.8</w:t>
            </w:r>
            <w:r w:rsidR="00702365" w:rsidRPr="00702365">
              <w:rPr>
                <w:rFonts w:ascii="Helvetica" w:eastAsia="Times New Roman" w:hAnsi="Helvetica" w:cs="Helvetica"/>
                <w:b/>
                <w:bCs/>
                <w:color w:val="000000" w:themeColor="text1"/>
                <w:kern w:val="24"/>
                <w:sz w:val="24"/>
                <w:szCs w:val="24"/>
                <w:vertAlign w:val="superscript"/>
              </w:rPr>
              <w:t>6</w:t>
            </w:r>
          </w:p>
        </w:tc>
        <w:tc>
          <w:tcPr>
            <w:tcW w:w="471" w:type="pct"/>
            <w:tcBorders>
              <w:top w:val="single" w:sz="8" w:space="0" w:color="000000"/>
              <w:left w:val="single" w:sz="8" w:space="0" w:color="000000"/>
              <w:bottom w:val="single" w:sz="8" w:space="0" w:color="000000"/>
              <w:right w:val="single" w:sz="8" w:space="0" w:color="000000"/>
            </w:tcBorders>
            <w:shd w:val="clear" w:color="auto" w:fill="70AD47"/>
            <w:tcMar>
              <w:top w:w="72" w:type="dxa"/>
              <w:left w:w="144" w:type="dxa"/>
              <w:bottom w:w="72" w:type="dxa"/>
              <w:right w:w="144" w:type="dxa"/>
            </w:tcMar>
            <w:vAlign w:val="cente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b/>
                <w:bCs/>
                <w:color w:val="000000" w:themeColor="text1"/>
                <w:kern w:val="24"/>
                <w:sz w:val="24"/>
                <w:szCs w:val="24"/>
              </w:rPr>
              <w:t>50.6</w:t>
            </w:r>
            <w:r w:rsidR="00702365" w:rsidRPr="00702365">
              <w:rPr>
                <w:rFonts w:ascii="Helvetica" w:eastAsia="Times New Roman" w:hAnsi="Helvetica" w:cs="Helvetica"/>
                <w:b/>
                <w:bCs/>
                <w:color w:val="000000" w:themeColor="text1"/>
                <w:kern w:val="24"/>
                <w:sz w:val="24"/>
                <w:szCs w:val="24"/>
                <w:vertAlign w:val="superscript"/>
              </w:rPr>
              <w:t>6</w:t>
            </w:r>
          </w:p>
        </w:tc>
      </w:tr>
      <w:tr w:rsidR="00702365" w:rsidRPr="000D48F2" w:rsidTr="000D48F2">
        <w:trPr>
          <w:trHeight w:val="584"/>
        </w:trPr>
        <w:tc>
          <w:tcPr>
            <w:tcW w:w="243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left"/>
              <w:rPr>
                <w:rFonts w:ascii="Helvetica" w:eastAsia="Times New Roman" w:hAnsi="Helvetica" w:cs="Helvetica"/>
                <w:sz w:val="24"/>
                <w:szCs w:val="24"/>
              </w:rPr>
            </w:pPr>
            <w:r w:rsidRPr="000D48F2">
              <w:rPr>
                <w:rFonts w:ascii="Helvetica" w:eastAsia="Times New Roman" w:hAnsi="Helvetica" w:cs="Helvetica"/>
                <w:color w:val="000000" w:themeColor="text1"/>
                <w:kern w:val="24"/>
                <w:sz w:val="24"/>
                <w:szCs w:val="24"/>
              </w:rPr>
              <w:lastRenderedPageBreak/>
              <w:t>Chlamydia Screening - Ages 16-24</w:t>
            </w:r>
          </w:p>
        </w:tc>
        <w:tc>
          <w:tcPr>
            <w:tcW w:w="6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color w:val="000000" w:themeColor="text1"/>
                <w:kern w:val="24"/>
                <w:sz w:val="24"/>
                <w:szCs w:val="24"/>
              </w:rPr>
              <w:t>6 payers</w:t>
            </w:r>
          </w:p>
        </w:tc>
        <w:tc>
          <w:tcPr>
            <w:tcW w:w="9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left"/>
              <w:rPr>
                <w:rFonts w:ascii="Helvetica" w:eastAsia="Times New Roman" w:hAnsi="Helvetica" w:cs="Helvetica"/>
                <w:sz w:val="24"/>
                <w:szCs w:val="24"/>
              </w:rPr>
            </w:pPr>
          </w:p>
        </w:tc>
        <w:tc>
          <w:tcPr>
            <w:tcW w:w="558" w:type="pct"/>
            <w:tcBorders>
              <w:top w:val="single" w:sz="8" w:space="0" w:color="000000"/>
              <w:left w:val="single" w:sz="8" w:space="0" w:color="000000"/>
              <w:bottom w:val="single" w:sz="8" w:space="0" w:color="000000"/>
              <w:right w:val="single" w:sz="8" w:space="0" w:color="000000"/>
            </w:tcBorders>
            <w:shd w:val="clear" w:color="auto" w:fill="70AD47"/>
            <w:tcMar>
              <w:top w:w="72" w:type="dxa"/>
              <w:left w:w="144" w:type="dxa"/>
              <w:bottom w:w="72" w:type="dxa"/>
              <w:right w:w="144" w:type="dxa"/>
            </w:tcMar>
            <w:vAlign w:val="cente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b/>
                <w:bCs/>
                <w:color w:val="000000" w:themeColor="text1"/>
                <w:kern w:val="24"/>
                <w:sz w:val="24"/>
                <w:szCs w:val="24"/>
              </w:rPr>
              <w:t>74.2</w:t>
            </w:r>
            <w:r w:rsidR="00702365" w:rsidRPr="00702365">
              <w:rPr>
                <w:rFonts w:ascii="Helvetica" w:eastAsia="Times New Roman" w:hAnsi="Helvetica" w:cs="Helvetica"/>
                <w:b/>
                <w:bCs/>
                <w:color w:val="000000" w:themeColor="text1"/>
                <w:kern w:val="24"/>
                <w:sz w:val="24"/>
                <w:szCs w:val="24"/>
                <w:vertAlign w:val="superscript"/>
              </w:rPr>
              <w:t>6</w:t>
            </w:r>
          </w:p>
        </w:tc>
        <w:tc>
          <w:tcPr>
            <w:tcW w:w="471" w:type="pct"/>
            <w:tcBorders>
              <w:top w:val="single" w:sz="8" w:space="0" w:color="000000"/>
              <w:left w:val="single" w:sz="8" w:space="0" w:color="000000"/>
              <w:bottom w:val="single" w:sz="8" w:space="0" w:color="000000"/>
              <w:right w:val="single" w:sz="8" w:space="0" w:color="000000"/>
            </w:tcBorders>
            <w:shd w:val="clear" w:color="auto" w:fill="70AD47"/>
            <w:tcMar>
              <w:top w:w="72" w:type="dxa"/>
              <w:left w:w="144" w:type="dxa"/>
              <w:bottom w:w="72" w:type="dxa"/>
              <w:right w:w="144" w:type="dxa"/>
            </w:tcMar>
            <w:vAlign w:val="cente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b/>
                <w:bCs/>
                <w:color w:val="000000" w:themeColor="text1"/>
                <w:kern w:val="24"/>
                <w:sz w:val="24"/>
                <w:szCs w:val="24"/>
              </w:rPr>
              <w:t>72.1</w:t>
            </w:r>
            <w:r w:rsidR="00702365" w:rsidRPr="00702365">
              <w:rPr>
                <w:rFonts w:ascii="Helvetica" w:eastAsia="Times New Roman" w:hAnsi="Helvetica" w:cs="Helvetica"/>
                <w:b/>
                <w:bCs/>
                <w:color w:val="000000" w:themeColor="text1"/>
                <w:kern w:val="24"/>
                <w:sz w:val="24"/>
                <w:szCs w:val="24"/>
                <w:vertAlign w:val="superscript"/>
              </w:rPr>
              <w:t>6</w:t>
            </w:r>
          </w:p>
        </w:tc>
      </w:tr>
      <w:tr w:rsidR="00702365" w:rsidRPr="000D48F2" w:rsidTr="000D48F2">
        <w:trPr>
          <w:trHeight w:val="584"/>
        </w:trPr>
        <w:tc>
          <w:tcPr>
            <w:tcW w:w="243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left"/>
              <w:rPr>
                <w:rFonts w:ascii="Helvetica" w:eastAsia="Times New Roman" w:hAnsi="Helvetica" w:cs="Helvetica"/>
                <w:sz w:val="24"/>
                <w:szCs w:val="24"/>
              </w:rPr>
            </w:pPr>
            <w:r w:rsidRPr="000D48F2">
              <w:rPr>
                <w:rFonts w:ascii="Helvetica" w:eastAsia="Times New Roman" w:hAnsi="Helvetica" w:cs="Helvetica"/>
                <w:color w:val="000000" w:themeColor="text1"/>
                <w:kern w:val="24"/>
                <w:sz w:val="24"/>
                <w:szCs w:val="24"/>
              </w:rPr>
              <w:t>Colorectal Cancer Screening</w:t>
            </w:r>
          </w:p>
        </w:tc>
        <w:tc>
          <w:tcPr>
            <w:tcW w:w="6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color w:val="000000" w:themeColor="text1"/>
                <w:kern w:val="24"/>
                <w:sz w:val="24"/>
                <w:szCs w:val="24"/>
              </w:rPr>
              <w:t>5 payers</w:t>
            </w:r>
          </w:p>
        </w:tc>
        <w:tc>
          <w:tcPr>
            <w:tcW w:w="9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left"/>
              <w:rPr>
                <w:rFonts w:ascii="Helvetica" w:eastAsia="Times New Roman" w:hAnsi="Helvetica" w:cs="Helvetica"/>
                <w:sz w:val="24"/>
                <w:szCs w:val="24"/>
              </w:rPr>
            </w:pPr>
          </w:p>
        </w:tc>
        <w:tc>
          <w:tcPr>
            <w:tcW w:w="558" w:type="pct"/>
            <w:tcBorders>
              <w:top w:val="single" w:sz="8" w:space="0" w:color="000000"/>
              <w:left w:val="single" w:sz="8" w:space="0" w:color="000000"/>
              <w:bottom w:val="single" w:sz="8" w:space="0" w:color="000000"/>
              <w:right w:val="single" w:sz="8" w:space="0" w:color="000000"/>
            </w:tcBorders>
            <w:shd w:val="clear" w:color="auto" w:fill="70AD47"/>
            <w:tcMar>
              <w:top w:w="72" w:type="dxa"/>
              <w:left w:w="144" w:type="dxa"/>
              <w:bottom w:w="72" w:type="dxa"/>
              <w:right w:w="144" w:type="dxa"/>
            </w:tcMar>
            <w:vAlign w:val="cente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b/>
                <w:bCs/>
                <w:color w:val="000000" w:themeColor="text1"/>
                <w:kern w:val="24"/>
                <w:sz w:val="24"/>
                <w:szCs w:val="24"/>
              </w:rPr>
              <w:t>79.0</w:t>
            </w:r>
            <w:r w:rsidR="00702365" w:rsidRPr="00702365">
              <w:rPr>
                <w:rFonts w:ascii="Helvetica" w:eastAsia="Times New Roman" w:hAnsi="Helvetica" w:cs="Helvetica"/>
                <w:b/>
                <w:bCs/>
                <w:color w:val="000000" w:themeColor="text1"/>
                <w:kern w:val="24"/>
                <w:sz w:val="24"/>
                <w:szCs w:val="24"/>
                <w:vertAlign w:val="superscript"/>
              </w:rPr>
              <w:t>6</w:t>
            </w:r>
          </w:p>
        </w:tc>
        <w:tc>
          <w:tcPr>
            <w:tcW w:w="47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b/>
                <w:bCs/>
                <w:color w:val="000000" w:themeColor="text1"/>
                <w:kern w:val="24"/>
                <w:sz w:val="24"/>
                <w:szCs w:val="24"/>
              </w:rPr>
              <w:t>N/A</w:t>
            </w:r>
          </w:p>
        </w:tc>
      </w:tr>
      <w:tr w:rsidR="00702365" w:rsidRPr="000D48F2" w:rsidTr="000D48F2">
        <w:trPr>
          <w:trHeight w:val="584"/>
        </w:trPr>
        <w:tc>
          <w:tcPr>
            <w:tcW w:w="243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left"/>
              <w:rPr>
                <w:rFonts w:ascii="Helvetica" w:eastAsia="Times New Roman" w:hAnsi="Helvetica" w:cs="Helvetica"/>
                <w:sz w:val="24"/>
                <w:szCs w:val="24"/>
              </w:rPr>
            </w:pPr>
            <w:r w:rsidRPr="000D48F2">
              <w:rPr>
                <w:rFonts w:ascii="Helvetica" w:eastAsia="Times New Roman" w:hAnsi="Helvetica" w:cs="Helvetica"/>
                <w:color w:val="000000" w:themeColor="text1"/>
                <w:kern w:val="24"/>
                <w:sz w:val="24"/>
                <w:szCs w:val="24"/>
              </w:rPr>
              <w:t>Comprehensive Diabetes Care: Eye Exam</w:t>
            </w:r>
          </w:p>
        </w:tc>
        <w:tc>
          <w:tcPr>
            <w:tcW w:w="6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color w:val="000000" w:themeColor="text1"/>
                <w:kern w:val="24"/>
                <w:sz w:val="24"/>
                <w:szCs w:val="24"/>
              </w:rPr>
              <w:t>5 payers</w:t>
            </w:r>
          </w:p>
        </w:tc>
        <w:tc>
          <w:tcPr>
            <w:tcW w:w="9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left"/>
              <w:rPr>
                <w:rFonts w:ascii="Helvetica" w:eastAsia="Times New Roman" w:hAnsi="Helvetica" w:cs="Helvetica"/>
                <w:sz w:val="24"/>
                <w:szCs w:val="24"/>
              </w:rPr>
            </w:pPr>
          </w:p>
        </w:tc>
        <w:tc>
          <w:tcPr>
            <w:tcW w:w="558" w:type="pct"/>
            <w:tcBorders>
              <w:top w:val="single" w:sz="8" w:space="0" w:color="000000"/>
              <w:left w:val="single" w:sz="8" w:space="0" w:color="000000"/>
              <w:bottom w:val="single" w:sz="8" w:space="0" w:color="000000"/>
              <w:right w:val="single" w:sz="8" w:space="0" w:color="000000"/>
            </w:tcBorders>
            <w:shd w:val="clear" w:color="auto" w:fill="70AD47"/>
            <w:tcMar>
              <w:top w:w="72" w:type="dxa"/>
              <w:left w:w="144" w:type="dxa"/>
              <w:bottom w:w="72" w:type="dxa"/>
              <w:right w:w="144" w:type="dxa"/>
            </w:tcMar>
            <w:vAlign w:val="cente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b/>
                <w:bCs/>
                <w:color w:val="000000" w:themeColor="text1"/>
                <w:kern w:val="24"/>
                <w:sz w:val="24"/>
                <w:szCs w:val="24"/>
              </w:rPr>
              <w:t>73.1</w:t>
            </w:r>
            <w:r w:rsidR="00702365" w:rsidRPr="00702365">
              <w:rPr>
                <w:rFonts w:ascii="Helvetica" w:eastAsia="Times New Roman" w:hAnsi="Helvetica" w:cs="Helvetica"/>
                <w:b/>
                <w:bCs/>
                <w:color w:val="000000" w:themeColor="text1"/>
                <w:kern w:val="24"/>
                <w:sz w:val="24"/>
                <w:szCs w:val="24"/>
                <w:vertAlign w:val="superscript"/>
              </w:rPr>
              <w:t>6</w:t>
            </w:r>
          </w:p>
        </w:tc>
        <w:tc>
          <w:tcPr>
            <w:tcW w:w="471"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vAlign w:val="cente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b/>
                <w:bCs/>
                <w:color w:val="000000" w:themeColor="text1"/>
                <w:kern w:val="24"/>
                <w:sz w:val="24"/>
                <w:szCs w:val="24"/>
              </w:rPr>
              <w:t>68.0</w:t>
            </w:r>
            <w:r w:rsidR="00702365" w:rsidRPr="00702365">
              <w:rPr>
                <w:rFonts w:ascii="Helvetica" w:eastAsia="Times New Roman" w:hAnsi="Helvetica" w:cs="Helvetica"/>
                <w:b/>
                <w:bCs/>
                <w:color w:val="000000" w:themeColor="text1"/>
                <w:kern w:val="24"/>
                <w:sz w:val="24"/>
                <w:szCs w:val="24"/>
                <w:vertAlign w:val="superscript"/>
              </w:rPr>
              <w:t>5</w:t>
            </w:r>
          </w:p>
        </w:tc>
      </w:tr>
      <w:tr w:rsidR="00702365" w:rsidRPr="000D48F2" w:rsidTr="000D48F2">
        <w:trPr>
          <w:trHeight w:val="584"/>
        </w:trPr>
        <w:tc>
          <w:tcPr>
            <w:tcW w:w="243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left"/>
              <w:rPr>
                <w:rFonts w:ascii="Helvetica" w:eastAsia="Times New Roman" w:hAnsi="Helvetica" w:cs="Helvetica"/>
                <w:sz w:val="24"/>
                <w:szCs w:val="24"/>
              </w:rPr>
            </w:pPr>
            <w:r w:rsidRPr="000D48F2">
              <w:rPr>
                <w:rFonts w:ascii="Helvetica" w:eastAsia="Times New Roman" w:hAnsi="Helvetica" w:cs="Helvetica"/>
                <w:color w:val="000000" w:themeColor="text1"/>
                <w:kern w:val="24"/>
                <w:sz w:val="24"/>
                <w:szCs w:val="24"/>
              </w:rPr>
              <w:t>Comprehensive Diabetes Care: Blood Pressure Control (&lt;140/90 mm Hg)</w:t>
            </w:r>
          </w:p>
        </w:tc>
        <w:tc>
          <w:tcPr>
            <w:tcW w:w="6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color w:val="000000" w:themeColor="text1"/>
                <w:kern w:val="24"/>
                <w:sz w:val="24"/>
                <w:szCs w:val="24"/>
              </w:rPr>
              <w:t>6 payers</w:t>
            </w:r>
          </w:p>
        </w:tc>
        <w:tc>
          <w:tcPr>
            <w:tcW w:w="9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left"/>
              <w:rPr>
                <w:rFonts w:ascii="Helvetica" w:eastAsia="Times New Roman" w:hAnsi="Helvetica" w:cs="Helvetica"/>
                <w:sz w:val="24"/>
                <w:szCs w:val="24"/>
              </w:rPr>
            </w:pPr>
          </w:p>
        </w:tc>
        <w:tc>
          <w:tcPr>
            <w:tcW w:w="558"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vAlign w:val="cente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b/>
                <w:bCs/>
                <w:color w:val="000000" w:themeColor="text1"/>
                <w:kern w:val="24"/>
                <w:sz w:val="24"/>
                <w:szCs w:val="24"/>
              </w:rPr>
              <w:t>76.3</w:t>
            </w:r>
            <w:r w:rsidR="00702365" w:rsidRPr="00702365">
              <w:rPr>
                <w:rFonts w:ascii="Helvetica" w:eastAsia="Times New Roman" w:hAnsi="Helvetica" w:cs="Helvetica"/>
                <w:b/>
                <w:bCs/>
                <w:color w:val="000000" w:themeColor="text1"/>
                <w:kern w:val="24"/>
                <w:sz w:val="24"/>
                <w:szCs w:val="24"/>
                <w:vertAlign w:val="superscript"/>
              </w:rPr>
              <w:t>5</w:t>
            </w:r>
          </w:p>
        </w:tc>
        <w:tc>
          <w:tcPr>
            <w:tcW w:w="471" w:type="pct"/>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vAlign w:val="center"/>
            <w:hideMark/>
          </w:tcPr>
          <w:p w:rsidR="000D48F2" w:rsidRPr="000D48F2" w:rsidRDefault="00702365" w:rsidP="00702365">
            <w:pPr>
              <w:jc w:val="center"/>
              <w:rPr>
                <w:rFonts w:ascii="Helvetica" w:eastAsia="Times New Roman" w:hAnsi="Helvetica" w:cs="Helvetica"/>
                <w:sz w:val="24"/>
                <w:szCs w:val="24"/>
              </w:rPr>
            </w:pPr>
            <w:r w:rsidRPr="00702365">
              <w:rPr>
                <w:rFonts w:ascii="Helvetica" w:eastAsia="Times New Roman" w:hAnsi="Helvetica" w:cs="Helvetica"/>
                <w:b/>
                <w:bCs/>
                <w:color w:val="000000" w:themeColor="text1"/>
                <w:kern w:val="24"/>
                <w:sz w:val="24"/>
                <w:szCs w:val="24"/>
                <w:vertAlign w:val="superscript"/>
              </w:rPr>
              <w:t>1</w:t>
            </w:r>
            <w:r w:rsidR="000D48F2" w:rsidRPr="000D48F2">
              <w:rPr>
                <w:rFonts w:ascii="Helvetica" w:eastAsia="Times New Roman" w:hAnsi="Helvetica" w:cs="Helvetica"/>
                <w:b/>
                <w:bCs/>
                <w:color w:val="000000" w:themeColor="text1"/>
                <w:kern w:val="24"/>
                <w:sz w:val="24"/>
                <w:szCs w:val="24"/>
              </w:rPr>
              <w:t>69.0</w:t>
            </w:r>
            <w:r>
              <w:rPr>
                <w:rFonts w:ascii="Helvetica" w:eastAsia="Times New Roman" w:hAnsi="Helvetica" w:cs="Helvetica"/>
                <w:b/>
                <w:bCs/>
                <w:color w:val="000000" w:themeColor="text1"/>
                <w:kern w:val="24"/>
                <w:sz w:val="24"/>
                <w:szCs w:val="24"/>
                <w:vertAlign w:val="superscript"/>
              </w:rPr>
              <w:t>3</w:t>
            </w:r>
          </w:p>
        </w:tc>
      </w:tr>
      <w:tr w:rsidR="00702365" w:rsidRPr="000D48F2" w:rsidTr="000D48F2">
        <w:trPr>
          <w:trHeight w:val="584"/>
        </w:trPr>
        <w:tc>
          <w:tcPr>
            <w:tcW w:w="243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left"/>
              <w:rPr>
                <w:rFonts w:ascii="Helvetica" w:eastAsia="Times New Roman" w:hAnsi="Helvetica" w:cs="Helvetica"/>
                <w:sz w:val="24"/>
                <w:szCs w:val="24"/>
              </w:rPr>
            </w:pPr>
            <w:r w:rsidRPr="000D48F2">
              <w:rPr>
                <w:rFonts w:ascii="Helvetica" w:eastAsia="Times New Roman" w:hAnsi="Helvetica" w:cs="Helvetica"/>
                <w:color w:val="000000" w:themeColor="text1"/>
                <w:kern w:val="24"/>
                <w:sz w:val="24"/>
                <w:szCs w:val="24"/>
              </w:rPr>
              <w:t>Continuity of Pharmacotherapy for Opioid Use Disorder</w:t>
            </w:r>
          </w:p>
        </w:tc>
        <w:tc>
          <w:tcPr>
            <w:tcW w:w="6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center"/>
              <w:rPr>
                <w:rFonts w:ascii="Helvetica" w:eastAsia="Times New Roman" w:hAnsi="Helvetica" w:cs="Helvetica"/>
                <w:sz w:val="24"/>
                <w:szCs w:val="24"/>
              </w:rPr>
            </w:pPr>
            <w:r w:rsidRPr="000D48F2">
              <w:rPr>
                <w:rFonts w:ascii="Helvetica" w:eastAsia="Times New Roman" w:hAnsi="Helvetica" w:cs="Helvetica"/>
                <w:color w:val="000000" w:themeColor="text1"/>
                <w:kern w:val="24"/>
                <w:sz w:val="24"/>
                <w:szCs w:val="24"/>
              </w:rPr>
              <w:t>1 payer</w:t>
            </w:r>
          </w:p>
        </w:tc>
        <w:tc>
          <w:tcPr>
            <w:tcW w:w="9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48F2" w:rsidRPr="000D48F2" w:rsidRDefault="000D48F2" w:rsidP="000D48F2">
            <w:pPr>
              <w:jc w:val="left"/>
              <w:rPr>
                <w:rFonts w:ascii="Helvetica" w:eastAsia="Times New Roman" w:hAnsi="Helvetica" w:cs="Helvetica"/>
                <w:sz w:val="24"/>
                <w:szCs w:val="24"/>
              </w:rPr>
            </w:pPr>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D48F2" w:rsidRPr="000D48F2" w:rsidRDefault="000D48F2" w:rsidP="000D48F2">
            <w:pPr>
              <w:jc w:val="left"/>
              <w:rPr>
                <w:rFonts w:ascii="Helvetica" w:eastAsia="Times New Roman" w:hAnsi="Helvetica" w:cs="Helvetica"/>
                <w:sz w:val="24"/>
                <w:szCs w:val="24"/>
              </w:rPr>
            </w:pPr>
          </w:p>
        </w:tc>
        <w:tc>
          <w:tcPr>
            <w:tcW w:w="47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D48F2" w:rsidRPr="000D48F2" w:rsidRDefault="000D48F2" w:rsidP="000D48F2">
            <w:pPr>
              <w:jc w:val="left"/>
              <w:rPr>
                <w:rFonts w:ascii="Helvetica" w:eastAsia="Times New Roman" w:hAnsi="Helvetica" w:cs="Helvetica"/>
                <w:sz w:val="24"/>
                <w:szCs w:val="24"/>
              </w:rPr>
            </w:pPr>
          </w:p>
        </w:tc>
      </w:tr>
    </w:tbl>
    <w:p w:rsidR="002E0D79" w:rsidRPr="002E0D79" w:rsidRDefault="002E0D79" w:rsidP="00CA1C68">
      <w:pPr>
        <w:jc w:val="left"/>
        <w:rPr>
          <w:rFonts w:ascii="Helvetica" w:hAnsi="Helvetica"/>
          <w:sz w:val="24"/>
          <w:szCs w:val="24"/>
        </w:rPr>
      </w:pPr>
    </w:p>
    <w:p w:rsidR="000D48F2" w:rsidRPr="000D48F2" w:rsidRDefault="00702365" w:rsidP="000D48F2">
      <w:pPr>
        <w:jc w:val="left"/>
        <w:rPr>
          <w:rFonts w:ascii="Helvetica" w:hAnsi="Helvetica"/>
          <w:sz w:val="24"/>
          <w:szCs w:val="24"/>
        </w:rPr>
      </w:pPr>
      <w:r w:rsidRPr="00702365">
        <w:rPr>
          <w:rFonts w:ascii="Helvetica" w:hAnsi="Helvetica"/>
          <w:sz w:val="24"/>
          <w:szCs w:val="24"/>
        </w:rPr>
        <w:t>*</w:t>
      </w:r>
      <w:r w:rsidR="000D48F2" w:rsidRPr="000D48F2">
        <w:rPr>
          <w:rFonts w:ascii="Helvetica" w:hAnsi="Helvetica"/>
          <w:sz w:val="24"/>
          <w:szCs w:val="24"/>
        </w:rPr>
        <w:t xml:space="preserve">Added primary screening with a high-risk human papillomavirus test as a screening option. </w:t>
      </w:r>
    </w:p>
    <w:p w:rsidR="000D48F2" w:rsidRPr="000D48F2" w:rsidRDefault="000D48F2" w:rsidP="000D48F2">
      <w:pPr>
        <w:jc w:val="left"/>
        <w:rPr>
          <w:rFonts w:ascii="Helvetica" w:hAnsi="Helvetica"/>
          <w:sz w:val="24"/>
          <w:szCs w:val="24"/>
        </w:rPr>
      </w:pPr>
      <w:r w:rsidRPr="000D48F2">
        <w:rPr>
          <w:rFonts w:ascii="Helvetica" w:hAnsi="Helvetica"/>
          <w:sz w:val="24"/>
          <w:szCs w:val="24"/>
          <w:vertAlign w:val="superscript"/>
        </w:rPr>
        <w:t>1</w:t>
      </w:r>
      <w:r w:rsidRPr="000D48F2">
        <w:rPr>
          <w:rFonts w:ascii="Helvetica" w:hAnsi="Helvetica"/>
          <w:sz w:val="24"/>
          <w:szCs w:val="24"/>
        </w:rPr>
        <w:t>One MCO did not do medical record review (resulting in a rate of 0%), likely pulling down the MassHealth rate by 3-4 percentage points.</w:t>
      </w:r>
    </w:p>
    <w:p w:rsidR="00D21163" w:rsidRDefault="00D21163" w:rsidP="00D21163">
      <w:r w:rsidRPr="00702365">
        <w:rPr>
          <w:rFonts w:ascii="Helvetica" w:eastAsia="Times New Roman" w:hAnsi="Helvetica" w:cs="Helvetica"/>
          <w:color w:val="000000"/>
          <w:kern w:val="24"/>
          <w:sz w:val="24"/>
          <w:szCs w:val="24"/>
          <w:vertAlign w:val="superscript"/>
        </w:rPr>
        <w:t>2</w:t>
      </w:r>
      <w:r w:rsidRPr="00E4272E">
        <w:rPr>
          <w:rFonts w:ascii="Helvetica" w:eastAsia="Times New Roman" w:hAnsi="Helvetica" w:cs="Helvetica"/>
          <w:color w:val="000000"/>
          <w:kern w:val="24"/>
          <w:sz w:val="24"/>
          <w:szCs w:val="24"/>
        </w:rPr>
        <w:t>&lt;25th</w:t>
      </w:r>
      <w:r>
        <w:t xml:space="preserve"> </w:t>
      </w:r>
    </w:p>
    <w:p w:rsidR="00D21163" w:rsidRDefault="00D21163" w:rsidP="00D21163">
      <w:r w:rsidRPr="00702365">
        <w:rPr>
          <w:rFonts w:ascii="Helvetica" w:eastAsia="Times New Roman" w:hAnsi="Helvetica" w:cs="Helvetica"/>
          <w:color w:val="000000"/>
          <w:kern w:val="24"/>
          <w:sz w:val="24"/>
          <w:szCs w:val="24"/>
          <w:vertAlign w:val="superscript"/>
        </w:rPr>
        <w:t>3</w:t>
      </w:r>
      <w:r w:rsidRPr="00E4272E">
        <w:rPr>
          <w:rFonts w:ascii="Helvetica" w:eastAsia="Times New Roman" w:hAnsi="Helvetica" w:cs="Helvetica"/>
          <w:color w:val="000000"/>
          <w:kern w:val="24"/>
          <w:sz w:val="24"/>
          <w:szCs w:val="24"/>
        </w:rPr>
        <w:t>25th - 50th</w:t>
      </w:r>
    </w:p>
    <w:p w:rsidR="00D21163" w:rsidRDefault="00D21163" w:rsidP="00D21163">
      <w:pPr>
        <w:rPr>
          <w:rFonts w:ascii="Helvetica" w:eastAsia="Times New Roman" w:hAnsi="Helvetica" w:cs="Helvetica"/>
          <w:color w:val="000000"/>
          <w:kern w:val="24"/>
          <w:sz w:val="24"/>
          <w:szCs w:val="24"/>
        </w:rPr>
      </w:pPr>
      <w:r>
        <w:rPr>
          <w:rFonts w:ascii="Helvetica" w:eastAsia="Times New Roman" w:hAnsi="Helvetica" w:cs="Helvetica"/>
          <w:bCs/>
          <w:color w:val="000000" w:themeColor="text1"/>
          <w:kern w:val="24"/>
          <w:sz w:val="24"/>
          <w:szCs w:val="24"/>
          <w:vertAlign w:val="superscript"/>
        </w:rPr>
        <w:t>4</w:t>
      </w:r>
      <w:r w:rsidRPr="00E4272E">
        <w:rPr>
          <w:rFonts w:ascii="Helvetica" w:eastAsia="Times New Roman" w:hAnsi="Helvetica" w:cs="Helvetica"/>
          <w:color w:val="000000"/>
          <w:kern w:val="24"/>
          <w:sz w:val="24"/>
          <w:szCs w:val="24"/>
        </w:rPr>
        <w:t>50th - 75th</w:t>
      </w:r>
    </w:p>
    <w:p w:rsidR="00D21163" w:rsidRDefault="00D21163" w:rsidP="00D21163">
      <w:pPr>
        <w:rPr>
          <w:rFonts w:ascii="Helvetica" w:eastAsia="Times New Roman" w:hAnsi="Helvetica" w:cs="Helvetica"/>
          <w:color w:val="000000"/>
          <w:kern w:val="24"/>
          <w:sz w:val="24"/>
          <w:szCs w:val="24"/>
        </w:rPr>
      </w:pPr>
      <w:r w:rsidRPr="00702365">
        <w:rPr>
          <w:rFonts w:ascii="Helvetica" w:eastAsia="Times New Roman" w:hAnsi="Helvetica" w:cs="Helvetica"/>
          <w:color w:val="000000"/>
          <w:kern w:val="24"/>
          <w:sz w:val="24"/>
          <w:szCs w:val="24"/>
          <w:vertAlign w:val="superscript"/>
        </w:rPr>
        <w:t>5</w:t>
      </w:r>
      <w:r w:rsidRPr="00E4272E">
        <w:rPr>
          <w:rFonts w:ascii="Helvetica" w:eastAsia="Times New Roman" w:hAnsi="Helvetica" w:cs="Helvetica"/>
          <w:color w:val="000000"/>
          <w:kern w:val="24"/>
          <w:sz w:val="24"/>
          <w:szCs w:val="24"/>
        </w:rPr>
        <w:t>75th - 90th</w:t>
      </w:r>
    </w:p>
    <w:p w:rsidR="00D21163" w:rsidRDefault="00D21163" w:rsidP="00D21163">
      <w:r w:rsidRPr="00702365">
        <w:rPr>
          <w:rFonts w:ascii="Arial" w:eastAsia="Times New Roman" w:hAnsi="Arial" w:cs="Arial"/>
          <w:color w:val="000000"/>
          <w:kern w:val="24"/>
          <w:sz w:val="24"/>
          <w:szCs w:val="24"/>
          <w:vertAlign w:val="superscript"/>
        </w:rPr>
        <w:t>6</w:t>
      </w:r>
      <w:r w:rsidRPr="00E4272E">
        <w:rPr>
          <w:rFonts w:ascii="Arial" w:eastAsia="Times New Roman" w:hAnsi="Arial" w:cs="Arial"/>
          <w:color w:val="000000"/>
          <w:kern w:val="24"/>
          <w:sz w:val="24"/>
          <w:szCs w:val="24"/>
        </w:rPr>
        <w:t>≥</w:t>
      </w:r>
      <w:r w:rsidRPr="00E4272E">
        <w:rPr>
          <w:rFonts w:ascii="Helvetica" w:eastAsia="Times New Roman" w:hAnsi="Helvetica" w:cs="Helvetica"/>
          <w:color w:val="000000"/>
          <w:kern w:val="24"/>
          <w:sz w:val="24"/>
          <w:szCs w:val="24"/>
        </w:rPr>
        <w:t>90th</w:t>
      </w:r>
    </w:p>
    <w:p w:rsidR="002E0D79" w:rsidRDefault="002E0D79" w:rsidP="00CA1C68">
      <w:pPr>
        <w:pStyle w:val="Heading1"/>
        <w:tabs>
          <w:tab w:val="left" w:pos="2296"/>
        </w:tabs>
      </w:pPr>
      <w:r w:rsidRPr="00A35C58">
        <w:t xml:space="preserve">Slide </w:t>
      </w:r>
      <w:r w:rsidR="00D21163">
        <w:t>38</w:t>
      </w:r>
    </w:p>
    <w:p w:rsidR="002E0D79" w:rsidRDefault="00D21163" w:rsidP="00CA1C68">
      <w:pPr>
        <w:pStyle w:val="Heading2"/>
      </w:pPr>
      <w:r w:rsidRPr="00D21163">
        <w:t>Menu Measures (cont’d)</w:t>
      </w:r>
    </w:p>
    <w:tbl>
      <w:tblPr>
        <w:tblStyle w:val="TableGrid"/>
        <w:tblW w:w="5000" w:type="pct"/>
        <w:tblCellMar>
          <w:left w:w="0" w:type="dxa"/>
          <w:right w:w="0" w:type="dxa"/>
        </w:tblCellMar>
        <w:tblLook w:val="0420" w:firstRow="1" w:lastRow="0" w:firstColumn="0" w:lastColumn="0" w:noHBand="0" w:noVBand="1"/>
        <w:tblCaption w:val="Menu Measures (cont’d)"/>
      </w:tblPr>
      <w:tblGrid>
        <w:gridCol w:w="4469"/>
        <w:gridCol w:w="1275"/>
        <w:gridCol w:w="1925"/>
        <w:gridCol w:w="1102"/>
        <w:gridCol w:w="877"/>
      </w:tblGrid>
      <w:tr w:rsidR="00D21163" w:rsidRPr="00D21163" w:rsidTr="00A40DC0">
        <w:trPr>
          <w:trHeight w:val="584"/>
          <w:tblHeader/>
        </w:trPr>
        <w:tc>
          <w:tcPr>
            <w:tcW w:w="2333" w:type="pct"/>
            <w:vMerge w:val="restart"/>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D21163" w:rsidRPr="00D21163" w:rsidRDefault="00D21163" w:rsidP="00D21163">
            <w:pPr>
              <w:jc w:val="center"/>
              <w:rPr>
                <w:rFonts w:ascii="Helvetica" w:eastAsia="Times New Roman" w:hAnsi="Helvetica" w:cs="Helvetica"/>
                <w:sz w:val="24"/>
                <w:szCs w:val="24"/>
              </w:rPr>
            </w:pPr>
            <w:r w:rsidRPr="00D21163">
              <w:rPr>
                <w:rFonts w:ascii="Helvetica" w:eastAsia="Times New Roman" w:hAnsi="Helvetica" w:cs="Helvetica"/>
                <w:b/>
                <w:bCs/>
                <w:color w:val="FFFFFF" w:themeColor="background1"/>
                <w:kern w:val="24"/>
                <w:sz w:val="24"/>
                <w:szCs w:val="24"/>
              </w:rPr>
              <w:t>Measure</w:t>
            </w:r>
          </w:p>
        </w:tc>
        <w:tc>
          <w:tcPr>
            <w:tcW w:w="623" w:type="pct"/>
            <w:vMerge w:val="restart"/>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D21163" w:rsidRPr="00D21163" w:rsidRDefault="00D21163" w:rsidP="00D21163">
            <w:pPr>
              <w:jc w:val="center"/>
              <w:rPr>
                <w:rFonts w:ascii="Helvetica" w:eastAsia="Times New Roman" w:hAnsi="Helvetica" w:cs="Helvetica"/>
                <w:sz w:val="24"/>
                <w:szCs w:val="24"/>
              </w:rPr>
            </w:pPr>
            <w:r w:rsidRPr="00D21163">
              <w:rPr>
                <w:rFonts w:ascii="Helvetica" w:eastAsia="Times New Roman" w:hAnsi="Helvetica" w:cs="Helvetica"/>
                <w:b/>
                <w:bCs/>
                <w:color w:val="FFFFFF" w:themeColor="background1"/>
                <w:kern w:val="24"/>
                <w:sz w:val="24"/>
                <w:szCs w:val="24"/>
              </w:rPr>
              <w:t>Contract Use 2020</w:t>
            </w:r>
          </w:p>
        </w:tc>
        <w:tc>
          <w:tcPr>
            <w:tcW w:w="1014" w:type="pct"/>
            <w:vMerge w:val="restart"/>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D21163" w:rsidRPr="00D21163" w:rsidRDefault="00D21163" w:rsidP="00D21163">
            <w:pPr>
              <w:jc w:val="center"/>
              <w:rPr>
                <w:rFonts w:ascii="Helvetica" w:eastAsia="Times New Roman" w:hAnsi="Helvetica" w:cs="Helvetica"/>
                <w:sz w:val="24"/>
                <w:szCs w:val="24"/>
              </w:rPr>
            </w:pPr>
            <w:r w:rsidRPr="00D21163">
              <w:rPr>
                <w:rFonts w:ascii="Helvetica" w:eastAsia="Times New Roman" w:hAnsi="Helvetica" w:cs="Helvetica"/>
                <w:b/>
                <w:bCs/>
                <w:color w:val="FFFFFF" w:themeColor="background1"/>
                <w:kern w:val="24"/>
                <w:sz w:val="24"/>
                <w:szCs w:val="24"/>
              </w:rPr>
              <w:t>Substantive Change</w:t>
            </w:r>
          </w:p>
        </w:tc>
        <w:tc>
          <w:tcPr>
            <w:tcW w:w="1029" w:type="pct"/>
            <w:gridSpan w:val="2"/>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D21163" w:rsidRPr="00D21163" w:rsidRDefault="00D21163" w:rsidP="00D21163">
            <w:pPr>
              <w:jc w:val="center"/>
              <w:rPr>
                <w:rFonts w:ascii="Helvetica" w:eastAsia="Times New Roman" w:hAnsi="Helvetica" w:cs="Helvetica"/>
                <w:sz w:val="24"/>
                <w:szCs w:val="24"/>
              </w:rPr>
            </w:pPr>
            <w:r w:rsidRPr="00D21163">
              <w:rPr>
                <w:rFonts w:ascii="Helvetica" w:eastAsia="Times New Roman" w:hAnsi="Helvetica" w:cs="Helvetica"/>
                <w:b/>
                <w:bCs/>
                <w:color w:val="FFFFFF" w:themeColor="background1"/>
                <w:kern w:val="24"/>
                <w:sz w:val="24"/>
                <w:szCs w:val="24"/>
              </w:rPr>
              <w:t>2018 Performance</w:t>
            </w:r>
          </w:p>
        </w:tc>
      </w:tr>
      <w:tr w:rsidR="00D21163" w:rsidRPr="00D21163" w:rsidTr="00A40DC0">
        <w:trPr>
          <w:trHeight w:val="412"/>
          <w:tblHeader/>
        </w:trPr>
        <w:tc>
          <w:tcPr>
            <w:tcW w:w="2333" w:type="pct"/>
            <w:vMerge/>
            <w:tcBorders>
              <w:top w:val="single" w:sz="8" w:space="0" w:color="000000"/>
              <w:left w:val="single" w:sz="8" w:space="0" w:color="000000"/>
              <w:bottom w:val="single" w:sz="8" w:space="0" w:color="000000"/>
              <w:right w:val="single" w:sz="8" w:space="0" w:color="000000"/>
            </w:tcBorders>
            <w:vAlign w:val="center"/>
            <w:hideMark/>
          </w:tcPr>
          <w:p w:rsidR="00D21163" w:rsidRPr="00D21163" w:rsidRDefault="00D21163" w:rsidP="00D21163">
            <w:pPr>
              <w:jc w:val="left"/>
              <w:rPr>
                <w:rFonts w:ascii="Helvetica" w:eastAsia="Times New Roman" w:hAnsi="Helvetica" w:cs="Helvetica"/>
                <w:sz w:val="24"/>
                <w:szCs w:val="24"/>
              </w:rPr>
            </w:pPr>
          </w:p>
        </w:tc>
        <w:tc>
          <w:tcPr>
            <w:tcW w:w="623" w:type="pct"/>
            <w:vMerge/>
            <w:tcBorders>
              <w:top w:val="single" w:sz="8" w:space="0" w:color="000000"/>
              <w:left w:val="single" w:sz="8" w:space="0" w:color="000000"/>
              <w:bottom w:val="single" w:sz="8" w:space="0" w:color="000000"/>
              <w:right w:val="single" w:sz="8" w:space="0" w:color="000000"/>
            </w:tcBorders>
            <w:vAlign w:val="center"/>
            <w:hideMark/>
          </w:tcPr>
          <w:p w:rsidR="00D21163" w:rsidRPr="00D21163" w:rsidRDefault="00D21163" w:rsidP="00D21163">
            <w:pPr>
              <w:jc w:val="left"/>
              <w:rPr>
                <w:rFonts w:ascii="Helvetica" w:eastAsia="Times New Roman" w:hAnsi="Helvetica" w:cs="Helvetica"/>
                <w:sz w:val="24"/>
                <w:szCs w:val="24"/>
              </w:rPr>
            </w:pPr>
          </w:p>
        </w:tc>
        <w:tc>
          <w:tcPr>
            <w:tcW w:w="1014" w:type="pct"/>
            <w:vMerge/>
            <w:tcBorders>
              <w:top w:val="single" w:sz="8" w:space="0" w:color="000000"/>
              <w:left w:val="single" w:sz="8" w:space="0" w:color="000000"/>
              <w:bottom w:val="single" w:sz="8" w:space="0" w:color="000000"/>
              <w:right w:val="single" w:sz="8" w:space="0" w:color="000000"/>
            </w:tcBorders>
            <w:vAlign w:val="center"/>
            <w:hideMark/>
          </w:tcPr>
          <w:p w:rsidR="00D21163" w:rsidRPr="00D21163" w:rsidRDefault="00D21163" w:rsidP="00D21163">
            <w:pPr>
              <w:jc w:val="left"/>
              <w:rPr>
                <w:rFonts w:ascii="Helvetica" w:eastAsia="Times New Roman" w:hAnsi="Helvetica" w:cs="Helvetica"/>
                <w:sz w:val="24"/>
                <w:szCs w:val="24"/>
              </w:rPr>
            </w:pPr>
          </w:p>
        </w:tc>
        <w:tc>
          <w:tcPr>
            <w:tcW w:w="558" w:type="pct"/>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D21163" w:rsidRPr="00D21163" w:rsidRDefault="00D21163" w:rsidP="00D21163">
            <w:pPr>
              <w:jc w:val="center"/>
              <w:rPr>
                <w:rFonts w:ascii="Helvetica" w:eastAsia="Times New Roman" w:hAnsi="Helvetica" w:cs="Helvetica"/>
                <w:sz w:val="24"/>
                <w:szCs w:val="24"/>
              </w:rPr>
            </w:pPr>
            <w:r w:rsidRPr="00D21163">
              <w:rPr>
                <w:rFonts w:ascii="Helvetica" w:eastAsia="Times New Roman" w:hAnsi="Helvetica" w:cs="Helvetica"/>
                <w:b/>
                <w:bCs/>
                <w:color w:val="FFFFFF" w:themeColor="background1"/>
                <w:kern w:val="24"/>
                <w:sz w:val="24"/>
                <w:szCs w:val="24"/>
              </w:rPr>
              <w:t>Comm.</w:t>
            </w:r>
          </w:p>
        </w:tc>
        <w:tc>
          <w:tcPr>
            <w:tcW w:w="471" w:type="pct"/>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D21163" w:rsidRPr="00D21163" w:rsidRDefault="00D21163" w:rsidP="00D21163">
            <w:pPr>
              <w:jc w:val="center"/>
              <w:rPr>
                <w:rFonts w:ascii="Helvetica" w:eastAsia="Times New Roman" w:hAnsi="Helvetica" w:cs="Helvetica"/>
                <w:sz w:val="24"/>
                <w:szCs w:val="24"/>
              </w:rPr>
            </w:pPr>
            <w:r w:rsidRPr="00D21163">
              <w:rPr>
                <w:rFonts w:ascii="Helvetica" w:eastAsia="Times New Roman" w:hAnsi="Helvetica" w:cs="Helvetica"/>
                <w:b/>
                <w:bCs/>
                <w:color w:val="FFFFFF" w:themeColor="background1"/>
                <w:kern w:val="24"/>
                <w:sz w:val="24"/>
                <w:szCs w:val="24"/>
              </w:rPr>
              <w:t>MH</w:t>
            </w:r>
          </w:p>
        </w:tc>
      </w:tr>
      <w:tr w:rsidR="00D21163" w:rsidRPr="00D21163" w:rsidTr="00D21163">
        <w:trPr>
          <w:trHeight w:val="584"/>
        </w:trPr>
        <w:tc>
          <w:tcPr>
            <w:tcW w:w="233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1163" w:rsidRPr="00D21163" w:rsidRDefault="00D21163" w:rsidP="00D21163">
            <w:pPr>
              <w:jc w:val="left"/>
              <w:rPr>
                <w:rFonts w:ascii="Helvetica" w:eastAsia="Times New Roman" w:hAnsi="Helvetica" w:cs="Helvetica"/>
                <w:sz w:val="24"/>
                <w:szCs w:val="24"/>
              </w:rPr>
            </w:pPr>
            <w:r w:rsidRPr="00D21163">
              <w:rPr>
                <w:rFonts w:ascii="Helvetica" w:eastAsia="Times New Roman" w:hAnsi="Helvetica" w:cs="Helvetica"/>
                <w:color w:val="000000" w:themeColor="text1"/>
                <w:kern w:val="24"/>
                <w:sz w:val="24"/>
                <w:szCs w:val="24"/>
              </w:rPr>
              <w:t>Follow-up After Emergency Department Visit for Mental Health (7-Day)</w:t>
            </w:r>
          </w:p>
        </w:tc>
        <w:tc>
          <w:tcPr>
            <w:tcW w:w="6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1163" w:rsidRPr="00D21163" w:rsidRDefault="00D21163" w:rsidP="00D21163">
            <w:pPr>
              <w:jc w:val="center"/>
              <w:rPr>
                <w:rFonts w:ascii="Helvetica" w:eastAsia="Times New Roman" w:hAnsi="Helvetica" w:cs="Helvetica"/>
                <w:sz w:val="24"/>
                <w:szCs w:val="24"/>
              </w:rPr>
            </w:pPr>
            <w:r w:rsidRPr="00D21163">
              <w:rPr>
                <w:rFonts w:ascii="Helvetica" w:eastAsia="Times New Roman" w:hAnsi="Helvetica" w:cs="Helvetica"/>
                <w:color w:val="000000" w:themeColor="text1"/>
                <w:kern w:val="24"/>
                <w:sz w:val="24"/>
                <w:szCs w:val="24"/>
              </w:rPr>
              <w:t>1 payer</w:t>
            </w:r>
          </w:p>
        </w:tc>
        <w:tc>
          <w:tcPr>
            <w:tcW w:w="101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1163" w:rsidRPr="00D21163" w:rsidRDefault="00D21163" w:rsidP="00D21163">
            <w:pPr>
              <w:jc w:val="left"/>
              <w:rPr>
                <w:rFonts w:ascii="Helvetica" w:eastAsia="Times New Roman" w:hAnsi="Helvetica" w:cs="Helvetica"/>
                <w:sz w:val="24"/>
                <w:szCs w:val="24"/>
              </w:rPr>
            </w:pPr>
          </w:p>
        </w:tc>
        <w:tc>
          <w:tcPr>
            <w:tcW w:w="558" w:type="pct"/>
            <w:tcBorders>
              <w:top w:val="single" w:sz="8" w:space="0" w:color="000000"/>
              <w:left w:val="single" w:sz="8" w:space="0" w:color="000000"/>
              <w:bottom w:val="single" w:sz="8" w:space="0" w:color="000000"/>
              <w:right w:val="single" w:sz="8" w:space="0" w:color="000000"/>
            </w:tcBorders>
            <w:shd w:val="clear" w:color="auto" w:fill="70AD47"/>
            <w:tcMar>
              <w:top w:w="72" w:type="dxa"/>
              <w:left w:w="144" w:type="dxa"/>
              <w:bottom w:w="72" w:type="dxa"/>
              <w:right w:w="144" w:type="dxa"/>
            </w:tcMar>
            <w:vAlign w:val="center"/>
            <w:hideMark/>
          </w:tcPr>
          <w:p w:rsidR="00D21163" w:rsidRPr="00D21163" w:rsidRDefault="00D21163" w:rsidP="00D21163">
            <w:pPr>
              <w:jc w:val="center"/>
              <w:rPr>
                <w:rFonts w:ascii="Helvetica" w:eastAsia="Times New Roman" w:hAnsi="Helvetica" w:cs="Helvetica"/>
                <w:sz w:val="24"/>
                <w:szCs w:val="24"/>
              </w:rPr>
            </w:pPr>
            <w:r w:rsidRPr="00D21163">
              <w:rPr>
                <w:rFonts w:ascii="Helvetica" w:eastAsia="Times New Roman" w:hAnsi="Helvetica" w:cs="Helvetica"/>
                <w:b/>
                <w:bCs/>
                <w:color w:val="000000" w:themeColor="text1"/>
                <w:kern w:val="24"/>
                <w:sz w:val="24"/>
                <w:szCs w:val="24"/>
              </w:rPr>
              <w:t>69.7</w:t>
            </w:r>
            <w:r w:rsidRPr="00702365">
              <w:rPr>
                <w:rFonts w:ascii="Helvetica" w:eastAsia="Times New Roman" w:hAnsi="Helvetica" w:cs="Helvetica"/>
                <w:b/>
                <w:bCs/>
                <w:color w:val="000000" w:themeColor="text1"/>
                <w:kern w:val="24"/>
                <w:sz w:val="24"/>
                <w:szCs w:val="24"/>
                <w:vertAlign w:val="superscript"/>
              </w:rPr>
              <w:t>6</w:t>
            </w:r>
          </w:p>
        </w:tc>
        <w:tc>
          <w:tcPr>
            <w:tcW w:w="471" w:type="pct"/>
            <w:tcBorders>
              <w:top w:val="single" w:sz="8" w:space="0" w:color="000000"/>
              <w:left w:val="single" w:sz="8" w:space="0" w:color="000000"/>
              <w:bottom w:val="single" w:sz="8" w:space="0" w:color="000000"/>
              <w:right w:val="single" w:sz="8" w:space="0" w:color="000000"/>
            </w:tcBorders>
            <w:shd w:val="clear" w:color="auto" w:fill="70AD47"/>
            <w:tcMar>
              <w:top w:w="72" w:type="dxa"/>
              <w:left w:w="144" w:type="dxa"/>
              <w:bottom w:w="72" w:type="dxa"/>
              <w:right w:w="144" w:type="dxa"/>
            </w:tcMar>
            <w:vAlign w:val="center"/>
            <w:hideMark/>
          </w:tcPr>
          <w:p w:rsidR="00D21163" w:rsidRPr="00D21163" w:rsidRDefault="00D21163" w:rsidP="00D21163">
            <w:pPr>
              <w:jc w:val="center"/>
              <w:rPr>
                <w:rFonts w:ascii="Helvetica" w:eastAsia="Times New Roman" w:hAnsi="Helvetica" w:cs="Helvetica"/>
                <w:sz w:val="24"/>
                <w:szCs w:val="24"/>
              </w:rPr>
            </w:pPr>
            <w:r w:rsidRPr="00D21163">
              <w:rPr>
                <w:rFonts w:ascii="Helvetica" w:eastAsia="Times New Roman" w:hAnsi="Helvetica" w:cs="Helvetica"/>
                <w:b/>
                <w:bCs/>
                <w:color w:val="000000" w:themeColor="text1"/>
                <w:kern w:val="24"/>
                <w:sz w:val="24"/>
                <w:szCs w:val="24"/>
              </w:rPr>
              <w:t>76.6</w:t>
            </w:r>
            <w:r w:rsidRPr="00702365">
              <w:rPr>
                <w:rFonts w:ascii="Helvetica" w:eastAsia="Times New Roman" w:hAnsi="Helvetica" w:cs="Helvetica"/>
                <w:b/>
                <w:bCs/>
                <w:color w:val="000000" w:themeColor="text1"/>
                <w:kern w:val="24"/>
                <w:sz w:val="24"/>
                <w:szCs w:val="24"/>
                <w:vertAlign w:val="superscript"/>
              </w:rPr>
              <w:t>6</w:t>
            </w:r>
          </w:p>
        </w:tc>
      </w:tr>
      <w:tr w:rsidR="00D21163" w:rsidRPr="00D21163" w:rsidTr="00D21163">
        <w:trPr>
          <w:trHeight w:val="584"/>
        </w:trPr>
        <w:tc>
          <w:tcPr>
            <w:tcW w:w="233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1163" w:rsidRPr="00D21163" w:rsidRDefault="00D21163" w:rsidP="00D21163">
            <w:pPr>
              <w:jc w:val="left"/>
              <w:rPr>
                <w:rFonts w:ascii="Helvetica" w:eastAsia="Times New Roman" w:hAnsi="Helvetica" w:cs="Helvetica"/>
                <w:sz w:val="24"/>
                <w:szCs w:val="24"/>
              </w:rPr>
            </w:pPr>
            <w:r w:rsidRPr="00D21163">
              <w:rPr>
                <w:rFonts w:ascii="Helvetica" w:eastAsia="Times New Roman" w:hAnsi="Helvetica" w:cs="Helvetica"/>
                <w:color w:val="000000" w:themeColor="text1"/>
                <w:kern w:val="24"/>
                <w:sz w:val="24"/>
                <w:szCs w:val="24"/>
              </w:rPr>
              <w:lastRenderedPageBreak/>
              <w:t>Follow-Up After Hospitalization for Mental Illness (FUH) (7-Day)</w:t>
            </w:r>
          </w:p>
        </w:tc>
        <w:tc>
          <w:tcPr>
            <w:tcW w:w="6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1163" w:rsidRPr="00D21163" w:rsidRDefault="00D21163" w:rsidP="00D21163">
            <w:pPr>
              <w:jc w:val="center"/>
              <w:rPr>
                <w:rFonts w:ascii="Helvetica" w:eastAsia="Times New Roman" w:hAnsi="Helvetica" w:cs="Helvetica"/>
                <w:sz w:val="24"/>
                <w:szCs w:val="24"/>
              </w:rPr>
            </w:pPr>
            <w:r w:rsidRPr="00D21163">
              <w:rPr>
                <w:rFonts w:ascii="Helvetica" w:eastAsia="Times New Roman" w:hAnsi="Helvetica" w:cs="Helvetica"/>
                <w:color w:val="000000" w:themeColor="text1"/>
                <w:kern w:val="24"/>
                <w:sz w:val="24"/>
                <w:szCs w:val="24"/>
              </w:rPr>
              <w:t>2 payers</w:t>
            </w:r>
          </w:p>
        </w:tc>
        <w:tc>
          <w:tcPr>
            <w:tcW w:w="101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1163" w:rsidRPr="00D21163" w:rsidRDefault="00D21163" w:rsidP="00D21163">
            <w:pPr>
              <w:jc w:val="left"/>
              <w:rPr>
                <w:rFonts w:ascii="Helvetica" w:eastAsia="Times New Roman" w:hAnsi="Helvetica" w:cs="Helvetica"/>
                <w:sz w:val="24"/>
                <w:szCs w:val="24"/>
              </w:rPr>
            </w:pPr>
          </w:p>
        </w:tc>
        <w:tc>
          <w:tcPr>
            <w:tcW w:w="558"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vAlign w:val="center"/>
            <w:hideMark/>
          </w:tcPr>
          <w:p w:rsidR="00D21163" w:rsidRPr="00D21163" w:rsidRDefault="00D21163" w:rsidP="00D21163">
            <w:pPr>
              <w:jc w:val="center"/>
              <w:rPr>
                <w:rFonts w:ascii="Helvetica" w:eastAsia="Times New Roman" w:hAnsi="Helvetica" w:cs="Helvetica"/>
                <w:sz w:val="24"/>
                <w:szCs w:val="24"/>
              </w:rPr>
            </w:pPr>
            <w:r w:rsidRPr="00D21163">
              <w:rPr>
                <w:rFonts w:ascii="Helvetica" w:eastAsia="Times New Roman" w:hAnsi="Helvetica" w:cs="Helvetica"/>
                <w:b/>
                <w:bCs/>
                <w:color w:val="000000" w:themeColor="text1"/>
                <w:kern w:val="24"/>
                <w:sz w:val="24"/>
                <w:szCs w:val="24"/>
              </w:rPr>
              <w:t>58.6</w:t>
            </w:r>
            <w:r w:rsidRPr="00D21163">
              <w:rPr>
                <w:rFonts w:ascii="Helvetica" w:eastAsia="Times New Roman" w:hAnsi="Helvetica" w:cs="Helvetica"/>
                <w:b/>
                <w:bCs/>
                <w:color w:val="000000" w:themeColor="text1"/>
                <w:kern w:val="24"/>
                <w:sz w:val="24"/>
                <w:szCs w:val="24"/>
                <w:vertAlign w:val="superscript"/>
              </w:rPr>
              <w:t>5</w:t>
            </w:r>
          </w:p>
        </w:tc>
        <w:tc>
          <w:tcPr>
            <w:tcW w:w="471"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vAlign w:val="center"/>
            <w:hideMark/>
          </w:tcPr>
          <w:p w:rsidR="00D21163" w:rsidRPr="00D21163" w:rsidRDefault="00D21163" w:rsidP="00D21163">
            <w:pPr>
              <w:jc w:val="center"/>
              <w:rPr>
                <w:rFonts w:ascii="Helvetica" w:eastAsia="Times New Roman" w:hAnsi="Helvetica" w:cs="Helvetica"/>
                <w:sz w:val="24"/>
                <w:szCs w:val="24"/>
              </w:rPr>
            </w:pPr>
            <w:r w:rsidRPr="00D21163">
              <w:rPr>
                <w:rFonts w:ascii="Helvetica" w:eastAsia="Times New Roman" w:hAnsi="Helvetica" w:cs="Helvetica"/>
                <w:b/>
                <w:bCs/>
                <w:color w:val="000000" w:themeColor="text1"/>
                <w:kern w:val="24"/>
                <w:sz w:val="24"/>
                <w:szCs w:val="24"/>
              </w:rPr>
              <w:t>49.0</w:t>
            </w:r>
            <w:r w:rsidRPr="00D21163">
              <w:rPr>
                <w:rFonts w:ascii="Helvetica" w:eastAsia="Times New Roman" w:hAnsi="Helvetica" w:cs="Helvetica"/>
                <w:b/>
                <w:bCs/>
                <w:color w:val="000000" w:themeColor="text1"/>
                <w:kern w:val="24"/>
                <w:sz w:val="24"/>
                <w:szCs w:val="24"/>
                <w:vertAlign w:val="superscript"/>
              </w:rPr>
              <w:t>5</w:t>
            </w:r>
          </w:p>
        </w:tc>
      </w:tr>
      <w:tr w:rsidR="00D21163" w:rsidRPr="00D21163" w:rsidTr="00D21163">
        <w:trPr>
          <w:trHeight w:val="584"/>
        </w:trPr>
        <w:tc>
          <w:tcPr>
            <w:tcW w:w="233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1163" w:rsidRPr="00D21163" w:rsidRDefault="00D21163" w:rsidP="00D21163">
            <w:pPr>
              <w:jc w:val="left"/>
              <w:rPr>
                <w:rFonts w:ascii="Helvetica" w:eastAsia="Times New Roman" w:hAnsi="Helvetica" w:cs="Helvetica"/>
                <w:sz w:val="24"/>
                <w:szCs w:val="24"/>
              </w:rPr>
            </w:pPr>
            <w:r w:rsidRPr="00D21163">
              <w:rPr>
                <w:rFonts w:ascii="Helvetica" w:eastAsia="Times New Roman" w:hAnsi="Helvetica" w:cs="Helvetica"/>
                <w:color w:val="000000" w:themeColor="text1"/>
                <w:kern w:val="24"/>
                <w:sz w:val="24"/>
                <w:szCs w:val="24"/>
              </w:rPr>
              <w:t>Follow-Up After Hospitalization for Mental Illness (FUH) (30-Day)</w:t>
            </w:r>
          </w:p>
        </w:tc>
        <w:tc>
          <w:tcPr>
            <w:tcW w:w="6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1163" w:rsidRPr="00D21163" w:rsidRDefault="00D21163" w:rsidP="00D21163">
            <w:pPr>
              <w:jc w:val="center"/>
              <w:rPr>
                <w:rFonts w:ascii="Helvetica" w:eastAsia="Times New Roman" w:hAnsi="Helvetica" w:cs="Helvetica"/>
                <w:sz w:val="24"/>
                <w:szCs w:val="24"/>
              </w:rPr>
            </w:pPr>
            <w:r w:rsidRPr="00D21163">
              <w:rPr>
                <w:rFonts w:ascii="Helvetica" w:eastAsia="Times New Roman" w:hAnsi="Helvetica" w:cs="Helvetica"/>
                <w:color w:val="000000" w:themeColor="text1"/>
                <w:kern w:val="24"/>
                <w:sz w:val="24"/>
                <w:szCs w:val="24"/>
              </w:rPr>
              <w:t>0 payers</w:t>
            </w:r>
          </w:p>
        </w:tc>
        <w:tc>
          <w:tcPr>
            <w:tcW w:w="101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1163" w:rsidRPr="00D21163" w:rsidRDefault="00D21163" w:rsidP="00D21163">
            <w:pPr>
              <w:jc w:val="left"/>
              <w:rPr>
                <w:rFonts w:ascii="Helvetica" w:eastAsia="Times New Roman" w:hAnsi="Helvetica" w:cs="Helvetica"/>
                <w:sz w:val="24"/>
                <w:szCs w:val="24"/>
              </w:rPr>
            </w:pPr>
          </w:p>
        </w:tc>
        <w:tc>
          <w:tcPr>
            <w:tcW w:w="558" w:type="pct"/>
            <w:tcBorders>
              <w:top w:val="single" w:sz="8" w:space="0" w:color="000000"/>
              <w:left w:val="single" w:sz="8" w:space="0" w:color="000000"/>
              <w:bottom w:val="single" w:sz="8" w:space="0" w:color="000000"/>
              <w:right w:val="single" w:sz="8" w:space="0" w:color="000000"/>
            </w:tcBorders>
            <w:shd w:val="clear" w:color="auto" w:fill="70AD47"/>
            <w:tcMar>
              <w:top w:w="72" w:type="dxa"/>
              <w:left w:w="144" w:type="dxa"/>
              <w:bottom w:w="72" w:type="dxa"/>
              <w:right w:w="144" w:type="dxa"/>
            </w:tcMar>
            <w:vAlign w:val="center"/>
            <w:hideMark/>
          </w:tcPr>
          <w:p w:rsidR="00D21163" w:rsidRPr="00D21163" w:rsidRDefault="00D21163" w:rsidP="00D21163">
            <w:pPr>
              <w:jc w:val="center"/>
              <w:rPr>
                <w:rFonts w:ascii="Helvetica" w:eastAsia="Times New Roman" w:hAnsi="Helvetica" w:cs="Helvetica"/>
                <w:sz w:val="24"/>
                <w:szCs w:val="24"/>
              </w:rPr>
            </w:pPr>
            <w:r w:rsidRPr="00D21163">
              <w:rPr>
                <w:rFonts w:ascii="Helvetica" w:eastAsia="Times New Roman" w:hAnsi="Helvetica" w:cs="Helvetica"/>
                <w:b/>
                <w:bCs/>
                <w:color w:val="000000" w:themeColor="text1"/>
                <w:kern w:val="24"/>
                <w:sz w:val="24"/>
                <w:szCs w:val="24"/>
              </w:rPr>
              <w:t>78.3</w:t>
            </w:r>
            <w:r w:rsidRPr="00702365">
              <w:rPr>
                <w:rFonts w:ascii="Helvetica" w:eastAsia="Times New Roman" w:hAnsi="Helvetica" w:cs="Helvetica"/>
                <w:b/>
                <w:bCs/>
                <w:color w:val="000000" w:themeColor="text1"/>
                <w:kern w:val="24"/>
                <w:sz w:val="24"/>
                <w:szCs w:val="24"/>
                <w:vertAlign w:val="superscript"/>
              </w:rPr>
              <w:t>6</w:t>
            </w:r>
          </w:p>
        </w:tc>
        <w:tc>
          <w:tcPr>
            <w:tcW w:w="471"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vAlign w:val="center"/>
            <w:hideMark/>
          </w:tcPr>
          <w:p w:rsidR="00D21163" w:rsidRPr="00D21163" w:rsidRDefault="00D21163" w:rsidP="00D21163">
            <w:pPr>
              <w:jc w:val="center"/>
              <w:rPr>
                <w:rFonts w:ascii="Helvetica" w:eastAsia="Times New Roman" w:hAnsi="Helvetica" w:cs="Helvetica"/>
                <w:sz w:val="24"/>
                <w:szCs w:val="24"/>
              </w:rPr>
            </w:pPr>
            <w:r w:rsidRPr="00D21163">
              <w:rPr>
                <w:rFonts w:ascii="Helvetica" w:eastAsia="Times New Roman" w:hAnsi="Helvetica" w:cs="Helvetica"/>
                <w:b/>
                <w:bCs/>
                <w:color w:val="000000" w:themeColor="text1"/>
                <w:kern w:val="24"/>
                <w:sz w:val="24"/>
                <w:szCs w:val="24"/>
              </w:rPr>
              <w:t>70.1</w:t>
            </w:r>
            <w:r w:rsidRPr="00D21163">
              <w:rPr>
                <w:rFonts w:ascii="Helvetica" w:eastAsia="Times New Roman" w:hAnsi="Helvetica" w:cs="Helvetica"/>
                <w:b/>
                <w:bCs/>
                <w:color w:val="000000" w:themeColor="text1"/>
                <w:kern w:val="24"/>
                <w:sz w:val="24"/>
                <w:szCs w:val="24"/>
                <w:vertAlign w:val="superscript"/>
              </w:rPr>
              <w:t>5</w:t>
            </w:r>
          </w:p>
        </w:tc>
      </w:tr>
      <w:tr w:rsidR="00D21163" w:rsidRPr="00D21163" w:rsidTr="00D21163">
        <w:trPr>
          <w:trHeight w:val="584"/>
        </w:trPr>
        <w:tc>
          <w:tcPr>
            <w:tcW w:w="233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1163" w:rsidRPr="00D21163" w:rsidRDefault="00D21163" w:rsidP="00D21163">
            <w:pPr>
              <w:jc w:val="left"/>
              <w:rPr>
                <w:rFonts w:ascii="Helvetica" w:eastAsia="Times New Roman" w:hAnsi="Helvetica" w:cs="Helvetica"/>
                <w:sz w:val="24"/>
                <w:szCs w:val="24"/>
              </w:rPr>
            </w:pPr>
            <w:r w:rsidRPr="00D21163">
              <w:rPr>
                <w:rFonts w:ascii="Helvetica" w:eastAsia="Times New Roman" w:hAnsi="Helvetica" w:cs="Helvetica"/>
                <w:color w:val="000000" w:themeColor="text1"/>
                <w:kern w:val="24"/>
                <w:sz w:val="24"/>
                <w:szCs w:val="24"/>
              </w:rPr>
              <w:t>Immunizations for Adolescents (Combo 2)</w:t>
            </w:r>
          </w:p>
        </w:tc>
        <w:tc>
          <w:tcPr>
            <w:tcW w:w="6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1163" w:rsidRPr="00D21163" w:rsidRDefault="00D21163" w:rsidP="00D21163">
            <w:pPr>
              <w:jc w:val="center"/>
              <w:rPr>
                <w:rFonts w:ascii="Helvetica" w:eastAsia="Times New Roman" w:hAnsi="Helvetica" w:cs="Helvetica"/>
                <w:sz w:val="24"/>
                <w:szCs w:val="24"/>
              </w:rPr>
            </w:pPr>
            <w:r w:rsidRPr="00D21163">
              <w:rPr>
                <w:rFonts w:ascii="Helvetica" w:eastAsia="Times New Roman" w:hAnsi="Helvetica" w:cs="Helvetica"/>
                <w:color w:val="000000" w:themeColor="text1"/>
                <w:kern w:val="24"/>
                <w:sz w:val="24"/>
                <w:szCs w:val="24"/>
              </w:rPr>
              <w:t>5 payers</w:t>
            </w:r>
          </w:p>
        </w:tc>
        <w:tc>
          <w:tcPr>
            <w:tcW w:w="101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1163" w:rsidRPr="00D21163" w:rsidRDefault="00D21163" w:rsidP="00D21163">
            <w:pPr>
              <w:jc w:val="left"/>
              <w:rPr>
                <w:rFonts w:ascii="Helvetica" w:eastAsia="Times New Roman" w:hAnsi="Helvetica" w:cs="Helvetica"/>
                <w:sz w:val="24"/>
                <w:szCs w:val="24"/>
              </w:rPr>
            </w:pPr>
          </w:p>
        </w:tc>
        <w:tc>
          <w:tcPr>
            <w:tcW w:w="558" w:type="pct"/>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vAlign w:val="center"/>
            <w:hideMark/>
          </w:tcPr>
          <w:p w:rsidR="00D21163" w:rsidRPr="00D21163" w:rsidRDefault="00D21163" w:rsidP="00D21163">
            <w:pPr>
              <w:jc w:val="center"/>
              <w:rPr>
                <w:rFonts w:ascii="Helvetica" w:eastAsia="Times New Roman" w:hAnsi="Helvetica" w:cs="Helvetica"/>
                <w:sz w:val="24"/>
                <w:szCs w:val="24"/>
              </w:rPr>
            </w:pPr>
            <w:r w:rsidRPr="00D21163">
              <w:rPr>
                <w:rFonts w:ascii="Helvetica" w:eastAsia="Times New Roman" w:hAnsi="Helvetica" w:cs="Helvetica"/>
                <w:b/>
                <w:bCs/>
                <w:color w:val="000000" w:themeColor="text1"/>
                <w:kern w:val="24"/>
                <w:sz w:val="24"/>
                <w:szCs w:val="24"/>
              </w:rPr>
              <w:t>29.3</w:t>
            </w:r>
            <w:r w:rsidRPr="00D21163">
              <w:rPr>
                <w:rFonts w:ascii="Helvetica" w:eastAsia="Times New Roman" w:hAnsi="Helvetica" w:cs="Helvetica"/>
                <w:b/>
                <w:bCs/>
                <w:color w:val="000000" w:themeColor="text1"/>
                <w:kern w:val="24"/>
                <w:sz w:val="24"/>
                <w:szCs w:val="24"/>
                <w:vertAlign w:val="superscript"/>
              </w:rPr>
              <w:t>3</w:t>
            </w:r>
          </w:p>
        </w:tc>
        <w:tc>
          <w:tcPr>
            <w:tcW w:w="471" w:type="pct"/>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vAlign w:val="center"/>
            <w:hideMark/>
          </w:tcPr>
          <w:p w:rsidR="00D21163" w:rsidRPr="00D21163" w:rsidRDefault="00D21163" w:rsidP="00D21163">
            <w:pPr>
              <w:jc w:val="center"/>
              <w:rPr>
                <w:rFonts w:ascii="Helvetica" w:eastAsia="Times New Roman" w:hAnsi="Helvetica" w:cs="Helvetica"/>
                <w:sz w:val="24"/>
                <w:szCs w:val="24"/>
              </w:rPr>
            </w:pPr>
            <w:r w:rsidRPr="00D21163">
              <w:rPr>
                <w:rFonts w:ascii="Helvetica" w:eastAsia="Times New Roman" w:hAnsi="Helvetica" w:cs="Helvetica"/>
                <w:b/>
                <w:bCs/>
                <w:color w:val="000000" w:themeColor="text1"/>
                <w:kern w:val="24"/>
                <w:sz w:val="24"/>
                <w:szCs w:val="24"/>
              </w:rPr>
              <w:t>36.0</w:t>
            </w:r>
            <w:r w:rsidRPr="00D21163">
              <w:rPr>
                <w:rFonts w:ascii="Helvetica" w:eastAsia="Times New Roman" w:hAnsi="Helvetica" w:cs="Helvetica"/>
                <w:b/>
                <w:bCs/>
                <w:color w:val="000000" w:themeColor="text1"/>
                <w:kern w:val="24"/>
                <w:sz w:val="24"/>
                <w:szCs w:val="24"/>
                <w:vertAlign w:val="superscript"/>
              </w:rPr>
              <w:t>3</w:t>
            </w:r>
          </w:p>
        </w:tc>
      </w:tr>
      <w:tr w:rsidR="00D21163" w:rsidRPr="00D21163" w:rsidTr="00D21163">
        <w:trPr>
          <w:trHeight w:val="584"/>
        </w:trPr>
        <w:tc>
          <w:tcPr>
            <w:tcW w:w="233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1163" w:rsidRPr="00D21163" w:rsidRDefault="00D21163" w:rsidP="00D21163">
            <w:pPr>
              <w:jc w:val="left"/>
              <w:rPr>
                <w:rFonts w:ascii="Helvetica" w:eastAsia="Times New Roman" w:hAnsi="Helvetica" w:cs="Helvetica"/>
                <w:sz w:val="24"/>
                <w:szCs w:val="24"/>
              </w:rPr>
            </w:pPr>
            <w:r w:rsidRPr="00D21163">
              <w:rPr>
                <w:rFonts w:ascii="Helvetica" w:eastAsia="Times New Roman" w:hAnsi="Helvetica" w:cs="Helvetica"/>
                <w:color w:val="000000" w:themeColor="text1"/>
                <w:kern w:val="24"/>
                <w:sz w:val="24"/>
                <w:szCs w:val="24"/>
              </w:rPr>
              <w:t>Influenza Immunization</w:t>
            </w:r>
          </w:p>
        </w:tc>
        <w:tc>
          <w:tcPr>
            <w:tcW w:w="6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1163" w:rsidRPr="00D21163" w:rsidRDefault="00D21163" w:rsidP="00D21163">
            <w:pPr>
              <w:jc w:val="center"/>
              <w:rPr>
                <w:rFonts w:ascii="Helvetica" w:eastAsia="Times New Roman" w:hAnsi="Helvetica" w:cs="Helvetica"/>
                <w:sz w:val="24"/>
                <w:szCs w:val="24"/>
              </w:rPr>
            </w:pPr>
            <w:r w:rsidRPr="00D21163">
              <w:rPr>
                <w:rFonts w:ascii="Helvetica" w:eastAsia="Times New Roman" w:hAnsi="Helvetica" w:cs="Helvetica"/>
                <w:color w:val="000000" w:themeColor="text1"/>
                <w:kern w:val="24"/>
                <w:sz w:val="24"/>
                <w:szCs w:val="24"/>
              </w:rPr>
              <w:t>1 payer</w:t>
            </w:r>
          </w:p>
        </w:tc>
        <w:tc>
          <w:tcPr>
            <w:tcW w:w="101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1163" w:rsidRPr="00D21163" w:rsidRDefault="00D21163" w:rsidP="00D21163">
            <w:pPr>
              <w:jc w:val="left"/>
              <w:rPr>
                <w:rFonts w:ascii="Helvetica" w:eastAsia="Times New Roman" w:hAnsi="Helvetica" w:cs="Helvetica"/>
                <w:sz w:val="24"/>
                <w:szCs w:val="24"/>
              </w:rPr>
            </w:pPr>
          </w:p>
        </w:tc>
        <w:tc>
          <w:tcPr>
            <w:tcW w:w="55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D21163" w:rsidRPr="00D21163" w:rsidRDefault="00D21163" w:rsidP="00D21163">
            <w:pPr>
              <w:jc w:val="left"/>
              <w:rPr>
                <w:rFonts w:ascii="Helvetica" w:eastAsia="Times New Roman" w:hAnsi="Helvetica" w:cs="Helvetica"/>
                <w:sz w:val="24"/>
                <w:szCs w:val="24"/>
              </w:rPr>
            </w:pPr>
          </w:p>
        </w:tc>
        <w:tc>
          <w:tcPr>
            <w:tcW w:w="47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D21163" w:rsidRPr="00D21163" w:rsidRDefault="00D21163" w:rsidP="00D21163">
            <w:pPr>
              <w:jc w:val="left"/>
              <w:rPr>
                <w:rFonts w:ascii="Helvetica" w:eastAsia="Times New Roman" w:hAnsi="Helvetica" w:cs="Helvetica"/>
                <w:sz w:val="24"/>
                <w:szCs w:val="24"/>
              </w:rPr>
            </w:pPr>
          </w:p>
        </w:tc>
      </w:tr>
      <w:tr w:rsidR="00D21163" w:rsidRPr="00D21163" w:rsidTr="00D21163">
        <w:trPr>
          <w:trHeight w:val="584"/>
        </w:trPr>
        <w:tc>
          <w:tcPr>
            <w:tcW w:w="233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1163" w:rsidRPr="00D21163" w:rsidRDefault="00D21163" w:rsidP="00D21163">
            <w:pPr>
              <w:jc w:val="left"/>
              <w:rPr>
                <w:rFonts w:ascii="Helvetica" w:eastAsia="Times New Roman" w:hAnsi="Helvetica" w:cs="Helvetica"/>
                <w:sz w:val="24"/>
                <w:szCs w:val="24"/>
              </w:rPr>
            </w:pPr>
            <w:r w:rsidRPr="00D21163">
              <w:rPr>
                <w:rFonts w:ascii="Helvetica" w:eastAsia="Times New Roman" w:hAnsi="Helvetica" w:cs="Helvetica"/>
                <w:color w:val="000000" w:themeColor="text1"/>
                <w:kern w:val="24"/>
                <w:sz w:val="24"/>
                <w:szCs w:val="24"/>
              </w:rPr>
              <w:t>Metabolic Monitoring for Children and Adolescents on Antipsychotics</w:t>
            </w:r>
          </w:p>
        </w:tc>
        <w:tc>
          <w:tcPr>
            <w:tcW w:w="6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1163" w:rsidRPr="00D21163" w:rsidRDefault="00D21163" w:rsidP="00D21163">
            <w:pPr>
              <w:jc w:val="center"/>
              <w:rPr>
                <w:rFonts w:ascii="Helvetica" w:eastAsia="Times New Roman" w:hAnsi="Helvetica" w:cs="Helvetica"/>
                <w:sz w:val="24"/>
                <w:szCs w:val="24"/>
              </w:rPr>
            </w:pPr>
            <w:r w:rsidRPr="00D21163">
              <w:rPr>
                <w:rFonts w:ascii="Helvetica" w:eastAsia="Times New Roman" w:hAnsi="Helvetica" w:cs="Helvetica"/>
                <w:color w:val="000000" w:themeColor="text1"/>
                <w:kern w:val="24"/>
                <w:sz w:val="24"/>
                <w:szCs w:val="24"/>
              </w:rPr>
              <w:t>1 payer</w:t>
            </w:r>
          </w:p>
        </w:tc>
        <w:tc>
          <w:tcPr>
            <w:tcW w:w="101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1163" w:rsidRPr="00D21163" w:rsidRDefault="00D21163" w:rsidP="00D21163">
            <w:pPr>
              <w:jc w:val="center"/>
              <w:rPr>
                <w:rFonts w:ascii="Helvetica" w:eastAsia="Times New Roman" w:hAnsi="Helvetica" w:cs="Helvetica"/>
                <w:sz w:val="24"/>
                <w:szCs w:val="24"/>
              </w:rPr>
            </w:pPr>
            <w:r w:rsidRPr="00D21163">
              <w:rPr>
                <w:rFonts w:ascii="Helvetica" w:eastAsia="Times New Roman" w:hAnsi="Helvetica" w:cs="Helvetica"/>
                <w:color w:val="000000" w:themeColor="text1"/>
                <w:kern w:val="24"/>
                <w:sz w:val="24"/>
                <w:szCs w:val="24"/>
              </w:rPr>
              <w:t>Add to Medicaid Core;</w:t>
            </w:r>
          </w:p>
          <w:p w:rsidR="00D21163" w:rsidRPr="00D21163" w:rsidRDefault="00D21163" w:rsidP="00D21163">
            <w:pPr>
              <w:jc w:val="center"/>
              <w:rPr>
                <w:rFonts w:ascii="Helvetica" w:eastAsia="Times New Roman" w:hAnsi="Helvetica" w:cs="Helvetica"/>
                <w:sz w:val="24"/>
                <w:szCs w:val="24"/>
              </w:rPr>
            </w:pPr>
            <w:r w:rsidRPr="00D21163">
              <w:rPr>
                <w:rFonts w:ascii="Helvetica" w:eastAsia="Times New Roman" w:hAnsi="Helvetica" w:cs="Helvetica"/>
                <w:color w:val="000000" w:themeColor="text1"/>
                <w:kern w:val="24"/>
                <w:sz w:val="24"/>
                <w:szCs w:val="24"/>
              </w:rPr>
              <w:t>HEDIS 2020 Change*</w:t>
            </w:r>
          </w:p>
        </w:tc>
        <w:tc>
          <w:tcPr>
            <w:tcW w:w="558" w:type="pct"/>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vAlign w:val="center"/>
            <w:hideMark/>
          </w:tcPr>
          <w:p w:rsidR="00D21163" w:rsidRPr="00D21163" w:rsidRDefault="00D21163" w:rsidP="00D21163">
            <w:pPr>
              <w:jc w:val="center"/>
              <w:rPr>
                <w:rFonts w:ascii="Helvetica" w:eastAsia="Times New Roman" w:hAnsi="Helvetica" w:cs="Helvetica"/>
                <w:sz w:val="24"/>
                <w:szCs w:val="24"/>
              </w:rPr>
            </w:pPr>
            <w:r w:rsidRPr="00D21163">
              <w:rPr>
                <w:rFonts w:ascii="Helvetica" w:eastAsia="Times New Roman" w:hAnsi="Helvetica" w:cs="Helvetica"/>
                <w:b/>
                <w:bCs/>
                <w:color w:val="000000" w:themeColor="text1"/>
                <w:kern w:val="24"/>
                <w:sz w:val="24"/>
                <w:szCs w:val="24"/>
              </w:rPr>
              <w:t>40.2</w:t>
            </w:r>
            <w:r w:rsidRPr="00D21163">
              <w:rPr>
                <w:rFonts w:ascii="Helvetica" w:eastAsia="Times New Roman" w:hAnsi="Helvetica" w:cs="Helvetica"/>
                <w:b/>
                <w:bCs/>
                <w:color w:val="000000" w:themeColor="text1"/>
                <w:kern w:val="24"/>
                <w:sz w:val="24"/>
                <w:szCs w:val="24"/>
                <w:vertAlign w:val="superscript"/>
              </w:rPr>
              <w:t>3</w:t>
            </w:r>
          </w:p>
        </w:tc>
        <w:tc>
          <w:tcPr>
            <w:tcW w:w="471" w:type="pct"/>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vAlign w:val="center"/>
            <w:hideMark/>
          </w:tcPr>
          <w:p w:rsidR="00D21163" w:rsidRPr="00D21163" w:rsidRDefault="00D21163" w:rsidP="00D21163">
            <w:pPr>
              <w:jc w:val="center"/>
              <w:rPr>
                <w:rFonts w:ascii="Helvetica" w:eastAsia="Times New Roman" w:hAnsi="Helvetica" w:cs="Helvetica"/>
                <w:sz w:val="24"/>
                <w:szCs w:val="24"/>
              </w:rPr>
            </w:pPr>
            <w:r w:rsidRPr="00D21163">
              <w:rPr>
                <w:rFonts w:ascii="Helvetica" w:eastAsia="Times New Roman" w:hAnsi="Helvetica" w:cs="Helvetica"/>
                <w:b/>
                <w:bCs/>
                <w:color w:val="000000" w:themeColor="text1"/>
                <w:kern w:val="24"/>
                <w:sz w:val="24"/>
                <w:szCs w:val="24"/>
              </w:rPr>
              <w:t>37.9</w:t>
            </w:r>
            <w:r w:rsidRPr="00D21163">
              <w:rPr>
                <w:rFonts w:ascii="Helvetica" w:eastAsia="Times New Roman" w:hAnsi="Helvetica" w:cs="Helvetica"/>
                <w:b/>
                <w:bCs/>
                <w:color w:val="000000" w:themeColor="text1"/>
                <w:kern w:val="24"/>
                <w:sz w:val="24"/>
                <w:szCs w:val="24"/>
                <w:vertAlign w:val="superscript"/>
              </w:rPr>
              <w:t>3</w:t>
            </w:r>
          </w:p>
        </w:tc>
      </w:tr>
      <w:tr w:rsidR="00D21163" w:rsidRPr="00D21163" w:rsidTr="00D21163">
        <w:trPr>
          <w:trHeight w:val="584"/>
        </w:trPr>
        <w:tc>
          <w:tcPr>
            <w:tcW w:w="233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1163" w:rsidRPr="00D21163" w:rsidRDefault="00D21163" w:rsidP="00D21163">
            <w:pPr>
              <w:jc w:val="left"/>
              <w:rPr>
                <w:rFonts w:ascii="Helvetica" w:eastAsia="Times New Roman" w:hAnsi="Helvetica" w:cs="Helvetica"/>
                <w:sz w:val="24"/>
                <w:szCs w:val="24"/>
              </w:rPr>
            </w:pPr>
            <w:r w:rsidRPr="00D21163">
              <w:rPr>
                <w:rFonts w:ascii="Helvetica" w:eastAsia="Times New Roman" w:hAnsi="Helvetica" w:cs="Helvetica"/>
                <w:color w:val="000000" w:themeColor="text1"/>
                <w:kern w:val="24"/>
                <w:sz w:val="24"/>
                <w:szCs w:val="24"/>
              </w:rPr>
              <w:t>Use of Imaging Studies for Low Back Pain</w:t>
            </w:r>
          </w:p>
        </w:tc>
        <w:tc>
          <w:tcPr>
            <w:tcW w:w="62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1163" w:rsidRPr="00D21163" w:rsidRDefault="00D21163" w:rsidP="00D21163">
            <w:pPr>
              <w:jc w:val="center"/>
              <w:rPr>
                <w:rFonts w:ascii="Helvetica" w:eastAsia="Times New Roman" w:hAnsi="Helvetica" w:cs="Helvetica"/>
                <w:sz w:val="24"/>
                <w:szCs w:val="24"/>
              </w:rPr>
            </w:pPr>
            <w:r w:rsidRPr="00D21163">
              <w:rPr>
                <w:rFonts w:ascii="Helvetica" w:eastAsia="Times New Roman" w:hAnsi="Helvetica" w:cs="Helvetica"/>
                <w:color w:val="000000" w:themeColor="text1"/>
                <w:kern w:val="24"/>
                <w:sz w:val="24"/>
                <w:szCs w:val="24"/>
              </w:rPr>
              <w:t>4 payers</w:t>
            </w:r>
          </w:p>
        </w:tc>
        <w:tc>
          <w:tcPr>
            <w:tcW w:w="101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1163" w:rsidRPr="00D21163" w:rsidRDefault="00D21163" w:rsidP="00D21163">
            <w:pPr>
              <w:jc w:val="left"/>
              <w:rPr>
                <w:rFonts w:ascii="Helvetica" w:eastAsia="Times New Roman" w:hAnsi="Helvetica" w:cs="Helvetica"/>
                <w:sz w:val="24"/>
                <w:szCs w:val="24"/>
              </w:rPr>
            </w:pPr>
          </w:p>
        </w:tc>
        <w:tc>
          <w:tcPr>
            <w:tcW w:w="558"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vAlign w:val="center"/>
            <w:hideMark/>
          </w:tcPr>
          <w:p w:rsidR="00D21163" w:rsidRPr="00D21163" w:rsidRDefault="00D21163" w:rsidP="00D21163">
            <w:pPr>
              <w:jc w:val="center"/>
              <w:rPr>
                <w:rFonts w:ascii="Helvetica" w:eastAsia="Times New Roman" w:hAnsi="Helvetica" w:cs="Helvetica"/>
                <w:sz w:val="24"/>
                <w:szCs w:val="24"/>
              </w:rPr>
            </w:pPr>
            <w:r w:rsidRPr="00D21163">
              <w:rPr>
                <w:rFonts w:ascii="Helvetica" w:eastAsia="Times New Roman" w:hAnsi="Helvetica" w:cs="Helvetica"/>
                <w:b/>
                <w:bCs/>
                <w:color w:val="000000" w:themeColor="text1"/>
                <w:kern w:val="24"/>
                <w:sz w:val="24"/>
                <w:szCs w:val="24"/>
              </w:rPr>
              <w:t>82.2</w:t>
            </w:r>
            <w:r w:rsidRPr="00D21163">
              <w:rPr>
                <w:rFonts w:ascii="Helvetica" w:eastAsia="Times New Roman" w:hAnsi="Helvetica" w:cs="Helvetica"/>
                <w:b/>
                <w:bCs/>
                <w:color w:val="000000" w:themeColor="text1"/>
                <w:kern w:val="24"/>
                <w:sz w:val="24"/>
                <w:szCs w:val="24"/>
                <w:vertAlign w:val="superscript"/>
              </w:rPr>
              <w:t>5</w:t>
            </w:r>
          </w:p>
        </w:tc>
        <w:tc>
          <w:tcPr>
            <w:tcW w:w="471"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vAlign w:val="center"/>
            <w:hideMark/>
          </w:tcPr>
          <w:p w:rsidR="00D21163" w:rsidRPr="00D21163" w:rsidRDefault="00D21163" w:rsidP="00D21163">
            <w:pPr>
              <w:jc w:val="center"/>
              <w:rPr>
                <w:rFonts w:ascii="Helvetica" w:eastAsia="Times New Roman" w:hAnsi="Helvetica" w:cs="Helvetica"/>
                <w:sz w:val="24"/>
                <w:szCs w:val="24"/>
              </w:rPr>
            </w:pPr>
            <w:r w:rsidRPr="00D21163">
              <w:rPr>
                <w:rFonts w:ascii="Helvetica" w:eastAsia="Times New Roman" w:hAnsi="Helvetica" w:cs="Helvetica"/>
                <w:b/>
                <w:bCs/>
                <w:color w:val="000000" w:themeColor="text1"/>
                <w:kern w:val="24"/>
                <w:sz w:val="24"/>
                <w:szCs w:val="24"/>
              </w:rPr>
              <w:t>76.7</w:t>
            </w:r>
            <w:r w:rsidRPr="00D21163">
              <w:rPr>
                <w:rFonts w:ascii="Helvetica" w:eastAsia="Times New Roman" w:hAnsi="Helvetica" w:cs="Helvetica"/>
                <w:b/>
                <w:bCs/>
                <w:color w:val="000000" w:themeColor="text1"/>
                <w:kern w:val="24"/>
                <w:sz w:val="24"/>
                <w:szCs w:val="24"/>
                <w:vertAlign w:val="superscript"/>
              </w:rPr>
              <w:t>5</w:t>
            </w:r>
          </w:p>
        </w:tc>
      </w:tr>
    </w:tbl>
    <w:p w:rsidR="00D21163" w:rsidRDefault="00D21163" w:rsidP="00CA1C68">
      <w:pPr>
        <w:pStyle w:val="Heading1"/>
        <w:tabs>
          <w:tab w:val="left" w:pos="2296"/>
        </w:tabs>
        <w:rPr>
          <w:rFonts w:ascii="Helvetica" w:hAnsi="Helvetica"/>
          <w:b w:val="0"/>
          <w:smallCaps w:val="0"/>
          <w:spacing w:val="0"/>
          <w:sz w:val="24"/>
          <w:szCs w:val="24"/>
        </w:rPr>
      </w:pPr>
      <w:r w:rsidRPr="00D21163">
        <w:rPr>
          <w:rFonts w:ascii="Helvetica" w:hAnsi="Helvetica"/>
          <w:b w:val="0"/>
          <w:smallCaps w:val="0"/>
          <w:spacing w:val="0"/>
          <w:sz w:val="24"/>
          <w:szCs w:val="24"/>
        </w:rPr>
        <w:t>*Added blood glucose and cholesterol indicators and combined the 1–5 years and 6–11 years age strata.</w:t>
      </w:r>
    </w:p>
    <w:p w:rsidR="00D21163" w:rsidRDefault="00D21163" w:rsidP="00D21163">
      <w:r w:rsidRPr="00702365">
        <w:rPr>
          <w:rFonts w:ascii="Helvetica" w:eastAsia="Times New Roman" w:hAnsi="Helvetica" w:cs="Helvetica"/>
          <w:color w:val="000000"/>
          <w:kern w:val="24"/>
          <w:sz w:val="24"/>
          <w:szCs w:val="24"/>
          <w:vertAlign w:val="superscript"/>
        </w:rPr>
        <w:t>2</w:t>
      </w:r>
      <w:r w:rsidRPr="00E4272E">
        <w:rPr>
          <w:rFonts w:ascii="Helvetica" w:eastAsia="Times New Roman" w:hAnsi="Helvetica" w:cs="Helvetica"/>
          <w:color w:val="000000"/>
          <w:kern w:val="24"/>
          <w:sz w:val="24"/>
          <w:szCs w:val="24"/>
        </w:rPr>
        <w:t>&lt;25th</w:t>
      </w:r>
      <w:r>
        <w:t xml:space="preserve"> </w:t>
      </w:r>
    </w:p>
    <w:p w:rsidR="00D21163" w:rsidRDefault="00D21163" w:rsidP="00D21163">
      <w:r w:rsidRPr="00702365">
        <w:rPr>
          <w:rFonts w:ascii="Helvetica" w:eastAsia="Times New Roman" w:hAnsi="Helvetica" w:cs="Helvetica"/>
          <w:color w:val="000000"/>
          <w:kern w:val="24"/>
          <w:sz w:val="24"/>
          <w:szCs w:val="24"/>
          <w:vertAlign w:val="superscript"/>
        </w:rPr>
        <w:t>3</w:t>
      </w:r>
      <w:r w:rsidRPr="00E4272E">
        <w:rPr>
          <w:rFonts w:ascii="Helvetica" w:eastAsia="Times New Roman" w:hAnsi="Helvetica" w:cs="Helvetica"/>
          <w:color w:val="000000"/>
          <w:kern w:val="24"/>
          <w:sz w:val="24"/>
          <w:szCs w:val="24"/>
        </w:rPr>
        <w:t>25th - 50th</w:t>
      </w:r>
    </w:p>
    <w:p w:rsidR="00D21163" w:rsidRDefault="00D21163" w:rsidP="00D21163">
      <w:pPr>
        <w:rPr>
          <w:rFonts w:ascii="Helvetica" w:eastAsia="Times New Roman" w:hAnsi="Helvetica" w:cs="Helvetica"/>
          <w:color w:val="000000"/>
          <w:kern w:val="24"/>
          <w:sz w:val="24"/>
          <w:szCs w:val="24"/>
        </w:rPr>
      </w:pPr>
      <w:r>
        <w:rPr>
          <w:rFonts w:ascii="Helvetica" w:eastAsia="Times New Roman" w:hAnsi="Helvetica" w:cs="Helvetica"/>
          <w:bCs/>
          <w:color w:val="000000" w:themeColor="text1"/>
          <w:kern w:val="24"/>
          <w:sz w:val="24"/>
          <w:szCs w:val="24"/>
          <w:vertAlign w:val="superscript"/>
        </w:rPr>
        <w:t>4</w:t>
      </w:r>
      <w:r w:rsidRPr="00E4272E">
        <w:rPr>
          <w:rFonts w:ascii="Helvetica" w:eastAsia="Times New Roman" w:hAnsi="Helvetica" w:cs="Helvetica"/>
          <w:color w:val="000000"/>
          <w:kern w:val="24"/>
          <w:sz w:val="24"/>
          <w:szCs w:val="24"/>
        </w:rPr>
        <w:t>50th - 75th</w:t>
      </w:r>
    </w:p>
    <w:p w:rsidR="00D21163" w:rsidRDefault="00D21163" w:rsidP="00D21163">
      <w:pPr>
        <w:rPr>
          <w:rFonts w:ascii="Helvetica" w:eastAsia="Times New Roman" w:hAnsi="Helvetica" w:cs="Helvetica"/>
          <w:color w:val="000000"/>
          <w:kern w:val="24"/>
          <w:sz w:val="24"/>
          <w:szCs w:val="24"/>
        </w:rPr>
      </w:pPr>
      <w:r w:rsidRPr="00702365">
        <w:rPr>
          <w:rFonts w:ascii="Helvetica" w:eastAsia="Times New Roman" w:hAnsi="Helvetica" w:cs="Helvetica"/>
          <w:color w:val="000000"/>
          <w:kern w:val="24"/>
          <w:sz w:val="24"/>
          <w:szCs w:val="24"/>
          <w:vertAlign w:val="superscript"/>
        </w:rPr>
        <w:t>5</w:t>
      </w:r>
      <w:r w:rsidRPr="00E4272E">
        <w:rPr>
          <w:rFonts w:ascii="Helvetica" w:eastAsia="Times New Roman" w:hAnsi="Helvetica" w:cs="Helvetica"/>
          <w:color w:val="000000"/>
          <w:kern w:val="24"/>
          <w:sz w:val="24"/>
          <w:szCs w:val="24"/>
        </w:rPr>
        <w:t>75th - 90th</w:t>
      </w:r>
    </w:p>
    <w:p w:rsidR="00D21163" w:rsidRDefault="00D21163" w:rsidP="00D21163">
      <w:r w:rsidRPr="00702365">
        <w:rPr>
          <w:rFonts w:ascii="Arial" w:eastAsia="Times New Roman" w:hAnsi="Arial" w:cs="Arial"/>
          <w:color w:val="000000"/>
          <w:kern w:val="24"/>
          <w:sz w:val="24"/>
          <w:szCs w:val="24"/>
          <w:vertAlign w:val="superscript"/>
        </w:rPr>
        <w:t>6</w:t>
      </w:r>
      <w:r w:rsidRPr="00E4272E">
        <w:rPr>
          <w:rFonts w:ascii="Arial" w:eastAsia="Times New Roman" w:hAnsi="Arial" w:cs="Arial"/>
          <w:color w:val="000000"/>
          <w:kern w:val="24"/>
          <w:sz w:val="24"/>
          <w:szCs w:val="24"/>
        </w:rPr>
        <w:t>≥</w:t>
      </w:r>
      <w:r w:rsidRPr="00E4272E">
        <w:rPr>
          <w:rFonts w:ascii="Helvetica" w:eastAsia="Times New Roman" w:hAnsi="Helvetica" w:cs="Helvetica"/>
          <w:color w:val="000000"/>
          <w:kern w:val="24"/>
          <w:sz w:val="24"/>
          <w:szCs w:val="24"/>
        </w:rPr>
        <w:t>90th</w:t>
      </w:r>
    </w:p>
    <w:p w:rsidR="00D60C2E" w:rsidRDefault="00D60C2E" w:rsidP="00CA1C68">
      <w:pPr>
        <w:pStyle w:val="Heading1"/>
        <w:tabs>
          <w:tab w:val="left" w:pos="2296"/>
        </w:tabs>
      </w:pPr>
      <w:r w:rsidRPr="00A35C58">
        <w:t xml:space="preserve">Slide </w:t>
      </w:r>
      <w:r w:rsidR="00D21163">
        <w:t>39</w:t>
      </w:r>
    </w:p>
    <w:p w:rsidR="00D60C2E" w:rsidRDefault="00D21163" w:rsidP="00CA1C68">
      <w:pPr>
        <w:pStyle w:val="Heading2"/>
      </w:pPr>
      <w:r w:rsidRPr="00D21163">
        <w:t>Monitoring Measures</w:t>
      </w:r>
    </w:p>
    <w:p w:rsidR="00D21163" w:rsidRPr="00D21163" w:rsidRDefault="00D21163" w:rsidP="00A40DC0">
      <w:pPr>
        <w:pStyle w:val="ListParagraph"/>
        <w:numPr>
          <w:ilvl w:val="0"/>
          <w:numId w:val="13"/>
        </w:numPr>
        <w:jc w:val="left"/>
        <w:rPr>
          <w:rFonts w:ascii="Helvetica" w:hAnsi="Helvetica"/>
          <w:sz w:val="24"/>
          <w:szCs w:val="24"/>
        </w:rPr>
      </w:pPr>
      <w:r w:rsidRPr="00D21163">
        <w:rPr>
          <w:rFonts w:ascii="Helvetica" w:hAnsi="Helvetica"/>
          <w:sz w:val="24"/>
          <w:szCs w:val="24"/>
        </w:rPr>
        <w:t xml:space="preserve">As a reminder, Monitoring measures are intended to be used for performance tracking to ensure performance does not decline.  </w:t>
      </w:r>
    </w:p>
    <w:p w:rsidR="00D21163" w:rsidRPr="00D21163" w:rsidRDefault="00D21163" w:rsidP="00A40DC0">
      <w:pPr>
        <w:pStyle w:val="ListParagraph"/>
        <w:numPr>
          <w:ilvl w:val="1"/>
          <w:numId w:val="13"/>
        </w:numPr>
        <w:jc w:val="left"/>
        <w:rPr>
          <w:rFonts w:ascii="Helvetica" w:hAnsi="Helvetica"/>
          <w:sz w:val="24"/>
          <w:szCs w:val="24"/>
        </w:rPr>
      </w:pPr>
      <w:r w:rsidRPr="00D21163">
        <w:rPr>
          <w:rFonts w:ascii="Helvetica" w:hAnsi="Helvetica"/>
          <w:sz w:val="24"/>
          <w:szCs w:val="24"/>
        </w:rPr>
        <w:t>If performance does decline, the Monitoring Set measures may be reconsidered by the Taskforce for inclusion in the Core and Menu Sets.</w:t>
      </w:r>
    </w:p>
    <w:p w:rsidR="00D21163" w:rsidRPr="00D21163" w:rsidRDefault="00D21163" w:rsidP="00A40DC0">
      <w:pPr>
        <w:pStyle w:val="ListParagraph"/>
        <w:numPr>
          <w:ilvl w:val="0"/>
          <w:numId w:val="13"/>
        </w:numPr>
        <w:jc w:val="left"/>
        <w:rPr>
          <w:rFonts w:ascii="Helvetica" w:hAnsi="Helvetica"/>
          <w:sz w:val="24"/>
          <w:szCs w:val="24"/>
        </w:rPr>
      </w:pPr>
      <w:r w:rsidRPr="00D21163">
        <w:rPr>
          <w:rFonts w:ascii="Helvetica" w:hAnsi="Helvetica"/>
          <w:sz w:val="24"/>
          <w:szCs w:val="24"/>
        </w:rPr>
        <w:t xml:space="preserve">The next slide displays performance over time on the Monitoring measures. </w:t>
      </w:r>
    </w:p>
    <w:p w:rsidR="00D21163" w:rsidRPr="00D21163" w:rsidRDefault="00D21163" w:rsidP="00A40DC0">
      <w:pPr>
        <w:pStyle w:val="ListParagraph"/>
        <w:numPr>
          <w:ilvl w:val="0"/>
          <w:numId w:val="13"/>
        </w:numPr>
        <w:jc w:val="left"/>
        <w:rPr>
          <w:rFonts w:ascii="Helvetica" w:hAnsi="Helvetica"/>
          <w:b/>
          <w:sz w:val="24"/>
          <w:szCs w:val="24"/>
        </w:rPr>
      </w:pPr>
      <w:r w:rsidRPr="00D21163">
        <w:rPr>
          <w:rFonts w:ascii="Helvetica" w:hAnsi="Helvetica"/>
          <w:b/>
          <w:sz w:val="24"/>
          <w:szCs w:val="24"/>
        </w:rPr>
        <w:t>Please indicate if you think change in performance warrants reconsideration for inclusion in the Core or Menu Sets.</w:t>
      </w:r>
    </w:p>
    <w:p w:rsidR="001B33E9" w:rsidRPr="001B33E9" w:rsidRDefault="001B33E9" w:rsidP="00CA1C68">
      <w:pPr>
        <w:pStyle w:val="Heading1"/>
        <w:tabs>
          <w:tab w:val="left" w:pos="2296"/>
        </w:tabs>
      </w:pPr>
      <w:r w:rsidRPr="00A35C58">
        <w:lastRenderedPageBreak/>
        <w:t xml:space="preserve">Slide </w:t>
      </w:r>
      <w:r>
        <w:t>4</w:t>
      </w:r>
      <w:r w:rsidR="00D21163">
        <w:t>0</w:t>
      </w:r>
    </w:p>
    <w:p w:rsidR="001B33E9" w:rsidRDefault="00D21163" w:rsidP="00CA1C68">
      <w:pPr>
        <w:pStyle w:val="Heading2"/>
      </w:pPr>
      <w:r w:rsidRPr="00D21163">
        <w:t>Monitoring Measure Performance</w:t>
      </w:r>
    </w:p>
    <w:tbl>
      <w:tblPr>
        <w:tblW w:w="4928" w:type="pct"/>
        <w:tblCellMar>
          <w:left w:w="0" w:type="dxa"/>
          <w:right w:w="0" w:type="dxa"/>
        </w:tblCellMar>
        <w:tblLook w:val="0600" w:firstRow="0" w:lastRow="0" w:firstColumn="0" w:lastColumn="0" w:noHBand="1" w:noVBand="1"/>
      </w:tblPr>
      <w:tblGrid>
        <w:gridCol w:w="4229"/>
        <w:gridCol w:w="882"/>
        <w:gridCol w:w="839"/>
        <w:gridCol w:w="841"/>
        <w:gridCol w:w="773"/>
        <w:gridCol w:w="854"/>
        <w:gridCol w:w="827"/>
      </w:tblGrid>
      <w:tr w:rsidR="00D21163" w:rsidRPr="00D21163" w:rsidTr="00D21163">
        <w:trPr>
          <w:trHeight w:val="464"/>
        </w:trPr>
        <w:tc>
          <w:tcPr>
            <w:tcW w:w="2287" w:type="pct"/>
            <w:vMerge w:val="restart"/>
            <w:tcBorders>
              <w:top w:val="single" w:sz="8" w:space="0" w:color="000000"/>
              <w:left w:val="single" w:sz="8" w:space="0" w:color="000000"/>
              <w:bottom w:val="single" w:sz="8" w:space="0" w:color="000000"/>
              <w:right w:val="single" w:sz="8" w:space="0" w:color="000000"/>
            </w:tcBorders>
            <w:shd w:val="clear" w:color="auto" w:fill="002060"/>
            <w:tcMar>
              <w:top w:w="8" w:type="dxa"/>
              <w:left w:w="8" w:type="dxa"/>
              <w:bottom w:w="0" w:type="dxa"/>
              <w:right w:w="8" w:type="dxa"/>
            </w:tcMar>
            <w:vAlign w:val="center"/>
            <w:hideMark/>
          </w:tcPr>
          <w:p w:rsidR="00D21163" w:rsidRPr="00D21163" w:rsidRDefault="00D21163" w:rsidP="00D21163">
            <w:pPr>
              <w:spacing w:after="0" w:line="240" w:lineRule="auto"/>
              <w:jc w:val="center"/>
              <w:textAlignment w:val="bottom"/>
              <w:rPr>
                <w:rFonts w:ascii="Helvetica" w:eastAsia="Times New Roman" w:hAnsi="Helvetica" w:cs="Helvetica"/>
                <w:sz w:val="24"/>
                <w:szCs w:val="24"/>
              </w:rPr>
            </w:pPr>
            <w:r w:rsidRPr="00D21163">
              <w:rPr>
                <w:rFonts w:ascii="Helvetica" w:eastAsia="Times New Roman" w:hAnsi="Helvetica" w:cs="Helvetica"/>
                <w:b/>
                <w:bCs/>
                <w:color w:val="FFFFFF"/>
                <w:kern w:val="24"/>
                <w:sz w:val="24"/>
                <w:szCs w:val="24"/>
                <w:highlight w:val="darkCyan"/>
              </w:rPr>
              <w:t>Measure</w:t>
            </w:r>
          </w:p>
        </w:tc>
        <w:tc>
          <w:tcPr>
            <w:tcW w:w="1386" w:type="pct"/>
            <w:gridSpan w:val="3"/>
            <w:tcBorders>
              <w:top w:val="single" w:sz="8" w:space="0" w:color="000000"/>
              <w:left w:val="single" w:sz="8" w:space="0" w:color="000000"/>
              <w:bottom w:val="single" w:sz="8" w:space="0" w:color="000000"/>
              <w:right w:val="single" w:sz="8" w:space="0" w:color="000000"/>
            </w:tcBorders>
            <w:shd w:val="clear" w:color="auto" w:fill="002060"/>
            <w:tcMar>
              <w:top w:w="8" w:type="dxa"/>
              <w:left w:w="8" w:type="dxa"/>
              <w:bottom w:w="0" w:type="dxa"/>
              <w:right w:w="8" w:type="dxa"/>
            </w:tcMar>
            <w:vAlign w:val="center"/>
            <w:hideMark/>
          </w:tcPr>
          <w:p w:rsidR="00D21163" w:rsidRPr="00D21163" w:rsidRDefault="00D21163" w:rsidP="00D21163">
            <w:pPr>
              <w:spacing w:after="0" w:line="240" w:lineRule="auto"/>
              <w:jc w:val="center"/>
              <w:textAlignment w:val="bottom"/>
              <w:rPr>
                <w:rFonts w:ascii="Helvetica" w:eastAsia="Times New Roman" w:hAnsi="Helvetica" w:cs="Helvetica"/>
                <w:sz w:val="24"/>
                <w:szCs w:val="24"/>
              </w:rPr>
            </w:pPr>
            <w:r w:rsidRPr="00D21163">
              <w:rPr>
                <w:rFonts w:ascii="Helvetica" w:eastAsia="Times New Roman" w:hAnsi="Helvetica" w:cs="Helvetica"/>
                <w:b/>
                <w:bCs/>
                <w:color w:val="FFFFFF"/>
                <w:kern w:val="24"/>
                <w:sz w:val="24"/>
                <w:szCs w:val="24"/>
                <w:highlight w:val="darkCyan"/>
              </w:rPr>
              <w:t>Commercial</w:t>
            </w:r>
          </w:p>
        </w:tc>
        <w:tc>
          <w:tcPr>
            <w:tcW w:w="1327" w:type="pct"/>
            <w:gridSpan w:val="3"/>
            <w:tcBorders>
              <w:top w:val="single" w:sz="8" w:space="0" w:color="000000"/>
              <w:left w:val="single" w:sz="8" w:space="0" w:color="000000"/>
              <w:bottom w:val="single" w:sz="8" w:space="0" w:color="000000"/>
              <w:right w:val="single" w:sz="8" w:space="0" w:color="000000"/>
            </w:tcBorders>
            <w:shd w:val="clear" w:color="auto" w:fill="023467"/>
            <w:tcMar>
              <w:top w:w="8" w:type="dxa"/>
              <w:left w:w="8" w:type="dxa"/>
              <w:bottom w:w="0" w:type="dxa"/>
              <w:right w:w="8" w:type="dxa"/>
            </w:tcMar>
            <w:vAlign w:val="center"/>
            <w:hideMark/>
          </w:tcPr>
          <w:p w:rsidR="00D21163" w:rsidRPr="00D21163" w:rsidRDefault="00D21163" w:rsidP="00D21163">
            <w:pPr>
              <w:spacing w:after="0" w:line="240" w:lineRule="auto"/>
              <w:jc w:val="center"/>
              <w:textAlignment w:val="bottom"/>
              <w:rPr>
                <w:rFonts w:ascii="Helvetica" w:eastAsia="Times New Roman" w:hAnsi="Helvetica" w:cs="Helvetica"/>
                <w:sz w:val="24"/>
                <w:szCs w:val="24"/>
              </w:rPr>
            </w:pPr>
            <w:r w:rsidRPr="00D21163">
              <w:rPr>
                <w:rFonts w:ascii="Helvetica" w:eastAsia="Times New Roman" w:hAnsi="Helvetica" w:cs="Helvetica"/>
                <w:b/>
                <w:bCs/>
                <w:color w:val="FFFFFF"/>
                <w:kern w:val="24"/>
                <w:sz w:val="24"/>
                <w:szCs w:val="24"/>
              </w:rPr>
              <w:t>MassHealth</w:t>
            </w:r>
          </w:p>
        </w:tc>
      </w:tr>
      <w:tr w:rsidR="00D21163" w:rsidRPr="00D21163" w:rsidTr="00D21163">
        <w:trPr>
          <w:trHeight w:val="219"/>
        </w:trPr>
        <w:tc>
          <w:tcPr>
            <w:tcW w:w="2287" w:type="pct"/>
            <w:vMerge/>
            <w:tcBorders>
              <w:top w:val="single" w:sz="8" w:space="0" w:color="000000"/>
              <w:left w:val="single" w:sz="8" w:space="0" w:color="000000"/>
              <w:bottom w:val="single" w:sz="8" w:space="0" w:color="000000"/>
              <w:right w:val="single" w:sz="8" w:space="0" w:color="000000"/>
            </w:tcBorders>
            <w:vAlign w:val="center"/>
            <w:hideMark/>
          </w:tcPr>
          <w:p w:rsidR="00D21163" w:rsidRPr="00D21163" w:rsidRDefault="00D21163" w:rsidP="00D21163">
            <w:pPr>
              <w:spacing w:after="0" w:line="240" w:lineRule="auto"/>
              <w:jc w:val="left"/>
              <w:rPr>
                <w:rFonts w:ascii="Helvetica" w:eastAsia="Times New Roman" w:hAnsi="Helvetica" w:cs="Helvetica"/>
                <w:sz w:val="24"/>
                <w:szCs w:val="24"/>
              </w:rPr>
            </w:pPr>
          </w:p>
        </w:tc>
        <w:tc>
          <w:tcPr>
            <w:tcW w:w="477" w:type="pct"/>
            <w:tcBorders>
              <w:top w:val="single" w:sz="8" w:space="0" w:color="000000"/>
              <w:left w:val="single" w:sz="8" w:space="0" w:color="000000"/>
              <w:bottom w:val="single" w:sz="8" w:space="0" w:color="000000"/>
              <w:right w:val="single" w:sz="8" w:space="0" w:color="000000"/>
            </w:tcBorders>
            <w:shd w:val="clear" w:color="auto" w:fill="002060"/>
            <w:tcMar>
              <w:top w:w="8" w:type="dxa"/>
              <w:left w:w="8" w:type="dxa"/>
              <w:bottom w:w="0" w:type="dxa"/>
              <w:right w:w="8" w:type="dxa"/>
            </w:tcMar>
            <w:vAlign w:val="center"/>
            <w:hideMark/>
          </w:tcPr>
          <w:p w:rsidR="00D21163" w:rsidRPr="00D21163" w:rsidRDefault="00D21163" w:rsidP="00D21163">
            <w:pPr>
              <w:spacing w:after="0" w:line="219" w:lineRule="atLeast"/>
              <w:jc w:val="center"/>
              <w:textAlignment w:val="bottom"/>
              <w:rPr>
                <w:rFonts w:ascii="Helvetica" w:eastAsia="Times New Roman" w:hAnsi="Helvetica" w:cs="Helvetica"/>
                <w:sz w:val="24"/>
                <w:szCs w:val="24"/>
              </w:rPr>
            </w:pPr>
            <w:r w:rsidRPr="00D21163">
              <w:rPr>
                <w:rFonts w:ascii="Helvetica" w:eastAsia="Times New Roman" w:hAnsi="Helvetica" w:cs="Helvetica"/>
                <w:b/>
                <w:bCs/>
                <w:color w:val="FFFFFF"/>
                <w:kern w:val="24"/>
                <w:sz w:val="24"/>
                <w:szCs w:val="24"/>
                <w:highlight w:val="darkCyan"/>
              </w:rPr>
              <w:t>2016</w:t>
            </w:r>
          </w:p>
        </w:tc>
        <w:tc>
          <w:tcPr>
            <w:tcW w:w="454" w:type="pct"/>
            <w:tcBorders>
              <w:top w:val="single" w:sz="8" w:space="0" w:color="000000"/>
              <w:left w:val="single" w:sz="8" w:space="0" w:color="000000"/>
              <w:bottom w:val="single" w:sz="8" w:space="0" w:color="000000"/>
              <w:right w:val="single" w:sz="8" w:space="0" w:color="000000"/>
            </w:tcBorders>
            <w:shd w:val="clear" w:color="auto" w:fill="002060"/>
            <w:tcMar>
              <w:top w:w="8" w:type="dxa"/>
              <w:left w:w="8" w:type="dxa"/>
              <w:bottom w:w="0" w:type="dxa"/>
              <w:right w:w="8" w:type="dxa"/>
            </w:tcMar>
            <w:vAlign w:val="center"/>
            <w:hideMark/>
          </w:tcPr>
          <w:p w:rsidR="00D21163" w:rsidRPr="00D21163" w:rsidRDefault="00D21163" w:rsidP="00D21163">
            <w:pPr>
              <w:spacing w:after="0" w:line="219" w:lineRule="atLeast"/>
              <w:jc w:val="center"/>
              <w:textAlignment w:val="bottom"/>
              <w:rPr>
                <w:rFonts w:ascii="Helvetica" w:eastAsia="Times New Roman" w:hAnsi="Helvetica" w:cs="Helvetica"/>
                <w:sz w:val="24"/>
                <w:szCs w:val="24"/>
              </w:rPr>
            </w:pPr>
            <w:r w:rsidRPr="00D21163">
              <w:rPr>
                <w:rFonts w:ascii="Helvetica" w:eastAsia="Times New Roman" w:hAnsi="Helvetica" w:cs="Helvetica"/>
                <w:b/>
                <w:bCs/>
                <w:color w:val="FFFFFF"/>
                <w:kern w:val="24"/>
                <w:sz w:val="24"/>
                <w:szCs w:val="24"/>
                <w:highlight w:val="darkCyan"/>
              </w:rPr>
              <w:t>2017</w:t>
            </w:r>
          </w:p>
        </w:tc>
        <w:tc>
          <w:tcPr>
            <w:tcW w:w="454" w:type="pct"/>
            <w:tcBorders>
              <w:top w:val="single" w:sz="8" w:space="0" w:color="000000"/>
              <w:left w:val="single" w:sz="8" w:space="0" w:color="000000"/>
              <w:bottom w:val="single" w:sz="8" w:space="0" w:color="000000"/>
              <w:right w:val="single" w:sz="8" w:space="0" w:color="000000"/>
            </w:tcBorders>
            <w:shd w:val="clear" w:color="auto" w:fill="002060"/>
            <w:tcMar>
              <w:top w:w="8" w:type="dxa"/>
              <w:left w:w="8" w:type="dxa"/>
              <w:bottom w:w="0" w:type="dxa"/>
              <w:right w:w="8" w:type="dxa"/>
            </w:tcMar>
            <w:vAlign w:val="center"/>
            <w:hideMark/>
          </w:tcPr>
          <w:p w:rsidR="00D21163" w:rsidRPr="00D21163" w:rsidRDefault="00D21163" w:rsidP="00D21163">
            <w:pPr>
              <w:spacing w:after="0" w:line="219" w:lineRule="atLeast"/>
              <w:jc w:val="center"/>
              <w:textAlignment w:val="bottom"/>
              <w:rPr>
                <w:rFonts w:ascii="Helvetica" w:eastAsia="Times New Roman" w:hAnsi="Helvetica" w:cs="Helvetica"/>
                <w:sz w:val="24"/>
                <w:szCs w:val="24"/>
              </w:rPr>
            </w:pPr>
            <w:r w:rsidRPr="00D21163">
              <w:rPr>
                <w:rFonts w:ascii="Helvetica" w:eastAsia="Times New Roman" w:hAnsi="Helvetica" w:cs="Helvetica"/>
                <w:b/>
                <w:bCs/>
                <w:color w:val="FFFFFF"/>
                <w:kern w:val="24"/>
                <w:sz w:val="24"/>
                <w:szCs w:val="24"/>
                <w:highlight w:val="darkCyan"/>
              </w:rPr>
              <w:t>2018</w:t>
            </w:r>
          </w:p>
        </w:tc>
        <w:tc>
          <w:tcPr>
            <w:tcW w:w="418" w:type="pct"/>
            <w:tcBorders>
              <w:top w:val="single" w:sz="8" w:space="0" w:color="000000"/>
              <w:left w:val="single" w:sz="8" w:space="0" w:color="000000"/>
              <w:bottom w:val="single" w:sz="8" w:space="0" w:color="000000"/>
              <w:right w:val="single" w:sz="8" w:space="0" w:color="000000"/>
            </w:tcBorders>
            <w:shd w:val="clear" w:color="auto" w:fill="023467"/>
            <w:tcMar>
              <w:top w:w="8" w:type="dxa"/>
              <w:left w:w="8" w:type="dxa"/>
              <w:bottom w:w="0" w:type="dxa"/>
              <w:right w:w="8" w:type="dxa"/>
            </w:tcMar>
            <w:vAlign w:val="center"/>
            <w:hideMark/>
          </w:tcPr>
          <w:p w:rsidR="00D21163" w:rsidRPr="00D21163" w:rsidRDefault="00D21163" w:rsidP="00D21163">
            <w:pPr>
              <w:spacing w:after="0" w:line="219" w:lineRule="atLeast"/>
              <w:jc w:val="center"/>
              <w:textAlignment w:val="bottom"/>
              <w:rPr>
                <w:rFonts w:ascii="Helvetica" w:eastAsia="Times New Roman" w:hAnsi="Helvetica" w:cs="Helvetica"/>
                <w:sz w:val="24"/>
                <w:szCs w:val="24"/>
              </w:rPr>
            </w:pPr>
            <w:r w:rsidRPr="00D21163">
              <w:rPr>
                <w:rFonts w:ascii="Helvetica" w:eastAsia="Times New Roman" w:hAnsi="Helvetica" w:cs="Helvetica"/>
                <w:b/>
                <w:bCs/>
                <w:color w:val="FFFFFF"/>
                <w:kern w:val="24"/>
                <w:sz w:val="24"/>
                <w:szCs w:val="24"/>
              </w:rPr>
              <w:t>2016</w:t>
            </w:r>
          </w:p>
        </w:tc>
        <w:tc>
          <w:tcPr>
            <w:tcW w:w="462" w:type="pct"/>
            <w:tcBorders>
              <w:top w:val="single" w:sz="8" w:space="0" w:color="000000"/>
              <w:left w:val="single" w:sz="8" w:space="0" w:color="000000"/>
              <w:bottom w:val="single" w:sz="8" w:space="0" w:color="000000"/>
              <w:right w:val="single" w:sz="8" w:space="0" w:color="000000"/>
            </w:tcBorders>
            <w:shd w:val="clear" w:color="auto" w:fill="023467"/>
            <w:tcMar>
              <w:top w:w="8" w:type="dxa"/>
              <w:left w:w="8" w:type="dxa"/>
              <w:bottom w:w="0" w:type="dxa"/>
              <w:right w:w="8" w:type="dxa"/>
            </w:tcMar>
            <w:vAlign w:val="center"/>
            <w:hideMark/>
          </w:tcPr>
          <w:p w:rsidR="00D21163" w:rsidRPr="00D21163" w:rsidRDefault="00D21163" w:rsidP="00D21163">
            <w:pPr>
              <w:spacing w:after="0" w:line="219" w:lineRule="atLeast"/>
              <w:jc w:val="center"/>
              <w:textAlignment w:val="bottom"/>
              <w:rPr>
                <w:rFonts w:ascii="Helvetica" w:eastAsia="Times New Roman" w:hAnsi="Helvetica" w:cs="Helvetica"/>
                <w:sz w:val="24"/>
                <w:szCs w:val="24"/>
              </w:rPr>
            </w:pPr>
            <w:r w:rsidRPr="00D21163">
              <w:rPr>
                <w:rFonts w:ascii="Helvetica" w:eastAsia="Times New Roman" w:hAnsi="Helvetica" w:cs="Helvetica"/>
                <w:b/>
                <w:bCs/>
                <w:color w:val="FFFFFF"/>
                <w:kern w:val="24"/>
                <w:sz w:val="24"/>
                <w:szCs w:val="24"/>
              </w:rPr>
              <w:t>2017</w:t>
            </w:r>
          </w:p>
        </w:tc>
        <w:tc>
          <w:tcPr>
            <w:tcW w:w="447" w:type="pct"/>
            <w:tcBorders>
              <w:top w:val="single" w:sz="8" w:space="0" w:color="000000"/>
              <w:left w:val="single" w:sz="8" w:space="0" w:color="000000"/>
              <w:bottom w:val="single" w:sz="8" w:space="0" w:color="000000"/>
              <w:right w:val="single" w:sz="8" w:space="0" w:color="000000"/>
            </w:tcBorders>
            <w:shd w:val="clear" w:color="auto" w:fill="023467"/>
            <w:tcMar>
              <w:top w:w="8" w:type="dxa"/>
              <w:left w:w="8" w:type="dxa"/>
              <w:bottom w:w="0" w:type="dxa"/>
              <w:right w:w="8" w:type="dxa"/>
            </w:tcMar>
            <w:vAlign w:val="center"/>
            <w:hideMark/>
          </w:tcPr>
          <w:p w:rsidR="00D21163" w:rsidRPr="00D21163" w:rsidRDefault="00D21163" w:rsidP="00D21163">
            <w:pPr>
              <w:spacing w:after="0" w:line="219" w:lineRule="atLeast"/>
              <w:jc w:val="center"/>
              <w:textAlignment w:val="bottom"/>
              <w:rPr>
                <w:rFonts w:ascii="Helvetica" w:eastAsia="Times New Roman" w:hAnsi="Helvetica" w:cs="Helvetica"/>
                <w:sz w:val="24"/>
                <w:szCs w:val="24"/>
              </w:rPr>
            </w:pPr>
            <w:r w:rsidRPr="00D21163">
              <w:rPr>
                <w:rFonts w:ascii="Helvetica" w:eastAsia="Times New Roman" w:hAnsi="Helvetica" w:cs="Helvetica"/>
                <w:b/>
                <w:bCs/>
                <w:color w:val="FFFFFF"/>
                <w:kern w:val="24"/>
                <w:sz w:val="24"/>
                <w:szCs w:val="24"/>
              </w:rPr>
              <w:t>2018</w:t>
            </w:r>
          </w:p>
        </w:tc>
      </w:tr>
      <w:tr w:rsidR="00D21163" w:rsidRPr="00D21163" w:rsidTr="00D21163">
        <w:trPr>
          <w:trHeight w:val="146"/>
        </w:trPr>
        <w:tc>
          <w:tcPr>
            <w:tcW w:w="2287"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rsidR="00D21163" w:rsidRPr="00D21163" w:rsidRDefault="00D21163" w:rsidP="00D21163">
            <w:pPr>
              <w:spacing w:after="0" w:line="146" w:lineRule="atLeast"/>
              <w:jc w:val="left"/>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Adolescent Well-Care Visits</w:t>
            </w:r>
          </w:p>
        </w:tc>
        <w:tc>
          <w:tcPr>
            <w:tcW w:w="477" w:type="pct"/>
            <w:tcBorders>
              <w:top w:val="single" w:sz="8" w:space="0" w:color="000000"/>
              <w:left w:val="single" w:sz="8" w:space="0" w:color="000000"/>
              <w:bottom w:val="single" w:sz="8" w:space="0" w:color="000000"/>
              <w:right w:val="single" w:sz="8" w:space="0" w:color="000000"/>
            </w:tcBorders>
            <w:shd w:val="clear" w:color="auto" w:fill="70AD47"/>
            <w:tcMar>
              <w:top w:w="8" w:type="dxa"/>
              <w:left w:w="8" w:type="dxa"/>
              <w:bottom w:w="0" w:type="dxa"/>
              <w:right w:w="8" w:type="dxa"/>
            </w:tcMar>
            <w:vAlign w:val="center"/>
            <w:hideMark/>
          </w:tcPr>
          <w:p w:rsidR="00D21163" w:rsidRPr="00D21163" w:rsidRDefault="00D21163" w:rsidP="00D21163">
            <w:pPr>
              <w:spacing w:after="0" w:line="146"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78.0</w:t>
            </w:r>
            <w:r w:rsidR="00D11C8F" w:rsidRPr="00D21163">
              <w:rPr>
                <w:rFonts w:ascii="Helvetica" w:eastAsia="Times New Roman" w:hAnsi="Helvetica" w:cs="Helvetica"/>
                <w:color w:val="000000"/>
                <w:kern w:val="24"/>
                <w:sz w:val="24"/>
                <w:szCs w:val="24"/>
                <w:vertAlign w:val="superscript"/>
              </w:rPr>
              <w:t>6</w:t>
            </w:r>
          </w:p>
        </w:tc>
        <w:tc>
          <w:tcPr>
            <w:tcW w:w="454" w:type="pct"/>
            <w:tcBorders>
              <w:top w:val="single" w:sz="8" w:space="0" w:color="000000"/>
              <w:left w:val="single" w:sz="8" w:space="0" w:color="000000"/>
              <w:bottom w:val="single" w:sz="8" w:space="0" w:color="000000"/>
              <w:right w:val="single" w:sz="8" w:space="0" w:color="000000"/>
            </w:tcBorders>
            <w:shd w:val="clear" w:color="auto" w:fill="70AD47"/>
            <w:tcMar>
              <w:top w:w="8" w:type="dxa"/>
              <w:left w:w="8" w:type="dxa"/>
              <w:bottom w:w="0" w:type="dxa"/>
              <w:right w:w="8" w:type="dxa"/>
            </w:tcMar>
            <w:vAlign w:val="center"/>
            <w:hideMark/>
          </w:tcPr>
          <w:p w:rsidR="00D21163" w:rsidRPr="00D21163" w:rsidRDefault="00D21163" w:rsidP="00D21163">
            <w:pPr>
              <w:spacing w:after="0" w:line="146"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77.6</w:t>
            </w:r>
            <w:r w:rsidR="00D11C8F" w:rsidRPr="00D21163">
              <w:rPr>
                <w:rFonts w:ascii="Helvetica" w:eastAsia="Times New Roman" w:hAnsi="Helvetica" w:cs="Helvetica"/>
                <w:color w:val="000000"/>
                <w:kern w:val="24"/>
                <w:sz w:val="24"/>
                <w:szCs w:val="24"/>
                <w:vertAlign w:val="superscript"/>
              </w:rPr>
              <w:t>6</w:t>
            </w:r>
          </w:p>
        </w:tc>
        <w:tc>
          <w:tcPr>
            <w:tcW w:w="454" w:type="pct"/>
            <w:tcBorders>
              <w:top w:val="single" w:sz="8" w:space="0" w:color="000000"/>
              <w:left w:val="single" w:sz="8" w:space="0" w:color="000000"/>
              <w:bottom w:val="single" w:sz="8" w:space="0" w:color="000000"/>
              <w:right w:val="single" w:sz="8" w:space="0" w:color="000000"/>
            </w:tcBorders>
            <w:shd w:val="clear" w:color="auto" w:fill="70AD47"/>
            <w:tcMar>
              <w:top w:w="8" w:type="dxa"/>
              <w:left w:w="8" w:type="dxa"/>
              <w:bottom w:w="0" w:type="dxa"/>
              <w:right w:w="8" w:type="dxa"/>
            </w:tcMar>
            <w:vAlign w:val="center"/>
            <w:hideMark/>
          </w:tcPr>
          <w:p w:rsidR="00D21163" w:rsidRPr="00D21163" w:rsidRDefault="00D21163" w:rsidP="00D21163">
            <w:pPr>
              <w:spacing w:after="0" w:line="146"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78.3</w:t>
            </w:r>
            <w:r w:rsidR="00D11C8F" w:rsidRPr="00D21163">
              <w:rPr>
                <w:rFonts w:ascii="Helvetica" w:eastAsia="Times New Roman" w:hAnsi="Helvetica" w:cs="Helvetica"/>
                <w:color w:val="000000"/>
                <w:kern w:val="24"/>
                <w:sz w:val="24"/>
                <w:szCs w:val="24"/>
                <w:vertAlign w:val="superscript"/>
              </w:rPr>
              <w:t>6</w:t>
            </w:r>
          </w:p>
        </w:tc>
        <w:tc>
          <w:tcPr>
            <w:tcW w:w="418" w:type="pct"/>
            <w:tcBorders>
              <w:top w:val="single" w:sz="8" w:space="0" w:color="000000"/>
              <w:left w:val="single" w:sz="8" w:space="0" w:color="000000"/>
              <w:bottom w:val="single" w:sz="8" w:space="0" w:color="000000"/>
              <w:right w:val="single" w:sz="8" w:space="0" w:color="000000"/>
            </w:tcBorders>
            <w:shd w:val="clear" w:color="auto" w:fill="70AD47"/>
            <w:tcMar>
              <w:top w:w="8" w:type="dxa"/>
              <w:left w:w="8" w:type="dxa"/>
              <w:bottom w:w="0" w:type="dxa"/>
              <w:right w:w="8" w:type="dxa"/>
            </w:tcMar>
            <w:vAlign w:val="center"/>
            <w:hideMark/>
          </w:tcPr>
          <w:p w:rsidR="00D21163" w:rsidRPr="00D21163" w:rsidRDefault="00D21163" w:rsidP="00D21163">
            <w:pPr>
              <w:spacing w:after="0" w:line="146"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68.5</w:t>
            </w:r>
            <w:r w:rsidR="00D11C8F" w:rsidRPr="00D21163">
              <w:rPr>
                <w:rFonts w:ascii="Helvetica" w:eastAsia="Times New Roman" w:hAnsi="Helvetica" w:cs="Helvetica"/>
                <w:color w:val="000000"/>
                <w:kern w:val="24"/>
                <w:sz w:val="24"/>
                <w:szCs w:val="24"/>
                <w:vertAlign w:val="superscript"/>
              </w:rPr>
              <w:t>6</w:t>
            </w:r>
          </w:p>
        </w:tc>
        <w:tc>
          <w:tcPr>
            <w:tcW w:w="462" w:type="pct"/>
            <w:tcBorders>
              <w:top w:val="single" w:sz="8" w:space="0" w:color="000000"/>
              <w:left w:val="single" w:sz="8" w:space="0" w:color="000000"/>
              <w:bottom w:val="single" w:sz="8" w:space="0" w:color="000000"/>
              <w:right w:val="single" w:sz="8" w:space="0" w:color="000000"/>
            </w:tcBorders>
            <w:shd w:val="clear" w:color="auto" w:fill="70AD47"/>
            <w:tcMar>
              <w:top w:w="8" w:type="dxa"/>
              <w:left w:w="8" w:type="dxa"/>
              <w:bottom w:w="0" w:type="dxa"/>
              <w:right w:w="8" w:type="dxa"/>
            </w:tcMar>
            <w:vAlign w:val="center"/>
            <w:hideMark/>
          </w:tcPr>
          <w:p w:rsidR="00D21163" w:rsidRPr="00D21163" w:rsidRDefault="00D21163" w:rsidP="00D21163">
            <w:pPr>
              <w:spacing w:after="0" w:line="146"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67.8</w:t>
            </w:r>
            <w:r w:rsidR="00D11C8F" w:rsidRPr="00D21163">
              <w:rPr>
                <w:rFonts w:ascii="Helvetica" w:eastAsia="Times New Roman" w:hAnsi="Helvetica" w:cs="Helvetica"/>
                <w:color w:val="000000"/>
                <w:kern w:val="24"/>
                <w:sz w:val="24"/>
                <w:szCs w:val="24"/>
                <w:vertAlign w:val="superscript"/>
              </w:rPr>
              <w:t>6</w:t>
            </w:r>
          </w:p>
        </w:tc>
        <w:tc>
          <w:tcPr>
            <w:tcW w:w="447" w:type="pct"/>
            <w:tcBorders>
              <w:top w:val="single" w:sz="8" w:space="0" w:color="000000"/>
              <w:left w:val="single" w:sz="8" w:space="0" w:color="000000"/>
              <w:bottom w:val="single" w:sz="8" w:space="0" w:color="000000"/>
              <w:right w:val="single" w:sz="8" w:space="0" w:color="000000"/>
            </w:tcBorders>
            <w:shd w:val="clear" w:color="auto" w:fill="70AD47"/>
            <w:tcMar>
              <w:top w:w="8" w:type="dxa"/>
              <w:left w:w="8" w:type="dxa"/>
              <w:bottom w:w="0" w:type="dxa"/>
              <w:right w:w="8" w:type="dxa"/>
            </w:tcMar>
            <w:vAlign w:val="center"/>
            <w:hideMark/>
          </w:tcPr>
          <w:p w:rsidR="00D21163" w:rsidRPr="00D21163" w:rsidRDefault="00D21163" w:rsidP="00D21163">
            <w:pPr>
              <w:spacing w:after="0" w:line="146" w:lineRule="atLeast"/>
              <w:jc w:val="center"/>
              <w:textAlignment w:val="bottom"/>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68.6</w:t>
            </w:r>
            <w:r w:rsidR="00D11C8F" w:rsidRPr="00D21163">
              <w:rPr>
                <w:rFonts w:ascii="Helvetica" w:eastAsia="Times New Roman" w:hAnsi="Helvetica" w:cs="Helvetica"/>
                <w:color w:val="000000"/>
                <w:kern w:val="24"/>
                <w:sz w:val="24"/>
                <w:szCs w:val="24"/>
                <w:vertAlign w:val="superscript"/>
              </w:rPr>
              <w:t>6</w:t>
            </w:r>
          </w:p>
        </w:tc>
      </w:tr>
      <w:tr w:rsidR="00D21163" w:rsidRPr="00D21163" w:rsidTr="00D21163">
        <w:trPr>
          <w:trHeight w:val="219"/>
        </w:trPr>
        <w:tc>
          <w:tcPr>
            <w:tcW w:w="2287"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rsidR="00D21163" w:rsidRPr="00D21163" w:rsidRDefault="00D21163" w:rsidP="00D21163">
            <w:pPr>
              <w:spacing w:after="0" w:line="219" w:lineRule="atLeast"/>
              <w:jc w:val="left"/>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Comprehensive Diabetes Care - HbA1c Testing</w:t>
            </w:r>
          </w:p>
        </w:tc>
        <w:tc>
          <w:tcPr>
            <w:tcW w:w="477" w:type="pct"/>
            <w:tcBorders>
              <w:top w:val="single" w:sz="8" w:space="0" w:color="000000"/>
              <w:left w:val="single" w:sz="8" w:space="0" w:color="000000"/>
              <w:bottom w:val="single" w:sz="8" w:space="0" w:color="000000"/>
              <w:right w:val="single" w:sz="8" w:space="0" w:color="000000"/>
            </w:tcBorders>
            <w:shd w:val="clear" w:color="auto" w:fill="70AD47"/>
            <w:tcMar>
              <w:top w:w="8" w:type="dxa"/>
              <w:left w:w="8" w:type="dxa"/>
              <w:bottom w:w="0" w:type="dxa"/>
              <w:right w:w="8" w:type="dxa"/>
            </w:tcMar>
            <w:vAlign w:val="center"/>
            <w:hideMark/>
          </w:tcPr>
          <w:p w:rsidR="00D21163" w:rsidRPr="00D21163" w:rsidRDefault="00D21163" w:rsidP="00D21163">
            <w:pPr>
              <w:spacing w:after="0" w:line="219"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94.6</w:t>
            </w:r>
            <w:r w:rsidR="00D11C8F" w:rsidRPr="00D21163">
              <w:rPr>
                <w:rFonts w:ascii="Helvetica" w:eastAsia="Times New Roman" w:hAnsi="Helvetica" w:cs="Helvetica"/>
                <w:color w:val="000000"/>
                <w:kern w:val="24"/>
                <w:sz w:val="24"/>
                <w:szCs w:val="24"/>
                <w:vertAlign w:val="superscript"/>
              </w:rPr>
              <w:t>6</w:t>
            </w:r>
          </w:p>
        </w:tc>
        <w:tc>
          <w:tcPr>
            <w:tcW w:w="454" w:type="pct"/>
            <w:tcBorders>
              <w:top w:val="single" w:sz="8" w:space="0" w:color="000000"/>
              <w:left w:val="single" w:sz="8" w:space="0" w:color="000000"/>
              <w:bottom w:val="single" w:sz="8" w:space="0" w:color="000000"/>
              <w:right w:val="single" w:sz="8" w:space="0" w:color="000000"/>
            </w:tcBorders>
            <w:shd w:val="clear" w:color="auto" w:fill="70AD47"/>
            <w:tcMar>
              <w:top w:w="8" w:type="dxa"/>
              <w:left w:w="8" w:type="dxa"/>
              <w:bottom w:w="0" w:type="dxa"/>
              <w:right w:w="8" w:type="dxa"/>
            </w:tcMar>
            <w:vAlign w:val="center"/>
            <w:hideMark/>
          </w:tcPr>
          <w:p w:rsidR="00D21163" w:rsidRPr="00D21163" w:rsidRDefault="00D21163" w:rsidP="00D21163">
            <w:pPr>
              <w:spacing w:after="0" w:line="219"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94.5</w:t>
            </w:r>
            <w:r w:rsidR="00D11C8F" w:rsidRPr="00D21163">
              <w:rPr>
                <w:rFonts w:ascii="Helvetica" w:eastAsia="Times New Roman" w:hAnsi="Helvetica" w:cs="Helvetica"/>
                <w:color w:val="000000"/>
                <w:kern w:val="24"/>
                <w:sz w:val="24"/>
                <w:szCs w:val="24"/>
                <w:vertAlign w:val="superscript"/>
              </w:rPr>
              <w:t>6</w:t>
            </w:r>
          </w:p>
        </w:tc>
        <w:tc>
          <w:tcPr>
            <w:tcW w:w="454" w:type="pct"/>
            <w:tcBorders>
              <w:top w:val="single" w:sz="8" w:space="0" w:color="000000"/>
              <w:left w:val="single" w:sz="8" w:space="0" w:color="000000"/>
              <w:bottom w:val="single" w:sz="8" w:space="0" w:color="000000"/>
              <w:right w:val="single" w:sz="8" w:space="0" w:color="000000"/>
            </w:tcBorders>
            <w:shd w:val="clear" w:color="auto" w:fill="70AD47"/>
            <w:tcMar>
              <w:top w:w="8" w:type="dxa"/>
              <w:left w:w="8" w:type="dxa"/>
              <w:bottom w:w="0" w:type="dxa"/>
              <w:right w:w="8" w:type="dxa"/>
            </w:tcMar>
            <w:vAlign w:val="center"/>
            <w:hideMark/>
          </w:tcPr>
          <w:p w:rsidR="00D21163" w:rsidRPr="00D21163" w:rsidRDefault="00D21163" w:rsidP="00D21163">
            <w:pPr>
              <w:spacing w:after="0" w:line="219"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94.6</w:t>
            </w:r>
            <w:r w:rsidR="00D11C8F" w:rsidRPr="00D21163">
              <w:rPr>
                <w:rFonts w:ascii="Helvetica" w:eastAsia="Times New Roman" w:hAnsi="Helvetica" w:cs="Helvetica"/>
                <w:color w:val="000000"/>
                <w:kern w:val="24"/>
                <w:sz w:val="24"/>
                <w:szCs w:val="24"/>
                <w:vertAlign w:val="superscript"/>
              </w:rPr>
              <w:t>6</w:t>
            </w:r>
          </w:p>
        </w:tc>
        <w:tc>
          <w:tcPr>
            <w:tcW w:w="418" w:type="pct"/>
            <w:tcBorders>
              <w:top w:val="single" w:sz="8" w:space="0" w:color="000000"/>
              <w:left w:val="single" w:sz="8" w:space="0" w:color="000000"/>
              <w:bottom w:val="single" w:sz="8" w:space="0" w:color="000000"/>
              <w:right w:val="single" w:sz="8" w:space="0" w:color="000000"/>
            </w:tcBorders>
            <w:shd w:val="clear" w:color="auto" w:fill="FFFF00"/>
            <w:tcMar>
              <w:top w:w="8" w:type="dxa"/>
              <w:left w:w="8" w:type="dxa"/>
              <w:bottom w:w="0" w:type="dxa"/>
              <w:right w:w="8" w:type="dxa"/>
            </w:tcMar>
            <w:vAlign w:val="center"/>
            <w:hideMark/>
          </w:tcPr>
          <w:p w:rsidR="00D21163" w:rsidRPr="00D21163" w:rsidRDefault="00D21163" w:rsidP="00D21163">
            <w:pPr>
              <w:spacing w:after="0" w:line="219"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90.9</w:t>
            </w:r>
            <w:r w:rsidR="00D11C8F" w:rsidRPr="00D21163">
              <w:rPr>
                <w:rFonts w:ascii="Helvetica" w:eastAsia="Times New Roman" w:hAnsi="Helvetica" w:cs="Helvetica"/>
                <w:color w:val="000000"/>
                <w:kern w:val="24"/>
                <w:sz w:val="24"/>
                <w:szCs w:val="24"/>
                <w:vertAlign w:val="superscript"/>
              </w:rPr>
              <w:t>6</w:t>
            </w:r>
          </w:p>
        </w:tc>
        <w:tc>
          <w:tcPr>
            <w:tcW w:w="462" w:type="pct"/>
            <w:tcBorders>
              <w:top w:val="single" w:sz="8" w:space="0" w:color="000000"/>
              <w:left w:val="single" w:sz="8" w:space="0" w:color="000000"/>
              <w:bottom w:val="single" w:sz="8" w:space="0" w:color="000000"/>
              <w:right w:val="single" w:sz="8" w:space="0" w:color="000000"/>
            </w:tcBorders>
            <w:shd w:val="clear" w:color="auto" w:fill="FFFF00"/>
            <w:tcMar>
              <w:top w:w="8" w:type="dxa"/>
              <w:left w:w="8" w:type="dxa"/>
              <w:bottom w:w="0" w:type="dxa"/>
              <w:right w:w="8" w:type="dxa"/>
            </w:tcMar>
            <w:vAlign w:val="center"/>
            <w:hideMark/>
          </w:tcPr>
          <w:p w:rsidR="00D21163" w:rsidRPr="00D21163" w:rsidRDefault="00D21163" w:rsidP="00D21163">
            <w:pPr>
              <w:spacing w:after="0" w:line="219"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90.7</w:t>
            </w:r>
            <w:r w:rsidR="00D11C8F" w:rsidRPr="00D21163">
              <w:rPr>
                <w:rFonts w:ascii="Helvetica" w:eastAsia="Times New Roman" w:hAnsi="Helvetica" w:cs="Helvetica"/>
                <w:color w:val="000000"/>
                <w:kern w:val="24"/>
                <w:sz w:val="24"/>
                <w:szCs w:val="24"/>
                <w:vertAlign w:val="superscript"/>
              </w:rPr>
              <w:t>6</w:t>
            </w:r>
          </w:p>
        </w:tc>
        <w:tc>
          <w:tcPr>
            <w:tcW w:w="447" w:type="pct"/>
            <w:tcBorders>
              <w:top w:val="single" w:sz="8" w:space="0" w:color="000000"/>
              <w:left w:val="single" w:sz="8" w:space="0" w:color="000000"/>
              <w:bottom w:val="single" w:sz="8" w:space="0" w:color="000000"/>
              <w:right w:val="single" w:sz="8" w:space="0" w:color="000000"/>
            </w:tcBorders>
            <w:shd w:val="clear" w:color="auto" w:fill="FFC000"/>
            <w:tcMar>
              <w:top w:w="8" w:type="dxa"/>
              <w:left w:w="8" w:type="dxa"/>
              <w:bottom w:w="0" w:type="dxa"/>
              <w:right w:w="8" w:type="dxa"/>
            </w:tcMar>
            <w:vAlign w:val="center"/>
            <w:hideMark/>
          </w:tcPr>
          <w:p w:rsidR="00D21163" w:rsidRPr="00D21163" w:rsidRDefault="00D21163" w:rsidP="00D21163">
            <w:pPr>
              <w:spacing w:after="0" w:line="219" w:lineRule="atLeast"/>
              <w:jc w:val="center"/>
              <w:textAlignment w:val="bottom"/>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90.3</w:t>
            </w:r>
            <w:r w:rsidR="00D11C8F">
              <w:rPr>
                <w:rFonts w:ascii="Helvetica" w:eastAsia="Times New Roman" w:hAnsi="Helvetica" w:cs="Helvetica"/>
                <w:bCs/>
                <w:color w:val="000000" w:themeColor="text1"/>
                <w:kern w:val="24"/>
                <w:sz w:val="24"/>
                <w:szCs w:val="24"/>
                <w:vertAlign w:val="superscript"/>
              </w:rPr>
              <w:t>4</w:t>
            </w:r>
          </w:p>
        </w:tc>
      </w:tr>
      <w:tr w:rsidR="00D21163" w:rsidRPr="00D21163" w:rsidTr="00D21163">
        <w:trPr>
          <w:trHeight w:val="329"/>
        </w:trPr>
        <w:tc>
          <w:tcPr>
            <w:tcW w:w="2287"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rsidR="00D21163" w:rsidRPr="00D21163" w:rsidRDefault="00D21163" w:rsidP="00D21163">
            <w:pPr>
              <w:spacing w:after="0" w:line="329" w:lineRule="atLeast"/>
              <w:jc w:val="left"/>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Comprehensive Diabetes Care - Medical Attention for Nephropathy</w:t>
            </w:r>
          </w:p>
        </w:tc>
        <w:tc>
          <w:tcPr>
            <w:tcW w:w="477" w:type="pct"/>
            <w:tcBorders>
              <w:top w:val="single" w:sz="8" w:space="0" w:color="000000"/>
              <w:left w:val="single" w:sz="8" w:space="0" w:color="000000"/>
              <w:bottom w:val="single" w:sz="8" w:space="0" w:color="000000"/>
              <w:right w:val="single" w:sz="8" w:space="0" w:color="000000"/>
            </w:tcBorders>
            <w:shd w:val="clear" w:color="auto" w:fill="70AD47"/>
            <w:tcMar>
              <w:top w:w="8" w:type="dxa"/>
              <w:left w:w="8" w:type="dxa"/>
              <w:bottom w:w="0" w:type="dxa"/>
              <w:right w:w="8" w:type="dxa"/>
            </w:tcMar>
            <w:vAlign w:val="center"/>
            <w:hideMark/>
          </w:tcPr>
          <w:p w:rsidR="00D21163" w:rsidRPr="00D21163" w:rsidRDefault="00D21163" w:rsidP="00D21163">
            <w:pPr>
              <w:spacing w:after="0" w:line="329"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92.5</w:t>
            </w:r>
            <w:r w:rsidR="00D11C8F" w:rsidRPr="00D21163">
              <w:rPr>
                <w:rFonts w:ascii="Helvetica" w:eastAsia="Times New Roman" w:hAnsi="Helvetica" w:cs="Helvetica"/>
                <w:color w:val="000000"/>
                <w:kern w:val="24"/>
                <w:sz w:val="24"/>
                <w:szCs w:val="24"/>
                <w:vertAlign w:val="superscript"/>
              </w:rPr>
              <w:t>6</w:t>
            </w:r>
          </w:p>
        </w:tc>
        <w:tc>
          <w:tcPr>
            <w:tcW w:w="454" w:type="pct"/>
            <w:tcBorders>
              <w:top w:val="single" w:sz="8" w:space="0" w:color="000000"/>
              <w:left w:val="single" w:sz="8" w:space="0" w:color="000000"/>
              <w:bottom w:val="single" w:sz="8" w:space="0" w:color="000000"/>
              <w:right w:val="single" w:sz="8" w:space="0" w:color="000000"/>
            </w:tcBorders>
            <w:shd w:val="clear" w:color="auto" w:fill="70AD47"/>
            <w:tcMar>
              <w:top w:w="8" w:type="dxa"/>
              <w:left w:w="8" w:type="dxa"/>
              <w:bottom w:w="0" w:type="dxa"/>
              <w:right w:w="8" w:type="dxa"/>
            </w:tcMar>
            <w:vAlign w:val="center"/>
            <w:hideMark/>
          </w:tcPr>
          <w:p w:rsidR="00D21163" w:rsidRPr="00D21163" w:rsidRDefault="00D21163" w:rsidP="00D21163">
            <w:pPr>
              <w:spacing w:after="0" w:line="329"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93.2</w:t>
            </w:r>
            <w:r w:rsidR="00D11C8F" w:rsidRPr="00D21163">
              <w:rPr>
                <w:rFonts w:ascii="Helvetica" w:eastAsia="Times New Roman" w:hAnsi="Helvetica" w:cs="Helvetica"/>
                <w:color w:val="000000"/>
                <w:kern w:val="24"/>
                <w:sz w:val="24"/>
                <w:szCs w:val="24"/>
                <w:vertAlign w:val="superscript"/>
              </w:rPr>
              <w:t>6</w:t>
            </w:r>
          </w:p>
        </w:tc>
        <w:tc>
          <w:tcPr>
            <w:tcW w:w="454" w:type="pct"/>
            <w:tcBorders>
              <w:top w:val="single" w:sz="8" w:space="0" w:color="000000"/>
              <w:left w:val="single" w:sz="8" w:space="0" w:color="000000"/>
              <w:bottom w:val="single" w:sz="8" w:space="0" w:color="000000"/>
              <w:right w:val="single" w:sz="8" w:space="0" w:color="000000"/>
            </w:tcBorders>
            <w:shd w:val="clear" w:color="auto" w:fill="FFFF00"/>
            <w:tcMar>
              <w:top w:w="8" w:type="dxa"/>
              <w:left w:w="8" w:type="dxa"/>
              <w:bottom w:w="0" w:type="dxa"/>
              <w:right w:w="8" w:type="dxa"/>
            </w:tcMar>
            <w:vAlign w:val="center"/>
            <w:hideMark/>
          </w:tcPr>
          <w:p w:rsidR="00D21163" w:rsidRPr="00D21163" w:rsidRDefault="00D21163" w:rsidP="00D21163">
            <w:pPr>
              <w:spacing w:after="0" w:line="329"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91.8</w:t>
            </w:r>
            <w:r w:rsidR="00D11C8F" w:rsidRPr="00D21163">
              <w:rPr>
                <w:rFonts w:ascii="Helvetica" w:eastAsia="Times New Roman" w:hAnsi="Helvetica" w:cs="Helvetica"/>
                <w:color w:val="000000"/>
                <w:kern w:val="24"/>
                <w:sz w:val="24"/>
                <w:szCs w:val="24"/>
                <w:vertAlign w:val="superscript"/>
              </w:rPr>
              <w:t>6</w:t>
            </w:r>
          </w:p>
        </w:tc>
        <w:tc>
          <w:tcPr>
            <w:tcW w:w="418" w:type="pct"/>
            <w:tcBorders>
              <w:top w:val="single" w:sz="8" w:space="0" w:color="000000"/>
              <w:left w:val="single" w:sz="8" w:space="0" w:color="000000"/>
              <w:bottom w:val="single" w:sz="8" w:space="0" w:color="000000"/>
              <w:right w:val="single" w:sz="8" w:space="0" w:color="000000"/>
            </w:tcBorders>
            <w:shd w:val="clear" w:color="auto" w:fill="FFC000"/>
            <w:tcMar>
              <w:top w:w="8" w:type="dxa"/>
              <w:left w:w="8" w:type="dxa"/>
              <w:bottom w:w="0" w:type="dxa"/>
              <w:right w:w="8" w:type="dxa"/>
            </w:tcMar>
            <w:vAlign w:val="center"/>
            <w:hideMark/>
          </w:tcPr>
          <w:p w:rsidR="00D21163" w:rsidRPr="00D21163" w:rsidRDefault="00D21163" w:rsidP="00D21163">
            <w:pPr>
              <w:spacing w:after="0" w:line="329"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90.3</w:t>
            </w:r>
            <w:r w:rsidR="00D11C8F">
              <w:rPr>
                <w:rFonts w:ascii="Helvetica" w:eastAsia="Times New Roman" w:hAnsi="Helvetica" w:cs="Helvetica"/>
                <w:bCs/>
                <w:color w:val="000000" w:themeColor="text1"/>
                <w:kern w:val="24"/>
                <w:sz w:val="24"/>
                <w:szCs w:val="24"/>
                <w:vertAlign w:val="superscript"/>
              </w:rPr>
              <w:t>4</w:t>
            </w:r>
          </w:p>
        </w:tc>
        <w:tc>
          <w:tcPr>
            <w:tcW w:w="462" w:type="pct"/>
            <w:tcBorders>
              <w:top w:val="single" w:sz="8" w:space="0" w:color="000000"/>
              <w:left w:val="single" w:sz="8" w:space="0" w:color="000000"/>
              <w:bottom w:val="single" w:sz="8" w:space="0" w:color="000000"/>
              <w:right w:val="single" w:sz="8" w:space="0" w:color="000000"/>
            </w:tcBorders>
            <w:shd w:val="clear" w:color="auto" w:fill="FFC000"/>
            <w:tcMar>
              <w:top w:w="8" w:type="dxa"/>
              <w:left w:w="8" w:type="dxa"/>
              <w:bottom w:w="0" w:type="dxa"/>
              <w:right w:w="8" w:type="dxa"/>
            </w:tcMar>
            <w:vAlign w:val="center"/>
            <w:hideMark/>
          </w:tcPr>
          <w:p w:rsidR="00D21163" w:rsidRPr="00D21163" w:rsidRDefault="00D21163" w:rsidP="00D21163">
            <w:pPr>
              <w:spacing w:after="0" w:line="329"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90.5</w:t>
            </w:r>
            <w:r w:rsidR="00D11C8F">
              <w:rPr>
                <w:rFonts w:ascii="Helvetica" w:eastAsia="Times New Roman" w:hAnsi="Helvetica" w:cs="Helvetica"/>
                <w:bCs/>
                <w:color w:val="000000" w:themeColor="text1"/>
                <w:kern w:val="24"/>
                <w:sz w:val="24"/>
                <w:szCs w:val="24"/>
                <w:vertAlign w:val="superscript"/>
              </w:rPr>
              <w:t>4</w:t>
            </w:r>
          </w:p>
        </w:tc>
        <w:tc>
          <w:tcPr>
            <w:tcW w:w="447" w:type="pct"/>
            <w:tcBorders>
              <w:top w:val="single" w:sz="8" w:space="0" w:color="000000"/>
              <w:left w:val="single" w:sz="8" w:space="0" w:color="000000"/>
              <w:bottom w:val="single" w:sz="8" w:space="0" w:color="000000"/>
              <w:right w:val="single" w:sz="8" w:space="0" w:color="000000"/>
            </w:tcBorders>
            <w:shd w:val="clear" w:color="auto" w:fill="FFFF00"/>
            <w:tcMar>
              <w:top w:w="8" w:type="dxa"/>
              <w:left w:w="8" w:type="dxa"/>
              <w:bottom w:w="0" w:type="dxa"/>
              <w:right w:w="8" w:type="dxa"/>
            </w:tcMar>
            <w:vAlign w:val="center"/>
            <w:hideMark/>
          </w:tcPr>
          <w:p w:rsidR="00D21163" w:rsidRPr="00D21163" w:rsidRDefault="00D21163" w:rsidP="00D21163">
            <w:pPr>
              <w:spacing w:after="0" w:line="329" w:lineRule="atLeast"/>
              <w:jc w:val="center"/>
              <w:textAlignment w:val="bottom"/>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92.3</w:t>
            </w:r>
            <w:r w:rsidR="00D11C8F" w:rsidRPr="00D21163">
              <w:rPr>
                <w:rFonts w:ascii="Helvetica" w:eastAsia="Times New Roman" w:hAnsi="Helvetica" w:cs="Helvetica"/>
                <w:color w:val="000000"/>
                <w:kern w:val="24"/>
                <w:sz w:val="24"/>
                <w:szCs w:val="24"/>
                <w:vertAlign w:val="superscript"/>
              </w:rPr>
              <w:t>6</w:t>
            </w:r>
          </w:p>
        </w:tc>
      </w:tr>
      <w:tr w:rsidR="00D21163" w:rsidRPr="00D21163" w:rsidTr="00D21163">
        <w:trPr>
          <w:trHeight w:val="293"/>
        </w:trPr>
        <w:tc>
          <w:tcPr>
            <w:tcW w:w="2287" w:type="pc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rsidR="00D21163" w:rsidRPr="00D21163" w:rsidRDefault="00D21163" w:rsidP="00D21163">
            <w:pPr>
              <w:spacing w:after="0" w:line="293" w:lineRule="atLeast"/>
              <w:jc w:val="left"/>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Prenatal and Postpartum Care - Timeliness of Prenatal Care</w:t>
            </w:r>
          </w:p>
        </w:tc>
        <w:tc>
          <w:tcPr>
            <w:tcW w:w="477" w:type="pct"/>
            <w:tcBorders>
              <w:top w:val="single" w:sz="8" w:space="0" w:color="000000"/>
              <w:left w:val="single" w:sz="8" w:space="0" w:color="000000"/>
              <w:bottom w:val="single" w:sz="8" w:space="0" w:color="000000"/>
              <w:right w:val="single" w:sz="8" w:space="0" w:color="000000"/>
            </w:tcBorders>
            <w:shd w:val="clear" w:color="auto" w:fill="FFFF00"/>
            <w:tcMar>
              <w:top w:w="8" w:type="dxa"/>
              <w:left w:w="8" w:type="dxa"/>
              <w:bottom w:w="0" w:type="dxa"/>
              <w:right w:w="8" w:type="dxa"/>
            </w:tcMar>
            <w:vAlign w:val="center"/>
            <w:hideMark/>
          </w:tcPr>
          <w:p w:rsidR="00D21163" w:rsidRPr="00D21163" w:rsidRDefault="00D21163" w:rsidP="00D21163">
            <w:pPr>
              <w:spacing w:after="0" w:line="293"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93.9</w:t>
            </w:r>
            <w:r w:rsidR="00D11C8F" w:rsidRPr="00D21163">
              <w:rPr>
                <w:rFonts w:ascii="Helvetica" w:eastAsia="Times New Roman" w:hAnsi="Helvetica" w:cs="Helvetica"/>
                <w:color w:val="000000"/>
                <w:kern w:val="24"/>
                <w:sz w:val="24"/>
                <w:szCs w:val="24"/>
                <w:vertAlign w:val="superscript"/>
              </w:rPr>
              <w:t>6</w:t>
            </w:r>
          </w:p>
        </w:tc>
        <w:tc>
          <w:tcPr>
            <w:tcW w:w="454" w:type="pct"/>
            <w:tcBorders>
              <w:top w:val="single" w:sz="8" w:space="0" w:color="000000"/>
              <w:left w:val="single" w:sz="8" w:space="0" w:color="000000"/>
              <w:bottom w:val="single" w:sz="8" w:space="0" w:color="000000"/>
              <w:right w:val="single" w:sz="8" w:space="0" w:color="000000"/>
            </w:tcBorders>
            <w:shd w:val="clear" w:color="auto" w:fill="70AD47"/>
            <w:tcMar>
              <w:top w:w="8" w:type="dxa"/>
              <w:left w:w="8" w:type="dxa"/>
              <w:bottom w:w="0" w:type="dxa"/>
              <w:right w:w="8" w:type="dxa"/>
            </w:tcMar>
            <w:vAlign w:val="center"/>
            <w:hideMark/>
          </w:tcPr>
          <w:p w:rsidR="00D21163" w:rsidRPr="00D21163" w:rsidRDefault="00D21163" w:rsidP="00D21163">
            <w:pPr>
              <w:spacing w:after="0" w:line="293"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93.6</w:t>
            </w:r>
            <w:r w:rsidR="00D11C8F" w:rsidRPr="00D21163">
              <w:rPr>
                <w:rFonts w:ascii="Helvetica" w:eastAsia="Times New Roman" w:hAnsi="Helvetica" w:cs="Helvetica"/>
                <w:color w:val="000000"/>
                <w:kern w:val="24"/>
                <w:sz w:val="24"/>
                <w:szCs w:val="24"/>
                <w:vertAlign w:val="superscript"/>
              </w:rPr>
              <w:t>6</w:t>
            </w:r>
          </w:p>
        </w:tc>
        <w:tc>
          <w:tcPr>
            <w:tcW w:w="454" w:type="pct"/>
            <w:tcBorders>
              <w:top w:val="single" w:sz="8" w:space="0" w:color="000000"/>
              <w:left w:val="single" w:sz="8" w:space="0" w:color="000000"/>
              <w:bottom w:val="single" w:sz="8" w:space="0" w:color="000000"/>
              <w:right w:val="single" w:sz="8" w:space="0" w:color="000000"/>
            </w:tcBorders>
            <w:shd w:val="clear" w:color="auto" w:fill="70AD47"/>
            <w:tcMar>
              <w:top w:w="8" w:type="dxa"/>
              <w:left w:w="8" w:type="dxa"/>
              <w:bottom w:w="0" w:type="dxa"/>
              <w:right w:w="8" w:type="dxa"/>
            </w:tcMar>
            <w:vAlign w:val="center"/>
            <w:hideMark/>
          </w:tcPr>
          <w:p w:rsidR="00D21163" w:rsidRPr="00D21163" w:rsidRDefault="00D21163" w:rsidP="00D21163">
            <w:pPr>
              <w:spacing w:after="0" w:line="293"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95.4</w:t>
            </w:r>
            <w:r w:rsidR="00D11C8F" w:rsidRPr="00D21163">
              <w:rPr>
                <w:rFonts w:ascii="Helvetica" w:eastAsia="Times New Roman" w:hAnsi="Helvetica" w:cs="Helvetica"/>
                <w:color w:val="000000"/>
                <w:kern w:val="24"/>
                <w:sz w:val="24"/>
                <w:szCs w:val="24"/>
                <w:vertAlign w:val="superscript"/>
              </w:rPr>
              <w:t>6</w:t>
            </w:r>
          </w:p>
        </w:tc>
        <w:tc>
          <w:tcPr>
            <w:tcW w:w="418" w:type="pct"/>
            <w:tcBorders>
              <w:top w:val="single" w:sz="8" w:space="0" w:color="000000"/>
              <w:left w:val="single" w:sz="8" w:space="0" w:color="000000"/>
              <w:bottom w:val="single" w:sz="8" w:space="0" w:color="000000"/>
              <w:right w:val="single" w:sz="8" w:space="0" w:color="000000"/>
            </w:tcBorders>
            <w:shd w:val="clear" w:color="auto" w:fill="FFC000"/>
            <w:tcMar>
              <w:top w:w="8" w:type="dxa"/>
              <w:left w:w="8" w:type="dxa"/>
              <w:bottom w:w="0" w:type="dxa"/>
              <w:right w:w="8" w:type="dxa"/>
            </w:tcMar>
            <w:vAlign w:val="center"/>
            <w:hideMark/>
          </w:tcPr>
          <w:p w:rsidR="00D21163" w:rsidRPr="00D21163" w:rsidRDefault="00D21163" w:rsidP="00D21163">
            <w:pPr>
              <w:spacing w:after="0" w:line="293"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87.8</w:t>
            </w:r>
            <w:r w:rsidR="00D11C8F">
              <w:rPr>
                <w:rFonts w:ascii="Helvetica" w:eastAsia="Times New Roman" w:hAnsi="Helvetica" w:cs="Helvetica"/>
                <w:bCs/>
                <w:color w:val="000000" w:themeColor="text1"/>
                <w:kern w:val="24"/>
                <w:sz w:val="24"/>
                <w:szCs w:val="24"/>
                <w:vertAlign w:val="superscript"/>
              </w:rPr>
              <w:t>4</w:t>
            </w:r>
          </w:p>
        </w:tc>
        <w:tc>
          <w:tcPr>
            <w:tcW w:w="462" w:type="pct"/>
            <w:tcBorders>
              <w:top w:val="single" w:sz="8" w:space="0" w:color="000000"/>
              <w:left w:val="single" w:sz="8" w:space="0" w:color="000000"/>
              <w:bottom w:val="single" w:sz="8" w:space="0" w:color="000000"/>
              <w:right w:val="single" w:sz="8" w:space="0" w:color="000000"/>
            </w:tcBorders>
            <w:shd w:val="clear" w:color="auto" w:fill="FFC000"/>
            <w:tcMar>
              <w:top w:w="8" w:type="dxa"/>
              <w:left w:w="8" w:type="dxa"/>
              <w:bottom w:w="0" w:type="dxa"/>
              <w:right w:w="8" w:type="dxa"/>
            </w:tcMar>
            <w:vAlign w:val="center"/>
            <w:hideMark/>
          </w:tcPr>
          <w:p w:rsidR="00D21163" w:rsidRPr="00D21163" w:rsidRDefault="00D21163" w:rsidP="00D21163">
            <w:pPr>
              <w:spacing w:after="0" w:line="293"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86.5</w:t>
            </w:r>
            <w:r w:rsidR="00D11C8F">
              <w:rPr>
                <w:rFonts w:ascii="Helvetica" w:eastAsia="Times New Roman" w:hAnsi="Helvetica" w:cs="Helvetica"/>
                <w:bCs/>
                <w:color w:val="000000" w:themeColor="text1"/>
                <w:kern w:val="24"/>
                <w:sz w:val="24"/>
                <w:szCs w:val="24"/>
                <w:vertAlign w:val="superscript"/>
              </w:rPr>
              <w:t>4</w:t>
            </w:r>
          </w:p>
        </w:tc>
        <w:tc>
          <w:tcPr>
            <w:tcW w:w="447" w:type="pct"/>
            <w:tcBorders>
              <w:top w:val="single" w:sz="8" w:space="0" w:color="000000"/>
              <w:left w:val="single" w:sz="8" w:space="0" w:color="000000"/>
              <w:bottom w:val="single" w:sz="8" w:space="0" w:color="000000"/>
              <w:right w:val="single" w:sz="8" w:space="0" w:color="000000"/>
            </w:tcBorders>
            <w:shd w:val="clear" w:color="auto" w:fill="FFC000"/>
            <w:tcMar>
              <w:top w:w="8" w:type="dxa"/>
              <w:left w:w="8" w:type="dxa"/>
              <w:bottom w:w="0" w:type="dxa"/>
              <w:right w:w="8" w:type="dxa"/>
            </w:tcMar>
            <w:vAlign w:val="center"/>
            <w:hideMark/>
          </w:tcPr>
          <w:p w:rsidR="00D21163" w:rsidRPr="00D21163" w:rsidRDefault="00D21163" w:rsidP="00D21163">
            <w:pPr>
              <w:spacing w:after="0" w:line="293" w:lineRule="atLeast"/>
              <w:jc w:val="center"/>
              <w:textAlignment w:val="bottom"/>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86.3</w:t>
            </w:r>
            <w:r w:rsidR="00D11C8F">
              <w:rPr>
                <w:rFonts w:ascii="Helvetica" w:eastAsia="Times New Roman" w:hAnsi="Helvetica" w:cs="Helvetica"/>
                <w:bCs/>
                <w:color w:val="000000" w:themeColor="text1"/>
                <w:kern w:val="24"/>
                <w:sz w:val="24"/>
                <w:szCs w:val="24"/>
                <w:vertAlign w:val="superscript"/>
              </w:rPr>
              <w:t>4</w:t>
            </w:r>
          </w:p>
        </w:tc>
      </w:tr>
      <w:tr w:rsidR="00D21163" w:rsidRPr="00D21163" w:rsidTr="00D21163">
        <w:trPr>
          <w:trHeight w:val="293"/>
        </w:trPr>
        <w:tc>
          <w:tcPr>
            <w:tcW w:w="2287" w:type="pct"/>
            <w:tcBorders>
              <w:top w:val="single" w:sz="8"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hideMark/>
          </w:tcPr>
          <w:p w:rsidR="00D21163" w:rsidRPr="00D21163" w:rsidRDefault="00D21163" w:rsidP="00D21163">
            <w:pPr>
              <w:spacing w:after="0" w:line="293" w:lineRule="atLeast"/>
              <w:jc w:val="left"/>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Well-Child-Visits in the 3rd, 4th, 5th, and 6th Years of Life</w:t>
            </w:r>
          </w:p>
        </w:tc>
        <w:tc>
          <w:tcPr>
            <w:tcW w:w="477" w:type="pct"/>
            <w:tcBorders>
              <w:top w:val="single" w:sz="8" w:space="0" w:color="000000"/>
              <w:left w:val="single" w:sz="4" w:space="0" w:color="000000"/>
              <w:bottom w:val="single" w:sz="4" w:space="0" w:color="000000"/>
              <w:right w:val="single" w:sz="4" w:space="0" w:color="000000"/>
            </w:tcBorders>
            <w:shd w:val="clear" w:color="auto" w:fill="70AD47"/>
            <w:tcMar>
              <w:top w:w="8" w:type="dxa"/>
              <w:left w:w="8" w:type="dxa"/>
              <w:bottom w:w="0" w:type="dxa"/>
              <w:right w:w="8" w:type="dxa"/>
            </w:tcMar>
            <w:vAlign w:val="center"/>
            <w:hideMark/>
          </w:tcPr>
          <w:p w:rsidR="00D21163" w:rsidRPr="00D21163" w:rsidRDefault="00D21163" w:rsidP="00D21163">
            <w:pPr>
              <w:spacing w:after="0" w:line="293"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93.1</w:t>
            </w:r>
            <w:r w:rsidR="00D11C8F" w:rsidRPr="00D21163">
              <w:rPr>
                <w:rFonts w:ascii="Helvetica" w:eastAsia="Times New Roman" w:hAnsi="Helvetica" w:cs="Helvetica"/>
                <w:color w:val="000000"/>
                <w:kern w:val="24"/>
                <w:sz w:val="24"/>
                <w:szCs w:val="24"/>
                <w:vertAlign w:val="superscript"/>
              </w:rPr>
              <w:t>6</w:t>
            </w:r>
          </w:p>
        </w:tc>
        <w:tc>
          <w:tcPr>
            <w:tcW w:w="454" w:type="pct"/>
            <w:tcBorders>
              <w:top w:val="single" w:sz="8" w:space="0" w:color="000000"/>
              <w:left w:val="single" w:sz="4" w:space="0" w:color="000000"/>
              <w:bottom w:val="single" w:sz="4" w:space="0" w:color="000000"/>
              <w:right w:val="single" w:sz="8" w:space="0" w:color="000000"/>
            </w:tcBorders>
            <w:shd w:val="clear" w:color="auto" w:fill="70AD47"/>
            <w:tcMar>
              <w:top w:w="8" w:type="dxa"/>
              <w:left w:w="8" w:type="dxa"/>
              <w:bottom w:w="0" w:type="dxa"/>
              <w:right w:w="8" w:type="dxa"/>
            </w:tcMar>
            <w:vAlign w:val="center"/>
            <w:hideMark/>
          </w:tcPr>
          <w:p w:rsidR="00D21163" w:rsidRPr="00D21163" w:rsidRDefault="00D21163" w:rsidP="00D21163">
            <w:pPr>
              <w:spacing w:after="0" w:line="293"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92.6</w:t>
            </w:r>
            <w:r w:rsidR="00D11C8F" w:rsidRPr="00D21163">
              <w:rPr>
                <w:rFonts w:ascii="Helvetica" w:eastAsia="Times New Roman" w:hAnsi="Helvetica" w:cs="Helvetica"/>
                <w:color w:val="000000"/>
                <w:kern w:val="24"/>
                <w:sz w:val="24"/>
                <w:szCs w:val="24"/>
                <w:vertAlign w:val="superscript"/>
              </w:rPr>
              <w:t>6</w:t>
            </w:r>
          </w:p>
        </w:tc>
        <w:tc>
          <w:tcPr>
            <w:tcW w:w="454" w:type="pct"/>
            <w:tcBorders>
              <w:top w:val="single" w:sz="8" w:space="0" w:color="000000"/>
              <w:left w:val="single" w:sz="8" w:space="0" w:color="000000"/>
              <w:bottom w:val="single" w:sz="8" w:space="0" w:color="000000"/>
              <w:right w:val="single" w:sz="8" w:space="0" w:color="000000"/>
            </w:tcBorders>
            <w:shd w:val="clear" w:color="auto" w:fill="70AD47"/>
            <w:tcMar>
              <w:top w:w="8" w:type="dxa"/>
              <w:left w:w="8" w:type="dxa"/>
              <w:bottom w:w="0" w:type="dxa"/>
              <w:right w:w="8" w:type="dxa"/>
            </w:tcMar>
            <w:vAlign w:val="center"/>
            <w:hideMark/>
          </w:tcPr>
          <w:p w:rsidR="00D21163" w:rsidRPr="00D21163" w:rsidRDefault="00D21163" w:rsidP="00D21163">
            <w:pPr>
              <w:spacing w:after="0" w:line="293"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93.1</w:t>
            </w:r>
            <w:r w:rsidR="00D11C8F" w:rsidRPr="00D21163">
              <w:rPr>
                <w:rFonts w:ascii="Helvetica" w:eastAsia="Times New Roman" w:hAnsi="Helvetica" w:cs="Helvetica"/>
                <w:color w:val="000000"/>
                <w:kern w:val="24"/>
                <w:sz w:val="24"/>
                <w:szCs w:val="24"/>
                <w:vertAlign w:val="superscript"/>
              </w:rPr>
              <w:t>6</w:t>
            </w:r>
          </w:p>
        </w:tc>
        <w:tc>
          <w:tcPr>
            <w:tcW w:w="418" w:type="pct"/>
            <w:tcBorders>
              <w:top w:val="single" w:sz="8" w:space="0" w:color="000000"/>
              <w:left w:val="single" w:sz="8" w:space="0" w:color="000000"/>
              <w:bottom w:val="single" w:sz="8" w:space="0" w:color="000000"/>
              <w:right w:val="single" w:sz="8" w:space="0" w:color="000000"/>
            </w:tcBorders>
            <w:shd w:val="clear" w:color="auto" w:fill="70AD47"/>
            <w:tcMar>
              <w:top w:w="8" w:type="dxa"/>
              <w:left w:w="8" w:type="dxa"/>
              <w:bottom w:w="0" w:type="dxa"/>
              <w:right w:w="8" w:type="dxa"/>
            </w:tcMar>
            <w:vAlign w:val="center"/>
            <w:hideMark/>
          </w:tcPr>
          <w:p w:rsidR="00D21163" w:rsidRPr="00D21163" w:rsidRDefault="00D21163" w:rsidP="00D21163">
            <w:pPr>
              <w:spacing w:after="0" w:line="293"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81.6</w:t>
            </w:r>
            <w:r w:rsidR="00D11C8F" w:rsidRPr="00D21163">
              <w:rPr>
                <w:rFonts w:ascii="Helvetica" w:eastAsia="Times New Roman" w:hAnsi="Helvetica" w:cs="Helvetica"/>
                <w:color w:val="000000"/>
                <w:kern w:val="24"/>
                <w:sz w:val="24"/>
                <w:szCs w:val="24"/>
                <w:vertAlign w:val="superscript"/>
              </w:rPr>
              <w:t>6</w:t>
            </w:r>
          </w:p>
        </w:tc>
        <w:tc>
          <w:tcPr>
            <w:tcW w:w="462" w:type="pct"/>
            <w:tcBorders>
              <w:top w:val="single" w:sz="8" w:space="0" w:color="000000"/>
              <w:left w:val="single" w:sz="8" w:space="0" w:color="000000"/>
              <w:bottom w:val="single" w:sz="4" w:space="0" w:color="000000"/>
              <w:right w:val="single" w:sz="8" w:space="0" w:color="000000"/>
            </w:tcBorders>
            <w:shd w:val="clear" w:color="auto" w:fill="70AD47"/>
            <w:tcMar>
              <w:top w:w="8" w:type="dxa"/>
              <w:left w:w="8" w:type="dxa"/>
              <w:bottom w:w="0" w:type="dxa"/>
              <w:right w:w="8" w:type="dxa"/>
            </w:tcMar>
            <w:vAlign w:val="center"/>
            <w:hideMark/>
          </w:tcPr>
          <w:p w:rsidR="00D21163" w:rsidRPr="00D21163" w:rsidRDefault="00D21163" w:rsidP="00D21163">
            <w:pPr>
              <w:spacing w:after="0" w:line="293"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81.9</w:t>
            </w:r>
            <w:r w:rsidR="00D11C8F" w:rsidRPr="00D21163">
              <w:rPr>
                <w:rFonts w:ascii="Helvetica" w:eastAsia="Times New Roman" w:hAnsi="Helvetica" w:cs="Helvetica"/>
                <w:color w:val="000000"/>
                <w:kern w:val="24"/>
                <w:sz w:val="24"/>
                <w:szCs w:val="24"/>
                <w:vertAlign w:val="superscript"/>
              </w:rPr>
              <w:t>6</w:t>
            </w:r>
          </w:p>
        </w:tc>
        <w:tc>
          <w:tcPr>
            <w:tcW w:w="447" w:type="pct"/>
            <w:tcBorders>
              <w:top w:val="single" w:sz="8" w:space="0" w:color="000000"/>
              <w:left w:val="single" w:sz="8" w:space="0" w:color="000000"/>
              <w:bottom w:val="single" w:sz="8" w:space="0" w:color="000000"/>
              <w:right w:val="single" w:sz="8" w:space="0" w:color="000000"/>
            </w:tcBorders>
            <w:shd w:val="clear" w:color="auto" w:fill="FFFF00"/>
            <w:tcMar>
              <w:top w:w="8" w:type="dxa"/>
              <w:left w:w="8" w:type="dxa"/>
              <w:bottom w:w="0" w:type="dxa"/>
              <w:right w:w="8" w:type="dxa"/>
            </w:tcMar>
            <w:vAlign w:val="center"/>
            <w:hideMark/>
          </w:tcPr>
          <w:p w:rsidR="00D21163" w:rsidRPr="00D21163" w:rsidRDefault="00D21163" w:rsidP="00D21163">
            <w:pPr>
              <w:spacing w:after="0" w:line="293" w:lineRule="atLeast"/>
              <w:jc w:val="center"/>
              <w:textAlignment w:val="bottom"/>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81.1</w:t>
            </w:r>
            <w:r w:rsidR="00D11C8F" w:rsidRPr="00D21163">
              <w:rPr>
                <w:rFonts w:ascii="Helvetica" w:eastAsia="Times New Roman" w:hAnsi="Helvetica" w:cs="Helvetica"/>
                <w:color w:val="000000"/>
                <w:kern w:val="24"/>
                <w:sz w:val="24"/>
                <w:szCs w:val="24"/>
                <w:vertAlign w:val="superscript"/>
              </w:rPr>
              <w:t>6</w:t>
            </w:r>
          </w:p>
        </w:tc>
      </w:tr>
      <w:tr w:rsidR="00D21163" w:rsidRPr="00D21163" w:rsidTr="00D21163">
        <w:trPr>
          <w:trHeight w:val="329"/>
        </w:trPr>
        <w:tc>
          <w:tcPr>
            <w:tcW w:w="2287"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hideMark/>
          </w:tcPr>
          <w:p w:rsidR="00D21163" w:rsidRPr="00D21163" w:rsidRDefault="00D21163" w:rsidP="00D21163">
            <w:pPr>
              <w:spacing w:after="0" w:line="329" w:lineRule="atLeast"/>
              <w:jc w:val="left"/>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Well-Child Visits in the first 15 months of life (6 or more visits)</w:t>
            </w:r>
          </w:p>
        </w:tc>
        <w:tc>
          <w:tcPr>
            <w:tcW w:w="477" w:type="pct"/>
            <w:tcBorders>
              <w:top w:val="single" w:sz="4" w:space="0" w:color="000000"/>
              <w:left w:val="single" w:sz="4" w:space="0" w:color="000000"/>
              <w:bottom w:val="single" w:sz="4" w:space="0" w:color="000000"/>
              <w:right w:val="single" w:sz="4" w:space="0" w:color="000000"/>
            </w:tcBorders>
            <w:shd w:val="clear" w:color="auto" w:fill="70AD47"/>
            <w:tcMar>
              <w:top w:w="8" w:type="dxa"/>
              <w:left w:w="8" w:type="dxa"/>
              <w:bottom w:w="0" w:type="dxa"/>
              <w:right w:w="8" w:type="dxa"/>
            </w:tcMar>
            <w:vAlign w:val="center"/>
            <w:hideMark/>
          </w:tcPr>
          <w:p w:rsidR="00D21163" w:rsidRPr="00D21163" w:rsidRDefault="00D21163" w:rsidP="00D21163">
            <w:pPr>
              <w:spacing w:after="0" w:line="329"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93.8</w:t>
            </w:r>
            <w:r w:rsidR="00D11C8F" w:rsidRPr="00D21163">
              <w:rPr>
                <w:rFonts w:ascii="Helvetica" w:eastAsia="Times New Roman" w:hAnsi="Helvetica" w:cs="Helvetica"/>
                <w:color w:val="000000"/>
                <w:kern w:val="24"/>
                <w:sz w:val="24"/>
                <w:szCs w:val="24"/>
                <w:vertAlign w:val="superscript"/>
              </w:rPr>
              <w:t>6</w:t>
            </w:r>
          </w:p>
        </w:tc>
        <w:tc>
          <w:tcPr>
            <w:tcW w:w="454" w:type="pct"/>
            <w:tcBorders>
              <w:top w:val="single" w:sz="4" w:space="0" w:color="000000"/>
              <w:left w:val="single" w:sz="4" w:space="0" w:color="000000"/>
              <w:bottom w:val="single" w:sz="4" w:space="0" w:color="000000"/>
              <w:right w:val="single" w:sz="8" w:space="0" w:color="000000"/>
            </w:tcBorders>
            <w:shd w:val="clear" w:color="auto" w:fill="70AD47"/>
            <w:tcMar>
              <w:top w:w="8" w:type="dxa"/>
              <w:left w:w="8" w:type="dxa"/>
              <w:bottom w:w="0" w:type="dxa"/>
              <w:right w:w="8" w:type="dxa"/>
            </w:tcMar>
            <w:vAlign w:val="center"/>
            <w:hideMark/>
          </w:tcPr>
          <w:p w:rsidR="00D21163" w:rsidRPr="00D21163" w:rsidRDefault="00D21163" w:rsidP="00D21163">
            <w:pPr>
              <w:spacing w:after="0" w:line="329"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94.5</w:t>
            </w:r>
            <w:r w:rsidR="00D11C8F" w:rsidRPr="00D21163">
              <w:rPr>
                <w:rFonts w:ascii="Helvetica" w:eastAsia="Times New Roman" w:hAnsi="Helvetica" w:cs="Helvetica"/>
                <w:color w:val="000000"/>
                <w:kern w:val="24"/>
                <w:sz w:val="24"/>
                <w:szCs w:val="24"/>
                <w:vertAlign w:val="superscript"/>
              </w:rPr>
              <w:t>6</w:t>
            </w:r>
          </w:p>
        </w:tc>
        <w:tc>
          <w:tcPr>
            <w:tcW w:w="454" w:type="pct"/>
            <w:tcBorders>
              <w:top w:val="single" w:sz="8" w:space="0" w:color="000000"/>
              <w:left w:val="single" w:sz="8" w:space="0" w:color="000000"/>
              <w:bottom w:val="single" w:sz="8" w:space="0" w:color="000000"/>
              <w:right w:val="single" w:sz="8" w:space="0" w:color="000000"/>
            </w:tcBorders>
            <w:shd w:val="clear" w:color="auto" w:fill="70AD47"/>
            <w:tcMar>
              <w:top w:w="8" w:type="dxa"/>
              <w:left w:w="8" w:type="dxa"/>
              <w:bottom w:w="0" w:type="dxa"/>
              <w:right w:w="8" w:type="dxa"/>
            </w:tcMar>
            <w:vAlign w:val="center"/>
            <w:hideMark/>
          </w:tcPr>
          <w:p w:rsidR="00D21163" w:rsidRPr="00D21163" w:rsidRDefault="00D21163" w:rsidP="00D21163">
            <w:pPr>
              <w:spacing w:after="0" w:line="329"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93.9</w:t>
            </w:r>
            <w:r w:rsidR="00D11C8F" w:rsidRPr="00D21163">
              <w:rPr>
                <w:rFonts w:ascii="Helvetica" w:eastAsia="Times New Roman" w:hAnsi="Helvetica" w:cs="Helvetica"/>
                <w:color w:val="000000"/>
                <w:kern w:val="24"/>
                <w:sz w:val="24"/>
                <w:szCs w:val="24"/>
                <w:vertAlign w:val="superscript"/>
              </w:rPr>
              <w:t>6</w:t>
            </w:r>
          </w:p>
        </w:tc>
        <w:tc>
          <w:tcPr>
            <w:tcW w:w="418" w:type="pct"/>
            <w:tcBorders>
              <w:top w:val="single" w:sz="8" w:space="0" w:color="000000"/>
              <w:left w:val="single" w:sz="8" w:space="0" w:color="000000"/>
              <w:bottom w:val="single" w:sz="8" w:space="0" w:color="000000"/>
              <w:right w:val="single" w:sz="8" w:space="0" w:color="000000"/>
            </w:tcBorders>
            <w:shd w:val="clear" w:color="auto" w:fill="70AD47"/>
            <w:tcMar>
              <w:top w:w="8" w:type="dxa"/>
              <w:left w:w="8" w:type="dxa"/>
              <w:bottom w:w="0" w:type="dxa"/>
              <w:right w:w="8" w:type="dxa"/>
            </w:tcMar>
            <w:vAlign w:val="center"/>
            <w:hideMark/>
          </w:tcPr>
          <w:p w:rsidR="00D21163" w:rsidRPr="00D21163" w:rsidRDefault="00D21163" w:rsidP="00D21163">
            <w:pPr>
              <w:spacing w:after="0" w:line="329"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86.9</w:t>
            </w:r>
            <w:r w:rsidR="00D11C8F" w:rsidRPr="00D21163">
              <w:rPr>
                <w:rFonts w:ascii="Helvetica" w:eastAsia="Times New Roman" w:hAnsi="Helvetica" w:cs="Helvetica"/>
                <w:color w:val="000000"/>
                <w:kern w:val="24"/>
                <w:sz w:val="24"/>
                <w:szCs w:val="24"/>
                <w:vertAlign w:val="superscript"/>
              </w:rPr>
              <w:t>6</w:t>
            </w:r>
          </w:p>
        </w:tc>
        <w:tc>
          <w:tcPr>
            <w:tcW w:w="462" w:type="pct"/>
            <w:tcBorders>
              <w:top w:val="single" w:sz="4" w:space="0" w:color="000000"/>
              <w:left w:val="single" w:sz="8" w:space="0" w:color="000000"/>
              <w:bottom w:val="single" w:sz="4" w:space="0" w:color="000000"/>
              <w:right w:val="single" w:sz="8" w:space="0" w:color="000000"/>
            </w:tcBorders>
            <w:shd w:val="clear" w:color="auto" w:fill="FFFF00"/>
            <w:tcMar>
              <w:top w:w="8" w:type="dxa"/>
              <w:left w:w="8" w:type="dxa"/>
              <w:bottom w:w="0" w:type="dxa"/>
              <w:right w:w="8" w:type="dxa"/>
            </w:tcMar>
            <w:vAlign w:val="center"/>
            <w:hideMark/>
          </w:tcPr>
          <w:p w:rsidR="00D21163" w:rsidRPr="00D21163" w:rsidRDefault="00D21163" w:rsidP="00D21163">
            <w:pPr>
              <w:spacing w:after="0" w:line="329" w:lineRule="atLeast"/>
              <w:jc w:val="center"/>
              <w:textAlignment w:val="top"/>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83.3</w:t>
            </w:r>
            <w:r w:rsidR="00D11C8F" w:rsidRPr="00D21163">
              <w:rPr>
                <w:rFonts w:ascii="Helvetica" w:eastAsia="Times New Roman" w:hAnsi="Helvetica" w:cs="Helvetica"/>
                <w:color w:val="000000"/>
                <w:kern w:val="24"/>
                <w:sz w:val="24"/>
                <w:szCs w:val="24"/>
                <w:vertAlign w:val="superscript"/>
              </w:rPr>
              <w:t>6</w:t>
            </w:r>
          </w:p>
        </w:tc>
        <w:tc>
          <w:tcPr>
            <w:tcW w:w="447" w:type="pct"/>
            <w:tcBorders>
              <w:top w:val="single" w:sz="8" w:space="0" w:color="000000"/>
              <w:left w:val="single" w:sz="8" w:space="0" w:color="000000"/>
              <w:bottom w:val="single" w:sz="8" w:space="0" w:color="000000"/>
              <w:right w:val="single" w:sz="8" w:space="0" w:color="000000"/>
            </w:tcBorders>
            <w:shd w:val="clear" w:color="auto" w:fill="70AD47"/>
            <w:tcMar>
              <w:top w:w="8" w:type="dxa"/>
              <w:left w:w="8" w:type="dxa"/>
              <w:bottom w:w="0" w:type="dxa"/>
              <w:right w:w="8" w:type="dxa"/>
            </w:tcMar>
            <w:vAlign w:val="center"/>
            <w:hideMark/>
          </w:tcPr>
          <w:p w:rsidR="00D21163" w:rsidRPr="00D21163" w:rsidRDefault="00D21163" w:rsidP="00D21163">
            <w:pPr>
              <w:spacing w:after="0" w:line="329" w:lineRule="atLeast"/>
              <w:jc w:val="center"/>
              <w:textAlignment w:val="bottom"/>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81.6</w:t>
            </w:r>
            <w:r w:rsidR="00D11C8F" w:rsidRPr="00D21163">
              <w:rPr>
                <w:rFonts w:ascii="Helvetica" w:eastAsia="Times New Roman" w:hAnsi="Helvetica" w:cs="Helvetica"/>
                <w:color w:val="000000"/>
                <w:kern w:val="24"/>
                <w:sz w:val="24"/>
                <w:szCs w:val="24"/>
                <w:vertAlign w:val="superscript"/>
              </w:rPr>
              <w:t>6</w:t>
            </w:r>
          </w:p>
        </w:tc>
      </w:tr>
    </w:tbl>
    <w:p w:rsidR="00D21163" w:rsidRDefault="00D21163" w:rsidP="00D21163">
      <w:pPr>
        <w:jc w:val="left"/>
        <w:rPr>
          <w:rFonts w:ascii="Helvetica" w:hAnsi="Helvetica"/>
          <w:sz w:val="24"/>
          <w:szCs w:val="24"/>
        </w:rPr>
      </w:pPr>
    </w:p>
    <w:tbl>
      <w:tblPr>
        <w:tblW w:w="5000" w:type="pct"/>
        <w:tblCellMar>
          <w:left w:w="0" w:type="dxa"/>
          <w:right w:w="0" w:type="dxa"/>
        </w:tblCellMar>
        <w:tblLook w:val="0600" w:firstRow="0" w:lastRow="0" w:firstColumn="0" w:lastColumn="0" w:noHBand="1" w:noVBand="1"/>
      </w:tblPr>
      <w:tblGrid>
        <w:gridCol w:w="1878"/>
        <w:gridCol w:w="1878"/>
        <w:gridCol w:w="1878"/>
        <w:gridCol w:w="1878"/>
        <w:gridCol w:w="1878"/>
      </w:tblGrid>
      <w:tr w:rsidR="00D21163" w:rsidRPr="00D21163" w:rsidTr="00D21163">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21163" w:rsidRPr="00D21163" w:rsidRDefault="00D21163" w:rsidP="00D21163">
            <w:pPr>
              <w:spacing w:after="0" w:line="240" w:lineRule="auto"/>
              <w:jc w:val="center"/>
              <w:textAlignment w:val="center"/>
              <w:rPr>
                <w:rFonts w:ascii="Helvetica" w:eastAsia="Times New Roman" w:hAnsi="Helvetica" w:cs="Helvetica"/>
                <w:sz w:val="24"/>
                <w:szCs w:val="24"/>
              </w:rPr>
            </w:pPr>
            <w:r w:rsidRPr="00D21163">
              <w:rPr>
                <w:rFonts w:ascii="Helvetica" w:eastAsia="Times New Roman" w:hAnsi="Helvetica" w:cs="Helvetica"/>
                <w:b/>
                <w:bCs/>
                <w:color w:val="000000"/>
                <w:kern w:val="24"/>
                <w:sz w:val="24"/>
                <w:szCs w:val="24"/>
              </w:rPr>
              <w:t>Key:</w:t>
            </w:r>
          </w:p>
        </w:tc>
      </w:tr>
      <w:tr w:rsidR="00D21163" w:rsidRPr="00D21163" w:rsidTr="00D21163">
        <w:tc>
          <w:tcPr>
            <w:tcW w:w="1000" w:type="pct"/>
            <w:tcBorders>
              <w:top w:val="single" w:sz="4" w:space="0" w:color="000000"/>
              <w:left w:val="single" w:sz="4" w:space="0" w:color="000000"/>
              <w:bottom w:val="single" w:sz="4" w:space="0" w:color="000000"/>
              <w:right w:val="single" w:sz="4" w:space="0" w:color="000000"/>
            </w:tcBorders>
            <w:shd w:val="clear" w:color="auto" w:fill="E79791"/>
            <w:tcMar>
              <w:top w:w="15" w:type="dxa"/>
              <w:left w:w="15" w:type="dxa"/>
              <w:bottom w:w="0" w:type="dxa"/>
              <w:right w:w="15" w:type="dxa"/>
            </w:tcMar>
            <w:vAlign w:val="center"/>
            <w:hideMark/>
          </w:tcPr>
          <w:p w:rsidR="00D21163" w:rsidRPr="00D21163" w:rsidRDefault="00D21163" w:rsidP="00D21163">
            <w:pPr>
              <w:spacing w:after="0" w:line="240" w:lineRule="auto"/>
              <w:jc w:val="center"/>
              <w:textAlignment w:val="center"/>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&lt;25th</w:t>
            </w:r>
            <w:r w:rsidRPr="00702365">
              <w:rPr>
                <w:rFonts w:ascii="Helvetica" w:eastAsia="Times New Roman" w:hAnsi="Helvetica" w:cs="Helvetica"/>
                <w:color w:val="000000"/>
                <w:kern w:val="24"/>
                <w:sz w:val="24"/>
                <w:szCs w:val="24"/>
                <w:vertAlign w:val="superscript"/>
              </w:rPr>
              <w:t>2</w:t>
            </w:r>
          </w:p>
        </w:tc>
        <w:tc>
          <w:tcPr>
            <w:tcW w:w="1000" w:type="pct"/>
            <w:tcBorders>
              <w:top w:val="single" w:sz="4" w:space="0" w:color="000000"/>
              <w:left w:val="single" w:sz="4" w:space="0" w:color="000000"/>
              <w:bottom w:val="single" w:sz="4" w:space="0" w:color="000000"/>
              <w:right w:val="single" w:sz="4" w:space="0" w:color="000000"/>
            </w:tcBorders>
            <w:shd w:val="clear" w:color="auto" w:fill="F4CFCC"/>
            <w:tcMar>
              <w:top w:w="15" w:type="dxa"/>
              <w:left w:w="15" w:type="dxa"/>
              <w:bottom w:w="0" w:type="dxa"/>
              <w:right w:w="15" w:type="dxa"/>
            </w:tcMar>
            <w:vAlign w:val="center"/>
            <w:hideMark/>
          </w:tcPr>
          <w:p w:rsidR="00D21163" w:rsidRPr="00D21163" w:rsidRDefault="00D21163" w:rsidP="00D21163">
            <w:pPr>
              <w:spacing w:after="0" w:line="240" w:lineRule="auto"/>
              <w:jc w:val="center"/>
              <w:textAlignment w:val="center"/>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25th - 50th</w:t>
            </w:r>
            <w:r w:rsidRPr="00702365">
              <w:rPr>
                <w:rFonts w:ascii="Helvetica" w:eastAsia="Times New Roman" w:hAnsi="Helvetica" w:cs="Helvetica"/>
                <w:color w:val="000000"/>
                <w:kern w:val="24"/>
                <w:sz w:val="24"/>
                <w:szCs w:val="24"/>
                <w:vertAlign w:val="superscript"/>
              </w:rPr>
              <w:t>3</w:t>
            </w:r>
          </w:p>
        </w:tc>
        <w:tc>
          <w:tcPr>
            <w:tcW w:w="1000" w:type="pct"/>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bottom w:w="0" w:type="dxa"/>
              <w:right w:w="15" w:type="dxa"/>
            </w:tcMar>
            <w:vAlign w:val="center"/>
            <w:hideMark/>
          </w:tcPr>
          <w:p w:rsidR="00D21163" w:rsidRPr="00D21163" w:rsidRDefault="00D21163" w:rsidP="00D21163">
            <w:pPr>
              <w:spacing w:after="0" w:line="240" w:lineRule="auto"/>
              <w:jc w:val="center"/>
              <w:textAlignment w:val="center"/>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50th - 75th</w:t>
            </w:r>
            <w:r>
              <w:rPr>
                <w:rFonts w:ascii="Helvetica" w:eastAsia="Times New Roman" w:hAnsi="Helvetica" w:cs="Helvetica"/>
                <w:bCs/>
                <w:color w:val="000000" w:themeColor="text1"/>
                <w:kern w:val="24"/>
                <w:sz w:val="24"/>
                <w:szCs w:val="24"/>
                <w:vertAlign w:val="superscript"/>
              </w:rPr>
              <w:t>4</w:t>
            </w:r>
          </w:p>
        </w:tc>
        <w:tc>
          <w:tcPr>
            <w:tcW w:w="1000" w:type="pct"/>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rsidR="00D21163" w:rsidRPr="00D21163" w:rsidRDefault="00D21163" w:rsidP="00D21163">
            <w:pPr>
              <w:spacing w:after="0" w:line="240" w:lineRule="auto"/>
              <w:jc w:val="center"/>
              <w:textAlignment w:val="center"/>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75th - 90th</w:t>
            </w:r>
            <w:r w:rsidRPr="00702365">
              <w:rPr>
                <w:rFonts w:ascii="Helvetica" w:eastAsia="Times New Roman" w:hAnsi="Helvetica" w:cs="Helvetica"/>
                <w:color w:val="000000"/>
                <w:kern w:val="24"/>
                <w:sz w:val="24"/>
                <w:szCs w:val="24"/>
                <w:vertAlign w:val="superscript"/>
              </w:rPr>
              <w:t>5</w:t>
            </w:r>
          </w:p>
        </w:tc>
        <w:tc>
          <w:tcPr>
            <w:tcW w:w="1000" w:type="pct"/>
            <w:tcBorders>
              <w:top w:val="single" w:sz="4" w:space="0" w:color="000000"/>
              <w:left w:val="single" w:sz="4" w:space="0" w:color="000000"/>
              <w:bottom w:val="single" w:sz="4" w:space="0" w:color="000000"/>
              <w:right w:val="single" w:sz="4" w:space="0" w:color="000000"/>
            </w:tcBorders>
            <w:shd w:val="clear" w:color="auto" w:fill="70AD47"/>
            <w:tcMar>
              <w:top w:w="15" w:type="dxa"/>
              <w:left w:w="15" w:type="dxa"/>
              <w:bottom w:w="0" w:type="dxa"/>
              <w:right w:w="15" w:type="dxa"/>
            </w:tcMar>
            <w:vAlign w:val="center"/>
            <w:hideMark/>
          </w:tcPr>
          <w:p w:rsidR="00D21163" w:rsidRPr="00D21163" w:rsidRDefault="00D21163" w:rsidP="00D21163">
            <w:pPr>
              <w:spacing w:after="0" w:line="240" w:lineRule="auto"/>
              <w:jc w:val="center"/>
              <w:textAlignment w:val="center"/>
              <w:rPr>
                <w:rFonts w:ascii="Helvetica" w:eastAsia="Times New Roman" w:hAnsi="Helvetica" w:cs="Helvetica"/>
                <w:sz w:val="24"/>
                <w:szCs w:val="24"/>
              </w:rPr>
            </w:pPr>
            <w:r w:rsidRPr="00D21163">
              <w:rPr>
                <w:rFonts w:ascii="Arial" w:eastAsia="Times New Roman" w:hAnsi="Arial" w:cs="Arial"/>
                <w:color w:val="000000"/>
                <w:kern w:val="24"/>
                <w:sz w:val="24"/>
                <w:szCs w:val="24"/>
              </w:rPr>
              <w:t>≥</w:t>
            </w:r>
            <w:r w:rsidRPr="00D21163">
              <w:rPr>
                <w:rFonts w:ascii="Helvetica" w:eastAsia="Times New Roman" w:hAnsi="Helvetica" w:cs="Helvetica"/>
                <w:color w:val="000000"/>
                <w:kern w:val="24"/>
                <w:sz w:val="24"/>
                <w:szCs w:val="24"/>
              </w:rPr>
              <w:t>90th</w:t>
            </w:r>
            <w:r w:rsidRPr="00D21163">
              <w:rPr>
                <w:rFonts w:ascii="Helvetica" w:eastAsia="Times New Roman" w:hAnsi="Helvetica" w:cs="Helvetica"/>
                <w:color w:val="000000"/>
                <w:kern w:val="24"/>
                <w:sz w:val="24"/>
                <w:szCs w:val="24"/>
                <w:vertAlign w:val="superscript"/>
              </w:rPr>
              <w:t>6</w:t>
            </w:r>
          </w:p>
        </w:tc>
      </w:tr>
    </w:tbl>
    <w:p w:rsidR="00D21163" w:rsidRDefault="00D21163" w:rsidP="00D21163">
      <w:pPr>
        <w:jc w:val="left"/>
        <w:rPr>
          <w:rFonts w:ascii="Helvetica" w:hAnsi="Helvetica"/>
          <w:sz w:val="24"/>
          <w:szCs w:val="24"/>
        </w:rPr>
      </w:pPr>
    </w:p>
    <w:p w:rsidR="001B33E9" w:rsidRPr="00D21163" w:rsidRDefault="00D21163" w:rsidP="00D21163">
      <w:pPr>
        <w:jc w:val="left"/>
        <w:rPr>
          <w:rFonts w:ascii="Helvetica" w:hAnsi="Helvetica"/>
          <w:sz w:val="24"/>
          <w:szCs w:val="24"/>
        </w:rPr>
      </w:pPr>
      <w:r w:rsidRPr="00D21163">
        <w:rPr>
          <w:rFonts w:ascii="Helvetica" w:hAnsi="Helvetica"/>
          <w:sz w:val="24"/>
          <w:szCs w:val="24"/>
        </w:rPr>
        <w:t>Note: Data not provided for Incidence of Episiotomy and Co</w:t>
      </w:r>
      <w:r>
        <w:rPr>
          <w:rFonts w:ascii="Helvetica" w:hAnsi="Helvetica"/>
          <w:sz w:val="24"/>
          <w:szCs w:val="24"/>
        </w:rPr>
        <w:t>ntraceptive Care – Postpartum.</w:t>
      </w:r>
    </w:p>
    <w:p w:rsidR="00D60C2E" w:rsidRDefault="00D60C2E" w:rsidP="00CA1C68">
      <w:pPr>
        <w:pStyle w:val="Heading1"/>
        <w:tabs>
          <w:tab w:val="left" w:pos="2296"/>
        </w:tabs>
      </w:pPr>
      <w:r w:rsidRPr="00A35C58">
        <w:t xml:space="preserve">Slide </w:t>
      </w:r>
      <w:r w:rsidR="00773B9A">
        <w:t>41</w:t>
      </w:r>
    </w:p>
    <w:p w:rsidR="00773B9A" w:rsidRDefault="00773B9A" w:rsidP="00773B9A">
      <w:pPr>
        <w:pStyle w:val="Heading2"/>
      </w:pPr>
      <w:r w:rsidRPr="00864B77">
        <w:t>Agenda</w:t>
      </w:r>
    </w:p>
    <w:p w:rsidR="00773B9A" w:rsidRPr="004B47B8" w:rsidRDefault="00773B9A" w:rsidP="00A40DC0">
      <w:pPr>
        <w:pStyle w:val="ListParagraph"/>
        <w:numPr>
          <w:ilvl w:val="0"/>
          <w:numId w:val="37"/>
        </w:numPr>
        <w:jc w:val="left"/>
        <w:rPr>
          <w:rFonts w:ascii="Helvetica" w:hAnsi="Helvetica"/>
          <w:sz w:val="24"/>
          <w:szCs w:val="24"/>
        </w:rPr>
      </w:pPr>
      <w:r w:rsidRPr="004B47B8">
        <w:rPr>
          <w:rFonts w:ascii="Helvetica" w:hAnsi="Helvetica"/>
          <w:sz w:val="24"/>
          <w:szCs w:val="24"/>
        </w:rPr>
        <w:t>Welcome</w:t>
      </w:r>
    </w:p>
    <w:p w:rsidR="00773B9A" w:rsidRPr="006A7071" w:rsidRDefault="00773B9A" w:rsidP="00A40DC0">
      <w:pPr>
        <w:pStyle w:val="ListParagraph"/>
        <w:numPr>
          <w:ilvl w:val="0"/>
          <w:numId w:val="37"/>
        </w:numPr>
        <w:jc w:val="left"/>
        <w:rPr>
          <w:rFonts w:ascii="Helvetica" w:hAnsi="Helvetica"/>
          <w:sz w:val="24"/>
          <w:szCs w:val="24"/>
        </w:rPr>
      </w:pPr>
      <w:r w:rsidRPr="006A7071">
        <w:rPr>
          <w:rFonts w:ascii="Helvetica" w:hAnsi="Helvetica"/>
          <w:sz w:val="24"/>
          <w:szCs w:val="24"/>
        </w:rPr>
        <w:t>Revisit the process for considering non-endorsed measures</w:t>
      </w:r>
    </w:p>
    <w:p w:rsidR="00773B9A" w:rsidRPr="00B83C24" w:rsidRDefault="00773B9A" w:rsidP="00A40DC0">
      <w:pPr>
        <w:pStyle w:val="ListParagraph"/>
        <w:numPr>
          <w:ilvl w:val="0"/>
          <w:numId w:val="37"/>
        </w:numPr>
        <w:jc w:val="left"/>
        <w:rPr>
          <w:rFonts w:ascii="Helvetica" w:hAnsi="Helvetica"/>
          <w:sz w:val="24"/>
          <w:szCs w:val="24"/>
        </w:rPr>
      </w:pPr>
      <w:r w:rsidRPr="00B83C24">
        <w:rPr>
          <w:rFonts w:ascii="Helvetica" w:hAnsi="Helvetica"/>
          <w:sz w:val="24"/>
          <w:szCs w:val="24"/>
        </w:rPr>
        <w:t>Quality Catalogue analysis of non-aligned measures</w:t>
      </w:r>
    </w:p>
    <w:p w:rsidR="00773B9A" w:rsidRPr="00773B9A" w:rsidRDefault="00773B9A" w:rsidP="00A40DC0">
      <w:pPr>
        <w:pStyle w:val="ListParagraph"/>
        <w:numPr>
          <w:ilvl w:val="0"/>
          <w:numId w:val="37"/>
        </w:numPr>
        <w:jc w:val="left"/>
        <w:rPr>
          <w:rFonts w:ascii="Helvetica" w:hAnsi="Helvetica"/>
          <w:sz w:val="24"/>
          <w:szCs w:val="24"/>
        </w:rPr>
      </w:pPr>
      <w:r w:rsidRPr="00773B9A">
        <w:rPr>
          <w:rFonts w:ascii="Helvetica" w:hAnsi="Helvetica"/>
          <w:sz w:val="24"/>
          <w:szCs w:val="24"/>
        </w:rPr>
        <w:t>Continue the annual review of the Aligned Measure Set</w:t>
      </w:r>
    </w:p>
    <w:p w:rsidR="00773B9A" w:rsidRPr="00773B9A" w:rsidRDefault="00773B9A" w:rsidP="00A40DC0">
      <w:pPr>
        <w:pStyle w:val="ListParagraph"/>
        <w:numPr>
          <w:ilvl w:val="0"/>
          <w:numId w:val="37"/>
        </w:numPr>
        <w:jc w:val="left"/>
        <w:rPr>
          <w:rFonts w:ascii="Helvetica" w:hAnsi="Helvetica"/>
          <w:b/>
        </w:rPr>
      </w:pPr>
      <w:r w:rsidRPr="00773B9A">
        <w:rPr>
          <w:rFonts w:ascii="Helvetica" w:hAnsi="Helvetica"/>
          <w:b/>
          <w:sz w:val="24"/>
          <w:szCs w:val="24"/>
        </w:rPr>
        <w:t>Next steps</w:t>
      </w:r>
    </w:p>
    <w:p w:rsidR="001B33E9" w:rsidRDefault="001B33E9" w:rsidP="00CA1C68">
      <w:pPr>
        <w:pStyle w:val="Heading1"/>
        <w:tabs>
          <w:tab w:val="left" w:pos="2296"/>
        </w:tabs>
      </w:pPr>
      <w:r w:rsidRPr="00A35C58">
        <w:t xml:space="preserve">Slide </w:t>
      </w:r>
      <w:r w:rsidR="00773B9A">
        <w:t>42</w:t>
      </w:r>
    </w:p>
    <w:p w:rsidR="001B33E9" w:rsidRDefault="00773B9A" w:rsidP="00CA1C68">
      <w:pPr>
        <w:pStyle w:val="Heading2"/>
      </w:pPr>
      <w:r w:rsidRPr="00773B9A">
        <w:t>Next Meeting</w:t>
      </w:r>
    </w:p>
    <w:p w:rsidR="009B7197" w:rsidRPr="00EB6DEB" w:rsidRDefault="00773B9A" w:rsidP="00A40DC0">
      <w:pPr>
        <w:pStyle w:val="ListParagraph"/>
        <w:numPr>
          <w:ilvl w:val="0"/>
          <w:numId w:val="38"/>
        </w:numPr>
        <w:contextualSpacing w:val="0"/>
        <w:jc w:val="left"/>
        <w:rPr>
          <w:rStyle w:val="Strong"/>
        </w:rPr>
      </w:pPr>
      <w:r w:rsidRPr="00773B9A">
        <w:rPr>
          <w:rStyle w:val="Strong"/>
        </w:rPr>
        <w:t>January 22</w:t>
      </w:r>
      <w:r>
        <w:rPr>
          <w:rStyle w:val="Strong"/>
        </w:rPr>
        <w:t xml:space="preserve"> </w:t>
      </w:r>
    </w:p>
    <w:p w:rsidR="00773B9A" w:rsidRDefault="00773B9A" w:rsidP="00A40DC0">
      <w:pPr>
        <w:pStyle w:val="ListParagraph"/>
        <w:numPr>
          <w:ilvl w:val="1"/>
          <w:numId w:val="14"/>
        </w:numPr>
        <w:jc w:val="left"/>
        <w:rPr>
          <w:rFonts w:ascii="Helvetica" w:hAnsi="Helvetica"/>
          <w:sz w:val="24"/>
          <w:szCs w:val="24"/>
        </w:rPr>
      </w:pPr>
      <w:r w:rsidRPr="00773B9A">
        <w:rPr>
          <w:rFonts w:ascii="Helvetica" w:hAnsi="Helvetica"/>
          <w:sz w:val="24"/>
          <w:szCs w:val="24"/>
        </w:rPr>
        <w:t>Continue annual review of the Aligned Measure Set</w:t>
      </w:r>
    </w:p>
    <w:p w:rsidR="001B33E9" w:rsidRDefault="001B33E9" w:rsidP="00CA1C68">
      <w:pPr>
        <w:pStyle w:val="Heading1"/>
        <w:tabs>
          <w:tab w:val="left" w:pos="2296"/>
        </w:tabs>
      </w:pPr>
      <w:r w:rsidRPr="00A35C58">
        <w:lastRenderedPageBreak/>
        <w:t xml:space="preserve">Slide </w:t>
      </w:r>
      <w:r w:rsidR="00773B9A">
        <w:t>43</w:t>
      </w:r>
    </w:p>
    <w:p w:rsidR="001B33E9" w:rsidRDefault="00773B9A" w:rsidP="00CA1C68">
      <w:pPr>
        <w:pStyle w:val="Heading2"/>
      </w:pPr>
      <w:r w:rsidRPr="00773B9A">
        <w:t>Appendix</w:t>
      </w:r>
    </w:p>
    <w:p w:rsidR="00773B9A" w:rsidRPr="00773B9A" w:rsidRDefault="00773B9A" w:rsidP="00A40DC0">
      <w:pPr>
        <w:pStyle w:val="ListParagraph"/>
        <w:numPr>
          <w:ilvl w:val="0"/>
          <w:numId w:val="38"/>
        </w:numPr>
        <w:jc w:val="left"/>
        <w:rPr>
          <w:rFonts w:ascii="Helvetica" w:hAnsi="Helvetica"/>
          <w:sz w:val="24"/>
          <w:szCs w:val="24"/>
        </w:rPr>
      </w:pPr>
      <w:r w:rsidRPr="00773B9A">
        <w:rPr>
          <w:rFonts w:ascii="Helvetica" w:hAnsi="Helvetica"/>
          <w:sz w:val="24"/>
          <w:szCs w:val="24"/>
        </w:rPr>
        <w:t>References slides follow.</w:t>
      </w:r>
    </w:p>
    <w:p w:rsidR="00773B9A" w:rsidRDefault="00773B9A" w:rsidP="00CA1C68">
      <w:pPr>
        <w:pStyle w:val="Heading1"/>
        <w:tabs>
          <w:tab w:val="left" w:pos="2296"/>
        </w:tabs>
        <w:sectPr w:rsidR="00773B9A" w:rsidSect="00822523">
          <w:pgSz w:w="12240" w:h="15840"/>
          <w:pgMar w:top="1080" w:right="1440" w:bottom="1080" w:left="1440" w:header="720" w:footer="720" w:gutter="0"/>
          <w:cols w:space="720"/>
          <w:docGrid w:linePitch="360"/>
        </w:sectPr>
      </w:pPr>
    </w:p>
    <w:p w:rsidR="001B33E9" w:rsidRDefault="001B33E9" w:rsidP="00CA1C68">
      <w:pPr>
        <w:pStyle w:val="Heading1"/>
        <w:tabs>
          <w:tab w:val="left" w:pos="2296"/>
        </w:tabs>
      </w:pPr>
      <w:r w:rsidRPr="00A35C58">
        <w:lastRenderedPageBreak/>
        <w:t xml:space="preserve">Slide </w:t>
      </w:r>
      <w:r w:rsidR="00EB6DEB">
        <w:t>4</w:t>
      </w:r>
      <w:r w:rsidR="00773B9A">
        <w:t>4</w:t>
      </w:r>
    </w:p>
    <w:p w:rsidR="001B33E9" w:rsidRDefault="00773B9A" w:rsidP="00CA1C68">
      <w:pPr>
        <w:pStyle w:val="Heading2"/>
      </w:pPr>
      <w:r w:rsidRPr="00773B9A">
        <w:t>Core Measure Performance</w:t>
      </w:r>
    </w:p>
    <w:tbl>
      <w:tblPr>
        <w:tblW w:w="4921" w:type="pct"/>
        <w:tblCellMar>
          <w:left w:w="0" w:type="dxa"/>
          <w:right w:w="0" w:type="dxa"/>
        </w:tblCellMar>
        <w:tblLook w:val="0600" w:firstRow="0" w:lastRow="0" w:firstColumn="0" w:lastColumn="0" w:noHBand="1" w:noVBand="1"/>
      </w:tblPr>
      <w:tblGrid>
        <w:gridCol w:w="4661"/>
        <w:gridCol w:w="798"/>
        <w:gridCol w:w="716"/>
        <w:gridCol w:w="718"/>
        <w:gridCol w:w="812"/>
        <w:gridCol w:w="785"/>
        <w:gridCol w:w="742"/>
      </w:tblGrid>
      <w:tr w:rsidR="00136138" w:rsidRPr="00DB524A" w:rsidTr="00136138">
        <w:tc>
          <w:tcPr>
            <w:tcW w:w="2524" w:type="pct"/>
            <w:vMerge w:val="restart"/>
            <w:tcBorders>
              <w:top w:val="single" w:sz="8" w:space="0" w:color="000000"/>
              <w:left w:val="single" w:sz="8" w:space="0" w:color="000000"/>
              <w:bottom w:val="single" w:sz="8" w:space="0" w:color="000000"/>
              <w:right w:val="single" w:sz="8" w:space="0" w:color="000000"/>
            </w:tcBorders>
            <w:shd w:val="clear" w:color="auto" w:fill="002060"/>
            <w:tcMar>
              <w:top w:w="9" w:type="dxa"/>
              <w:left w:w="9" w:type="dxa"/>
              <w:bottom w:w="0" w:type="dxa"/>
              <w:right w:w="9" w:type="dxa"/>
            </w:tcMar>
            <w:vAlign w:val="bottom"/>
            <w:hideMark/>
          </w:tcPr>
          <w:p w:rsidR="00DB524A" w:rsidRPr="00DB524A" w:rsidRDefault="00136138" w:rsidP="00DB524A">
            <w:pPr>
              <w:spacing w:after="0" w:line="240" w:lineRule="auto"/>
              <w:jc w:val="left"/>
              <w:textAlignment w:val="bottom"/>
              <w:rPr>
                <w:rFonts w:ascii="Helvetica" w:eastAsia="Times New Roman" w:hAnsi="Helvetica" w:cs="Helvetica"/>
                <w:sz w:val="24"/>
                <w:szCs w:val="24"/>
              </w:rPr>
            </w:pPr>
            <w:r w:rsidRPr="00DB524A">
              <w:rPr>
                <w:rFonts w:ascii="Helvetica" w:eastAsia="Times New Roman" w:hAnsi="Helvetica" w:cs="Helvetica"/>
                <w:b/>
                <w:bCs/>
                <w:color w:val="FFFFFF"/>
                <w:kern w:val="24"/>
                <w:sz w:val="24"/>
                <w:szCs w:val="24"/>
              </w:rPr>
              <w:t>Measure</w:t>
            </w:r>
          </w:p>
        </w:tc>
        <w:tc>
          <w:tcPr>
            <w:tcW w:w="1209" w:type="pct"/>
            <w:gridSpan w:val="3"/>
            <w:tcBorders>
              <w:top w:val="nil"/>
              <w:left w:val="single" w:sz="8" w:space="0" w:color="000000"/>
              <w:bottom w:val="single" w:sz="8" w:space="0" w:color="000000"/>
              <w:right w:val="single" w:sz="8" w:space="0" w:color="000000"/>
            </w:tcBorders>
            <w:shd w:val="clear" w:color="auto" w:fill="002060"/>
            <w:tcMar>
              <w:top w:w="9" w:type="dxa"/>
              <w:left w:w="9" w:type="dxa"/>
              <w:bottom w:w="0" w:type="dxa"/>
              <w:right w:w="9" w:type="dxa"/>
            </w:tcMar>
            <w:vAlign w:val="bottom"/>
            <w:hideMark/>
          </w:tcPr>
          <w:p w:rsidR="00DB524A" w:rsidRPr="00DB524A" w:rsidRDefault="00136138" w:rsidP="00DB524A">
            <w:pPr>
              <w:spacing w:after="0" w:line="240" w:lineRule="auto"/>
              <w:jc w:val="center"/>
              <w:textAlignment w:val="bottom"/>
              <w:rPr>
                <w:rFonts w:ascii="Helvetica" w:eastAsia="Times New Roman" w:hAnsi="Helvetica" w:cs="Helvetica"/>
                <w:sz w:val="24"/>
                <w:szCs w:val="24"/>
              </w:rPr>
            </w:pPr>
            <w:r w:rsidRPr="00DB524A">
              <w:rPr>
                <w:rFonts w:ascii="Helvetica" w:eastAsia="Times New Roman" w:hAnsi="Helvetica" w:cs="Helvetica"/>
                <w:b/>
                <w:bCs/>
                <w:color w:val="FFFFFF"/>
                <w:kern w:val="24"/>
                <w:sz w:val="24"/>
                <w:szCs w:val="24"/>
              </w:rPr>
              <w:t>Commercial</w:t>
            </w:r>
          </w:p>
        </w:tc>
        <w:tc>
          <w:tcPr>
            <w:tcW w:w="1267" w:type="pct"/>
            <w:gridSpan w:val="3"/>
            <w:tcBorders>
              <w:top w:val="single" w:sz="8" w:space="0" w:color="000000"/>
              <w:left w:val="single" w:sz="8" w:space="0" w:color="000000"/>
              <w:bottom w:val="single" w:sz="8" w:space="0" w:color="000000"/>
              <w:right w:val="single" w:sz="8" w:space="0" w:color="000000"/>
            </w:tcBorders>
            <w:shd w:val="clear" w:color="auto" w:fill="023467"/>
            <w:tcMar>
              <w:top w:w="9" w:type="dxa"/>
              <w:left w:w="9" w:type="dxa"/>
              <w:bottom w:w="0" w:type="dxa"/>
              <w:right w:w="9" w:type="dxa"/>
            </w:tcMar>
            <w:vAlign w:val="bottom"/>
            <w:hideMark/>
          </w:tcPr>
          <w:p w:rsidR="00DB524A" w:rsidRPr="00DB524A" w:rsidRDefault="00136138" w:rsidP="00DB524A">
            <w:pPr>
              <w:spacing w:after="0" w:line="240" w:lineRule="auto"/>
              <w:jc w:val="center"/>
              <w:textAlignment w:val="bottom"/>
              <w:rPr>
                <w:rFonts w:ascii="Helvetica" w:eastAsia="Times New Roman" w:hAnsi="Helvetica" w:cs="Helvetica"/>
                <w:sz w:val="24"/>
                <w:szCs w:val="24"/>
              </w:rPr>
            </w:pPr>
            <w:r w:rsidRPr="00DB524A">
              <w:rPr>
                <w:rFonts w:ascii="Helvetica" w:eastAsia="Times New Roman" w:hAnsi="Helvetica" w:cs="Helvetica"/>
                <w:b/>
                <w:bCs/>
                <w:color w:val="FFFFFF"/>
                <w:kern w:val="24"/>
                <w:sz w:val="24"/>
                <w:szCs w:val="24"/>
              </w:rPr>
              <w:t>Medicaid</w:t>
            </w:r>
          </w:p>
        </w:tc>
      </w:tr>
      <w:tr w:rsidR="00136138" w:rsidRPr="00DB524A" w:rsidTr="00136138">
        <w:trPr>
          <w:trHeight w:val="512"/>
        </w:trPr>
        <w:tc>
          <w:tcPr>
            <w:tcW w:w="2524" w:type="pct"/>
            <w:vMerge/>
            <w:tcBorders>
              <w:top w:val="single" w:sz="8" w:space="0" w:color="000000"/>
              <w:left w:val="single" w:sz="8" w:space="0" w:color="000000"/>
              <w:bottom w:val="single" w:sz="8" w:space="0" w:color="000000"/>
              <w:right w:val="single" w:sz="8" w:space="0" w:color="000000"/>
            </w:tcBorders>
            <w:vAlign w:val="center"/>
            <w:hideMark/>
          </w:tcPr>
          <w:p w:rsidR="00136138" w:rsidRPr="00DB524A" w:rsidRDefault="00136138" w:rsidP="00DB524A">
            <w:pPr>
              <w:spacing w:after="0" w:line="240" w:lineRule="auto"/>
              <w:jc w:val="left"/>
              <w:rPr>
                <w:rFonts w:ascii="Helvetica" w:eastAsia="Times New Roman" w:hAnsi="Helvetica" w:cs="Helvetica"/>
                <w:sz w:val="24"/>
                <w:szCs w:val="24"/>
              </w:rPr>
            </w:pPr>
          </w:p>
        </w:tc>
        <w:tc>
          <w:tcPr>
            <w:tcW w:w="432" w:type="pct"/>
            <w:tcBorders>
              <w:top w:val="single" w:sz="8" w:space="0" w:color="000000"/>
              <w:left w:val="single" w:sz="8" w:space="0" w:color="000000"/>
              <w:bottom w:val="single" w:sz="8" w:space="0" w:color="000000"/>
              <w:right w:val="single" w:sz="8" w:space="0" w:color="000000"/>
            </w:tcBorders>
            <w:shd w:val="clear" w:color="auto" w:fill="002060"/>
            <w:tcMar>
              <w:top w:w="9" w:type="dxa"/>
              <w:left w:w="9" w:type="dxa"/>
              <w:bottom w:w="0" w:type="dxa"/>
              <w:right w:w="9" w:type="dxa"/>
            </w:tcMar>
            <w:vAlign w:val="bottom"/>
            <w:hideMark/>
          </w:tcPr>
          <w:p w:rsidR="00DB524A" w:rsidRPr="00DB524A" w:rsidRDefault="00136138" w:rsidP="00DB524A">
            <w:pPr>
              <w:spacing w:after="0" w:line="240" w:lineRule="auto"/>
              <w:jc w:val="center"/>
              <w:textAlignment w:val="bottom"/>
              <w:rPr>
                <w:rFonts w:ascii="Helvetica" w:eastAsia="Times New Roman" w:hAnsi="Helvetica" w:cs="Helvetica"/>
                <w:sz w:val="24"/>
                <w:szCs w:val="24"/>
              </w:rPr>
            </w:pPr>
            <w:r w:rsidRPr="00DB524A">
              <w:rPr>
                <w:rFonts w:ascii="Helvetica" w:eastAsia="Times New Roman" w:hAnsi="Helvetica" w:cs="Helvetica"/>
                <w:b/>
                <w:bCs/>
                <w:color w:val="FFFFFF"/>
                <w:kern w:val="24"/>
                <w:sz w:val="24"/>
                <w:szCs w:val="24"/>
              </w:rPr>
              <w:t>2016</w:t>
            </w:r>
          </w:p>
        </w:tc>
        <w:tc>
          <w:tcPr>
            <w:tcW w:w="388" w:type="pct"/>
            <w:tcBorders>
              <w:top w:val="single" w:sz="8" w:space="0" w:color="000000"/>
              <w:left w:val="single" w:sz="8" w:space="0" w:color="000000"/>
              <w:bottom w:val="single" w:sz="8" w:space="0" w:color="000000"/>
              <w:right w:val="single" w:sz="8" w:space="0" w:color="000000"/>
            </w:tcBorders>
            <w:shd w:val="clear" w:color="auto" w:fill="002060"/>
            <w:tcMar>
              <w:top w:w="9" w:type="dxa"/>
              <w:left w:w="9" w:type="dxa"/>
              <w:bottom w:w="0" w:type="dxa"/>
              <w:right w:w="9" w:type="dxa"/>
            </w:tcMar>
            <w:vAlign w:val="bottom"/>
            <w:hideMark/>
          </w:tcPr>
          <w:p w:rsidR="00DB524A" w:rsidRPr="00DB524A" w:rsidRDefault="00136138" w:rsidP="00DB524A">
            <w:pPr>
              <w:spacing w:after="0" w:line="240" w:lineRule="auto"/>
              <w:jc w:val="center"/>
              <w:textAlignment w:val="bottom"/>
              <w:rPr>
                <w:rFonts w:ascii="Helvetica" w:eastAsia="Times New Roman" w:hAnsi="Helvetica" w:cs="Helvetica"/>
                <w:sz w:val="24"/>
                <w:szCs w:val="24"/>
              </w:rPr>
            </w:pPr>
            <w:r w:rsidRPr="00DB524A">
              <w:rPr>
                <w:rFonts w:ascii="Helvetica" w:eastAsia="Times New Roman" w:hAnsi="Helvetica" w:cs="Helvetica"/>
                <w:b/>
                <w:bCs/>
                <w:color w:val="FFFFFF"/>
                <w:kern w:val="24"/>
                <w:sz w:val="24"/>
                <w:szCs w:val="24"/>
              </w:rPr>
              <w:t>2017</w:t>
            </w:r>
          </w:p>
        </w:tc>
        <w:tc>
          <w:tcPr>
            <w:tcW w:w="388" w:type="pct"/>
            <w:tcBorders>
              <w:top w:val="single" w:sz="8" w:space="0" w:color="000000"/>
              <w:left w:val="single" w:sz="8" w:space="0" w:color="000000"/>
              <w:bottom w:val="single" w:sz="8" w:space="0" w:color="000000"/>
              <w:right w:val="single" w:sz="8" w:space="0" w:color="000000"/>
            </w:tcBorders>
            <w:shd w:val="clear" w:color="auto" w:fill="002060"/>
            <w:tcMar>
              <w:top w:w="9" w:type="dxa"/>
              <w:left w:w="9" w:type="dxa"/>
              <w:bottom w:w="0" w:type="dxa"/>
              <w:right w:w="9" w:type="dxa"/>
            </w:tcMar>
            <w:vAlign w:val="bottom"/>
            <w:hideMark/>
          </w:tcPr>
          <w:p w:rsidR="00DB524A" w:rsidRPr="00DB524A" w:rsidRDefault="00136138" w:rsidP="00DB524A">
            <w:pPr>
              <w:spacing w:after="0" w:line="240" w:lineRule="auto"/>
              <w:jc w:val="center"/>
              <w:textAlignment w:val="bottom"/>
              <w:rPr>
                <w:rFonts w:ascii="Helvetica" w:eastAsia="Times New Roman" w:hAnsi="Helvetica" w:cs="Helvetica"/>
                <w:sz w:val="24"/>
                <w:szCs w:val="24"/>
              </w:rPr>
            </w:pPr>
            <w:r w:rsidRPr="00DB524A">
              <w:rPr>
                <w:rFonts w:ascii="Helvetica" w:eastAsia="Times New Roman" w:hAnsi="Helvetica" w:cs="Helvetica"/>
                <w:b/>
                <w:bCs/>
                <w:color w:val="FFFFFF"/>
                <w:kern w:val="24"/>
                <w:sz w:val="24"/>
                <w:szCs w:val="24"/>
              </w:rPr>
              <w:t>2018</w:t>
            </w:r>
          </w:p>
        </w:tc>
        <w:tc>
          <w:tcPr>
            <w:tcW w:w="440" w:type="pct"/>
            <w:tcBorders>
              <w:top w:val="single" w:sz="8" w:space="0" w:color="000000"/>
              <w:left w:val="single" w:sz="8" w:space="0" w:color="000000"/>
              <w:bottom w:val="single" w:sz="8" w:space="0" w:color="000000"/>
              <w:right w:val="single" w:sz="8" w:space="0" w:color="000000"/>
            </w:tcBorders>
            <w:shd w:val="clear" w:color="auto" w:fill="023467"/>
            <w:tcMar>
              <w:top w:w="9" w:type="dxa"/>
              <w:left w:w="9" w:type="dxa"/>
              <w:bottom w:w="0" w:type="dxa"/>
              <w:right w:w="9" w:type="dxa"/>
            </w:tcMar>
            <w:vAlign w:val="bottom"/>
            <w:hideMark/>
          </w:tcPr>
          <w:p w:rsidR="00DB524A" w:rsidRPr="00DB524A" w:rsidRDefault="00136138" w:rsidP="00DB524A">
            <w:pPr>
              <w:spacing w:after="0" w:line="240" w:lineRule="auto"/>
              <w:jc w:val="center"/>
              <w:textAlignment w:val="bottom"/>
              <w:rPr>
                <w:rFonts w:ascii="Helvetica" w:eastAsia="Times New Roman" w:hAnsi="Helvetica" w:cs="Helvetica"/>
                <w:sz w:val="24"/>
                <w:szCs w:val="24"/>
              </w:rPr>
            </w:pPr>
            <w:r w:rsidRPr="00DB524A">
              <w:rPr>
                <w:rFonts w:ascii="Helvetica" w:eastAsia="Times New Roman" w:hAnsi="Helvetica" w:cs="Helvetica"/>
                <w:b/>
                <w:bCs/>
                <w:color w:val="FFFFFF"/>
                <w:kern w:val="24"/>
                <w:sz w:val="24"/>
                <w:szCs w:val="24"/>
              </w:rPr>
              <w:t>2016</w:t>
            </w:r>
          </w:p>
        </w:tc>
        <w:tc>
          <w:tcPr>
            <w:tcW w:w="425" w:type="pct"/>
            <w:tcBorders>
              <w:top w:val="single" w:sz="8" w:space="0" w:color="000000"/>
              <w:left w:val="single" w:sz="8" w:space="0" w:color="000000"/>
              <w:bottom w:val="single" w:sz="8" w:space="0" w:color="000000"/>
              <w:right w:val="single" w:sz="8" w:space="0" w:color="000000"/>
            </w:tcBorders>
            <w:shd w:val="clear" w:color="auto" w:fill="023467"/>
            <w:tcMar>
              <w:top w:w="9" w:type="dxa"/>
              <w:left w:w="9" w:type="dxa"/>
              <w:bottom w:w="0" w:type="dxa"/>
              <w:right w:w="9" w:type="dxa"/>
            </w:tcMar>
            <w:vAlign w:val="bottom"/>
            <w:hideMark/>
          </w:tcPr>
          <w:p w:rsidR="00DB524A" w:rsidRPr="00DB524A" w:rsidRDefault="00136138" w:rsidP="00DB524A">
            <w:pPr>
              <w:spacing w:after="0" w:line="240" w:lineRule="auto"/>
              <w:jc w:val="center"/>
              <w:textAlignment w:val="bottom"/>
              <w:rPr>
                <w:rFonts w:ascii="Helvetica" w:eastAsia="Times New Roman" w:hAnsi="Helvetica" w:cs="Helvetica"/>
                <w:sz w:val="24"/>
                <w:szCs w:val="24"/>
              </w:rPr>
            </w:pPr>
            <w:r w:rsidRPr="00DB524A">
              <w:rPr>
                <w:rFonts w:ascii="Helvetica" w:eastAsia="Times New Roman" w:hAnsi="Helvetica" w:cs="Helvetica"/>
                <w:b/>
                <w:bCs/>
                <w:color w:val="FFFFFF"/>
                <w:kern w:val="24"/>
                <w:sz w:val="24"/>
                <w:szCs w:val="24"/>
              </w:rPr>
              <w:t>2017</w:t>
            </w:r>
          </w:p>
        </w:tc>
        <w:tc>
          <w:tcPr>
            <w:tcW w:w="402" w:type="pct"/>
            <w:tcBorders>
              <w:top w:val="single" w:sz="8" w:space="0" w:color="000000"/>
              <w:left w:val="single" w:sz="8" w:space="0" w:color="000000"/>
              <w:bottom w:val="single" w:sz="8" w:space="0" w:color="000000"/>
              <w:right w:val="single" w:sz="8" w:space="0" w:color="000000"/>
            </w:tcBorders>
            <w:shd w:val="clear" w:color="auto" w:fill="023467"/>
            <w:tcMar>
              <w:top w:w="9" w:type="dxa"/>
              <w:left w:w="9" w:type="dxa"/>
              <w:bottom w:w="0" w:type="dxa"/>
              <w:right w:w="9" w:type="dxa"/>
            </w:tcMar>
            <w:vAlign w:val="bottom"/>
            <w:hideMark/>
          </w:tcPr>
          <w:p w:rsidR="00DB524A" w:rsidRPr="00DB524A" w:rsidRDefault="00136138" w:rsidP="00DB524A">
            <w:pPr>
              <w:spacing w:after="0" w:line="240" w:lineRule="auto"/>
              <w:jc w:val="center"/>
              <w:textAlignment w:val="bottom"/>
              <w:rPr>
                <w:rFonts w:ascii="Helvetica" w:eastAsia="Times New Roman" w:hAnsi="Helvetica" w:cs="Helvetica"/>
                <w:sz w:val="24"/>
                <w:szCs w:val="24"/>
              </w:rPr>
            </w:pPr>
            <w:r w:rsidRPr="00DB524A">
              <w:rPr>
                <w:rFonts w:ascii="Helvetica" w:eastAsia="Times New Roman" w:hAnsi="Helvetica" w:cs="Helvetica"/>
                <w:b/>
                <w:bCs/>
                <w:color w:val="FFFFFF"/>
                <w:kern w:val="24"/>
                <w:sz w:val="24"/>
                <w:szCs w:val="24"/>
              </w:rPr>
              <w:t>2018</w:t>
            </w:r>
          </w:p>
        </w:tc>
      </w:tr>
      <w:tr w:rsidR="00136138" w:rsidRPr="00DB524A" w:rsidTr="00136138">
        <w:trPr>
          <w:trHeight w:val="512"/>
        </w:trPr>
        <w:tc>
          <w:tcPr>
            <w:tcW w:w="2524" w:type="pct"/>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rsidR="00DB524A" w:rsidRPr="00DB524A" w:rsidRDefault="00136138" w:rsidP="00DB524A">
            <w:pPr>
              <w:spacing w:after="0" w:line="240" w:lineRule="auto"/>
              <w:jc w:val="left"/>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Comprehensive Diabetes Care: Hemoglobin A1c (HbA1c) Poor Control (&gt;9.0%)</w:t>
            </w:r>
          </w:p>
        </w:tc>
        <w:tc>
          <w:tcPr>
            <w:tcW w:w="432" w:type="pct"/>
            <w:tcBorders>
              <w:top w:val="single" w:sz="8" w:space="0" w:color="000000"/>
              <w:left w:val="single" w:sz="8" w:space="0" w:color="000000"/>
              <w:bottom w:val="single" w:sz="8" w:space="0" w:color="000000"/>
              <w:right w:val="single" w:sz="8" w:space="0" w:color="000000"/>
            </w:tcBorders>
            <w:shd w:val="clear" w:color="auto" w:fill="70AD47"/>
            <w:tcMar>
              <w:top w:w="9" w:type="dxa"/>
              <w:left w:w="9" w:type="dxa"/>
              <w:bottom w:w="0" w:type="dxa"/>
              <w:right w:w="9" w:type="dxa"/>
            </w:tcMar>
            <w:vAlign w:val="center"/>
            <w:hideMark/>
          </w:tcPr>
          <w:p w:rsidR="00DB524A" w:rsidRPr="00DB524A" w:rsidRDefault="00136138" w:rsidP="00DB524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21.1</w:t>
            </w:r>
            <w:r w:rsidR="002E4CFA" w:rsidRPr="00D21163">
              <w:rPr>
                <w:rFonts w:ascii="Helvetica" w:eastAsia="Times New Roman" w:hAnsi="Helvetica" w:cs="Helvetica"/>
                <w:color w:val="000000"/>
                <w:kern w:val="24"/>
                <w:sz w:val="24"/>
                <w:szCs w:val="24"/>
                <w:vertAlign w:val="superscript"/>
              </w:rPr>
              <w:t>6</w:t>
            </w:r>
          </w:p>
        </w:tc>
        <w:tc>
          <w:tcPr>
            <w:tcW w:w="388" w:type="pct"/>
            <w:tcBorders>
              <w:top w:val="single" w:sz="8" w:space="0" w:color="000000"/>
              <w:left w:val="single" w:sz="8" w:space="0" w:color="000000"/>
              <w:bottom w:val="single" w:sz="8" w:space="0" w:color="000000"/>
              <w:right w:val="single" w:sz="8" w:space="0" w:color="000000"/>
            </w:tcBorders>
            <w:shd w:val="clear" w:color="auto" w:fill="70AD47"/>
            <w:tcMar>
              <w:top w:w="9" w:type="dxa"/>
              <w:left w:w="9" w:type="dxa"/>
              <w:bottom w:w="0" w:type="dxa"/>
              <w:right w:w="9" w:type="dxa"/>
            </w:tcMar>
            <w:vAlign w:val="center"/>
            <w:hideMark/>
          </w:tcPr>
          <w:p w:rsidR="00DB524A" w:rsidRPr="00DB524A" w:rsidRDefault="00136138" w:rsidP="00DB524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20.8</w:t>
            </w:r>
            <w:r w:rsidR="002E4CFA" w:rsidRPr="00D21163">
              <w:rPr>
                <w:rFonts w:ascii="Helvetica" w:eastAsia="Times New Roman" w:hAnsi="Helvetica" w:cs="Helvetica"/>
                <w:color w:val="000000"/>
                <w:kern w:val="24"/>
                <w:sz w:val="24"/>
                <w:szCs w:val="24"/>
                <w:vertAlign w:val="superscript"/>
              </w:rPr>
              <w:t>6</w:t>
            </w:r>
          </w:p>
        </w:tc>
        <w:tc>
          <w:tcPr>
            <w:tcW w:w="388" w:type="pct"/>
            <w:tcBorders>
              <w:top w:val="single" w:sz="8" w:space="0" w:color="000000"/>
              <w:left w:val="single" w:sz="8" w:space="0" w:color="000000"/>
              <w:bottom w:val="single" w:sz="8" w:space="0" w:color="000000"/>
              <w:right w:val="single" w:sz="8" w:space="0" w:color="000000"/>
            </w:tcBorders>
            <w:shd w:val="clear" w:color="auto" w:fill="FFFF00"/>
            <w:tcMar>
              <w:top w:w="9" w:type="dxa"/>
              <w:left w:w="9" w:type="dxa"/>
              <w:bottom w:w="0" w:type="dxa"/>
              <w:right w:w="9" w:type="dxa"/>
            </w:tcMar>
            <w:vAlign w:val="center"/>
            <w:hideMark/>
          </w:tcPr>
          <w:p w:rsidR="00DB524A" w:rsidRPr="00DB524A" w:rsidRDefault="00136138" w:rsidP="00DB524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22.3</w:t>
            </w:r>
            <w:r w:rsidR="002E4CFA" w:rsidRPr="00702365">
              <w:rPr>
                <w:rFonts w:ascii="Helvetica" w:eastAsia="Times New Roman" w:hAnsi="Helvetica" w:cs="Helvetica"/>
                <w:color w:val="000000"/>
                <w:kern w:val="24"/>
                <w:sz w:val="24"/>
                <w:szCs w:val="24"/>
                <w:vertAlign w:val="superscript"/>
              </w:rPr>
              <w:t>5</w:t>
            </w:r>
          </w:p>
        </w:tc>
        <w:tc>
          <w:tcPr>
            <w:tcW w:w="440" w:type="pct"/>
            <w:tcBorders>
              <w:top w:val="single" w:sz="8" w:space="0" w:color="000000"/>
              <w:left w:val="single" w:sz="8" w:space="0" w:color="000000"/>
              <w:bottom w:val="single" w:sz="8" w:space="0" w:color="000000"/>
              <w:right w:val="single" w:sz="8" w:space="0" w:color="000000"/>
            </w:tcBorders>
            <w:shd w:val="clear" w:color="auto" w:fill="FFFF00"/>
            <w:tcMar>
              <w:top w:w="9" w:type="dxa"/>
              <w:left w:w="9" w:type="dxa"/>
              <w:bottom w:w="0" w:type="dxa"/>
              <w:right w:w="9" w:type="dxa"/>
            </w:tcMar>
            <w:vAlign w:val="center"/>
            <w:hideMark/>
          </w:tcPr>
          <w:p w:rsidR="00DB524A" w:rsidRPr="00DB524A" w:rsidRDefault="00136138" w:rsidP="00DB524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32.3</w:t>
            </w:r>
            <w:r w:rsidR="002E4CFA" w:rsidRPr="00702365">
              <w:rPr>
                <w:rFonts w:ascii="Helvetica" w:eastAsia="Times New Roman" w:hAnsi="Helvetica" w:cs="Helvetica"/>
                <w:color w:val="000000"/>
                <w:kern w:val="24"/>
                <w:sz w:val="24"/>
                <w:szCs w:val="24"/>
                <w:vertAlign w:val="superscript"/>
              </w:rPr>
              <w:t>5</w:t>
            </w:r>
          </w:p>
        </w:tc>
        <w:tc>
          <w:tcPr>
            <w:tcW w:w="425" w:type="pct"/>
            <w:tcBorders>
              <w:top w:val="single" w:sz="8" w:space="0" w:color="000000"/>
              <w:left w:val="single" w:sz="8" w:space="0" w:color="000000"/>
              <w:bottom w:val="single" w:sz="8" w:space="0" w:color="000000"/>
              <w:right w:val="single" w:sz="8" w:space="0" w:color="000000"/>
            </w:tcBorders>
            <w:shd w:val="clear" w:color="auto" w:fill="FFC000"/>
            <w:tcMar>
              <w:top w:w="9" w:type="dxa"/>
              <w:left w:w="9" w:type="dxa"/>
              <w:bottom w:w="0" w:type="dxa"/>
              <w:right w:w="9" w:type="dxa"/>
            </w:tcMar>
            <w:vAlign w:val="center"/>
            <w:hideMark/>
          </w:tcPr>
          <w:p w:rsidR="00DB524A" w:rsidRPr="00DB524A" w:rsidRDefault="00136138" w:rsidP="00DB524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35.0</w:t>
            </w:r>
            <w:r w:rsidR="002E4CFA">
              <w:rPr>
                <w:rFonts w:ascii="Helvetica" w:eastAsia="Times New Roman" w:hAnsi="Helvetica" w:cs="Helvetica"/>
                <w:bCs/>
                <w:color w:val="000000" w:themeColor="text1"/>
                <w:kern w:val="24"/>
                <w:sz w:val="24"/>
                <w:szCs w:val="24"/>
                <w:vertAlign w:val="superscript"/>
              </w:rPr>
              <w:t>4</w:t>
            </w:r>
          </w:p>
        </w:tc>
        <w:tc>
          <w:tcPr>
            <w:tcW w:w="402" w:type="pct"/>
            <w:tcBorders>
              <w:top w:val="single" w:sz="8" w:space="0" w:color="000000"/>
              <w:left w:val="single" w:sz="8" w:space="0" w:color="000000"/>
              <w:bottom w:val="single" w:sz="8" w:space="0" w:color="000000"/>
              <w:right w:val="single" w:sz="8" w:space="0" w:color="000000"/>
            </w:tcBorders>
            <w:shd w:val="clear" w:color="auto" w:fill="FFFF00"/>
            <w:tcMar>
              <w:top w:w="9" w:type="dxa"/>
              <w:left w:w="9" w:type="dxa"/>
              <w:bottom w:w="0" w:type="dxa"/>
              <w:right w:w="9" w:type="dxa"/>
            </w:tcMar>
            <w:vAlign w:val="center"/>
            <w:hideMark/>
          </w:tcPr>
          <w:p w:rsidR="00DB524A" w:rsidRPr="00DB524A" w:rsidRDefault="00136138" w:rsidP="00DB524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31.6</w:t>
            </w:r>
            <w:r w:rsidR="002E4CFA" w:rsidRPr="00702365">
              <w:rPr>
                <w:rFonts w:ascii="Helvetica" w:eastAsia="Times New Roman" w:hAnsi="Helvetica" w:cs="Helvetica"/>
                <w:color w:val="000000"/>
                <w:kern w:val="24"/>
                <w:sz w:val="24"/>
                <w:szCs w:val="24"/>
                <w:vertAlign w:val="superscript"/>
              </w:rPr>
              <w:t>5</w:t>
            </w:r>
          </w:p>
        </w:tc>
      </w:tr>
      <w:tr w:rsidR="00136138" w:rsidRPr="00DB524A" w:rsidTr="00136138">
        <w:trPr>
          <w:trHeight w:val="169"/>
        </w:trPr>
        <w:tc>
          <w:tcPr>
            <w:tcW w:w="2524" w:type="pct"/>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rsidR="00DB524A" w:rsidRPr="00DB524A" w:rsidRDefault="00136138" w:rsidP="00DB524A">
            <w:pPr>
              <w:spacing w:after="0" w:line="240" w:lineRule="auto"/>
              <w:jc w:val="left"/>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Controlling High Blood Pressure</w:t>
            </w:r>
          </w:p>
        </w:tc>
        <w:tc>
          <w:tcPr>
            <w:tcW w:w="432" w:type="pct"/>
            <w:tcBorders>
              <w:top w:val="single" w:sz="8" w:space="0" w:color="000000"/>
              <w:left w:val="single" w:sz="8" w:space="0" w:color="000000"/>
              <w:bottom w:val="single" w:sz="8" w:space="0" w:color="000000"/>
              <w:right w:val="single" w:sz="8" w:space="0" w:color="000000"/>
            </w:tcBorders>
            <w:shd w:val="clear" w:color="auto" w:fill="70AD47"/>
            <w:tcMar>
              <w:top w:w="9" w:type="dxa"/>
              <w:left w:w="9" w:type="dxa"/>
              <w:bottom w:w="0" w:type="dxa"/>
              <w:right w:w="9" w:type="dxa"/>
            </w:tcMar>
            <w:vAlign w:val="center"/>
            <w:hideMark/>
          </w:tcPr>
          <w:p w:rsidR="00DB524A" w:rsidRPr="00DB524A" w:rsidRDefault="00136138" w:rsidP="00DB524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77.2</w:t>
            </w:r>
          </w:p>
        </w:tc>
        <w:tc>
          <w:tcPr>
            <w:tcW w:w="388" w:type="pct"/>
            <w:tcBorders>
              <w:top w:val="single" w:sz="8" w:space="0" w:color="000000"/>
              <w:left w:val="single" w:sz="8" w:space="0" w:color="000000"/>
              <w:bottom w:val="single" w:sz="8" w:space="0" w:color="000000"/>
              <w:right w:val="single" w:sz="8" w:space="0" w:color="000000"/>
            </w:tcBorders>
            <w:shd w:val="clear" w:color="auto" w:fill="FFFF00"/>
            <w:tcMar>
              <w:top w:w="9" w:type="dxa"/>
              <w:left w:w="9" w:type="dxa"/>
              <w:bottom w:w="0" w:type="dxa"/>
              <w:right w:w="9" w:type="dxa"/>
            </w:tcMar>
            <w:vAlign w:val="center"/>
            <w:hideMark/>
          </w:tcPr>
          <w:p w:rsidR="00DB524A" w:rsidRPr="00DB524A" w:rsidRDefault="00136138" w:rsidP="00DB524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74.1</w:t>
            </w:r>
            <w:r w:rsidR="002E4CFA" w:rsidRPr="00702365">
              <w:rPr>
                <w:rFonts w:ascii="Helvetica" w:eastAsia="Times New Roman" w:hAnsi="Helvetica" w:cs="Helvetica"/>
                <w:color w:val="000000"/>
                <w:kern w:val="24"/>
                <w:sz w:val="24"/>
                <w:szCs w:val="24"/>
                <w:vertAlign w:val="superscript"/>
              </w:rPr>
              <w:t>5</w:t>
            </w:r>
          </w:p>
        </w:tc>
        <w:tc>
          <w:tcPr>
            <w:tcW w:w="388" w:type="pct"/>
            <w:tcBorders>
              <w:top w:val="single" w:sz="8" w:space="0" w:color="000000"/>
              <w:left w:val="single" w:sz="8" w:space="0" w:color="000000"/>
              <w:bottom w:val="single" w:sz="8" w:space="0" w:color="000000"/>
              <w:right w:val="single" w:sz="8" w:space="0" w:color="000000"/>
            </w:tcBorders>
            <w:shd w:val="clear" w:color="auto" w:fill="70AD47"/>
            <w:tcMar>
              <w:top w:w="9" w:type="dxa"/>
              <w:left w:w="9" w:type="dxa"/>
              <w:bottom w:w="0" w:type="dxa"/>
              <w:right w:w="9" w:type="dxa"/>
            </w:tcMar>
            <w:vAlign w:val="center"/>
            <w:hideMark/>
          </w:tcPr>
          <w:p w:rsidR="00DB524A" w:rsidRPr="00DB524A" w:rsidRDefault="00136138" w:rsidP="00DB524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74.3</w:t>
            </w:r>
            <w:r w:rsidR="002E4CFA" w:rsidRPr="00D21163">
              <w:rPr>
                <w:rFonts w:ascii="Helvetica" w:eastAsia="Times New Roman" w:hAnsi="Helvetica" w:cs="Helvetica"/>
                <w:color w:val="000000"/>
                <w:kern w:val="24"/>
                <w:sz w:val="24"/>
                <w:szCs w:val="24"/>
                <w:vertAlign w:val="superscript"/>
              </w:rPr>
              <w:t>6</w:t>
            </w:r>
          </w:p>
        </w:tc>
        <w:tc>
          <w:tcPr>
            <w:tcW w:w="440" w:type="pct"/>
            <w:tcBorders>
              <w:top w:val="single" w:sz="8" w:space="0" w:color="000000"/>
              <w:left w:val="single" w:sz="8" w:space="0" w:color="000000"/>
              <w:bottom w:val="single" w:sz="8" w:space="0" w:color="000000"/>
              <w:right w:val="single" w:sz="8" w:space="0" w:color="000000"/>
            </w:tcBorders>
            <w:shd w:val="clear" w:color="auto" w:fill="FFFF00"/>
            <w:tcMar>
              <w:top w:w="9" w:type="dxa"/>
              <w:left w:w="9" w:type="dxa"/>
              <w:bottom w:w="0" w:type="dxa"/>
              <w:right w:w="9" w:type="dxa"/>
            </w:tcMar>
            <w:vAlign w:val="center"/>
            <w:hideMark/>
          </w:tcPr>
          <w:p w:rsidR="00DB524A" w:rsidRPr="00DB524A" w:rsidRDefault="00136138" w:rsidP="00DB524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68.4</w:t>
            </w:r>
            <w:r w:rsidR="002E4CFA" w:rsidRPr="00702365">
              <w:rPr>
                <w:rFonts w:ascii="Helvetica" w:eastAsia="Times New Roman" w:hAnsi="Helvetica" w:cs="Helvetica"/>
                <w:color w:val="000000"/>
                <w:kern w:val="24"/>
                <w:sz w:val="24"/>
                <w:szCs w:val="24"/>
                <w:vertAlign w:val="superscript"/>
              </w:rPr>
              <w:t>5</w:t>
            </w:r>
          </w:p>
        </w:tc>
        <w:tc>
          <w:tcPr>
            <w:tcW w:w="425" w:type="pct"/>
            <w:tcBorders>
              <w:top w:val="single" w:sz="8" w:space="0" w:color="000000"/>
              <w:left w:val="single" w:sz="8" w:space="0" w:color="000000"/>
              <w:bottom w:val="single" w:sz="8" w:space="0" w:color="000000"/>
              <w:right w:val="single" w:sz="8" w:space="0" w:color="000000"/>
            </w:tcBorders>
            <w:shd w:val="clear" w:color="auto" w:fill="FFFF00"/>
            <w:tcMar>
              <w:top w:w="9" w:type="dxa"/>
              <w:left w:w="9" w:type="dxa"/>
              <w:bottom w:w="0" w:type="dxa"/>
              <w:right w:w="9" w:type="dxa"/>
            </w:tcMar>
            <w:vAlign w:val="center"/>
            <w:hideMark/>
          </w:tcPr>
          <w:p w:rsidR="00DB524A" w:rsidRPr="00DB524A" w:rsidRDefault="00136138" w:rsidP="00DB524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66.3</w:t>
            </w:r>
            <w:r w:rsidR="002E4CFA" w:rsidRPr="00702365">
              <w:rPr>
                <w:rFonts w:ascii="Helvetica" w:eastAsia="Times New Roman" w:hAnsi="Helvetica" w:cs="Helvetica"/>
                <w:color w:val="000000"/>
                <w:kern w:val="24"/>
                <w:sz w:val="24"/>
                <w:szCs w:val="24"/>
                <w:vertAlign w:val="superscript"/>
              </w:rPr>
              <w:t>5</w:t>
            </w:r>
          </w:p>
        </w:tc>
        <w:tc>
          <w:tcPr>
            <w:tcW w:w="402" w:type="pct"/>
            <w:tcBorders>
              <w:top w:val="single" w:sz="8" w:space="0" w:color="000000"/>
              <w:left w:val="single" w:sz="8" w:space="0" w:color="000000"/>
              <w:bottom w:val="single" w:sz="8" w:space="0" w:color="000000"/>
              <w:right w:val="single" w:sz="8" w:space="0" w:color="000000"/>
            </w:tcBorders>
            <w:shd w:val="clear" w:color="auto" w:fill="FFFF00"/>
            <w:tcMar>
              <w:top w:w="9" w:type="dxa"/>
              <w:left w:w="9" w:type="dxa"/>
              <w:bottom w:w="0" w:type="dxa"/>
              <w:right w:w="9" w:type="dxa"/>
            </w:tcMar>
            <w:vAlign w:val="center"/>
            <w:hideMark/>
          </w:tcPr>
          <w:p w:rsidR="00DB524A" w:rsidRPr="00DB524A" w:rsidRDefault="00136138" w:rsidP="00DB524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66.7</w:t>
            </w:r>
            <w:r w:rsidR="002E4CFA" w:rsidRPr="00702365">
              <w:rPr>
                <w:rFonts w:ascii="Helvetica" w:eastAsia="Times New Roman" w:hAnsi="Helvetica" w:cs="Helvetica"/>
                <w:color w:val="000000"/>
                <w:kern w:val="24"/>
                <w:sz w:val="24"/>
                <w:szCs w:val="24"/>
                <w:vertAlign w:val="superscript"/>
              </w:rPr>
              <w:t>5</w:t>
            </w:r>
          </w:p>
        </w:tc>
      </w:tr>
      <w:tr w:rsidR="00136138" w:rsidRPr="00DB524A" w:rsidTr="00136138">
        <w:trPr>
          <w:trHeight w:val="583"/>
        </w:trPr>
        <w:tc>
          <w:tcPr>
            <w:tcW w:w="2524" w:type="pct"/>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rsidR="00DB524A" w:rsidRPr="00DB524A" w:rsidRDefault="00136138" w:rsidP="00DB524A">
            <w:pPr>
              <w:spacing w:after="0" w:line="240" w:lineRule="auto"/>
              <w:jc w:val="left"/>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Initiation and Engagement of Alcohol and Other Drug Abuse or Dependence Treatment- Initiation of AOD</w:t>
            </w:r>
          </w:p>
        </w:tc>
        <w:tc>
          <w:tcPr>
            <w:tcW w:w="432" w:type="pct"/>
            <w:tcBorders>
              <w:top w:val="single" w:sz="8" w:space="0" w:color="000000"/>
              <w:left w:val="single" w:sz="8" w:space="0" w:color="000000"/>
              <w:bottom w:val="single" w:sz="8" w:space="0" w:color="000000"/>
              <w:right w:val="single" w:sz="8" w:space="0" w:color="000000"/>
            </w:tcBorders>
            <w:shd w:val="clear" w:color="auto" w:fill="FFC000"/>
            <w:tcMar>
              <w:top w:w="9" w:type="dxa"/>
              <w:left w:w="9" w:type="dxa"/>
              <w:bottom w:w="0" w:type="dxa"/>
              <w:right w:w="9" w:type="dxa"/>
            </w:tcMar>
            <w:vAlign w:val="center"/>
            <w:hideMark/>
          </w:tcPr>
          <w:p w:rsidR="00DB524A" w:rsidRPr="00DB524A" w:rsidRDefault="00136138" w:rsidP="00DB524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33.3</w:t>
            </w:r>
            <w:r w:rsidR="002E4CFA">
              <w:rPr>
                <w:rFonts w:ascii="Helvetica" w:eastAsia="Times New Roman" w:hAnsi="Helvetica" w:cs="Helvetica"/>
                <w:bCs/>
                <w:color w:val="000000" w:themeColor="text1"/>
                <w:kern w:val="24"/>
                <w:sz w:val="24"/>
                <w:szCs w:val="24"/>
                <w:vertAlign w:val="superscript"/>
              </w:rPr>
              <w:t>4</w:t>
            </w:r>
          </w:p>
        </w:tc>
        <w:tc>
          <w:tcPr>
            <w:tcW w:w="388" w:type="pct"/>
            <w:tcBorders>
              <w:top w:val="single" w:sz="8" w:space="0" w:color="000000"/>
              <w:left w:val="single" w:sz="8" w:space="0" w:color="000000"/>
              <w:bottom w:val="single" w:sz="8" w:space="0" w:color="000000"/>
              <w:right w:val="single" w:sz="8" w:space="0" w:color="000000"/>
            </w:tcBorders>
            <w:shd w:val="clear" w:color="auto" w:fill="70AD47"/>
            <w:tcMar>
              <w:top w:w="9" w:type="dxa"/>
              <w:left w:w="9" w:type="dxa"/>
              <w:bottom w:w="0" w:type="dxa"/>
              <w:right w:w="9" w:type="dxa"/>
            </w:tcMar>
            <w:vAlign w:val="center"/>
            <w:hideMark/>
          </w:tcPr>
          <w:p w:rsidR="00DB524A" w:rsidRPr="00DB524A" w:rsidRDefault="00136138" w:rsidP="00DB524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64.5</w:t>
            </w:r>
            <w:r w:rsidR="002E4CFA" w:rsidRPr="00D21163">
              <w:rPr>
                <w:rFonts w:ascii="Helvetica" w:eastAsia="Times New Roman" w:hAnsi="Helvetica" w:cs="Helvetica"/>
                <w:color w:val="000000"/>
                <w:kern w:val="24"/>
                <w:sz w:val="24"/>
                <w:szCs w:val="24"/>
                <w:vertAlign w:val="superscript"/>
              </w:rPr>
              <w:t>6</w:t>
            </w:r>
          </w:p>
        </w:tc>
        <w:tc>
          <w:tcPr>
            <w:tcW w:w="388" w:type="pct"/>
            <w:tcBorders>
              <w:top w:val="single" w:sz="8" w:space="0" w:color="000000"/>
              <w:left w:val="single" w:sz="8" w:space="0" w:color="000000"/>
              <w:bottom w:val="single" w:sz="8" w:space="0" w:color="000000"/>
              <w:right w:val="single" w:sz="8" w:space="0" w:color="000000"/>
            </w:tcBorders>
            <w:shd w:val="clear" w:color="auto" w:fill="F4CFCC"/>
            <w:tcMar>
              <w:top w:w="9" w:type="dxa"/>
              <w:left w:w="9" w:type="dxa"/>
              <w:bottom w:w="0" w:type="dxa"/>
              <w:right w:w="9" w:type="dxa"/>
            </w:tcMar>
            <w:vAlign w:val="center"/>
            <w:hideMark/>
          </w:tcPr>
          <w:p w:rsidR="00DB524A" w:rsidRPr="00DB524A" w:rsidRDefault="00136138" w:rsidP="00DB524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34.4</w:t>
            </w:r>
            <w:r w:rsidR="00283D08" w:rsidRPr="00702365">
              <w:rPr>
                <w:rFonts w:ascii="Helvetica" w:eastAsia="Times New Roman" w:hAnsi="Helvetica" w:cs="Helvetica"/>
                <w:color w:val="000000"/>
                <w:kern w:val="24"/>
                <w:sz w:val="24"/>
                <w:szCs w:val="24"/>
                <w:vertAlign w:val="superscript"/>
              </w:rPr>
              <w:t>3</w:t>
            </w:r>
          </w:p>
        </w:tc>
        <w:tc>
          <w:tcPr>
            <w:tcW w:w="440" w:type="pct"/>
            <w:tcBorders>
              <w:top w:val="single" w:sz="8" w:space="0" w:color="000000"/>
              <w:left w:val="single" w:sz="8" w:space="0" w:color="000000"/>
              <w:bottom w:val="single" w:sz="8" w:space="0" w:color="000000"/>
              <w:right w:val="single" w:sz="8" w:space="0" w:color="000000"/>
            </w:tcBorders>
            <w:shd w:val="clear" w:color="auto" w:fill="FFC000"/>
            <w:tcMar>
              <w:top w:w="9" w:type="dxa"/>
              <w:left w:w="9" w:type="dxa"/>
              <w:bottom w:w="0" w:type="dxa"/>
              <w:right w:w="9" w:type="dxa"/>
            </w:tcMar>
            <w:vAlign w:val="center"/>
            <w:hideMark/>
          </w:tcPr>
          <w:p w:rsidR="00DB524A" w:rsidRPr="00DB524A" w:rsidRDefault="00136138" w:rsidP="00DB524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43.0</w:t>
            </w:r>
            <w:r w:rsidR="002E4CFA">
              <w:rPr>
                <w:rFonts w:ascii="Helvetica" w:eastAsia="Times New Roman" w:hAnsi="Helvetica" w:cs="Helvetica"/>
                <w:bCs/>
                <w:color w:val="000000" w:themeColor="text1"/>
                <w:kern w:val="24"/>
                <w:sz w:val="24"/>
                <w:szCs w:val="24"/>
                <w:vertAlign w:val="superscript"/>
              </w:rPr>
              <w:t>4</w:t>
            </w:r>
          </w:p>
        </w:tc>
        <w:tc>
          <w:tcPr>
            <w:tcW w:w="425" w:type="pct"/>
            <w:tcBorders>
              <w:top w:val="single" w:sz="8" w:space="0" w:color="000000"/>
              <w:left w:val="single" w:sz="8" w:space="0" w:color="000000"/>
              <w:bottom w:val="single" w:sz="8" w:space="0" w:color="000000"/>
              <w:right w:val="single" w:sz="8" w:space="0" w:color="000000"/>
            </w:tcBorders>
            <w:shd w:val="clear" w:color="auto" w:fill="FFC000"/>
            <w:tcMar>
              <w:top w:w="9" w:type="dxa"/>
              <w:left w:w="9" w:type="dxa"/>
              <w:bottom w:w="0" w:type="dxa"/>
              <w:right w:w="9" w:type="dxa"/>
            </w:tcMar>
            <w:vAlign w:val="center"/>
            <w:hideMark/>
          </w:tcPr>
          <w:p w:rsidR="00DB524A" w:rsidRPr="00DB524A" w:rsidRDefault="00136138" w:rsidP="00DB524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44.3</w:t>
            </w:r>
            <w:r w:rsidR="002E4CFA">
              <w:rPr>
                <w:rFonts w:ascii="Helvetica" w:eastAsia="Times New Roman" w:hAnsi="Helvetica" w:cs="Helvetica"/>
                <w:bCs/>
                <w:color w:val="000000" w:themeColor="text1"/>
                <w:kern w:val="24"/>
                <w:sz w:val="24"/>
                <w:szCs w:val="24"/>
                <w:vertAlign w:val="superscript"/>
              </w:rPr>
              <w:t>4</w:t>
            </w:r>
          </w:p>
        </w:tc>
        <w:tc>
          <w:tcPr>
            <w:tcW w:w="402" w:type="pct"/>
            <w:tcBorders>
              <w:top w:val="single" w:sz="8" w:space="0" w:color="000000"/>
              <w:left w:val="single" w:sz="8" w:space="0" w:color="000000"/>
              <w:bottom w:val="single" w:sz="8" w:space="0" w:color="000000"/>
              <w:right w:val="single" w:sz="8" w:space="0" w:color="000000"/>
            </w:tcBorders>
            <w:shd w:val="clear" w:color="auto" w:fill="FFFF00"/>
            <w:tcMar>
              <w:top w:w="9" w:type="dxa"/>
              <w:left w:w="9" w:type="dxa"/>
              <w:bottom w:w="0" w:type="dxa"/>
              <w:right w:w="9" w:type="dxa"/>
            </w:tcMar>
            <w:vAlign w:val="center"/>
            <w:hideMark/>
          </w:tcPr>
          <w:p w:rsidR="00DB524A" w:rsidRPr="00DB524A" w:rsidRDefault="00136138" w:rsidP="002E4CF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47.5</w:t>
            </w:r>
            <w:r w:rsidR="002E4CFA" w:rsidRPr="00702365">
              <w:rPr>
                <w:rFonts w:ascii="Helvetica" w:eastAsia="Times New Roman" w:hAnsi="Helvetica" w:cs="Helvetica"/>
                <w:color w:val="000000"/>
                <w:kern w:val="24"/>
                <w:sz w:val="24"/>
                <w:szCs w:val="24"/>
                <w:vertAlign w:val="superscript"/>
              </w:rPr>
              <w:t>5</w:t>
            </w:r>
          </w:p>
        </w:tc>
      </w:tr>
      <w:tr w:rsidR="00136138" w:rsidRPr="00DB524A" w:rsidTr="00136138">
        <w:trPr>
          <w:trHeight w:val="421"/>
        </w:trPr>
        <w:tc>
          <w:tcPr>
            <w:tcW w:w="2524" w:type="pct"/>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hideMark/>
          </w:tcPr>
          <w:p w:rsidR="00DB524A" w:rsidRPr="00DB524A" w:rsidRDefault="00136138" w:rsidP="00DB524A">
            <w:pPr>
              <w:spacing w:after="0" w:line="240" w:lineRule="auto"/>
              <w:jc w:val="left"/>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Initiation and Engagement of Alcohol and Other Drug Abuse or Dependence Treatment- Engagement of AOD</w:t>
            </w:r>
          </w:p>
        </w:tc>
        <w:tc>
          <w:tcPr>
            <w:tcW w:w="432" w:type="pct"/>
            <w:tcBorders>
              <w:top w:val="single" w:sz="8" w:space="0" w:color="000000"/>
              <w:left w:val="single" w:sz="8" w:space="0" w:color="000000"/>
              <w:bottom w:val="single" w:sz="8" w:space="0" w:color="000000"/>
              <w:right w:val="single" w:sz="8" w:space="0" w:color="000000"/>
            </w:tcBorders>
            <w:shd w:val="clear" w:color="auto" w:fill="FFC000"/>
            <w:tcMar>
              <w:top w:w="9" w:type="dxa"/>
              <w:left w:w="9" w:type="dxa"/>
              <w:bottom w:w="0" w:type="dxa"/>
              <w:right w:w="9" w:type="dxa"/>
            </w:tcMar>
            <w:vAlign w:val="center"/>
            <w:hideMark/>
          </w:tcPr>
          <w:p w:rsidR="00DB524A" w:rsidRPr="00DB524A" w:rsidRDefault="00136138" w:rsidP="00DB524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12.5</w:t>
            </w:r>
            <w:r w:rsidR="002E4CFA">
              <w:rPr>
                <w:rFonts w:ascii="Helvetica" w:eastAsia="Times New Roman" w:hAnsi="Helvetica" w:cs="Helvetica"/>
                <w:bCs/>
                <w:color w:val="000000" w:themeColor="text1"/>
                <w:kern w:val="24"/>
                <w:sz w:val="24"/>
                <w:szCs w:val="24"/>
                <w:vertAlign w:val="superscript"/>
              </w:rPr>
              <w:t>4</w:t>
            </w:r>
          </w:p>
        </w:tc>
        <w:tc>
          <w:tcPr>
            <w:tcW w:w="388" w:type="pct"/>
            <w:tcBorders>
              <w:top w:val="single" w:sz="8" w:space="0" w:color="000000"/>
              <w:left w:val="single" w:sz="8" w:space="0" w:color="000000"/>
              <w:bottom w:val="single" w:sz="8" w:space="0" w:color="000000"/>
              <w:right w:val="single" w:sz="8" w:space="0" w:color="000000"/>
            </w:tcBorders>
            <w:shd w:val="clear" w:color="auto" w:fill="FFC000"/>
            <w:tcMar>
              <w:top w:w="9" w:type="dxa"/>
              <w:left w:w="9" w:type="dxa"/>
              <w:bottom w:w="0" w:type="dxa"/>
              <w:right w:w="9" w:type="dxa"/>
            </w:tcMar>
            <w:vAlign w:val="center"/>
            <w:hideMark/>
          </w:tcPr>
          <w:p w:rsidR="00DB524A" w:rsidRPr="00DB524A" w:rsidRDefault="00136138" w:rsidP="00DB524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15.7</w:t>
            </w:r>
            <w:r w:rsidR="002E4CFA">
              <w:rPr>
                <w:rFonts w:ascii="Helvetica" w:eastAsia="Times New Roman" w:hAnsi="Helvetica" w:cs="Helvetica"/>
                <w:bCs/>
                <w:color w:val="000000" w:themeColor="text1"/>
                <w:kern w:val="24"/>
                <w:sz w:val="24"/>
                <w:szCs w:val="24"/>
                <w:vertAlign w:val="superscript"/>
              </w:rPr>
              <w:t>4</w:t>
            </w:r>
          </w:p>
        </w:tc>
        <w:tc>
          <w:tcPr>
            <w:tcW w:w="388" w:type="pct"/>
            <w:tcBorders>
              <w:top w:val="single" w:sz="8" w:space="0" w:color="000000"/>
              <w:left w:val="single" w:sz="8" w:space="0" w:color="000000"/>
              <w:bottom w:val="single" w:sz="8" w:space="0" w:color="000000"/>
              <w:right w:val="single" w:sz="8" w:space="0" w:color="000000"/>
            </w:tcBorders>
            <w:shd w:val="clear" w:color="auto" w:fill="F4CFCC"/>
            <w:tcMar>
              <w:top w:w="9" w:type="dxa"/>
              <w:left w:w="9" w:type="dxa"/>
              <w:bottom w:w="0" w:type="dxa"/>
              <w:right w:w="9" w:type="dxa"/>
            </w:tcMar>
            <w:vAlign w:val="center"/>
            <w:hideMark/>
          </w:tcPr>
          <w:p w:rsidR="00DB524A" w:rsidRPr="00DB524A" w:rsidRDefault="00136138" w:rsidP="00DB524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12.8</w:t>
            </w:r>
            <w:r w:rsidR="00283D08" w:rsidRPr="00702365">
              <w:rPr>
                <w:rFonts w:ascii="Helvetica" w:eastAsia="Times New Roman" w:hAnsi="Helvetica" w:cs="Helvetica"/>
                <w:color w:val="000000"/>
                <w:kern w:val="24"/>
                <w:sz w:val="24"/>
                <w:szCs w:val="24"/>
                <w:vertAlign w:val="superscript"/>
              </w:rPr>
              <w:t>3</w:t>
            </w:r>
          </w:p>
        </w:tc>
        <w:tc>
          <w:tcPr>
            <w:tcW w:w="440" w:type="pct"/>
            <w:tcBorders>
              <w:top w:val="single" w:sz="8" w:space="0" w:color="000000"/>
              <w:left w:val="single" w:sz="8" w:space="0" w:color="000000"/>
              <w:bottom w:val="single" w:sz="8" w:space="0" w:color="000000"/>
              <w:right w:val="single" w:sz="8" w:space="0" w:color="000000"/>
            </w:tcBorders>
            <w:shd w:val="clear" w:color="auto" w:fill="FFFF00"/>
            <w:tcMar>
              <w:top w:w="9" w:type="dxa"/>
              <w:left w:w="9" w:type="dxa"/>
              <w:bottom w:w="0" w:type="dxa"/>
              <w:right w:w="9" w:type="dxa"/>
            </w:tcMar>
            <w:vAlign w:val="center"/>
            <w:hideMark/>
          </w:tcPr>
          <w:p w:rsidR="00DB524A" w:rsidRPr="00DB524A" w:rsidRDefault="00136138" w:rsidP="00DB524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17.7</w:t>
            </w:r>
            <w:r w:rsidR="002E4CFA" w:rsidRPr="00702365">
              <w:rPr>
                <w:rFonts w:ascii="Helvetica" w:eastAsia="Times New Roman" w:hAnsi="Helvetica" w:cs="Helvetica"/>
                <w:color w:val="000000"/>
                <w:kern w:val="24"/>
                <w:sz w:val="24"/>
                <w:szCs w:val="24"/>
                <w:vertAlign w:val="superscript"/>
              </w:rPr>
              <w:t>5</w:t>
            </w:r>
          </w:p>
        </w:tc>
        <w:tc>
          <w:tcPr>
            <w:tcW w:w="425" w:type="pct"/>
            <w:tcBorders>
              <w:top w:val="single" w:sz="8" w:space="0" w:color="000000"/>
              <w:left w:val="single" w:sz="8" w:space="0" w:color="000000"/>
              <w:bottom w:val="single" w:sz="8" w:space="0" w:color="000000"/>
              <w:right w:val="single" w:sz="8" w:space="0" w:color="000000"/>
            </w:tcBorders>
            <w:shd w:val="clear" w:color="auto" w:fill="FFFF00"/>
            <w:tcMar>
              <w:top w:w="9" w:type="dxa"/>
              <w:left w:w="9" w:type="dxa"/>
              <w:bottom w:w="0" w:type="dxa"/>
              <w:right w:w="9" w:type="dxa"/>
            </w:tcMar>
            <w:vAlign w:val="center"/>
            <w:hideMark/>
          </w:tcPr>
          <w:p w:rsidR="00DB524A" w:rsidRPr="00DB524A" w:rsidRDefault="00136138" w:rsidP="00DB524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19.5</w:t>
            </w:r>
            <w:r w:rsidR="002E4CFA" w:rsidRPr="00702365">
              <w:rPr>
                <w:rFonts w:ascii="Helvetica" w:eastAsia="Times New Roman" w:hAnsi="Helvetica" w:cs="Helvetica"/>
                <w:color w:val="000000"/>
                <w:kern w:val="24"/>
                <w:sz w:val="24"/>
                <w:szCs w:val="24"/>
                <w:vertAlign w:val="superscript"/>
              </w:rPr>
              <w:t>5</w:t>
            </w:r>
          </w:p>
        </w:tc>
        <w:tc>
          <w:tcPr>
            <w:tcW w:w="402" w:type="pct"/>
            <w:tcBorders>
              <w:top w:val="single" w:sz="8" w:space="0" w:color="000000"/>
              <w:left w:val="single" w:sz="8" w:space="0" w:color="000000"/>
              <w:bottom w:val="single" w:sz="8" w:space="0" w:color="000000"/>
              <w:right w:val="single" w:sz="8" w:space="0" w:color="000000"/>
            </w:tcBorders>
            <w:shd w:val="clear" w:color="auto" w:fill="FFFF00"/>
            <w:tcMar>
              <w:top w:w="9" w:type="dxa"/>
              <w:left w:w="9" w:type="dxa"/>
              <w:bottom w:w="0" w:type="dxa"/>
              <w:right w:w="9" w:type="dxa"/>
            </w:tcMar>
            <w:vAlign w:val="center"/>
            <w:hideMark/>
          </w:tcPr>
          <w:p w:rsidR="00DB524A" w:rsidRPr="00DB524A" w:rsidRDefault="00136138" w:rsidP="00DB524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18.9</w:t>
            </w:r>
            <w:r w:rsidR="002E4CFA" w:rsidRPr="00702365">
              <w:rPr>
                <w:rFonts w:ascii="Helvetica" w:eastAsia="Times New Roman" w:hAnsi="Helvetica" w:cs="Helvetica"/>
                <w:color w:val="000000"/>
                <w:kern w:val="24"/>
                <w:sz w:val="24"/>
                <w:szCs w:val="24"/>
                <w:vertAlign w:val="superscript"/>
              </w:rPr>
              <w:t>5</w:t>
            </w:r>
          </w:p>
        </w:tc>
      </w:tr>
    </w:tbl>
    <w:p w:rsidR="00773B9A" w:rsidRPr="00773B9A" w:rsidRDefault="00773B9A" w:rsidP="00773B9A"/>
    <w:tbl>
      <w:tblPr>
        <w:tblW w:w="5000" w:type="pct"/>
        <w:tblCellMar>
          <w:left w:w="0" w:type="dxa"/>
          <w:right w:w="0" w:type="dxa"/>
        </w:tblCellMar>
        <w:tblLook w:val="0600" w:firstRow="0" w:lastRow="0" w:firstColumn="0" w:lastColumn="0" w:noHBand="1" w:noVBand="1"/>
      </w:tblPr>
      <w:tblGrid>
        <w:gridCol w:w="1878"/>
        <w:gridCol w:w="1878"/>
        <w:gridCol w:w="1878"/>
        <w:gridCol w:w="1878"/>
        <w:gridCol w:w="1878"/>
      </w:tblGrid>
      <w:tr w:rsidR="00773B9A" w:rsidRPr="00D21163" w:rsidTr="00773B9A">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21163" w:rsidRPr="00D21163" w:rsidRDefault="00773B9A" w:rsidP="00773B9A">
            <w:pPr>
              <w:spacing w:after="0" w:line="240" w:lineRule="auto"/>
              <w:jc w:val="center"/>
              <w:textAlignment w:val="center"/>
              <w:rPr>
                <w:rFonts w:ascii="Helvetica" w:eastAsia="Times New Roman" w:hAnsi="Helvetica" w:cs="Helvetica"/>
                <w:sz w:val="24"/>
                <w:szCs w:val="24"/>
              </w:rPr>
            </w:pPr>
            <w:r w:rsidRPr="00D21163">
              <w:rPr>
                <w:rFonts w:ascii="Helvetica" w:eastAsia="Times New Roman" w:hAnsi="Helvetica" w:cs="Helvetica"/>
                <w:b/>
                <w:bCs/>
                <w:color w:val="000000"/>
                <w:kern w:val="24"/>
                <w:sz w:val="24"/>
                <w:szCs w:val="24"/>
              </w:rPr>
              <w:t>Key:</w:t>
            </w:r>
          </w:p>
        </w:tc>
      </w:tr>
      <w:tr w:rsidR="00773B9A" w:rsidRPr="00D21163" w:rsidTr="00773B9A">
        <w:tc>
          <w:tcPr>
            <w:tcW w:w="1000" w:type="pct"/>
            <w:tcBorders>
              <w:top w:val="single" w:sz="4" w:space="0" w:color="000000"/>
              <w:left w:val="single" w:sz="4" w:space="0" w:color="000000"/>
              <w:bottom w:val="single" w:sz="4" w:space="0" w:color="000000"/>
              <w:right w:val="single" w:sz="4" w:space="0" w:color="000000"/>
            </w:tcBorders>
            <w:shd w:val="clear" w:color="auto" w:fill="E79791"/>
            <w:tcMar>
              <w:top w:w="15" w:type="dxa"/>
              <w:left w:w="15" w:type="dxa"/>
              <w:bottom w:w="0" w:type="dxa"/>
              <w:right w:w="15" w:type="dxa"/>
            </w:tcMar>
            <w:vAlign w:val="center"/>
            <w:hideMark/>
          </w:tcPr>
          <w:p w:rsidR="00D21163" w:rsidRPr="00D21163" w:rsidRDefault="00773B9A" w:rsidP="00773B9A">
            <w:pPr>
              <w:spacing w:after="0" w:line="240" w:lineRule="auto"/>
              <w:jc w:val="center"/>
              <w:textAlignment w:val="center"/>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&lt;25th</w:t>
            </w:r>
            <w:r w:rsidRPr="00702365">
              <w:rPr>
                <w:rFonts w:ascii="Helvetica" w:eastAsia="Times New Roman" w:hAnsi="Helvetica" w:cs="Helvetica"/>
                <w:color w:val="000000"/>
                <w:kern w:val="24"/>
                <w:sz w:val="24"/>
                <w:szCs w:val="24"/>
                <w:vertAlign w:val="superscript"/>
              </w:rPr>
              <w:t>2</w:t>
            </w:r>
          </w:p>
        </w:tc>
        <w:tc>
          <w:tcPr>
            <w:tcW w:w="1000" w:type="pct"/>
            <w:tcBorders>
              <w:top w:val="single" w:sz="4" w:space="0" w:color="000000"/>
              <w:left w:val="single" w:sz="4" w:space="0" w:color="000000"/>
              <w:bottom w:val="single" w:sz="4" w:space="0" w:color="000000"/>
              <w:right w:val="single" w:sz="4" w:space="0" w:color="000000"/>
            </w:tcBorders>
            <w:shd w:val="clear" w:color="auto" w:fill="F4CFCC"/>
            <w:tcMar>
              <w:top w:w="15" w:type="dxa"/>
              <w:left w:w="15" w:type="dxa"/>
              <w:bottom w:w="0" w:type="dxa"/>
              <w:right w:w="15" w:type="dxa"/>
            </w:tcMar>
            <w:vAlign w:val="center"/>
            <w:hideMark/>
          </w:tcPr>
          <w:p w:rsidR="00D21163" w:rsidRPr="00D21163" w:rsidRDefault="00773B9A" w:rsidP="00773B9A">
            <w:pPr>
              <w:spacing w:after="0" w:line="240" w:lineRule="auto"/>
              <w:jc w:val="center"/>
              <w:textAlignment w:val="center"/>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25th - 50th</w:t>
            </w:r>
            <w:r w:rsidRPr="00702365">
              <w:rPr>
                <w:rFonts w:ascii="Helvetica" w:eastAsia="Times New Roman" w:hAnsi="Helvetica" w:cs="Helvetica"/>
                <w:color w:val="000000"/>
                <w:kern w:val="24"/>
                <w:sz w:val="24"/>
                <w:szCs w:val="24"/>
                <w:vertAlign w:val="superscript"/>
              </w:rPr>
              <w:t>3</w:t>
            </w:r>
          </w:p>
        </w:tc>
        <w:tc>
          <w:tcPr>
            <w:tcW w:w="1000" w:type="pct"/>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bottom w:w="0" w:type="dxa"/>
              <w:right w:w="15" w:type="dxa"/>
            </w:tcMar>
            <w:vAlign w:val="center"/>
            <w:hideMark/>
          </w:tcPr>
          <w:p w:rsidR="00D21163" w:rsidRPr="00D21163" w:rsidRDefault="00773B9A" w:rsidP="00773B9A">
            <w:pPr>
              <w:spacing w:after="0" w:line="240" w:lineRule="auto"/>
              <w:jc w:val="center"/>
              <w:textAlignment w:val="center"/>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50th - 75th</w:t>
            </w:r>
            <w:r>
              <w:rPr>
                <w:rFonts w:ascii="Helvetica" w:eastAsia="Times New Roman" w:hAnsi="Helvetica" w:cs="Helvetica"/>
                <w:bCs/>
                <w:color w:val="000000" w:themeColor="text1"/>
                <w:kern w:val="24"/>
                <w:sz w:val="24"/>
                <w:szCs w:val="24"/>
                <w:vertAlign w:val="superscript"/>
              </w:rPr>
              <w:t>4</w:t>
            </w:r>
          </w:p>
        </w:tc>
        <w:tc>
          <w:tcPr>
            <w:tcW w:w="1000" w:type="pct"/>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rsidR="00D21163" w:rsidRPr="00D21163" w:rsidRDefault="00773B9A" w:rsidP="00773B9A">
            <w:pPr>
              <w:spacing w:after="0" w:line="240" w:lineRule="auto"/>
              <w:jc w:val="center"/>
              <w:textAlignment w:val="center"/>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75th - 90th</w:t>
            </w:r>
            <w:r w:rsidRPr="00702365">
              <w:rPr>
                <w:rFonts w:ascii="Helvetica" w:eastAsia="Times New Roman" w:hAnsi="Helvetica" w:cs="Helvetica"/>
                <w:color w:val="000000"/>
                <w:kern w:val="24"/>
                <w:sz w:val="24"/>
                <w:szCs w:val="24"/>
                <w:vertAlign w:val="superscript"/>
              </w:rPr>
              <w:t>5</w:t>
            </w:r>
          </w:p>
        </w:tc>
        <w:tc>
          <w:tcPr>
            <w:tcW w:w="1000" w:type="pct"/>
            <w:tcBorders>
              <w:top w:val="single" w:sz="4" w:space="0" w:color="000000"/>
              <w:left w:val="single" w:sz="4" w:space="0" w:color="000000"/>
              <w:bottom w:val="single" w:sz="4" w:space="0" w:color="000000"/>
              <w:right w:val="single" w:sz="4" w:space="0" w:color="000000"/>
            </w:tcBorders>
            <w:shd w:val="clear" w:color="auto" w:fill="70AD47"/>
            <w:tcMar>
              <w:top w:w="15" w:type="dxa"/>
              <w:left w:w="15" w:type="dxa"/>
              <w:bottom w:w="0" w:type="dxa"/>
              <w:right w:w="15" w:type="dxa"/>
            </w:tcMar>
            <w:vAlign w:val="center"/>
            <w:hideMark/>
          </w:tcPr>
          <w:p w:rsidR="00D21163" w:rsidRPr="00D21163" w:rsidRDefault="00773B9A" w:rsidP="00773B9A">
            <w:pPr>
              <w:spacing w:after="0" w:line="240" w:lineRule="auto"/>
              <w:jc w:val="center"/>
              <w:textAlignment w:val="center"/>
              <w:rPr>
                <w:rFonts w:ascii="Helvetica" w:eastAsia="Times New Roman" w:hAnsi="Helvetica" w:cs="Helvetica"/>
                <w:sz w:val="24"/>
                <w:szCs w:val="24"/>
              </w:rPr>
            </w:pPr>
            <w:r w:rsidRPr="00D21163">
              <w:rPr>
                <w:rFonts w:ascii="Arial" w:eastAsia="Times New Roman" w:hAnsi="Arial" w:cs="Arial"/>
                <w:color w:val="000000"/>
                <w:kern w:val="24"/>
                <w:sz w:val="24"/>
                <w:szCs w:val="24"/>
              </w:rPr>
              <w:t>≥</w:t>
            </w:r>
            <w:r w:rsidRPr="00D21163">
              <w:rPr>
                <w:rFonts w:ascii="Helvetica" w:eastAsia="Times New Roman" w:hAnsi="Helvetica" w:cs="Helvetica"/>
                <w:color w:val="000000"/>
                <w:kern w:val="24"/>
                <w:sz w:val="24"/>
                <w:szCs w:val="24"/>
              </w:rPr>
              <w:t>90th</w:t>
            </w:r>
            <w:r w:rsidRPr="00D21163">
              <w:rPr>
                <w:rFonts w:ascii="Helvetica" w:eastAsia="Times New Roman" w:hAnsi="Helvetica" w:cs="Helvetica"/>
                <w:color w:val="000000"/>
                <w:kern w:val="24"/>
                <w:sz w:val="24"/>
                <w:szCs w:val="24"/>
                <w:vertAlign w:val="superscript"/>
              </w:rPr>
              <w:t>6</w:t>
            </w:r>
          </w:p>
        </w:tc>
      </w:tr>
    </w:tbl>
    <w:p w:rsidR="00773B9A" w:rsidRDefault="00773B9A" w:rsidP="00773B9A">
      <w:pPr>
        <w:tabs>
          <w:tab w:val="left" w:pos="720"/>
        </w:tabs>
        <w:jc w:val="left"/>
        <w:rPr>
          <w:rFonts w:ascii="Helvetica" w:hAnsi="Helvetica"/>
          <w:sz w:val="24"/>
          <w:szCs w:val="24"/>
        </w:rPr>
      </w:pPr>
    </w:p>
    <w:p w:rsidR="00EB6DEB" w:rsidRPr="00773B9A" w:rsidRDefault="00DB524A" w:rsidP="00773B9A">
      <w:pPr>
        <w:tabs>
          <w:tab w:val="left" w:pos="720"/>
        </w:tabs>
        <w:jc w:val="left"/>
        <w:rPr>
          <w:rFonts w:ascii="Helvetica" w:hAnsi="Helvetica"/>
          <w:sz w:val="24"/>
          <w:szCs w:val="24"/>
        </w:rPr>
      </w:pPr>
      <w:r w:rsidRPr="00DB524A">
        <w:rPr>
          <w:rFonts w:ascii="Helvetica" w:hAnsi="Helvetica"/>
          <w:sz w:val="24"/>
          <w:szCs w:val="24"/>
        </w:rPr>
        <w:t>Note: Data are not provided for: CG-CAHPS, Depression Remission and Response, Depression Remission, Depression Response, Depression Screening and Follow-up.</w:t>
      </w:r>
    </w:p>
    <w:p w:rsidR="009B7197" w:rsidRDefault="009B7197" w:rsidP="00CA1C68">
      <w:pPr>
        <w:pStyle w:val="Heading1"/>
        <w:tabs>
          <w:tab w:val="left" w:pos="2296"/>
        </w:tabs>
      </w:pPr>
      <w:r w:rsidRPr="00A35C58">
        <w:t xml:space="preserve">Slide </w:t>
      </w:r>
      <w:r w:rsidR="00010CD9">
        <w:t>4</w:t>
      </w:r>
      <w:r w:rsidR="00773B9A">
        <w:t>5</w:t>
      </w:r>
    </w:p>
    <w:p w:rsidR="009B7197" w:rsidRDefault="00773B9A" w:rsidP="00CA1C68">
      <w:pPr>
        <w:pStyle w:val="Heading2"/>
      </w:pPr>
      <w:r w:rsidRPr="00773B9A">
        <w:t>Core Measure Performance</w:t>
      </w:r>
    </w:p>
    <w:tbl>
      <w:tblPr>
        <w:tblW w:w="4942" w:type="pct"/>
        <w:tblCellMar>
          <w:left w:w="0" w:type="dxa"/>
          <w:right w:w="0" w:type="dxa"/>
        </w:tblCellMar>
        <w:tblLook w:val="0600" w:firstRow="0" w:lastRow="0" w:firstColumn="0" w:lastColumn="0" w:noHBand="1" w:noVBand="1"/>
      </w:tblPr>
      <w:tblGrid>
        <w:gridCol w:w="4711"/>
        <w:gridCol w:w="836"/>
        <w:gridCol w:w="824"/>
        <w:gridCol w:w="717"/>
        <w:gridCol w:w="783"/>
        <w:gridCol w:w="577"/>
        <w:gridCol w:w="112"/>
        <w:gridCol w:w="711"/>
      </w:tblGrid>
      <w:tr w:rsidR="00DB524A" w:rsidRPr="00DB524A" w:rsidTr="00DB524A">
        <w:trPr>
          <w:trHeight w:val="399"/>
        </w:trPr>
        <w:tc>
          <w:tcPr>
            <w:tcW w:w="2542" w:type="pct"/>
            <w:vMerge w:val="restart"/>
            <w:tcBorders>
              <w:top w:val="single" w:sz="8" w:space="0" w:color="000000"/>
              <w:left w:val="single" w:sz="8" w:space="0" w:color="000000"/>
              <w:bottom w:val="single" w:sz="8" w:space="0" w:color="000000"/>
              <w:right w:val="single" w:sz="8" w:space="0" w:color="000000"/>
            </w:tcBorders>
            <w:shd w:val="clear" w:color="auto" w:fill="002060"/>
            <w:tcMar>
              <w:top w:w="7" w:type="dxa"/>
              <w:left w:w="7" w:type="dxa"/>
              <w:bottom w:w="0" w:type="dxa"/>
              <w:right w:w="7" w:type="dxa"/>
            </w:tcMar>
            <w:vAlign w:val="bottom"/>
            <w:hideMark/>
          </w:tcPr>
          <w:p w:rsidR="00DB524A" w:rsidRPr="00DB524A" w:rsidRDefault="00DB524A" w:rsidP="00773B9A">
            <w:pPr>
              <w:spacing w:after="0" w:line="240" w:lineRule="auto"/>
              <w:jc w:val="left"/>
              <w:textAlignment w:val="bottom"/>
              <w:rPr>
                <w:rFonts w:ascii="Helvetica" w:eastAsia="Times New Roman" w:hAnsi="Helvetica" w:cs="Helvetica"/>
                <w:sz w:val="24"/>
                <w:szCs w:val="24"/>
              </w:rPr>
            </w:pPr>
            <w:r w:rsidRPr="00DB524A">
              <w:rPr>
                <w:rFonts w:ascii="Helvetica" w:eastAsia="Times New Roman" w:hAnsi="Helvetica" w:cs="Helvetica"/>
                <w:b/>
                <w:bCs/>
                <w:color w:val="FFFFFF"/>
                <w:kern w:val="24"/>
                <w:sz w:val="24"/>
                <w:szCs w:val="24"/>
              </w:rPr>
              <w:t>Measure</w:t>
            </w:r>
          </w:p>
        </w:tc>
        <w:tc>
          <w:tcPr>
            <w:tcW w:w="1284" w:type="pct"/>
            <w:gridSpan w:val="3"/>
            <w:tcBorders>
              <w:top w:val="single" w:sz="8" w:space="0" w:color="000000"/>
              <w:left w:val="single" w:sz="8" w:space="0" w:color="000000"/>
              <w:bottom w:val="single" w:sz="8" w:space="0" w:color="000000"/>
              <w:right w:val="single" w:sz="8" w:space="0" w:color="000000"/>
            </w:tcBorders>
            <w:shd w:val="clear" w:color="auto" w:fill="002060"/>
            <w:tcMar>
              <w:top w:w="7" w:type="dxa"/>
              <w:left w:w="7" w:type="dxa"/>
              <w:bottom w:w="0" w:type="dxa"/>
              <w:right w:w="7" w:type="dxa"/>
            </w:tcMar>
            <w:vAlign w:val="center"/>
            <w:hideMark/>
          </w:tcPr>
          <w:p w:rsidR="00DB524A" w:rsidRPr="00DB524A" w:rsidRDefault="00DB524A" w:rsidP="00773B9A">
            <w:pPr>
              <w:spacing w:after="0" w:line="240" w:lineRule="auto"/>
              <w:jc w:val="center"/>
              <w:textAlignment w:val="bottom"/>
              <w:rPr>
                <w:rFonts w:ascii="Helvetica" w:eastAsia="Times New Roman" w:hAnsi="Helvetica" w:cs="Helvetica"/>
                <w:sz w:val="24"/>
                <w:szCs w:val="24"/>
              </w:rPr>
            </w:pPr>
            <w:r w:rsidRPr="00DB524A">
              <w:rPr>
                <w:rFonts w:ascii="Helvetica" w:eastAsia="Times New Roman" w:hAnsi="Helvetica" w:cs="Helvetica"/>
                <w:b/>
                <w:bCs/>
                <w:color w:val="FFFFFF"/>
                <w:kern w:val="24"/>
                <w:sz w:val="24"/>
                <w:szCs w:val="24"/>
              </w:rPr>
              <w:t>Commercial</w:t>
            </w:r>
          </w:p>
        </w:tc>
        <w:tc>
          <w:tcPr>
            <w:tcW w:w="1174" w:type="pct"/>
            <w:gridSpan w:val="4"/>
            <w:tcBorders>
              <w:top w:val="single" w:sz="8" w:space="0" w:color="000000"/>
              <w:left w:val="single" w:sz="8" w:space="0" w:color="000000"/>
              <w:bottom w:val="single" w:sz="8" w:space="0" w:color="000000"/>
              <w:right w:val="single" w:sz="8" w:space="0" w:color="000000"/>
            </w:tcBorders>
            <w:shd w:val="clear" w:color="auto" w:fill="023467"/>
            <w:tcMar>
              <w:top w:w="7" w:type="dxa"/>
              <w:left w:w="7" w:type="dxa"/>
              <w:bottom w:w="0" w:type="dxa"/>
              <w:right w:w="7" w:type="dxa"/>
            </w:tcMar>
            <w:vAlign w:val="center"/>
            <w:hideMark/>
          </w:tcPr>
          <w:p w:rsidR="00DB524A" w:rsidRPr="00DB524A" w:rsidRDefault="00DB524A" w:rsidP="00773B9A">
            <w:pPr>
              <w:spacing w:after="0" w:line="240" w:lineRule="auto"/>
              <w:jc w:val="center"/>
              <w:textAlignment w:val="bottom"/>
              <w:rPr>
                <w:rFonts w:ascii="Helvetica" w:eastAsia="Times New Roman" w:hAnsi="Helvetica" w:cs="Helvetica"/>
                <w:sz w:val="24"/>
                <w:szCs w:val="24"/>
              </w:rPr>
            </w:pPr>
            <w:r w:rsidRPr="00DB524A">
              <w:rPr>
                <w:rFonts w:ascii="Helvetica" w:eastAsia="Times New Roman" w:hAnsi="Helvetica" w:cs="Helvetica"/>
                <w:b/>
                <w:bCs/>
                <w:color w:val="FFFFFF"/>
                <w:kern w:val="24"/>
                <w:sz w:val="24"/>
                <w:szCs w:val="24"/>
              </w:rPr>
              <w:t>MassHealth</w:t>
            </w:r>
          </w:p>
        </w:tc>
      </w:tr>
      <w:tr w:rsidR="00DB524A" w:rsidRPr="00DB524A" w:rsidTr="002E4CFA">
        <w:trPr>
          <w:trHeight w:val="463"/>
        </w:trPr>
        <w:tc>
          <w:tcPr>
            <w:tcW w:w="2542" w:type="pct"/>
            <w:vMerge/>
            <w:tcBorders>
              <w:top w:val="single" w:sz="8" w:space="0" w:color="000000"/>
              <w:left w:val="single" w:sz="8" w:space="0" w:color="000000"/>
              <w:bottom w:val="single" w:sz="8" w:space="0" w:color="000000"/>
              <w:right w:val="single" w:sz="8" w:space="0" w:color="000000"/>
            </w:tcBorders>
            <w:vAlign w:val="center"/>
            <w:hideMark/>
          </w:tcPr>
          <w:p w:rsidR="00DB524A" w:rsidRPr="00DB524A" w:rsidRDefault="00DB524A" w:rsidP="00773B9A">
            <w:pPr>
              <w:spacing w:after="0" w:line="240" w:lineRule="auto"/>
              <w:jc w:val="left"/>
              <w:rPr>
                <w:rFonts w:ascii="Helvetica" w:eastAsia="Times New Roman" w:hAnsi="Helvetica" w:cs="Helvetica"/>
                <w:sz w:val="24"/>
                <w:szCs w:val="24"/>
              </w:rPr>
            </w:pPr>
          </w:p>
        </w:tc>
        <w:tc>
          <w:tcPr>
            <w:tcW w:w="452" w:type="pct"/>
            <w:tcBorders>
              <w:top w:val="single" w:sz="8" w:space="0" w:color="000000"/>
              <w:left w:val="single" w:sz="8" w:space="0" w:color="000000"/>
              <w:bottom w:val="single" w:sz="8" w:space="0" w:color="000000"/>
              <w:right w:val="single" w:sz="8" w:space="0" w:color="000000"/>
            </w:tcBorders>
            <w:shd w:val="clear" w:color="auto" w:fill="002060"/>
            <w:tcMar>
              <w:top w:w="7" w:type="dxa"/>
              <w:left w:w="7" w:type="dxa"/>
              <w:bottom w:w="0" w:type="dxa"/>
              <w:right w:w="7" w:type="dxa"/>
            </w:tcMar>
            <w:vAlign w:val="center"/>
            <w:hideMark/>
          </w:tcPr>
          <w:p w:rsidR="00DB524A" w:rsidRPr="00DB524A" w:rsidRDefault="00DB524A" w:rsidP="00773B9A">
            <w:pPr>
              <w:spacing w:after="0" w:line="240" w:lineRule="auto"/>
              <w:jc w:val="center"/>
              <w:textAlignment w:val="bottom"/>
              <w:rPr>
                <w:rFonts w:ascii="Helvetica" w:eastAsia="Times New Roman" w:hAnsi="Helvetica" w:cs="Helvetica"/>
                <w:sz w:val="24"/>
                <w:szCs w:val="24"/>
              </w:rPr>
            </w:pPr>
            <w:r w:rsidRPr="00DB524A">
              <w:rPr>
                <w:rFonts w:ascii="Helvetica" w:eastAsia="Times New Roman" w:hAnsi="Helvetica" w:cs="Helvetica"/>
                <w:b/>
                <w:bCs/>
                <w:color w:val="FFFFFF"/>
                <w:kern w:val="24"/>
                <w:sz w:val="24"/>
                <w:szCs w:val="24"/>
              </w:rPr>
              <w:t>2016</w:t>
            </w:r>
          </w:p>
        </w:tc>
        <w:tc>
          <w:tcPr>
            <w:tcW w:w="445" w:type="pct"/>
            <w:tcBorders>
              <w:top w:val="single" w:sz="8" w:space="0" w:color="000000"/>
              <w:left w:val="single" w:sz="8" w:space="0" w:color="000000"/>
              <w:bottom w:val="single" w:sz="8" w:space="0" w:color="000000"/>
              <w:right w:val="single" w:sz="8" w:space="0" w:color="000000"/>
            </w:tcBorders>
            <w:shd w:val="clear" w:color="auto" w:fill="002060"/>
            <w:tcMar>
              <w:top w:w="7" w:type="dxa"/>
              <w:left w:w="7" w:type="dxa"/>
              <w:bottom w:w="0" w:type="dxa"/>
              <w:right w:w="7" w:type="dxa"/>
            </w:tcMar>
            <w:vAlign w:val="center"/>
            <w:hideMark/>
          </w:tcPr>
          <w:p w:rsidR="00DB524A" w:rsidRPr="00DB524A" w:rsidRDefault="00DB524A" w:rsidP="00773B9A">
            <w:pPr>
              <w:spacing w:after="0" w:line="240" w:lineRule="auto"/>
              <w:jc w:val="center"/>
              <w:textAlignment w:val="bottom"/>
              <w:rPr>
                <w:rFonts w:ascii="Helvetica" w:eastAsia="Times New Roman" w:hAnsi="Helvetica" w:cs="Helvetica"/>
                <w:sz w:val="24"/>
                <w:szCs w:val="24"/>
              </w:rPr>
            </w:pPr>
            <w:r w:rsidRPr="00DB524A">
              <w:rPr>
                <w:rFonts w:ascii="Helvetica" w:eastAsia="Times New Roman" w:hAnsi="Helvetica" w:cs="Helvetica"/>
                <w:b/>
                <w:bCs/>
                <w:color w:val="FFFFFF"/>
                <w:kern w:val="24"/>
                <w:sz w:val="24"/>
                <w:szCs w:val="24"/>
              </w:rPr>
              <w:t>2017</w:t>
            </w:r>
          </w:p>
        </w:tc>
        <w:tc>
          <w:tcPr>
            <w:tcW w:w="387" w:type="pct"/>
            <w:tcBorders>
              <w:top w:val="single" w:sz="8" w:space="0" w:color="000000"/>
              <w:left w:val="single" w:sz="8" w:space="0" w:color="000000"/>
              <w:bottom w:val="single" w:sz="8" w:space="0" w:color="000000"/>
              <w:right w:val="single" w:sz="8" w:space="0" w:color="000000"/>
            </w:tcBorders>
            <w:shd w:val="clear" w:color="auto" w:fill="002060"/>
            <w:tcMar>
              <w:top w:w="7" w:type="dxa"/>
              <w:left w:w="7" w:type="dxa"/>
              <w:bottom w:w="0" w:type="dxa"/>
              <w:right w:w="7" w:type="dxa"/>
            </w:tcMar>
            <w:vAlign w:val="center"/>
            <w:hideMark/>
          </w:tcPr>
          <w:p w:rsidR="00DB524A" w:rsidRPr="00DB524A" w:rsidRDefault="00DB524A" w:rsidP="00773B9A">
            <w:pPr>
              <w:spacing w:after="0" w:line="240" w:lineRule="auto"/>
              <w:jc w:val="center"/>
              <w:textAlignment w:val="bottom"/>
              <w:rPr>
                <w:rFonts w:ascii="Helvetica" w:eastAsia="Times New Roman" w:hAnsi="Helvetica" w:cs="Helvetica"/>
                <w:sz w:val="24"/>
                <w:szCs w:val="24"/>
              </w:rPr>
            </w:pPr>
            <w:r w:rsidRPr="00DB524A">
              <w:rPr>
                <w:rFonts w:ascii="Helvetica" w:eastAsia="Times New Roman" w:hAnsi="Helvetica" w:cs="Helvetica"/>
                <w:b/>
                <w:bCs/>
                <w:color w:val="FFFFFF"/>
                <w:kern w:val="24"/>
                <w:sz w:val="24"/>
                <w:szCs w:val="24"/>
              </w:rPr>
              <w:t>2018</w:t>
            </w:r>
          </w:p>
        </w:tc>
        <w:tc>
          <w:tcPr>
            <w:tcW w:w="423" w:type="pct"/>
            <w:tcBorders>
              <w:top w:val="single" w:sz="8" w:space="0" w:color="000000"/>
              <w:left w:val="single" w:sz="8" w:space="0" w:color="000000"/>
              <w:bottom w:val="single" w:sz="8" w:space="0" w:color="000000"/>
              <w:right w:val="single" w:sz="8" w:space="0" w:color="000000"/>
            </w:tcBorders>
            <w:shd w:val="clear" w:color="auto" w:fill="023467"/>
            <w:tcMar>
              <w:top w:w="7" w:type="dxa"/>
              <w:left w:w="7" w:type="dxa"/>
              <w:bottom w:w="0" w:type="dxa"/>
              <w:right w:w="7" w:type="dxa"/>
            </w:tcMar>
            <w:vAlign w:val="center"/>
            <w:hideMark/>
          </w:tcPr>
          <w:p w:rsidR="00DB524A" w:rsidRPr="00DB524A" w:rsidRDefault="00DB524A" w:rsidP="00773B9A">
            <w:pPr>
              <w:spacing w:after="0" w:line="240" w:lineRule="auto"/>
              <w:jc w:val="center"/>
              <w:textAlignment w:val="bottom"/>
              <w:rPr>
                <w:rFonts w:ascii="Helvetica" w:eastAsia="Times New Roman" w:hAnsi="Helvetica" w:cs="Helvetica"/>
                <w:sz w:val="24"/>
                <w:szCs w:val="24"/>
              </w:rPr>
            </w:pPr>
            <w:r w:rsidRPr="00DB524A">
              <w:rPr>
                <w:rFonts w:ascii="Helvetica" w:eastAsia="Times New Roman" w:hAnsi="Helvetica" w:cs="Helvetica"/>
                <w:b/>
                <w:bCs/>
                <w:color w:val="FFFFFF"/>
                <w:kern w:val="24"/>
                <w:sz w:val="24"/>
                <w:szCs w:val="24"/>
              </w:rPr>
              <w:t>2016</w:t>
            </w:r>
          </w:p>
        </w:tc>
        <w:tc>
          <w:tcPr>
            <w:tcW w:w="306" w:type="pct"/>
            <w:tcBorders>
              <w:top w:val="single" w:sz="8" w:space="0" w:color="000000"/>
              <w:left w:val="single" w:sz="8" w:space="0" w:color="000000"/>
              <w:bottom w:val="single" w:sz="8" w:space="0" w:color="000000"/>
              <w:right w:val="single" w:sz="8" w:space="0" w:color="000000"/>
            </w:tcBorders>
            <w:shd w:val="clear" w:color="auto" w:fill="023467"/>
            <w:tcMar>
              <w:top w:w="7" w:type="dxa"/>
              <w:left w:w="7" w:type="dxa"/>
              <w:bottom w:w="0" w:type="dxa"/>
              <w:right w:w="7" w:type="dxa"/>
            </w:tcMar>
            <w:vAlign w:val="center"/>
            <w:hideMark/>
          </w:tcPr>
          <w:p w:rsidR="00DB524A" w:rsidRPr="00DB524A" w:rsidRDefault="00DB524A" w:rsidP="00773B9A">
            <w:pPr>
              <w:spacing w:after="0" w:line="240" w:lineRule="auto"/>
              <w:jc w:val="center"/>
              <w:textAlignment w:val="bottom"/>
              <w:rPr>
                <w:rFonts w:ascii="Helvetica" w:eastAsia="Times New Roman" w:hAnsi="Helvetica" w:cs="Helvetica"/>
                <w:sz w:val="24"/>
                <w:szCs w:val="24"/>
              </w:rPr>
            </w:pPr>
            <w:r w:rsidRPr="00DB524A">
              <w:rPr>
                <w:rFonts w:ascii="Helvetica" w:eastAsia="Times New Roman" w:hAnsi="Helvetica" w:cs="Helvetica"/>
                <w:b/>
                <w:bCs/>
                <w:color w:val="FFFFFF"/>
                <w:kern w:val="24"/>
                <w:sz w:val="24"/>
                <w:szCs w:val="24"/>
              </w:rPr>
              <w:t>2017</w:t>
            </w:r>
          </w:p>
        </w:tc>
        <w:tc>
          <w:tcPr>
            <w:tcW w:w="445" w:type="pct"/>
            <w:gridSpan w:val="2"/>
            <w:tcBorders>
              <w:top w:val="single" w:sz="8" w:space="0" w:color="000000"/>
              <w:left w:val="single" w:sz="8" w:space="0" w:color="000000"/>
              <w:bottom w:val="single" w:sz="8" w:space="0" w:color="000000"/>
              <w:right w:val="single" w:sz="8" w:space="0" w:color="000000"/>
            </w:tcBorders>
            <w:shd w:val="clear" w:color="auto" w:fill="023467"/>
            <w:tcMar>
              <w:top w:w="7" w:type="dxa"/>
              <w:left w:w="7" w:type="dxa"/>
              <w:bottom w:w="0" w:type="dxa"/>
              <w:right w:w="7" w:type="dxa"/>
            </w:tcMar>
            <w:vAlign w:val="center"/>
            <w:hideMark/>
          </w:tcPr>
          <w:p w:rsidR="00DB524A" w:rsidRPr="00DB524A" w:rsidRDefault="00DB524A" w:rsidP="00773B9A">
            <w:pPr>
              <w:spacing w:after="0" w:line="240" w:lineRule="auto"/>
              <w:jc w:val="left"/>
              <w:rPr>
                <w:rFonts w:ascii="Helvetica" w:eastAsia="Times New Roman" w:hAnsi="Helvetica" w:cs="Helvetica"/>
                <w:sz w:val="24"/>
                <w:szCs w:val="24"/>
              </w:rPr>
            </w:pPr>
          </w:p>
        </w:tc>
      </w:tr>
      <w:tr w:rsidR="00DB524A" w:rsidRPr="00DB524A" w:rsidTr="002E4CFA">
        <w:trPr>
          <w:trHeight w:val="266"/>
        </w:trPr>
        <w:tc>
          <w:tcPr>
            <w:tcW w:w="2542" w:type="pct"/>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hideMark/>
          </w:tcPr>
          <w:p w:rsidR="00DB524A" w:rsidRPr="00DB524A" w:rsidRDefault="00DB524A" w:rsidP="00773B9A">
            <w:pPr>
              <w:spacing w:after="0" w:line="266" w:lineRule="atLeast"/>
              <w:jc w:val="left"/>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Asthma Medication Ratio</w:t>
            </w:r>
          </w:p>
        </w:tc>
        <w:tc>
          <w:tcPr>
            <w:tcW w:w="452" w:type="pct"/>
            <w:tcBorders>
              <w:top w:val="single" w:sz="8" w:space="0" w:color="000000"/>
              <w:left w:val="single" w:sz="8" w:space="0" w:color="000000"/>
              <w:bottom w:val="single" w:sz="8" w:space="0" w:color="000000"/>
              <w:right w:val="single" w:sz="8" w:space="0" w:color="000000"/>
            </w:tcBorders>
            <w:shd w:val="clear" w:color="auto" w:fill="F4CFCC"/>
            <w:tcMar>
              <w:top w:w="7" w:type="dxa"/>
              <w:left w:w="7" w:type="dxa"/>
              <w:bottom w:w="0" w:type="dxa"/>
              <w:right w:w="7" w:type="dxa"/>
            </w:tcMar>
            <w:vAlign w:val="center"/>
            <w:hideMark/>
          </w:tcPr>
          <w:p w:rsidR="00DB524A" w:rsidRPr="00DB524A" w:rsidRDefault="00DB524A" w:rsidP="00773B9A">
            <w:pPr>
              <w:spacing w:after="0" w:line="266" w:lineRule="atLeast"/>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76.6</w:t>
            </w:r>
            <w:r w:rsidR="00283D08" w:rsidRPr="00702365">
              <w:rPr>
                <w:rFonts w:ascii="Helvetica" w:eastAsia="Times New Roman" w:hAnsi="Helvetica" w:cs="Helvetica"/>
                <w:color w:val="000000"/>
                <w:kern w:val="24"/>
                <w:sz w:val="24"/>
                <w:szCs w:val="24"/>
                <w:vertAlign w:val="superscript"/>
              </w:rPr>
              <w:t>3</w:t>
            </w:r>
          </w:p>
        </w:tc>
        <w:tc>
          <w:tcPr>
            <w:tcW w:w="445" w:type="pct"/>
            <w:tcBorders>
              <w:top w:val="single" w:sz="8" w:space="0" w:color="000000"/>
              <w:left w:val="single" w:sz="8" w:space="0" w:color="000000"/>
              <w:bottom w:val="single" w:sz="8" w:space="0" w:color="000000"/>
              <w:right w:val="single" w:sz="8" w:space="0" w:color="000000"/>
            </w:tcBorders>
            <w:shd w:val="clear" w:color="auto" w:fill="E79791"/>
            <w:tcMar>
              <w:top w:w="7" w:type="dxa"/>
              <w:left w:w="7" w:type="dxa"/>
              <w:bottom w:w="0" w:type="dxa"/>
              <w:right w:w="7" w:type="dxa"/>
            </w:tcMar>
            <w:vAlign w:val="center"/>
            <w:hideMark/>
          </w:tcPr>
          <w:p w:rsidR="00DB524A" w:rsidRPr="00DB524A" w:rsidRDefault="00DB524A" w:rsidP="00773B9A">
            <w:pPr>
              <w:spacing w:after="0" w:line="266" w:lineRule="atLeast"/>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76.1</w:t>
            </w:r>
            <w:r w:rsidR="00283D08" w:rsidRPr="00702365">
              <w:rPr>
                <w:rFonts w:ascii="Helvetica" w:eastAsia="Times New Roman" w:hAnsi="Helvetica" w:cs="Helvetica"/>
                <w:color w:val="000000"/>
                <w:kern w:val="24"/>
                <w:sz w:val="24"/>
                <w:szCs w:val="24"/>
                <w:vertAlign w:val="superscript"/>
              </w:rPr>
              <w:t>2</w:t>
            </w:r>
          </w:p>
        </w:tc>
        <w:tc>
          <w:tcPr>
            <w:tcW w:w="387" w:type="pct"/>
            <w:tcBorders>
              <w:top w:val="single" w:sz="8" w:space="0" w:color="000000"/>
              <w:left w:val="single" w:sz="8" w:space="0" w:color="000000"/>
              <w:bottom w:val="single" w:sz="8" w:space="0" w:color="000000"/>
              <w:right w:val="single" w:sz="8" w:space="0" w:color="000000"/>
            </w:tcBorders>
            <w:shd w:val="clear" w:color="auto" w:fill="E79791"/>
            <w:tcMar>
              <w:top w:w="7" w:type="dxa"/>
              <w:left w:w="7" w:type="dxa"/>
              <w:bottom w:w="0" w:type="dxa"/>
              <w:right w:w="7" w:type="dxa"/>
            </w:tcMar>
            <w:vAlign w:val="center"/>
            <w:hideMark/>
          </w:tcPr>
          <w:p w:rsidR="00DB524A" w:rsidRPr="00DB524A" w:rsidRDefault="00DB524A" w:rsidP="00773B9A">
            <w:pPr>
              <w:spacing w:after="0" w:line="266" w:lineRule="atLeast"/>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75.5</w:t>
            </w:r>
            <w:r w:rsidR="00283D08" w:rsidRPr="00702365">
              <w:rPr>
                <w:rFonts w:ascii="Helvetica" w:eastAsia="Times New Roman" w:hAnsi="Helvetica" w:cs="Helvetica"/>
                <w:color w:val="000000"/>
                <w:kern w:val="24"/>
                <w:sz w:val="24"/>
                <w:szCs w:val="24"/>
                <w:vertAlign w:val="superscript"/>
              </w:rPr>
              <w:t>2</w:t>
            </w:r>
          </w:p>
        </w:tc>
        <w:tc>
          <w:tcPr>
            <w:tcW w:w="423" w:type="pct"/>
            <w:tcBorders>
              <w:top w:val="single" w:sz="8" w:space="0" w:color="000000"/>
              <w:left w:val="single" w:sz="8" w:space="0" w:color="000000"/>
              <w:bottom w:val="single" w:sz="8" w:space="0" w:color="000000"/>
              <w:right w:val="single" w:sz="8" w:space="0" w:color="000000"/>
            </w:tcBorders>
            <w:shd w:val="clear" w:color="auto" w:fill="E79791"/>
            <w:tcMar>
              <w:top w:w="7" w:type="dxa"/>
              <w:left w:w="7" w:type="dxa"/>
              <w:bottom w:w="0" w:type="dxa"/>
              <w:right w:w="7" w:type="dxa"/>
            </w:tcMar>
            <w:vAlign w:val="center"/>
            <w:hideMark/>
          </w:tcPr>
          <w:p w:rsidR="00DB524A" w:rsidRPr="00DB524A" w:rsidRDefault="00DB524A" w:rsidP="00773B9A">
            <w:pPr>
              <w:spacing w:after="0" w:line="266" w:lineRule="atLeast"/>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52.0</w:t>
            </w:r>
            <w:r w:rsidR="00283D08" w:rsidRPr="00702365">
              <w:rPr>
                <w:rFonts w:ascii="Helvetica" w:eastAsia="Times New Roman" w:hAnsi="Helvetica" w:cs="Helvetica"/>
                <w:color w:val="000000"/>
                <w:kern w:val="24"/>
                <w:sz w:val="24"/>
                <w:szCs w:val="24"/>
                <w:vertAlign w:val="superscript"/>
              </w:rPr>
              <w:t>2</w:t>
            </w:r>
          </w:p>
        </w:tc>
        <w:tc>
          <w:tcPr>
            <w:tcW w:w="306" w:type="pct"/>
            <w:tcBorders>
              <w:top w:val="single" w:sz="8" w:space="0" w:color="000000"/>
              <w:left w:val="single" w:sz="8" w:space="0" w:color="000000"/>
              <w:bottom w:val="single" w:sz="8" w:space="0" w:color="000000"/>
              <w:right w:val="single" w:sz="8" w:space="0" w:color="000000"/>
            </w:tcBorders>
            <w:shd w:val="clear" w:color="auto" w:fill="F4CFCC"/>
            <w:tcMar>
              <w:top w:w="7" w:type="dxa"/>
              <w:left w:w="7" w:type="dxa"/>
              <w:bottom w:w="0" w:type="dxa"/>
              <w:right w:w="7" w:type="dxa"/>
            </w:tcMar>
            <w:vAlign w:val="center"/>
            <w:hideMark/>
          </w:tcPr>
          <w:p w:rsidR="00DB524A" w:rsidRPr="00DB524A" w:rsidRDefault="00DB524A" w:rsidP="00773B9A">
            <w:pPr>
              <w:spacing w:after="0" w:line="266" w:lineRule="atLeast"/>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57.8</w:t>
            </w:r>
            <w:r w:rsidR="00283D08" w:rsidRPr="00702365">
              <w:rPr>
                <w:rFonts w:ascii="Helvetica" w:eastAsia="Times New Roman" w:hAnsi="Helvetica" w:cs="Helvetica"/>
                <w:color w:val="000000"/>
                <w:kern w:val="24"/>
                <w:sz w:val="24"/>
                <w:szCs w:val="24"/>
                <w:vertAlign w:val="superscript"/>
              </w:rPr>
              <w:t>3</w:t>
            </w:r>
          </w:p>
        </w:tc>
        <w:tc>
          <w:tcPr>
            <w:tcW w:w="445" w:type="pct"/>
            <w:gridSpan w:val="2"/>
            <w:tcBorders>
              <w:top w:val="single" w:sz="8" w:space="0" w:color="000000"/>
              <w:left w:val="single" w:sz="8" w:space="0" w:color="000000"/>
              <w:bottom w:val="single" w:sz="8" w:space="0" w:color="000000"/>
              <w:right w:val="single" w:sz="8" w:space="0" w:color="000000"/>
            </w:tcBorders>
            <w:shd w:val="clear" w:color="auto" w:fill="F4CFCC"/>
            <w:tcMar>
              <w:top w:w="7" w:type="dxa"/>
              <w:left w:w="7" w:type="dxa"/>
              <w:bottom w:w="0" w:type="dxa"/>
              <w:right w:w="7" w:type="dxa"/>
            </w:tcMar>
            <w:vAlign w:val="center"/>
            <w:hideMark/>
          </w:tcPr>
          <w:p w:rsidR="00DB524A" w:rsidRPr="00DB524A" w:rsidRDefault="002E4CFA" w:rsidP="00773B9A">
            <w:pPr>
              <w:spacing w:after="0" w:line="240" w:lineRule="auto"/>
              <w:jc w:val="left"/>
              <w:rPr>
                <w:rFonts w:ascii="Helvetica" w:eastAsia="Times New Roman" w:hAnsi="Helvetica" w:cs="Helvetica"/>
                <w:sz w:val="24"/>
                <w:szCs w:val="24"/>
              </w:rPr>
            </w:pPr>
            <w:r>
              <w:rPr>
                <w:rFonts w:ascii="Helvetica" w:eastAsia="Times New Roman" w:hAnsi="Helvetica" w:cs="Helvetica"/>
                <w:sz w:val="24"/>
                <w:szCs w:val="24"/>
              </w:rPr>
              <w:t>58.7</w:t>
            </w:r>
            <w:r>
              <w:rPr>
                <w:rFonts w:ascii="Helvetica" w:eastAsia="Times New Roman" w:hAnsi="Helvetica" w:cs="Helvetica"/>
                <w:color w:val="000000"/>
                <w:kern w:val="24"/>
                <w:sz w:val="24"/>
                <w:szCs w:val="24"/>
                <w:vertAlign w:val="superscript"/>
              </w:rPr>
              <w:t>3</w:t>
            </w:r>
          </w:p>
        </w:tc>
      </w:tr>
      <w:tr w:rsidR="00DB524A" w:rsidRPr="00DB524A" w:rsidTr="002E4CFA">
        <w:trPr>
          <w:trHeight w:val="378"/>
        </w:trPr>
        <w:tc>
          <w:tcPr>
            <w:tcW w:w="2542" w:type="pct"/>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hideMark/>
          </w:tcPr>
          <w:p w:rsidR="00DB524A" w:rsidRPr="00DB524A" w:rsidRDefault="00DB524A" w:rsidP="00773B9A">
            <w:pPr>
              <w:spacing w:after="0" w:line="240" w:lineRule="auto"/>
              <w:jc w:val="left"/>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Breast Cancer Screening</w:t>
            </w:r>
          </w:p>
        </w:tc>
        <w:tc>
          <w:tcPr>
            <w:tcW w:w="452"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83.8</w:t>
            </w:r>
            <w:r w:rsidR="002E4CFA" w:rsidRPr="00D21163">
              <w:rPr>
                <w:rFonts w:ascii="Helvetica" w:eastAsia="Times New Roman" w:hAnsi="Helvetica" w:cs="Helvetica"/>
                <w:color w:val="000000"/>
                <w:kern w:val="24"/>
                <w:sz w:val="24"/>
                <w:szCs w:val="24"/>
                <w:vertAlign w:val="superscript"/>
              </w:rPr>
              <w:t>6</w:t>
            </w:r>
          </w:p>
        </w:tc>
        <w:tc>
          <w:tcPr>
            <w:tcW w:w="445"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83.3</w:t>
            </w:r>
            <w:r w:rsidR="002E4CFA" w:rsidRPr="00D21163">
              <w:rPr>
                <w:rFonts w:ascii="Helvetica" w:eastAsia="Times New Roman" w:hAnsi="Helvetica" w:cs="Helvetica"/>
                <w:color w:val="000000"/>
                <w:kern w:val="24"/>
                <w:sz w:val="24"/>
                <w:szCs w:val="24"/>
                <w:vertAlign w:val="superscript"/>
              </w:rPr>
              <w:t>6</w:t>
            </w:r>
          </w:p>
        </w:tc>
        <w:tc>
          <w:tcPr>
            <w:tcW w:w="387"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83.1</w:t>
            </w:r>
            <w:r w:rsidR="002E4CFA" w:rsidRPr="00D21163">
              <w:rPr>
                <w:rFonts w:ascii="Helvetica" w:eastAsia="Times New Roman" w:hAnsi="Helvetica" w:cs="Helvetica"/>
                <w:color w:val="000000"/>
                <w:kern w:val="24"/>
                <w:sz w:val="24"/>
                <w:szCs w:val="24"/>
                <w:vertAlign w:val="superscript"/>
              </w:rPr>
              <w:t>6</w:t>
            </w:r>
          </w:p>
        </w:tc>
        <w:tc>
          <w:tcPr>
            <w:tcW w:w="423"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74.1</w:t>
            </w:r>
            <w:r w:rsidR="002E4CFA" w:rsidRPr="00D21163">
              <w:rPr>
                <w:rFonts w:ascii="Helvetica" w:eastAsia="Times New Roman" w:hAnsi="Helvetica" w:cs="Helvetica"/>
                <w:color w:val="000000"/>
                <w:kern w:val="24"/>
                <w:sz w:val="24"/>
                <w:szCs w:val="24"/>
                <w:vertAlign w:val="superscript"/>
              </w:rPr>
              <w:t>6</w:t>
            </w:r>
          </w:p>
        </w:tc>
        <w:tc>
          <w:tcPr>
            <w:tcW w:w="306"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69.6</w:t>
            </w:r>
            <w:r w:rsidR="002E4CFA" w:rsidRPr="00D21163">
              <w:rPr>
                <w:rFonts w:ascii="Helvetica" w:eastAsia="Times New Roman" w:hAnsi="Helvetica" w:cs="Helvetica"/>
                <w:color w:val="000000"/>
                <w:kern w:val="24"/>
                <w:sz w:val="24"/>
                <w:szCs w:val="24"/>
                <w:vertAlign w:val="superscript"/>
              </w:rPr>
              <w:t>6</w:t>
            </w:r>
          </w:p>
        </w:tc>
        <w:tc>
          <w:tcPr>
            <w:tcW w:w="445" w:type="pct"/>
            <w:gridSpan w:val="2"/>
            <w:tcBorders>
              <w:top w:val="single" w:sz="8" w:space="0" w:color="000000"/>
              <w:left w:val="single" w:sz="8" w:space="0" w:color="000000"/>
              <w:bottom w:val="single" w:sz="8" w:space="0" w:color="000000"/>
              <w:right w:val="single" w:sz="8" w:space="0" w:color="000000"/>
            </w:tcBorders>
            <w:shd w:val="clear" w:color="auto" w:fill="FFFF00"/>
            <w:tcMar>
              <w:top w:w="7" w:type="dxa"/>
              <w:left w:w="7" w:type="dxa"/>
              <w:bottom w:w="0" w:type="dxa"/>
              <w:right w:w="7" w:type="dxa"/>
            </w:tcMar>
            <w:vAlign w:val="center"/>
            <w:hideMark/>
          </w:tcPr>
          <w:p w:rsidR="00DB524A" w:rsidRPr="00DB524A" w:rsidRDefault="002E4CFA" w:rsidP="00773B9A">
            <w:pPr>
              <w:spacing w:after="0" w:line="240" w:lineRule="auto"/>
              <w:jc w:val="left"/>
              <w:rPr>
                <w:rFonts w:ascii="Helvetica" w:eastAsia="Times New Roman" w:hAnsi="Helvetica" w:cs="Helvetica"/>
                <w:sz w:val="24"/>
                <w:szCs w:val="24"/>
              </w:rPr>
            </w:pPr>
            <w:r>
              <w:rPr>
                <w:rFonts w:ascii="Helvetica" w:eastAsia="Times New Roman" w:hAnsi="Helvetica" w:cs="Helvetica"/>
                <w:sz w:val="24"/>
                <w:szCs w:val="24"/>
              </w:rPr>
              <w:t>68.5</w:t>
            </w:r>
            <w:r>
              <w:rPr>
                <w:rFonts w:ascii="Helvetica" w:eastAsia="Times New Roman" w:hAnsi="Helvetica" w:cs="Helvetica"/>
                <w:color w:val="000000"/>
                <w:kern w:val="24"/>
                <w:sz w:val="24"/>
                <w:szCs w:val="24"/>
                <w:vertAlign w:val="superscript"/>
              </w:rPr>
              <w:t>5</w:t>
            </w:r>
          </w:p>
        </w:tc>
      </w:tr>
      <w:tr w:rsidR="00DB524A" w:rsidRPr="00DB524A" w:rsidTr="002E4CFA">
        <w:trPr>
          <w:trHeight w:val="133"/>
        </w:trPr>
        <w:tc>
          <w:tcPr>
            <w:tcW w:w="2542" w:type="pct"/>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hideMark/>
          </w:tcPr>
          <w:p w:rsidR="00DB524A" w:rsidRPr="00DB524A" w:rsidRDefault="00DB524A" w:rsidP="00773B9A">
            <w:pPr>
              <w:spacing w:after="0" w:line="133" w:lineRule="atLeast"/>
              <w:jc w:val="left"/>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Cervical Cancer Screening</w:t>
            </w:r>
          </w:p>
        </w:tc>
        <w:tc>
          <w:tcPr>
            <w:tcW w:w="452"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133" w:lineRule="atLeast"/>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86.1</w:t>
            </w:r>
            <w:r w:rsidR="002E4CFA" w:rsidRPr="00D21163">
              <w:rPr>
                <w:rFonts w:ascii="Helvetica" w:eastAsia="Times New Roman" w:hAnsi="Helvetica" w:cs="Helvetica"/>
                <w:color w:val="000000"/>
                <w:kern w:val="24"/>
                <w:sz w:val="24"/>
                <w:szCs w:val="24"/>
                <w:vertAlign w:val="superscript"/>
              </w:rPr>
              <w:t>6</w:t>
            </w:r>
          </w:p>
        </w:tc>
        <w:tc>
          <w:tcPr>
            <w:tcW w:w="445"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133" w:lineRule="atLeast"/>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85.4</w:t>
            </w:r>
            <w:r w:rsidR="002E4CFA" w:rsidRPr="00D21163">
              <w:rPr>
                <w:rFonts w:ascii="Helvetica" w:eastAsia="Times New Roman" w:hAnsi="Helvetica" w:cs="Helvetica"/>
                <w:color w:val="000000"/>
                <w:kern w:val="24"/>
                <w:sz w:val="24"/>
                <w:szCs w:val="24"/>
                <w:vertAlign w:val="superscript"/>
              </w:rPr>
              <w:t>6</w:t>
            </w:r>
          </w:p>
        </w:tc>
        <w:tc>
          <w:tcPr>
            <w:tcW w:w="387"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133" w:lineRule="atLeast"/>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84.2</w:t>
            </w:r>
            <w:r w:rsidR="002E4CFA" w:rsidRPr="00D21163">
              <w:rPr>
                <w:rFonts w:ascii="Helvetica" w:eastAsia="Times New Roman" w:hAnsi="Helvetica" w:cs="Helvetica"/>
                <w:color w:val="000000"/>
                <w:kern w:val="24"/>
                <w:sz w:val="24"/>
                <w:szCs w:val="24"/>
                <w:vertAlign w:val="superscript"/>
              </w:rPr>
              <w:t>6</w:t>
            </w:r>
          </w:p>
        </w:tc>
        <w:tc>
          <w:tcPr>
            <w:tcW w:w="423" w:type="pct"/>
            <w:tcBorders>
              <w:top w:val="single" w:sz="8" w:space="0" w:color="000000"/>
              <w:left w:val="single" w:sz="8" w:space="0" w:color="000000"/>
              <w:bottom w:val="single" w:sz="8" w:space="0" w:color="000000"/>
              <w:right w:val="single" w:sz="8" w:space="0" w:color="000000"/>
            </w:tcBorders>
            <w:shd w:val="clear" w:color="auto" w:fill="FFFF00"/>
            <w:tcMar>
              <w:top w:w="7" w:type="dxa"/>
              <w:left w:w="7" w:type="dxa"/>
              <w:bottom w:w="0" w:type="dxa"/>
              <w:right w:w="7" w:type="dxa"/>
            </w:tcMar>
            <w:vAlign w:val="center"/>
            <w:hideMark/>
          </w:tcPr>
          <w:p w:rsidR="00DB524A" w:rsidRPr="00DB524A" w:rsidRDefault="00DB524A" w:rsidP="00773B9A">
            <w:pPr>
              <w:spacing w:after="0" w:line="133" w:lineRule="atLeast"/>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70.6</w:t>
            </w:r>
            <w:r w:rsidR="002E4CFA" w:rsidRPr="00702365">
              <w:rPr>
                <w:rFonts w:ascii="Helvetica" w:eastAsia="Times New Roman" w:hAnsi="Helvetica" w:cs="Helvetica"/>
                <w:color w:val="000000"/>
                <w:kern w:val="24"/>
                <w:sz w:val="24"/>
                <w:szCs w:val="24"/>
                <w:vertAlign w:val="superscript"/>
              </w:rPr>
              <w:t>5</w:t>
            </w:r>
          </w:p>
        </w:tc>
        <w:tc>
          <w:tcPr>
            <w:tcW w:w="306"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133" w:lineRule="atLeast"/>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71.5</w:t>
            </w:r>
            <w:r w:rsidR="002E4CFA" w:rsidRPr="00D21163">
              <w:rPr>
                <w:rFonts w:ascii="Helvetica" w:eastAsia="Times New Roman" w:hAnsi="Helvetica" w:cs="Helvetica"/>
                <w:color w:val="000000"/>
                <w:kern w:val="24"/>
                <w:sz w:val="24"/>
                <w:szCs w:val="24"/>
                <w:vertAlign w:val="superscript"/>
              </w:rPr>
              <w:t>6</w:t>
            </w:r>
          </w:p>
        </w:tc>
        <w:tc>
          <w:tcPr>
            <w:tcW w:w="445" w:type="pct"/>
            <w:gridSpan w:val="2"/>
            <w:tcBorders>
              <w:top w:val="single" w:sz="8" w:space="0" w:color="000000"/>
              <w:left w:val="single" w:sz="8" w:space="0" w:color="000000"/>
              <w:bottom w:val="single" w:sz="8" w:space="0" w:color="000000"/>
              <w:right w:val="single" w:sz="8" w:space="0" w:color="000000"/>
            </w:tcBorders>
            <w:shd w:val="clear" w:color="auto" w:fill="FFFF00"/>
            <w:tcMar>
              <w:top w:w="7" w:type="dxa"/>
              <w:left w:w="7" w:type="dxa"/>
              <w:bottom w:w="0" w:type="dxa"/>
              <w:right w:w="7" w:type="dxa"/>
            </w:tcMar>
            <w:vAlign w:val="center"/>
            <w:hideMark/>
          </w:tcPr>
          <w:p w:rsidR="00DB524A" w:rsidRPr="00DB524A" w:rsidRDefault="002E4CFA" w:rsidP="00773B9A">
            <w:pPr>
              <w:spacing w:after="0" w:line="240" w:lineRule="auto"/>
              <w:jc w:val="left"/>
              <w:rPr>
                <w:rFonts w:ascii="Helvetica" w:eastAsia="Times New Roman" w:hAnsi="Helvetica" w:cs="Helvetica"/>
                <w:sz w:val="24"/>
                <w:szCs w:val="24"/>
              </w:rPr>
            </w:pPr>
            <w:r>
              <w:rPr>
                <w:rFonts w:ascii="Helvetica" w:eastAsia="Times New Roman" w:hAnsi="Helvetica" w:cs="Helvetica"/>
                <w:sz w:val="24"/>
                <w:szCs w:val="24"/>
              </w:rPr>
              <w:t>70.8</w:t>
            </w:r>
            <w:r>
              <w:rPr>
                <w:rFonts w:ascii="Helvetica" w:eastAsia="Times New Roman" w:hAnsi="Helvetica" w:cs="Helvetica"/>
                <w:color w:val="000000"/>
                <w:kern w:val="24"/>
                <w:sz w:val="24"/>
                <w:szCs w:val="24"/>
                <w:vertAlign w:val="superscript"/>
              </w:rPr>
              <w:t>5</w:t>
            </w:r>
          </w:p>
        </w:tc>
      </w:tr>
      <w:tr w:rsidR="00DB524A" w:rsidRPr="00DB524A" w:rsidTr="002E4CFA">
        <w:trPr>
          <w:trHeight w:val="297"/>
        </w:trPr>
        <w:tc>
          <w:tcPr>
            <w:tcW w:w="2542" w:type="pct"/>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hideMark/>
          </w:tcPr>
          <w:p w:rsidR="00DB524A" w:rsidRPr="00DB524A" w:rsidRDefault="00DB524A" w:rsidP="00773B9A">
            <w:pPr>
              <w:spacing w:after="0" w:line="240" w:lineRule="auto"/>
              <w:jc w:val="left"/>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Childhood Immunization Status (Combo 10)</w:t>
            </w:r>
          </w:p>
        </w:tc>
        <w:tc>
          <w:tcPr>
            <w:tcW w:w="452"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73.0</w:t>
            </w:r>
            <w:r w:rsidR="002E4CFA" w:rsidRPr="00D21163">
              <w:rPr>
                <w:rFonts w:ascii="Helvetica" w:eastAsia="Times New Roman" w:hAnsi="Helvetica" w:cs="Helvetica"/>
                <w:color w:val="000000"/>
                <w:kern w:val="24"/>
                <w:sz w:val="24"/>
                <w:szCs w:val="24"/>
                <w:vertAlign w:val="superscript"/>
              </w:rPr>
              <w:t>6</w:t>
            </w:r>
          </w:p>
        </w:tc>
        <w:tc>
          <w:tcPr>
            <w:tcW w:w="445"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70.3</w:t>
            </w:r>
            <w:r w:rsidR="002E4CFA" w:rsidRPr="00D21163">
              <w:rPr>
                <w:rFonts w:ascii="Helvetica" w:eastAsia="Times New Roman" w:hAnsi="Helvetica" w:cs="Helvetica"/>
                <w:color w:val="000000"/>
                <w:kern w:val="24"/>
                <w:sz w:val="24"/>
                <w:szCs w:val="24"/>
                <w:vertAlign w:val="superscript"/>
              </w:rPr>
              <w:t>6</w:t>
            </w:r>
          </w:p>
        </w:tc>
        <w:tc>
          <w:tcPr>
            <w:tcW w:w="387"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71.8</w:t>
            </w:r>
            <w:r w:rsidR="002E4CFA" w:rsidRPr="00D21163">
              <w:rPr>
                <w:rFonts w:ascii="Helvetica" w:eastAsia="Times New Roman" w:hAnsi="Helvetica" w:cs="Helvetica"/>
                <w:color w:val="000000"/>
                <w:kern w:val="24"/>
                <w:sz w:val="24"/>
                <w:szCs w:val="24"/>
                <w:vertAlign w:val="superscript"/>
              </w:rPr>
              <w:t>6</w:t>
            </w:r>
          </w:p>
        </w:tc>
        <w:tc>
          <w:tcPr>
            <w:tcW w:w="423"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51.9</w:t>
            </w:r>
            <w:r w:rsidR="002E4CFA" w:rsidRPr="00D21163">
              <w:rPr>
                <w:rFonts w:ascii="Helvetica" w:eastAsia="Times New Roman" w:hAnsi="Helvetica" w:cs="Helvetica"/>
                <w:color w:val="000000"/>
                <w:kern w:val="24"/>
                <w:sz w:val="24"/>
                <w:szCs w:val="24"/>
                <w:vertAlign w:val="superscript"/>
              </w:rPr>
              <w:t>6</w:t>
            </w:r>
          </w:p>
        </w:tc>
        <w:tc>
          <w:tcPr>
            <w:tcW w:w="306"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52.0</w:t>
            </w:r>
            <w:r w:rsidR="002E4CFA" w:rsidRPr="00D21163">
              <w:rPr>
                <w:rFonts w:ascii="Helvetica" w:eastAsia="Times New Roman" w:hAnsi="Helvetica" w:cs="Helvetica"/>
                <w:color w:val="000000"/>
                <w:kern w:val="24"/>
                <w:sz w:val="24"/>
                <w:szCs w:val="24"/>
                <w:vertAlign w:val="superscript"/>
              </w:rPr>
              <w:t>6</w:t>
            </w:r>
          </w:p>
        </w:tc>
        <w:tc>
          <w:tcPr>
            <w:tcW w:w="445" w:type="pct"/>
            <w:gridSpan w:val="2"/>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2E4CFA" w:rsidP="00773B9A">
            <w:pPr>
              <w:spacing w:after="0" w:line="240" w:lineRule="auto"/>
              <w:jc w:val="left"/>
              <w:rPr>
                <w:rFonts w:ascii="Helvetica" w:eastAsia="Times New Roman" w:hAnsi="Helvetica" w:cs="Helvetica"/>
                <w:sz w:val="24"/>
                <w:szCs w:val="24"/>
              </w:rPr>
            </w:pPr>
            <w:r>
              <w:rPr>
                <w:rFonts w:ascii="Helvetica" w:eastAsia="Times New Roman" w:hAnsi="Helvetica" w:cs="Helvetica"/>
                <w:sz w:val="24"/>
                <w:szCs w:val="24"/>
              </w:rPr>
              <w:t>50.6</w:t>
            </w:r>
            <w:r w:rsidRPr="00D21163">
              <w:rPr>
                <w:rFonts w:ascii="Helvetica" w:eastAsia="Times New Roman" w:hAnsi="Helvetica" w:cs="Helvetica"/>
                <w:color w:val="000000"/>
                <w:kern w:val="24"/>
                <w:sz w:val="24"/>
                <w:szCs w:val="24"/>
                <w:vertAlign w:val="superscript"/>
              </w:rPr>
              <w:t>6</w:t>
            </w:r>
          </w:p>
        </w:tc>
      </w:tr>
      <w:tr w:rsidR="00DB524A" w:rsidRPr="00DB524A" w:rsidTr="002E4CFA">
        <w:trPr>
          <w:trHeight w:val="266"/>
        </w:trPr>
        <w:tc>
          <w:tcPr>
            <w:tcW w:w="2542" w:type="pct"/>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hideMark/>
          </w:tcPr>
          <w:p w:rsidR="00DB524A" w:rsidRPr="00DB524A" w:rsidRDefault="00DB524A" w:rsidP="00773B9A">
            <w:pPr>
              <w:spacing w:after="0" w:line="266" w:lineRule="atLeast"/>
              <w:jc w:val="left"/>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Chlamydia Screening - Ages 16-24</w:t>
            </w:r>
          </w:p>
        </w:tc>
        <w:tc>
          <w:tcPr>
            <w:tcW w:w="452"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266" w:lineRule="atLeast"/>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72.9</w:t>
            </w:r>
            <w:r w:rsidR="002E4CFA" w:rsidRPr="00D21163">
              <w:rPr>
                <w:rFonts w:ascii="Helvetica" w:eastAsia="Times New Roman" w:hAnsi="Helvetica" w:cs="Helvetica"/>
                <w:color w:val="000000"/>
                <w:kern w:val="24"/>
                <w:sz w:val="24"/>
                <w:szCs w:val="24"/>
                <w:vertAlign w:val="superscript"/>
              </w:rPr>
              <w:t>6</w:t>
            </w:r>
          </w:p>
        </w:tc>
        <w:tc>
          <w:tcPr>
            <w:tcW w:w="445"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266" w:lineRule="atLeast"/>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73.7</w:t>
            </w:r>
            <w:r w:rsidR="002E4CFA" w:rsidRPr="00D21163">
              <w:rPr>
                <w:rFonts w:ascii="Helvetica" w:eastAsia="Times New Roman" w:hAnsi="Helvetica" w:cs="Helvetica"/>
                <w:color w:val="000000"/>
                <w:kern w:val="24"/>
                <w:sz w:val="24"/>
                <w:szCs w:val="24"/>
                <w:vertAlign w:val="superscript"/>
              </w:rPr>
              <w:t>6</w:t>
            </w:r>
          </w:p>
        </w:tc>
        <w:tc>
          <w:tcPr>
            <w:tcW w:w="387"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266" w:lineRule="atLeast"/>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74.2</w:t>
            </w:r>
            <w:r w:rsidR="002E4CFA" w:rsidRPr="00D21163">
              <w:rPr>
                <w:rFonts w:ascii="Helvetica" w:eastAsia="Times New Roman" w:hAnsi="Helvetica" w:cs="Helvetica"/>
                <w:color w:val="000000"/>
                <w:kern w:val="24"/>
                <w:sz w:val="24"/>
                <w:szCs w:val="24"/>
                <w:vertAlign w:val="superscript"/>
              </w:rPr>
              <w:t>6</w:t>
            </w:r>
          </w:p>
        </w:tc>
        <w:tc>
          <w:tcPr>
            <w:tcW w:w="423"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266" w:lineRule="atLeast"/>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71.5</w:t>
            </w:r>
            <w:r w:rsidR="002E4CFA" w:rsidRPr="00D21163">
              <w:rPr>
                <w:rFonts w:ascii="Helvetica" w:eastAsia="Times New Roman" w:hAnsi="Helvetica" w:cs="Helvetica"/>
                <w:color w:val="000000"/>
                <w:kern w:val="24"/>
                <w:sz w:val="24"/>
                <w:szCs w:val="24"/>
                <w:vertAlign w:val="superscript"/>
              </w:rPr>
              <w:t>6</w:t>
            </w:r>
          </w:p>
        </w:tc>
        <w:tc>
          <w:tcPr>
            <w:tcW w:w="306"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266" w:lineRule="atLeast"/>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72.3</w:t>
            </w:r>
            <w:r w:rsidR="002E4CFA" w:rsidRPr="00D21163">
              <w:rPr>
                <w:rFonts w:ascii="Helvetica" w:eastAsia="Times New Roman" w:hAnsi="Helvetica" w:cs="Helvetica"/>
                <w:color w:val="000000"/>
                <w:kern w:val="24"/>
                <w:sz w:val="24"/>
                <w:szCs w:val="24"/>
                <w:vertAlign w:val="superscript"/>
              </w:rPr>
              <w:t>6</w:t>
            </w:r>
          </w:p>
        </w:tc>
        <w:tc>
          <w:tcPr>
            <w:tcW w:w="445" w:type="pct"/>
            <w:gridSpan w:val="2"/>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2E4CFA" w:rsidP="00773B9A">
            <w:pPr>
              <w:spacing w:after="0" w:line="240" w:lineRule="auto"/>
              <w:jc w:val="left"/>
              <w:rPr>
                <w:rFonts w:ascii="Helvetica" w:eastAsia="Times New Roman" w:hAnsi="Helvetica" w:cs="Helvetica"/>
                <w:sz w:val="24"/>
                <w:szCs w:val="24"/>
              </w:rPr>
            </w:pPr>
            <w:r>
              <w:rPr>
                <w:rFonts w:ascii="Helvetica" w:eastAsia="Times New Roman" w:hAnsi="Helvetica" w:cs="Helvetica"/>
                <w:sz w:val="24"/>
                <w:szCs w:val="24"/>
              </w:rPr>
              <w:t>72.1</w:t>
            </w:r>
            <w:r w:rsidRPr="00D21163">
              <w:rPr>
                <w:rFonts w:ascii="Helvetica" w:eastAsia="Times New Roman" w:hAnsi="Helvetica" w:cs="Helvetica"/>
                <w:color w:val="000000"/>
                <w:kern w:val="24"/>
                <w:sz w:val="24"/>
                <w:szCs w:val="24"/>
                <w:vertAlign w:val="superscript"/>
              </w:rPr>
              <w:t>6</w:t>
            </w:r>
          </w:p>
        </w:tc>
      </w:tr>
      <w:tr w:rsidR="00DB524A" w:rsidRPr="00DB524A" w:rsidTr="00DB524A">
        <w:trPr>
          <w:trHeight w:val="288"/>
        </w:trPr>
        <w:tc>
          <w:tcPr>
            <w:tcW w:w="2542" w:type="pct"/>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hideMark/>
          </w:tcPr>
          <w:p w:rsidR="00DB524A" w:rsidRPr="00DB524A" w:rsidRDefault="00DB524A" w:rsidP="00773B9A">
            <w:pPr>
              <w:spacing w:after="0" w:line="240" w:lineRule="auto"/>
              <w:jc w:val="left"/>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Colorectal Cancer Screening</w:t>
            </w:r>
          </w:p>
        </w:tc>
        <w:tc>
          <w:tcPr>
            <w:tcW w:w="452"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76.6</w:t>
            </w:r>
            <w:r w:rsidR="002E4CFA" w:rsidRPr="00D21163">
              <w:rPr>
                <w:rFonts w:ascii="Helvetica" w:eastAsia="Times New Roman" w:hAnsi="Helvetica" w:cs="Helvetica"/>
                <w:color w:val="000000"/>
                <w:kern w:val="24"/>
                <w:sz w:val="24"/>
                <w:szCs w:val="24"/>
                <w:vertAlign w:val="superscript"/>
              </w:rPr>
              <w:t>6</w:t>
            </w:r>
          </w:p>
        </w:tc>
        <w:tc>
          <w:tcPr>
            <w:tcW w:w="445"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77.2</w:t>
            </w:r>
            <w:r w:rsidR="002E4CFA" w:rsidRPr="00D21163">
              <w:rPr>
                <w:rFonts w:ascii="Helvetica" w:eastAsia="Times New Roman" w:hAnsi="Helvetica" w:cs="Helvetica"/>
                <w:color w:val="000000"/>
                <w:kern w:val="24"/>
                <w:sz w:val="24"/>
                <w:szCs w:val="24"/>
                <w:vertAlign w:val="superscript"/>
              </w:rPr>
              <w:t>6</w:t>
            </w:r>
          </w:p>
        </w:tc>
        <w:tc>
          <w:tcPr>
            <w:tcW w:w="387"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79.0</w:t>
            </w:r>
            <w:r w:rsidR="002E4CFA" w:rsidRPr="00D21163">
              <w:rPr>
                <w:rFonts w:ascii="Helvetica" w:eastAsia="Times New Roman" w:hAnsi="Helvetica" w:cs="Helvetica"/>
                <w:color w:val="000000"/>
                <w:kern w:val="24"/>
                <w:sz w:val="24"/>
                <w:szCs w:val="24"/>
                <w:vertAlign w:val="superscript"/>
              </w:rPr>
              <w:t>6</w:t>
            </w:r>
          </w:p>
        </w:tc>
        <w:tc>
          <w:tcPr>
            <w:tcW w:w="1174" w:type="pct"/>
            <w:gridSpan w:val="4"/>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NA - SCO only </w:t>
            </w:r>
          </w:p>
        </w:tc>
      </w:tr>
      <w:tr w:rsidR="00DB524A" w:rsidRPr="00DB524A" w:rsidTr="002E4CFA">
        <w:trPr>
          <w:trHeight w:val="612"/>
        </w:trPr>
        <w:tc>
          <w:tcPr>
            <w:tcW w:w="2542" w:type="pct"/>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hideMark/>
          </w:tcPr>
          <w:p w:rsidR="00DB524A" w:rsidRPr="00DB524A" w:rsidRDefault="00DB524A" w:rsidP="00773B9A">
            <w:pPr>
              <w:spacing w:after="0" w:line="240" w:lineRule="auto"/>
              <w:jc w:val="left"/>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Comprehensive Diabetes Care: Blood Pressure Control (&lt;140/90 mm Hg)</w:t>
            </w:r>
          </w:p>
        </w:tc>
        <w:tc>
          <w:tcPr>
            <w:tcW w:w="452"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80.6</w:t>
            </w:r>
            <w:r w:rsidR="002E4CFA" w:rsidRPr="00D21163">
              <w:rPr>
                <w:rFonts w:ascii="Helvetica" w:eastAsia="Times New Roman" w:hAnsi="Helvetica" w:cs="Helvetica"/>
                <w:color w:val="000000"/>
                <w:kern w:val="24"/>
                <w:sz w:val="24"/>
                <w:szCs w:val="24"/>
                <w:vertAlign w:val="superscript"/>
              </w:rPr>
              <w:t>6</w:t>
            </w:r>
          </w:p>
        </w:tc>
        <w:tc>
          <w:tcPr>
            <w:tcW w:w="445"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76.7</w:t>
            </w:r>
            <w:r w:rsidR="002E4CFA" w:rsidRPr="00D21163">
              <w:rPr>
                <w:rFonts w:ascii="Helvetica" w:eastAsia="Times New Roman" w:hAnsi="Helvetica" w:cs="Helvetica"/>
                <w:color w:val="000000"/>
                <w:kern w:val="24"/>
                <w:sz w:val="24"/>
                <w:szCs w:val="24"/>
                <w:vertAlign w:val="superscript"/>
              </w:rPr>
              <w:t>6</w:t>
            </w:r>
          </w:p>
        </w:tc>
        <w:tc>
          <w:tcPr>
            <w:tcW w:w="387" w:type="pct"/>
            <w:tcBorders>
              <w:top w:val="single" w:sz="8" w:space="0" w:color="000000"/>
              <w:left w:val="single" w:sz="8" w:space="0" w:color="000000"/>
              <w:bottom w:val="single" w:sz="8" w:space="0" w:color="000000"/>
              <w:right w:val="single" w:sz="8" w:space="0" w:color="000000"/>
            </w:tcBorders>
            <w:shd w:val="clear" w:color="auto" w:fill="FFFF00"/>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76.3</w:t>
            </w:r>
            <w:r w:rsidR="002E4CFA" w:rsidRPr="00702365">
              <w:rPr>
                <w:rFonts w:ascii="Helvetica" w:eastAsia="Times New Roman" w:hAnsi="Helvetica" w:cs="Helvetica"/>
                <w:color w:val="000000"/>
                <w:kern w:val="24"/>
                <w:sz w:val="24"/>
                <w:szCs w:val="24"/>
                <w:vertAlign w:val="superscript"/>
              </w:rPr>
              <w:t>5</w:t>
            </w:r>
          </w:p>
        </w:tc>
        <w:tc>
          <w:tcPr>
            <w:tcW w:w="423" w:type="pct"/>
            <w:tcBorders>
              <w:top w:val="single" w:sz="8" w:space="0" w:color="000000"/>
              <w:left w:val="single" w:sz="8" w:space="0" w:color="000000"/>
              <w:bottom w:val="single" w:sz="8" w:space="0" w:color="000000"/>
              <w:right w:val="single" w:sz="8" w:space="0" w:color="000000"/>
            </w:tcBorders>
            <w:shd w:val="clear" w:color="auto" w:fill="FFFF00"/>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72.9</w:t>
            </w:r>
            <w:r w:rsidR="002E4CFA" w:rsidRPr="00702365">
              <w:rPr>
                <w:rFonts w:ascii="Helvetica" w:eastAsia="Times New Roman" w:hAnsi="Helvetica" w:cs="Helvetica"/>
                <w:color w:val="000000"/>
                <w:kern w:val="24"/>
                <w:sz w:val="24"/>
                <w:szCs w:val="24"/>
                <w:vertAlign w:val="superscript"/>
              </w:rPr>
              <w:t>5</w:t>
            </w:r>
          </w:p>
        </w:tc>
        <w:tc>
          <w:tcPr>
            <w:tcW w:w="367" w:type="pct"/>
            <w:gridSpan w:val="2"/>
            <w:tcBorders>
              <w:top w:val="single" w:sz="8" w:space="0" w:color="000000"/>
              <w:left w:val="single" w:sz="8" w:space="0" w:color="000000"/>
              <w:bottom w:val="single" w:sz="8" w:space="0" w:color="000000"/>
              <w:right w:val="single" w:sz="8" w:space="0" w:color="000000"/>
            </w:tcBorders>
            <w:shd w:val="clear" w:color="auto" w:fill="FFFF00"/>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71.1</w:t>
            </w:r>
            <w:r w:rsidR="002E4CFA" w:rsidRPr="00702365">
              <w:rPr>
                <w:rFonts w:ascii="Helvetica" w:eastAsia="Times New Roman" w:hAnsi="Helvetica" w:cs="Helvetica"/>
                <w:color w:val="000000"/>
                <w:kern w:val="24"/>
                <w:sz w:val="24"/>
                <w:szCs w:val="24"/>
                <w:vertAlign w:val="superscript"/>
              </w:rPr>
              <w:t>5</w:t>
            </w:r>
          </w:p>
        </w:tc>
        <w:tc>
          <w:tcPr>
            <w:tcW w:w="383" w:type="pct"/>
            <w:tcBorders>
              <w:top w:val="single" w:sz="8" w:space="0" w:color="000000"/>
              <w:left w:val="single" w:sz="8" w:space="0" w:color="000000"/>
              <w:bottom w:val="single" w:sz="8" w:space="0" w:color="000000"/>
              <w:right w:val="single" w:sz="8" w:space="0" w:color="000000"/>
            </w:tcBorders>
            <w:shd w:val="clear" w:color="auto" w:fill="FFC000"/>
            <w:tcMar>
              <w:top w:w="7" w:type="dxa"/>
              <w:left w:w="7" w:type="dxa"/>
              <w:bottom w:w="0" w:type="dxa"/>
              <w:right w:w="7" w:type="dxa"/>
            </w:tcMar>
            <w:vAlign w:val="center"/>
            <w:hideMark/>
          </w:tcPr>
          <w:p w:rsidR="00DB524A" w:rsidRPr="00DB524A" w:rsidRDefault="002E4CFA" w:rsidP="00773B9A">
            <w:pPr>
              <w:spacing w:after="0" w:line="240" w:lineRule="auto"/>
              <w:jc w:val="left"/>
              <w:rPr>
                <w:rFonts w:ascii="Helvetica" w:eastAsia="Times New Roman" w:hAnsi="Helvetica" w:cs="Helvetica"/>
                <w:sz w:val="24"/>
                <w:szCs w:val="24"/>
              </w:rPr>
            </w:pPr>
            <w:r w:rsidRPr="002E4CFA">
              <w:rPr>
                <w:rFonts w:ascii="Helvetica" w:eastAsia="Times New Roman" w:hAnsi="Helvetica" w:cs="Helvetica"/>
                <w:sz w:val="24"/>
                <w:szCs w:val="24"/>
                <w:vertAlign w:val="superscript"/>
              </w:rPr>
              <w:t>1</w:t>
            </w:r>
            <w:r>
              <w:rPr>
                <w:rFonts w:ascii="Helvetica" w:eastAsia="Times New Roman" w:hAnsi="Helvetica" w:cs="Helvetica"/>
                <w:sz w:val="24"/>
                <w:szCs w:val="24"/>
              </w:rPr>
              <w:t>69.0</w:t>
            </w:r>
            <w:r>
              <w:rPr>
                <w:rFonts w:ascii="Helvetica" w:eastAsia="Times New Roman" w:hAnsi="Helvetica" w:cs="Helvetica"/>
                <w:bCs/>
                <w:color w:val="000000" w:themeColor="text1"/>
                <w:kern w:val="24"/>
                <w:sz w:val="24"/>
                <w:szCs w:val="24"/>
                <w:vertAlign w:val="superscript"/>
              </w:rPr>
              <w:t>4</w:t>
            </w:r>
          </w:p>
        </w:tc>
      </w:tr>
      <w:tr w:rsidR="00DB524A" w:rsidRPr="00DB524A" w:rsidTr="002E4CFA">
        <w:trPr>
          <w:trHeight w:val="399"/>
        </w:trPr>
        <w:tc>
          <w:tcPr>
            <w:tcW w:w="2542" w:type="pct"/>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hideMark/>
          </w:tcPr>
          <w:p w:rsidR="00DB524A" w:rsidRPr="00DB524A" w:rsidRDefault="00DB524A" w:rsidP="00773B9A">
            <w:pPr>
              <w:spacing w:after="0" w:line="240" w:lineRule="auto"/>
              <w:jc w:val="left"/>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Comprehensive Diabetes Care: Eye Exam</w:t>
            </w:r>
          </w:p>
        </w:tc>
        <w:tc>
          <w:tcPr>
            <w:tcW w:w="452"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74.7</w:t>
            </w:r>
            <w:r w:rsidR="002E4CFA" w:rsidRPr="00D21163">
              <w:rPr>
                <w:rFonts w:ascii="Helvetica" w:eastAsia="Times New Roman" w:hAnsi="Helvetica" w:cs="Helvetica"/>
                <w:color w:val="000000"/>
                <w:kern w:val="24"/>
                <w:sz w:val="24"/>
                <w:szCs w:val="24"/>
                <w:vertAlign w:val="superscript"/>
              </w:rPr>
              <w:t>6</w:t>
            </w:r>
          </w:p>
        </w:tc>
        <w:tc>
          <w:tcPr>
            <w:tcW w:w="445"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74.6</w:t>
            </w:r>
            <w:r w:rsidR="002E4CFA" w:rsidRPr="00D21163">
              <w:rPr>
                <w:rFonts w:ascii="Helvetica" w:eastAsia="Times New Roman" w:hAnsi="Helvetica" w:cs="Helvetica"/>
                <w:color w:val="000000"/>
                <w:kern w:val="24"/>
                <w:sz w:val="24"/>
                <w:szCs w:val="24"/>
                <w:vertAlign w:val="superscript"/>
              </w:rPr>
              <w:t>6</w:t>
            </w:r>
          </w:p>
        </w:tc>
        <w:tc>
          <w:tcPr>
            <w:tcW w:w="387"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73.1</w:t>
            </w:r>
            <w:r w:rsidR="002E4CFA" w:rsidRPr="00D21163">
              <w:rPr>
                <w:rFonts w:ascii="Helvetica" w:eastAsia="Times New Roman" w:hAnsi="Helvetica" w:cs="Helvetica"/>
                <w:color w:val="000000"/>
                <w:kern w:val="24"/>
                <w:sz w:val="24"/>
                <w:szCs w:val="24"/>
                <w:vertAlign w:val="superscript"/>
              </w:rPr>
              <w:t>6</w:t>
            </w:r>
          </w:p>
        </w:tc>
        <w:tc>
          <w:tcPr>
            <w:tcW w:w="423" w:type="pct"/>
            <w:tcBorders>
              <w:top w:val="single" w:sz="8" w:space="0" w:color="000000"/>
              <w:left w:val="single" w:sz="8" w:space="0" w:color="000000"/>
              <w:bottom w:val="single" w:sz="8" w:space="0" w:color="000000"/>
              <w:right w:val="single" w:sz="8" w:space="0" w:color="000000"/>
            </w:tcBorders>
            <w:shd w:val="clear" w:color="auto" w:fill="FFFF00"/>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63.4</w:t>
            </w:r>
            <w:r w:rsidR="002E4CFA" w:rsidRPr="00702365">
              <w:rPr>
                <w:rFonts w:ascii="Helvetica" w:eastAsia="Times New Roman" w:hAnsi="Helvetica" w:cs="Helvetica"/>
                <w:color w:val="000000"/>
                <w:kern w:val="24"/>
                <w:sz w:val="24"/>
                <w:szCs w:val="24"/>
                <w:vertAlign w:val="superscript"/>
              </w:rPr>
              <w:t>5</w:t>
            </w:r>
          </w:p>
        </w:tc>
        <w:tc>
          <w:tcPr>
            <w:tcW w:w="367" w:type="pct"/>
            <w:gridSpan w:val="2"/>
            <w:tcBorders>
              <w:top w:val="single" w:sz="8" w:space="0" w:color="000000"/>
              <w:left w:val="single" w:sz="8" w:space="0" w:color="000000"/>
              <w:bottom w:val="single" w:sz="8" w:space="0" w:color="000000"/>
              <w:right w:val="single" w:sz="8" w:space="0" w:color="000000"/>
            </w:tcBorders>
            <w:shd w:val="clear" w:color="auto" w:fill="FFFF00"/>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66.1</w:t>
            </w:r>
            <w:r w:rsidR="002E4CFA" w:rsidRPr="00702365">
              <w:rPr>
                <w:rFonts w:ascii="Helvetica" w:eastAsia="Times New Roman" w:hAnsi="Helvetica" w:cs="Helvetica"/>
                <w:color w:val="000000"/>
                <w:kern w:val="24"/>
                <w:sz w:val="24"/>
                <w:szCs w:val="24"/>
                <w:vertAlign w:val="superscript"/>
              </w:rPr>
              <w:t>5</w:t>
            </w:r>
          </w:p>
        </w:tc>
        <w:tc>
          <w:tcPr>
            <w:tcW w:w="383" w:type="pct"/>
            <w:tcBorders>
              <w:top w:val="single" w:sz="8" w:space="0" w:color="000000"/>
              <w:left w:val="single" w:sz="8" w:space="0" w:color="000000"/>
              <w:bottom w:val="single" w:sz="8" w:space="0" w:color="000000"/>
              <w:right w:val="single" w:sz="8" w:space="0" w:color="000000"/>
            </w:tcBorders>
            <w:shd w:val="clear" w:color="auto" w:fill="FFFF00"/>
            <w:tcMar>
              <w:top w:w="7" w:type="dxa"/>
              <w:left w:w="7" w:type="dxa"/>
              <w:bottom w:w="0" w:type="dxa"/>
              <w:right w:w="7" w:type="dxa"/>
            </w:tcMar>
            <w:vAlign w:val="center"/>
            <w:hideMark/>
          </w:tcPr>
          <w:p w:rsidR="00DB524A" w:rsidRPr="00DB524A" w:rsidRDefault="002E4CFA" w:rsidP="00773B9A">
            <w:pPr>
              <w:spacing w:after="0" w:line="240" w:lineRule="auto"/>
              <w:jc w:val="left"/>
              <w:rPr>
                <w:rFonts w:ascii="Helvetica" w:eastAsia="Times New Roman" w:hAnsi="Helvetica" w:cs="Helvetica"/>
                <w:sz w:val="24"/>
                <w:szCs w:val="24"/>
              </w:rPr>
            </w:pPr>
            <w:r>
              <w:rPr>
                <w:rFonts w:ascii="Helvetica" w:eastAsia="Times New Roman" w:hAnsi="Helvetica" w:cs="Helvetica"/>
                <w:sz w:val="24"/>
                <w:szCs w:val="24"/>
              </w:rPr>
              <w:t>68.0</w:t>
            </w:r>
            <w:r w:rsidRPr="00702365">
              <w:rPr>
                <w:rFonts w:ascii="Helvetica" w:eastAsia="Times New Roman" w:hAnsi="Helvetica" w:cs="Helvetica"/>
                <w:color w:val="000000"/>
                <w:kern w:val="24"/>
                <w:sz w:val="24"/>
                <w:szCs w:val="24"/>
                <w:vertAlign w:val="superscript"/>
              </w:rPr>
              <w:t>5</w:t>
            </w:r>
          </w:p>
        </w:tc>
      </w:tr>
      <w:tr w:rsidR="00DB524A" w:rsidRPr="00DB524A" w:rsidTr="002E4CFA">
        <w:trPr>
          <w:trHeight w:val="399"/>
        </w:trPr>
        <w:tc>
          <w:tcPr>
            <w:tcW w:w="2542" w:type="pct"/>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hideMark/>
          </w:tcPr>
          <w:p w:rsidR="00DB524A" w:rsidRPr="00DB524A" w:rsidRDefault="00DB524A" w:rsidP="00773B9A">
            <w:pPr>
              <w:spacing w:after="0" w:line="240" w:lineRule="auto"/>
              <w:jc w:val="left"/>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Follow-up After Emergency Department Visit for Mental Illness (7-Day)</w:t>
            </w:r>
          </w:p>
        </w:tc>
        <w:tc>
          <w:tcPr>
            <w:tcW w:w="452" w:type="pct"/>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No data</w:t>
            </w:r>
          </w:p>
        </w:tc>
        <w:tc>
          <w:tcPr>
            <w:tcW w:w="445"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70.9</w:t>
            </w:r>
            <w:r w:rsidR="002E4CFA" w:rsidRPr="00D21163">
              <w:rPr>
                <w:rFonts w:ascii="Helvetica" w:eastAsia="Times New Roman" w:hAnsi="Helvetica" w:cs="Helvetica"/>
                <w:color w:val="000000"/>
                <w:kern w:val="24"/>
                <w:sz w:val="24"/>
                <w:szCs w:val="24"/>
                <w:vertAlign w:val="superscript"/>
              </w:rPr>
              <w:t>6</w:t>
            </w:r>
          </w:p>
        </w:tc>
        <w:tc>
          <w:tcPr>
            <w:tcW w:w="387"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69.7</w:t>
            </w:r>
            <w:r w:rsidR="002E4CFA" w:rsidRPr="00D21163">
              <w:rPr>
                <w:rFonts w:ascii="Helvetica" w:eastAsia="Times New Roman" w:hAnsi="Helvetica" w:cs="Helvetica"/>
                <w:color w:val="000000"/>
                <w:kern w:val="24"/>
                <w:sz w:val="24"/>
                <w:szCs w:val="24"/>
                <w:vertAlign w:val="superscript"/>
              </w:rPr>
              <w:t>6</w:t>
            </w:r>
          </w:p>
        </w:tc>
        <w:tc>
          <w:tcPr>
            <w:tcW w:w="423" w:type="pct"/>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No data</w:t>
            </w:r>
          </w:p>
        </w:tc>
        <w:tc>
          <w:tcPr>
            <w:tcW w:w="367" w:type="pct"/>
            <w:gridSpan w:val="2"/>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DB524A" w:rsidP="00773B9A">
            <w:pPr>
              <w:spacing w:after="0" w:line="240" w:lineRule="auto"/>
              <w:jc w:val="center"/>
              <w:textAlignment w:val="top"/>
              <w:rPr>
                <w:rFonts w:ascii="Helvetica" w:eastAsia="Times New Roman" w:hAnsi="Helvetica" w:cs="Helvetica"/>
                <w:sz w:val="24"/>
                <w:szCs w:val="24"/>
              </w:rPr>
            </w:pPr>
            <w:r w:rsidRPr="00DB524A">
              <w:rPr>
                <w:rFonts w:ascii="Helvetica" w:eastAsia="Times New Roman" w:hAnsi="Helvetica" w:cs="Helvetica"/>
                <w:color w:val="000000"/>
                <w:kern w:val="24"/>
                <w:sz w:val="24"/>
                <w:szCs w:val="24"/>
              </w:rPr>
              <w:t>78.3</w:t>
            </w:r>
            <w:r w:rsidR="002E4CFA" w:rsidRPr="00D21163">
              <w:rPr>
                <w:rFonts w:ascii="Helvetica" w:eastAsia="Times New Roman" w:hAnsi="Helvetica" w:cs="Helvetica"/>
                <w:color w:val="000000"/>
                <w:kern w:val="24"/>
                <w:sz w:val="24"/>
                <w:szCs w:val="24"/>
                <w:vertAlign w:val="superscript"/>
              </w:rPr>
              <w:t>6</w:t>
            </w:r>
          </w:p>
        </w:tc>
        <w:tc>
          <w:tcPr>
            <w:tcW w:w="383"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DB524A" w:rsidRDefault="002E4CFA" w:rsidP="00773B9A">
            <w:pPr>
              <w:spacing w:after="0" w:line="240" w:lineRule="auto"/>
              <w:jc w:val="left"/>
              <w:rPr>
                <w:rFonts w:ascii="Helvetica" w:eastAsia="Times New Roman" w:hAnsi="Helvetica" w:cs="Helvetica"/>
                <w:sz w:val="24"/>
                <w:szCs w:val="24"/>
              </w:rPr>
            </w:pPr>
            <w:r>
              <w:rPr>
                <w:rFonts w:ascii="Helvetica" w:eastAsia="Times New Roman" w:hAnsi="Helvetica" w:cs="Helvetica"/>
                <w:sz w:val="24"/>
                <w:szCs w:val="24"/>
              </w:rPr>
              <w:t>76.6</w:t>
            </w:r>
            <w:r w:rsidRPr="00D21163">
              <w:rPr>
                <w:rFonts w:ascii="Helvetica" w:eastAsia="Times New Roman" w:hAnsi="Helvetica" w:cs="Helvetica"/>
                <w:color w:val="000000"/>
                <w:kern w:val="24"/>
                <w:sz w:val="24"/>
                <w:szCs w:val="24"/>
                <w:vertAlign w:val="superscript"/>
              </w:rPr>
              <w:t>6</w:t>
            </w:r>
          </w:p>
        </w:tc>
      </w:tr>
    </w:tbl>
    <w:p w:rsidR="00773B9A" w:rsidRPr="00773B9A" w:rsidRDefault="00773B9A" w:rsidP="00773B9A"/>
    <w:tbl>
      <w:tblPr>
        <w:tblW w:w="5000" w:type="pct"/>
        <w:tblCellMar>
          <w:left w:w="0" w:type="dxa"/>
          <w:right w:w="0" w:type="dxa"/>
        </w:tblCellMar>
        <w:tblLook w:val="0600" w:firstRow="0" w:lastRow="0" w:firstColumn="0" w:lastColumn="0" w:noHBand="1" w:noVBand="1"/>
      </w:tblPr>
      <w:tblGrid>
        <w:gridCol w:w="1878"/>
        <w:gridCol w:w="1878"/>
        <w:gridCol w:w="1878"/>
        <w:gridCol w:w="1878"/>
        <w:gridCol w:w="1878"/>
      </w:tblGrid>
      <w:tr w:rsidR="00773B9A" w:rsidRPr="00D21163" w:rsidTr="00773B9A">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21163" w:rsidRPr="00D21163" w:rsidRDefault="00773B9A" w:rsidP="00773B9A">
            <w:pPr>
              <w:spacing w:after="0" w:line="240" w:lineRule="auto"/>
              <w:jc w:val="center"/>
              <w:textAlignment w:val="center"/>
              <w:rPr>
                <w:rFonts w:ascii="Helvetica" w:eastAsia="Times New Roman" w:hAnsi="Helvetica" w:cs="Helvetica"/>
                <w:sz w:val="24"/>
                <w:szCs w:val="24"/>
              </w:rPr>
            </w:pPr>
            <w:r w:rsidRPr="00D21163">
              <w:rPr>
                <w:rFonts w:ascii="Helvetica" w:eastAsia="Times New Roman" w:hAnsi="Helvetica" w:cs="Helvetica"/>
                <w:b/>
                <w:bCs/>
                <w:color w:val="000000"/>
                <w:kern w:val="24"/>
                <w:sz w:val="24"/>
                <w:szCs w:val="24"/>
              </w:rPr>
              <w:t>Key:</w:t>
            </w:r>
          </w:p>
        </w:tc>
      </w:tr>
      <w:tr w:rsidR="00773B9A" w:rsidRPr="00D21163" w:rsidTr="00773B9A">
        <w:tc>
          <w:tcPr>
            <w:tcW w:w="1000" w:type="pct"/>
            <w:tcBorders>
              <w:top w:val="single" w:sz="4" w:space="0" w:color="000000"/>
              <w:left w:val="single" w:sz="4" w:space="0" w:color="000000"/>
              <w:bottom w:val="single" w:sz="4" w:space="0" w:color="000000"/>
              <w:right w:val="single" w:sz="4" w:space="0" w:color="000000"/>
            </w:tcBorders>
            <w:shd w:val="clear" w:color="auto" w:fill="E79791"/>
            <w:tcMar>
              <w:top w:w="15" w:type="dxa"/>
              <w:left w:w="15" w:type="dxa"/>
              <w:bottom w:w="0" w:type="dxa"/>
              <w:right w:w="15" w:type="dxa"/>
            </w:tcMar>
            <w:vAlign w:val="center"/>
            <w:hideMark/>
          </w:tcPr>
          <w:p w:rsidR="00D21163" w:rsidRPr="00D21163" w:rsidRDefault="00773B9A" w:rsidP="00773B9A">
            <w:pPr>
              <w:spacing w:after="0" w:line="240" w:lineRule="auto"/>
              <w:jc w:val="center"/>
              <w:textAlignment w:val="center"/>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&lt;25th</w:t>
            </w:r>
            <w:r w:rsidRPr="00702365">
              <w:rPr>
                <w:rFonts w:ascii="Helvetica" w:eastAsia="Times New Roman" w:hAnsi="Helvetica" w:cs="Helvetica"/>
                <w:color w:val="000000"/>
                <w:kern w:val="24"/>
                <w:sz w:val="24"/>
                <w:szCs w:val="24"/>
                <w:vertAlign w:val="superscript"/>
              </w:rPr>
              <w:t>2</w:t>
            </w:r>
          </w:p>
        </w:tc>
        <w:tc>
          <w:tcPr>
            <w:tcW w:w="1000" w:type="pct"/>
            <w:tcBorders>
              <w:top w:val="single" w:sz="4" w:space="0" w:color="000000"/>
              <w:left w:val="single" w:sz="4" w:space="0" w:color="000000"/>
              <w:bottom w:val="single" w:sz="4" w:space="0" w:color="000000"/>
              <w:right w:val="single" w:sz="4" w:space="0" w:color="000000"/>
            </w:tcBorders>
            <w:shd w:val="clear" w:color="auto" w:fill="F4CFCC"/>
            <w:tcMar>
              <w:top w:w="15" w:type="dxa"/>
              <w:left w:w="15" w:type="dxa"/>
              <w:bottom w:w="0" w:type="dxa"/>
              <w:right w:w="15" w:type="dxa"/>
            </w:tcMar>
            <w:vAlign w:val="center"/>
            <w:hideMark/>
          </w:tcPr>
          <w:p w:rsidR="00D21163" w:rsidRPr="00D21163" w:rsidRDefault="00773B9A" w:rsidP="00773B9A">
            <w:pPr>
              <w:spacing w:after="0" w:line="240" w:lineRule="auto"/>
              <w:jc w:val="center"/>
              <w:textAlignment w:val="center"/>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25th - 50th</w:t>
            </w:r>
            <w:r w:rsidRPr="00702365">
              <w:rPr>
                <w:rFonts w:ascii="Helvetica" w:eastAsia="Times New Roman" w:hAnsi="Helvetica" w:cs="Helvetica"/>
                <w:color w:val="000000"/>
                <w:kern w:val="24"/>
                <w:sz w:val="24"/>
                <w:szCs w:val="24"/>
                <w:vertAlign w:val="superscript"/>
              </w:rPr>
              <w:t>3</w:t>
            </w:r>
          </w:p>
        </w:tc>
        <w:tc>
          <w:tcPr>
            <w:tcW w:w="1000" w:type="pct"/>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bottom w:w="0" w:type="dxa"/>
              <w:right w:w="15" w:type="dxa"/>
            </w:tcMar>
            <w:vAlign w:val="center"/>
            <w:hideMark/>
          </w:tcPr>
          <w:p w:rsidR="00D21163" w:rsidRPr="00D21163" w:rsidRDefault="00773B9A" w:rsidP="00773B9A">
            <w:pPr>
              <w:spacing w:after="0" w:line="240" w:lineRule="auto"/>
              <w:jc w:val="center"/>
              <w:textAlignment w:val="center"/>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50th - 75th</w:t>
            </w:r>
            <w:r>
              <w:rPr>
                <w:rFonts w:ascii="Helvetica" w:eastAsia="Times New Roman" w:hAnsi="Helvetica" w:cs="Helvetica"/>
                <w:bCs/>
                <w:color w:val="000000" w:themeColor="text1"/>
                <w:kern w:val="24"/>
                <w:sz w:val="24"/>
                <w:szCs w:val="24"/>
                <w:vertAlign w:val="superscript"/>
              </w:rPr>
              <w:t>4</w:t>
            </w:r>
          </w:p>
        </w:tc>
        <w:tc>
          <w:tcPr>
            <w:tcW w:w="1000" w:type="pct"/>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rsidR="00D21163" w:rsidRPr="00D21163" w:rsidRDefault="00773B9A" w:rsidP="00773B9A">
            <w:pPr>
              <w:spacing w:after="0" w:line="240" w:lineRule="auto"/>
              <w:jc w:val="center"/>
              <w:textAlignment w:val="center"/>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75th - 90th</w:t>
            </w:r>
            <w:r w:rsidRPr="00702365">
              <w:rPr>
                <w:rFonts w:ascii="Helvetica" w:eastAsia="Times New Roman" w:hAnsi="Helvetica" w:cs="Helvetica"/>
                <w:color w:val="000000"/>
                <w:kern w:val="24"/>
                <w:sz w:val="24"/>
                <w:szCs w:val="24"/>
                <w:vertAlign w:val="superscript"/>
              </w:rPr>
              <w:t>5</w:t>
            </w:r>
          </w:p>
        </w:tc>
        <w:tc>
          <w:tcPr>
            <w:tcW w:w="1000" w:type="pct"/>
            <w:tcBorders>
              <w:top w:val="single" w:sz="4" w:space="0" w:color="000000"/>
              <w:left w:val="single" w:sz="4" w:space="0" w:color="000000"/>
              <w:bottom w:val="single" w:sz="4" w:space="0" w:color="000000"/>
              <w:right w:val="single" w:sz="4" w:space="0" w:color="000000"/>
            </w:tcBorders>
            <w:shd w:val="clear" w:color="auto" w:fill="70AD47"/>
            <w:tcMar>
              <w:top w:w="15" w:type="dxa"/>
              <w:left w:w="15" w:type="dxa"/>
              <w:bottom w:w="0" w:type="dxa"/>
              <w:right w:w="15" w:type="dxa"/>
            </w:tcMar>
            <w:vAlign w:val="center"/>
            <w:hideMark/>
          </w:tcPr>
          <w:p w:rsidR="00D21163" w:rsidRPr="00D21163" w:rsidRDefault="00773B9A" w:rsidP="00773B9A">
            <w:pPr>
              <w:spacing w:after="0" w:line="240" w:lineRule="auto"/>
              <w:jc w:val="center"/>
              <w:textAlignment w:val="center"/>
              <w:rPr>
                <w:rFonts w:ascii="Helvetica" w:eastAsia="Times New Roman" w:hAnsi="Helvetica" w:cs="Helvetica"/>
                <w:sz w:val="24"/>
                <w:szCs w:val="24"/>
              </w:rPr>
            </w:pPr>
            <w:r w:rsidRPr="00D21163">
              <w:rPr>
                <w:rFonts w:ascii="Arial" w:eastAsia="Times New Roman" w:hAnsi="Arial" w:cs="Arial"/>
                <w:color w:val="000000"/>
                <w:kern w:val="24"/>
                <w:sz w:val="24"/>
                <w:szCs w:val="24"/>
              </w:rPr>
              <w:t>≥</w:t>
            </w:r>
            <w:r w:rsidRPr="00D21163">
              <w:rPr>
                <w:rFonts w:ascii="Helvetica" w:eastAsia="Times New Roman" w:hAnsi="Helvetica" w:cs="Helvetica"/>
                <w:color w:val="000000"/>
                <w:kern w:val="24"/>
                <w:sz w:val="24"/>
                <w:szCs w:val="24"/>
              </w:rPr>
              <w:t>90th</w:t>
            </w:r>
            <w:r w:rsidRPr="00D21163">
              <w:rPr>
                <w:rFonts w:ascii="Helvetica" w:eastAsia="Times New Roman" w:hAnsi="Helvetica" w:cs="Helvetica"/>
                <w:color w:val="000000"/>
                <w:kern w:val="24"/>
                <w:sz w:val="24"/>
                <w:szCs w:val="24"/>
                <w:vertAlign w:val="superscript"/>
              </w:rPr>
              <w:t>6</w:t>
            </w:r>
          </w:p>
        </w:tc>
      </w:tr>
    </w:tbl>
    <w:p w:rsidR="00DB524A" w:rsidRDefault="00DB524A" w:rsidP="00DB524A">
      <w:pPr>
        <w:rPr>
          <w:rFonts w:ascii="Helvetica" w:hAnsi="Helvetica" w:cs="Helvetica"/>
          <w:vertAlign w:val="superscript"/>
        </w:rPr>
      </w:pPr>
    </w:p>
    <w:p w:rsidR="00DB524A" w:rsidRPr="00DB524A" w:rsidRDefault="00DB524A" w:rsidP="00DB524A">
      <w:pPr>
        <w:rPr>
          <w:rFonts w:ascii="Helvetica" w:hAnsi="Helvetica" w:cs="Helvetica"/>
        </w:rPr>
      </w:pPr>
      <w:r w:rsidRPr="00DB524A">
        <w:rPr>
          <w:rFonts w:ascii="Helvetica" w:hAnsi="Helvetica" w:cs="Helvetica"/>
          <w:vertAlign w:val="superscript"/>
        </w:rPr>
        <w:t>1</w:t>
      </w:r>
      <w:r w:rsidRPr="00DB524A">
        <w:rPr>
          <w:rFonts w:ascii="Helvetica" w:hAnsi="Helvetica" w:cs="Helvetica"/>
        </w:rPr>
        <w:t>One MCO did not do medical record review (resulting in a rate of 0%), likely pulling down the MassHealth rate by 3-4 percentage points.</w:t>
      </w:r>
    </w:p>
    <w:p w:rsidR="00DB524A" w:rsidRPr="00DB524A" w:rsidRDefault="00DB524A" w:rsidP="00DB524A">
      <w:pPr>
        <w:rPr>
          <w:rFonts w:ascii="Helvetica" w:hAnsi="Helvetica" w:cs="Helvetica"/>
          <w:b/>
          <w:smallCaps/>
        </w:rPr>
      </w:pPr>
      <w:r w:rsidRPr="00DB524A">
        <w:rPr>
          <w:rFonts w:ascii="Helvetica" w:hAnsi="Helvetica" w:cs="Helvetica"/>
        </w:rPr>
        <w:t>Note: Data are not provided for: Child and Adolescent Major Depressive Disorder: Suicide Risk Assessment, Continuity of Pharmacotherapy for Opioid Use Disorder, Influenza Immunization</w:t>
      </w:r>
    </w:p>
    <w:p w:rsidR="009B7197" w:rsidRDefault="009B7197" w:rsidP="00DB524A">
      <w:pPr>
        <w:pStyle w:val="Heading1"/>
        <w:tabs>
          <w:tab w:val="left" w:pos="2296"/>
        </w:tabs>
      </w:pPr>
      <w:r w:rsidRPr="00A35C58">
        <w:t xml:space="preserve">Slide </w:t>
      </w:r>
      <w:r w:rsidR="00773B9A">
        <w:t>46</w:t>
      </w:r>
    </w:p>
    <w:p w:rsidR="00F42212" w:rsidRDefault="00773B9A" w:rsidP="00CA1C68">
      <w:pPr>
        <w:pStyle w:val="Heading2"/>
      </w:pPr>
      <w:r w:rsidRPr="00773B9A">
        <w:t>Menu Measure Performance (2 of 2)</w:t>
      </w:r>
    </w:p>
    <w:tbl>
      <w:tblPr>
        <w:tblW w:w="4942" w:type="pct"/>
        <w:tblCellMar>
          <w:left w:w="0" w:type="dxa"/>
          <w:right w:w="0" w:type="dxa"/>
        </w:tblCellMar>
        <w:tblLook w:val="0600" w:firstRow="0" w:lastRow="0" w:firstColumn="0" w:lastColumn="0" w:noHBand="1" w:noVBand="1"/>
      </w:tblPr>
      <w:tblGrid>
        <w:gridCol w:w="4509"/>
        <w:gridCol w:w="1051"/>
        <w:gridCol w:w="823"/>
        <w:gridCol w:w="704"/>
        <w:gridCol w:w="783"/>
        <w:gridCol w:w="577"/>
        <w:gridCol w:w="824"/>
      </w:tblGrid>
      <w:tr w:rsidR="00DB524A" w:rsidRPr="00773B9A" w:rsidTr="00DB524A">
        <w:trPr>
          <w:trHeight w:val="399"/>
        </w:trPr>
        <w:tc>
          <w:tcPr>
            <w:tcW w:w="2433" w:type="pct"/>
            <w:vMerge w:val="restart"/>
            <w:tcBorders>
              <w:top w:val="single" w:sz="8" w:space="0" w:color="000000"/>
              <w:left w:val="single" w:sz="8" w:space="0" w:color="000000"/>
              <w:bottom w:val="single" w:sz="8" w:space="0" w:color="000000"/>
              <w:right w:val="single" w:sz="8" w:space="0" w:color="000000"/>
            </w:tcBorders>
            <w:shd w:val="clear" w:color="auto" w:fill="002060"/>
            <w:tcMar>
              <w:top w:w="7" w:type="dxa"/>
              <w:left w:w="7" w:type="dxa"/>
              <w:bottom w:w="0" w:type="dxa"/>
              <w:right w:w="7" w:type="dxa"/>
            </w:tcMar>
            <w:vAlign w:val="bottom"/>
            <w:hideMark/>
          </w:tcPr>
          <w:p w:rsidR="00DB524A" w:rsidRPr="00773B9A" w:rsidRDefault="00DB524A" w:rsidP="00773B9A">
            <w:pPr>
              <w:spacing w:after="0" w:line="240" w:lineRule="auto"/>
              <w:jc w:val="left"/>
              <w:textAlignment w:val="bottom"/>
              <w:rPr>
                <w:rFonts w:ascii="Helvetica" w:eastAsia="Times New Roman" w:hAnsi="Helvetica" w:cs="Helvetica"/>
                <w:sz w:val="24"/>
                <w:szCs w:val="24"/>
              </w:rPr>
            </w:pPr>
            <w:r w:rsidRPr="00773B9A">
              <w:rPr>
                <w:rFonts w:ascii="Helvetica" w:eastAsia="Times New Roman" w:hAnsi="Helvetica" w:cs="Helvetica"/>
                <w:b/>
                <w:bCs/>
                <w:color w:val="FFFFFF"/>
                <w:kern w:val="24"/>
                <w:sz w:val="24"/>
                <w:szCs w:val="24"/>
              </w:rPr>
              <w:t>Measure</w:t>
            </w:r>
          </w:p>
        </w:tc>
        <w:tc>
          <w:tcPr>
            <w:tcW w:w="1393" w:type="pct"/>
            <w:gridSpan w:val="3"/>
            <w:tcBorders>
              <w:top w:val="single" w:sz="8" w:space="0" w:color="000000"/>
              <w:left w:val="single" w:sz="8" w:space="0" w:color="000000"/>
              <w:bottom w:val="single" w:sz="8" w:space="0" w:color="000000"/>
              <w:right w:val="single" w:sz="8" w:space="0" w:color="000000"/>
            </w:tcBorders>
            <w:shd w:val="clear" w:color="auto" w:fill="002060"/>
            <w:tcMar>
              <w:top w:w="7" w:type="dxa"/>
              <w:left w:w="7" w:type="dxa"/>
              <w:bottom w:w="0" w:type="dxa"/>
              <w:right w:w="7" w:type="dxa"/>
            </w:tcMar>
            <w:vAlign w:val="center"/>
            <w:hideMark/>
          </w:tcPr>
          <w:p w:rsidR="00DB524A" w:rsidRPr="00773B9A" w:rsidRDefault="00DB524A" w:rsidP="00773B9A">
            <w:pPr>
              <w:spacing w:after="0" w:line="240" w:lineRule="auto"/>
              <w:jc w:val="center"/>
              <w:textAlignment w:val="bottom"/>
              <w:rPr>
                <w:rFonts w:ascii="Helvetica" w:eastAsia="Times New Roman" w:hAnsi="Helvetica" w:cs="Helvetica"/>
                <w:sz w:val="24"/>
                <w:szCs w:val="24"/>
              </w:rPr>
            </w:pPr>
            <w:r w:rsidRPr="00773B9A">
              <w:rPr>
                <w:rFonts w:ascii="Helvetica" w:eastAsia="Times New Roman" w:hAnsi="Helvetica" w:cs="Helvetica"/>
                <w:b/>
                <w:bCs/>
                <w:color w:val="FFFFFF"/>
                <w:kern w:val="24"/>
                <w:sz w:val="24"/>
                <w:szCs w:val="24"/>
              </w:rPr>
              <w:t>Commercial</w:t>
            </w:r>
          </w:p>
        </w:tc>
        <w:tc>
          <w:tcPr>
            <w:tcW w:w="1174" w:type="pct"/>
            <w:gridSpan w:val="3"/>
            <w:tcBorders>
              <w:top w:val="single" w:sz="8" w:space="0" w:color="000000"/>
              <w:left w:val="single" w:sz="8" w:space="0" w:color="000000"/>
              <w:bottom w:val="single" w:sz="8" w:space="0" w:color="000000"/>
              <w:right w:val="single" w:sz="8" w:space="0" w:color="000000"/>
            </w:tcBorders>
            <w:shd w:val="clear" w:color="auto" w:fill="023467"/>
            <w:tcMar>
              <w:top w:w="7" w:type="dxa"/>
              <w:left w:w="7" w:type="dxa"/>
              <w:bottom w:w="0" w:type="dxa"/>
              <w:right w:w="7" w:type="dxa"/>
            </w:tcMar>
            <w:vAlign w:val="center"/>
            <w:hideMark/>
          </w:tcPr>
          <w:p w:rsidR="00DB524A" w:rsidRPr="00773B9A" w:rsidRDefault="00DB524A" w:rsidP="00773B9A">
            <w:pPr>
              <w:spacing w:after="0" w:line="240" w:lineRule="auto"/>
              <w:jc w:val="center"/>
              <w:textAlignment w:val="bottom"/>
              <w:rPr>
                <w:rFonts w:ascii="Helvetica" w:eastAsia="Times New Roman" w:hAnsi="Helvetica" w:cs="Helvetica"/>
                <w:sz w:val="24"/>
                <w:szCs w:val="24"/>
              </w:rPr>
            </w:pPr>
            <w:r w:rsidRPr="00773B9A">
              <w:rPr>
                <w:rFonts w:ascii="Helvetica" w:eastAsia="Times New Roman" w:hAnsi="Helvetica" w:cs="Helvetica"/>
                <w:b/>
                <w:bCs/>
                <w:color w:val="FFFFFF"/>
                <w:kern w:val="24"/>
                <w:sz w:val="24"/>
                <w:szCs w:val="24"/>
              </w:rPr>
              <w:t>MassHealth</w:t>
            </w:r>
          </w:p>
        </w:tc>
      </w:tr>
      <w:tr w:rsidR="00DB524A" w:rsidRPr="00773B9A" w:rsidTr="00DB524A">
        <w:trPr>
          <w:trHeight w:val="463"/>
        </w:trPr>
        <w:tc>
          <w:tcPr>
            <w:tcW w:w="2433" w:type="pct"/>
            <w:vMerge/>
            <w:tcBorders>
              <w:top w:val="single" w:sz="8" w:space="0" w:color="000000"/>
              <w:left w:val="single" w:sz="8" w:space="0" w:color="000000"/>
              <w:bottom w:val="single" w:sz="8" w:space="0" w:color="000000"/>
              <w:right w:val="single" w:sz="8" w:space="0" w:color="000000"/>
            </w:tcBorders>
            <w:vAlign w:val="center"/>
            <w:hideMark/>
          </w:tcPr>
          <w:p w:rsidR="00DB524A" w:rsidRPr="00773B9A" w:rsidRDefault="00DB524A" w:rsidP="00773B9A">
            <w:pPr>
              <w:spacing w:after="0" w:line="240" w:lineRule="auto"/>
              <w:jc w:val="left"/>
              <w:rPr>
                <w:rFonts w:ascii="Helvetica" w:eastAsia="Times New Roman" w:hAnsi="Helvetica" w:cs="Helvetica"/>
                <w:sz w:val="24"/>
                <w:szCs w:val="24"/>
              </w:rPr>
            </w:pPr>
          </w:p>
        </w:tc>
        <w:tc>
          <w:tcPr>
            <w:tcW w:w="568" w:type="pct"/>
            <w:tcBorders>
              <w:top w:val="single" w:sz="8" w:space="0" w:color="000000"/>
              <w:left w:val="single" w:sz="8" w:space="0" w:color="000000"/>
              <w:bottom w:val="single" w:sz="8" w:space="0" w:color="000000"/>
              <w:right w:val="single" w:sz="8" w:space="0" w:color="000000"/>
            </w:tcBorders>
            <w:shd w:val="clear" w:color="auto" w:fill="002060"/>
            <w:tcMar>
              <w:top w:w="7" w:type="dxa"/>
              <w:left w:w="7" w:type="dxa"/>
              <w:bottom w:w="0" w:type="dxa"/>
              <w:right w:w="7" w:type="dxa"/>
            </w:tcMar>
            <w:vAlign w:val="center"/>
            <w:hideMark/>
          </w:tcPr>
          <w:p w:rsidR="00DB524A" w:rsidRPr="00773B9A" w:rsidRDefault="00DB524A" w:rsidP="00773B9A">
            <w:pPr>
              <w:spacing w:after="0" w:line="240" w:lineRule="auto"/>
              <w:jc w:val="center"/>
              <w:textAlignment w:val="bottom"/>
              <w:rPr>
                <w:rFonts w:ascii="Helvetica" w:eastAsia="Times New Roman" w:hAnsi="Helvetica" w:cs="Helvetica"/>
                <w:sz w:val="24"/>
                <w:szCs w:val="24"/>
              </w:rPr>
            </w:pPr>
            <w:r w:rsidRPr="00773B9A">
              <w:rPr>
                <w:rFonts w:ascii="Helvetica" w:eastAsia="Times New Roman" w:hAnsi="Helvetica" w:cs="Helvetica"/>
                <w:b/>
                <w:bCs/>
                <w:color w:val="FFFFFF"/>
                <w:kern w:val="24"/>
                <w:sz w:val="24"/>
                <w:szCs w:val="24"/>
              </w:rPr>
              <w:t>2016</w:t>
            </w:r>
          </w:p>
        </w:tc>
        <w:tc>
          <w:tcPr>
            <w:tcW w:w="445" w:type="pct"/>
            <w:tcBorders>
              <w:top w:val="single" w:sz="8" w:space="0" w:color="000000"/>
              <w:left w:val="single" w:sz="8" w:space="0" w:color="000000"/>
              <w:bottom w:val="single" w:sz="8" w:space="0" w:color="000000"/>
              <w:right w:val="single" w:sz="8" w:space="0" w:color="000000"/>
            </w:tcBorders>
            <w:shd w:val="clear" w:color="auto" w:fill="002060"/>
            <w:tcMar>
              <w:top w:w="7" w:type="dxa"/>
              <w:left w:w="7" w:type="dxa"/>
              <w:bottom w:w="0" w:type="dxa"/>
              <w:right w:w="7" w:type="dxa"/>
            </w:tcMar>
            <w:vAlign w:val="center"/>
            <w:hideMark/>
          </w:tcPr>
          <w:p w:rsidR="00DB524A" w:rsidRPr="00773B9A" w:rsidRDefault="00DB524A" w:rsidP="00773B9A">
            <w:pPr>
              <w:spacing w:after="0" w:line="240" w:lineRule="auto"/>
              <w:jc w:val="center"/>
              <w:textAlignment w:val="bottom"/>
              <w:rPr>
                <w:rFonts w:ascii="Helvetica" w:eastAsia="Times New Roman" w:hAnsi="Helvetica" w:cs="Helvetica"/>
                <w:sz w:val="24"/>
                <w:szCs w:val="24"/>
              </w:rPr>
            </w:pPr>
            <w:r w:rsidRPr="00773B9A">
              <w:rPr>
                <w:rFonts w:ascii="Helvetica" w:eastAsia="Times New Roman" w:hAnsi="Helvetica" w:cs="Helvetica"/>
                <w:b/>
                <w:bCs/>
                <w:color w:val="FFFFFF"/>
                <w:kern w:val="24"/>
                <w:sz w:val="24"/>
                <w:szCs w:val="24"/>
              </w:rPr>
              <w:t>2017</w:t>
            </w:r>
          </w:p>
        </w:tc>
        <w:tc>
          <w:tcPr>
            <w:tcW w:w="380" w:type="pct"/>
            <w:tcBorders>
              <w:top w:val="single" w:sz="8" w:space="0" w:color="000000"/>
              <w:left w:val="single" w:sz="8" w:space="0" w:color="000000"/>
              <w:bottom w:val="single" w:sz="8" w:space="0" w:color="000000"/>
              <w:right w:val="single" w:sz="8" w:space="0" w:color="000000"/>
            </w:tcBorders>
            <w:shd w:val="clear" w:color="auto" w:fill="002060"/>
            <w:tcMar>
              <w:top w:w="7" w:type="dxa"/>
              <w:left w:w="7" w:type="dxa"/>
              <w:bottom w:w="0" w:type="dxa"/>
              <w:right w:w="7" w:type="dxa"/>
            </w:tcMar>
            <w:vAlign w:val="center"/>
            <w:hideMark/>
          </w:tcPr>
          <w:p w:rsidR="00DB524A" w:rsidRPr="00773B9A" w:rsidRDefault="00DB524A" w:rsidP="00773B9A">
            <w:pPr>
              <w:spacing w:after="0" w:line="240" w:lineRule="auto"/>
              <w:jc w:val="center"/>
              <w:textAlignment w:val="bottom"/>
              <w:rPr>
                <w:rFonts w:ascii="Helvetica" w:eastAsia="Times New Roman" w:hAnsi="Helvetica" w:cs="Helvetica"/>
                <w:sz w:val="24"/>
                <w:szCs w:val="24"/>
              </w:rPr>
            </w:pPr>
            <w:r w:rsidRPr="00773B9A">
              <w:rPr>
                <w:rFonts w:ascii="Helvetica" w:eastAsia="Times New Roman" w:hAnsi="Helvetica" w:cs="Helvetica"/>
                <w:b/>
                <w:bCs/>
                <w:color w:val="FFFFFF"/>
                <w:kern w:val="24"/>
                <w:sz w:val="24"/>
                <w:szCs w:val="24"/>
              </w:rPr>
              <w:t>2018</w:t>
            </w:r>
          </w:p>
        </w:tc>
        <w:tc>
          <w:tcPr>
            <w:tcW w:w="423" w:type="pct"/>
            <w:tcBorders>
              <w:top w:val="single" w:sz="8" w:space="0" w:color="000000"/>
              <w:left w:val="single" w:sz="8" w:space="0" w:color="000000"/>
              <w:bottom w:val="single" w:sz="8" w:space="0" w:color="000000"/>
              <w:right w:val="single" w:sz="8" w:space="0" w:color="000000"/>
            </w:tcBorders>
            <w:shd w:val="clear" w:color="auto" w:fill="023467"/>
            <w:tcMar>
              <w:top w:w="7" w:type="dxa"/>
              <w:left w:w="7" w:type="dxa"/>
              <w:bottom w:w="0" w:type="dxa"/>
              <w:right w:w="7" w:type="dxa"/>
            </w:tcMar>
            <w:vAlign w:val="center"/>
            <w:hideMark/>
          </w:tcPr>
          <w:p w:rsidR="00DB524A" w:rsidRPr="00773B9A" w:rsidRDefault="00DB524A" w:rsidP="00773B9A">
            <w:pPr>
              <w:spacing w:after="0" w:line="240" w:lineRule="auto"/>
              <w:jc w:val="center"/>
              <w:textAlignment w:val="bottom"/>
              <w:rPr>
                <w:rFonts w:ascii="Helvetica" w:eastAsia="Times New Roman" w:hAnsi="Helvetica" w:cs="Helvetica"/>
                <w:sz w:val="24"/>
                <w:szCs w:val="24"/>
              </w:rPr>
            </w:pPr>
            <w:r w:rsidRPr="00773B9A">
              <w:rPr>
                <w:rFonts w:ascii="Helvetica" w:eastAsia="Times New Roman" w:hAnsi="Helvetica" w:cs="Helvetica"/>
                <w:b/>
                <w:bCs/>
                <w:color w:val="FFFFFF"/>
                <w:kern w:val="24"/>
                <w:sz w:val="24"/>
                <w:szCs w:val="24"/>
              </w:rPr>
              <w:t>2016</w:t>
            </w:r>
          </w:p>
        </w:tc>
        <w:tc>
          <w:tcPr>
            <w:tcW w:w="306" w:type="pct"/>
            <w:tcBorders>
              <w:top w:val="single" w:sz="8" w:space="0" w:color="000000"/>
              <w:left w:val="single" w:sz="8" w:space="0" w:color="000000"/>
              <w:bottom w:val="single" w:sz="8" w:space="0" w:color="000000"/>
              <w:right w:val="single" w:sz="8" w:space="0" w:color="000000"/>
            </w:tcBorders>
            <w:shd w:val="clear" w:color="auto" w:fill="023467"/>
            <w:tcMar>
              <w:top w:w="7" w:type="dxa"/>
              <w:left w:w="7" w:type="dxa"/>
              <w:bottom w:w="0" w:type="dxa"/>
              <w:right w:w="7" w:type="dxa"/>
            </w:tcMar>
            <w:vAlign w:val="center"/>
            <w:hideMark/>
          </w:tcPr>
          <w:p w:rsidR="00DB524A" w:rsidRPr="00773B9A" w:rsidRDefault="00DB524A" w:rsidP="00773B9A">
            <w:pPr>
              <w:spacing w:after="0" w:line="240" w:lineRule="auto"/>
              <w:jc w:val="center"/>
              <w:textAlignment w:val="bottom"/>
              <w:rPr>
                <w:rFonts w:ascii="Helvetica" w:eastAsia="Times New Roman" w:hAnsi="Helvetica" w:cs="Helvetica"/>
                <w:sz w:val="24"/>
                <w:szCs w:val="24"/>
              </w:rPr>
            </w:pPr>
            <w:r w:rsidRPr="00773B9A">
              <w:rPr>
                <w:rFonts w:ascii="Helvetica" w:eastAsia="Times New Roman" w:hAnsi="Helvetica" w:cs="Helvetica"/>
                <w:b/>
                <w:bCs/>
                <w:color w:val="FFFFFF"/>
                <w:kern w:val="24"/>
                <w:sz w:val="24"/>
                <w:szCs w:val="24"/>
              </w:rPr>
              <w:t>2017</w:t>
            </w:r>
          </w:p>
        </w:tc>
        <w:tc>
          <w:tcPr>
            <w:tcW w:w="444" w:type="pct"/>
            <w:tcBorders>
              <w:top w:val="single" w:sz="8" w:space="0" w:color="000000"/>
              <w:left w:val="single" w:sz="8" w:space="0" w:color="000000"/>
              <w:bottom w:val="single" w:sz="8" w:space="0" w:color="000000"/>
              <w:right w:val="single" w:sz="8" w:space="0" w:color="000000"/>
            </w:tcBorders>
            <w:shd w:val="clear" w:color="auto" w:fill="023467"/>
            <w:tcMar>
              <w:top w:w="7" w:type="dxa"/>
              <w:left w:w="7" w:type="dxa"/>
              <w:bottom w:w="0" w:type="dxa"/>
              <w:right w:w="7" w:type="dxa"/>
            </w:tcMar>
            <w:vAlign w:val="center"/>
            <w:hideMark/>
          </w:tcPr>
          <w:p w:rsidR="00DB524A" w:rsidRPr="00773B9A" w:rsidRDefault="00DB524A" w:rsidP="00773B9A">
            <w:pPr>
              <w:spacing w:after="0" w:line="240" w:lineRule="auto"/>
              <w:jc w:val="center"/>
              <w:textAlignment w:val="bottom"/>
              <w:rPr>
                <w:rFonts w:ascii="Helvetica" w:eastAsia="Times New Roman" w:hAnsi="Helvetica" w:cs="Helvetica"/>
                <w:sz w:val="24"/>
                <w:szCs w:val="24"/>
              </w:rPr>
            </w:pPr>
            <w:r w:rsidRPr="00773B9A">
              <w:rPr>
                <w:rFonts w:ascii="Helvetica" w:eastAsia="Times New Roman" w:hAnsi="Helvetica" w:cs="Helvetica"/>
                <w:b/>
                <w:bCs/>
                <w:color w:val="FFFFFF"/>
                <w:kern w:val="24"/>
                <w:sz w:val="24"/>
                <w:szCs w:val="24"/>
              </w:rPr>
              <w:t>2018</w:t>
            </w:r>
          </w:p>
        </w:tc>
      </w:tr>
      <w:tr w:rsidR="00DB524A" w:rsidRPr="00773B9A" w:rsidTr="00DB524A">
        <w:trPr>
          <w:trHeight w:val="531"/>
        </w:trPr>
        <w:tc>
          <w:tcPr>
            <w:tcW w:w="2433" w:type="pct"/>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hideMark/>
          </w:tcPr>
          <w:p w:rsidR="00DB524A" w:rsidRPr="00773B9A" w:rsidRDefault="00DB524A" w:rsidP="00773B9A">
            <w:pPr>
              <w:spacing w:after="0" w:line="240" w:lineRule="auto"/>
              <w:jc w:val="left"/>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Follow-Up After Hospitalization for Mental Illness (30-Day)</w:t>
            </w:r>
          </w:p>
        </w:tc>
        <w:tc>
          <w:tcPr>
            <w:tcW w:w="568"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773B9A" w:rsidRDefault="00DB524A" w:rsidP="00773B9A">
            <w:pPr>
              <w:spacing w:after="0" w:line="240" w:lineRule="auto"/>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87.9</w:t>
            </w:r>
            <w:r w:rsidR="002E4CFA" w:rsidRPr="00D21163">
              <w:rPr>
                <w:rFonts w:ascii="Helvetica" w:eastAsia="Times New Roman" w:hAnsi="Helvetica" w:cs="Helvetica"/>
                <w:color w:val="000000"/>
                <w:kern w:val="24"/>
                <w:sz w:val="24"/>
                <w:szCs w:val="24"/>
                <w:vertAlign w:val="superscript"/>
              </w:rPr>
              <w:t>6</w:t>
            </w:r>
          </w:p>
        </w:tc>
        <w:tc>
          <w:tcPr>
            <w:tcW w:w="445"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773B9A" w:rsidRDefault="00DB524A" w:rsidP="00773B9A">
            <w:pPr>
              <w:spacing w:after="0" w:line="240" w:lineRule="auto"/>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83.7</w:t>
            </w:r>
            <w:r w:rsidR="002E4CFA" w:rsidRPr="00D21163">
              <w:rPr>
                <w:rFonts w:ascii="Helvetica" w:eastAsia="Times New Roman" w:hAnsi="Helvetica" w:cs="Helvetica"/>
                <w:color w:val="000000"/>
                <w:kern w:val="24"/>
                <w:sz w:val="24"/>
                <w:szCs w:val="24"/>
                <w:vertAlign w:val="superscript"/>
              </w:rPr>
              <w:t>6</w:t>
            </w:r>
          </w:p>
        </w:tc>
        <w:tc>
          <w:tcPr>
            <w:tcW w:w="380"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773B9A" w:rsidRDefault="00DB524A" w:rsidP="00773B9A">
            <w:pPr>
              <w:spacing w:after="0" w:line="240" w:lineRule="auto"/>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78.3</w:t>
            </w:r>
            <w:r w:rsidR="002E4CFA" w:rsidRPr="00D21163">
              <w:rPr>
                <w:rFonts w:ascii="Helvetica" w:eastAsia="Times New Roman" w:hAnsi="Helvetica" w:cs="Helvetica"/>
                <w:color w:val="000000"/>
                <w:kern w:val="24"/>
                <w:sz w:val="24"/>
                <w:szCs w:val="24"/>
                <w:vertAlign w:val="superscript"/>
              </w:rPr>
              <w:t>6</w:t>
            </w:r>
          </w:p>
        </w:tc>
        <w:tc>
          <w:tcPr>
            <w:tcW w:w="423"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773B9A" w:rsidRDefault="00DB524A" w:rsidP="00773B9A">
            <w:pPr>
              <w:spacing w:after="0" w:line="240" w:lineRule="auto"/>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81.7</w:t>
            </w:r>
            <w:r w:rsidR="002E4CFA" w:rsidRPr="00D21163">
              <w:rPr>
                <w:rFonts w:ascii="Helvetica" w:eastAsia="Times New Roman" w:hAnsi="Helvetica" w:cs="Helvetica"/>
                <w:color w:val="000000"/>
                <w:kern w:val="24"/>
                <w:sz w:val="24"/>
                <w:szCs w:val="24"/>
                <w:vertAlign w:val="superscript"/>
              </w:rPr>
              <w:t>6</w:t>
            </w:r>
          </w:p>
        </w:tc>
        <w:tc>
          <w:tcPr>
            <w:tcW w:w="306"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773B9A" w:rsidRDefault="00DB524A" w:rsidP="00773B9A">
            <w:pPr>
              <w:spacing w:after="0" w:line="240" w:lineRule="auto"/>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74.9</w:t>
            </w:r>
            <w:r w:rsidR="002E4CFA" w:rsidRPr="00D21163">
              <w:rPr>
                <w:rFonts w:ascii="Helvetica" w:eastAsia="Times New Roman" w:hAnsi="Helvetica" w:cs="Helvetica"/>
                <w:color w:val="000000"/>
                <w:kern w:val="24"/>
                <w:sz w:val="24"/>
                <w:szCs w:val="24"/>
                <w:vertAlign w:val="superscript"/>
              </w:rPr>
              <w:t>6</w:t>
            </w:r>
          </w:p>
        </w:tc>
        <w:tc>
          <w:tcPr>
            <w:tcW w:w="444" w:type="pct"/>
            <w:tcBorders>
              <w:top w:val="single" w:sz="8" w:space="0" w:color="000000"/>
              <w:left w:val="single" w:sz="8" w:space="0" w:color="000000"/>
              <w:bottom w:val="single" w:sz="8" w:space="0" w:color="000000"/>
              <w:right w:val="single" w:sz="8" w:space="0" w:color="000000"/>
            </w:tcBorders>
            <w:shd w:val="clear" w:color="auto" w:fill="FFFF00"/>
            <w:tcMar>
              <w:top w:w="7" w:type="dxa"/>
              <w:left w:w="7" w:type="dxa"/>
              <w:bottom w:w="0" w:type="dxa"/>
              <w:right w:w="7" w:type="dxa"/>
            </w:tcMar>
            <w:vAlign w:val="center"/>
            <w:hideMark/>
          </w:tcPr>
          <w:p w:rsidR="00DB524A" w:rsidRPr="00773B9A" w:rsidRDefault="00DB524A" w:rsidP="00773B9A">
            <w:pPr>
              <w:spacing w:after="0" w:line="240" w:lineRule="auto"/>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70.1</w:t>
            </w:r>
          </w:p>
        </w:tc>
      </w:tr>
      <w:tr w:rsidR="00DB524A" w:rsidRPr="00773B9A" w:rsidTr="00DB524A">
        <w:trPr>
          <w:trHeight w:val="531"/>
        </w:trPr>
        <w:tc>
          <w:tcPr>
            <w:tcW w:w="2433" w:type="pct"/>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hideMark/>
          </w:tcPr>
          <w:p w:rsidR="00DB524A" w:rsidRPr="00773B9A" w:rsidRDefault="00DB524A" w:rsidP="00773B9A">
            <w:pPr>
              <w:spacing w:after="0" w:line="240" w:lineRule="auto"/>
              <w:jc w:val="left"/>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Follow-Up After Hospitalization for Mental Illness (7-Day)</w:t>
            </w:r>
          </w:p>
        </w:tc>
        <w:tc>
          <w:tcPr>
            <w:tcW w:w="568"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773B9A" w:rsidRDefault="00DB524A" w:rsidP="00773B9A">
            <w:pPr>
              <w:spacing w:after="0" w:line="240" w:lineRule="auto"/>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74.6</w:t>
            </w:r>
            <w:r w:rsidR="002E4CFA" w:rsidRPr="00D21163">
              <w:rPr>
                <w:rFonts w:ascii="Helvetica" w:eastAsia="Times New Roman" w:hAnsi="Helvetica" w:cs="Helvetica"/>
                <w:color w:val="000000"/>
                <w:kern w:val="24"/>
                <w:sz w:val="24"/>
                <w:szCs w:val="24"/>
                <w:vertAlign w:val="superscript"/>
              </w:rPr>
              <w:t>6</w:t>
            </w:r>
          </w:p>
        </w:tc>
        <w:tc>
          <w:tcPr>
            <w:tcW w:w="445"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773B9A" w:rsidRDefault="00DB524A" w:rsidP="00773B9A">
            <w:pPr>
              <w:spacing w:after="0" w:line="240" w:lineRule="auto"/>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65.8</w:t>
            </w:r>
            <w:r w:rsidR="002E4CFA" w:rsidRPr="00D21163">
              <w:rPr>
                <w:rFonts w:ascii="Helvetica" w:eastAsia="Times New Roman" w:hAnsi="Helvetica" w:cs="Helvetica"/>
                <w:color w:val="000000"/>
                <w:kern w:val="24"/>
                <w:sz w:val="24"/>
                <w:szCs w:val="24"/>
                <w:vertAlign w:val="superscript"/>
              </w:rPr>
              <w:t>6</w:t>
            </w:r>
          </w:p>
        </w:tc>
        <w:tc>
          <w:tcPr>
            <w:tcW w:w="380" w:type="pct"/>
            <w:tcBorders>
              <w:top w:val="single" w:sz="8" w:space="0" w:color="000000"/>
              <w:left w:val="single" w:sz="8" w:space="0" w:color="000000"/>
              <w:bottom w:val="single" w:sz="8" w:space="0" w:color="000000"/>
              <w:right w:val="single" w:sz="8" w:space="0" w:color="000000"/>
            </w:tcBorders>
            <w:shd w:val="clear" w:color="auto" w:fill="FFFF00"/>
            <w:tcMar>
              <w:top w:w="7" w:type="dxa"/>
              <w:left w:w="7" w:type="dxa"/>
              <w:bottom w:w="0" w:type="dxa"/>
              <w:right w:w="7" w:type="dxa"/>
            </w:tcMar>
            <w:vAlign w:val="center"/>
            <w:hideMark/>
          </w:tcPr>
          <w:p w:rsidR="00DB524A" w:rsidRPr="00773B9A" w:rsidRDefault="00DB524A" w:rsidP="00773B9A">
            <w:pPr>
              <w:spacing w:after="0" w:line="240" w:lineRule="auto"/>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58.6</w:t>
            </w:r>
          </w:p>
        </w:tc>
        <w:tc>
          <w:tcPr>
            <w:tcW w:w="423" w:type="pct"/>
            <w:tcBorders>
              <w:top w:val="single" w:sz="8" w:space="0" w:color="000000"/>
              <w:left w:val="single" w:sz="8" w:space="0" w:color="000000"/>
              <w:bottom w:val="single" w:sz="8" w:space="0" w:color="000000"/>
              <w:right w:val="single" w:sz="8" w:space="0" w:color="000000"/>
            </w:tcBorders>
            <w:shd w:val="clear" w:color="auto" w:fill="70AD47"/>
            <w:tcMar>
              <w:top w:w="7" w:type="dxa"/>
              <w:left w:w="7" w:type="dxa"/>
              <w:bottom w:w="0" w:type="dxa"/>
              <w:right w:w="7" w:type="dxa"/>
            </w:tcMar>
            <w:vAlign w:val="center"/>
            <w:hideMark/>
          </w:tcPr>
          <w:p w:rsidR="00DB524A" w:rsidRPr="00773B9A" w:rsidRDefault="00DB524A" w:rsidP="00773B9A">
            <w:pPr>
              <w:spacing w:after="0" w:line="240" w:lineRule="auto"/>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65.8</w:t>
            </w:r>
            <w:r w:rsidR="002E4CFA" w:rsidRPr="00D21163">
              <w:rPr>
                <w:rFonts w:ascii="Helvetica" w:eastAsia="Times New Roman" w:hAnsi="Helvetica" w:cs="Helvetica"/>
                <w:color w:val="000000"/>
                <w:kern w:val="24"/>
                <w:sz w:val="24"/>
                <w:szCs w:val="24"/>
                <w:vertAlign w:val="superscript"/>
              </w:rPr>
              <w:t>6</w:t>
            </w:r>
          </w:p>
        </w:tc>
        <w:tc>
          <w:tcPr>
            <w:tcW w:w="306" w:type="pct"/>
            <w:tcBorders>
              <w:top w:val="single" w:sz="8" w:space="0" w:color="000000"/>
              <w:left w:val="single" w:sz="8" w:space="0" w:color="000000"/>
              <w:bottom w:val="single" w:sz="8" w:space="0" w:color="000000"/>
              <w:right w:val="single" w:sz="8" w:space="0" w:color="000000"/>
            </w:tcBorders>
            <w:shd w:val="clear" w:color="auto" w:fill="FFFF00"/>
            <w:tcMar>
              <w:top w:w="7" w:type="dxa"/>
              <w:left w:w="7" w:type="dxa"/>
              <w:bottom w:w="0" w:type="dxa"/>
              <w:right w:w="7" w:type="dxa"/>
            </w:tcMar>
            <w:vAlign w:val="center"/>
            <w:hideMark/>
          </w:tcPr>
          <w:p w:rsidR="00DB524A" w:rsidRPr="00773B9A" w:rsidRDefault="00DB524A" w:rsidP="00773B9A">
            <w:pPr>
              <w:spacing w:after="0" w:line="240" w:lineRule="auto"/>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53.6</w:t>
            </w:r>
          </w:p>
        </w:tc>
        <w:tc>
          <w:tcPr>
            <w:tcW w:w="444" w:type="pct"/>
            <w:tcBorders>
              <w:top w:val="single" w:sz="8" w:space="0" w:color="000000"/>
              <w:left w:val="single" w:sz="8" w:space="0" w:color="000000"/>
              <w:bottom w:val="single" w:sz="8" w:space="0" w:color="000000"/>
              <w:right w:val="single" w:sz="8" w:space="0" w:color="000000"/>
            </w:tcBorders>
            <w:shd w:val="clear" w:color="auto" w:fill="FFFF00"/>
            <w:tcMar>
              <w:top w:w="7" w:type="dxa"/>
              <w:left w:w="7" w:type="dxa"/>
              <w:bottom w:w="0" w:type="dxa"/>
              <w:right w:w="7" w:type="dxa"/>
            </w:tcMar>
            <w:vAlign w:val="center"/>
            <w:hideMark/>
          </w:tcPr>
          <w:p w:rsidR="00DB524A" w:rsidRPr="00773B9A" w:rsidRDefault="00DB524A" w:rsidP="00773B9A">
            <w:pPr>
              <w:spacing w:after="0" w:line="240" w:lineRule="auto"/>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49.0</w:t>
            </w:r>
          </w:p>
        </w:tc>
      </w:tr>
      <w:tr w:rsidR="00DB524A" w:rsidRPr="00773B9A" w:rsidTr="00DB524A">
        <w:trPr>
          <w:trHeight w:val="266"/>
        </w:trPr>
        <w:tc>
          <w:tcPr>
            <w:tcW w:w="2433" w:type="pct"/>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hideMark/>
          </w:tcPr>
          <w:p w:rsidR="00DB524A" w:rsidRPr="00773B9A" w:rsidRDefault="00DB524A" w:rsidP="00773B9A">
            <w:pPr>
              <w:spacing w:after="0" w:line="266" w:lineRule="atLeast"/>
              <w:jc w:val="left"/>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Immunizations for Adolescents (Combo 2)</w:t>
            </w:r>
          </w:p>
        </w:tc>
        <w:tc>
          <w:tcPr>
            <w:tcW w:w="568" w:type="pct"/>
            <w:tcBorders>
              <w:top w:val="single" w:sz="8" w:space="0" w:color="000000"/>
              <w:left w:val="single" w:sz="8" w:space="0" w:color="000000"/>
              <w:bottom w:val="single" w:sz="8" w:space="0" w:color="000000"/>
              <w:right w:val="single" w:sz="8" w:space="0" w:color="000000"/>
            </w:tcBorders>
            <w:shd w:val="clear" w:color="auto" w:fill="FFC000"/>
            <w:tcMar>
              <w:top w:w="7" w:type="dxa"/>
              <w:left w:w="7" w:type="dxa"/>
              <w:bottom w:w="0" w:type="dxa"/>
              <w:right w:w="7" w:type="dxa"/>
            </w:tcMar>
            <w:vAlign w:val="center"/>
            <w:hideMark/>
          </w:tcPr>
          <w:p w:rsidR="00DB524A" w:rsidRPr="00773B9A" w:rsidRDefault="00DB524A" w:rsidP="00773B9A">
            <w:pPr>
              <w:spacing w:after="0" w:line="266" w:lineRule="atLeast"/>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15.5</w:t>
            </w:r>
            <w:r w:rsidR="00283D08">
              <w:rPr>
                <w:rFonts w:ascii="Helvetica" w:eastAsia="Times New Roman" w:hAnsi="Helvetica" w:cs="Helvetica"/>
                <w:bCs/>
                <w:color w:val="000000" w:themeColor="text1"/>
                <w:kern w:val="24"/>
                <w:sz w:val="24"/>
                <w:szCs w:val="24"/>
                <w:vertAlign w:val="superscript"/>
              </w:rPr>
              <w:t>4</w:t>
            </w:r>
          </w:p>
        </w:tc>
        <w:tc>
          <w:tcPr>
            <w:tcW w:w="445" w:type="pct"/>
            <w:tcBorders>
              <w:top w:val="single" w:sz="8" w:space="0" w:color="000000"/>
              <w:left w:val="single" w:sz="8" w:space="0" w:color="000000"/>
              <w:bottom w:val="single" w:sz="8" w:space="0" w:color="000000"/>
              <w:right w:val="single" w:sz="8" w:space="0" w:color="000000"/>
            </w:tcBorders>
            <w:shd w:val="clear" w:color="auto" w:fill="FFC000"/>
            <w:tcMar>
              <w:top w:w="7" w:type="dxa"/>
              <w:left w:w="7" w:type="dxa"/>
              <w:bottom w:w="0" w:type="dxa"/>
              <w:right w:w="7" w:type="dxa"/>
            </w:tcMar>
            <w:vAlign w:val="center"/>
            <w:hideMark/>
          </w:tcPr>
          <w:p w:rsidR="00DB524A" w:rsidRPr="00773B9A" w:rsidRDefault="00DB524A" w:rsidP="00773B9A">
            <w:pPr>
              <w:spacing w:after="0" w:line="266" w:lineRule="atLeast"/>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23.0</w:t>
            </w:r>
            <w:r w:rsidR="00283D08">
              <w:rPr>
                <w:rFonts w:ascii="Helvetica" w:eastAsia="Times New Roman" w:hAnsi="Helvetica" w:cs="Helvetica"/>
                <w:bCs/>
                <w:color w:val="000000" w:themeColor="text1"/>
                <w:kern w:val="24"/>
                <w:sz w:val="24"/>
                <w:szCs w:val="24"/>
                <w:vertAlign w:val="superscript"/>
              </w:rPr>
              <w:t>4</w:t>
            </w:r>
          </w:p>
        </w:tc>
        <w:tc>
          <w:tcPr>
            <w:tcW w:w="380" w:type="pct"/>
            <w:tcBorders>
              <w:top w:val="single" w:sz="8" w:space="0" w:color="000000"/>
              <w:left w:val="single" w:sz="8" w:space="0" w:color="000000"/>
              <w:bottom w:val="single" w:sz="8" w:space="0" w:color="000000"/>
              <w:right w:val="single" w:sz="8" w:space="0" w:color="000000"/>
            </w:tcBorders>
            <w:shd w:val="clear" w:color="auto" w:fill="FFC000"/>
            <w:tcMar>
              <w:top w:w="7" w:type="dxa"/>
              <w:left w:w="7" w:type="dxa"/>
              <w:bottom w:w="0" w:type="dxa"/>
              <w:right w:w="7" w:type="dxa"/>
            </w:tcMar>
            <w:vAlign w:val="center"/>
            <w:hideMark/>
          </w:tcPr>
          <w:p w:rsidR="00DB524A" w:rsidRPr="00773B9A" w:rsidRDefault="00DB524A" w:rsidP="00773B9A">
            <w:pPr>
              <w:spacing w:after="0" w:line="266" w:lineRule="atLeast"/>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29.3</w:t>
            </w:r>
            <w:r w:rsidR="00283D08">
              <w:rPr>
                <w:rFonts w:ascii="Helvetica" w:eastAsia="Times New Roman" w:hAnsi="Helvetica" w:cs="Helvetica"/>
                <w:bCs/>
                <w:color w:val="000000" w:themeColor="text1"/>
                <w:kern w:val="24"/>
                <w:sz w:val="24"/>
                <w:szCs w:val="24"/>
                <w:vertAlign w:val="superscript"/>
              </w:rPr>
              <w:t>4</w:t>
            </w:r>
          </w:p>
        </w:tc>
        <w:tc>
          <w:tcPr>
            <w:tcW w:w="423" w:type="pct"/>
            <w:tcBorders>
              <w:top w:val="single" w:sz="8" w:space="0" w:color="000000"/>
              <w:left w:val="single" w:sz="8" w:space="0" w:color="000000"/>
              <w:bottom w:val="single" w:sz="8" w:space="0" w:color="000000"/>
              <w:right w:val="single" w:sz="8" w:space="0" w:color="000000"/>
            </w:tcBorders>
            <w:shd w:val="clear" w:color="auto" w:fill="FFC000"/>
            <w:tcMar>
              <w:top w:w="7" w:type="dxa"/>
              <w:left w:w="7" w:type="dxa"/>
              <w:bottom w:w="0" w:type="dxa"/>
              <w:right w:w="7" w:type="dxa"/>
            </w:tcMar>
            <w:vAlign w:val="center"/>
            <w:hideMark/>
          </w:tcPr>
          <w:p w:rsidR="00DB524A" w:rsidRPr="00773B9A" w:rsidRDefault="00DB524A" w:rsidP="00773B9A">
            <w:pPr>
              <w:spacing w:after="0" w:line="266" w:lineRule="atLeast"/>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20.7</w:t>
            </w:r>
            <w:r w:rsidR="00283D08">
              <w:rPr>
                <w:rFonts w:ascii="Helvetica" w:eastAsia="Times New Roman" w:hAnsi="Helvetica" w:cs="Helvetica"/>
                <w:bCs/>
                <w:color w:val="000000" w:themeColor="text1"/>
                <w:kern w:val="24"/>
                <w:sz w:val="24"/>
                <w:szCs w:val="24"/>
                <w:vertAlign w:val="superscript"/>
              </w:rPr>
              <w:t>4</w:t>
            </w:r>
          </w:p>
        </w:tc>
        <w:tc>
          <w:tcPr>
            <w:tcW w:w="306" w:type="pct"/>
            <w:tcBorders>
              <w:top w:val="single" w:sz="8" w:space="0" w:color="000000"/>
              <w:left w:val="single" w:sz="8" w:space="0" w:color="000000"/>
              <w:bottom w:val="single" w:sz="8" w:space="0" w:color="000000"/>
              <w:right w:val="single" w:sz="8" w:space="0" w:color="000000"/>
            </w:tcBorders>
            <w:shd w:val="clear" w:color="auto" w:fill="FFC000"/>
            <w:tcMar>
              <w:top w:w="7" w:type="dxa"/>
              <w:left w:w="7" w:type="dxa"/>
              <w:bottom w:w="0" w:type="dxa"/>
              <w:right w:w="7" w:type="dxa"/>
            </w:tcMar>
            <w:vAlign w:val="center"/>
            <w:hideMark/>
          </w:tcPr>
          <w:p w:rsidR="00DB524A" w:rsidRPr="00773B9A" w:rsidRDefault="00DB524A" w:rsidP="00773B9A">
            <w:pPr>
              <w:spacing w:after="0" w:line="266" w:lineRule="atLeast"/>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33.5</w:t>
            </w:r>
            <w:r w:rsidR="00283D08">
              <w:rPr>
                <w:rFonts w:ascii="Helvetica" w:eastAsia="Times New Roman" w:hAnsi="Helvetica" w:cs="Helvetica"/>
                <w:bCs/>
                <w:color w:val="000000" w:themeColor="text1"/>
                <w:kern w:val="24"/>
                <w:sz w:val="24"/>
                <w:szCs w:val="24"/>
                <w:vertAlign w:val="superscript"/>
              </w:rPr>
              <w:t>4</w:t>
            </w:r>
          </w:p>
        </w:tc>
        <w:tc>
          <w:tcPr>
            <w:tcW w:w="444" w:type="pct"/>
            <w:tcBorders>
              <w:top w:val="single" w:sz="8" w:space="0" w:color="000000"/>
              <w:left w:val="single" w:sz="8" w:space="0" w:color="000000"/>
              <w:bottom w:val="single" w:sz="8" w:space="0" w:color="000000"/>
              <w:right w:val="single" w:sz="8" w:space="0" w:color="000000"/>
            </w:tcBorders>
            <w:shd w:val="clear" w:color="auto" w:fill="FFC000"/>
            <w:tcMar>
              <w:top w:w="7" w:type="dxa"/>
              <w:left w:w="7" w:type="dxa"/>
              <w:bottom w:w="0" w:type="dxa"/>
              <w:right w:w="7" w:type="dxa"/>
            </w:tcMar>
            <w:vAlign w:val="center"/>
            <w:hideMark/>
          </w:tcPr>
          <w:p w:rsidR="00DB524A" w:rsidRPr="00773B9A" w:rsidRDefault="00DB524A" w:rsidP="00773B9A">
            <w:pPr>
              <w:spacing w:after="0" w:line="266" w:lineRule="atLeast"/>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36.0</w:t>
            </w:r>
            <w:r w:rsidR="00283D08">
              <w:rPr>
                <w:rFonts w:ascii="Helvetica" w:eastAsia="Times New Roman" w:hAnsi="Helvetica" w:cs="Helvetica"/>
                <w:bCs/>
                <w:color w:val="000000" w:themeColor="text1"/>
                <w:kern w:val="24"/>
                <w:sz w:val="24"/>
                <w:szCs w:val="24"/>
                <w:vertAlign w:val="superscript"/>
              </w:rPr>
              <w:t>4</w:t>
            </w:r>
          </w:p>
        </w:tc>
      </w:tr>
      <w:tr w:rsidR="00DB524A" w:rsidRPr="00773B9A" w:rsidTr="00DB524A">
        <w:trPr>
          <w:trHeight w:val="399"/>
        </w:trPr>
        <w:tc>
          <w:tcPr>
            <w:tcW w:w="2433" w:type="pct"/>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hideMark/>
          </w:tcPr>
          <w:p w:rsidR="00DB524A" w:rsidRPr="00773B9A" w:rsidRDefault="00DB524A" w:rsidP="00773B9A">
            <w:pPr>
              <w:spacing w:after="0" w:line="240" w:lineRule="auto"/>
              <w:jc w:val="left"/>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Metabolic Monitoring for Children and Adolescents on Antipsychotics</w:t>
            </w:r>
          </w:p>
        </w:tc>
        <w:tc>
          <w:tcPr>
            <w:tcW w:w="568" w:type="pct"/>
            <w:tcBorders>
              <w:top w:val="single" w:sz="8" w:space="0" w:color="000000"/>
              <w:left w:val="single" w:sz="8" w:space="0" w:color="000000"/>
              <w:bottom w:val="single" w:sz="8" w:space="0" w:color="000000"/>
              <w:right w:val="single" w:sz="8" w:space="0" w:color="000000"/>
            </w:tcBorders>
            <w:shd w:val="clear" w:color="auto" w:fill="FFFF00"/>
            <w:tcMar>
              <w:top w:w="7" w:type="dxa"/>
              <w:left w:w="7" w:type="dxa"/>
              <w:bottom w:w="0" w:type="dxa"/>
              <w:right w:w="7" w:type="dxa"/>
            </w:tcMar>
            <w:vAlign w:val="center"/>
            <w:hideMark/>
          </w:tcPr>
          <w:p w:rsidR="00DB524A" w:rsidRPr="00773B9A" w:rsidRDefault="00DB524A" w:rsidP="00773B9A">
            <w:pPr>
              <w:spacing w:after="0" w:line="240" w:lineRule="auto"/>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39.6</w:t>
            </w:r>
          </w:p>
        </w:tc>
        <w:tc>
          <w:tcPr>
            <w:tcW w:w="445" w:type="pct"/>
            <w:tcBorders>
              <w:top w:val="single" w:sz="8" w:space="0" w:color="000000"/>
              <w:left w:val="single" w:sz="8" w:space="0" w:color="000000"/>
              <w:bottom w:val="single" w:sz="8" w:space="0" w:color="000000"/>
              <w:right w:val="single" w:sz="8" w:space="0" w:color="000000"/>
            </w:tcBorders>
            <w:shd w:val="clear" w:color="auto" w:fill="FFC000"/>
            <w:tcMar>
              <w:top w:w="7" w:type="dxa"/>
              <w:left w:w="7" w:type="dxa"/>
              <w:bottom w:w="0" w:type="dxa"/>
              <w:right w:w="7" w:type="dxa"/>
            </w:tcMar>
            <w:vAlign w:val="center"/>
            <w:hideMark/>
          </w:tcPr>
          <w:p w:rsidR="00DB524A" w:rsidRPr="00773B9A" w:rsidRDefault="00DB524A" w:rsidP="00773B9A">
            <w:pPr>
              <w:spacing w:after="0" w:line="240" w:lineRule="auto"/>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38.7</w:t>
            </w:r>
            <w:r w:rsidR="00283D08">
              <w:rPr>
                <w:rFonts w:ascii="Helvetica" w:eastAsia="Times New Roman" w:hAnsi="Helvetica" w:cs="Helvetica"/>
                <w:bCs/>
                <w:color w:val="000000" w:themeColor="text1"/>
                <w:kern w:val="24"/>
                <w:sz w:val="24"/>
                <w:szCs w:val="24"/>
                <w:vertAlign w:val="superscript"/>
              </w:rPr>
              <w:t>4</w:t>
            </w:r>
          </w:p>
        </w:tc>
        <w:tc>
          <w:tcPr>
            <w:tcW w:w="380" w:type="pct"/>
            <w:tcBorders>
              <w:top w:val="single" w:sz="8" w:space="0" w:color="000000"/>
              <w:left w:val="single" w:sz="8" w:space="0" w:color="000000"/>
              <w:bottom w:val="single" w:sz="8" w:space="0" w:color="000000"/>
              <w:right w:val="single" w:sz="8" w:space="0" w:color="000000"/>
            </w:tcBorders>
            <w:shd w:val="clear" w:color="auto" w:fill="FFC000"/>
            <w:tcMar>
              <w:top w:w="7" w:type="dxa"/>
              <w:left w:w="7" w:type="dxa"/>
              <w:bottom w:w="0" w:type="dxa"/>
              <w:right w:w="7" w:type="dxa"/>
            </w:tcMar>
            <w:vAlign w:val="center"/>
            <w:hideMark/>
          </w:tcPr>
          <w:p w:rsidR="00DB524A" w:rsidRPr="00773B9A" w:rsidRDefault="00DB524A" w:rsidP="00773B9A">
            <w:pPr>
              <w:spacing w:after="0" w:line="240" w:lineRule="auto"/>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40.2</w:t>
            </w:r>
            <w:r w:rsidR="00283D08">
              <w:rPr>
                <w:rFonts w:ascii="Helvetica" w:eastAsia="Times New Roman" w:hAnsi="Helvetica" w:cs="Helvetica"/>
                <w:bCs/>
                <w:color w:val="000000" w:themeColor="text1"/>
                <w:kern w:val="24"/>
                <w:sz w:val="24"/>
                <w:szCs w:val="24"/>
                <w:vertAlign w:val="superscript"/>
              </w:rPr>
              <w:t>4</w:t>
            </w:r>
          </w:p>
        </w:tc>
        <w:tc>
          <w:tcPr>
            <w:tcW w:w="423" w:type="pct"/>
            <w:tcBorders>
              <w:top w:val="single" w:sz="8" w:space="0" w:color="000000"/>
              <w:left w:val="single" w:sz="8" w:space="0" w:color="000000"/>
              <w:bottom w:val="single" w:sz="8" w:space="0" w:color="000000"/>
              <w:right w:val="single" w:sz="8" w:space="0" w:color="000000"/>
            </w:tcBorders>
            <w:shd w:val="clear" w:color="auto" w:fill="FFC000"/>
            <w:tcMar>
              <w:top w:w="7" w:type="dxa"/>
              <w:left w:w="7" w:type="dxa"/>
              <w:bottom w:w="0" w:type="dxa"/>
              <w:right w:w="7" w:type="dxa"/>
            </w:tcMar>
            <w:vAlign w:val="center"/>
            <w:hideMark/>
          </w:tcPr>
          <w:p w:rsidR="00DB524A" w:rsidRPr="00773B9A" w:rsidRDefault="00DB524A" w:rsidP="00773B9A">
            <w:pPr>
              <w:spacing w:after="0" w:line="240" w:lineRule="auto"/>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37.9</w:t>
            </w:r>
          </w:p>
        </w:tc>
        <w:tc>
          <w:tcPr>
            <w:tcW w:w="306" w:type="pct"/>
            <w:tcBorders>
              <w:top w:val="single" w:sz="8" w:space="0" w:color="000000"/>
              <w:left w:val="single" w:sz="8" w:space="0" w:color="000000"/>
              <w:bottom w:val="single" w:sz="8" w:space="0" w:color="000000"/>
              <w:right w:val="single" w:sz="8" w:space="0" w:color="000000"/>
            </w:tcBorders>
            <w:shd w:val="clear" w:color="auto" w:fill="FFC000"/>
            <w:tcMar>
              <w:top w:w="7" w:type="dxa"/>
              <w:left w:w="7" w:type="dxa"/>
              <w:bottom w:w="0" w:type="dxa"/>
              <w:right w:w="7" w:type="dxa"/>
            </w:tcMar>
            <w:vAlign w:val="center"/>
            <w:hideMark/>
          </w:tcPr>
          <w:p w:rsidR="00DB524A" w:rsidRPr="00773B9A" w:rsidRDefault="00DB524A" w:rsidP="00773B9A">
            <w:pPr>
              <w:spacing w:after="0" w:line="240" w:lineRule="auto"/>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39.0</w:t>
            </w:r>
            <w:r w:rsidR="00283D08">
              <w:rPr>
                <w:rFonts w:ascii="Helvetica" w:eastAsia="Times New Roman" w:hAnsi="Helvetica" w:cs="Helvetica"/>
                <w:bCs/>
                <w:color w:val="000000" w:themeColor="text1"/>
                <w:kern w:val="24"/>
                <w:sz w:val="24"/>
                <w:szCs w:val="24"/>
                <w:vertAlign w:val="superscript"/>
              </w:rPr>
              <w:t>4</w:t>
            </w:r>
          </w:p>
        </w:tc>
        <w:tc>
          <w:tcPr>
            <w:tcW w:w="444" w:type="pct"/>
            <w:tcBorders>
              <w:top w:val="single" w:sz="8" w:space="0" w:color="000000"/>
              <w:left w:val="single" w:sz="8" w:space="0" w:color="000000"/>
              <w:bottom w:val="single" w:sz="8" w:space="0" w:color="000000"/>
              <w:right w:val="single" w:sz="8" w:space="0" w:color="000000"/>
            </w:tcBorders>
            <w:shd w:val="clear" w:color="auto" w:fill="FFC000"/>
            <w:tcMar>
              <w:top w:w="7" w:type="dxa"/>
              <w:left w:w="7" w:type="dxa"/>
              <w:bottom w:w="0" w:type="dxa"/>
              <w:right w:w="7" w:type="dxa"/>
            </w:tcMar>
            <w:vAlign w:val="center"/>
            <w:hideMark/>
          </w:tcPr>
          <w:p w:rsidR="00DB524A" w:rsidRPr="00773B9A" w:rsidRDefault="00DB524A" w:rsidP="00773B9A">
            <w:pPr>
              <w:spacing w:after="0" w:line="240" w:lineRule="auto"/>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37.9</w:t>
            </w:r>
            <w:r w:rsidR="00283D08">
              <w:rPr>
                <w:rFonts w:ascii="Helvetica" w:eastAsia="Times New Roman" w:hAnsi="Helvetica" w:cs="Helvetica"/>
                <w:bCs/>
                <w:color w:val="000000" w:themeColor="text1"/>
                <w:kern w:val="24"/>
                <w:sz w:val="24"/>
                <w:szCs w:val="24"/>
                <w:vertAlign w:val="superscript"/>
              </w:rPr>
              <w:t>4</w:t>
            </w:r>
          </w:p>
        </w:tc>
      </w:tr>
      <w:tr w:rsidR="00DB524A" w:rsidRPr="00773B9A" w:rsidTr="00DB524A">
        <w:trPr>
          <w:trHeight w:val="399"/>
        </w:trPr>
        <w:tc>
          <w:tcPr>
            <w:tcW w:w="2433" w:type="pct"/>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hideMark/>
          </w:tcPr>
          <w:p w:rsidR="00DB524A" w:rsidRPr="00773B9A" w:rsidRDefault="00DB524A" w:rsidP="00773B9A">
            <w:pPr>
              <w:spacing w:after="0" w:line="240" w:lineRule="auto"/>
              <w:jc w:val="left"/>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Use of Imaging Studies for Low Back Pain</w:t>
            </w:r>
          </w:p>
        </w:tc>
        <w:tc>
          <w:tcPr>
            <w:tcW w:w="568" w:type="pct"/>
            <w:tcBorders>
              <w:top w:val="single" w:sz="8" w:space="0" w:color="000000"/>
              <w:left w:val="single" w:sz="8" w:space="0" w:color="000000"/>
              <w:bottom w:val="single" w:sz="8" w:space="0" w:color="000000"/>
              <w:right w:val="single" w:sz="8" w:space="0" w:color="000000"/>
            </w:tcBorders>
            <w:shd w:val="clear" w:color="auto" w:fill="FFFF00"/>
            <w:tcMar>
              <w:top w:w="7" w:type="dxa"/>
              <w:left w:w="7" w:type="dxa"/>
              <w:bottom w:w="0" w:type="dxa"/>
              <w:right w:w="7" w:type="dxa"/>
            </w:tcMar>
            <w:vAlign w:val="center"/>
            <w:hideMark/>
          </w:tcPr>
          <w:p w:rsidR="00DB524A" w:rsidRPr="00773B9A" w:rsidRDefault="00DB524A" w:rsidP="00773B9A">
            <w:pPr>
              <w:spacing w:after="0" w:line="240" w:lineRule="auto"/>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81.7</w:t>
            </w:r>
          </w:p>
        </w:tc>
        <w:tc>
          <w:tcPr>
            <w:tcW w:w="445" w:type="pct"/>
            <w:tcBorders>
              <w:top w:val="single" w:sz="8" w:space="0" w:color="000000"/>
              <w:left w:val="single" w:sz="8" w:space="0" w:color="000000"/>
              <w:bottom w:val="single" w:sz="8" w:space="0" w:color="000000"/>
              <w:right w:val="single" w:sz="8" w:space="0" w:color="000000"/>
            </w:tcBorders>
            <w:shd w:val="clear" w:color="auto" w:fill="FFFF00"/>
            <w:tcMar>
              <w:top w:w="7" w:type="dxa"/>
              <w:left w:w="7" w:type="dxa"/>
              <w:bottom w:w="0" w:type="dxa"/>
              <w:right w:w="7" w:type="dxa"/>
            </w:tcMar>
            <w:vAlign w:val="center"/>
            <w:hideMark/>
          </w:tcPr>
          <w:p w:rsidR="00DB524A" w:rsidRPr="00773B9A" w:rsidRDefault="00DB524A" w:rsidP="00773B9A">
            <w:pPr>
              <w:spacing w:after="0" w:line="240" w:lineRule="auto"/>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82.2</w:t>
            </w:r>
          </w:p>
        </w:tc>
        <w:tc>
          <w:tcPr>
            <w:tcW w:w="380" w:type="pct"/>
            <w:tcBorders>
              <w:top w:val="single" w:sz="8" w:space="0" w:color="000000"/>
              <w:left w:val="single" w:sz="8" w:space="0" w:color="000000"/>
              <w:bottom w:val="single" w:sz="8" w:space="0" w:color="000000"/>
              <w:right w:val="single" w:sz="8" w:space="0" w:color="000000"/>
            </w:tcBorders>
            <w:shd w:val="clear" w:color="auto" w:fill="FFFF00"/>
            <w:tcMar>
              <w:top w:w="7" w:type="dxa"/>
              <w:left w:w="7" w:type="dxa"/>
              <w:bottom w:w="0" w:type="dxa"/>
              <w:right w:w="7" w:type="dxa"/>
            </w:tcMar>
            <w:vAlign w:val="center"/>
            <w:hideMark/>
          </w:tcPr>
          <w:p w:rsidR="00DB524A" w:rsidRPr="00773B9A" w:rsidRDefault="00DB524A" w:rsidP="00773B9A">
            <w:pPr>
              <w:spacing w:after="0" w:line="240" w:lineRule="auto"/>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82.2</w:t>
            </w:r>
          </w:p>
        </w:tc>
        <w:tc>
          <w:tcPr>
            <w:tcW w:w="423" w:type="pct"/>
            <w:tcBorders>
              <w:top w:val="single" w:sz="8" w:space="0" w:color="000000"/>
              <w:left w:val="single" w:sz="8" w:space="0" w:color="000000"/>
              <w:bottom w:val="single" w:sz="8" w:space="0" w:color="000000"/>
              <w:right w:val="single" w:sz="8" w:space="0" w:color="000000"/>
            </w:tcBorders>
            <w:shd w:val="clear" w:color="auto" w:fill="FFFF00"/>
            <w:tcMar>
              <w:top w:w="7" w:type="dxa"/>
              <w:left w:w="7" w:type="dxa"/>
              <w:bottom w:w="0" w:type="dxa"/>
              <w:right w:w="7" w:type="dxa"/>
            </w:tcMar>
            <w:vAlign w:val="center"/>
            <w:hideMark/>
          </w:tcPr>
          <w:p w:rsidR="00DB524A" w:rsidRPr="00773B9A" w:rsidRDefault="00DB524A" w:rsidP="00773B9A">
            <w:pPr>
              <w:spacing w:after="0" w:line="240" w:lineRule="auto"/>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77.4</w:t>
            </w:r>
          </w:p>
        </w:tc>
        <w:tc>
          <w:tcPr>
            <w:tcW w:w="306" w:type="pct"/>
            <w:tcBorders>
              <w:top w:val="single" w:sz="8" w:space="0" w:color="000000"/>
              <w:left w:val="single" w:sz="8" w:space="0" w:color="000000"/>
              <w:bottom w:val="single" w:sz="8" w:space="0" w:color="000000"/>
              <w:right w:val="single" w:sz="8" w:space="0" w:color="000000"/>
            </w:tcBorders>
            <w:shd w:val="clear" w:color="auto" w:fill="FFFF00"/>
            <w:tcMar>
              <w:top w:w="7" w:type="dxa"/>
              <w:left w:w="7" w:type="dxa"/>
              <w:bottom w:w="0" w:type="dxa"/>
              <w:right w:w="7" w:type="dxa"/>
            </w:tcMar>
            <w:vAlign w:val="center"/>
            <w:hideMark/>
          </w:tcPr>
          <w:p w:rsidR="00DB524A" w:rsidRPr="00773B9A" w:rsidRDefault="00DB524A" w:rsidP="00773B9A">
            <w:pPr>
              <w:spacing w:after="0" w:line="240" w:lineRule="auto"/>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76.8</w:t>
            </w:r>
          </w:p>
        </w:tc>
        <w:tc>
          <w:tcPr>
            <w:tcW w:w="444" w:type="pct"/>
            <w:tcBorders>
              <w:top w:val="single" w:sz="8" w:space="0" w:color="000000"/>
              <w:left w:val="single" w:sz="8" w:space="0" w:color="000000"/>
              <w:bottom w:val="single" w:sz="8" w:space="0" w:color="000000"/>
              <w:right w:val="single" w:sz="8" w:space="0" w:color="000000"/>
            </w:tcBorders>
            <w:shd w:val="clear" w:color="auto" w:fill="FFFF00"/>
            <w:tcMar>
              <w:top w:w="7" w:type="dxa"/>
              <w:left w:w="7" w:type="dxa"/>
              <w:bottom w:w="0" w:type="dxa"/>
              <w:right w:w="7" w:type="dxa"/>
            </w:tcMar>
            <w:vAlign w:val="center"/>
            <w:hideMark/>
          </w:tcPr>
          <w:p w:rsidR="00DB524A" w:rsidRPr="00773B9A" w:rsidRDefault="00DB524A" w:rsidP="00773B9A">
            <w:pPr>
              <w:spacing w:after="0" w:line="240" w:lineRule="auto"/>
              <w:jc w:val="center"/>
              <w:textAlignment w:val="top"/>
              <w:rPr>
                <w:rFonts w:ascii="Helvetica" w:eastAsia="Times New Roman" w:hAnsi="Helvetica" w:cs="Helvetica"/>
                <w:sz w:val="24"/>
                <w:szCs w:val="24"/>
              </w:rPr>
            </w:pPr>
            <w:r w:rsidRPr="00773B9A">
              <w:rPr>
                <w:rFonts w:ascii="Helvetica" w:eastAsia="Times New Roman" w:hAnsi="Helvetica" w:cs="Helvetica"/>
                <w:color w:val="000000"/>
                <w:kern w:val="24"/>
                <w:sz w:val="24"/>
                <w:szCs w:val="24"/>
              </w:rPr>
              <w:t> 76.7</w:t>
            </w:r>
          </w:p>
        </w:tc>
      </w:tr>
    </w:tbl>
    <w:p w:rsidR="00773B9A" w:rsidRPr="00773B9A" w:rsidRDefault="00773B9A" w:rsidP="00773B9A"/>
    <w:tbl>
      <w:tblPr>
        <w:tblW w:w="5000" w:type="pct"/>
        <w:tblCellMar>
          <w:left w:w="0" w:type="dxa"/>
          <w:right w:w="0" w:type="dxa"/>
        </w:tblCellMar>
        <w:tblLook w:val="0600" w:firstRow="0" w:lastRow="0" w:firstColumn="0" w:lastColumn="0" w:noHBand="1" w:noVBand="1"/>
      </w:tblPr>
      <w:tblGrid>
        <w:gridCol w:w="1878"/>
        <w:gridCol w:w="1878"/>
        <w:gridCol w:w="1878"/>
        <w:gridCol w:w="1878"/>
        <w:gridCol w:w="1878"/>
      </w:tblGrid>
      <w:tr w:rsidR="00773B9A" w:rsidRPr="00D21163" w:rsidTr="00773B9A">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21163" w:rsidRPr="00D21163" w:rsidRDefault="00773B9A" w:rsidP="00773B9A">
            <w:pPr>
              <w:spacing w:after="0" w:line="240" w:lineRule="auto"/>
              <w:jc w:val="center"/>
              <w:textAlignment w:val="center"/>
              <w:rPr>
                <w:rFonts w:ascii="Helvetica" w:eastAsia="Times New Roman" w:hAnsi="Helvetica" w:cs="Helvetica"/>
                <w:sz w:val="24"/>
                <w:szCs w:val="24"/>
              </w:rPr>
            </w:pPr>
            <w:r w:rsidRPr="00D21163">
              <w:rPr>
                <w:rFonts w:ascii="Helvetica" w:eastAsia="Times New Roman" w:hAnsi="Helvetica" w:cs="Helvetica"/>
                <w:b/>
                <w:bCs/>
                <w:color w:val="000000"/>
                <w:kern w:val="24"/>
                <w:sz w:val="24"/>
                <w:szCs w:val="24"/>
              </w:rPr>
              <w:t>Key:</w:t>
            </w:r>
          </w:p>
        </w:tc>
      </w:tr>
      <w:tr w:rsidR="00773B9A" w:rsidRPr="00D21163" w:rsidTr="00773B9A">
        <w:tc>
          <w:tcPr>
            <w:tcW w:w="1000" w:type="pct"/>
            <w:tcBorders>
              <w:top w:val="single" w:sz="4" w:space="0" w:color="000000"/>
              <w:left w:val="single" w:sz="4" w:space="0" w:color="000000"/>
              <w:bottom w:val="single" w:sz="4" w:space="0" w:color="000000"/>
              <w:right w:val="single" w:sz="4" w:space="0" w:color="000000"/>
            </w:tcBorders>
            <w:shd w:val="clear" w:color="auto" w:fill="E79791"/>
            <w:tcMar>
              <w:top w:w="15" w:type="dxa"/>
              <w:left w:w="15" w:type="dxa"/>
              <w:bottom w:w="0" w:type="dxa"/>
              <w:right w:w="15" w:type="dxa"/>
            </w:tcMar>
            <w:vAlign w:val="center"/>
            <w:hideMark/>
          </w:tcPr>
          <w:p w:rsidR="00D21163" w:rsidRPr="00D21163" w:rsidRDefault="00773B9A" w:rsidP="00773B9A">
            <w:pPr>
              <w:spacing w:after="0" w:line="240" w:lineRule="auto"/>
              <w:jc w:val="center"/>
              <w:textAlignment w:val="center"/>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&lt;25th</w:t>
            </w:r>
            <w:r w:rsidRPr="00702365">
              <w:rPr>
                <w:rFonts w:ascii="Helvetica" w:eastAsia="Times New Roman" w:hAnsi="Helvetica" w:cs="Helvetica"/>
                <w:color w:val="000000"/>
                <w:kern w:val="24"/>
                <w:sz w:val="24"/>
                <w:szCs w:val="24"/>
                <w:vertAlign w:val="superscript"/>
              </w:rPr>
              <w:t>2</w:t>
            </w:r>
          </w:p>
        </w:tc>
        <w:tc>
          <w:tcPr>
            <w:tcW w:w="1000" w:type="pct"/>
            <w:tcBorders>
              <w:top w:val="single" w:sz="4" w:space="0" w:color="000000"/>
              <w:left w:val="single" w:sz="4" w:space="0" w:color="000000"/>
              <w:bottom w:val="single" w:sz="4" w:space="0" w:color="000000"/>
              <w:right w:val="single" w:sz="4" w:space="0" w:color="000000"/>
            </w:tcBorders>
            <w:shd w:val="clear" w:color="auto" w:fill="F4CFCC"/>
            <w:tcMar>
              <w:top w:w="15" w:type="dxa"/>
              <w:left w:w="15" w:type="dxa"/>
              <w:bottom w:w="0" w:type="dxa"/>
              <w:right w:w="15" w:type="dxa"/>
            </w:tcMar>
            <w:vAlign w:val="center"/>
            <w:hideMark/>
          </w:tcPr>
          <w:p w:rsidR="00D21163" w:rsidRPr="00D21163" w:rsidRDefault="00773B9A" w:rsidP="00773B9A">
            <w:pPr>
              <w:spacing w:after="0" w:line="240" w:lineRule="auto"/>
              <w:jc w:val="center"/>
              <w:textAlignment w:val="center"/>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25th - 50th</w:t>
            </w:r>
            <w:r w:rsidRPr="00702365">
              <w:rPr>
                <w:rFonts w:ascii="Helvetica" w:eastAsia="Times New Roman" w:hAnsi="Helvetica" w:cs="Helvetica"/>
                <w:color w:val="000000"/>
                <w:kern w:val="24"/>
                <w:sz w:val="24"/>
                <w:szCs w:val="24"/>
                <w:vertAlign w:val="superscript"/>
              </w:rPr>
              <w:t>3</w:t>
            </w:r>
          </w:p>
        </w:tc>
        <w:tc>
          <w:tcPr>
            <w:tcW w:w="1000" w:type="pct"/>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bottom w:w="0" w:type="dxa"/>
              <w:right w:w="15" w:type="dxa"/>
            </w:tcMar>
            <w:vAlign w:val="center"/>
            <w:hideMark/>
          </w:tcPr>
          <w:p w:rsidR="00D21163" w:rsidRPr="00D21163" w:rsidRDefault="00773B9A" w:rsidP="00773B9A">
            <w:pPr>
              <w:spacing w:after="0" w:line="240" w:lineRule="auto"/>
              <w:jc w:val="center"/>
              <w:textAlignment w:val="center"/>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50th - 75th</w:t>
            </w:r>
            <w:r>
              <w:rPr>
                <w:rFonts w:ascii="Helvetica" w:eastAsia="Times New Roman" w:hAnsi="Helvetica" w:cs="Helvetica"/>
                <w:bCs/>
                <w:color w:val="000000" w:themeColor="text1"/>
                <w:kern w:val="24"/>
                <w:sz w:val="24"/>
                <w:szCs w:val="24"/>
                <w:vertAlign w:val="superscript"/>
              </w:rPr>
              <w:t>4</w:t>
            </w:r>
          </w:p>
        </w:tc>
        <w:tc>
          <w:tcPr>
            <w:tcW w:w="1000" w:type="pct"/>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rsidR="00D21163" w:rsidRPr="00D21163" w:rsidRDefault="00773B9A" w:rsidP="00773B9A">
            <w:pPr>
              <w:spacing w:after="0" w:line="240" w:lineRule="auto"/>
              <w:jc w:val="center"/>
              <w:textAlignment w:val="center"/>
              <w:rPr>
                <w:rFonts w:ascii="Helvetica" w:eastAsia="Times New Roman" w:hAnsi="Helvetica" w:cs="Helvetica"/>
                <w:sz w:val="24"/>
                <w:szCs w:val="24"/>
              </w:rPr>
            </w:pPr>
            <w:r w:rsidRPr="00D21163">
              <w:rPr>
                <w:rFonts w:ascii="Helvetica" w:eastAsia="Times New Roman" w:hAnsi="Helvetica" w:cs="Helvetica"/>
                <w:color w:val="000000"/>
                <w:kern w:val="24"/>
                <w:sz w:val="24"/>
                <w:szCs w:val="24"/>
              </w:rPr>
              <w:t>75th - 90th</w:t>
            </w:r>
            <w:r w:rsidRPr="00702365">
              <w:rPr>
                <w:rFonts w:ascii="Helvetica" w:eastAsia="Times New Roman" w:hAnsi="Helvetica" w:cs="Helvetica"/>
                <w:color w:val="000000"/>
                <w:kern w:val="24"/>
                <w:sz w:val="24"/>
                <w:szCs w:val="24"/>
                <w:vertAlign w:val="superscript"/>
              </w:rPr>
              <w:t>5</w:t>
            </w:r>
          </w:p>
        </w:tc>
        <w:tc>
          <w:tcPr>
            <w:tcW w:w="1000" w:type="pct"/>
            <w:tcBorders>
              <w:top w:val="single" w:sz="4" w:space="0" w:color="000000"/>
              <w:left w:val="single" w:sz="4" w:space="0" w:color="000000"/>
              <w:bottom w:val="single" w:sz="4" w:space="0" w:color="000000"/>
              <w:right w:val="single" w:sz="4" w:space="0" w:color="000000"/>
            </w:tcBorders>
            <w:shd w:val="clear" w:color="auto" w:fill="70AD47"/>
            <w:tcMar>
              <w:top w:w="15" w:type="dxa"/>
              <w:left w:w="15" w:type="dxa"/>
              <w:bottom w:w="0" w:type="dxa"/>
              <w:right w:w="15" w:type="dxa"/>
            </w:tcMar>
            <w:vAlign w:val="center"/>
            <w:hideMark/>
          </w:tcPr>
          <w:p w:rsidR="00D21163" w:rsidRPr="00D21163" w:rsidRDefault="00773B9A" w:rsidP="00773B9A">
            <w:pPr>
              <w:spacing w:after="0" w:line="240" w:lineRule="auto"/>
              <w:jc w:val="center"/>
              <w:textAlignment w:val="center"/>
              <w:rPr>
                <w:rFonts w:ascii="Helvetica" w:eastAsia="Times New Roman" w:hAnsi="Helvetica" w:cs="Helvetica"/>
                <w:sz w:val="24"/>
                <w:szCs w:val="24"/>
              </w:rPr>
            </w:pPr>
            <w:r w:rsidRPr="00D21163">
              <w:rPr>
                <w:rFonts w:ascii="Arial" w:eastAsia="Times New Roman" w:hAnsi="Arial" w:cs="Arial"/>
                <w:color w:val="000000"/>
                <w:kern w:val="24"/>
                <w:sz w:val="24"/>
                <w:szCs w:val="24"/>
              </w:rPr>
              <w:t>≥</w:t>
            </w:r>
            <w:r w:rsidRPr="00D21163">
              <w:rPr>
                <w:rFonts w:ascii="Helvetica" w:eastAsia="Times New Roman" w:hAnsi="Helvetica" w:cs="Helvetica"/>
                <w:color w:val="000000"/>
                <w:kern w:val="24"/>
                <w:sz w:val="24"/>
                <w:szCs w:val="24"/>
              </w:rPr>
              <w:t>90th</w:t>
            </w:r>
            <w:r w:rsidRPr="00D21163">
              <w:rPr>
                <w:rFonts w:ascii="Helvetica" w:eastAsia="Times New Roman" w:hAnsi="Helvetica" w:cs="Helvetica"/>
                <w:color w:val="000000"/>
                <w:kern w:val="24"/>
                <w:sz w:val="24"/>
                <w:szCs w:val="24"/>
                <w:vertAlign w:val="superscript"/>
              </w:rPr>
              <w:t>6</w:t>
            </w:r>
          </w:p>
        </w:tc>
      </w:tr>
    </w:tbl>
    <w:p w:rsidR="00773B9A" w:rsidRDefault="00773B9A" w:rsidP="00773B9A">
      <w:pPr>
        <w:jc w:val="left"/>
        <w:rPr>
          <w:rFonts w:ascii="Helvetica" w:hAnsi="Helvetica"/>
          <w:sz w:val="24"/>
          <w:szCs w:val="24"/>
        </w:rPr>
      </w:pPr>
    </w:p>
    <w:p w:rsidR="00DB524A" w:rsidRDefault="00DB524A" w:rsidP="00773B9A">
      <w:pPr>
        <w:jc w:val="left"/>
        <w:rPr>
          <w:rFonts w:ascii="Helvetica" w:hAnsi="Helvetica"/>
          <w:sz w:val="24"/>
          <w:szCs w:val="24"/>
        </w:rPr>
      </w:pPr>
      <w:r w:rsidRPr="00DB524A">
        <w:rPr>
          <w:rFonts w:ascii="Helvetica" w:hAnsi="Helvetica"/>
          <w:sz w:val="24"/>
          <w:szCs w:val="24"/>
        </w:rPr>
        <w:t>Note: Data are not provided for: Child and Adolescent Major Depressive Disorder: Suicide Risk Assessment, Continuity of Pharmacotherapy for Opioid Use Disorder, Influenza Immunization</w:t>
      </w:r>
    </w:p>
    <w:sectPr w:rsidR="00DB524A" w:rsidSect="00822523">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4C7A"/>
    <w:multiLevelType w:val="hybridMultilevel"/>
    <w:tmpl w:val="62641862"/>
    <w:lvl w:ilvl="0" w:tplc="92F65F2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6015F"/>
    <w:multiLevelType w:val="hybridMultilevel"/>
    <w:tmpl w:val="9496A2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D6315"/>
    <w:multiLevelType w:val="hybridMultilevel"/>
    <w:tmpl w:val="EF38C050"/>
    <w:lvl w:ilvl="0" w:tplc="76D654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90E53"/>
    <w:multiLevelType w:val="hybridMultilevel"/>
    <w:tmpl w:val="63BC7E9A"/>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B5EC8"/>
    <w:multiLevelType w:val="hybridMultilevel"/>
    <w:tmpl w:val="AAECA5F8"/>
    <w:lvl w:ilvl="0" w:tplc="895AB6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571A"/>
    <w:multiLevelType w:val="hybridMultilevel"/>
    <w:tmpl w:val="ACC0AEBE"/>
    <w:lvl w:ilvl="0" w:tplc="37A4F792">
      <w:start w:val="1"/>
      <w:numFmt w:val="bullet"/>
      <w:lvlText w:val="•"/>
      <w:lvlJc w:val="left"/>
      <w:pPr>
        <w:tabs>
          <w:tab w:val="num" w:pos="548"/>
        </w:tabs>
        <w:ind w:left="548" w:hanging="360"/>
      </w:pPr>
      <w:rPr>
        <w:rFonts w:ascii="Arial" w:hAnsi="Arial" w:hint="default"/>
      </w:rPr>
    </w:lvl>
    <w:lvl w:ilvl="1" w:tplc="6266517A" w:tentative="1">
      <w:start w:val="1"/>
      <w:numFmt w:val="bullet"/>
      <w:lvlText w:val="•"/>
      <w:lvlJc w:val="left"/>
      <w:pPr>
        <w:tabs>
          <w:tab w:val="num" w:pos="1268"/>
        </w:tabs>
        <w:ind w:left="1268" w:hanging="360"/>
      </w:pPr>
      <w:rPr>
        <w:rFonts w:ascii="Arial" w:hAnsi="Arial" w:hint="default"/>
      </w:rPr>
    </w:lvl>
    <w:lvl w:ilvl="2" w:tplc="35A2E3C8" w:tentative="1">
      <w:start w:val="1"/>
      <w:numFmt w:val="bullet"/>
      <w:lvlText w:val="•"/>
      <w:lvlJc w:val="left"/>
      <w:pPr>
        <w:tabs>
          <w:tab w:val="num" w:pos="1988"/>
        </w:tabs>
        <w:ind w:left="1988" w:hanging="360"/>
      </w:pPr>
      <w:rPr>
        <w:rFonts w:ascii="Arial" w:hAnsi="Arial" w:hint="default"/>
      </w:rPr>
    </w:lvl>
    <w:lvl w:ilvl="3" w:tplc="11B83C20" w:tentative="1">
      <w:start w:val="1"/>
      <w:numFmt w:val="bullet"/>
      <w:lvlText w:val="•"/>
      <w:lvlJc w:val="left"/>
      <w:pPr>
        <w:tabs>
          <w:tab w:val="num" w:pos="2708"/>
        </w:tabs>
        <w:ind w:left="2708" w:hanging="360"/>
      </w:pPr>
      <w:rPr>
        <w:rFonts w:ascii="Arial" w:hAnsi="Arial" w:hint="default"/>
      </w:rPr>
    </w:lvl>
    <w:lvl w:ilvl="4" w:tplc="2466D04E" w:tentative="1">
      <w:start w:val="1"/>
      <w:numFmt w:val="bullet"/>
      <w:lvlText w:val="•"/>
      <w:lvlJc w:val="left"/>
      <w:pPr>
        <w:tabs>
          <w:tab w:val="num" w:pos="3428"/>
        </w:tabs>
        <w:ind w:left="3428" w:hanging="360"/>
      </w:pPr>
      <w:rPr>
        <w:rFonts w:ascii="Arial" w:hAnsi="Arial" w:hint="default"/>
      </w:rPr>
    </w:lvl>
    <w:lvl w:ilvl="5" w:tplc="E362C02C" w:tentative="1">
      <w:start w:val="1"/>
      <w:numFmt w:val="bullet"/>
      <w:lvlText w:val="•"/>
      <w:lvlJc w:val="left"/>
      <w:pPr>
        <w:tabs>
          <w:tab w:val="num" w:pos="4148"/>
        </w:tabs>
        <w:ind w:left="4148" w:hanging="360"/>
      </w:pPr>
      <w:rPr>
        <w:rFonts w:ascii="Arial" w:hAnsi="Arial" w:hint="default"/>
      </w:rPr>
    </w:lvl>
    <w:lvl w:ilvl="6" w:tplc="00D0A776" w:tentative="1">
      <w:start w:val="1"/>
      <w:numFmt w:val="bullet"/>
      <w:lvlText w:val="•"/>
      <w:lvlJc w:val="left"/>
      <w:pPr>
        <w:tabs>
          <w:tab w:val="num" w:pos="4868"/>
        </w:tabs>
        <w:ind w:left="4868" w:hanging="360"/>
      </w:pPr>
      <w:rPr>
        <w:rFonts w:ascii="Arial" w:hAnsi="Arial" w:hint="default"/>
      </w:rPr>
    </w:lvl>
    <w:lvl w:ilvl="7" w:tplc="06FE88F2" w:tentative="1">
      <w:start w:val="1"/>
      <w:numFmt w:val="bullet"/>
      <w:lvlText w:val="•"/>
      <w:lvlJc w:val="left"/>
      <w:pPr>
        <w:tabs>
          <w:tab w:val="num" w:pos="5588"/>
        </w:tabs>
        <w:ind w:left="5588" w:hanging="360"/>
      </w:pPr>
      <w:rPr>
        <w:rFonts w:ascii="Arial" w:hAnsi="Arial" w:hint="default"/>
      </w:rPr>
    </w:lvl>
    <w:lvl w:ilvl="8" w:tplc="3B9679E6" w:tentative="1">
      <w:start w:val="1"/>
      <w:numFmt w:val="bullet"/>
      <w:lvlText w:val="•"/>
      <w:lvlJc w:val="left"/>
      <w:pPr>
        <w:tabs>
          <w:tab w:val="num" w:pos="6308"/>
        </w:tabs>
        <w:ind w:left="6308" w:hanging="360"/>
      </w:pPr>
      <w:rPr>
        <w:rFonts w:ascii="Arial" w:hAnsi="Arial" w:hint="default"/>
      </w:rPr>
    </w:lvl>
  </w:abstractNum>
  <w:abstractNum w:abstractNumId="6" w15:restartNumberingAfterBreak="0">
    <w:nsid w:val="15DD05D9"/>
    <w:multiLevelType w:val="hybridMultilevel"/>
    <w:tmpl w:val="F9DC1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0208E"/>
    <w:multiLevelType w:val="hybridMultilevel"/>
    <w:tmpl w:val="6798A444"/>
    <w:lvl w:ilvl="0" w:tplc="92F65F2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F157C"/>
    <w:multiLevelType w:val="hybridMultilevel"/>
    <w:tmpl w:val="B26C5DA2"/>
    <w:lvl w:ilvl="0" w:tplc="72C46CFA">
      <w:start w:val="1"/>
      <w:numFmt w:val="bullet"/>
      <w:lvlText w:val="•"/>
      <w:lvlJc w:val="left"/>
      <w:pPr>
        <w:tabs>
          <w:tab w:val="num" w:pos="720"/>
        </w:tabs>
        <w:ind w:left="720" w:hanging="360"/>
      </w:pPr>
      <w:rPr>
        <w:rFonts w:ascii="Arial" w:hAnsi="Arial" w:hint="default"/>
      </w:rPr>
    </w:lvl>
    <w:lvl w:ilvl="1" w:tplc="45DEB216" w:tentative="1">
      <w:start w:val="1"/>
      <w:numFmt w:val="bullet"/>
      <w:lvlText w:val="•"/>
      <w:lvlJc w:val="left"/>
      <w:pPr>
        <w:tabs>
          <w:tab w:val="num" w:pos="1440"/>
        </w:tabs>
        <w:ind w:left="1440" w:hanging="360"/>
      </w:pPr>
      <w:rPr>
        <w:rFonts w:ascii="Arial" w:hAnsi="Arial" w:hint="default"/>
      </w:rPr>
    </w:lvl>
    <w:lvl w:ilvl="2" w:tplc="627E0C68" w:tentative="1">
      <w:start w:val="1"/>
      <w:numFmt w:val="bullet"/>
      <w:lvlText w:val="•"/>
      <w:lvlJc w:val="left"/>
      <w:pPr>
        <w:tabs>
          <w:tab w:val="num" w:pos="2160"/>
        </w:tabs>
        <w:ind w:left="2160" w:hanging="360"/>
      </w:pPr>
      <w:rPr>
        <w:rFonts w:ascii="Arial" w:hAnsi="Arial" w:hint="default"/>
      </w:rPr>
    </w:lvl>
    <w:lvl w:ilvl="3" w:tplc="426A6D4E" w:tentative="1">
      <w:start w:val="1"/>
      <w:numFmt w:val="bullet"/>
      <w:lvlText w:val="•"/>
      <w:lvlJc w:val="left"/>
      <w:pPr>
        <w:tabs>
          <w:tab w:val="num" w:pos="2880"/>
        </w:tabs>
        <w:ind w:left="2880" w:hanging="360"/>
      </w:pPr>
      <w:rPr>
        <w:rFonts w:ascii="Arial" w:hAnsi="Arial" w:hint="default"/>
      </w:rPr>
    </w:lvl>
    <w:lvl w:ilvl="4" w:tplc="B67AEC96" w:tentative="1">
      <w:start w:val="1"/>
      <w:numFmt w:val="bullet"/>
      <w:lvlText w:val="•"/>
      <w:lvlJc w:val="left"/>
      <w:pPr>
        <w:tabs>
          <w:tab w:val="num" w:pos="3600"/>
        </w:tabs>
        <w:ind w:left="3600" w:hanging="360"/>
      </w:pPr>
      <w:rPr>
        <w:rFonts w:ascii="Arial" w:hAnsi="Arial" w:hint="default"/>
      </w:rPr>
    </w:lvl>
    <w:lvl w:ilvl="5" w:tplc="E34EAA7C" w:tentative="1">
      <w:start w:val="1"/>
      <w:numFmt w:val="bullet"/>
      <w:lvlText w:val="•"/>
      <w:lvlJc w:val="left"/>
      <w:pPr>
        <w:tabs>
          <w:tab w:val="num" w:pos="4320"/>
        </w:tabs>
        <w:ind w:left="4320" w:hanging="360"/>
      </w:pPr>
      <w:rPr>
        <w:rFonts w:ascii="Arial" w:hAnsi="Arial" w:hint="default"/>
      </w:rPr>
    </w:lvl>
    <w:lvl w:ilvl="6" w:tplc="00AAD61E" w:tentative="1">
      <w:start w:val="1"/>
      <w:numFmt w:val="bullet"/>
      <w:lvlText w:val="•"/>
      <w:lvlJc w:val="left"/>
      <w:pPr>
        <w:tabs>
          <w:tab w:val="num" w:pos="5040"/>
        </w:tabs>
        <w:ind w:left="5040" w:hanging="360"/>
      </w:pPr>
      <w:rPr>
        <w:rFonts w:ascii="Arial" w:hAnsi="Arial" w:hint="default"/>
      </w:rPr>
    </w:lvl>
    <w:lvl w:ilvl="7" w:tplc="BAC234AE" w:tentative="1">
      <w:start w:val="1"/>
      <w:numFmt w:val="bullet"/>
      <w:lvlText w:val="•"/>
      <w:lvlJc w:val="left"/>
      <w:pPr>
        <w:tabs>
          <w:tab w:val="num" w:pos="5760"/>
        </w:tabs>
        <w:ind w:left="5760" w:hanging="360"/>
      </w:pPr>
      <w:rPr>
        <w:rFonts w:ascii="Arial" w:hAnsi="Arial" w:hint="default"/>
      </w:rPr>
    </w:lvl>
    <w:lvl w:ilvl="8" w:tplc="706E848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DF270E"/>
    <w:multiLevelType w:val="hybridMultilevel"/>
    <w:tmpl w:val="EE2A6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10EE6"/>
    <w:multiLevelType w:val="hybridMultilevel"/>
    <w:tmpl w:val="8F2C0CAE"/>
    <w:lvl w:ilvl="0" w:tplc="92F65F20">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6346B"/>
    <w:multiLevelType w:val="hybridMultilevel"/>
    <w:tmpl w:val="60B45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42A9A"/>
    <w:multiLevelType w:val="hybridMultilevel"/>
    <w:tmpl w:val="1E7CC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7160E"/>
    <w:multiLevelType w:val="hybridMultilevel"/>
    <w:tmpl w:val="AAECA5F8"/>
    <w:lvl w:ilvl="0" w:tplc="895AB6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117B3"/>
    <w:multiLevelType w:val="hybridMultilevel"/>
    <w:tmpl w:val="D012D0BA"/>
    <w:lvl w:ilvl="0" w:tplc="92F65F2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E5052"/>
    <w:multiLevelType w:val="hybridMultilevel"/>
    <w:tmpl w:val="55CE2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54E4C"/>
    <w:multiLevelType w:val="hybridMultilevel"/>
    <w:tmpl w:val="FD7AD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3355B"/>
    <w:multiLevelType w:val="hybridMultilevel"/>
    <w:tmpl w:val="AAECA5F8"/>
    <w:lvl w:ilvl="0" w:tplc="895AB6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4336A3"/>
    <w:multiLevelType w:val="hybridMultilevel"/>
    <w:tmpl w:val="59C07DF4"/>
    <w:lvl w:ilvl="0" w:tplc="3DFC4812">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1F4EAC"/>
    <w:multiLevelType w:val="hybridMultilevel"/>
    <w:tmpl w:val="6B5664D8"/>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2D5FE3"/>
    <w:multiLevelType w:val="hybridMultilevel"/>
    <w:tmpl w:val="F416A1F0"/>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80985"/>
    <w:multiLevelType w:val="hybridMultilevel"/>
    <w:tmpl w:val="C5165932"/>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2A6565"/>
    <w:multiLevelType w:val="hybridMultilevel"/>
    <w:tmpl w:val="719E286C"/>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B82136"/>
    <w:multiLevelType w:val="hybridMultilevel"/>
    <w:tmpl w:val="AAECA5F8"/>
    <w:lvl w:ilvl="0" w:tplc="895AB6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0E6BF9"/>
    <w:multiLevelType w:val="hybridMultilevel"/>
    <w:tmpl w:val="761A2796"/>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ED6BE5"/>
    <w:multiLevelType w:val="hybridMultilevel"/>
    <w:tmpl w:val="F690AF1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F21524"/>
    <w:multiLevelType w:val="hybridMultilevel"/>
    <w:tmpl w:val="B55AC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5D0585A"/>
    <w:multiLevelType w:val="hybridMultilevel"/>
    <w:tmpl w:val="74729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5D021E"/>
    <w:multiLevelType w:val="hybridMultilevel"/>
    <w:tmpl w:val="BA1A0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77811"/>
    <w:multiLevelType w:val="hybridMultilevel"/>
    <w:tmpl w:val="DF1613EA"/>
    <w:lvl w:ilvl="0" w:tplc="62F6E74A">
      <w:start w:val="1"/>
      <w:numFmt w:val="bullet"/>
      <w:lvlText w:val="•"/>
      <w:lvlJc w:val="left"/>
      <w:pPr>
        <w:tabs>
          <w:tab w:val="num" w:pos="720"/>
        </w:tabs>
        <w:ind w:left="720" w:hanging="360"/>
      </w:pPr>
      <w:rPr>
        <w:rFonts w:ascii="Arial" w:hAnsi="Arial" w:hint="default"/>
      </w:rPr>
    </w:lvl>
    <w:lvl w:ilvl="1" w:tplc="BAB07166" w:tentative="1">
      <w:start w:val="1"/>
      <w:numFmt w:val="bullet"/>
      <w:lvlText w:val="•"/>
      <w:lvlJc w:val="left"/>
      <w:pPr>
        <w:tabs>
          <w:tab w:val="num" w:pos="1440"/>
        </w:tabs>
        <w:ind w:left="1440" w:hanging="360"/>
      </w:pPr>
      <w:rPr>
        <w:rFonts w:ascii="Arial" w:hAnsi="Arial" w:hint="default"/>
      </w:rPr>
    </w:lvl>
    <w:lvl w:ilvl="2" w:tplc="B734F2C6" w:tentative="1">
      <w:start w:val="1"/>
      <w:numFmt w:val="bullet"/>
      <w:lvlText w:val="•"/>
      <w:lvlJc w:val="left"/>
      <w:pPr>
        <w:tabs>
          <w:tab w:val="num" w:pos="2160"/>
        </w:tabs>
        <w:ind w:left="2160" w:hanging="360"/>
      </w:pPr>
      <w:rPr>
        <w:rFonts w:ascii="Arial" w:hAnsi="Arial" w:hint="default"/>
      </w:rPr>
    </w:lvl>
    <w:lvl w:ilvl="3" w:tplc="322E93FE" w:tentative="1">
      <w:start w:val="1"/>
      <w:numFmt w:val="bullet"/>
      <w:lvlText w:val="•"/>
      <w:lvlJc w:val="left"/>
      <w:pPr>
        <w:tabs>
          <w:tab w:val="num" w:pos="2880"/>
        </w:tabs>
        <w:ind w:left="2880" w:hanging="360"/>
      </w:pPr>
      <w:rPr>
        <w:rFonts w:ascii="Arial" w:hAnsi="Arial" w:hint="default"/>
      </w:rPr>
    </w:lvl>
    <w:lvl w:ilvl="4" w:tplc="EC1CA9AE" w:tentative="1">
      <w:start w:val="1"/>
      <w:numFmt w:val="bullet"/>
      <w:lvlText w:val="•"/>
      <w:lvlJc w:val="left"/>
      <w:pPr>
        <w:tabs>
          <w:tab w:val="num" w:pos="3600"/>
        </w:tabs>
        <w:ind w:left="3600" w:hanging="360"/>
      </w:pPr>
      <w:rPr>
        <w:rFonts w:ascii="Arial" w:hAnsi="Arial" w:hint="default"/>
      </w:rPr>
    </w:lvl>
    <w:lvl w:ilvl="5" w:tplc="FA981FF4" w:tentative="1">
      <w:start w:val="1"/>
      <w:numFmt w:val="bullet"/>
      <w:lvlText w:val="•"/>
      <w:lvlJc w:val="left"/>
      <w:pPr>
        <w:tabs>
          <w:tab w:val="num" w:pos="4320"/>
        </w:tabs>
        <w:ind w:left="4320" w:hanging="360"/>
      </w:pPr>
      <w:rPr>
        <w:rFonts w:ascii="Arial" w:hAnsi="Arial" w:hint="default"/>
      </w:rPr>
    </w:lvl>
    <w:lvl w:ilvl="6" w:tplc="512425A4" w:tentative="1">
      <w:start w:val="1"/>
      <w:numFmt w:val="bullet"/>
      <w:lvlText w:val="•"/>
      <w:lvlJc w:val="left"/>
      <w:pPr>
        <w:tabs>
          <w:tab w:val="num" w:pos="5040"/>
        </w:tabs>
        <w:ind w:left="5040" w:hanging="360"/>
      </w:pPr>
      <w:rPr>
        <w:rFonts w:ascii="Arial" w:hAnsi="Arial" w:hint="default"/>
      </w:rPr>
    </w:lvl>
    <w:lvl w:ilvl="7" w:tplc="67163A9E" w:tentative="1">
      <w:start w:val="1"/>
      <w:numFmt w:val="bullet"/>
      <w:lvlText w:val="•"/>
      <w:lvlJc w:val="left"/>
      <w:pPr>
        <w:tabs>
          <w:tab w:val="num" w:pos="5760"/>
        </w:tabs>
        <w:ind w:left="5760" w:hanging="360"/>
      </w:pPr>
      <w:rPr>
        <w:rFonts w:ascii="Arial" w:hAnsi="Arial" w:hint="default"/>
      </w:rPr>
    </w:lvl>
    <w:lvl w:ilvl="8" w:tplc="209427B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1676548"/>
    <w:multiLevelType w:val="hybridMultilevel"/>
    <w:tmpl w:val="E9C6FA3E"/>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367121"/>
    <w:multiLevelType w:val="hybridMultilevel"/>
    <w:tmpl w:val="824892EA"/>
    <w:lvl w:ilvl="0" w:tplc="92F65F20">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C09DD"/>
    <w:multiLevelType w:val="hybridMultilevel"/>
    <w:tmpl w:val="09AEC376"/>
    <w:lvl w:ilvl="0" w:tplc="92F65F20">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EC663A"/>
    <w:multiLevelType w:val="hybridMultilevel"/>
    <w:tmpl w:val="F6FA6626"/>
    <w:lvl w:ilvl="0" w:tplc="249A7076">
      <w:start w:val="1"/>
      <w:numFmt w:val="decimal"/>
      <w:lvlText w:val="%1)"/>
      <w:lvlJc w:val="left"/>
      <w:pPr>
        <w:tabs>
          <w:tab w:val="num" w:pos="720"/>
        </w:tabs>
        <w:ind w:left="720" w:hanging="360"/>
      </w:pPr>
    </w:lvl>
    <w:lvl w:ilvl="1" w:tplc="EF121E9A" w:tentative="1">
      <w:start w:val="1"/>
      <w:numFmt w:val="decimal"/>
      <w:lvlText w:val="%2)"/>
      <w:lvlJc w:val="left"/>
      <w:pPr>
        <w:tabs>
          <w:tab w:val="num" w:pos="1440"/>
        </w:tabs>
        <w:ind w:left="1440" w:hanging="360"/>
      </w:pPr>
    </w:lvl>
    <w:lvl w:ilvl="2" w:tplc="55122768" w:tentative="1">
      <w:start w:val="1"/>
      <w:numFmt w:val="decimal"/>
      <w:lvlText w:val="%3)"/>
      <w:lvlJc w:val="left"/>
      <w:pPr>
        <w:tabs>
          <w:tab w:val="num" w:pos="2160"/>
        </w:tabs>
        <w:ind w:left="2160" w:hanging="360"/>
      </w:pPr>
    </w:lvl>
    <w:lvl w:ilvl="3" w:tplc="3152622C" w:tentative="1">
      <w:start w:val="1"/>
      <w:numFmt w:val="decimal"/>
      <w:lvlText w:val="%4)"/>
      <w:lvlJc w:val="left"/>
      <w:pPr>
        <w:tabs>
          <w:tab w:val="num" w:pos="2880"/>
        </w:tabs>
        <w:ind w:left="2880" w:hanging="360"/>
      </w:pPr>
    </w:lvl>
    <w:lvl w:ilvl="4" w:tplc="C34E0FE0" w:tentative="1">
      <w:start w:val="1"/>
      <w:numFmt w:val="decimal"/>
      <w:lvlText w:val="%5)"/>
      <w:lvlJc w:val="left"/>
      <w:pPr>
        <w:tabs>
          <w:tab w:val="num" w:pos="3600"/>
        </w:tabs>
        <w:ind w:left="3600" w:hanging="360"/>
      </w:pPr>
    </w:lvl>
    <w:lvl w:ilvl="5" w:tplc="507E8AD4" w:tentative="1">
      <w:start w:val="1"/>
      <w:numFmt w:val="decimal"/>
      <w:lvlText w:val="%6)"/>
      <w:lvlJc w:val="left"/>
      <w:pPr>
        <w:tabs>
          <w:tab w:val="num" w:pos="4320"/>
        </w:tabs>
        <w:ind w:left="4320" w:hanging="360"/>
      </w:pPr>
    </w:lvl>
    <w:lvl w:ilvl="6" w:tplc="92A42AF0" w:tentative="1">
      <w:start w:val="1"/>
      <w:numFmt w:val="decimal"/>
      <w:lvlText w:val="%7)"/>
      <w:lvlJc w:val="left"/>
      <w:pPr>
        <w:tabs>
          <w:tab w:val="num" w:pos="5040"/>
        </w:tabs>
        <w:ind w:left="5040" w:hanging="360"/>
      </w:pPr>
    </w:lvl>
    <w:lvl w:ilvl="7" w:tplc="82A69642" w:tentative="1">
      <w:start w:val="1"/>
      <w:numFmt w:val="decimal"/>
      <w:lvlText w:val="%8)"/>
      <w:lvlJc w:val="left"/>
      <w:pPr>
        <w:tabs>
          <w:tab w:val="num" w:pos="5760"/>
        </w:tabs>
        <w:ind w:left="5760" w:hanging="360"/>
      </w:pPr>
    </w:lvl>
    <w:lvl w:ilvl="8" w:tplc="0D12ECF6" w:tentative="1">
      <w:start w:val="1"/>
      <w:numFmt w:val="decimal"/>
      <w:lvlText w:val="%9)"/>
      <w:lvlJc w:val="left"/>
      <w:pPr>
        <w:tabs>
          <w:tab w:val="num" w:pos="6480"/>
        </w:tabs>
        <w:ind w:left="6480" w:hanging="360"/>
      </w:pPr>
    </w:lvl>
  </w:abstractNum>
  <w:abstractNum w:abstractNumId="34" w15:restartNumberingAfterBreak="0">
    <w:nsid w:val="718B348B"/>
    <w:multiLevelType w:val="hybridMultilevel"/>
    <w:tmpl w:val="AAECA5F8"/>
    <w:lvl w:ilvl="0" w:tplc="895AB6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1A1C3A"/>
    <w:multiLevelType w:val="hybridMultilevel"/>
    <w:tmpl w:val="382C3C74"/>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D56608"/>
    <w:multiLevelType w:val="hybridMultilevel"/>
    <w:tmpl w:val="04080C6C"/>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D16775"/>
    <w:multiLevelType w:val="hybridMultilevel"/>
    <w:tmpl w:val="619ADE10"/>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355E14"/>
    <w:multiLevelType w:val="hybridMultilevel"/>
    <w:tmpl w:val="BE1C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55647"/>
    <w:multiLevelType w:val="hybridMultilevel"/>
    <w:tmpl w:val="572A4382"/>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39"/>
  </w:num>
  <w:num w:numId="4">
    <w:abstractNumId w:val="20"/>
  </w:num>
  <w:num w:numId="5">
    <w:abstractNumId w:val="19"/>
  </w:num>
  <w:num w:numId="6">
    <w:abstractNumId w:val="3"/>
  </w:num>
  <w:num w:numId="7">
    <w:abstractNumId w:val="37"/>
  </w:num>
  <w:num w:numId="8">
    <w:abstractNumId w:val="36"/>
  </w:num>
  <w:num w:numId="9">
    <w:abstractNumId w:val="35"/>
  </w:num>
  <w:num w:numId="10">
    <w:abstractNumId w:val="32"/>
  </w:num>
  <w:num w:numId="11">
    <w:abstractNumId w:val="10"/>
  </w:num>
  <w:num w:numId="12">
    <w:abstractNumId w:val="31"/>
  </w:num>
  <w:num w:numId="13">
    <w:abstractNumId w:val="30"/>
  </w:num>
  <w:num w:numId="14">
    <w:abstractNumId w:val="18"/>
  </w:num>
  <w:num w:numId="15">
    <w:abstractNumId w:val="34"/>
  </w:num>
  <w:num w:numId="16">
    <w:abstractNumId w:val="23"/>
  </w:num>
  <w:num w:numId="17">
    <w:abstractNumId w:val="14"/>
  </w:num>
  <w:num w:numId="18">
    <w:abstractNumId w:val="17"/>
  </w:num>
  <w:num w:numId="19">
    <w:abstractNumId w:val="9"/>
  </w:num>
  <w:num w:numId="20">
    <w:abstractNumId w:val="27"/>
  </w:num>
  <w:num w:numId="21">
    <w:abstractNumId w:val="13"/>
  </w:num>
  <w:num w:numId="22">
    <w:abstractNumId w:val="1"/>
  </w:num>
  <w:num w:numId="23">
    <w:abstractNumId w:val="28"/>
  </w:num>
  <w:num w:numId="24">
    <w:abstractNumId w:val="11"/>
  </w:num>
  <w:num w:numId="25">
    <w:abstractNumId w:val="6"/>
  </w:num>
  <w:num w:numId="26">
    <w:abstractNumId w:val="12"/>
  </w:num>
  <w:num w:numId="27">
    <w:abstractNumId w:val="2"/>
  </w:num>
  <w:num w:numId="28">
    <w:abstractNumId w:val="38"/>
  </w:num>
  <w:num w:numId="29">
    <w:abstractNumId w:val="24"/>
  </w:num>
  <w:num w:numId="30">
    <w:abstractNumId w:val="33"/>
  </w:num>
  <w:num w:numId="31">
    <w:abstractNumId w:val="21"/>
  </w:num>
  <w:num w:numId="32">
    <w:abstractNumId w:val="5"/>
  </w:num>
  <w:num w:numId="33">
    <w:abstractNumId w:val="29"/>
  </w:num>
  <w:num w:numId="34">
    <w:abstractNumId w:val="8"/>
  </w:num>
  <w:num w:numId="35">
    <w:abstractNumId w:val="15"/>
  </w:num>
  <w:num w:numId="36">
    <w:abstractNumId w:val="25"/>
  </w:num>
  <w:num w:numId="37">
    <w:abstractNumId w:val="4"/>
  </w:num>
  <w:num w:numId="38">
    <w:abstractNumId w:val="7"/>
  </w:num>
  <w:num w:numId="39">
    <w:abstractNumId w:val="26"/>
    <w:lvlOverride w:ilvl="0"/>
    <w:lvlOverride w:ilvl="1"/>
    <w:lvlOverride w:ilvl="2"/>
    <w:lvlOverride w:ilvl="3"/>
    <w:lvlOverride w:ilvl="4"/>
    <w:lvlOverride w:ilvl="5"/>
    <w:lvlOverride w:ilvl="6"/>
    <w:lvlOverride w:ilvl="7"/>
    <w:lvlOverride w:ilvl="8"/>
  </w:num>
  <w:num w:numId="40">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8A5"/>
    <w:rsid w:val="00010CD9"/>
    <w:rsid w:val="00043E5E"/>
    <w:rsid w:val="00075E14"/>
    <w:rsid w:val="000D48F2"/>
    <w:rsid w:val="000E0261"/>
    <w:rsid w:val="000F3811"/>
    <w:rsid w:val="00103708"/>
    <w:rsid w:val="00136138"/>
    <w:rsid w:val="00154A74"/>
    <w:rsid w:val="0018150A"/>
    <w:rsid w:val="001B33E9"/>
    <w:rsid w:val="00283D08"/>
    <w:rsid w:val="002924F7"/>
    <w:rsid w:val="002E0D79"/>
    <w:rsid w:val="002E4CFA"/>
    <w:rsid w:val="002F6E8A"/>
    <w:rsid w:val="00354022"/>
    <w:rsid w:val="003A57E9"/>
    <w:rsid w:val="003B6FF6"/>
    <w:rsid w:val="003C0D0F"/>
    <w:rsid w:val="003C0E0D"/>
    <w:rsid w:val="003F2F38"/>
    <w:rsid w:val="003F7FE7"/>
    <w:rsid w:val="00461F51"/>
    <w:rsid w:val="00466D55"/>
    <w:rsid w:val="00475F90"/>
    <w:rsid w:val="004B47B8"/>
    <w:rsid w:val="004B5FF9"/>
    <w:rsid w:val="004D6B5A"/>
    <w:rsid w:val="005303C6"/>
    <w:rsid w:val="005634FF"/>
    <w:rsid w:val="00575B5D"/>
    <w:rsid w:val="005B0498"/>
    <w:rsid w:val="0060292D"/>
    <w:rsid w:val="00630DA9"/>
    <w:rsid w:val="006540D1"/>
    <w:rsid w:val="006602F4"/>
    <w:rsid w:val="006A7071"/>
    <w:rsid w:val="00702365"/>
    <w:rsid w:val="00750653"/>
    <w:rsid w:val="00773B9A"/>
    <w:rsid w:val="00822523"/>
    <w:rsid w:val="008464FB"/>
    <w:rsid w:val="00864B77"/>
    <w:rsid w:val="008E1998"/>
    <w:rsid w:val="00970D2A"/>
    <w:rsid w:val="00975B2F"/>
    <w:rsid w:val="0099078B"/>
    <w:rsid w:val="009B7197"/>
    <w:rsid w:val="009C157C"/>
    <w:rsid w:val="009F43C9"/>
    <w:rsid w:val="00A15165"/>
    <w:rsid w:val="00A40DC0"/>
    <w:rsid w:val="00A61A2D"/>
    <w:rsid w:val="00AC0C8C"/>
    <w:rsid w:val="00AC5635"/>
    <w:rsid w:val="00AE3809"/>
    <w:rsid w:val="00B67D27"/>
    <w:rsid w:val="00B83C24"/>
    <w:rsid w:val="00B87B3D"/>
    <w:rsid w:val="00BA2ADC"/>
    <w:rsid w:val="00BC68A5"/>
    <w:rsid w:val="00BE257F"/>
    <w:rsid w:val="00C62575"/>
    <w:rsid w:val="00C67D01"/>
    <w:rsid w:val="00C82E49"/>
    <w:rsid w:val="00CA1C68"/>
    <w:rsid w:val="00CB2E16"/>
    <w:rsid w:val="00CB64F7"/>
    <w:rsid w:val="00CC67EA"/>
    <w:rsid w:val="00CD59EE"/>
    <w:rsid w:val="00D11C8F"/>
    <w:rsid w:val="00D21163"/>
    <w:rsid w:val="00D2408B"/>
    <w:rsid w:val="00D60C2E"/>
    <w:rsid w:val="00D75A0E"/>
    <w:rsid w:val="00DB2254"/>
    <w:rsid w:val="00DB3134"/>
    <w:rsid w:val="00DB524A"/>
    <w:rsid w:val="00DE3263"/>
    <w:rsid w:val="00E016DA"/>
    <w:rsid w:val="00E23590"/>
    <w:rsid w:val="00E4272E"/>
    <w:rsid w:val="00E46B7E"/>
    <w:rsid w:val="00E75383"/>
    <w:rsid w:val="00EB6DEB"/>
    <w:rsid w:val="00F3689A"/>
    <w:rsid w:val="00F42212"/>
    <w:rsid w:val="00F4245F"/>
    <w:rsid w:val="00F55757"/>
    <w:rsid w:val="00F61872"/>
    <w:rsid w:val="00F6332A"/>
    <w:rsid w:val="00F66BA7"/>
    <w:rsid w:val="00F73585"/>
    <w:rsid w:val="00F770D3"/>
    <w:rsid w:val="00F876AA"/>
    <w:rsid w:val="00FA64DE"/>
    <w:rsid w:val="00FE0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716569-8D04-4AB2-B6B0-BC76ACF0D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A5"/>
    <w:rPr>
      <w:sz w:val="22"/>
    </w:rPr>
  </w:style>
  <w:style w:type="paragraph" w:styleId="Heading1">
    <w:name w:val="heading 1"/>
    <w:basedOn w:val="Normal"/>
    <w:next w:val="Normal"/>
    <w:link w:val="Heading1Char"/>
    <w:uiPriority w:val="9"/>
    <w:qFormat/>
    <w:rsid w:val="00BC68A5"/>
    <w:pPr>
      <w:spacing w:before="300" w:after="40"/>
      <w:jc w:val="left"/>
      <w:outlineLvl w:val="0"/>
    </w:pPr>
    <w:rPr>
      <w:b/>
      <w:smallCaps/>
      <w:spacing w:val="5"/>
      <w:sz w:val="32"/>
      <w:szCs w:val="32"/>
    </w:rPr>
  </w:style>
  <w:style w:type="paragraph" w:styleId="Heading2">
    <w:name w:val="heading 2"/>
    <w:basedOn w:val="Normal"/>
    <w:next w:val="Normal"/>
    <w:link w:val="Heading2Char"/>
    <w:uiPriority w:val="9"/>
    <w:unhideWhenUsed/>
    <w:qFormat/>
    <w:rsid w:val="00864B77"/>
    <w:pPr>
      <w:spacing w:before="240" w:after="80"/>
      <w:jc w:val="left"/>
      <w:outlineLvl w:val="1"/>
    </w:pPr>
    <w:rPr>
      <w:b/>
      <w:spacing w:val="5"/>
      <w:sz w:val="28"/>
      <w:szCs w:val="28"/>
    </w:rPr>
  </w:style>
  <w:style w:type="paragraph" w:styleId="Heading3">
    <w:name w:val="heading 3"/>
    <w:basedOn w:val="Normal"/>
    <w:next w:val="Normal"/>
    <w:link w:val="Heading3Char"/>
    <w:uiPriority w:val="9"/>
    <w:unhideWhenUsed/>
    <w:qFormat/>
    <w:rsid w:val="00B87B3D"/>
    <w:pPr>
      <w:jc w:val="left"/>
      <w:outlineLvl w:val="2"/>
    </w:pPr>
    <w:rPr>
      <w:rFonts w:ascii="Helvetica" w:hAnsi="Helvetica"/>
      <w:b/>
      <w:sz w:val="24"/>
      <w:szCs w:val="24"/>
    </w:rPr>
  </w:style>
  <w:style w:type="paragraph" w:styleId="Heading4">
    <w:name w:val="heading 4"/>
    <w:basedOn w:val="Normal"/>
    <w:next w:val="Normal"/>
    <w:link w:val="Heading4Char"/>
    <w:uiPriority w:val="9"/>
    <w:semiHidden/>
    <w:unhideWhenUsed/>
    <w:qFormat/>
    <w:rsid w:val="00C67D01"/>
    <w:pPr>
      <w:spacing w:before="240" w:after="0"/>
      <w:jc w:val="left"/>
      <w:outlineLvl w:val="3"/>
    </w:pPr>
    <w:rPr>
      <w:smallCaps/>
      <w:spacing w:val="10"/>
      <w:szCs w:val="22"/>
    </w:rPr>
  </w:style>
  <w:style w:type="paragraph" w:styleId="Heading5">
    <w:name w:val="heading 5"/>
    <w:basedOn w:val="Normal"/>
    <w:next w:val="Normal"/>
    <w:link w:val="Heading5Char"/>
    <w:uiPriority w:val="9"/>
    <w:semiHidden/>
    <w:unhideWhenUsed/>
    <w:qFormat/>
    <w:rsid w:val="00C67D01"/>
    <w:pPr>
      <w:spacing w:before="200" w:after="0"/>
      <w:jc w:val="left"/>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C67D01"/>
    <w:pPr>
      <w:spacing w:after="0"/>
      <w:jc w:val="left"/>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C67D01"/>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C67D01"/>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C67D01"/>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8A5"/>
    <w:rPr>
      <w:b/>
      <w:smallCaps/>
      <w:spacing w:val="5"/>
      <w:sz w:val="32"/>
      <w:szCs w:val="32"/>
    </w:rPr>
  </w:style>
  <w:style w:type="character" w:customStyle="1" w:styleId="Heading2Char">
    <w:name w:val="Heading 2 Char"/>
    <w:basedOn w:val="DefaultParagraphFont"/>
    <w:link w:val="Heading2"/>
    <w:uiPriority w:val="9"/>
    <w:rsid w:val="00864B77"/>
    <w:rPr>
      <w:b/>
      <w:spacing w:val="5"/>
      <w:sz w:val="28"/>
      <w:szCs w:val="28"/>
    </w:rPr>
  </w:style>
  <w:style w:type="character" w:customStyle="1" w:styleId="Heading3Char">
    <w:name w:val="Heading 3 Char"/>
    <w:basedOn w:val="DefaultParagraphFont"/>
    <w:link w:val="Heading3"/>
    <w:uiPriority w:val="9"/>
    <w:rsid w:val="00B87B3D"/>
    <w:rPr>
      <w:rFonts w:ascii="Helvetica" w:hAnsi="Helvetica"/>
      <w:b/>
      <w:sz w:val="24"/>
      <w:szCs w:val="24"/>
    </w:rPr>
  </w:style>
  <w:style w:type="character" w:customStyle="1" w:styleId="Heading4Char">
    <w:name w:val="Heading 4 Char"/>
    <w:basedOn w:val="DefaultParagraphFont"/>
    <w:link w:val="Heading4"/>
    <w:uiPriority w:val="9"/>
    <w:semiHidden/>
    <w:rsid w:val="00C67D01"/>
    <w:rPr>
      <w:smallCaps/>
      <w:spacing w:val="10"/>
      <w:sz w:val="22"/>
      <w:szCs w:val="22"/>
    </w:rPr>
  </w:style>
  <w:style w:type="character" w:customStyle="1" w:styleId="Heading5Char">
    <w:name w:val="Heading 5 Char"/>
    <w:basedOn w:val="DefaultParagraphFont"/>
    <w:link w:val="Heading5"/>
    <w:uiPriority w:val="9"/>
    <w:semiHidden/>
    <w:rsid w:val="00C67D01"/>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C67D01"/>
    <w:rPr>
      <w:smallCaps/>
      <w:color w:val="C0504D" w:themeColor="accent2"/>
      <w:spacing w:val="5"/>
      <w:sz w:val="22"/>
    </w:rPr>
  </w:style>
  <w:style w:type="character" w:customStyle="1" w:styleId="Heading7Char">
    <w:name w:val="Heading 7 Char"/>
    <w:basedOn w:val="DefaultParagraphFont"/>
    <w:link w:val="Heading7"/>
    <w:uiPriority w:val="9"/>
    <w:semiHidden/>
    <w:rsid w:val="00C67D01"/>
    <w:rPr>
      <w:b/>
      <w:smallCaps/>
      <w:color w:val="C0504D" w:themeColor="accent2"/>
      <w:spacing w:val="10"/>
    </w:rPr>
  </w:style>
  <w:style w:type="character" w:customStyle="1" w:styleId="Heading8Char">
    <w:name w:val="Heading 8 Char"/>
    <w:basedOn w:val="DefaultParagraphFont"/>
    <w:link w:val="Heading8"/>
    <w:uiPriority w:val="9"/>
    <w:semiHidden/>
    <w:rsid w:val="00C67D01"/>
    <w:rPr>
      <w:b/>
      <w:i/>
      <w:smallCaps/>
      <w:color w:val="943634" w:themeColor="accent2" w:themeShade="BF"/>
    </w:rPr>
  </w:style>
  <w:style w:type="character" w:customStyle="1" w:styleId="Heading9Char">
    <w:name w:val="Heading 9 Char"/>
    <w:basedOn w:val="DefaultParagraphFont"/>
    <w:link w:val="Heading9"/>
    <w:uiPriority w:val="9"/>
    <w:semiHidden/>
    <w:rsid w:val="00C67D01"/>
    <w:rPr>
      <w:b/>
      <w:i/>
      <w:smallCaps/>
      <w:color w:val="622423" w:themeColor="accent2" w:themeShade="7F"/>
    </w:rPr>
  </w:style>
  <w:style w:type="paragraph" w:styleId="Caption">
    <w:name w:val="caption"/>
    <w:basedOn w:val="Normal"/>
    <w:next w:val="Normal"/>
    <w:uiPriority w:val="35"/>
    <w:semiHidden/>
    <w:unhideWhenUsed/>
    <w:qFormat/>
    <w:rsid w:val="00C67D01"/>
    <w:rPr>
      <w:b/>
      <w:bCs/>
      <w:caps/>
      <w:sz w:val="16"/>
      <w:szCs w:val="18"/>
    </w:rPr>
  </w:style>
  <w:style w:type="paragraph" w:styleId="Title">
    <w:name w:val="Title"/>
    <w:basedOn w:val="Normal"/>
    <w:next w:val="Normal"/>
    <w:link w:val="TitleChar"/>
    <w:uiPriority w:val="10"/>
    <w:qFormat/>
    <w:rsid w:val="00C67D01"/>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C67D01"/>
    <w:rPr>
      <w:smallCaps/>
      <w:sz w:val="48"/>
      <w:szCs w:val="48"/>
    </w:rPr>
  </w:style>
  <w:style w:type="paragraph" w:styleId="Subtitle">
    <w:name w:val="Subtitle"/>
    <w:basedOn w:val="Normal"/>
    <w:next w:val="Normal"/>
    <w:link w:val="SubtitleChar"/>
    <w:uiPriority w:val="11"/>
    <w:qFormat/>
    <w:rsid w:val="00C67D01"/>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C67D01"/>
    <w:rPr>
      <w:rFonts w:asciiTheme="majorHAnsi" w:eastAsiaTheme="majorEastAsia" w:hAnsiTheme="majorHAnsi" w:cstheme="majorBidi"/>
      <w:szCs w:val="22"/>
    </w:rPr>
  </w:style>
  <w:style w:type="character" w:styleId="Strong">
    <w:name w:val="Strong"/>
    <w:uiPriority w:val="22"/>
    <w:qFormat/>
    <w:rsid w:val="00CB2E16"/>
    <w:rPr>
      <w:rFonts w:ascii="Helvetica" w:hAnsi="Helvetica"/>
      <w:b/>
      <w:caps w:val="0"/>
      <w:smallCaps w:val="0"/>
      <w:strike w:val="0"/>
      <w:dstrike w:val="0"/>
      <w:vanish w:val="0"/>
      <w:sz w:val="24"/>
      <w:szCs w:val="24"/>
      <w:vertAlign w:val="baseline"/>
    </w:rPr>
  </w:style>
  <w:style w:type="character" w:styleId="Emphasis">
    <w:name w:val="Emphasis"/>
    <w:uiPriority w:val="20"/>
    <w:qFormat/>
    <w:rsid w:val="00CB64F7"/>
    <w:rPr>
      <w:rFonts w:ascii="Helvetica" w:hAnsi="Helvetica"/>
      <w:i/>
      <w:sz w:val="24"/>
      <w:szCs w:val="24"/>
    </w:rPr>
  </w:style>
  <w:style w:type="paragraph" w:styleId="NoSpacing">
    <w:name w:val="No Spacing"/>
    <w:basedOn w:val="Normal"/>
    <w:link w:val="NoSpacingChar"/>
    <w:uiPriority w:val="1"/>
    <w:qFormat/>
    <w:rsid w:val="00C67D01"/>
    <w:pPr>
      <w:spacing w:after="0" w:line="240" w:lineRule="auto"/>
    </w:pPr>
  </w:style>
  <w:style w:type="character" w:customStyle="1" w:styleId="NoSpacingChar">
    <w:name w:val="No Spacing Char"/>
    <w:basedOn w:val="DefaultParagraphFont"/>
    <w:link w:val="NoSpacing"/>
    <w:uiPriority w:val="1"/>
    <w:rsid w:val="00C67D01"/>
  </w:style>
  <w:style w:type="paragraph" w:styleId="ListParagraph">
    <w:name w:val="List Paragraph"/>
    <w:basedOn w:val="Normal"/>
    <w:uiPriority w:val="34"/>
    <w:qFormat/>
    <w:rsid w:val="00C67D01"/>
    <w:pPr>
      <w:ind w:left="720"/>
      <w:contextualSpacing/>
    </w:pPr>
  </w:style>
  <w:style w:type="paragraph" w:styleId="Quote">
    <w:name w:val="Quote"/>
    <w:basedOn w:val="Normal"/>
    <w:next w:val="Normal"/>
    <w:link w:val="QuoteChar"/>
    <w:uiPriority w:val="29"/>
    <w:qFormat/>
    <w:rsid w:val="00C67D01"/>
    <w:rPr>
      <w:i/>
    </w:rPr>
  </w:style>
  <w:style w:type="character" w:customStyle="1" w:styleId="QuoteChar">
    <w:name w:val="Quote Char"/>
    <w:basedOn w:val="DefaultParagraphFont"/>
    <w:link w:val="Quote"/>
    <w:uiPriority w:val="29"/>
    <w:rsid w:val="00C67D01"/>
    <w:rPr>
      <w:i/>
    </w:rPr>
  </w:style>
  <w:style w:type="paragraph" w:styleId="IntenseQuote">
    <w:name w:val="Intense Quote"/>
    <w:basedOn w:val="Normal"/>
    <w:next w:val="Normal"/>
    <w:link w:val="IntenseQuoteChar"/>
    <w:uiPriority w:val="30"/>
    <w:qFormat/>
    <w:rsid w:val="00C67D0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C67D01"/>
    <w:rPr>
      <w:b/>
      <w:i/>
      <w:color w:val="FFFFFF" w:themeColor="background1"/>
      <w:shd w:val="clear" w:color="auto" w:fill="C0504D" w:themeFill="accent2"/>
    </w:rPr>
  </w:style>
  <w:style w:type="character" w:styleId="SubtleEmphasis">
    <w:name w:val="Subtle Emphasis"/>
    <w:uiPriority w:val="19"/>
    <w:qFormat/>
    <w:rsid w:val="00C67D01"/>
    <w:rPr>
      <w:i/>
    </w:rPr>
  </w:style>
  <w:style w:type="character" w:styleId="IntenseEmphasis">
    <w:name w:val="Intense Emphasis"/>
    <w:uiPriority w:val="21"/>
    <w:qFormat/>
    <w:rsid w:val="00C67D01"/>
    <w:rPr>
      <w:b/>
      <w:i/>
      <w:color w:val="C0504D" w:themeColor="accent2"/>
      <w:spacing w:val="10"/>
    </w:rPr>
  </w:style>
  <w:style w:type="character" w:styleId="SubtleReference">
    <w:name w:val="Subtle Reference"/>
    <w:uiPriority w:val="31"/>
    <w:qFormat/>
    <w:rsid w:val="00C67D01"/>
    <w:rPr>
      <w:b/>
    </w:rPr>
  </w:style>
  <w:style w:type="character" w:styleId="IntenseReference">
    <w:name w:val="Intense Reference"/>
    <w:uiPriority w:val="32"/>
    <w:qFormat/>
    <w:rsid w:val="00C67D01"/>
    <w:rPr>
      <w:b/>
      <w:bCs/>
      <w:smallCaps/>
      <w:spacing w:val="5"/>
      <w:sz w:val="22"/>
      <w:szCs w:val="22"/>
      <w:u w:val="single"/>
    </w:rPr>
  </w:style>
  <w:style w:type="character" w:styleId="BookTitle">
    <w:name w:val="Book Title"/>
    <w:uiPriority w:val="33"/>
    <w:qFormat/>
    <w:rsid w:val="00C67D0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67D01"/>
    <w:pPr>
      <w:outlineLvl w:val="9"/>
    </w:pPr>
    <w:rPr>
      <w:lang w:bidi="en-US"/>
    </w:rPr>
  </w:style>
  <w:style w:type="paragraph" w:styleId="NormalWeb">
    <w:name w:val="Normal (Web)"/>
    <w:basedOn w:val="Normal"/>
    <w:uiPriority w:val="99"/>
    <w:unhideWhenUsed/>
    <w:rsid w:val="00BC68A5"/>
    <w:pPr>
      <w:spacing w:before="100" w:beforeAutospacing="1" w:after="100" w:afterAutospacing="1" w:line="240" w:lineRule="auto"/>
      <w:jc w:val="left"/>
    </w:pPr>
    <w:rPr>
      <w:rFonts w:ascii="Times New Roman" w:eastAsia="Times New Roman" w:hAnsi="Times New Roman" w:cs="Times New Roman"/>
      <w:sz w:val="24"/>
      <w:szCs w:val="24"/>
    </w:rPr>
  </w:style>
  <w:style w:type="table" w:styleId="TableGrid">
    <w:name w:val="Table Grid"/>
    <w:basedOn w:val="TableNormal"/>
    <w:uiPriority w:val="59"/>
    <w:rsid w:val="00BC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150A"/>
    <w:rPr>
      <w:color w:val="0000FF" w:themeColor="hyperlink"/>
      <w:u w:val="single"/>
    </w:rPr>
  </w:style>
  <w:style w:type="paragraph" w:styleId="BalloonText">
    <w:name w:val="Balloon Text"/>
    <w:basedOn w:val="Normal"/>
    <w:link w:val="BalloonTextChar"/>
    <w:uiPriority w:val="99"/>
    <w:semiHidden/>
    <w:unhideWhenUsed/>
    <w:rsid w:val="00E23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5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42628">
      <w:bodyDiv w:val="1"/>
      <w:marLeft w:val="0"/>
      <w:marRight w:val="0"/>
      <w:marTop w:val="0"/>
      <w:marBottom w:val="0"/>
      <w:divBdr>
        <w:top w:val="none" w:sz="0" w:space="0" w:color="auto"/>
        <w:left w:val="none" w:sz="0" w:space="0" w:color="auto"/>
        <w:bottom w:val="none" w:sz="0" w:space="0" w:color="auto"/>
        <w:right w:val="none" w:sz="0" w:space="0" w:color="auto"/>
      </w:divBdr>
    </w:div>
    <w:div w:id="170024103">
      <w:bodyDiv w:val="1"/>
      <w:marLeft w:val="0"/>
      <w:marRight w:val="0"/>
      <w:marTop w:val="0"/>
      <w:marBottom w:val="0"/>
      <w:divBdr>
        <w:top w:val="none" w:sz="0" w:space="0" w:color="auto"/>
        <w:left w:val="none" w:sz="0" w:space="0" w:color="auto"/>
        <w:bottom w:val="none" w:sz="0" w:space="0" w:color="auto"/>
        <w:right w:val="none" w:sz="0" w:space="0" w:color="auto"/>
      </w:divBdr>
    </w:div>
    <w:div w:id="185098895">
      <w:bodyDiv w:val="1"/>
      <w:marLeft w:val="0"/>
      <w:marRight w:val="0"/>
      <w:marTop w:val="0"/>
      <w:marBottom w:val="0"/>
      <w:divBdr>
        <w:top w:val="none" w:sz="0" w:space="0" w:color="auto"/>
        <w:left w:val="none" w:sz="0" w:space="0" w:color="auto"/>
        <w:bottom w:val="none" w:sz="0" w:space="0" w:color="auto"/>
        <w:right w:val="none" w:sz="0" w:space="0" w:color="auto"/>
      </w:divBdr>
      <w:divsChild>
        <w:div w:id="293144907">
          <w:marLeft w:val="1440"/>
          <w:marRight w:val="0"/>
          <w:marTop w:val="0"/>
          <w:marBottom w:val="240"/>
          <w:divBdr>
            <w:top w:val="none" w:sz="0" w:space="0" w:color="auto"/>
            <w:left w:val="none" w:sz="0" w:space="0" w:color="auto"/>
            <w:bottom w:val="none" w:sz="0" w:space="0" w:color="auto"/>
            <w:right w:val="none" w:sz="0" w:space="0" w:color="auto"/>
          </w:divBdr>
        </w:div>
      </w:divsChild>
    </w:div>
    <w:div w:id="217015677">
      <w:bodyDiv w:val="1"/>
      <w:marLeft w:val="0"/>
      <w:marRight w:val="0"/>
      <w:marTop w:val="0"/>
      <w:marBottom w:val="0"/>
      <w:divBdr>
        <w:top w:val="none" w:sz="0" w:space="0" w:color="auto"/>
        <w:left w:val="none" w:sz="0" w:space="0" w:color="auto"/>
        <w:bottom w:val="none" w:sz="0" w:space="0" w:color="auto"/>
        <w:right w:val="none" w:sz="0" w:space="0" w:color="auto"/>
      </w:divBdr>
    </w:div>
    <w:div w:id="224951061">
      <w:bodyDiv w:val="1"/>
      <w:marLeft w:val="0"/>
      <w:marRight w:val="0"/>
      <w:marTop w:val="0"/>
      <w:marBottom w:val="0"/>
      <w:divBdr>
        <w:top w:val="none" w:sz="0" w:space="0" w:color="auto"/>
        <w:left w:val="none" w:sz="0" w:space="0" w:color="auto"/>
        <w:bottom w:val="none" w:sz="0" w:space="0" w:color="auto"/>
        <w:right w:val="none" w:sz="0" w:space="0" w:color="auto"/>
      </w:divBdr>
      <w:divsChild>
        <w:div w:id="1774084701">
          <w:marLeft w:val="547"/>
          <w:marRight w:val="0"/>
          <w:marTop w:val="0"/>
          <w:marBottom w:val="0"/>
          <w:divBdr>
            <w:top w:val="none" w:sz="0" w:space="0" w:color="auto"/>
            <w:left w:val="none" w:sz="0" w:space="0" w:color="auto"/>
            <w:bottom w:val="none" w:sz="0" w:space="0" w:color="auto"/>
            <w:right w:val="none" w:sz="0" w:space="0" w:color="auto"/>
          </w:divBdr>
        </w:div>
        <w:div w:id="1816022249">
          <w:marLeft w:val="547"/>
          <w:marRight w:val="0"/>
          <w:marTop w:val="0"/>
          <w:marBottom w:val="0"/>
          <w:divBdr>
            <w:top w:val="none" w:sz="0" w:space="0" w:color="auto"/>
            <w:left w:val="none" w:sz="0" w:space="0" w:color="auto"/>
            <w:bottom w:val="none" w:sz="0" w:space="0" w:color="auto"/>
            <w:right w:val="none" w:sz="0" w:space="0" w:color="auto"/>
          </w:divBdr>
        </w:div>
      </w:divsChild>
    </w:div>
    <w:div w:id="246766396">
      <w:bodyDiv w:val="1"/>
      <w:marLeft w:val="0"/>
      <w:marRight w:val="0"/>
      <w:marTop w:val="0"/>
      <w:marBottom w:val="0"/>
      <w:divBdr>
        <w:top w:val="none" w:sz="0" w:space="0" w:color="auto"/>
        <w:left w:val="none" w:sz="0" w:space="0" w:color="auto"/>
        <w:bottom w:val="none" w:sz="0" w:space="0" w:color="auto"/>
        <w:right w:val="none" w:sz="0" w:space="0" w:color="auto"/>
      </w:divBdr>
    </w:div>
    <w:div w:id="256868090">
      <w:bodyDiv w:val="1"/>
      <w:marLeft w:val="0"/>
      <w:marRight w:val="0"/>
      <w:marTop w:val="0"/>
      <w:marBottom w:val="0"/>
      <w:divBdr>
        <w:top w:val="none" w:sz="0" w:space="0" w:color="auto"/>
        <w:left w:val="none" w:sz="0" w:space="0" w:color="auto"/>
        <w:bottom w:val="none" w:sz="0" w:space="0" w:color="auto"/>
        <w:right w:val="none" w:sz="0" w:space="0" w:color="auto"/>
      </w:divBdr>
    </w:div>
    <w:div w:id="287972459">
      <w:bodyDiv w:val="1"/>
      <w:marLeft w:val="0"/>
      <w:marRight w:val="0"/>
      <w:marTop w:val="0"/>
      <w:marBottom w:val="0"/>
      <w:divBdr>
        <w:top w:val="none" w:sz="0" w:space="0" w:color="auto"/>
        <w:left w:val="none" w:sz="0" w:space="0" w:color="auto"/>
        <w:bottom w:val="none" w:sz="0" w:space="0" w:color="auto"/>
        <w:right w:val="none" w:sz="0" w:space="0" w:color="auto"/>
      </w:divBdr>
    </w:div>
    <w:div w:id="314991676">
      <w:bodyDiv w:val="1"/>
      <w:marLeft w:val="0"/>
      <w:marRight w:val="0"/>
      <w:marTop w:val="0"/>
      <w:marBottom w:val="0"/>
      <w:divBdr>
        <w:top w:val="none" w:sz="0" w:space="0" w:color="auto"/>
        <w:left w:val="none" w:sz="0" w:space="0" w:color="auto"/>
        <w:bottom w:val="none" w:sz="0" w:space="0" w:color="auto"/>
        <w:right w:val="none" w:sz="0" w:space="0" w:color="auto"/>
      </w:divBdr>
      <w:divsChild>
        <w:div w:id="525338413">
          <w:marLeft w:val="720"/>
          <w:marRight w:val="0"/>
          <w:marTop w:val="0"/>
          <w:marBottom w:val="120"/>
          <w:divBdr>
            <w:top w:val="none" w:sz="0" w:space="0" w:color="auto"/>
            <w:left w:val="none" w:sz="0" w:space="0" w:color="auto"/>
            <w:bottom w:val="none" w:sz="0" w:space="0" w:color="auto"/>
            <w:right w:val="none" w:sz="0" w:space="0" w:color="auto"/>
          </w:divBdr>
        </w:div>
        <w:div w:id="1090857272">
          <w:marLeft w:val="1440"/>
          <w:marRight w:val="0"/>
          <w:marTop w:val="0"/>
          <w:marBottom w:val="240"/>
          <w:divBdr>
            <w:top w:val="none" w:sz="0" w:space="0" w:color="auto"/>
            <w:left w:val="none" w:sz="0" w:space="0" w:color="auto"/>
            <w:bottom w:val="none" w:sz="0" w:space="0" w:color="auto"/>
            <w:right w:val="none" w:sz="0" w:space="0" w:color="auto"/>
          </w:divBdr>
        </w:div>
        <w:div w:id="1910075830">
          <w:marLeft w:val="720"/>
          <w:marRight w:val="0"/>
          <w:marTop w:val="0"/>
          <w:marBottom w:val="120"/>
          <w:divBdr>
            <w:top w:val="none" w:sz="0" w:space="0" w:color="auto"/>
            <w:left w:val="none" w:sz="0" w:space="0" w:color="auto"/>
            <w:bottom w:val="none" w:sz="0" w:space="0" w:color="auto"/>
            <w:right w:val="none" w:sz="0" w:space="0" w:color="auto"/>
          </w:divBdr>
        </w:div>
        <w:div w:id="1132748562">
          <w:marLeft w:val="1555"/>
          <w:marRight w:val="0"/>
          <w:marTop w:val="0"/>
          <w:marBottom w:val="120"/>
          <w:divBdr>
            <w:top w:val="none" w:sz="0" w:space="0" w:color="auto"/>
            <w:left w:val="none" w:sz="0" w:space="0" w:color="auto"/>
            <w:bottom w:val="none" w:sz="0" w:space="0" w:color="auto"/>
            <w:right w:val="none" w:sz="0" w:space="0" w:color="auto"/>
          </w:divBdr>
        </w:div>
        <w:div w:id="1191919488">
          <w:marLeft w:val="720"/>
          <w:marRight w:val="0"/>
          <w:marTop w:val="0"/>
          <w:marBottom w:val="120"/>
          <w:divBdr>
            <w:top w:val="none" w:sz="0" w:space="0" w:color="auto"/>
            <w:left w:val="none" w:sz="0" w:space="0" w:color="auto"/>
            <w:bottom w:val="none" w:sz="0" w:space="0" w:color="auto"/>
            <w:right w:val="none" w:sz="0" w:space="0" w:color="auto"/>
          </w:divBdr>
        </w:div>
        <w:div w:id="982124391">
          <w:marLeft w:val="1440"/>
          <w:marRight w:val="0"/>
          <w:marTop w:val="0"/>
          <w:marBottom w:val="0"/>
          <w:divBdr>
            <w:top w:val="none" w:sz="0" w:space="0" w:color="auto"/>
            <w:left w:val="none" w:sz="0" w:space="0" w:color="auto"/>
            <w:bottom w:val="none" w:sz="0" w:space="0" w:color="auto"/>
            <w:right w:val="none" w:sz="0" w:space="0" w:color="auto"/>
          </w:divBdr>
        </w:div>
        <w:div w:id="998583318">
          <w:marLeft w:val="1440"/>
          <w:marRight w:val="0"/>
          <w:marTop w:val="0"/>
          <w:marBottom w:val="0"/>
          <w:divBdr>
            <w:top w:val="none" w:sz="0" w:space="0" w:color="auto"/>
            <w:left w:val="none" w:sz="0" w:space="0" w:color="auto"/>
            <w:bottom w:val="none" w:sz="0" w:space="0" w:color="auto"/>
            <w:right w:val="none" w:sz="0" w:space="0" w:color="auto"/>
          </w:divBdr>
        </w:div>
        <w:div w:id="124812247">
          <w:marLeft w:val="1440"/>
          <w:marRight w:val="0"/>
          <w:marTop w:val="0"/>
          <w:marBottom w:val="0"/>
          <w:divBdr>
            <w:top w:val="none" w:sz="0" w:space="0" w:color="auto"/>
            <w:left w:val="none" w:sz="0" w:space="0" w:color="auto"/>
            <w:bottom w:val="none" w:sz="0" w:space="0" w:color="auto"/>
            <w:right w:val="none" w:sz="0" w:space="0" w:color="auto"/>
          </w:divBdr>
        </w:div>
      </w:divsChild>
    </w:div>
    <w:div w:id="350962053">
      <w:bodyDiv w:val="1"/>
      <w:marLeft w:val="0"/>
      <w:marRight w:val="0"/>
      <w:marTop w:val="0"/>
      <w:marBottom w:val="0"/>
      <w:divBdr>
        <w:top w:val="none" w:sz="0" w:space="0" w:color="auto"/>
        <w:left w:val="none" w:sz="0" w:space="0" w:color="auto"/>
        <w:bottom w:val="none" w:sz="0" w:space="0" w:color="auto"/>
        <w:right w:val="none" w:sz="0" w:space="0" w:color="auto"/>
      </w:divBdr>
    </w:div>
    <w:div w:id="365957119">
      <w:bodyDiv w:val="1"/>
      <w:marLeft w:val="0"/>
      <w:marRight w:val="0"/>
      <w:marTop w:val="0"/>
      <w:marBottom w:val="0"/>
      <w:divBdr>
        <w:top w:val="none" w:sz="0" w:space="0" w:color="auto"/>
        <w:left w:val="none" w:sz="0" w:space="0" w:color="auto"/>
        <w:bottom w:val="none" w:sz="0" w:space="0" w:color="auto"/>
        <w:right w:val="none" w:sz="0" w:space="0" w:color="auto"/>
      </w:divBdr>
    </w:div>
    <w:div w:id="419639971">
      <w:bodyDiv w:val="1"/>
      <w:marLeft w:val="0"/>
      <w:marRight w:val="0"/>
      <w:marTop w:val="0"/>
      <w:marBottom w:val="0"/>
      <w:divBdr>
        <w:top w:val="none" w:sz="0" w:space="0" w:color="auto"/>
        <w:left w:val="none" w:sz="0" w:space="0" w:color="auto"/>
        <w:bottom w:val="none" w:sz="0" w:space="0" w:color="auto"/>
        <w:right w:val="none" w:sz="0" w:space="0" w:color="auto"/>
      </w:divBdr>
    </w:div>
    <w:div w:id="461003269">
      <w:bodyDiv w:val="1"/>
      <w:marLeft w:val="0"/>
      <w:marRight w:val="0"/>
      <w:marTop w:val="0"/>
      <w:marBottom w:val="0"/>
      <w:divBdr>
        <w:top w:val="none" w:sz="0" w:space="0" w:color="auto"/>
        <w:left w:val="none" w:sz="0" w:space="0" w:color="auto"/>
        <w:bottom w:val="none" w:sz="0" w:space="0" w:color="auto"/>
        <w:right w:val="none" w:sz="0" w:space="0" w:color="auto"/>
      </w:divBdr>
    </w:div>
    <w:div w:id="545336246">
      <w:bodyDiv w:val="1"/>
      <w:marLeft w:val="0"/>
      <w:marRight w:val="0"/>
      <w:marTop w:val="0"/>
      <w:marBottom w:val="0"/>
      <w:divBdr>
        <w:top w:val="none" w:sz="0" w:space="0" w:color="auto"/>
        <w:left w:val="none" w:sz="0" w:space="0" w:color="auto"/>
        <w:bottom w:val="none" w:sz="0" w:space="0" w:color="auto"/>
        <w:right w:val="none" w:sz="0" w:space="0" w:color="auto"/>
      </w:divBdr>
      <w:divsChild>
        <w:div w:id="1608466811">
          <w:marLeft w:val="446"/>
          <w:marRight w:val="0"/>
          <w:marTop w:val="0"/>
          <w:marBottom w:val="0"/>
          <w:divBdr>
            <w:top w:val="none" w:sz="0" w:space="0" w:color="auto"/>
            <w:left w:val="none" w:sz="0" w:space="0" w:color="auto"/>
            <w:bottom w:val="none" w:sz="0" w:space="0" w:color="auto"/>
            <w:right w:val="none" w:sz="0" w:space="0" w:color="auto"/>
          </w:divBdr>
        </w:div>
        <w:div w:id="1725374025">
          <w:marLeft w:val="446"/>
          <w:marRight w:val="0"/>
          <w:marTop w:val="0"/>
          <w:marBottom w:val="0"/>
          <w:divBdr>
            <w:top w:val="none" w:sz="0" w:space="0" w:color="auto"/>
            <w:left w:val="none" w:sz="0" w:space="0" w:color="auto"/>
            <w:bottom w:val="none" w:sz="0" w:space="0" w:color="auto"/>
            <w:right w:val="none" w:sz="0" w:space="0" w:color="auto"/>
          </w:divBdr>
        </w:div>
        <w:div w:id="521018324">
          <w:marLeft w:val="446"/>
          <w:marRight w:val="0"/>
          <w:marTop w:val="0"/>
          <w:marBottom w:val="0"/>
          <w:divBdr>
            <w:top w:val="none" w:sz="0" w:space="0" w:color="auto"/>
            <w:left w:val="none" w:sz="0" w:space="0" w:color="auto"/>
            <w:bottom w:val="none" w:sz="0" w:space="0" w:color="auto"/>
            <w:right w:val="none" w:sz="0" w:space="0" w:color="auto"/>
          </w:divBdr>
        </w:div>
      </w:divsChild>
    </w:div>
    <w:div w:id="633174240">
      <w:bodyDiv w:val="1"/>
      <w:marLeft w:val="0"/>
      <w:marRight w:val="0"/>
      <w:marTop w:val="0"/>
      <w:marBottom w:val="0"/>
      <w:divBdr>
        <w:top w:val="none" w:sz="0" w:space="0" w:color="auto"/>
        <w:left w:val="none" w:sz="0" w:space="0" w:color="auto"/>
        <w:bottom w:val="none" w:sz="0" w:space="0" w:color="auto"/>
        <w:right w:val="none" w:sz="0" w:space="0" w:color="auto"/>
      </w:divBdr>
    </w:div>
    <w:div w:id="662927610">
      <w:bodyDiv w:val="1"/>
      <w:marLeft w:val="0"/>
      <w:marRight w:val="0"/>
      <w:marTop w:val="0"/>
      <w:marBottom w:val="0"/>
      <w:divBdr>
        <w:top w:val="none" w:sz="0" w:space="0" w:color="auto"/>
        <w:left w:val="none" w:sz="0" w:space="0" w:color="auto"/>
        <w:bottom w:val="none" w:sz="0" w:space="0" w:color="auto"/>
        <w:right w:val="none" w:sz="0" w:space="0" w:color="auto"/>
      </w:divBdr>
    </w:div>
    <w:div w:id="663167093">
      <w:bodyDiv w:val="1"/>
      <w:marLeft w:val="0"/>
      <w:marRight w:val="0"/>
      <w:marTop w:val="0"/>
      <w:marBottom w:val="0"/>
      <w:divBdr>
        <w:top w:val="none" w:sz="0" w:space="0" w:color="auto"/>
        <w:left w:val="none" w:sz="0" w:space="0" w:color="auto"/>
        <w:bottom w:val="none" w:sz="0" w:space="0" w:color="auto"/>
        <w:right w:val="none" w:sz="0" w:space="0" w:color="auto"/>
      </w:divBdr>
      <w:divsChild>
        <w:div w:id="334462522">
          <w:marLeft w:val="605"/>
          <w:marRight w:val="0"/>
          <w:marTop w:val="0"/>
          <w:marBottom w:val="0"/>
          <w:divBdr>
            <w:top w:val="none" w:sz="0" w:space="0" w:color="auto"/>
            <w:left w:val="none" w:sz="0" w:space="0" w:color="auto"/>
            <w:bottom w:val="none" w:sz="0" w:space="0" w:color="auto"/>
            <w:right w:val="none" w:sz="0" w:space="0" w:color="auto"/>
          </w:divBdr>
        </w:div>
        <w:div w:id="1422796325">
          <w:marLeft w:val="605"/>
          <w:marRight w:val="0"/>
          <w:marTop w:val="0"/>
          <w:marBottom w:val="0"/>
          <w:divBdr>
            <w:top w:val="none" w:sz="0" w:space="0" w:color="auto"/>
            <w:left w:val="none" w:sz="0" w:space="0" w:color="auto"/>
            <w:bottom w:val="none" w:sz="0" w:space="0" w:color="auto"/>
            <w:right w:val="none" w:sz="0" w:space="0" w:color="auto"/>
          </w:divBdr>
        </w:div>
        <w:div w:id="1904556503">
          <w:marLeft w:val="893"/>
          <w:marRight w:val="0"/>
          <w:marTop w:val="0"/>
          <w:marBottom w:val="0"/>
          <w:divBdr>
            <w:top w:val="none" w:sz="0" w:space="0" w:color="auto"/>
            <w:left w:val="none" w:sz="0" w:space="0" w:color="auto"/>
            <w:bottom w:val="none" w:sz="0" w:space="0" w:color="auto"/>
            <w:right w:val="none" w:sz="0" w:space="0" w:color="auto"/>
          </w:divBdr>
        </w:div>
        <w:div w:id="1653944959">
          <w:marLeft w:val="893"/>
          <w:marRight w:val="0"/>
          <w:marTop w:val="0"/>
          <w:marBottom w:val="240"/>
          <w:divBdr>
            <w:top w:val="none" w:sz="0" w:space="0" w:color="auto"/>
            <w:left w:val="none" w:sz="0" w:space="0" w:color="auto"/>
            <w:bottom w:val="none" w:sz="0" w:space="0" w:color="auto"/>
            <w:right w:val="none" w:sz="0" w:space="0" w:color="auto"/>
          </w:divBdr>
        </w:div>
        <w:div w:id="144974365">
          <w:marLeft w:val="605"/>
          <w:marRight w:val="0"/>
          <w:marTop w:val="0"/>
          <w:marBottom w:val="0"/>
          <w:divBdr>
            <w:top w:val="none" w:sz="0" w:space="0" w:color="auto"/>
            <w:left w:val="none" w:sz="0" w:space="0" w:color="auto"/>
            <w:bottom w:val="none" w:sz="0" w:space="0" w:color="auto"/>
            <w:right w:val="none" w:sz="0" w:space="0" w:color="auto"/>
          </w:divBdr>
        </w:div>
        <w:div w:id="187060610">
          <w:marLeft w:val="893"/>
          <w:marRight w:val="0"/>
          <w:marTop w:val="0"/>
          <w:marBottom w:val="0"/>
          <w:divBdr>
            <w:top w:val="none" w:sz="0" w:space="0" w:color="auto"/>
            <w:left w:val="none" w:sz="0" w:space="0" w:color="auto"/>
            <w:bottom w:val="none" w:sz="0" w:space="0" w:color="auto"/>
            <w:right w:val="none" w:sz="0" w:space="0" w:color="auto"/>
          </w:divBdr>
        </w:div>
        <w:div w:id="746684385">
          <w:marLeft w:val="893"/>
          <w:marRight w:val="0"/>
          <w:marTop w:val="0"/>
          <w:marBottom w:val="0"/>
          <w:divBdr>
            <w:top w:val="none" w:sz="0" w:space="0" w:color="auto"/>
            <w:left w:val="none" w:sz="0" w:space="0" w:color="auto"/>
            <w:bottom w:val="none" w:sz="0" w:space="0" w:color="auto"/>
            <w:right w:val="none" w:sz="0" w:space="0" w:color="auto"/>
          </w:divBdr>
        </w:div>
        <w:div w:id="1646230528">
          <w:marLeft w:val="893"/>
          <w:marRight w:val="0"/>
          <w:marTop w:val="0"/>
          <w:marBottom w:val="0"/>
          <w:divBdr>
            <w:top w:val="none" w:sz="0" w:space="0" w:color="auto"/>
            <w:left w:val="none" w:sz="0" w:space="0" w:color="auto"/>
            <w:bottom w:val="none" w:sz="0" w:space="0" w:color="auto"/>
            <w:right w:val="none" w:sz="0" w:space="0" w:color="auto"/>
          </w:divBdr>
        </w:div>
        <w:div w:id="1728258652">
          <w:marLeft w:val="893"/>
          <w:marRight w:val="0"/>
          <w:marTop w:val="0"/>
          <w:marBottom w:val="0"/>
          <w:divBdr>
            <w:top w:val="none" w:sz="0" w:space="0" w:color="auto"/>
            <w:left w:val="none" w:sz="0" w:space="0" w:color="auto"/>
            <w:bottom w:val="none" w:sz="0" w:space="0" w:color="auto"/>
            <w:right w:val="none" w:sz="0" w:space="0" w:color="auto"/>
          </w:divBdr>
        </w:div>
      </w:divsChild>
    </w:div>
    <w:div w:id="794182054">
      <w:bodyDiv w:val="1"/>
      <w:marLeft w:val="0"/>
      <w:marRight w:val="0"/>
      <w:marTop w:val="0"/>
      <w:marBottom w:val="0"/>
      <w:divBdr>
        <w:top w:val="none" w:sz="0" w:space="0" w:color="auto"/>
        <w:left w:val="none" w:sz="0" w:space="0" w:color="auto"/>
        <w:bottom w:val="none" w:sz="0" w:space="0" w:color="auto"/>
        <w:right w:val="none" w:sz="0" w:space="0" w:color="auto"/>
      </w:divBdr>
    </w:div>
    <w:div w:id="892932455">
      <w:bodyDiv w:val="1"/>
      <w:marLeft w:val="0"/>
      <w:marRight w:val="0"/>
      <w:marTop w:val="0"/>
      <w:marBottom w:val="0"/>
      <w:divBdr>
        <w:top w:val="none" w:sz="0" w:space="0" w:color="auto"/>
        <w:left w:val="none" w:sz="0" w:space="0" w:color="auto"/>
        <w:bottom w:val="none" w:sz="0" w:space="0" w:color="auto"/>
        <w:right w:val="none" w:sz="0" w:space="0" w:color="auto"/>
      </w:divBdr>
    </w:div>
    <w:div w:id="1013262122">
      <w:bodyDiv w:val="1"/>
      <w:marLeft w:val="0"/>
      <w:marRight w:val="0"/>
      <w:marTop w:val="0"/>
      <w:marBottom w:val="0"/>
      <w:divBdr>
        <w:top w:val="none" w:sz="0" w:space="0" w:color="auto"/>
        <w:left w:val="none" w:sz="0" w:space="0" w:color="auto"/>
        <w:bottom w:val="none" w:sz="0" w:space="0" w:color="auto"/>
        <w:right w:val="none" w:sz="0" w:space="0" w:color="auto"/>
      </w:divBdr>
    </w:div>
    <w:div w:id="1075202378">
      <w:bodyDiv w:val="1"/>
      <w:marLeft w:val="0"/>
      <w:marRight w:val="0"/>
      <w:marTop w:val="0"/>
      <w:marBottom w:val="0"/>
      <w:divBdr>
        <w:top w:val="none" w:sz="0" w:space="0" w:color="auto"/>
        <w:left w:val="none" w:sz="0" w:space="0" w:color="auto"/>
        <w:bottom w:val="none" w:sz="0" w:space="0" w:color="auto"/>
        <w:right w:val="none" w:sz="0" w:space="0" w:color="auto"/>
      </w:divBdr>
    </w:div>
    <w:div w:id="1089345956">
      <w:bodyDiv w:val="1"/>
      <w:marLeft w:val="0"/>
      <w:marRight w:val="0"/>
      <w:marTop w:val="0"/>
      <w:marBottom w:val="0"/>
      <w:divBdr>
        <w:top w:val="none" w:sz="0" w:space="0" w:color="auto"/>
        <w:left w:val="none" w:sz="0" w:space="0" w:color="auto"/>
        <w:bottom w:val="none" w:sz="0" w:space="0" w:color="auto"/>
        <w:right w:val="none" w:sz="0" w:space="0" w:color="auto"/>
      </w:divBdr>
    </w:div>
    <w:div w:id="1226254720">
      <w:bodyDiv w:val="1"/>
      <w:marLeft w:val="0"/>
      <w:marRight w:val="0"/>
      <w:marTop w:val="0"/>
      <w:marBottom w:val="0"/>
      <w:divBdr>
        <w:top w:val="none" w:sz="0" w:space="0" w:color="auto"/>
        <w:left w:val="none" w:sz="0" w:space="0" w:color="auto"/>
        <w:bottom w:val="none" w:sz="0" w:space="0" w:color="auto"/>
        <w:right w:val="none" w:sz="0" w:space="0" w:color="auto"/>
      </w:divBdr>
      <w:divsChild>
        <w:div w:id="1499072749">
          <w:marLeft w:val="605"/>
          <w:marRight w:val="0"/>
          <w:marTop w:val="0"/>
          <w:marBottom w:val="240"/>
          <w:divBdr>
            <w:top w:val="none" w:sz="0" w:space="0" w:color="auto"/>
            <w:left w:val="none" w:sz="0" w:space="0" w:color="auto"/>
            <w:bottom w:val="none" w:sz="0" w:space="0" w:color="auto"/>
            <w:right w:val="none" w:sz="0" w:space="0" w:color="auto"/>
          </w:divBdr>
        </w:div>
        <w:div w:id="1666085095">
          <w:marLeft w:val="605"/>
          <w:marRight w:val="0"/>
          <w:marTop w:val="0"/>
          <w:marBottom w:val="240"/>
          <w:divBdr>
            <w:top w:val="none" w:sz="0" w:space="0" w:color="auto"/>
            <w:left w:val="none" w:sz="0" w:space="0" w:color="auto"/>
            <w:bottom w:val="none" w:sz="0" w:space="0" w:color="auto"/>
            <w:right w:val="none" w:sz="0" w:space="0" w:color="auto"/>
          </w:divBdr>
        </w:div>
        <w:div w:id="1104571418">
          <w:marLeft w:val="605"/>
          <w:marRight w:val="0"/>
          <w:marTop w:val="0"/>
          <w:marBottom w:val="240"/>
          <w:divBdr>
            <w:top w:val="none" w:sz="0" w:space="0" w:color="auto"/>
            <w:left w:val="none" w:sz="0" w:space="0" w:color="auto"/>
            <w:bottom w:val="none" w:sz="0" w:space="0" w:color="auto"/>
            <w:right w:val="none" w:sz="0" w:space="0" w:color="auto"/>
          </w:divBdr>
        </w:div>
        <w:div w:id="55780584">
          <w:marLeft w:val="605"/>
          <w:marRight w:val="0"/>
          <w:marTop w:val="0"/>
          <w:marBottom w:val="240"/>
          <w:divBdr>
            <w:top w:val="none" w:sz="0" w:space="0" w:color="auto"/>
            <w:left w:val="none" w:sz="0" w:space="0" w:color="auto"/>
            <w:bottom w:val="none" w:sz="0" w:space="0" w:color="auto"/>
            <w:right w:val="none" w:sz="0" w:space="0" w:color="auto"/>
          </w:divBdr>
        </w:div>
        <w:div w:id="347416087">
          <w:marLeft w:val="605"/>
          <w:marRight w:val="0"/>
          <w:marTop w:val="0"/>
          <w:marBottom w:val="240"/>
          <w:divBdr>
            <w:top w:val="none" w:sz="0" w:space="0" w:color="auto"/>
            <w:left w:val="none" w:sz="0" w:space="0" w:color="auto"/>
            <w:bottom w:val="none" w:sz="0" w:space="0" w:color="auto"/>
            <w:right w:val="none" w:sz="0" w:space="0" w:color="auto"/>
          </w:divBdr>
        </w:div>
      </w:divsChild>
    </w:div>
    <w:div w:id="1621917248">
      <w:bodyDiv w:val="1"/>
      <w:marLeft w:val="0"/>
      <w:marRight w:val="0"/>
      <w:marTop w:val="0"/>
      <w:marBottom w:val="0"/>
      <w:divBdr>
        <w:top w:val="none" w:sz="0" w:space="0" w:color="auto"/>
        <w:left w:val="none" w:sz="0" w:space="0" w:color="auto"/>
        <w:bottom w:val="none" w:sz="0" w:space="0" w:color="auto"/>
        <w:right w:val="none" w:sz="0" w:space="0" w:color="auto"/>
      </w:divBdr>
    </w:div>
    <w:div w:id="1632512898">
      <w:bodyDiv w:val="1"/>
      <w:marLeft w:val="0"/>
      <w:marRight w:val="0"/>
      <w:marTop w:val="0"/>
      <w:marBottom w:val="0"/>
      <w:divBdr>
        <w:top w:val="none" w:sz="0" w:space="0" w:color="auto"/>
        <w:left w:val="none" w:sz="0" w:space="0" w:color="auto"/>
        <w:bottom w:val="none" w:sz="0" w:space="0" w:color="auto"/>
        <w:right w:val="none" w:sz="0" w:space="0" w:color="auto"/>
      </w:divBdr>
      <w:divsChild>
        <w:div w:id="1244219606">
          <w:marLeft w:val="1440"/>
          <w:marRight w:val="0"/>
          <w:marTop w:val="0"/>
          <w:marBottom w:val="240"/>
          <w:divBdr>
            <w:top w:val="none" w:sz="0" w:space="0" w:color="auto"/>
            <w:left w:val="none" w:sz="0" w:space="0" w:color="auto"/>
            <w:bottom w:val="none" w:sz="0" w:space="0" w:color="auto"/>
            <w:right w:val="none" w:sz="0" w:space="0" w:color="auto"/>
          </w:divBdr>
        </w:div>
      </w:divsChild>
    </w:div>
    <w:div w:id="1692605256">
      <w:bodyDiv w:val="1"/>
      <w:marLeft w:val="0"/>
      <w:marRight w:val="0"/>
      <w:marTop w:val="0"/>
      <w:marBottom w:val="0"/>
      <w:divBdr>
        <w:top w:val="none" w:sz="0" w:space="0" w:color="auto"/>
        <w:left w:val="none" w:sz="0" w:space="0" w:color="auto"/>
        <w:bottom w:val="none" w:sz="0" w:space="0" w:color="auto"/>
        <w:right w:val="none" w:sz="0" w:space="0" w:color="auto"/>
      </w:divBdr>
    </w:div>
    <w:div w:id="1846435293">
      <w:bodyDiv w:val="1"/>
      <w:marLeft w:val="0"/>
      <w:marRight w:val="0"/>
      <w:marTop w:val="0"/>
      <w:marBottom w:val="0"/>
      <w:divBdr>
        <w:top w:val="none" w:sz="0" w:space="0" w:color="auto"/>
        <w:left w:val="none" w:sz="0" w:space="0" w:color="auto"/>
        <w:bottom w:val="none" w:sz="0" w:space="0" w:color="auto"/>
        <w:right w:val="none" w:sz="0" w:space="0" w:color="auto"/>
      </w:divBdr>
    </w:div>
    <w:div w:id="1950118788">
      <w:bodyDiv w:val="1"/>
      <w:marLeft w:val="0"/>
      <w:marRight w:val="0"/>
      <w:marTop w:val="0"/>
      <w:marBottom w:val="0"/>
      <w:divBdr>
        <w:top w:val="none" w:sz="0" w:space="0" w:color="auto"/>
        <w:left w:val="none" w:sz="0" w:space="0" w:color="auto"/>
        <w:bottom w:val="none" w:sz="0" w:space="0" w:color="auto"/>
        <w:right w:val="none" w:sz="0" w:space="0" w:color="auto"/>
      </w:divBdr>
    </w:div>
    <w:div w:id="2029941841">
      <w:bodyDiv w:val="1"/>
      <w:marLeft w:val="0"/>
      <w:marRight w:val="0"/>
      <w:marTop w:val="0"/>
      <w:marBottom w:val="0"/>
      <w:divBdr>
        <w:top w:val="none" w:sz="0" w:space="0" w:color="auto"/>
        <w:left w:val="none" w:sz="0" w:space="0" w:color="auto"/>
        <w:bottom w:val="none" w:sz="0" w:space="0" w:color="auto"/>
        <w:right w:val="none" w:sz="0" w:space="0" w:color="auto"/>
      </w:divBdr>
      <w:divsChild>
        <w:div w:id="1402211093">
          <w:marLeft w:val="446"/>
          <w:marRight w:val="0"/>
          <w:marTop w:val="0"/>
          <w:marBottom w:val="0"/>
          <w:divBdr>
            <w:top w:val="none" w:sz="0" w:space="0" w:color="auto"/>
            <w:left w:val="none" w:sz="0" w:space="0" w:color="auto"/>
            <w:bottom w:val="none" w:sz="0" w:space="0" w:color="auto"/>
            <w:right w:val="none" w:sz="0" w:space="0" w:color="auto"/>
          </w:divBdr>
        </w:div>
        <w:div w:id="1071543571">
          <w:marLeft w:val="446"/>
          <w:marRight w:val="0"/>
          <w:marTop w:val="0"/>
          <w:marBottom w:val="0"/>
          <w:divBdr>
            <w:top w:val="none" w:sz="0" w:space="0" w:color="auto"/>
            <w:left w:val="none" w:sz="0" w:space="0" w:color="auto"/>
            <w:bottom w:val="none" w:sz="0" w:space="0" w:color="auto"/>
            <w:right w:val="none" w:sz="0" w:space="0" w:color="auto"/>
          </w:divBdr>
        </w:div>
      </w:divsChild>
    </w:div>
    <w:div w:id="203236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ayhowski@bailit-health.com" TargetMode="External"/><Relationship Id="rId13" Type="http://schemas.openxmlformats.org/officeDocument/2006/relationships/hyperlink" Target="https://www.medicaid.gov/federal-policy-guidance/downloads/cib111919.pdf"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ncqa.org/wp-content/uploads/2019/07/20190701_HEDIS_2020_Measures_Summary_of_Change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medicaid.gov/federal-policy-guidance/downloads/cib111919.pdf"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ncqa.org/wp-content/uploads/2019/02/20190208_07_POD.pdf" TargetMode="External"/><Relationship Id="rId4" Type="http://schemas.openxmlformats.org/officeDocument/2006/relationships/webSettings" Target="webSettings.xml"/><Relationship Id="rId9" Type="http://schemas.openxmlformats.org/officeDocument/2006/relationships/hyperlink" Target="https://www.ncqa.org/hedis/the-future-of-hedis/hedis-electronic-clinical-data-system-ecds-reporting/" TargetMode="External"/><Relationship Id="rId14" Type="http://schemas.openxmlformats.org/officeDocument/2006/relationships/hyperlink" Target="https://www.federalregister.gov/documents/2019/11/15/2019-24086/medicare-program-cy-2020-revisions-to-payment-policies-under-the-physician-fee-schedule-and-o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4058</Words>
  <Characters>23132</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Ahlgren, Lisa</cp:lastModifiedBy>
  <cp:revision>2</cp:revision>
  <dcterms:created xsi:type="dcterms:W3CDTF">2019-12-17T18:44:00Z</dcterms:created>
  <dcterms:modified xsi:type="dcterms:W3CDTF">2019-12-17T18:44:00Z</dcterms:modified>
</cp:coreProperties>
</file>