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D19B81" w14:textId="41034320" w:rsidR="7F8D2C51" w:rsidRDefault="7F8D2C51"/>
    <w:p w14:paraId="0DEC5524" w14:textId="79CEB4E2" w:rsidR="7F8D2C51" w:rsidRDefault="7119ABA7" w:rsidP="129A5D2F">
      <w:pPr>
        <w:pStyle w:val="xmsonormal"/>
        <w:spacing w:beforeAutospacing="0" w:after="0" w:afterAutospacing="0"/>
        <w:jc w:val="center"/>
      </w:pPr>
      <w:r>
        <w:rPr>
          <w:noProof/>
        </w:rPr>
        <w:drawing>
          <wp:inline distT="0" distB="0" distL="0" distR="0" wp14:anchorId="19AF0127" wp14:editId="185C837F">
            <wp:extent cx="771525" cy="790575"/>
            <wp:effectExtent l="0" t="0" r="0" b="0"/>
            <wp:docPr id="847229170" name="Picture 8472291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229170" name="Picture 847229170">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771525" cy="790575"/>
                    </a:xfrm>
                    <a:prstGeom prst="rect">
                      <a:avLst/>
                    </a:prstGeom>
                  </pic:spPr>
                </pic:pic>
              </a:graphicData>
            </a:graphic>
          </wp:inline>
        </w:drawing>
      </w:r>
      <w:r w:rsidR="7F8D2C51">
        <w:br/>
      </w:r>
    </w:p>
    <w:p w14:paraId="4BE258AD" w14:textId="5C1A967F" w:rsidR="7119ABA7" w:rsidRDefault="7119ABA7" w:rsidP="7F8D2C51">
      <w:pPr>
        <w:pStyle w:val="xmsonormal"/>
        <w:spacing w:beforeAutospacing="0" w:after="0" w:afterAutospacing="0"/>
        <w:jc w:val="center"/>
        <w:rPr>
          <w:color w:val="000000" w:themeColor="text1"/>
        </w:rPr>
      </w:pPr>
      <w:r w:rsidRPr="7F8D2C51">
        <w:rPr>
          <w:b/>
          <w:bCs/>
          <w:color w:val="000000" w:themeColor="text1"/>
        </w:rPr>
        <w:t>Questions and Answers About SXT</w:t>
      </w:r>
    </w:p>
    <w:p w14:paraId="41F01969" w14:textId="1CE95216" w:rsidR="7F8D2C51" w:rsidRDefault="7F8D2C51" w:rsidP="7F8D2C51">
      <w:pPr>
        <w:spacing w:after="0" w:line="240" w:lineRule="auto"/>
        <w:rPr>
          <w:rFonts w:ascii="Times New Roman" w:eastAsia="Times New Roman" w:hAnsi="Times New Roman" w:cs="Times New Roman"/>
          <w:color w:val="000000" w:themeColor="text1"/>
          <w:sz w:val="24"/>
          <w:szCs w:val="24"/>
        </w:rPr>
      </w:pPr>
    </w:p>
    <w:p w14:paraId="0A8F42FF" w14:textId="3DD527FE" w:rsidR="7119ABA7" w:rsidRDefault="7119ABA7" w:rsidP="7F8D2C51">
      <w:pPr>
        <w:pStyle w:val="xmsonormal"/>
        <w:spacing w:beforeAutospacing="0" w:after="0" w:afterAutospacing="0"/>
        <w:jc w:val="center"/>
        <w:rPr>
          <w:color w:val="000000" w:themeColor="text1"/>
        </w:rPr>
      </w:pPr>
      <w:r w:rsidRPr="7F8D2C51">
        <w:rPr>
          <w:b/>
          <w:bCs/>
          <w:color w:val="000000" w:themeColor="text1"/>
        </w:rPr>
        <w:t>Bureau of Infectious Disease and Laboratory Sciences</w:t>
      </w:r>
    </w:p>
    <w:p w14:paraId="1A25EBEF" w14:textId="3E31C715" w:rsidR="7119ABA7" w:rsidRDefault="7119ABA7" w:rsidP="7F8D2C51">
      <w:pPr>
        <w:pStyle w:val="xmsonormal"/>
        <w:spacing w:beforeAutospacing="0" w:after="0" w:afterAutospacing="0"/>
        <w:jc w:val="center"/>
        <w:rPr>
          <w:color w:val="000000" w:themeColor="text1"/>
        </w:rPr>
      </w:pPr>
      <w:r w:rsidRPr="7F8D2C51">
        <w:rPr>
          <w:b/>
          <w:bCs/>
          <w:color w:val="000000" w:themeColor="text1"/>
        </w:rPr>
        <w:t>Massachusetts Department of Public Health</w:t>
      </w:r>
    </w:p>
    <w:p w14:paraId="0CBB24E7" w14:textId="52F5F32B" w:rsidR="7119ABA7" w:rsidRDefault="7119ABA7" w:rsidP="7F8D2C51">
      <w:pPr>
        <w:pStyle w:val="xmsonormal"/>
        <w:spacing w:beforeAutospacing="0" w:after="0" w:afterAutospacing="0"/>
        <w:jc w:val="center"/>
        <w:rPr>
          <w:color w:val="000000" w:themeColor="text1"/>
        </w:rPr>
      </w:pPr>
      <w:r w:rsidRPr="7F8D2C51">
        <w:rPr>
          <w:b/>
          <w:bCs/>
          <w:color w:val="000000" w:themeColor="text1"/>
        </w:rPr>
        <w:t>October 2024</w:t>
      </w:r>
    </w:p>
    <w:p w14:paraId="58D2D15F" w14:textId="775B9937" w:rsidR="7F8D2C51" w:rsidRDefault="7F8D2C51" w:rsidP="7F8D2C51">
      <w:pPr>
        <w:spacing w:after="0" w:line="240" w:lineRule="auto"/>
        <w:rPr>
          <w:rFonts w:ascii="Times New Roman" w:eastAsia="Times New Roman" w:hAnsi="Times New Roman" w:cs="Times New Roman"/>
          <w:color w:val="000000" w:themeColor="text1"/>
          <w:sz w:val="24"/>
          <w:szCs w:val="24"/>
        </w:rPr>
      </w:pPr>
    </w:p>
    <w:p w14:paraId="73B7D7DE" w14:textId="643CCFA2" w:rsidR="7119ABA7" w:rsidRDefault="7119ABA7" w:rsidP="129A5D2F">
      <w:pPr>
        <w:pStyle w:val="xmsonormal"/>
        <w:spacing w:beforeAutospacing="0" w:after="0" w:afterAutospacing="0"/>
      </w:pPr>
      <w:r w:rsidRPr="129A5D2F">
        <w:rPr>
          <w:b/>
          <w:bCs/>
          <w:color w:val="000000" w:themeColor="text1"/>
        </w:rPr>
        <w:t>What is SXT?</w:t>
      </w:r>
      <w:r w:rsidRPr="129A5D2F">
        <w:rPr>
          <w:color w:val="000000" w:themeColor="text1"/>
        </w:rPr>
        <w:t xml:space="preserve">  SXT is a mobile messaging service that enables clients diagnosed with sexually transmitted infections (STIs) and/or their providers to confidentially notify partners, via mobile text message,</w:t>
      </w:r>
      <w:r w:rsidR="2B4F7417" w:rsidRPr="129A5D2F">
        <w:rPr>
          <w:color w:val="000000" w:themeColor="text1"/>
        </w:rPr>
        <w:t xml:space="preserve"> about</w:t>
      </w:r>
      <w:r w:rsidRPr="129A5D2F">
        <w:rPr>
          <w:color w:val="000000" w:themeColor="text1"/>
        </w:rPr>
        <w:t xml:space="preserve"> their STI exposure. SXT provides partners with information about resources for testing and treatment and </w:t>
      </w:r>
      <w:r w:rsidR="670EE967" w:rsidRPr="129A5D2F">
        <w:rPr>
          <w:color w:val="000000" w:themeColor="text1"/>
        </w:rPr>
        <w:t>facilitates</w:t>
      </w:r>
      <w:r w:rsidRPr="129A5D2F">
        <w:rPr>
          <w:color w:val="000000" w:themeColor="text1"/>
        </w:rPr>
        <w:t xml:space="preserve"> booking of appointments with participating providers. You may</w:t>
      </w:r>
      <w:r w:rsidR="2A66EE1E" w:rsidRPr="129A5D2F">
        <w:rPr>
          <w:color w:val="000000" w:themeColor="text1"/>
        </w:rPr>
        <w:t xml:space="preserve"> </w:t>
      </w:r>
      <w:r w:rsidRPr="129A5D2F">
        <w:rPr>
          <w:color w:val="000000" w:themeColor="text1"/>
        </w:rPr>
        <w:t xml:space="preserve">learn more about the SXT </w:t>
      </w:r>
      <w:hyperlink r:id="rId6">
        <w:r w:rsidRPr="129A5D2F">
          <w:rPr>
            <w:rStyle w:val="Hyperlink"/>
          </w:rPr>
          <w:t>partner notification tool</w:t>
        </w:r>
      </w:hyperlink>
      <w:r w:rsidRPr="129A5D2F">
        <w:rPr>
          <w:color w:val="000000" w:themeColor="text1"/>
        </w:rPr>
        <w:t xml:space="preserve"> </w:t>
      </w:r>
      <w:r w:rsidR="2C1A55A2" w:rsidRPr="129A5D2F">
        <w:rPr>
          <w:color w:val="000000" w:themeColor="text1"/>
        </w:rPr>
        <w:t xml:space="preserve">or watch the </w:t>
      </w:r>
      <w:hyperlink r:id="rId7">
        <w:r w:rsidR="2C1A55A2" w:rsidRPr="129A5D2F">
          <w:rPr>
            <w:rStyle w:val="Hyperlink"/>
          </w:rPr>
          <w:t>patient support video</w:t>
        </w:r>
      </w:hyperlink>
      <w:r w:rsidR="63DA3DA9">
        <w:t xml:space="preserve"> from </w:t>
      </w:r>
      <w:hyperlink r:id="rId8">
        <w:r w:rsidR="63DA3DA9" w:rsidRPr="129A5D2F">
          <w:rPr>
            <w:rStyle w:val="Hyperlink"/>
          </w:rPr>
          <w:t>SXT Health CIC.</w:t>
        </w:r>
      </w:hyperlink>
    </w:p>
    <w:p w14:paraId="0BA2BB8E" w14:textId="6A2D63E4" w:rsidR="7F8D2C51" w:rsidRDefault="7F8D2C51" w:rsidP="7F8D2C51">
      <w:pPr>
        <w:spacing w:after="0" w:line="240" w:lineRule="auto"/>
        <w:rPr>
          <w:rFonts w:ascii="Times New Roman" w:eastAsia="Times New Roman" w:hAnsi="Times New Roman" w:cs="Times New Roman"/>
          <w:color w:val="000000" w:themeColor="text1"/>
          <w:sz w:val="24"/>
          <w:szCs w:val="24"/>
        </w:rPr>
      </w:pPr>
    </w:p>
    <w:p w14:paraId="3B4DF140" w14:textId="7DC15FA4" w:rsidR="7119ABA7" w:rsidRDefault="7119ABA7" w:rsidP="7F8D2C51">
      <w:pPr>
        <w:pStyle w:val="RFRCover14ptBoldCentered"/>
        <w:jc w:val="left"/>
        <w:rPr>
          <w:rFonts w:ascii="Times New Roman" w:hAnsi="Times New Roman"/>
          <w:color w:val="000000" w:themeColor="text1"/>
          <w:sz w:val="24"/>
          <w:szCs w:val="24"/>
        </w:rPr>
      </w:pPr>
      <w:r w:rsidRPr="25309137">
        <w:rPr>
          <w:rFonts w:ascii="Times New Roman" w:hAnsi="Times New Roman"/>
          <w:color w:val="000000" w:themeColor="text1"/>
          <w:sz w:val="24"/>
          <w:szCs w:val="24"/>
        </w:rPr>
        <w:t>Who can participate in SXT?</w:t>
      </w:r>
      <w:r w:rsidRPr="25309137">
        <w:rPr>
          <w:rFonts w:ascii="Times New Roman" w:hAnsi="Times New Roman"/>
          <w:b w:val="0"/>
          <w:bCs w:val="0"/>
          <w:color w:val="000000" w:themeColor="text1"/>
          <w:sz w:val="24"/>
          <w:szCs w:val="24"/>
        </w:rPr>
        <w:t xml:space="preserve">  </w:t>
      </w:r>
      <w:proofErr w:type="gramStart"/>
      <w:r w:rsidRPr="25309137">
        <w:rPr>
          <w:rFonts w:ascii="Times New Roman" w:hAnsi="Times New Roman"/>
          <w:b w:val="0"/>
          <w:bCs w:val="0"/>
          <w:color w:val="000000" w:themeColor="text1"/>
          <w:sz w:val="24"/>
          <w:szCs w:val="24"/>
        </w:rPr>
        <w:t>At this time</w:t>
      </w:r>
      <w:proofErr w:type="gramEnd"/>
      <w:r w:rsidRPr="25309137">
        <w:rPr>
          <w:rFonts w:ascii="Times New Roman" w:hAnsi="Times New Roman"/>
          <w:b w:val="0"/>
          <w:bCs w:val="0"/>
          <w:color w:val="000000" w:themeColor="text1"/>
          <w:sz w:val="24"/>
          <w:szCs w:val="24"/>
        </w:rPr>
        <w:t xml:space="preserve">, organizations under contract with BIDLS/DPH for Integrated Testing and Linkage Services [RFR # 181926, HIV/HCV/STI/TB Prevention, Linkage, and Retention in Care and Treatment] are eligible to participate in SXT. In addition, field epidemiologists from BIDLS’ Division of STD Prevention who conduct </w:t>
      </w:r>
      <w:hyperlink r:id="rId9">
        <w:r w:rsidRPr="25309137">
          <w:rPr>
            <w:rStyle w:val="Hyperlink"/>
            <w:rFonts w:ascii="Times New Roman" w:hAnsi="Times New Roman"/>
            <w:b w:val="0"/>
            <w:bCs w:val="0"/>
            <w:sz w:val="24"/>
            <w:szCs w:val="24"/>
          </w:rPr>
          <w:t>partner services</w:t>
        </w:r>
      </w:hyperlink>
      <w:r w:rsidRPr="25309137">
        <w:rPr>
          <w:rFonts w:ascii="Times New Roman" w:hAnsi="Times New Roman"/>
          <w:b w:val="0"/>
          <w:bCs w:val="0"/>
          <w:color w:val="000000" w:themeColor="text1"/>
          <w:sz w:val="24"/>
          <w:szCs w:val="24"/>
        </w:rPr>
        <w:t xml:space="preserve"> will be using SXT to offer clients an additional tool to notify </w:t>
      </w:r>
      <w:r w:rsidR="2369D7D4" w:rsidRPr="25309137">
        <w:rPr>
          <w:rFonts w:ascii="Times New Roman" w:hAnsi="Times New Roman"/>
          <w:b w:val="0"/>
          <w:bCs w:val="0"/>
          <w:color w:val="000000" w:themeColor="text1"/>
          <w:sz w:val="24"/>
          <w:szCs w:val="24"/>
        </w:rPr>
        <w:t xml:space="preserve">exposed </w:t>
      </w:r>
      <w:r w:rsidRPr="25309137">
        <w:rPr>
          <w:rFonts w:ascii="Times New Roman" w:hAnsi="Times New Roman"/>
          <w:b w:val="0"/>
          <w:bCs w:val="0"/>
          <w:color w:val="000000" w:themeColor="text1"/>
          <w:sz w:val="24"/>
          <w:szCs w:val="24"/>
        </w:rPr>
        <w:t xml:space="preserve">partners. </w:t>
      </w:r>
    </w:p>
    <w:p w14:paraId="7C7A41BA" w14:textId="26C7E2D2" w:rsidR="7F8D2C51" w:rsidRDefault="7F8D2C51" w:rsidP="7F8D2C51">
      <w:pPr>
        <w:spacing w:after="0" w:line="240" w:lineRule="auto"/>
        <w:rPr>
          <w:rFonts w:ascii="Times New Roman" w:eastAsia="Times New Roman" w:hAnsi="Times New Roman" w:cs="Times New Roman"/>
          <w:color w:val="000000" w:themeColor="text1"/>
          <w:sz w:val="24"/>
          <w:szCs w:val="24"/>
        </w:rPr>
      </w:pPr>
    </w:p>
    <w:p w14:paraId="7FB80D93" w14:textId="3838271E" w:rsidR="7119ABA7" w:rsidRDefault="7119ABA7" w:rsidP="25309137">
      <w:pPr>
        <w:pStyle w:val="xmsonormal"/>
        <w:spacing w:beforeAutospacing="0" w:after="0" w:afterAutospacing="0"/>
        <w:rPr>
          <w:color w:val="000000" w:themeColor="text1"/>
        </w:rPr>
      </w:pPr>
      <w:r w:rsidRPr="129A5D2F">
        <w:rPr>
          <w:b/>
          <w:bCs/>
          <w:color w:val="000000" w:themeColor="text1"/>
        </w:rPr>
        <w:t>What is the cost to participate?</w:t>
      </w:r>
      <w:r w:rsidRPr="129A5D2F">
        <w:rPr>
          <w:color w:val="000000" w:themeColor="text1"/>
        </w:rPr>
        <w:t xml:space="preserve">  Currently, there is no cost for eligible organizations to participate in SXT. BIDLS has purchased this service</w:t>
      </w:r>
      <w:r w:rsidR="22C06105" w:rsidRPr="129A5D2F">
        <w:rPr>
          <w:color w:val="000000" w:themeColor="text1"/>
        </w:rPr>
        <w:t>,</w:t>
      </w:r>
      <w:r w:rsidRPr="129A5D2F">
        <w:rPr>
          <w:color w:val="000000" w:themeColor="text1"/>
        </w:rPr>
        <w:t xml:space="preserve"> and eligible organizations </w:t>
      </w:r>
      <w:r w:rsidR="7C8DBE2D" w:rsidRPr="129A5D2F">
        <w:rPr>
          <w:color w:val="000000" w:themeColor="text1"/>
        </w:rPr>
        <w:t>can</w:t>
      </w:r>
      <w:r w:rsidRPr="129A5D2F">
        <w:rPr>
          <w:color w:val="000000" w:themeColor="text1"/>
        </w:rPr>
        <w:t xml:space="preserve"> use the service at no cost. BIDLS reserves the right to set limits on use, including the number of providers and clients from each participating organization that may use SXT.  </w:t>
      </w:r>
    </w:p>
    <w:p w14:paraId="0779DAC0" w14:textId="77DC75BF" w:rsidR="7F8D2C51" w:rsidRDefault="7F8D2C51" w:rsidP="7F8D2C51">
      <w:pPr>
        <w:spacing w:after="0" w:line="240" w:lineRule="auto"/>
        <w:rPr>
          <w:rFonts w:ascii="Times New Roman" w:eastAsia="Times New Roman" w:hAnsi="Times New Roman" w:cs="Times New Roman"/>
          <w:color w:val="000000" w:themeColor="text1"/>
          <w:sz w:val="24"/>
          <w:szCs w:val="24"/>
        </w:rPr>
      </w:pPr>
    </w:p>
    <w:p w14:paraId="3BAB0835" w14:textId="4A580337" w:rsidR="7119ABA7" w:rsidRDefault="7119ABA7" w:rsidP="25309137">
      <w:pPr>
        <w:pStyle w:val="xmsonormal"/>
        <w:spacing w:beforeAutospacing="0" w:after="0" w:afterAutospacing="0"/>
        <w:rPr>
          <w:color w:val="000000" w:themeColor="text1"/>
        </w:rPr>
      </w:pPr>
      <w:r w:rsidRPr="129A5D2F">
        <w:rPr>
          <w:b/>
          <w:bCs/>
          <w:color w:val="000000" w:themeColor="text1"/>
        </w:rPr>
        <w:t>What are the requirements for participation</w:t>
      </w:r>
      <w:r w:rsidRPr="129A5D2F">
        <w:rPr>
          <w:color w:val="000000" w:themeColor="text1"/>
        </w:rPr>
        <w:t>? BIDLS has engaged SXT to make its services available to eligible organizations</w:t>
      </w:r>
      <w:r w:rsidR="1C45E69B" w:rsidRPr="129A5D2F">
        <w:rPr>
          <w:color w:val="000000" w:themeColor="text1"/>
        </w:rPr>
        <w:t xml:space="preserve">, including training and technical assistance to support use of the services. </w:t>
      </w:r>
      <w:r w:rsidRPr="129A5D2F">
        <w:rPr>
          <w:color w:val="000000" w:themeColor="text1"/>
        </w:rPr>
        <w:t xml:space="preserve">However, </w:t>
      </w:r>
      <w:r w:rsidR="6DEA0D10" w:rsidRPr="129A5D2F">
        <w:rPr>
          <w:color w:val="000000" w:themeColor="text1"/>
        </w:rPr>
        <w:t>your o</w:t>
      </w:r>
      <w:r w:rsidRPr="129A5D2F">
        <w:rPr>
          <w:color w:val="000000" w:themeColor="text1"/>
        </w:rPr>
        <w:t>rganization may need to enter into</w:t>
      </w:r>
      <w:r w:rsidR="34C98C52" w:rsidRPr="129A5D2F">
        <w:rPr>
          <w:color w:val="000000" w:themeColor="text1"/>
        </w:rPr>
        <w:t xml:space="preserve"> an</w:t>
      </w:r>
      <w:r w:rsidRPr="129A5D2F">
        <w:rPr>
          <w:color w:val="000000" w:themeColor="text1"/>
        </w:rPr>
        <w:t xml:space="preserve"> agreement with SXT to use services,</w:t>
      </w:r>
      <w:r w:rsidR="1AB45AA1" w:rsidRPr="129A5D2F">
        <w:rPr>
          <w:color w:val="000000" w:themeColor="text1"/>
        </w:rPr>
        <w:t xml:space="preserve"> depending on</w:t>
      </w:r>
      <w:r w:rsidR="26D3BA5F" w:rsidRPr="129A5D2F">
        <w:rPr>
          <w:color w:val="000000" w:themeColor="text1"/>
        </w:rPr>
        <w:t xml:space="preserve"> your</w:t>
      </w:r>
      <w:r w:rsidR="1AB45AA1" w:rsidRPr="129A5D2F">
        <w:rPr>
          <w:color w:val="000000" w:themeColor="text1"/>
        </w:rPr>
        <w:t xml:space="preserve"> institutional policies and requirements.</w:t>
      </w:r>
    </w:p>
    <w:p w14:paraId="43305C51" w14:textId="10C87BEC" w:rsidR="7F8D2C51" w:rsidRDefault="7F8D2C51" w:rsidP="7F8D2C51">
      <w:pPr>
        <w:spacing w:after="0" w:line="240" w:lineRule="auto"/>
        <w:rPr>
          <w:rFonts w:ascii="Times New Roman" w:eastAsia="Times New Roman" w:hAnsi="Times New Roman" w:cs="Times New Roman"/>
          <w:color w:val="000000" w:themeColor="text1"/>
          <w:sz w:val="24"/>
          <w:szCs w:val="24"/>
        </w:rPr>
      </w:pPr>
    </w:p>
    <w:p w14:paraId="78371FAB" w14:textId="547CFE0D" w:rsidR="7119ABA7" w:rsidRDefault="7119ABA7" w:rsidP="25309137">
      <w:pPr>
        <w:pStyle w:val="xmsonormal"/>
        <w:spacing w:beforeAutospacing="0" w:after="0" w:afterAutospacing="0"/>
        <w:rPr>
          <w:color w:val="000000" w:themeColor="text1"/>
        </w:rPr>
      </w:pPr>
      <w:r w:rsidRPr="129A5D2F">
        <w:rPr>
          <w:b/>
          <w:bCs/>
          <w:color w:val="000000" w:themeColor="text1"/>
        </w:rPr>
        <w:t>How will SXT be evaluated?</w:t>
      </w:r>
      <w:r w:rsidRPr="129A5D2F">
        <w:rPr>
          <w:color w:val="000000" w:themeColor="text1"/>
        </w:rPr>
        <w:t xml:space="preserve"> Each individual organization will have access to utilization data for clients that they have enrolled in SXT. In addition, DPH will have access to de-identified data for all participating clinics to monitor utilization, evaluate effectiveness of this service, and appropriately assess our investment in this service.  </w:t>
      </w:r>
    </w:p>
    <w:p w14:paraId="0A937471" w14:textId="2D35EBFB" w:rsidR="7F8D2C51" w:rsidRDefault="7F8D2C51" w:rsidP="7F8D2C51">
      <w:pPr>
        <w:spacing w:after="0" w:line="240" w:lineRule="auto"/>
        <w:rPr>
          <w:rFonts w:ascii="Times New Roman" w:eastAsia="Times New Roman" w:hAnsi="Times New Roman" w:cs="Times New Roman"/>
          <w:color w:val="000000" w:themeColor="text1"/>
          <w:sz w:val="24"/>
          <w:szCs w:val="24"/>
        </w:rPr>
      </w:pPr>
    </w:p>
    <w:p w14:paraId="6BE5C896" w14:textId="67E985C6" w:rsidR="7119ABA7" w:rsidRDefault="7119ABA7" w:rsidP="25309137">
      <w:pPr>
        <w:pStyle w:val="xmsonormal"/>
        <w:spacing w:beforeAutospacing="0" w:after="0" w:afterAutospacing="0"/>
        <w:rPr>
          <w:color w:val="000000" w:themeColor="text1"/>
        </w:rPr>
      </w:pPr>
      <w:r w:rsidRPr="25309137">
        <w:rPr>
          <w:b/>
          <w:bCs/>
          <w:color w:val="000000" w:themeColor="text1"/>
        </w:rPr>
        <w:t xml:space="preserve">Is BIDLS changing how they provide </w:t>
      </w:r>
      <w:hyperlink r:id="rId10">
        <w:r w:rsidRPr="25309137">
          <w:rPr>
            <w:rStyle w:val="Hyperlink"/>
            <w:b/>
            <w:bCs/>
          </w:rPr>
          <w:t>partner services</w:t>
        </w:r>
      </w:hyperlink>
      <w:r w:rsidRPr="25309137">
        <w:rPr>
          <w:b/>
          <w:bCs/>
          <w:color w:val="000000" w:themeColor="text1"/>
        </w:rPr>
        <w:t xml:space="preserve">?  </w:t>
      </w:r>
      <w:r w:rsidRPr="25309137">
        <w:rPr>
          <w:color w:val="000000" w:themeColor="text1"/>
        </w:rPr>
        <w:t xml:space="preserve">SXT provides BIDLS/DPH field epidemiologists with an additional tool to notify </w:t>
      </w:r>
      <w:r w:rsidR="25CC126E" w:rsidRPr="25309137">
        <w:rPr>
          <w:color w:val="000000" w:themeColor="text1"/>
        </w:rPr>
        <w:t xml:space="preserve">exposed </w:t>
      </w:r>
      <w:r w:rsidRPr="25309137">
        <w:rPr>
          <w:color w:val="000000" w:themeColor="text1"/>
        </w:rPr>
        <w:t xml:space="preserve">partners and support </w:t>
      </w:r>
      <w:r w:rsidR="5841A155" w:rsidRPr="25309137">
        <w:rPr>
          <w:color w:val="000000" w:themeColor="text1"/>
        </w:rPr>
        <w:t>them in</w:t>
      </w:r>
      <w:r w:rsidRPr="25309137">
        <w:rPr>
          <w:color w:val="000000" w:themeColor="text1"/>
        </w:rPr>
        <w:t xml:space="preserve"> engag</w:t>
      </w:r>
      <w:r w:rsidR="110C6C79" w:rsidRPr="25309137">
        <w:rPr>
          <w:color w:val="000000" w:themeColor="text1"/>
        </w:rPr>
        <w:t>ing</w:t>
      </w:r>
      <w:r w:rsidRPr="25309137">
        <w:rPr>
          <w:color w:val="000000" w:themeColor="text1"/>
        </w:rPr>
        <w:t xml:space="preserve"> with a provider for testing and treatment.  </w:t>
      </w:r>
    </w:p>
    <w:p w14:paraId="7C975CC1" w14:textId="2A0B14C3" w:rsidR="7F8D2C51" w:rsidRDefault="7F8D2C51" w:rsidP="7F8D2C51">
      <w:pPr>
        <w:spacing w:after="0" w:line="240" w:lineRule="auto"/>
        <w:rPr>
          <w:rFonts w:ascii="Times New Roman" w:eastAsia="Times New Roman" w:hAnsi="Times New Roman" w:cs="Times New Roman"/>
          <w:color w:val="000000" w:themeColor="text1"/>
          <w:sz w:val="24"/>
          <w:szCs w:val="24"/>
        </w:rPr>
      </w:pPr>
    </w:p>
    <w:p w14:paraId="7E7F57D3" w14:textId="50596C93" w:rsidR="7119ABA7" w:rsidRDefault="7119ABA7" w:rsidP="253FDB0B">
      <w:pPr>
        <w:pStyle w:val="xmsonormal"/>
        <w:spacing w:beforeAutospacing="0" w:after="0" w:afterAutospacing="0"/>
        <w:rPr>
          <w:color w:val="000000" w:themeColor="text1"/>
        </w:rPr>
      </w:pPr>
      <w:r w:rsidRPr="25309137">
        <w:rPr>
          <w:b/>
          <w:bCs/>
          <w:color w:val="000000" w:themeColor="text1"/>
        </w:rPr>
        <w:lastRenderedPageBreak/>
        <w:t xml:space="preserve">Does participation in SXT change how we interact with BIDLS for </w:t>
      </w:r>
      <w:hyperlink r:id="rId11">
        <w:r w:rsidRPr="25309137">
          <w:rPr>
            <w:rStyle w:val="Hyperlink"/>
            <w:b/>
            <w:bCs/>
          </w:rPr>
          <w:t>partner services</w:t>
        </w:r>
      </w:hyperlink>
      <w:r w:rsidRPr="25309137">
        <w:rPr>
          <w:b/>
          <w:bCs/>
          <w:color w:val="000000" w:themeColor="text1"/>
        </w:rPr>
        <w:t>?</w:t>
      </w:r>
      <w:r w:rsidRPr="25309137">
        <w:rPr>
          <w:color w:val="000000" w:themeColor="text1"/>
        </w:rPr>
        <w:t xml:space="preserve">  No.   BIDLS/DPH field epidemiologists will continue to follow-up on all newly identified cases of HIV infection and syphilis infection, as well as priority cases of gonorrhea. We will continue to coordinate with your staff as usual to provide these services. </w:t>
      </w:r>
    </w:p>
    <w:p w14:paraId="3EC38512" w14:textId="70047D2A" w:rsidR="7F8D2C51" w:rsidRDefault="7F8D2C51" w:rsidP="7F8D2C51">
      <w:pPr>
        <w:spacing w:after="0" w:line="240" w:lineRule="auto"/>
        <w:rPr>
          <w:rFonts w:ascii="Times New Roman" w:eastAsia="Times New Roman" w:hAnsi="Times New Roman" w:cs="Times New Roman"/>
          <w:color w:val="000000" w:themeColor="text1"/>
          <w:sz w:val="24"/>
          <w:szCs w:val="24"/>
        </w:rPr>
      </w:pPr>
    </w:p>
    <w:p w14:paraId="160F0FA6" w14:textId="63B81642" w:rsidR="7119ABA7" w:rsidRDefault="7119ABA7" w:rsidP="7F8D2C51">
      <w:pPr>
        <w:pStyle w:val="xmsonormal"/>
        <w:spacing w:beforeAutospacing="0" w:after="0" w:afterAutospacing="0"/>
        <w:rPr>
          <w:color w:val="000000" w:themeColor="text1"/>
        </w:rPr>
      </w:pPr>
      <w:r w:rsidRPr="7F8D2C51">
        <w:rPr>
          <w:b/>
          <w:bCs/>
          <w:color w:val="000000" w:themeColor="text1"/>
        </w:rPr>
        <w:t xml:space="preserve">How should we communicate with clients about this service?  </w:t>
      </w:r>
    </w:p>
    <w:p w14:paraId="6747EB71" w14:textId="73C59C3A" w:rsidR="7119ABA7" w:rsidRDefault="7119ABA7" w:rsidP="25309137">
      <w:pPr>
        <w:pStyle w:val="xmsonormal"/>
        <w:spacing w:beforeAutospacing="0" w:after="0" w:afterAutospacing="0"/>
        <w:rPr>
          <w:color w:val="000000" w:themeColor="text1"/>
        </w:rPr>
      </w:pPr>
      <w:r w:rsidRPr="25309137">
        <w:rPr>
          <w:color w:val="000000" w:themeColor="text1"/>
        </w:rPr>
        <w:t xml:space="preserve">We recommend that providers describe this service at the time clients are tested and when they receive test results, especially if clients are symptomatic for gonorrhea and/or chlamydia. Gonorrhea and chlamydia are high-volume infections that are not routinely followed by field epidemiologists, therefore </w:t>
      </w:r>
      <w:r w:rsidR="4002EF30" w:rsidRPr="25309137">
        <w:rPr>
          <w:color w:val="000000" w:themeColor="text1"/>
        </w:rPr>
        <w:t xml:space="preserve">encouraging </w:t>
      </w:r>
      <w:r w:rsidRPr="25309137">
        <w:rPr>
          <w:color w:val="000000" w:themeColor="text1"/>
        </w:rPr>
        <w:t xml:space="preserve">SXT </w:t>
      </w:r>
      <w:r w:rsidR="5C32FF55" w:rsidRPr="25309137">
        <w:rPr>
          <w:color w:val="000000" w:themeColor="text1"/>
        </w:rPr>
        <w:t>use by</w:t>
      </w:r>
      <w:r w:rsidRPr="25309137">
        <w:rPr>
          <w:color w:val="000000" w:themeColor="text1"/>
        </w:rPr>
        <w:t xml:space="preserve"> these patients could benefit them</w:t>
      </w:r>
      <w:r w:rsidR="4C489151" w:rsidRPr="25309137">
        <w:rPr>
          <w:color w:val="000000" w:themeColor="text1"/>
        </w:rPr>
        <w:t xml:space="preserve"> and their exposed partners</w:t>
      </w:r>
      <w:r w:rsidRPr="25309137">
        <w:rPr>
          <w:color w:val="000000" w:themeColor="text1"/>
        </w:rPr>
        <w:t xml:space="preserve">. </w:t>
      </w:r>
    </w:p>
    <w:p w14:paraId="65FB3489" w14:textId="4E9C7CD6" w:rsidR="7F8D2C51" w:rsidRDefault="7F8D2C51" w:rsidP="7F8D2C51">
      <w:pPr>
        <w:spacing w:after="0" w:line="240" w:lineRule="auto"/>
        <w:rPr>
          <w:rFonts w:ascii="Times New Roman" w:eastAsia="Times New Roman" w:hAnsi="Times New Roman" w:cs="Times New Roman"/>
          <w:color w:val="000000" w:themeColor="text1"/>
          <w:sz w:val="24"/>
          <w:szCs w:val="24"/>
        </w:rPr>
      </w:pPr>
    </w:p>
    <w:p w14:paraId="503E901D" w14:textId="0452C556" w:rsidR="7119ABA7" w:rsidRDefault="7119ABA7" w:rsidP="25309137">
      <w:pPr>
        <w:pStyle w:val="xmsonormal"/>
        <w:spacing w:beforeAutospacing="0" w:after="0" w:afterAutospacing="0"/>
        <w:rPr>
          <w:color w:val="000000" w:themeColor="text1"/>
        </w:rPr>
      </w:pPr>
      <w:r w:rsidRPr="25309137">
        <w:rPr>
          <w:color w:val="000000" w:themeColor="text1"/>
        </w:rPr>
        <w:t>Providers should advise clients diagnosed with HIV or syphilis infection</w:t>
      </w:r>
      <w:r w:rsidR="431FEC20" w:rsidRPr="25309137">
        <w:rPr>
          <w:color w:val="000000" w:themeColor="text1"/>
        </w:rPr>
        <w:t xml:space="preserve"> that</w:t>
      </w:r>
      <w:r w:rsidRPr="25309137">
        <w:rPr>
          <w:color w:val="000000" w:themeColor="text1"/>
        </w:rPr>
        <w:t xml:space="preserve"> they will be contacted by a BIDLS/DPH field epidemiologist who will offer partner services, including options to notify exposed partners</w:t>
      </w:r>
      <w:r w:rsidR="6AB2625A" w:rsidRPr="25309137">
        <w:rPr>
          <w:color w:val="000000" w:themeColor="text1"/>
        </w:rPr>
        <w:t xml:space="preserve"> to help them</w:t>
      </w:r>
      <w:r w:rsidRPr="25309137">
        <w:rPr>
          <w:color w:val="000000" w:themeColor="text1"/>
        </w:rPr>
        <w:t xml:space="preserve"> get testing and treatment.</w:t>
      </w:r>
      <w:r w:rsidRPr="25309137">
        <w:rPr>
          <w:color w:val="000000" w:themeColor="text1"/>
        </w:rPr>
        <w:t xml:space="preserve"> </w:t>
      </w:r>
      <w:r w:rsidR="15348A7B" w:rsidRPr="10F16C48">
        <w:rPr>
          <w:color w:val="000000" w:themeColor="text1"/>
        </w:rPr>
        <w:t>If you have questions about BIDLS/DPH’s Partner Services Program, please call</w:t>
      </w:r>
      <w:r w:rsidR="2021EE1A" w:rsidRPr="10F16C48">
        <w:rPr>
          <w:color w:val="000000" w:themeColor="text1"/>
        </w:rPr>
        <w:t xml:space="preserve"> (617) 983-6999.</w:t>
      </w:r>
      <w:r w:rsidR="00B24FAE">
        <w:rPr>
          <w:color w:val="000000" w:themeColor="text1"/>
        </w:rPr>
        <w:t xml:space="preserve">  </w:t>
      </w:r>
      <w:r w:rsidRPr="25309137">
        <w:rPr>
          <w:color w:val="000000" w:themeColor="text1"/>
        </w:rPr>
        <w:t>Please reach out to BIDLS (</w:t>
      </w:r>
      <w:hyperlink r:id="rId12">
        <w:r w:rsidRPr="25309137">
          <w:rPr>
            <w:rStyle w:val="Hyperlink"/>
          </w:rPr>
          <w:t>BIDLS.OHCP@mass.gov</w:t>
        </w:r>
      </w:hyperlink>
      <w:r w:rsidRPr="25309137">
        <w:rPr>
          <w:color w:val="000000" w:themeColor="text1"/>
        </w:rPr>
        <w:t xml:space="preserve">) if you would like assistance developing communication materials or practice support tools.  </w:t>
      </w:r>
    </w:p>
    <w:p w14:paraId="26B8041F" w14:textId="0B97E8F9" w:rsidR="7F8D2C51" w:rsidRDefault="7F8D2C51" w:rsidP="7F8D2C51">
      <w:pPr>
        <w:spacing w:after="0" w:line="240" w:lineRule="auto"/>
        <w:rPr>
          <w:rFonts w:ascii="Times New Roman" w:eastAsia="Times New Roman" w:hAnsi="Times New Roman" w:cs="Times New Roman"/>
          <w:color w:val="000000" w:themeColor="text1"/>
          <w:sz w:val="24"/>
          <w:szCs w:val="24"/>
        </w:rPr>
      </w:pPr>
    </w:p>
    <w:p w14:paraId="11D3C1B8" w14:textId="1EE3E00D" w:rsidR="7119ABA7" w:rsidRDefault="7119ABA7" w:rsidP="7F8D2C51">
      <w:pPr>
        <w:pStyle w:val="xmsonormal"/>
        <w:spacing w:beforeAutospacing="0" w:after="0" w:afterAutospacing="0"/>
        <w:rPr>
          <w:color w:val="000000" w:themeColor="text1"/>
        </w:rPr>
      </w:pPr>
      <w:r w:rsidRPr="7F8D2C51">
        <w:rPr>
          <w:b/>
          <w:bCs/>
          <w:color w:val="000000" w:themeColor="text1"/>
        </w:rPr>
        <w:t>Does participation in SXT affect infectious disease reporting requirements for HIV or STIs?</w:t>
      </w:r>
      <w:r w:rsidRPr="7F8D2C51">
        <w:rPr>
          <w:color w:val="000000" w:themeColor="text1"/>
        </w:rPr>
        <w:t xml:space="preserve">  No. Your obligations for infectious disease reporting remain unchanged, and you should continue to use the processes and mechanisms for infectious disease reporting that you are currently using.  </w:t>
      </w:r>
    </w:p>
    <w:p w14:paraId="7690349F" w14:textId="01E3A6FC" w:rsidR="7F8D2C51" w:rsidRDefault="7F8D2C51" w:rsidP="7F8D2C51">
      <w:pPr>
        <w:spacing w:after="0" w:line="240" w:lineRule="auto"/>
        <w:rPr>
          <w:rFonts w:ascii="Times New Roman" w:eastAsia="Times New Roman" w:hAnsi="Times New Roman" w:cs="Times New Roman"/>
          <w:color w:val="000000" w:themeColor="text1"/>
          <w:sz w:val="24"/>
          <w:szCs w:val="24"/>
        </w:rPr>
      </w:pPr>
    </w:p>
    <w:p w14:paraId="23B21874" w14:textId="52B2F131" w:rsidR="7119ABA7" w:rsidRDefault="7119ABA7" w:rsidP="25309137">
      <w:pPr>
        <w:pStyle w:val="xmsonormal"/>
        <w:spacing w:beforeAutospacing="0" w:after="0" w:afterAutospacing="0"/>
        <w:rPr>
          <w:color w:val="000000" w:themeColor="text1"/>
        </w:rPr>
      </w:pPr>
      <w:r w:rsidRPr="25309137">
        <w:rPr>
          <w:b/>
          <w:bCs/>
          <w:color w:val="000000" w:themeColor="text1"/>
        </w:rPr>
        <w:t xml:space="preserve">What if there are </w:t>
      </w:r>
      <w:proofErr w:type="gramStart"/>
      <w:r w:rsidRPr="25309137">
        <w:rPr>
          <w:b/>
          <w:bCs/>
          <w:color w:val="000000" w:themeColor="text1"/>
        </w:rPr>
        <w:t>changes</w:t>
      </w:r>
      <w:proofErr w:type="gramEnd"/>
      <w:r w:rsidRPr="25309137">
        <w:rPr>
          <w:b/>
          <w:bCs/>
          <w:color w:val="000000" w:themeColor="text1"/>
        </w:rPr>
        <w:t xml:space="preserve"> we would like to recommend to the service?</w:t>
      </w:r>
      <w:r w:rsidRPr="25309137">
        <w:rPr>
          <w:color w:val="000000" w:themeColor="text1"/>
        </w:rPr>
        <w:t xml:space="preserve">  Any requests for changes, such as new/modified messages, translation of messages, etc. </w:t>
      </w:r>
      <w:r w:rsidR="63AE91EC" w:rsidRPr="25309137">
        <w:rPr>
          <w:color w:val="000000" w:themeColor="text1"/>
        </w:rPr>
        <w:t>should</w:t>
      </w:r>
      <w:r w:rsidRPr="25309137">
        <w:rPr>
          <w:color w:val="000000" w:themeColor="text1"/>
        </w:rPr>
        <w:t xml:space="preserve"> be communicated to BIDLS through our Office of Health Care Planning at </w:t>
      </w:r>
      <w:hyperlink r:id="rId13">
        <w:r w:rsidRPr="25309137">
          <w:rPr>
            <w:rStyle w:val="Hyperlink"/>
          </w:rPr>
          <w:t>BIDLS.OHCP@mass.gov</w:t>
        </w:r>
      </w:hyperlink>
      <w:r w:rsidRPr="25309137">
        <w:rPr>
          <w:color w:val="000000" w:themeColor="text1"/>
        </w:rPr>
        <w:t xml:space="preserve">. </w:t>
      </w:r>
      <w:r w:rsidR="08E49DE8" w:rsidRPr="25309137">
        <w:rPr>
          <w:color w:val="000000" w:themeColor="text1"/>
        </w:rPr>
        <w:t xml:space="preserve">Requested </w:t>
      </w:r>
      <w:r w:rsidRPr="25309137">
        <w:rPr>
          <w:color w:val="000000" w:themeColor="text1"/>
        </w:rPr>
        <w:t xml:space="preserve">changes </w:t>
      </w:r>
      <w:r w:rsidR="76EAABF7" w:rsidRPr="25309137">
        <w:rPr>
          <w:color w:val="000000" w:themeColor="text1"/>
        </w:rPr>
        <w:t xml:space="preserve">will be evaluated </w:t>
      </w:r>
      <w:r w:rsidR="07CBC9D2" w:rsidRPr="25309137">
        <w:rPr>
          <w:color w:val="000000" w:themeColor="text1"/>
        </w:rPr>
        <w:t>and assessed</w:t>
      </w:r>
      <w:r w:rsidRPr="25309137">
        <w:rPr>
          <w:color w:val="000000" w:themeColor="text1"/>
        </w:rPr>
        <w:t xml:space="preserve"> within our service agreement, and within budget. Individual organizations participating in SXT are not permitted to purchase modifications independently.  </w:t>
      </w:r>
    </w:p>
    <w:p w14:paraId="359D5291" w14:textId="0CF429F5" w:rsidR="7F8D2C51" w:rsidRDefault="7F8D2C51" w:rsidP="7F8D2C51">
      <w:pPr>
        <w:spacing w:after="0" w:line="240" w:lineRule="auto"/>
        <w:rPr>
          <w:rFonts w:ascii="Times New Roman" w:eastAsia="Times New Roman" w:hAnsi="Times New Roman" w:cs="Times New Roman"/>
          <w:color w:val="000000" w:themeColor="text1"/>
          <w:sz w:val="24"/>
          <w:szCs w:val="24"/>
        </w:rPr>
      </w:pPr>
    </w:p>
    <w:p w14:paraId="70A8A15D" w14:textId="20BC9471" w:rsidR="7D75D136" w:rsidRDefault="7D75D136" w:rsidP="25309137">
      <w:pPr>
        <w:spacing w:after="0" w:line="240" w:lineRule="auto"/>
        <w:rPr>
          <w:rFonts w:ascii="Times New Roman" w:eastAsia="Times New Roman" w:hAnsi="Times New Roman" w:cs="Times New Roman"/>
          <w:color w:val="000000" w:themeColor="text1"/>
          <w:sz w:val="24"/>
          <w:szCs w:val="24"/>
        </w:rPr>
      </w:pPr>
      <w:r w:rsidRPr="25309137">
        <w:rPr>
          <w:rFonts w:ascii="Times New Roman" w:eastAsia="Times New Roman" w:hAnsi="Times New Roman" w:cs="Times New Roman"/>
          <w:b/>
          <w:bCs/>
          <w:color w:val="000000" w:themeColor="text1"/>
          <w:sz w:val="24"/>
          <w:szCs w:val="24"/>
        </w:rPr>
        <w:t xml:space="preserve">What happens if BIDLS terminates the agreement with SXT? </w:t>
      </w:r>
      <w:r w:rsidRPr="25309137">
        <w:rPr>
          <w:rFonts w:ascii="Times New Roman" w:eastAsia="Times New Roman" w:hAnsi="Times New Roman" w:cs="Times New Roman"/>
          <w:color w:val="000000" w:themeColor="text1"/>
          <w:sz w:val="24"/>
          <w:szCs w:val="24"/>
        </w:rPr>
        <w:t xml:space="preserve"> </w:t>
      </w:r>
    </w:p>
    <w:p w14:paraId="38E750CF" w14:textId="45A775BA" w:rsidR="7119ABA7" w:rsidRDefault="7D75D136" w:rsidP="25309137">
      <w:pPr>
        <w:pStyle w:val="xmsonormal"/>
        <w:spacing w:beforeAutospacing="0" w:after="0" w:afterAutospacing="0"/>
        <w:rPr>
          <w:color w:val="000000" w:themeColor="text1"/>
        </w:rPr>
      </w:pPr>
      <w:r w:rsidRPr="129A5D2F">
        <w:rPr>
          <w:color w:val="000000" w:themeColor="text1"/>
        </w:rPr>
        <w:t xml:space="preserve">In the unlikely circumstance that BIDLS terminates the agreement with SXT, we will give participating organizations ample notice. At that time, it would be at a participating organization’s discretion to establish an independent agreement with SXT, inclusive of associated costs for the service.    </w:t>
      </w:r>
    </w:p>
    <w:p w14:paraId="74CC2483" w14:textId="11A277E2" w:rsidR="25309137" w:rsidRDefault="25309137" w:rsidP="25309137">
      <w:pPr>
        <w:spacing w:after="0" w:line="240" w:lineRule="auto"/>
        <w:rPr>
          <w:rFonts w:ascii="Times New Roman" w:eastAsia="Times New Roman" w:hAnsi="Times New Roman" w:cs="Times New Roman"/>
          <w:color w:val="000000" w:themeColor="text1"/>
          <w:sz w:val="24"/>
          <w:szCs w:val="24"/>
        </w:rPr>
      </w:pPr>
    </w:p>
    <w:p w14:paraId="754E0AE1" w14:textId="5CBB025E" w:rsidR="7119ABA7" w:rsidRDefault="7119ABA7" w:rsidP="7F8D2C51">
      <w:pPr>
        <w:pStyle w:val="xmsonormal"/>
        <w:spacing w:beforeAutospacing="0" w:after="0" w:afterAutospacing="0"/>
        <w:rPr>
          <w:color w:val="000000" w:themeColor="text1"/>
        </w:rPr>
      </w:pPr>
      <w:r w:rsidRPr="7F8D2C51">
        <w:rPr>
          <w:b/>
          <w:bCs/>
          <w:color w:val="000000" w:themeColor="text1"/>
        </w:rPr>
        <w:t>Who should we contact to learn more about participating in this service?</w:t>
      </w:r>
      <w:r w:rsidRPr="7F8D2C51">
        <w:rPr>
          <w:color w:val="000000" w:themeColor="text1"/>
        </w:rPr>
        <w:t xml:space="preserve">  Please contact BIDLS’ Office of Health Care Planning at </w:t>
      </w:r>
      <w:hyperlink r:id="rId14">
        <w:r w:rsidRPr="7F8D2C51">
          <w:rPr>
            <w:rStyle w:val="Hyperlink"/>
          </w:rPr>
          <w:t>BIDLS.OHCP@mass.gov</w:t>
        </w:r>
      </w:hyperlink>
      <w:r w:rsidRPr="7F8D2C51">
        <w:rPr>
          <w:color w:val="000000" w:themeColor="text1"/>
        </w:rPr>
        <w:t xml:space="preserve"> with your expression of interest. Please copy your Office of HIV/AIDS contract manager.  </w:t>
      </w:r>
    </w:p>
    <w:p w14:paraId="50BC54B2" w14:textId="7F4A0E45" w:rsidR="7F8D2C51" w:rsidRDefault="7F8D2C51" w:rsidP="7F8D2C51">
      <w:pPr>
        <w:rPr>
          <w:rFonts w:ascii="Times New Roman" w:eastAsia="Times New Roman" w:hAnsi="Times New Roman" w:cs="Times New Roman"/>
          <w:color w:val="000000" w:themeColor="text1"/>
          <w:sz w:val="24"/>
          <w:szCs w:val="24"/>
        </w:rPr>
      </w:pPr>
    </w:p>
    <w:p w14:paraId="613D1FC0" w14:textId="6D884B1C" w:rsidR="7F8D2C51" w:rsidRDefault="7F8D2C51" w:rsidP="7F8D2C51">
      <w:pPr>
        <w:rPr>
          <w:rFonts w:ascii="Times New Roman" w:hAnsi="Times New Roman" w:cs="Times New Roman"/>
          <w:sz w:val="24"/>
          <w:szCs w:val="24"/>
        </w:rPr>
      </w:pPr>
    </w:p>
    <w:sectPr w:rsidR="7F8D2C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82767"/>
    <w:multiLevelType w:val="multilevel"/>
    <w:tmpl w:val="A510F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4C098E"/>
    <w:multiLevelType w:val="multilevel"/>
    <w:tmpl w:val="8DA67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9405E5"/>
    <w:multiLevelType w:val="multilevel"/>
    <w:tmpl w:val="7EFE7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710287"/>
    <w:multiLevelType w:val="multilevel"/>
    <w:tmpl w:val="55784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885625"/>
    <w:multiLevelType w:val="multilevel"/>
    <w:tmpl w:val="406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B0321D"/>
    <w:multiLevelType w:val="multilevel"/>
    <w:tmpl w:val="62F0F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4163314">
    <w:abstractNumId w:val="5"/>
  </w:num>
  <w:num w:numId="2" w16cid:durableId="112212240">
    <w:abstractNumId w:val="1"/>
  </w:num>
  <w:num w:numId="3" w16cid:durableId="671107541">
    <w:abstractNumId w:val="3"/>
  </w:num>
  <w:num w:numId="4" w16cid:durableId="1171722148">
    <w:abstractNumId w:val="2"/>
  </w:num>
  <w:num w:numId="5" w16cid:durableId="773214427">
    <w:abstractNumId w:val="4"/>
  </w:num>
  <w:num w:numId="6" w16cid:durableId="109592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DB6"/>
    <w:rsid w:val="000313FF"/>
    <w:rsid w:val="000A7AE3"/>
    <w:rsid w:val="001A64CF"/>
    <w:rsid w:val="001D6BBC"/>
    <w:rsid w:val="002235CB"/>
    <w:rsid w:val="002D2DB6"/>
    <w:rsid w:val="003F09C8"/>
    <w:rsid w:val="006C3E59"/>
    <w:rsid w:val="00704393"/>
    <w:rsid w:val="00995376"/>
    <w:rsid w:val="00A66A5B"/>
    <w:rsid w:val="00A80DEC"/>
    <w:rsid w:val="00AD5EC3"/>
    <w:rsid w:val="00B24FAE"/>
    <w:rsid w:val="00DA3E39"/>
    <w:rsid w:val="00E17FEA"/>
    <w:rsid w:val="00E63A5A"/>
    <w:rsid w:val="00ED3839"/>
    <w:rsid w:val="078240B2"/>
    <w:rsid w:val="07CBC9D2"/>
    <w:rsid w:val="08E49DE8"/>
    <w:rsid w:val="0965577C"/>
    <w:rsid w:val="0ADA1792"/>
    <w:rsid w:val="0B4D5F2B"/>
    <w:rsid w:val="0C6B428F"/>
    <w:rsid w:val="0D0ECCDF"/>
    <w:rsid w:val="0D296AA4"/>
    <w:rsid w:val="0E8DD223"/>
    <w:rsid w:val="1009D3CC"/>
    <w:rsid w:val="10F16C48"/>
    <w:rsid w:val="110C6C79"/>
    <w:rsid w:val="1115A9B8"/>
    <w:rsid w:val="119A94D7"/>
    <w:rsid w:val="129A5D2F"/>
    <w:rsid w:val="1334D1B9"/>
    <w:rsid w:val="143CBD1A"/>
    <w:rsid w:val="145520AE"/>
    <w:rsid w:val="14D235BD"/>
    <w:rsid w:val="15348A7B"/>
    <w:rsid w:val="1707B48A"/>
    <w:rsid w:val="183221B2"/>
    <w:rsid w:val="19A913E7"/>
    <w:rsid w:val="1AB45AA1"/>
    <w:rsid w:val="1AE52269"/>
    <w:rsid w:val="1C45E69B"/>
    <w:rsid w:val="1CAB8A12"/>
    <w:rsid w:val="1E6EFA2E"/>
    <w:rsid w:val="1F24A2FE"/>
    <w:rsid w:val="1F547921"/>
    <w:rsid w:val="2021EE1A"/>
    <w:rsid w:val="2211B04D"/>
    <w:rsid w:val="22C06105"/>
    <w:rsid w:val="2369D7D4"/>
    <w:rsid w:val="24FE83DF"/>
    <w:rsid w:val="25309137"/>
    <w:rsid w:val="253FDB0B"/>
    <w:rsid w:val="25CC126E"/>
    <w:rsid w:val="25D8460D"/>
    <w:rsid w:val="26D3BA5F"/>
    <w:rsid w:val="28877311"/>
    <w:rsid w:val="28D4C187"/>
    <w:rsid w:val="2A155A24"/>
    <w:rsid w:val="2A66EE1E"/>
    <w:rsid w:val="2B4F7417"/>
    <w:rsid w:val="2C1A55A2"/>
    <w:rsid w:val="2CABE47C"/>
    <w:rsid w:val="2E2B49E2"/>
    <w:rsid w:val="2FF410C1"/>
    <w:rsid w:val="31213CB4"/>
    <w:rsid w:val="31E3882A"/>
    <w:rsid w:val="3209BB2D"/>
    <w:rsid w:val="34C98C52"/>
    <w:rsid w:val="366A5496"/>
    <w:rsid w:val="37323C99"/>
    <w:rsid w:val="3AE5D742"/>
    <w:rsid w:val="3DC0D5E8"/>
    <w:rsid w:val="4002EF30"/>
    <w:rsid w:val="401FE812"/>
    <w:rsid w:val="42BF9DB7"/>
    <w:rsid w:val="431FEC20"/>
    <w:rsid w:val="44E5E8B2"/>
    <w:rsid w:val="485705C5"/>
    <w:rsid w:val="4AF738CA"/>
    <w:rsid w:val="4C489151"/>
    <w:rsid w:val="4D950FC4"/>
    <w:rsid w:val="523E326A"/>
    <w:rsid w:val="5378152E"/>
    <w:rsid w:val="5551D4C7"/>
    <w:rsid w:val="5841A155"/>
    <w:rsid w:val="59BDE793"/>
    <w:rsid w:val="5A066D1A"/>
    <w:rsid w:val="5A1B29CF"/>
    <w:rsid w:val="5AA713C4"/>
    <w:rsid w:val="5AA80AF9"/>
    <w:rsid w:val="5C32FF55"/>
    <w:rsid w:val="5DBEDED3"/>
    <w:rsid w:val="5DD1BC92"/>
    <w:rsid w:val="5E5CAB8B"/>
    <w:rsid w:val="5E98E65C"/>
    <w:rsid w:val="5F607090"/>
    <w:rsid w:val="613A17B7"/>
    <w:rsid w:val="628A8998"/>
    <w:rsid w:val="63AE91EC"/>
    <w:rsid w:val="63DA3DA9"/>
    <w:rsid w:val="668BCF05"/>
    <w:rsid w:val="670EE967"/>
    <w:rsid w:val="69431531"/>
    <w:rsid w:val="6AB2625A"/>
    <w:rsid w:val="6DEA0D10"/>
    <w:rsid w:val="6E542356"/>
    <w:rsid w:val="704C0B42"/>
    <w:rsid w:val="710DE2AB"/>
    <w:rsid w:val="7119ABA7"/>
    <w:rsid w:val="7122EE37"/>
    <w:rsid w:val="76EAABF7"/>
    <w:rsid w:val="78EC370E"/>
    <w:rsid w:val="7B5FCCE1"/>
    <w:rsid w:val="7BFE8907"/>
    <w:rsid w:val="7C8DBE2D"/>
    <w:rsid w:val="7D75D136"/>
    <w:rsid w:val="7E84E3C1"/>
    <w:rsid w:val="7F8D2C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137A2"/>
  <w15:chartTrackingRefBased/>
  <w15:docId w15:val="{ED6937F1-CEF7-4B9D-88E6-3C8706277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D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D2DB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3F09C8"/>
    <w:rPr>
      <w:color w:val="0563C1" w:themeColor="hyperlink"/>
      <w:u w:val="single"/>
    </w:rPr>
  </w:style>
  <w:style w:type="character" w:styleId="UnresolvedMention">
    <w:name w:val="Unresolved Mention"/>
    <w:basedOn w:val="DefaultParagraphFont"/>
    <w:uiPriority w:val="99"/>
    <w:semiHidden/>
    <w:unhideWhenUsed/>
    <w:rsid w:val="003F09C8"/>
    <w:rPr>
      <w:color w:val="605E5C"/>
      <w:shd w:val="clear" w:color="auto" w:fill="E1DFDD"/>
    </w:rPr>
  </w:style>
  <w:style w:type="character" w:styleId="CommentReference">
    <w:name w:val="annotation reference"/>
    <w:basedOn w:val="DefaultParagraphFont"/>
    <w:uiPriority w:val="99"/>
    <w:semiHidden/>
    <w:unhideWhenUsed/>
    <w:rsid w:val="00A80DEC"/>
    <w:rPr>
      <w:sz w:val="16"/>
      <w:szCs w:val="16"/>
    </w:rPr>
  </w:style>
  <w:style w:type="paragraph" w:styleId="CommentText">
    <w:name w:val="annotation text"/>
    <w:basedOn w:val="Normal"/>
    <w:link w:val="CommentTextChar"/>
    <w:uiPriority w:val="99"/>
    <w:semiHidden/>
    <w:unhideWhenUsed/>
    <w:rsid w:val="00A80DEC"/>
    <w:pPr>
      <w:spacing w:line="240" w:lineRule="auto"/>
    </w:pPr>
    <w:rPr>
      <w:sz w:val="20"/>
      <w:szCs w:val="20"/>
    </w:rPr>
  </w:style>
  <w:style w:type="character" w:customStyle="1" w:styleId="CommentTextChar">
    <w:name w:val="Comment Text Char"/>
    <w:basedOn w:val="DefaultParagraphFont"/>
    <w:link w:val="CommentText"/>
    <w:uiPriority w:val="99"/>
    <w:semiHidden/>
    <w:rsid w:val="00A80DEC"/>
    <w:rPr>
      <w:sz w:val="20"/>
      <w:szCs w:val="20"/>
    </w:rPr>
  </w:style>
  <w:style w:type="paragraph" w:styleId="CommentSubject">
    <w:name w:val="annotation subject"/>
    <w:basedOn w:val="CommentText"/>
    <w:next w:val="CommentText"/>
    <w:link w:val="CommentSubjectChar"/>
    <w:uiPriority w:val="99"/>
    <w:semiHidden/>
    <w:unhideWhenUsed/>
    <w:rsid w:val="00A80DEC"/>
    <w:rPr>
      <w:b/>
      <w:bCs/>
    </w:rPr>
  </w:style>
  <w:style w:type="character" w:customStyle="1" w:styleId="CommentSubjectChar">
    <w:name w:val="Comment Subject Char"/>
    <w:basedOn w:val="CommentTextChar"/>
    <w:link w:val="CommentSubject"/>
    <w:uiPriority w:val="99"/>
    <w:semiHidden/>
    <w:rsid w:val="00A80DEC"/>
    <w:rPr>
      <w:b/>
      <w:bCs/>
      <w:sz w:val="20"/>
      <w:szCs w:val="20"/>
    </w:rPr>
  </w:style>
  <w:style w:type="paragraph" w:customStyle="1" w:styleId="xmsonormal">
    <w:name w:val="x_msonormal"/>
    <w:basedOn w:val="Normal"/>
    <w:uiPriority w:val="1"/>
    <w:rsid w:val="7F8D2C51"/>
    <w:pPr>
      <w:spacing w:beforeAutospacing="1" w:afterAutospacing="1" w:line="240" w:lineRule="auto"/>
    </w:pPr>
    <w:rPr>
      <w:rFonts w:ascii="Times New Roman" w:eastAsia="Times New Roman" w:hAnsi="Times New Roman" w:cs="Times New Roman"/>
      <w:sz w:val="24"/>
      <w:szCs w:val="24"/>
    </w:rPr>
  </w:style>
  <w:style w:type="paragraph" w:customStyle="1" w:styleId="RFRCover14ptBoldCentered">
    <w:name w:val="RFR Cover 14 pt Bold Centered"/>
    <w:basedOn w:val="Normal"/>
    <w:uiPriority w:val="1"/>
    <w:rsid w:val="7F8D2C51"/>
    <w:pPr>
      <w:spacing w:after="0" w:line="240" w:lineRule="auto"/>
      <w:jc w:val="center"/>
    </w:pPr>
    <w:rPr>
      <w:rFonts w:ascii="Arial" w:eastAsia="Times New Roman" w:hAnsi="Arial"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006118">
      <w:bodyDiv w:val="1"/>
      <w:marLeft w:val="0"/>
      <w:marRight w:val="0"/>
      <w:marTop w:val="0"/>
      <w:marBottom w:val="0"/>
      <w:divBdr>
        <w:top w:val="none" w:sz="0" w:space="0" w:color="auto"/>
        <w:left w:val="none" w:sz="0" w:space="0" w:color="auto"/>
        <w:bottom w:val="none" w:sz="0" w:space="0" w:color="auto"/>
        <w:right w:val="none" w:sz="0" w:space="0" w:color="auto"/>
      </w:divBdr>
      <w:divsChild>
        <w:div w:id="102768015">
          <w:marLeft w:val="0"/>
          <w:marRight w:val="0"/>
          <w:marTop w:val="0"/>
          <w:marBottom w:val="900"/>
          <w:divBdr>
            <w:top w:val="none" w:sz="0" w:space="0" w:color="auto"/>
            <w:left w:val="none" w:sz="0" w:space="0" w:color="auto"/>
            <w:bottom w:val="none" w:sz="0" w:space="0" w:color="auto"/>
            <w:right w:val="none" w:sz="0" w:space="0" w:color="auto"/>
          </w:divBdr>
          <w:divsChild>
            <w:div w:id="708577030">
              <w:marLeft w:val="0"/>
              <w:marRight w:val="0"/>
              <w:marTop w:val="0"/>
              <w:marBottom w:val="0"/>
              <w:divBdr>
                <w:top w:val="none" w:sz="0" w:space="0" w:color="auto"/>
                <w:left w:val="none" w:sz="0" w:space="0" w:color="auto"/>
                <w:bottom w:val="none" w:sz="0" w:space="0" w:color="auto"/>
                <w:right w:val="none" w:sz="0" w:space="0" w:color="auto"/>
              </w:divBdr>
              <w:divsChild>
                <w:div w:id="1863933973">
                  <w:marLeft w:val="0"/>
                  <w:marRight w:val="0"/>
                  <w:marTop w:val="0"/>
                  <w:marBottom w:val="0"/>
                  <w:divBdr>
                    <w:top w:val="none" w:sz="0" w:space="0" w:color="auto"/>
                    <w:left w:val="none" w:sz="0" w:space="0" w:color="auto"/>
                    <w:bottom w:val="none" w:sz="0" w:space="0" w:color="auto"/>
                    <w:right w:val="none" w:sz="0" w:space="0" w:color="auto"/>
                  </w:divBdr>
                  <w:divsChild>
                    <w:div w:id="343021522">
                      <w:marLeft w:val="0"/>
                      <w:marRight w:val="0"/>
                      <w:marTop w:val="0"/>
                      <w:marBottom w:val="0"/>
                      <w:divBdr>
                        <w:top w:val="none" w:sz="0" w:space="0" w:color="auto"/>
                        <w:left w:val="none" w:sz="0" w:space="0" w:color="auto"/>
                        <w:bottom w:val="none" w:sz="0" w:space="0" w:color="auto"/>
                        <w:right w:val="none" w:sz="0" w:space="0" w:color="auto"/>
                      </w:divBdr>
                      <w:divsChild>
                        <w:div w:id="1114136303">
                          <w:marLeft w:val="0"/>
                          <w:marRight w:val="0"/>
                          <w:marTop w:val="0"/>
                          <w:marBottom w:val="0"/>
                          <w:divBdr>
                            <w:top w:val="none" w:sz="0" w:space="0" w:color="auto"/>
                            <w:left w:val="none" w:sz="0" w:space="0" w:color="auto"/>
                            <w:bottom w:val="none" w:sz="0" w:space="0" w:color="auto"/>
                            <w:right w:val="none" w:sz="0" w:space="0" w:color="auto"/>
                          </w:divBdr>
                        </w:div>
                      </w:divsChild>
                    </w:div>
                    <w:div w:id="544218742">
                      <w:marLeft w:val="0"/>
                      <w:marRight w:val="0"/>
                      <w:marTop w:val="0"/>
                      <w:marBottom w:val="0"/>
                      <w:divBdr>
                        <w:top w:val="none" w:sz="0" w:space="0" w:color="auto"/>
                        <w:left w:val="none" w:sz="0" w:space="0" w:color="auto"/>
                        <w:bottom w:val="none" w:sz="0" w:space="0" w:color="auto"/>
                        <w:right w:val="none" w:sz="0" w:space="0" w:color="auto"/>
                      </w:divBdr>
                      <w:divsChild>
                        <w:div w:id="368992737">
                          <w:marLeft w:val="0"/>
                          <w:marRight w:val="0"/>
                          <w:marTop w:val="0"/>
                          <w:marBottom w:val="0"/>
                          <w:divBdr>
                            <w:top w:val="none" w:sz="0" w:space="0" w:color="auto"/>
                            <w:left w:val="none" w:sz="0" w:space="0" w:color="auto"/>
                            <w:bottom w:val="none" w:sz="0" w:space="0" w:color="auto"/>
                            <w:right w:val="none" w:sz="0" w:space="0" w:color="auto"/>
                          </w:divBdr>
                        </w:div>
                      </w:divsChild>
                    </w:div>
                    <w:div w:id="1530946254">
                      <w:marLeft w:val="0"/>
                      <w:marRight w:val="0"/>
                      <w:marTop w:val="0"/>
                      <w:marBottom w:val="0"/>
                      <w:divBdr>
                        <w:top w:val="none" w:sz="0" w:space="0" w:color="auto"/>
                        <w:left w:val="none" w:sz="0" w:space="0" w:color="auto"/>
                        <w:bottom w:val="none" w:sz="0" w:space="0" w:color="auto"/>
                        <w:right w:val="none" w:sz="0" w:space="0" w:color="auto"/>
                      </w:divBdr>
                      <w:divsChild>
                        <w:div w:id="1905289025">
                          <w:marLeft w:val="0"/>
                          <w:marRight w:val="0"/>
                          <w:marTop w:val="0"/>
                          <w:marBottom w:val="0"/>
                          <w:divBdr>
                            <w:top w:val="none" w:sz="0" w:space="0" w:color="auto"/>
                            <w:left w:val="none" w:sz="0" w:space="0" w:color="auto"/>
                            <w:bottom w:val="none" w:sz="0" w:space="0" w:color="auto"/>
                            <w:right w:val="none" w:sz="0" w:space="0" w:color="auto"/>
                          </w:divBdr>
                        </w:div>
                      </w:divsChild>
                    </w:div>
                    <w:div w:id="1539469112">
                      <w:marLeft w:val="0"/>
                      <w:marRight w:val="0"/>
                      <w:marTop w:val="0"/>
                      <w:marBottom w:val="0"/>
                      <w:divBdr>
                        <w:top w:val="none" w:sz="0" w:space="0" w:color="auto"/>
                        <w:left w:val="none" w:sz="0" w:space="0" w:color="auto"/>
                        <w:bottom w:val="none" w:sz="0" w:space="0" w:color="auto"/>
                        <w:right w:val="none" w:sz="0" w:space="0" w:color="auto"/>
                      </w:divBdr>
                      <w:divsChild>
                        <w:div w:id="1031224567">
                          <w:marLeft w:val="0"/>
                          <w:marRight w:val="0"/>
                          <w:marTop w:val="0"/>
                          <w:marBottom w:val="0"/>
                          <w:divBdr>
                            <w:top w:val="none" w:sz="0" w:space="0" w:color="auto"/>
                            <w:left w:val="none" w:sz="0" w:space="0" w:color="auto"/>
                            <w:bottom w:val="none" w:sz="0" w:space="0" w:color="auto"/>
                            <w:right w:val="none" w:sz="0" w:space="0" w:color="auto"/>
                          </w:divBdr>
                        </w:div>
                      </w:divsChild>
                    </w:div>
                    <w:div w:id="1598756439">
                      <w:marLeft w:val="0"/>
                      <w:marRight w:val="0"/>
                      <w:marTop w:val="0"/>
                      <w:marBottom w:val="0"/>
                      <w:divBdr>
                        <w:top w:val="none" w:sz="0" w:space="0" w:color="auto"/>
                        <w:left w:val="none" w:sz="0" w:space="0" w:color="auto"/>
                        <w:bottom w:val="none" w:sz="0" w:space="0" w:color="auto"/>
                        <w:right w:val="none" w:sz="0" w:space="0" w:color="auto"/>
                      </w:divBdr>
                      <w:divsChild>
                        <w:div w:id="837109994">
                          <w:marLeft w:val="0"/>
                          <w:marRight w:val="0"/>
                          <w:marTop w:val="0"/>
                          <w:marBottom w:val="0"/>
                          <w:divBdr>
                            <w:top w:val="none" w:sz="0" w:space="0" w:color="auto"/>
                            <w:left w:val="none" w:sz="0" w:space="0" w:color="auto"/>
                            <w:bottom w:val="none" w:sz="0" w:space="0" w:color="auto"/>
                            <w:right w:val="none" w:sz="0" w:space="0" w:color="auto"/>
                          </w:divBdr>
                        </w:div>
                      </w:divsChild>
                    </w:div>
                    <w:div w:id="1864441998">
                      <w:marLeft w:val="0"/>
                      <w:marRight w:val="0"/>
                      <w:marTop w:val="0"/>
                      <w:marBottom w:val="0"/>
                      <w:divBdr>
                        <w:top w:val="none" w:sz="0" w:space="0" w:color="auto"/>
                        <w:left w:val="none" w:sz="0" w:space="0" w:color="auto"/>
                        <w:bottom w:val="none" w:sz="0" w:space="0" w:color="auto"/>
                        <w:right w:val="none" w:sz="0" w:space="0" w:color="auto"/>
                      </w:divBdr>
                      <w:divsChild>
                        <w:div w:id="20218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787462">
          <w:marLeft w:val="0"/>
          <w:marRight w:val="0"/>
          <w:marTop w:val="0"/>
          <w:marBottom w:val="0"/>
          <w:divBdr>
            <w:top w:val="none" w:sz="0" w:space="0" w:color="auto"/>
            <w:left w:val="none" w:sz="0" w:space="0" w:color="auto"/>
            <w:bottom w:val="none" w:sz="0" w:space="0" w:color="auto"/>
            <w:right w:val="none" w:sz="0" w:space="0" w:color="auto"/>
          </w:divBdr>
          <w:divsChild>
            <w:div w:id="148058620">
              <w:marLeft w:val="0"/>
              <w:marRight w:val="0"/>
              <w:marTop w:val="0"/>
              <w:marBottom w:val="0"/>
              <w:divBdr>
                <w:top w:val="none" w:sz="0" w:space="0" w:color="auto"/>
                <w:left w:val="none" w:sz="0" w:space="0" w:color="auto"/>
                <w:bottom w:val="none" w:sz="0" w:space="0" w:color="auto"/>
                <w:right w:val="none" w:sz="0" w:space="0" w:color="auto"/>
              </w:divBdr>
              <w:divsChild>
                <w:div w:id="779110482">
                  <w:marLeft w:val="0"/>
                  <w:marRight w:val="0"/>
                  <w:marTop w:val="0"/>
                  <w:marBottom w:val="0"/>
                  <w:divBdr>
                    <w:top w:val="none" w:sz="0" w:space="0" w:color="auto"/>
                    <w:left w:val="none" w:sz="0" w:space="0" w:color="auto"/>
                    <w:bottom w:val="none" w:sz="0" w:space="0" w:color="auto"/>
                    <w:right w:val="none" w:sz="0" w:space="0" w:color="auto"/>
                  </w:divBdr>
                  <w:divsChild>
                    <w:div w:id="32860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423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xt.health/" TargetMode="External"/><Relationship Id="rId13" Type="http://schemas.openxmlformats.org/officeDocument/2006/relationships/hyperlink" Target="mailto:BIDLS.OHCP@mass.gov" TargetMode="External"/><Relationship Id="rId3" Type="http://schemas.openxmlformats.org/officeDocument/2006/relationships/settings" Target="settings.xml"/><Relationship Id="rId7" Type="http://schemas.openxmlformats.org/officeDocument/2006/relationships/hyperlink" Target="http://bit.ly/SXT-patient-support" TargetMode="External"/><Relationship Id="rId12" Type="http://schemas.openxmlformats.org/officeDocument/2006/relationships/hyperlink" Target="mailto:BIDLS.OHCP@mass.go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sxt.health/us/pn/about" TargetMode="External"/><Relationship Id="rId11" Type="http://schemas.openxmlformats.org/officeDocument/2006/relationships/hyperlink" Target="https://www.mass.gov/partner-services-program-psp"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www.mass.gov/partner-services-program-psp" TargetMode="External"/><Relationship Id="rId4" Type="http://schemas.openxmlformats.org/officeDocument/2006/relationships/webSettings" Target="webSettings.xml"/><Relationship Id="rId9" Type="http://schemas.openxmlformats.org/officeDocument/2006/relationships/hyperlink" Target="https://www.mass.gov/partner-services-program-psp" TargetMode="External"/><Relationship Id="rId14" Type="http://schemas.openxmlformats.org/officeDocument/2006/relationships/hyperlink" Target="mailto:BIDLS.OHCP@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7</TotalTime>
  <Pages>2</Pages>
  <Words>819</Words>
  <Characters>4669</Characters>
  <Application>Microsoft Office Word</Application>
  <DocSecurity>0</DocSecurity>
  <Lines>38</Lines>
  <Paragraphs>10</Paragraphs>
  <ScaleCrop>false</ScaleCrop>
  <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SXT-Questions and Answers</dc:title>
  <dc:subject>sexually transmitted disease;partner notification</dc:subject>
  <dc:creator>MDPH</dc:creator>
  <cp:keywords>mobile messaging;Sexually transmitted disease;Massachusetts</cp:keywords>
  <dc:description/>
  <cp:lastModifiedBy>Yeaple, Jennifer (DPH)</cp:lastModifiedBy>
  <cp:revision>4</cp:revision>
  <dcterms:created xsi:type="dcterms:W3CDTF">2024-11-05T20:44:00Z</dcterms:created>
  <dcterms:modified xsi:type="dcterms:W3CDTF">2024-11-05T20:47:00Z</dcterms:modified>
</cp:coreProperties>
</file>