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30B" w:rsidRPr="00C33FCA" w:rsidRDefault="00307807" w:rsidP="00E13F50">
      <w:pPr>
        <w:jc w:val="center"/>
        <w:rPr>
          <w:rFonts w:ascii="Calibri" w:hAnsi="Calibri"/>
          <w:b/>
        </w:rPr>
      </w:pPr>
      <w:r w:rsidRPr="00C33FCA">
        <w:rPr>
          <w:rFonts w:ascii="Calibri" w:hAnsi="Calibri"/>
          <w:b/>
        </w:rPr>
        <w:t>20</w:t>
      </w:r>
      <w:r w:rsidR="00E815A7" w:rsidRPr="00C33FCA">
        <w:rPr>
          <w:rFonts w:ascii="Calibri" w:hAnsi="Calibri"/>
          <w:b/>
        </w:rPr>
        <w:t>1</w:t>
      </w:r>
      <w:r w:rsidR="00E13F50">
        <w:rPr>
          <w:rFonts w:ascii="Calibri" w:hAnsi="Calibri"/>
          <w:b/>
        </w:rPr>
        <w:t>7</w:t>
      </w:r>
      <w:r w:rsidR="00E43CA4" w:rsidRPr="00C33FCA">
        <w:rPr>
          <w:rFonts w:ascii="Calibri" w:hAnsi="Calibri"/>
          <w:b/>
        </w:rPr>
        <w:t xml:space="preserve"> Rabies Summary</w:t>
      </w:r>
    </w:p>
    <w:p w:rsidR="002B0FCE" w:rsidRDefault="00E43CA4" w:rsidP="00E13F50">
      <w:pPr>
        <w:jc w:val="center"/>
        <w:rPr>
          <w:rFonts w:ascii="Calibri" w:hAnsi="Calibri"/>
          <w:b/>
        </w:rPr>
      </w:pPr>
      <w:r w:rsidRPr="00C33FCA">
        <w:rPr>
          <w:rFonts w:ascii="Calibri" w:hAnsi="Calibri"/>
          <w:b/>
        </w:rPr>
        <w:t>Massachusetts Department of Public Health</w:t>
      </w:r>
    </w:p>
    <w:p w:rsidR="00E13F50" w:rsidRPr="00C33FCA" w:rsidRDefault="00E13F50" w:rsidP="00E13F50">
      <w:pPr>
        <w:jc w:val="center"/>
        <w:rPr>
          <w:rFonts w:ascii="Calibri" w:hAnsi="Calibri"/>
          <w:b/>
        </w:rPr>
      </w:pPr>
    </w:p>
    <w:p w:rsidR="001A4414" w:rsidRPr="00C33FCA" w:rsidRDefault="00EA55AD" w:rsidP="002B0FCE">
      <w:pPr>
        <w:jc w:val="both"/>
        <w:rPr>
          <w:rFonts w:ascii="Calibri" w:hAnsi="Calibri"/>
        </w:rPr>
      </w:pPr>
      <w:r w:rsidRPr="00C33FCA">
        <w:rPr>
          <w:rFonts w:ascii="Calibri" w:hAnsi="Calibri"/>
        </w:rPr>
        <w:t>The following summarizes</w:t>
      </w:r>
      <w:r w:rsidR="001A4414" w:rsidRPr="00C33FCA">
        <w:rPr>
          <w:rFonts w:ascii="Calibri" w:hAnsi="Calibri"/>
        </w:rPr>
        <w:t xml:space="preserve"> data collected on animal specimen</w:t>
      </w:r>
      <w:r w:rsidRPr="00C33FCA">
        <w:rPr>
          <w:rFonts w:ascii="Calibri" w:hAnsi="Calibri"/>
        </w:rPr>
        <w:t>s</w:t>
      </w:r>
      <w:r w:rsidR="00212141" w:rsidRPr="00C33FCA">
        <w:rPr>
          <w:rFonts w:ascii="Calibri" w:hAnsi="Calibri"/>
        </w:rPr>
        <w:t xml:space="preserve"> from Massachusetts</w:t>
      </w:r>
      <w:r w:rsidRPr="00C33FCA">
        <w:rPr>
          <w:rFonts w:ascii="Calibri" w:hAnsi="Calibri"/>
        </w:rPr>
        <w:t xml:space="preserve"> sent to the </w:t>
      </w:r>
      <w:r w:rsidR="00204558">
        <w:rPr>
          <w:rFonts w:ascii="Calibri" w:hAnsi="Calibri"/>
        </w:rPr>
        <w:t>Massachusetts State Public Health Lab</w:t>
      </w:r>
      <w:r w:rsidR="0069044D">
        <w:rPr>
          <w:rFonts w:ascii="Calibri" w:hAnsi="Calibri"/>
        </w:rPr>
        <w:t>oratory</w:t>
      </w:r>
      <w:r w:rsidR="00204558">
        <w:rPr>
          <w:rFonts w:ascii="Calibri" w:hAnsi="Calibri"/>
        </w:rPr>
        <w:t xml:space="preserve"> (MASPHL)</w:t>
      </w:r>
      <w:r w:rsidR="001A4414" w:rsidRPr="00C33FCA">
        <w:rPr>
          <w:rFonts w:ascii="Calibri" w:hAnsi="Calibri"/>
        </w:rPr>
        <w:t xml:space="preserve"> for rabies testing from </w:t>
      </w:r>
      <w:r w:rsidR="00562553" w:rsidRPr="00C33FCA">
        <w:rPr>
          <w:rFonts w:ascii="Calibri" w:hAnsi="Calibri"/>
        </w:rPr>
        <w:t xml:space="preserve">January </w:t>
      </w:r>
      <w:r w:rsidR="001A4414" w:rsidRPr="00C33FCA">
        <w:rPr>
          <w:rFonts w:ascii="Calibri" w:hAnsi="Calibri"/>
        </w:rPr>
        <w:t xml:space="preserve">to </w:t>
      </w:r>
      <w:r w:rsidR="00405C26" w:rsidRPr="00C33FCA">
        <w:rPr>
          <w:rFonts w:ascii="Calibri" w:hAnsi="Calibri"/>
        </w:rPr>
        <w:t>December</w:t>
      </w:r>
      <w:r w:rsidR="00307807" w:rsidRPr="00C33FCA">
        <w:rPr>
          <w:rFonts w:ascii="Calibri" w:hAnsi="Calibri"/>
        </w:rPr>
        <w:t xml:space="preserve"> 201</w:t>
      </w:r>
      <w:r w:rsidR="00E13F50">
        <w:rPr>
          <w:rFonts w:ascii="Calibri" w:hAnsi="Calibri"/>
        </w:rPr>
        <w:t>7</w:t>
      </w:r>
      <w:r w:rsidR="007A0458" w:rsidRPr="00C33FCA">
        <w:rPr>
          <w:rFonts w:ascii="Calibri" w:hAnsi="Calibri"/>
        </w:rPr>
        <w:t xml:space="preserve">. </w:t>
      </w:r>
      <w:r w:rsidR="00194091">
        <w:rPr>
          <w:rFonts w:ascii="Calibri" w:hAnsi="Calibri"/>
        </w:rPr>
        <w:t>A c</w:t>
      </w:r>
      <w:r w:rsidR="002B0FCE" w:rsidRPr="00C33FCA">
        <w:rPr>
          <w:rFonts w:ascii="Calibri" w:hAnsi="Calibri"/>
        </w:rPr>
        <w:t>umulative</w:t>
      </w:r>
      <w:r w:rsidR="001A4414" w:rsidRPr="00C33FCA">
        <w:rPr>
          <w:rFonts w:ascii="Calibri" w:hAnsi="Calibri"/>
        </w:rPr>
        <w:t xml:space="preserve"> report summarizing rabies testing from 1992-2002</w:t>
      </w:r>
      <w:r w:rsidR="004230E2" w:rsidRPr="00C33FCA">
        <w:rPr>
          <w:rFonts w:ascii="Calibri" w:hAnsi="Calibri"/>
        </w:rPr>
        <w:t>,</w:t>
      </w:r>
      <w:r w:rsidR="001A4414" w:rsidRPr="00C33FCA">
        <w:rPr>
          <w:rFonts w:ascii="Calibri" w:hAnsi="Calibri"/>
        </w:rPr>
        <w:t xml:space="preserve"> and annual reports fro</w:t>
      </w:r>
      <w:r w:rsidR="002B0FCE" w:rsidRPr="00C33FCA">
        <w:rPr>
          <w:rFonts w:ascii="Calibri" w:hAnsi="Calibri"/>
        </w:rPr>
        <w:t>m</w:t>
      </w:r>
      <w:r w:rsidR="001A4414" w:rsidRPr="00C33FCA">
        <w:rPr>
          <w:rFonts w:ascii="Calibri" w:hAnsi="Calibri"/>
        </w:rPr>
        <w:t xml:space="preserve"> 200</w:t>
      </w:r>
      <w:r w:rsidR="00F62F83" w:rsidRPr="00C33FCA">
        <w:rPr>
          <w:rFonts w:ascii="Calibri" w:hAnsi="Calibri"/>
        </w:rPr>
        <w:t>3</w:t>
      </w:r>
      <w:r w:rsidR="001A4414" w:rsidRPr="00C33FCA">
        <w:rPr>
          <w:rFonts w:ascii="Calibri" w:hAnsi="Calibri"/>
        </w:rPr>
        <w:t xml:space="preserve"> </w:t>
      </w:r>
      <w:r w:rsidR="00F62F83" w:rsidRPr="00C33FCA">
        <w:rPr>
          <w:rFonts w:ascii="Calibri" w:hAnsi="Calibri"/>
        </w:rPr>
        <w:t xml:space="preserve">to </w:t>
      </w:r>
      <w:r w:rsidR="001A4414" w:rsidRPr="00C33FCA">
        <w:rPr>
          <w:rFonts w:ascii="Calibri" w:hAnsi="Calibri"/>
        </w:rPr>
        <w:t>20</w:t>
      </w:r>
      <w:r w:rsidR="00E37ED9" w:rsidRPr="00C33FCA">
        <w:rPr>
          <w:rFonts w:ascii="Calibri" w:hAnsi="Calibri"/>
        </w:rPr>
        <w:t>1</w:t>
      </w:r>
      <w:r w:rsidR="00E13F50">
        <w:rPr>
          <w:rFonts w:ascii="Calibri" w:hAnsi="Calibri"/>
        </w:rPr>
        <w:t>6</w:t>
      </w:r>
      <w:r w:rsidR="001A4414" w:rsidRPr="00C33FCA">
        <w:rPr>
          <w:rFonts w:ascii="Calibri" w:hAnsi="Calibri"/>
        </w:rPr>
        <w:t xml:space="preserve"> are available on the MDPH website</w:t>
      </w:r>
      <w:r w:rsidR="005C04C0" w:rsidRPr="00C33FCA">
        <w:rPr>
          <w:rFonts w:ascii="Calibri" w:hAnsi="Calibri"/>
        </w:rPr>
        <w:t xml:space="preserve"> </w:t>
      </w:r>
      <w:r w:rsidR="004C42EA" w:rsidRPr="00C33FCA">
        <w:rPr>
          <w:rFonts w:ascii="Calibri" w:hAnsi="Calibri"/>
        </w:rPr>
        <w:t>at</w:t>
      </w:r>
      <w:r w:rsidR="005C04C0" w:rsidRPr="00C33FCA">
        <w:rPr>
          <w:rFonts w:ascii="Calibri" w:hAnsi="Calibri"/>
        </w:rPr>
        <w:t xml:space="preserve"> </w:t>
      </w:r>
      <w:hyperlink r:id="rId8" w:history="1">
        <w:r w:rsidR="00530B5C" w:rsidRPr="00C33FCA">
          <w:rPr>
            <w:rStyle w:val="Hyperlink"/>
            <w:rFonts w:ascii="Calibri" w:hAnsi="Calibri"/>
            <w:color w:val="3366FF"/>
          </w:rPr>
          <w:t>www.mass.gov</w:t>
        </w:r>
        <w:r w:rsidR="00530B5C" w:rsidRPr="00C33FCA">
          <w:rPr>
            <w:rStyle w:val="Hyperlink"/>
            <w:rFonts w:ascii="Calibri" w:hAnsi="Calibri"/>
            <w:color w:val="3366FF"/>
          </w:rPr>
          <w:t>/</w:t>
        </w:r>
        <w:r w:rsidR="00530B5C" w:rsidRPr="00C33FCA">
          <w:rPr>
            <w:rStyle w:val="Hyperlink"/>
            <w:rFonts w:ascii="Calibri" w:hAnsi="Calibri"/>
            <w:color w:val="3366FF"/>
          </w:rPr>
          <w:t>d</w:t>
        </w:r>
        <w:r w:rsidR="00530B5C" w:rsidRPr="00C33FCA">
          <w:rPr>
            <w:rStyle w:val="Hyperlink"/>
            <w:rFonts w:ascii="Calibri" w:hAnsi="Calibri"/>
            <w:color w:val="3366FF"/>
          </w:rPr>
          <w:t>p</w:t>
        </w:r>
        <w:r w:rsidR="00530B5C" w:rsidRPr="00C33FCA">
          <w:rPr>
            <w:rStyle w:val="Hyperlink"/>
            <w:rFonts w:ascii="Calibri" w:hAnsi="Calibri"/>
            <w:color w:val="3366FF"/>
          </w:rPr>
          <w:t>h/rabies</w:t>
        </w:r>
      </w:hyperlink>
      <w:r w:rsidR="00F12E6C" w:rsidRPr="00C33FCA">
        <w:rPr>
          <w:rFonts w:ascii="Calibri" w:hAnsi="Calibri"/>
          <w:color w:val="3366FF"/>
        </w:rPr>
        <w:t>.</w:t>
      </w:r>
    </w:p>
    <w:p w:rsidR="000C743D" w:rsidRPr="00C33FCA" w:rsidRDefault="000C743D" w:rsidP="000C743D">
      <w:pPr>
        <w:pStyle w:val="Heading4"/>
        <w:rPr>
          <w:rFonts w:ascii="Calibri" w:hAnsi="Calibri"/>
          <w:sz w:val="24"/>
          <w:szCs w:val="24"/>
          <w:u w:val="single"/>
        </w:rPr>
      </w:pPr>
      <w:r w:rsidRPr="00C33FCA">
        <w:rPr>
          <w:rFonts w:ascii="Calibri" w:hAnsi="Calibri"/>
          <w:sz w:val="24"/>
          <w:szCs w:val="24"/>
          <w:u w:val="single"/>
        </w:rPr>
        <w:t>Number of Submissions and Positive Results by Year</w:t>
      </w:r>
    </w:p>
    <w:p w:rsidR="00C62E42" w:rsidRPr="00C33FCA" w:rsidRDefault="008D538B" w:rsidP="00C62E42">
      <w:pPr>
        <w:rPr>
          <w:rFonts w:ascii="Calibri" w:hAnsi="Calibri"/>
        </w:rPr>
      </w:pPr>
      <w:r w:rsidRPr="00747F78">
        <w:rPr>
          <w:rFonts w:ascii="Calibri" w:hAnsi="Calibri"/>
          <w:bCs/>
        </w:rPr>
        <w:t xml:space="preserve">The number </w:t>
      </w:r>
      <w:r w:rsidR="0091080C" w:rsidRPr="00747F78">
        <w:rPr>
          <w:rFonts w:ascii="Calibri" w:hAnsi="Calibri"/>
          <w:bCs/>
        </w:rPr>
        <w:t xml:space="preserve">and percentage </w:t>
      </w:r>
      <w:r w:rsidR="00440340" w:rsidRPr="00747F78">
        <w:rPr>
          <w:rFonts w:ascii="Calibri" w:hAnsi="Calibri"/>
          <w:bCs/>
        </w:rPr>
        <w:t>of terrestrial animals that tested positive in 201</w:t>
      </w:r>
      <w:r w:rsidR="00747F78" w:rsidRPr="00747F78">
        <w:rPr>
          <w:rFonts w:ascii="Calibri" w:hAnsi="Calibri"/>
          <w:bCs/>
        </w:rPr>
        <w:t>7</w:t>
      </w:r>
      <w:r w:rsidR="00440340" w:rsidRPr="00747F78">
        <w:rPr>
          <w:rFonts w:ascii="Calibri" w:hAnsi="Calibri"/>
          <w:bCs/>
        </w:rPr>
        <w:t xml:space="preserve"> was </w:t>
      </w:r>
      <w:r w:rsidR="00747F78" w:rsidRPr="00747F78">
        <w:rPr>
          <w:rFonts w:ascii="Calibri" w:hAnsi="Calibri"/>
          <w:bCs/>
        </w:rPr>
        <w:t>lower</w:t>
      </w:r>
      <w:r w:rsidR="00440340" w:rsidRPr="00747F78">
        <w:rPr>
          <w:rFonts w:ascii="Calibri" w:hAnsi="Calibri"/>
          <w:bCs/>
        </w:rPr>
        <w:t xml:space="preserve"> than that of the previous year (see</w:t>
      </w:r>
      <w:r w:rsidR="00440340" w:rsidRPr="00747F78">
        <w:rPr>
          <w:rFonts w:ascii="Calibri" w:hAnsi="Calibri"/>
          <w:b/>
          <w:bCs/>
        </w:rPr>
        <w:t xml:space="preserve"> Table 1</w:t>
      </w:r>
      <w:r w:rsidR="00440340" w:rsidRPr="00747F78">
        <w:rPr>
          <w:rFonts w:ascii="Calibri" w:hAnsi="Calibri"/>
          <w:b/>
        </w:rPr>
        <w:t xml:space="preserve"> and </w:t>
      </w:r>
      <w:r w:rsidR="00440340" w:rsidRPr="00747F78">
        <w:rPr>
          <w:rFonts w:ascii="Calibri" w:hAnsi="Calibri"/>
          <w:b/>
          <w:bCs/>
        </w:rPr>
        <w:t>Figure 1</w:t>
      </w:r>
      <w:r w:rsidR="00440340" w:rsidRPr="00747F78">
        <w:rPr>
          <w:rFonts w:ascii="Calibri" w:hAnsi="Calibri"/>
          <w:bCs/>
        </w:rPr>
        <w:t xml:space="preserve">). </w:t>
      </w:r>
      <w:r w:rsidR="00770E3F" w:rsidRPr="00747F78">
        <w:rPr>
          <w:rFonts w:ascii="Calibri" w:hAnsi="Calibri"/>
          <w:bCs/>
        </w:rPr>
        <w:t xml:space="preserve"> </w:t>
      </w:r>
      <w:r w:rsidR="00440340" w:rsidRPr="00747F78">
        <w:rPr>
          <w:rFonts w:ascii="Calibri" w:hAnsi="Calibri"/>
          <w:bCs/>
        </w:rPr>
        <w:t>The number and percentage of bats that tested positive in 201</w:t>
      </w:r>
      <w:r w:rsidR="00747F78" w:rsidRPr="00747F78">
        <w:rPr>
          <w:rFonts w:ascii="Calibri" w:hAnsi="Calibri"/>
          <w:bCs/>
        </w:rPr>
        <w:t>7</w:t>
      </w:r>
      <w:r w:rsidR="00440340" w:rsidRPr="00747F78">
        <w:rPr>
          <w:rFonts w:ascii="Calibri" w:hAnsi="Calibri"/>
          <w:bCs/>
        </w:rPr>
        <w:t xml:space="preserve"> was </w:t>
      </w:r>
      <w:r w:rsidR="00747F78" w:rsidRPr="00747F78">
        <w:rPr>
          <w:rFonts w:ascii="Calibri" w:hAnsi="Calibri"/>
          <w:bCs/>
        </w:rPr>
        <w:t xml:space="preserve">slightly </w:t>
      </w:r>
      <w:r w:rsidR="00440340" w:rsidRPr="00747F78">
        <w:rPr>
          <w:rFonts w:ascii="Calibri" w:hAnsi="Calibri"/>
          <w:bCs/>
        </w:rPr>
        <w:t>less than that of the previous year.</w:t>
      </w:r>
      <w:r w:rsidR="00440340">
        <w:rPr>
          <w:rFonts w:ascii="Calibri" w:hAnsi="Calibri"/>
          <w:bCs/>
        </w:rPr>
        <w:t xml:space="preserve"> </w:t>
      </w:r>
    </w:p>
    <w:p w:rsidR="00F12E6C" w:rsidRPr="00C33FCA" w:rsidRDefault="00F12E6C" w:rsidP="000C743D">
      <w:pPr>
        <w:pStyle w:val="xl28"/>
        <w:pBdr>
          <w:left w:val="none" w:sz="0" w:space="0" w:color="auto"/>
          <w:bottom w:val="none" w:sz="0" w:space="0" w:color="auto"/>
          <w:right w:val="none" w:sz="0" w:space="0" w:color="auto"/>
        </w:pBdr>
        <w:spacing w:before="0" w:beforeAutospacing="0" w:after="0" w:afterAutospacing="0"/>
        <w:jc w:val="both"/>
        <w:rPr>
          <w:rFonts w:ascii="Calibri" w:eastAsia="Times New Roman" w:hAnsi="Calibri" w:cs="Times New Roman"/>
          <w:bCs/>
        </w:rPr>
      </w:pPr>
    </w:p>
    <w:tbl>
      <w:tblPr>
        <w:tblW w:w="7240" w:type="dxa"/>
        <w:jc w:val="center"/>
        <w:tblLook w:val="04A0" w:firstRow="1" w:lastRow="0" w:firstColumn="1" w:lastColumn="0" w:noHBand="0" w:noVBand="1"/>
      </w:tblPr>
      <w:tblGrid>
        <w:gridCol w:w="960"/>
        <w:gridCol w:w="1258"/>
        <w:gridCol w:w="1034"/>
        <w:gridCol w:w="1240"/>
        <w:gridCol w:w="1258"/>
        <w:gridCol w:w="1034"/>
        <w:gridCol w:w="1004"/>
      </w:tblGrid>
      <w:tr w:rsidR="009E5667" w:rsidRPr="00C538FC" w:rsidTr="00C538FC">
        <w:trPr>
          <w:trHeight w:val="435"/>
          <w:jc w:val="center"/>
        </w:trPr>
        <w:tc>
          <w:tcPr>
            <w:tcW w:w="724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rsidR="009E5667" w:rsidRPr="00C538FC" w:rsidRDefault="009E5667">
            <w:pPr>
              <w:jc w:val="center"/>
              <w:rPr>
                <w:rFonts w:ascii="Calibri" w:hAnsi="Calibri" w:cs="Arial"/>
                <w:b/>
                <w:bCs/>
              </w:rPr>
            </w:pPr>
            <w:bookmarkStart w:id="0" w:name="OLE_LINK1"/>
            <w:r w:rsidRPr="00C538FC">
              <w:rPr>
                <w:rFonts w:ascii="Calibri" w:hAnsi="Calibri" w:cs="Arial"/>
                <w:b/>
                <w:bCs/>
              </w:rPr>
              <w:t>Table 1. Number of Submissions, Positive Results and Percent</w:t>
            </w:r>
            <w:r w:rsidR="00C538FC" w:rsidRPr="00C538FC">
              <w:rPr>
                <w:rFonts w:ascii="Calibri" w:hAnsi="Calibri" w:cs="Arial"/>
                <w:b/>
                <w:bCs/>
              </w:rPr>
              <w:t>*</w:t>
            </w:r>
            <w:r w:rsidRPr="00C538FC">
              <w:rPr>
                <w:rFonts w:ascii="Calibri" w:hAnsi="Calibri" w:cs="Arial"/>
                <w:b/>
                <w:bCs/>
              </w:rPr>
              <w:t xml:space="preserve"> Positive by Year and Type of Animal</w:t>
            </w:r>
          </w:p>
        </w:tc>
      </w:tr>
      <w:tr w:rsidR="009E5667" w:rsidRPr="00C538FC" w:rsidTr="00C538FC">
        <w:trPr>
          <w:trHeight w:val="25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b/>
                <w:bCs/>
              </w:rPr>
            </w:pPr>
            <w:r w:rsidRPr="00C538FC">
              <w:rPr>
                <w:rFonts w:ascii="Calibri" w:hAnsi="Calibri" w:cs="Arial"/>
                <w:b/>
                <w:bCs/>
              </w:rPr>
              <w:t> </w:t>
            </w:r>
          </w:p>
        </w:tc>
        <w:tc>
          <w:tcPr>
            <w:tcW w:w="3284" w:type="dxa"/>
            <w:gridSpan w:val="3"/>
            <w:tcBorders>
              <w:top w:val="single" w:sz="8" w:space="0" w:color="auto"/>
              <w:left w:val="nil"/>
              <w:bottom w:val="single" w:sz="8" w:space="0" w:color="auto"/>
              <w:right w:val="single" w:sz="8" w:space="0" w:color="000000"/>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TERRESTRIAL ANIMALS</w:t>
            </w:r>
          </w:p>
        </w:tc>
        <w:tc>
          <w:tcPr>
            <w:tcW w:w="2996" w:type="dxa"/>
            <w:gridSpan w:val="3"/>
            <w:tcBorders>
              <w:top w:val="single" w:sz="8" w:space="0" w:color="auto"/>
              <w:left w:val="nil"/>
              <w:bottom w:val="single" w:sz="8" w:space="0" w:color="auto"/>
              <w:right w:val="single" w:sz="8" w:space="0" w:color="000000"/>
            </w:tcBorders>
            <w:shd w:val="clear" w:color="auto" w:fill="auto"/>
            <w:hideMark/>
          </w:tcPr>
          <w:p w:rsidR="009E5667" w:rsidRPr="00C538FC" w:rsidRDefault="009E5667">
            <w:pPr>
              <w:jc w:val="center"/>
              <w:rPr>
                <w:rFonts w:ascii="Calibri" w:hAnsi="Calibri" w:cs="Arial"/>
                <w:b/>
                <w:bCs/>
              </w:rPr>
            </w:pPr>
            <w:r w:rsidRPr="00C538FC">
              <w:rPr>
                <w:rFonts w:ascii="Calibri" w:hAnsi="Calibri" w:cs="Arial"/>
                <w:b/>
                <w:bCs/>
              </w:rPr>
              <w:t>BATS</w:t>
            </w:r>
          </w:p>
        </w:tc>
      </w:tr>
      <w:tr w:rsidR="009E5667" w:rsidRPr="00C538FC" w:rsidTr="00C538FC">
        <w:trPr>
          <w:trHeight w:val="600"/>
          <w:jc w:val="center"/>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Year</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Number Submitted</w:t>
            </w:r>
          </w:p>
        </w:tc>
        <w:tc>
          <w:tcPr>
            <w:tcW w:w="960"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Number Positive</w:t>
            </w:r>
          </w:p>
        </w:tc>
        <w:tc>
          <w:tcPr>
            <w:tcW w:w="1240"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 Positive</w:t>
            </w:r>
          </w:p>
        </w:tc>
        <w:tc>
          <w:tcPr>
            <w:tcW w:w="1084" w:type="dxa"/>
            <w:tcBorders>
              <w:top w:val="nil"/>
              <w:left w:val="nil"/>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Number Submitted</w:t>
            </w:r>
          </w:p>
        </w:tc>
        <w:tc>
          <w:tcPr>
            <w:tcW w:w="920" w:type="dxa"/>
            <w:tcBorders>
              <w:top w:val="nil"/>
              <w:left w:val="nil"/>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Number Positive</w:t>
            </w:r>
          </w:p>
        </w:tc>
        <w:tc>
          <w:tcPr>
            <w:tcW w:w="992" w:type="dxa"/>
            <w:tcBorders>
              <w:top w:val="nil"/>
              <w:left w:val="nil"/>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 Positive</w:t>
            </w:r>
          </w:p>
        </w:tc>
      </w:tr>
      <w:tr w:rsidR="009E5667" w:rsidRPr="00C538FC" w:rsidTr="00C538FC">
        <w:trPr>
          <w:trHeight w:val="25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1992</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bookmarkStart w:id="1" w:name="RANGE!J4"/>
            <w:r w:rsidRPr="00C538FC">
              <w:rPr>
                <w:rFonts w:ascii="Calibri" w:hAnsi="Calibri" w:cs="Arial"/>
              </w:rPr>
              <w:t>926</w:t>
            </w:r>
            <w:bookmarkEnd w:id="1"/>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42</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143</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15</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10%</w:t>
            </w:r>
          </w:p>
        </w:tc>
      </w:tr>
      <w:tr w:rsidR="009E5667" w:rsidRPr="00C538FC" w:rsidTr="00C538FC">
        <w:trPr>
          <w:trHeight w:val="28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1993</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3660</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698</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289</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22</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8%</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1994</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4119</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700</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17%</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391</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9%</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1995</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3175</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383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12%</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241</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17</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1996</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2701</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4%</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277</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12</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1997</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2771</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264</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334</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17</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1998</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3483</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480</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14%</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439</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18</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1999</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2643</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205</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8%</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595</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21</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2000</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2666</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247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611</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29</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2001</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2615</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248</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710</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32</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2002</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2505</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267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11%</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613</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36</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2003</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2358</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193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8%</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602</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23</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2004</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2842</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291</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600</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2005</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2653</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296</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11%</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708</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33</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2006</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2122</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197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756</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2007</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1988</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123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787</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29</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2008</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2298</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135</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748</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19</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2009</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1747</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106</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696</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21</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2010</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1740</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117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678</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2011</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1700</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90</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753</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20</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2012</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1594</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1196</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38</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2013</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1644</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79</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1045</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18</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58389B" w:rsidRDefault="009E5667">
            <w:pPr>
              <w:jc w:val="center"/>
              <w:rPr>
                <w:rFonts w:ascii="Calibri" w:hAnsi="Calibri" w:cs="Arial"/>
                <w:bCs/>
              </w:rPr>
            </w:pPr>
            <w:r w:rsidRPr="0058389B">
              <w:rPr>
                <w:rFonts w:ascii="Calibri" w:hAnsi="Calibri" w:cs="Arial"/>
                <w:bCs/>
              </w:rPr>
              <w:t>2014</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58389B" w:rsidRDefault="009E5667">
            <w:pPr>
              <w:jc w:val="center"/>
              <w:rPr>
                <w:rFonts w:ascii="Calibri" w:hAnsi="Calibri" w:cs="Arial"/>
                <w:bCs/>
              </w:rPr>
            </w:pPr>
            <w:r w:rsidRPr="0058389B">
              <w:rPr>
                <w:rFonts w:ascii="Calibri" w:hAnsi="Calibri" w:cs="Arial"/>
                <w:bCs/>
              </w:rPr>
              <w:t>1644</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58389B" w:rsidRDefault="009E5667">
            <w:pPr>
              <w:jc w:val="center"/>
              <w:rPr>
                <w:rFonts w:ascii="Calibri" w:hAnsi="Calibri" w:cs="Arial"/>
                <w:bCs/>
              </w:rPr>
            </w:pPr>
            <w:r w:rsidRPr="0058389B">
              <w:rPr>
                <w:rFonts w:ascii="Calibri" w:hAnsi="Calibri" w:cs="Arial"/>
                <w:bCs/>
              </w:rPr>
              <w:t>108</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58389B" w:rsidRDefault="009E5667">
            <w:pPr>
              <w:jc w:val="center"/>
              <w:rPr>
                <w:rFonts w:ascii="Calibri" w:hAnsi="Calibri" w:cs="Arial"/>
                <w:bCs/>
              </w:rPr>
            </w:pPr>
            <w:r w:rsidRPr="0058389B">
              <w:rPr>
                <w:rFonts w:ascii="Calibri" w:hAnsi="Calibri" w:cs="Arial"/>
                <w:bCs/>
              </w:rPr>
              <w:t>7%</w:t>
            </w:r>
          </w:p>
        </w:tc>
        <w:tc>
          <w:tcPr>
            <w:tcW w:w="1084" w:type="dxa"/>
            <w:tcBorders>
              <w:top w:val="nil"/>
              <w:left w:val="nil"/>
              <w:bottom w:val="single" w:sz="8" w:space="0" w:color="auto"/>
              <w:right w:val="single" w:sz="8" w:space="0" w:color="auto"/>
            </w:tcBorders>
            <w:shd w:val="clear" w:color="auto" w:fill="auto"/>
            <w:hideMark/>
          </w:tcPr>
          <w:p w:rsidR="009E5667" w:rsidRPr="0058389B" w:rsidRDefault="009E5667">
            <w:pPr>
              <w:jc w:val="center"/>
              <w:rPr>
                <w:rFonts w:ascii="Calibri" w:hAnsi="Calibri" w:cs="Arial"/>
                <w:bCs/>
              </w:rPr>
            </w:pPr>
            <w:r w:rsidRPr="0058389B">
              <w:rPr>
                <w:rFonts w:ascii="Calibri" w:hAnsi="Calibri" w:cs="Arial"/>
                <w:bCs/>
              </w:rPr>
              <w:t>1175</w:t>
            </w:r>
          </w:p>
        </w:tc>
        <w:tc>
          <w:tcPr>
            <w:tcW w:w="920" w:type="dxa"/>
            <w:tcBorders>
              <w:top w:val="nil"/>
              <w:left w:val="nil"/>
              <w:bottom w:val="single" w:sz="8" w:space="0" w:color="auto"/>
              <w:right w:val="single" w:sz="8" w:space="0" w:color="auto"/>
            </w:tcBorders>
            <w:shd w:val="clear" w:color="auto" w:fill="auto"/>
            <w:hideMark/>
          </w:tcPr>
          <w:p w:rsidR="009E5667" w:rsidRPr="0058389B" w:rsidRDefault="009E5667">
            <w:pPr>
              <w:jc w:val="center"/>
              <w:rPr>
                <w:rFonts w:ascii="Calibri" w:hAnsi="Calibri" w:cs="Arial"/>
                <w:bCs/>
              </w:rPr>
            </w:pPr>
            <w:r w:rsidRPr="0058389B">
              <w:rPr>
                <w:rFonts w:ascii="Calibri" w:hAnsi="Calibri" w:cs="Arial"/>
                <w:bCs/>
              </w:rPr>
              <w:t>40</w:t>
            </w:r>
          </w:p>
        </w:tc>
        <w:tc>
          <w:tcPr>
            <w:tcW w:w="992" w:type="dxa"/>
            <w:tcBorders>
              <w:top w:val="nil"/>
              <w:left w:val="nil"/>
              <w:bottom w:val="single" w:sz="8" w:space="0" w:color="auto"/>
              <w:right w:val="single" w:sz="8" w:space="0" w:color="auto"/>
            </w:tcBorders>
            <w:shd w:val="clear" w:color="auto" w:fill="auto"/>
            <w:hideMark/>
          </w:tcPr>
          <w:p w:rsidR="009E5667" w:rsidRPr="0058389B" w:rsidRDefault="009E5667">
            <w:pPr>
              <w:jc w:val="center"/>
              <w:rPr>
                <w:rFonts w:ascii="Calibri" w:hAnsi="Calibri" w:cs="Arial"/>
                <w:bCs/>
              </w:rPr>
            </w:pPr>
            <w:r w:rsidRPr="0058389B">
              <w:rPr>
                <w:rFonts w:ascii="Calibri" w:hAnsi="Calibri" w:cs="Arial"/>
                <w:bCs/>
              </w:rPr>
              <w:t>3%</w:t>
            </w:r>
          </w:p>
        </w:tc>
      </w:tr>
      <w:tr w:rsidR="0058389B"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tcPr>
          <w:p w:rsidR="0058389B" w:rsidRPr="005A4E64" w:rsidRDefault="0058389B">
            <w:pPr>
              <w:jc w:val="center"/>
              <w:rPr>
                <w:rFonts w:ascii="Calibri" w:hAnsi="Calibri" w:cs="Arial"/>
                <w:bCs/>
              </w:rPr>
            </w:pPr>
            <w:r w:rsidRPr="005A4E64">
              <w:rPr>
                <w:rFonts w:ascii="Calibri" w:hAnsi="Calibri" w:cs="Arial"/>
                <w:bCs/>
              </w:rPr>
              <w:t>2015</w:t>
            </w:r>
          </w:p>
        </w:tc>
        <w:tc>
          <w:tcPr>
            <w:tcW w:w="1084" w:type="dxa"/>
            <w:tcBorders>
              <w:top w:val="nil"/>
              <w:left w:val="nil"/>
              <w:bottom w:val="single" w:sz="8" w:space="0" w:color="auto"/>
              <w:right w:val="single" w:sz="8" w:space="0" w:color="auto"/>
            </w:tcBorders>
            <w:shd w:val="clear" w:color="000000" w:fill="C0C0C0"/>
            <w:vAlign w:val="bottom"/>
          </w:tcPr>
          <w:p w:rsidR="0058389B" w:rsidRPr="005A4E64" w:rsidRDefault="0058389B">
            <w:pPr>
              <w:jc w:val="center"/>
              <w:rPr>
                <w:rFonts w:ascii="Calibri" w:hAnsi="Calibri" w:cs="Arial"/>
                <w:bCs/>
              </w:rPr>
            </w:pPr>
            <w:r w:rsidRPr="005A4E64">
              <w:rPr>
                <w:rFonts w:ascii="Calibri" w:hAnsi="Calibri" w:cs="Arial"/>
                <w:bCs/>
              </w:rPr>
              <w:t>1642</w:t>
            </w:r>
          </w:p>
        </w:tc>
        <w:tc>
          <w:tcPr>
            <w:tcW w:w="960" w:type="dxa"/>
            <w:tcBorders>
              <w:top w:val="nil"/>
              <w:left w:val="nil"/>
              <w:bottom w:val="single" w:sz="8" w:space="0" w:color="auto"/>
              <w:right w:val="single" w:sz="8" w:space="0" w:color="auto"/>
            </w:tcBorders>
            <w:shd w:val="clear" w:color="000000" w:fill="C0C0C0"/>
            <w:noWrap/>
            <w:vAlign w:val="bottom"/>
          </w:tcPr>
          <w:p w:rsidR="0058389B" w:rsidRPr="005A4E64" w:rsidRDefault="0058389B">
            <w:pPr>
              <w:jc w:val="center"/>
              <w:rPr>
                <w:rFonts w:ascii="Calibri" w:hAnsi="Calibri" w:cs="Arial"/>
                <w:bCs/>
              </w:rPr>
            </w:pPr>
            <w:r w:rsidRPr="005A4E64">
              <w:rPr>
                <w:rFonts w:ascii="Calibri" w:hAnsi="Calibri" w:cs="Arial"/>
                <w:bCs/>
              </w:rPr>
              <w:t>103</w:t>
            </w:r>
          </w:p>
        </w:tc>
        <w:tc>
          <w:tcPr>
            <w:tcW w:w="1240" w:type="dxa"/>
            <w:tcBorders>
              <w:top w:val="nil"/>
              <w:left w:val="nil"/>
              <w:bottom w:val="single" w:sz="8" w:space="0" w:color="auto"/>
              <w:right w:val="single" w:sz="8" w:space="0" w:color="auto"/>
            </w:tcBorders>
            <w:shd w:val="clear" w:color="000000" w:fill="C0C0C0"/>
            <w:noWrap/>
            <w:vAlign w:val="bottom"/>
          </w:tcPr>
          <w:p w:rsidR="0058389B" w:rsidRPr="005A4E64" w:rsidRDefault="0058389B">
            <w:pPr>
              <w:jc w:val="center"/>
              <w:rPr>
                <w:rFonts w:ascii="Calibri" w:hAnsi="Calibri" w:cs="Arial"/>
                <w:bCs/>
              </w:rPr>
            </w:pPr>
            <w:r w:rsidRPr="005A4E64">
              <w:rPr>
                <w:rFonts w:ascii="Calibri" w:hAnsi="Calibri" w:cs="Arial"/>
                <w:bCs/>
              </w:rPr>
              <w:t>6%</w:t>
            </w:r>
          </w:p>
        </w:tc>
        <w:tc>
          <w:tcPr>
            <w:tcW w:w="1084" w:type="dxa"/>
            <w:tcBorders>
              <w:top w:val="nil"/>
              <w:left w:val="nil"/>
              <w:bottom w:val="single" w:sz="8" w:space="0" w:color="auto"/>
              <w:right w:val="single" w:sz="8" w:space="0" w:color="auto"/>
            </w:tcBorders>
            <w:shd w:val="clear" w:color="auto" w:fill="auto"/>
          </w:tcPr>
          <w:p w:rsidR="0058389B" w:rsidRPr="005A4E64" w:rsidRDefault="0058389B">
            <w:pPr>
              <w:jc w:val="center"/>
              <w:rPr>
                <w:rFonts w:ascii="Calibri" w:hAnsi="Calibri" w:cs="Arial"/>
                <w:bCs/>
              </w:rPr>
            </w:pPr>
            <w:r w:rsidRPr="005A4E64">
              <w:rPr>
                <w:rFonts w:ascii="Calibri" w:hAnsi="Calibri" w:cs="Arial"/>
                <w:bCs/>
              </w:rPr>
              <w:t>1073</w:t>
            </w:r>
          </w:p>
        </w:tc>
        <w:tc>
          <w:tcPr>
            <w:tcW w:w="920" w:type="dxa"/>
            <w:tcBorders>
              <w:top w:val="nil"/>
              <w:left w:val="nil"/>
              <w:bottom w:val="single" w:sz="8" w:space="0" w:color="auto"/>
              <w:right w:val="single" w:sz="8" w:space="0" w:color="auto"/>
            </w:tcBorders>
            <w:shd w:val="clear" w:color="auto" w:fill="auto"/>
          </w:tcPr>
          <w:p w:rsidR="0058389B" w:rsidRPr="005A4E64" w:rsidRDefault="0058389B">
            <w:pPr>
              <w:jc w:val="center"/>
              <w:rPr>
                <w:rFonts w:ascii="Calibri" w:hAnsi="Calibri" w:cs="Arial"/>
                <w:bCs/>
              </w:rPr>
            </w:pPr>
            <w:r w:rsidRPr="005A4E64">
              <w:rPr>
                <w:rFonts w:ascii="Calibri" w:hAnsi="Calibri" w:cs="Arial"/>
                <w:bCs/>
              </w:rPr>
              <w:t>39</w:t>
            </w:r>
          </w:p>
        </w:tc>
        <w:tc>
          <w:tcPr>
            <w:tcW w:w="992" w:type="dxa"/>
            <w:tcBorders>
              <w:top w:val="nil"/>
              <w:left w:val="nil"/>
              <w:bottom w:val="single" w:sz="8" w:space="0" w:color="auto"/>
              <w:right w:val="single" w:sz="8" w:space="0" w:color="auto"/>
            </w:tcBorders>
            <w:shd w:val="clear" w:color="auto" w:fill="auto"/>
          </w:tcPr>
          <w:p w:rsidR="0058389B" w:rsidRPr="005A4E64" w:rsidRDefault="0058389B">
            <w:pPr>
              <w:jc w:val="center"/>
              <w:rPr>
                <w:rFonts w:ascii="Calibri" w:hAnsi="Calibri" w:cs="Arial"/>
                <w:bCs/>
              </w:rPr>
            </w:pPr>
            <w:r w:rsidRPr="005A4E64">
              <w:rPr>
                <w:rFonts w:ascii="Calibri" w:hAnsi="Calibri" w:cs="Arial"/>
                <w:bCs/>
              </w:rPr>
              <w:t>4%</w:t>
            </w:r>
          </w:p>
        </w:tc>
      </w:tr>
      <w:tr w:rsidR="005A4E64"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tcPr>
          <w:p w:rsidR="005A4E64" w:rsidRPr="00373913" w:rsidRDefault="005A4E64">
            <w:pPr>
              <w:jc w:val="center"/>
              <w:rPr>
                <w:rFonts w:ascii="Calibri" w:hAnsi="Calibri" w:cs="Arial"/>
                <w:bCs/>
              </w:rPr>
            </w:pPr>
            <w:r w:rsidRPr="00373913">
              <w:rPr>
                <w:rFonts w:ascii="Calibri" w:hAnsi="Calibri" w:cs="Arial"/>
                <w:bCs/>
              </w:rPr>
              <w:t>2016</w:t>
            </w:r>
          </w:p>
        </w:tc>
        <w:tc>
          <w:tcPr>
            <w:tcW w:w="1084" w:type="dxa"/>
            <w:tcBorders>
              <w:top w:val="nil"/>
              <w:left w:val="nil"/>
              <w:bottom w:val="single" w:sz="8" w:space="0" w:color="auto"/>
              <w:right w:val="single" w:sz="8" w:space="0" w:color="auto"/>
            </w:tcBorders>
            <w:shd w:val="clear" w:color="000000" w:fill="C0C0C0"/>
            <w:vAlign w:val="bottom"/>
          </w:tcPr>
          <w:p w:rsidR="005A4E64" w:rsidRPr="00373913" w:rsidRDefault="00233450">
            <w:pPr>
              <w:jc w:val="center"/>
              <w:rPr>
                <w:rFonts w:ascii="Calibri" w:hAnsi="Calibri" w:cs="Arial"/>
                <w:bCs/>
              </w:rPr>
            </w:pPr>
            <w:r w:rsidRPr="00373913">
              <w:rPr>
                <w:rFonts w:ascii="Calibri" w:hAnsi="Calibri" w:cs="Arial"/>
                <w:bCs/>
              </w:rPr>
              <w:t>1700</w:t>
            </w:r>
          </w:p>
        </w:tc>
        <w:tc>
          <w:tcPr>
            <w:tcW w:w="960" w:type="dxa"/>
            <w:tcBorders>
              <w:top w:val="nil"/>
              <w:left w:val="nil"/>
              <w:bottom w:val="single" w:sz="8" w:space="0" w:color="auto"/>
              <w:right w:val="single" w:sz="8" w:space="0" w:color="auto"/>
            </w:tcBorders>
            <w:shd w:val="clear" w:color="000000" w:fill="C0C0C0"/>
            <w:noWrap/>
            <w:vAlign w:val="bottom"/>
          </w:tcPr>
          <w:p w:rsidR="005A4E64" w:rsidRPr="00373913" w:rsidRDefault="00233450">
            <w:pPr>
              <w:jc w:val="center"/>
              <w:rPr>
                <w:rFonts w:ascii="Calibri" w:hAnsi="Calibri" w:cs="Arial"/>
                <w:bCs/>
              </w:rPr>
            </w:pPr>
            <w:r w:rsidRPr="00373913">
              <w:rPr>
                <w:rFonts w:ascii="Calibri" w:hAnsi="Calibri" w:cs="Arial"/>
                <w:bCs/>
              </w:rPr>
              <w:t>120</w:t>
            </w:r>
          </w:p>
        </w:tc>
        <w:tc>
          <w:tcPr>
            <w:tcW w:w="1240" w:type="dxa"/>
            <w:tcBorders>
              <w:top w:val="nil"/>
              <w:left w:val="nil"/>
              <w:bottom w:val="single" w:sz="8" w:space="0" w:color="auto"/>
              <w:right w:val="single" w:sz="8" w:space="0" w:color="auto"/>
            </w:tcBorders>
            <w:shd w:val="clear" w:color="000000" w:fill="C0C0C0"/>
            <w:noWrap/>
            <w:vAlign w:val="bottom"/>
          </w:tcPr>
          <w:p w:rsidR="005A4E64" w:rsidRPr="00373913" w:rsidRDefault="00233450">
            <w:pPr>
              <w:jc w:val="center"/>
              <w:rPr>
                <w:rFonts w:ascii="Calibri" w:hAnsi="Calibri" w:cs="Arial"/>
                <w:bCs/>
              </w:rPr>
            </w:pPr>
            <w:r w:rsidRPr="00373913">
              <w:rPr>
                <w:rFonts w:ascii="Calibri" w:hAnsi="Calibri" w:cs="Arial"/>
                <w:bCs/>
              </w:rPr>
              <w:t>7%</w:t>
            </w:r>
          </w:p>
        </w:tc>
        <w:tc>
          <w:tcPr>
            <w:tcW w:w="1084" w:type="dxa"/>
            <w:tcBorders>
              <w:top w:val="nil"/>
              <w:left w:val="nil"/>
              <w:bottom w:val="single" w:sz="8" w:space="0" w:color="auto"/>
              <w:right w:val="single" w:sz="8" w:space="0" w:color="auto"/>
            </w:tcBorders>
            <w:shd w:val="clear" w:color="auto" w:fill="auto"/>
          </w:tcPr>
          <w:p w:rsidR="005A4E64" w:rsidRPr="00373913" w:rsidRDefault="00233450">
            <w:pPr>
              <w:jc w:val="center"/>
              <w:rPr>
                <w:rFonts w:ascii="Calibri" w:hAnsi="Calibri" w:cs="Arial"/>
                <w:bCs/>
              </w:rPr>
            </w:pPr>
            <w:r w:rsidRPr="00373913">
              <w:rPr>
                <w:rFonts w:ascii="Calibri" w:hAnsi="Calibri" w:cs="Arial"/>
                <w:bCs/>
              </w:rPr>
              <w:t>833</w:t>
            </w:r>
          </w:p>
        </w:tc>
        <w:tc>
          <w:tcPr>
            <w:tcW w:w="920" w:type="dxa"/>
            <w:tcBorders>
              <w:top w:val="nil"/>
              <w:left w:val="nil"/>
              <w:bottom w:val="single" w:sz="8" w:space="0" w:color="auto"/>
              <w:right w:val="single" w:sz="8" w:space="0" w:color="auto"/>
            </w:tcBorders>
            <w:shd w:val="clear" w:color="auto" w:fill="auto"/>
          </w:tcPr>
          <w:p w:rsidR="005A4E64" w:rsidRPr="00373913" w:rsidRDefault="00233450">
            <w:pPr>
              <w:jc w:val="center"/>
              <w:rPr>
                <w:rFonts w:ascii="Calibri" w:hAnsi="Calibri" w:cs="Arial"/>
                <w:bCs/>
              </w:rPr>
            </w:pPr>
            <w:r w:rsidRPr="00373913">
              <w:rPr>
                <w:rFonts w:ascii="Calibri" w:hAnsi="Calibri" w:cs="Arial"/>
                <w:bCs/>
              </w:rPr>
              <w:t>21</w:t>
            </w:r>
          </w:p>
        </w:tc>
        <w:tc>
          <w:tcPr>
            <w:tcW w:w="992" w:type="dxa"/>
            <w:tcBorders>
              <w:top w:val="nil"/>
              <w:left w:val="nil"/>
              <w:bottom w:val="single" w:sz="8" w:space="0" w:color="auto"/>
              <w:right w:val="single" w:sz="8" w:space="0" w:color="auto"/>
            </w:tcBorders>
            <w:shd w:val="clear" w:color="auto" w:fill="auto"/>
          </w:tcPr>
          <w:p w:rsidR="005A4E64" w:rsidRPr="00373913" w:rsidRDefault="00233450">
            <w:pPr>
              <w:jc w:val="center"/>
              <w:rPr>
                <w:rFonts w:ascii="Calibri" w:hAnsi="Calibri" w:cs="Arial"/>
                <w:bCs/>
              </w:rPr>
            </w:pPr>
            <w:r w:rsidRPr="00373913">
              <w:rPr>
                <w:rFonts w:ascii="Calibri" w:hAnsi="Calibri" w:cs="Arial"/>
                <w:bCs/>
              </w:rPr>
              <w:t>3%</w:t>
            </w:r>
          </w:p>
        </w:tc>
      </w:tr>
      <w:tr w:rsidR="00E13F50"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tcPr>
          <w:p w:rsidR="00E13F50" w:rsidRDefault="00373913">
            <w:pPr>
              <w:jc w:val="center"/>
              <w:rPr>
                <w:rFonts w:ascii="Calibri" w:hAnsi="Calibri" w:cs="Arial"/>
                <w:b/>
                <w:bCs/>
              </w:rPr>
            </w:pPr>
            <w:r>
              <w:rPr>
                <w:rFonts w:ascii="Calibri" w:hAnsi="Calibri" w:cs="Arial"/>
                <w:b/>
                <w:bCs/>
              </w:rPr>
              <w:t>2017</w:t>
            </w:r>
          </w:p>
        </w:tc>
        <w:tc>
          <w:tcPr>
            <w:tcW w:w="1084" w:type="dxa"/>
            <w:tcBorders>
              <w:top w:val="nil"/>
              <w:left w:val="nil"/>
              <w:bottom w:val="single" w:sz="8" w:space="0" w:color="auto"/>
              <w:right w:val="single" w:sz="8" w:space="0" w:color="auto"/>
            </w:tcBorders>
            <w:shd w:val="clear" w:color="000000" w:fill="C0C0C0"/>
            <w:vAlign w:val="bottom"/>
          </w:tcPr>
          <w:p w:rsidR="00E13F50" w:rsidRDefault="00373913">
            <w:pPr>
              <w:jc w:val="center"/>
              <w:rPr>
                <w:rFonts w:ascii="Calibri" w:hAnsi="Calibri" w:cs="Arial"/>
                <w:b/>
                <w:bCs/>
              </w:rPr>
            </w:pPr>
            <w:r>
              <w:rPr>
                <w:rFonts w:ascii="Calibri" w:hAnsi="Calibri" w:cs="Arial"/>
                <w:b/>
                <w:bCs/>
              </w:rPr>
              <w:t>1533</w:t>
            </w:r>
          </w:p>
        </w:tc>
        <w:tc>
          <w:tcPr>
            <w:tcW w:w="960" w:type="dxa"/>
            <w:tcBorders>
              <w:top w:val="nil"/>
              <w:left w:val="nil"/>
              <w:bottom w:val="single" w:sz="8" w:space="0" w:color="auto"/>
              <w:right w:val="single" w:sz="8" w:space="0" w:color="auto"/>
            </w:tcBorders>
            <w:shd w:val="clear" w:color="000000" w:fill="C0C0C0"/>
            <w:noWrap/>
            <w:vAlign w:val="bottom"/>
          </w:tcPr>
          <w:p w:rsidR="00E13F50" w:rsidRDefault="00373913">
            <w:pPr>
              <w:jc w:val="center"/>
              <w:rPr>
                <w:rFonts w:ascii="Calibri" w:hAnsi="Calibri" w:cs="Arial"/>
                <w:b/>
                <w:bCs/>
              </w:rPr>
            </w:pPr>
            <w:r>
              <w:rPr>
                <w:rFonts w:ascii="Calibri" w:hAnsi="Calibri" w:cs="Arial"/>
                <w:b/>
                <w:bCs/>
              </w:rPr>
              <w:t>76</w:t>
            </w:r>
          </w:p>
        </w:tc>
        <w:tc>
          <w:tcPr>
            <w:tcW w:w="1240" w:type="dxa"/>
            <w:tcBorders>
              <w:top w:val="nil"/>
              <w:left w:val="nil"/>
              <w:bottom w:val="single" w:sz="8" w:space="0" w:color="auto"/>
              <w:right w:val="single" w:sz="8" w:space="0" w:color="auto"/>
            </w:tcBorders>
            <w:shd w:val="clear" w:color="000000" w:fill="C0C0C0"/>
            <w:noWrap/>
            <w:vAlign w:val="bottom"/>
          </w:tcPr>
          <w:p w:rsidR="00E13F50" w:rsidRDefault="00373913">
            <w:pPr>
              <w:jc w:val="center"/>
              <w:rPr>
                <w:rFonts w:ascii="Calibri" w:hAnsi="Calibri" w:cs="Arial"/>
                <w:b/>
                <w:bCs/>
              </w:rPr>
            </w:pPr>
            <w:r>
              <w:rPr>
                <w:rFonts w:ascii="Calibri" w:hAnsi="Calibri" w:cs="Arial"/>
                <w:b/>
                <w:bCs/>
              </w:rPr>
              <w:t>5%</w:t>
            </w:r>
          </w:p>
        </w:tc>
        <w:tc>
          <w:tcPr>
            <w:tcW w:w="1084" w:type="dxa"/>
            <w:tcBorders>
              <w:top w:val="nil"/>
              <w:left w:val="nil"/>
              <w:bottom w:val="single" w:sz="8" w:space="0" w:color="auto"/>
              <w:right w:val="single" w:sz="8" w:space="0" w:color="auto"/>
            </w:tcBorders>
            <w:shd w:val="clear" w:color="auto" w:fill="auto"/>
          </w:tcPr>
          <w:p w:rsidR="00E13F50" w:rsidRDefault="00373913">
            <w:pPr>
              <w:jc w:val="center"/>
              <w:rPr>
                <w:rFonts w:ascii="Calibri" w:hAnsi="Calibri" w:cs="Arial"/>
                <w:b/>
                <w:bCs/>
              </w:rPr>
            </w:pPr>
            <w:r>
              <w:rPr>
                <w:rFonts w:ascii="Calibri" w:hAnsi="Calibri" w:cs="Arial"/>
                <w:b/>
                <w:bCs/>
              </w:rPr>
              <w:t>920</w:t>
            </w:r>
          </w:p>
        </w:tc>
        <w:tc>
          <w:tcPr>
            <w:tcW w:w="920" w:type="dxa"/>
            <w:tcBorders>
              <w:top w:val="nil"/>
              <w:left w:val="nil"/>
              <w:bottom w:val="single" w:sz="8" w:space="0" w:color="auto"/>
              <w:right w:val="single" w:sz="8" w:space="0" w:color="auto"/>
            </w:tcBorders>
            <w:shd w:val="clear" w:color="auto" w:fill="auto"/>
          </w:tcPr>
          <w:p w:rsidR="00E13F50" w:rsidRDefault="00373913">
            <w:pPr>
              <w:jc w:val="center"/>
              <w:rPr>
                <w:rFonts w:ascii="Calibri" w:hAnsi="Calibri" w:cs="Arial"/>
                <w:b/>
                <w:bCs/>
              </w:rPr>
            </w:pPr>
            <w:r>
              <w:rPr>
                <w:rFonts w:ascii="Calibri" w:hAnsi="Calibri" w:cs="Arial"/>
                <w:b/>
                <w:bCs/>
              </w:rPr>
              <w:t>20</w:t>
            </w:r>
          </w:p>
        </w:tc>
        <w:tc>
          <w:tcPr>
            <w:tcW w:w="992" w:type="dxa"/>
            <w:tcBorders>
              <w:top w:val="nil"/>
              <w:left w:val="nil"/>
              <w:bottom w:val="single" w:sz="8" w:space="0" w:color="auto"/>
              <w:right w:val="single" w:sz="8" w:space="0" w:color="auto"/>
            </w:tcBorders>
            <w:shd w:val="clear" w:color="auto" w:fill="auto"/>
          </w:tcPr>
          <w:p w:rsidR="00E13F50" w:rsidRDefault="00373913">
            <w:pPr>
              <w:jc w:val="center"/>
              <w:rPr>
                <w:rFonts w:ascii="Calibri" w:hAnsi="Calibri" w:cs="Arial"/>
                <w:b/>
                <w:bCs/>
              </w:rPr>
            </w:pPr>
            <w:r>
              <w:rPr>
                <w:rFonts w:ascii="Calibri" w:hAnsi="Calibri" w:cs="Arial"/>
                <w:b/>
                <w:bCs/>
              </w:rPr>
              <w:t>2%</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b/>
                <w:bCs/>
              </w:rPr>
            </w:pPr>
            <w:r w:rsidRPr="00C538FC">
              <w:rPr>
                <w:rFonts w:ascii="Calibri" w:hAnsi="Calibri" w:cs="Arial"/>
                <w:b/>
                <w:bCs/>
              </w:rPr>
              <w:t>Total</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373913">
            <w:pPr>
              <w:jc w:val="center"/>
              <w:rPr>
                <w:rFonts w:ascii="Calibri" w:hAnsi="Calibri" w:cs="Arial"/>
                <w:b/>
                <w:bCs/>
              </w:rPr>
            </w:pPr>
            <w:r>
              <w:rPr>
                <w:rFonts w:ascii="Calibri" w:hAnsi="Calibri" w:cs="Arial"/>
                <w:b/>
                <w:bCs/>
              </w:rPr>
              <w:t>60,469</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373913" w:rsidP="00826BEF">
            <w:pPr>
              <w:jc w:val="center"/>
              <w:rPr>
                <w:rFonts w:ascii="Calibri" w:hAnsi="Calibri" w:cs="Arial"/>
                <w:b/>
                <w:bCs/>
              </w:rPr>
            </w:pPr>
            <w:r>
              <w:rPr>
                <w:rFonts w:ascii="Calibri" w:hAnsi="Calibri" w:cs="Arial"/>
                <w:b/>
                <w:bCs/>
              </w:rPr>
              <w:t>5,744</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b/>
                <w:bCs/>
              </w:rPr>
            </w:pPr>
            <w:r w:rsidRPr="00C538FC">
              <w:rPr>
                <w:rFonts w:ascii="Calibri" w:hAnsi="Calibri" w:cs="Arial"/>
                <w:b/>
                <w:bCs/>
              </w:rPr>
              <w:t>10%</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373913">
            <w:pPr>
              <w:jc w:val="center"/>
              <w:rPr>
                <w:rFonts w:ascii="Calibri" w:hAnsi="Calibri" w:cs="Arial"/>
                <w:b/>
                <w:bCs/>
              </w:rPr>
            </w:pPr>
            <w:r>
              <w:rPr>
                <w:rFonts w:ascii="Calibri" w:hAnsi="Calibri" w:cs="Arial"/>
                <w:b/>
                <w:bCs/>
              </w:rPr>
              <w:t>17,213</w:t>
            </w:r>
          </w:p>
        </w:tc>
        <w:tc>
          <w:tcPr>
            <w:tcW w:w="920" w:type="dxa"/>
            <w:tcBorders>
              <w:top w:val="nil"/>
              <w:left w:val="nil"/>
              <w:bottom w:val="single" w:sz="8" w:space="0" w:color="auto"/>
              <w:right w:val="single" w:sz="8" w:space="0" w:color="auto"/>
            </w:tcBorders>
            <w:shd w:val="clear" w:color="auto" w:fill="auto"/>
            <w:hideMark/>
          </w:tcPr>
          <w:p w:rsidR="009E5667" w:rsidRPr="00C538FC" w:rsidRDefault="00826BEF" w:rsidP="00373913">
            <w:pPr>
              <w:jc w:val="center"/>
              <w:rPr>
                <w:rFonts w:ascii="Calibri" w:hAnsi="Calibri" w:cs="Arial"/>
                <w:b/>
                <w:bCs/>
              </w:rPr>
            </w:pPr>
            <w:r>
              <w:rPr>
                <w:rFonts w:ascii="Calibri" w:hAnsi="Calibri" w:cs="Arial"/>
                <w:b/>
                <w:bCs/>
              </w:rPr>
              <w:t>6</w:t>
            </w:r>
            <w:r w:rsidR="00373913">
              <w:rPr>
                <w:rFonts w:ascii="Calibri" w:hAnsi="Calibri" w:cs="Arial"/>
                <w:b/>
                <w:bCs/>
              </w:rPr>
              <w:t>56</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b/>
                <w:bCs/>
              </w:rPr>
            </w:pPr>
            <w:r w:rsidRPr="00C538FC">
              <w:rPr>
                <w:rFonts w:ascii="Calibri" w:hAnsi="Calibri" w:cs="Arial"/>
                <w:b/>
                <w:bCs/>
              </w:rPr>
              <w:t>4%</w:t>
            </w:r>
          </w:p>
        </w:tc>
      </w:tr>
    </w:tbl>
    <w:bookmarkEnd w:id="0"/>
    <w:p w:rsidR="003628BE" w:rsidRDefault="00DD6F46" w:rsidP="000C6E6F">
      <w:pPr>
        <w:pStyle w:val="xl28"/>
        <w:pBdr>
          <w:left w:val="none" w:sz="0" w:space="0" w:color="auto"/>
          <w:bottom w:val="none" w:sz="0" w:space="0" w:color="auto"/>
          <w:right w:val="none" w:sz="0" w:space="0" w:color="auto"/>
        </w:pBdr>
        <w:spacing w:before="0" w:beforeAutospacing="0" w:after="0" w:afterAutospacing="0"/>
        <w:jc w:val="both"/>
        <w:rPr>
          <w:noProof/>
        </w:rPr>
      </w:pPr>
      <w:r w:rsidRPr="00C33FCA">
        <w:rPr>
          <w:rFonts w:ascii="Calibri" w:eastAsia="Times New Roman" w:hAnsi="Calibri" w:cs="Times New Roman"/>
          <w:bCs/>
        </w:rPr>
        <w:tab/>
      </w:r>
      <w:r w:rsidRPr="00C33FCA">
        <w:rPr>
          <w:rFonts w:ascii="Calibri" w:eastAsia="Times New Roman" w:hAnsi="Calibri" w:cs="Times New Roman"/>
          <w:bCs/>
        </w:rPr>
        <w:tab/>
      </w:r>
      <w:r w:rsidR="00A434F3" w:rsidRPr="00C33FCA">
        <w:rPr>
          <w:rFonts w:ascii="Calibri" w:eastAsia="Times New Roman" w:hAnsi="Calibri" w:cs="Times New Roman"/>
          <w:bCs/>
        </w:rPr>
        <w:t xml:space="preserve">  </w:t>
      </w:r>
      <w:r w:rsidR="00C538FC">
        <w:rPr>
          <w:rFonts w:ascii="Calibri" w:eastAsia="Times New Roman" w:hAnsi="Calibri" w:cs="Times New Roman"/>
          <w:bCs/>
        </w:rPr>
        <w:t xml:space="preserve"> </w:t>
      </w:r>
      <w:r w:rsidRPr="00C33FCA">
        <w:rPr>
          <w:rFonts w:ascii="Calibri" w:eastAsia="Times New Roman" w:hAnsi="Calibri" w:cs="Times New Roman"/>
          <w:bCs/>
          <w:sz w:val="20"/>
          <w:szCs w:val="20"/>
        </w:rPr>
        <w:t>* Calculated to nearest percent</w:t>
      </w:r>
    </w:p>
    <w:p w:rsidR="003628BE" w:rsidRDefault="009729DA" w:rsidP="003628BE">
      <w:pPr>
        <w:jc w:val="center"/>
        <w:rPr>
          <w:noProof/>
        </w:rPr>
      </w:pPr>
      <w:r w:rsidRPr="00A54CC5">
        <w:rPr>
          <w:noProof/>
        </w:rPr>
        <w:lastRenderedPageBreak/>
        <w:drawing>
          <wp:inline distT="0" distB="0" distL="0" distR="0">
            <wp:extent cx="6644640" cy="374142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5209" w:rsidRDefault="00725209" w:rsidP="00E43CA4">
      <w:pPr>
        <w:jc w:val="both"/>
        <w:rPr>
          <w:rFonts w:ascii="Calibri" w:hAnsi="Calibri"/>
          <w:b/>
          <w:u w:val="single"/>
        </w:rPr>
      </w:pPr>
    </w:p>
    <w:p w:rsidR="00B11941" w:rsidRPr="00CC5D4A" w:rsidRDefault="00B11941" w:rsidP="00E43CA4">
      <w:pPr>
        <w:jc w:val="both"/>
        <w:rPr>
          <w:rFonts w:ascii="Calibri" w:hAnsi="Calibri"/>
          <w:b/>
          <w:u w:val="single"/>
        </w:rPr>
      </w:pPr>
      <w:r w:rsidRPr="00CC5D4A">
        <w:rPr>
          <w:rFonts w:ascii="Calibri" w:hAnsi="Calibri"/>
          <w:b/>
          <w:u w:val="single"/>
        </w:rPr>
        <w:t xml:space="preserve">Notable </w:t>
      </w:r>
      <w:r w:rsidR="00955412" w:rsidRPr="00CC5D4A">
        <w:rPr>
          <w:rFonts w:ascii="Calibri" w:hAnsi="Calibri"/>
          <w:b/>
          <w:u w:val="single"/>
        </w:rPr>
        <w:t>Rabies Situations</w:t>
      </w:r>
    </w:p>
    <w:p w:rsidR="008A2D10" w:rsidRPr="00CC5D4A" w:rsidRDefault="00A27234" w:rsidP="00BC47D3">
      <w:pPr>
        <w:rPr>
          <w:rFonts w:ascii="Calibri" w:hAnsi="Calibri"/>
        </w:rPr>
      </w:pPr>
      <w:r w:rsidRPr="00CC5D4A">
        <w:rPr>
          <w:rFonts w:ascii="Calibri" w:hAnsi="Calibri"/>
        </w:rPr>
        <w:t>In 201</w:t>
      </w:r>
      <w:r w:rsidR="00EE4091" w:rsidRPr="00CC5D4A">
        <w:rPr>
          <w:rFonts w:ascii="Calibri" w:hAnsi="Calibri"/>
        </w:rPr>
        <w:t>7</w:t>
      </w:r>
      <w:r w:rsidR="00793AAE" w:rsidRPr="00CC5D4A">
        <w:rPr>
          <w:rFonts w:ascii="Calibri" w:hAnsi="Calibri"/>
        </w:rPr>
        <w:t>, 2,</w:t>
      </w:r>
      <w:r w:rsidR="00EE4091" w:rsidRPr="00CC5D4A">
        <w:rPr>
          <w:rFonts w:ascii="Calibri" w:hAnsi="Calibri"/>
        </w:rPr>
        <w:t>453</w:t>
      </w:r>
      <w:r w:rsidRPr="00CC5D4A">
        <w:rPr>
          <w:rFonts w:ascii="Calibri" w:hAnsi="Calibri"/>
        </w:rPr>
        <w:t xml:space="preserve"> specimens were submitted to </w:t>
      </w:r>
      <w:r w:rsidR="00204558" w:rsidRPr="00CC5D4A">
        <w:rPr>
          <w:rFonts w:ascii="Calibri" w:hAnsi="Calibri"/>
        </w:rPr>
        <w:t>the MASPHL</w:t>
      </w:r>
      <w:r w:rsidRPr="00CC5D4A">
        <w:rPr>
          <w:rFonts w:ascii="Calibri" w:hAnsi="Calibri"/>
        </w:rPr>
        <w:t xml:space="preserve"> for rabies </w:t>
      </w:r>
      <w:r w:rsidR="00EF7C07" w:rsidRPr="00CC5D4A">
        <w:rPr>
          <w:rFonts w:ascii="Calibri" w:hAnsi="Calibri"/>
        </w:rPr>
        <w:t>testing. Of</w:t>
      </w:r>
      <w:r w:rsidR="00793AAE" w:rsidRPr="00CC5D4A">
        <w:rPr>
          <w:rFonts w:ascii="Calibri" w:hAnsi="Calibri"/>
        </w:rPr>
        <w:t xml:space="preserve"> these specimens, </w:t>
      </w:r>
      <w:r w:rsidR="00EE4091" w:rsidRPr="00CC5D4A">
        <w:rPr>
          <w:rFonts w:ascii="Calibri" w:hAnsi="Calibri"/>
        </w:rPr>
        <w:t xml:space="preserve">96 </w:t>
      </w:r>
      <w:r w:rsidR="00793AAE" w:rsidRPr="00CC5D4A">
        <w:rPr>
          <w:rFonts w:ascii="Calibri" w:hAnsi="Calibri"/>
        </w:rPr>
        <w:t>(</w:t>
      </w:r>
      <w:r w:rsidR="00EE4091" w:rsidRPr="00CC5D4A">
        <w:rPr>
          <w:rFonts w:ascii="Calibri" w:hAnsi="Calibri"/>
        </w:rPr>
        <w:t>4</w:t>
      </w:r>
      <w:r w:rsidRPr="00CC5D4A">
        <w:rPr>
          <w:rFonts w:ascii="Calibri" w:hAnsi="Calibri"/>
        </w:rPr>
        <w:t>%) teste</w:t>
      </w:r>
      <w:r w:rsidR="00F40EB6" w:rsidRPr="00CC5D4A">
        <w:rPr>
          <w:rFonts w:ascii="Calibri" w:hAnsi="Calibri"/>
        </w:rPr>
        <w:t>d positive for rabies</w:t>
      </w:r>
      <w:r w:rsidRPr="00CC5D4A">
        <w:rPr>
          <w:rFonts w:ascii="Calibri" w:hAnsi="Calibri"/>
        </w:rPr>
        <w:t>.</w:t>
      </w:r>
      <w:r w:rsidR="00F40EB6" w:rsidRPr="00CC5D4A">
        <w:rPr>
          <w:rFonts w:ascii="Calibri" w:hAnsi="Calibri"/>
        </w:rPr>
        <w:t xml:space="preserve"> </w:t>
      </w:r>
      <w:r w:rsidR="00F40EB6" w:rsidRPr="00CC5D4A">
        <w:rPr>
          <w:rFonts w:ascii="Calibri" w:hAnsi="Calibri"/>
          <w:b/>
        </w:rPr>
        <w:t>Table 2</w:t>
      </w:r>
      <w:r w:rsidR="00F40EB6" w:rsidRPr="00CC5D4A">
        <w:rPr>
          <w:rFonts w:ascii="Calibri" w:hAnsi="Calibri"/>
        </w:rPr>
        <w:t xml:space="preserve"> shows data on positive animals for 201</w:t>
      </w:r>
      <w:r w:rsidR="00EE4091" w:rsidRPr="00CC5D4A">
        <w:rPr>
          <w:rFonts w:ascii="Calibri" w:hAnsi="Calibri"/>
        </w:rPr>
        <w:t>7</w:t>
      </w:r>
      <w:r w:rsidR="00F40EB6" w:rsidRPr="00CC5D4A">
        <w:rPr>
          <w:rFonts w:ascii="Calibri" w:hAnsi="Calibri"/>
        </w:rPr>
        <w:t>.</w:t>
      </w:r>
      <w:r w:rsidRPr="00CC5D4A">
        <w:rPr>
          <w:rFonts w:ascii="Calibri" w:hAnsi="Calibri"/>
        </w:rPr>
        <w:t xml:space="preserve"> </w:t>
      </w:r>
    </w:p>
    <w:p w:rsidR="00747F78" w:rsidRPr="00CC5D4A" w:rsidRDefault="00747F78" w:rsidP="00BC47D3">
      <w:pPr>
        <w:rPr>
          <w:rFonts w:ascii="Calibri" w:hAnsi="Calibri"/>
        </w:rPr>
      </w:pPr>
    </w:p>
    <w:p w:rsidR="00AF0508" w:rsidRDefault="00747F78" w:rsidP="00747F78">
      <w:pPr>
        <w:rPr>
          <w:rFonts w:ascii="Calibri" w:hAnsi="Calibri"/>
        </w:rPr>
      </w:pPr>
      <w:r w:rsidRPr="00CC5D4A">
        <w:rPr>
          <w:rFonts w:ascii="Calibri" w:hAnsi="Calibri"/>
        </w:rPr>
        <w:t xml:space="preserve">In Worcester County, a </w:t>
      </w:r>
      <w:r w:rsidR="009729DA" w:rsidRPr="00CC5D4A">
        <w:rPr>
          <w:rFonts w:ascii="Calibri" w:hAnsi="Calibri"/>
        </w:rPr>
        <w:t>6-month-old</w:t>
      </w:r>
      <w:r w:rsidRPr="00CC5D4A">
        <w:rPr>
          <w:rFonts w:ascii="Calibri" w:hAnsi="Calibri"/>
        </w:rPr>
        <w:t xml:space="preserve">, unvaccinated, indoor cat developed neurologic symptoms including seizures, hypersalivation, and aggression.  The kitten was euthanized and tested positive for rabies.   The owner reported fostering the kitten, along with the kitten’s mother, for a four month period prior to the </w:t>
      </w:r>
      <w:r w:rsidR="00AF0508">
        <w:rPr>
          <w:rFonts w:ascii="Calibri" w:hAnsi="Calibri"/>
        </w:rPr>
        <w:t>onset of symptoms;</w:t>
      </w:r>
      <w:r w:rsidRPr="00CC5D4A">
        <w:rPr>
          <w:rFonts w:ascii="Calibri" w:hAnsi="Calibri"/>
        </w:rPr>
        <w:t xml:space="preserve"> three other kittens from the same mother </w:t>
      </w:r>
      <w:r w:rsidR="00AF0508">
        <w:rPr>
          <w:rFonts w:ascii="Calibri" w:hAnsi="Calibri"/>
        </w:rPr>
        <w:t>had been adopted into other homes.</w:t>
      </w:r>
      <w:r w:rsidRPr="00CC5D4A">
        <w:rPr>
          <w:rFonts w:ascii="Calibri" w:hAnsi="Calibri"/>
        </w:rPr>
        <w:t xml:space="preserve">  The owner reported </w:t>
      </w:r>
      <w:r w:rsidR="00AF0508">
        <w:rPr>
          <w:rFonts w:ascii="Calibri" w:hAnsi="Calibri"/>
        </w:rPr>
        <w:t>obtaining</w:t>
      </w:r>
      <w:r w:rsidRPr="00CC5D4A">
        <w:rPr>
          <w:rFonts w:ascii="Calibri" w:hAnsi="Calibri"/>
        </w:rPr>
        <w:t xml:space="preserve"> the mother cat and kitten from </w:t>
      </w:r>
      <w:r w:rsidR="00AF0508">
        <w:rPr>
          <w:rFonts w:ascii="Calibri" w:hAnsi="Calibri"/>
        </w:rPr>
        <w:t>a local rescue organization</w:t>
      </w:r>
      <w:r w:rsidRPr="00CC5D4A">
        <w:rPr>
          <w:rFonts w:ascii="Calibri" w:hAnsi="Calibri"/>
        </w:rPr>
        <w:t xml:space="preserve">.  </w:t>
      </w:r>
      <w:r w:rsidR="00AF0508">
        <w:rPr>
          <w:rFonts w:ascii="Calibri" w:hAnsi="Calibri"/>
        </w:rPr>
        <w:t>As a foster family, they reported they had received no education about rabies or any other potential risks associated with fostering animals.</w:t>
      </w:r>
    </w:p>
    <w:p w:rsidR="00AF0508" w:rsidRPr="00CC5D4A" w:rsidRDefault="00AF0508" w:rsidP="00747F78">
      <w:pPr>
        <w:rPr>
          <w:rFonts w:ascii="Calibri" w:hAnsi="Calibri"/>
        </w:rPr>
      </w:pPr>
    </w:p>
    <w:p w:rsidR="00AF0508" w:rsidRDefault="00AF0508" w:rsidP="00AF0508">
      <w:pPr>
        <w:rPr>
          <w:rFonts w:ascii="Calibri" w:hAnsi="Calibri"/>
        </w:rPr>
      </w:pPr>
      <w:r w:rsidRPr="00CC5D4A">
        <w:rPr>
          <w:rFonts w:ascii="Calibri" w:hAnsi="Calibri"/>
        </w:rPr>
        <w:t xml:space="preserve">The owners and their young child had been exposed to the </w:t>
      </w:r>
      <w:r>
        <w:rPr>
          <w:rFonts w:ascii="Calibri" w:hAnsi="Calibri"/>
        </w:rPr>
        <w:t xml:space="preserve">rabid </w:t>
      </w:r>
      <w:r w:rsidRPr="00CC5D4A">
        <w:rPr>
          <w:rFonts w:ascii="Calibri" w:hAnsi="Calibri"/>
        </w:rPr>
        <w:t>cat and significant exposure could not be ruled out.  The owners and the child</w:t>
      </w:r>
      <w:r>
        <w:rPr>
          <w:rFonts w:ascii="Calibri" w:hAnsi="Calibri"/>
        </w:rPr>
        <w:t>, who had had close contact with the cat in the home,</w:t>
      </w:r>
      <w:r w:rsidRPr="00CC5D4A">
        <w:rPr>
          <w:rFonts w:ascii="Calibri" w:hAnsi="Calibri"/>
        </w:rPr>
        <w:t xml:space="preserve"> received post-exposures rabies prophylaxis.  Two employees at the veterinary clinic were identified as having cared for the cat before it was euthanized</w:t>
      </w:r>
      <w:r>
        <w:rPr>
          <w:rFonts w:ascii="Calibri" w:hAnsi="Calibri"/>
        </w:rPr>
        <w:t xml:space="preserve"> and could not rule out potential exposure; they also received PEP</w:t>
      </w:r>
      <w:r w:rsidRPr="00CC5D4A">
        <w:rPr>
          <w:rFonts w:ascii="Calibri" w:hAnsi="Calibri"/>
        </w:rPr>
        <w:t xml:space="preserve">.  </w:t>
      </w:r>
    </w:p>
    <w:p w:rsidR="00AF0508" w:rsidRDefault="00AF0508" w:rsidP="00AF0508">
      <w:pPr>
        <w:rPr>
          <w:rFonts w:ascii="Calibri" w:hAnsi="Calibri"/>
        </w:rPr>
      </w:pPr>
    </w:p>
    <w:p w:rsidR="00AF0508" w:rsidRDefault="00AF0508" w:rsidP="00AF0508">
      <w:pPr>
        <w:rPr>
          <w:rFonts w:ascii="Calibri" w:hAnsi="Calibri"/>
        </w:rPr>
      </w:pPr>
      <w:r>
        <w:rPr>
          <w:rFonts w:ascii="Calibri" w:hAnsi="Calibri"/>
        </w:rPr>
        <w:t xml:space="preserve">In the United States, a combination of stray dog control programs and required vaccination have significantly reduced the incidence of rabies in domestic animals. However, in places with a terrestrial strain of the virus, spillover into domestic animals continues to occur; unvaccinated cats with outdoor lifestyles are at particular risk, as are the people who have contact with them. </w:t>
      </w:r>
      <w:r w:rsidR="009729DA">
        <w:rPr>
          <w:rFonts w:ascii="Calibri" w:hAnsi="Calibri"/>
        </w:rPr>
        <w:t>Animal rescue organizations should provide education about rabies and other zoonotic diseases to foster families. Fortunately, in this case, t</w:t>
      </w:r>
      <w:r w:rsidRPr="00CC5D4A">
        <w:rPr>
          <w:rFonts w:ascii="Calibri" w:hAnsi="Calibri"/>
        </w:rPr>
        <w:t>he Department of Agricultural Resources follow</w:t>
      </w:r>
      <w:r>
        <w:rPr>
          <w:rFonts w:ascii="Calibri" w:hAnsi="Calibri"/>
        </w:rPr>
        <w:t>ed</w:t>
      </w:r>
      <w:r w:rsidRPr="00CC5D4A">
        <w:rPr>
          <w:rFonts w:ascii="Calibri" w:hAnsi="Calibri"/>
        </w:rPr>
        <w:t xml:space="preserve"> up on the status of the </w:t>
      </w:r>
      <w:r>
        <w:rPr>
          <w:rFonts w:ascii="Calibri" w:hAnsi="Calibri"/>
        </w:rPr>
        <w:t>litter mates</w:t>
      </w:r>
      <w:r w:rsidRPr="00CC5D4A">
        <w:rPr>
          <w:rFonts w:ascii="Calibri" w:hAnsi="Calibri"/>
        </w:rPr>
        <w:t xml:space="preserve"> that </w:t>
      </w:r>
      <w:r>
        <w:rPr>
          <w:rFonts w:ascii="Calibri" w:hAnsi="Calibri"/>
        </w:rPr>
        <w:t>had been adopted by other residents; all kittens were quarantined but remained healthy.</w:t>
      </w:r>
    </w:p>
    <w:p w:rsidR="00AF0508" w:rsidRDefault="00AF0508" w:rsidP="00AF0508">
      <w:pPr>
        <w:rPr>
          <w:rFonts w:ascii="Calibri" w:hAnsi="Calibri"/>
        </w:rPr>
      </w:pPr>
    </w:p>
    <w:p w:rsidR="00747F78" w:rsidRPr="00CC5D4A" w:rsidRDefault="00747F78" w:rsidP="00BC47D3">
      <w:pPr>
        <w:rPr>
          <w:rFonts w:ascii="Calibri" w:hAnsi="Calibri"/>
        </w:rPr>
      </w:pPr>
      <w:bookmarkStart w:id="2" w:name="_GoBack"/>
      <w:bookmarkEnd w:id="2"/>
    </w:p>
    <w:p w:rsidR="00A321B4" w:rsidRPr="0025027F" w:rsidRDefault="00A321B4" w:rsidP="00BC47D3">
      <w:pPr>
        <w:rPr>
          <w:rFonts w:ascii="Calibri" w:hAnsi="Calibri"/>
        </w:rPr>
        <w:sectPr w:rsidR="00A321B4" w:rsidRPr="0025027F" w:rsidSect="00E13F50">
          <w:footerReference w:type="default" r:id="rId10"/>
          <w:pgSz w:w="12240" w:h="15840" w:code="1"/>
          <w:pgMar w:top="720" w:right="1008" w:bottom="720" w:left="1008" w:header="720" w:footer="720" w:gutter="0"/>
          <w:pgBorders w:offsetFrom="page">
            <w:bottom w:val="dotted" w:sz="4" w:space="24" w:color="auto"/>
          </w:pgBorders>
          <w:cols w:space="720"/>
          <w:docGrid w:linePitch="360"/>
        </w:sectPr>
      </w:pPr>
    </w:p>
    <w:p w:rsidR="00B11941" w:rsidRPr="00B67CDA" w:rsidRDefault="00B11941" w:rsidP="00BC47D3">
      <w:pPr>
        <w:rPr>
          <w:rFonts w:ascii="Calibri" w:hAnsi="Calibri"/>
          <w:b/>
          <w:u w:val="single"/>
        </w:rPr>
      </w:pPr>
      <w:r w:rsidRPr="00B67CDA">
        <w:rPr>
          <w:rFonts w:ascii="Calibri" w:hAnsi="Calibri"/>
          <w:b/>
          <w:u w:val="single"/>
        </w:rPr>
        <w:lastRenderedPageBreak/>
        <w:t>Number of Submissions and Positive Results by Species</w:t>
      </w:r>
    </w:p>
    <w:p w:rsidR="00D8369B" w:rsidRDefault="007E1B2D" w:rsidP="00D8369B">
      <w:pPr>
        <w:jc w:val="both"/>
        <w:rPr>
          <w:rFonts w:ascii="Calibri" w:hAnsi="Calibri"/>
        </w:rPr>
      </w:pPr>
      <w:r w:rsidRPr="00B67CDA">
        <w:rPr>
          <w:rFonts w:ascii="Calibri" w:hAnsi="Calibri"/>
        </w:rPr>
        <w:t xml:space="preserve">Raccoons, </w:t>
      </w:r>
      <w:r w:rsidR="00995951" w:rsidRPr="00B67CDA">
        <w:rPr>
          <w:rFonts w:ascii="Calibri" w:hAnsi="Calibri"/>
        </w:rPr>
        <w:t>s</w:t>
      </w:r>
      <w:r w:rsidR="00E43CA4" w:rsidRPr="00B67CDA">
        <w:rPr>
          <w:rFonts w:ascii="Calibri" w:hAnsi="Calibri"/>
        </w:rPr>
        <w:t>kunks</w:t>
      </w:r>
      <w:r w:rsidRPr="00B67CDA">
        <w:rPr>
          <w:rFonts w:ascii="Calibri" w:hAnsi="Calibri"/>
        </w:rPr>
        <w:t xml:space="preserve"> </w:t>
      </w:r>
      <w:r w:rsidR="008425C4" w:rsidRPr="00B67CDA">
        <w:rPr>
          <w:rFonts w:ascii="Calibri" w:hAnsi="Calibri"/>
        </w:rPr>
        <w:t>and foxes</w:t>
      </w:r>
      <w:r w:rsidR="00A77024" w:rsidRPr="00B67CDA">
        <w:rPr>
          <w:rFonts w:ascii="Calibri" w:hAnsi="Calibri"/>
        </w:rPr>
        <w:t xml:space="preserve"> </w:t>
      </w:r>
      <w:r w:rsidR="00BF46DE" w:rsidRPr="00B67CDA">
        <w:rPr>
          <w:rFonts w:ascii="Calibri" w:hAnsi="Calibri"/>
        </w:rPr>
        <w:t>account</w:t>
      </w:r>
      <w:r w:rsidRPr="00B67CDA">
        <w:rPr>
          <w:rFonts w:ascii="Calibri" w:hAnsi="Calibri"/>
        </w:rPr>
        <w:t>ed</w:t>
      </w:r>
      <w:r w:rsidR="00BF46DE" w:rsidRPr="00B67CDA">
        <w:rPr>
          <w:rFonts w:ascii="Calibri" w:hAnsi="Calibri"/>
        </w:rPr>
        <w:t xml:space="preserve"> for </w:t>
      </w:r>
      <w:r w:rsidR="00766FF6" w:rsidRPr="00B67CDA">
        <w:rPr>
          <w:rFonts w:ascii="Calibri" w:hAnsi="Calibri"/>
        </w:rPr>
        <w:t xml:space="preserve">the </w:t>
      </w:r>
      <w:r w:rsidR="003F3CBA" w:rsidRPr="00B67CDA">
        <w:rPr>
          <w:rFonts w:ascii="Calibri" w:hAnsi="Calibri"/>
        </w:rPr>
        <w:t>large majority</w:t>
      </w:r>
      <w:r w:rsidR="00E43CA4" w:rsidRPr="00B67CDA">
        <w:rPr>
          <w:rFonts w:ascii="Calibri" w:hAnsi="Calibri"/>
        </w:rPr>
        <w:t xml:space="preserve"> of </w:t>
      </w:r>
      <w:r w:rsidR="00EE5ACD" w:rsidRPr="00B67CDA">
        <w:rPr>
          <w:rFonts w:ascii="Calibri" w:hAnsi="Calibri"/>
        </w:rPr>
        <w:t xml:space="preserve">rabies </w:t>
      </w:r>
      <w:r w:rsidR="00E43CA4" w:rsidRPr="00B67CDA">
        <w:rPr>
          <w:rFonts w:ascii="Calibri" w:hAnsi="Calibri"/>
        </w:rPr>
        <w:t>positive animals</w:t>
      </w:r>
      <w:r w:rsidR="00766FF6" w:rsidRPr="00B67CDA">
        <w:rPr>
          <w:rFonts w:ascii="Calibri" w:hAnsi="Calibri"/>
        </w:rPr>
        <w:t xml:space="preserve"> in Massachusetts</w:t>
      </w:r>
      <w:r w:rsidR="008425C4" w:rsidRPr="00B67CDA">
        <w:rPr>
          <w:rFonts w:ascii="Calibri" w:hAnsi="Calibri"/>
        </w:rPr>
        <w:t xml:space="preserve"> in 2017</w:t>
      </w:r>
      <w:r w:rsidR="00523163" w:rsidRPr="00B67CDA">
        <w:rPr>
          <w:rFonts w:ascii="Calibri" w:hAnsi="Calibri"/>
        </w:rPr>
        <w:t xml:space="preserve">, although </w:t>
      </w:r>
      <w:r w:rsidR="00DF0899" w:rsidRPr="00B67CDA">
        <w:rPr>
          <w:rFonts w:ascii="Calibri" w:hAnsi="Calibri"/>
        </w:rPr>
        <w:t>the</w:t>
      </w:r>
      <w:r w:rsidR="00E833D5" w:rsidRPr="00B67CDA">
        <w:rPr>
          <w:rFonts w:ascii="Calibri" w:hAnsi="Calibri"/>
        </w:rPr>
        <w:t>ir</w:t>
      </w:r>
      <w:r w:rsidR="00186343" w:rsidRPr="00B67CDA">
        <w:rPr>
          <w:rFonts w:ascii="Calibri" w:hAnsi="Calibri"/>
        </w:rPr>
        <w:t xml:space="preserve"> </w:t>
      </w:r>
      <w:r w:rsidR="00523163" w:rsidRPr="00B67CDA">
        <w:rPr>
          <w:rFonts w:ascii="Calibri" w:hAnsi="Calibri"/>
        </w:rPr>
        <w:t>propo</w:t>
      </w:r>
      <w:r w:rsidR="003C0898" w:rsidRPr="00B67CDA">
        <w:rPr>
          <w:rFonts w:ascii="Calibri" w:hAnsi="Calibri"/>
        </w:rPr>
        <w:t xml:space="preserve">rtion of </w:t>
      </w:r>
      <w:r w:rsidR="00EE5ACD" w:rsidRPr="00B67CDA">
        <w:rPr>
          <w:rFonts w:ascii="Calibri" w:hAnsi="Calibri"/>
        </w:rPr>
        <w:t xml:space="preserve">all </w:t>
      </w:r>
      <w:r w:rsidR="003C0898" w:rsidRPr="00B67CDA">
        <w:rPr>
          <w:rFonts w:ascii="Calibri" w:hAnsi="Calibri"/>
        </w:rPr>
        <w:t xml:space="preserve">rabies positive </w:t>
      </w:r>
      <w:r w:rsidR="00EE5ACD" w:rsidRPr="00B67CDA">
        <w:rPr>
          <w:rFonts w:ascii="Calibri" w:hAnsi="Calibri"/>
        </w:rPr>
        <w:t>animals</w:t>
      </w:r>
      <w:r w:rsidR="00523163" w:rsidRPr="00B67CDA">
        <w:rPr>
          <w:rFonts w:ascii="Calibri" w:hAnsi="Calibri"/>
        </w:rPr>
        <w:t xml:space="preserve"> varie</w:t>
      </w:r>
      <w:r w:rsidR="001F0429" w:rsidRPr="00B67CDA">
        <w:rPr>
          <w:rFonts w:ascii="Calibri" w:hAnsi="Calibri"/>
        </w:rPr>
        <w:t>d</w:t>
      </w:r>
      <w:r w:rsidR="00523163" w:rsidRPr="00B67CDA">
        <w:rPr>
          <w:rFonts w:ascii="Calibri" w:hAnsi="Calibri"/>
        </w:rPr>
        <w:t xml:space="preserve"> by quarter (</w:t>
      </w:r>
      <w:r w:rsidR="00523163" w:rsidRPr="00B67CDA">
        <w:rPr>
          <w:rFonts w:ascii="Calibri" w:hAnsi="Calibri"/>
          <w:b/>
        </w:rPr>
        <w:t xml:space="preserve">Figure </w:t>
      </w:r>
      <w:r w:rsidR="00B11941" w:rsidRPr="00B67CDA">
        <w:rPr>
          <w:rFonts w:ascii="Calibri" w:hAnsi="Calibri"/>
          <w:b/>
        </w:rPr>
        <w:t>2</w:t>
      </w:r>
      <w:r w:rsidR="008E3981" w:rsidRPr="00B67CDA">
        <w:rPr>
          <w:rFonts w:ascii="Calibri" w:hAnsi="Calibri"/>
        </w:rPr>
        <w:t>)</w:t>
      </w:r>
      <w:r w:rsidR="0091080C" w:rsidRPr="00B67CDA">
        <w:rPr>
          <w:rFonts w:ascii="Calibri" w:hAnsi="Calibri"/>
        </w:rPr>
        <w:t>.</w:t>
      </w:r>
      <w:r w:rsidR="00DD6F46" w:rsidRPr="00C33FCA">
        <w:rPr>
          <w:rFonts w:ascii="Calibri" w:hAnsi="Calibri"/>
        </w:rPr>
        <w:t xml:space="preserve"> </w:t>
      </w:r>
    </w:p>
    <w:p w:rsidR="00557BB0" w:rsidRDefault="00557BB0" w:rsidP="00D8369B">
      <w:pPr>
        <w:jc w:val="both"/>
        <w:rPr>
          <w:rFonts w:ascii="Calibri" w:hAnsi="Calibri"/>
        </w:rPr>
      </w:pPr>
    </w:p>
    <w:tbl>
      <w:tblPr>
        <w:tblW w:w="14850" w:type="dxa"/>
        <w:tblInd w:w="-342" w:type="dxa"/>
        <w:tblLayout w:type="fixed"/>
        <w:tblLook w:val="04A0" w:firstRow="1" w:lastRow="0" w:firstColumn="1" w:lastColumn="0" w:noHBand="0" w:noVBand="1"/>
      </w:tblPr>
      <w:tblGrid>
        <w:gridCol w:w="1260"/>
        <w:gridCol w:w="990"/>
        <w:gridCol w:w="1080"/>
        <w:gridCol w:w="720"/>
        <w:gridCol w:w="900"/>
        <w:gridCol w:w="1080"/>
        <w:gridCol w:w="720"/>
        <w:gridCol w:w="900"/>
        <w:gridCol w:w="1080"/>
        <w:gridCol w:w="720"/>
        <w:gridCol w:w="900"/>
        <w:gridCol w:w="1080"/>
        <w:gridCol w:w="720"/>
        <w:gridCol w:w="900"/>
        <w:gridCol w:w="1080"/>
        <w:gridCol w:w="720"/>
      </w:tblGrid>
      <w:tr w:rsidR="00557BB0" w:rsidRPr="009C47BF" w:rsidTr="006A0AD4">
        <w:trPr>
          <w:trHeight w:val="510"/>
        </w:trPr>
        <w:tc>
          <w:tcPr>
            <w:tcW w:w="14850" w:type="dxa"/>
            <w:gridSpan w:val="1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57BB0" w:rsidRPr="009C47BF" w:rsidRDefault="00557BB0" w:rsidP="00842E9A">
            <w:pPr>
              <w:jc w:val="center"/>
              <w:rPr>
                <w:rFonts w:ascii="Calibri" w:hAnsi="Calibri" w:cs="Arial"/>
                <w:b/>
                <w:bCs/>
              </w:rPr>
            </w:pPr>
            <w:r w:rsidRPr="009C47BF">
              <w:rPr>
                <w:rFonts w:ascii="Calibri" w:hAnsi="Calibri" w:cs="Arial"/>
                <w:b/>
                <w:bCs/>
              </w:rPr>
              <w:t>Table 2. Number of Animals Positive for Rabies/Animals Submitted (%), 2017</w:t>
            </w:r>
          </w:p>
        </w:tc>
      </w:tr>
      <w:tr w:rsidR="00557BB0" w:rsidRPr="009C47BF" w:rsidTr="006A0AD4">
        <w:trPr>
          <w:trHeight w:val="270"/>
        </w:trPr>
        <w:tc>
          <w:tcPr>
            <w:tcW w:w="14850" w:type="dxa"/>
            <w:gridSpan w:val="16"/>
            <w:vMerge/>
            <w:tcBorders>
              <w:top w:val="single" w:sz="8" w:space="0" w:color="auto"/>
              <w:left w:val="single" w:sz="8" w:space="0" w:color="auto"/>
              <w:bottom w:val="single" w:sz="8" w:space="0" w:color="000000"/>
              <w:right w:val="single" w:sz="8" w:space="0" w:color="000000"/>
            </w:tcBorders>
            <w:vAlign w:val="center"/>
            <w:hideMark/>
          </w:tcPr>
          <w:p w:rsidR="00557BB0" w:rsidRPr="009C47BF" w:rsidRDefault="00557BB0" w:rsidP="00842E9A">
            <w:pPr>
              <w:jc w:val="center"/>
              <w:rPr>
                <w:rFonts w:ascii="Calibri" w:hAnsi="Calibri" w:cs="Arial"/>
                <w:b/>
                <w:bCs/>
                <w:sz w:val="20"/>
                <w:szCs w:val="20"/>
              </w:rPr>
            </w:pPr>
          </w:p>
        </w:tc>
      </w:tr>
      <w:tr w:rsidR="00842E9A" w:rsidRPr="009C47BF" w:rsidTr="006A0AD4">
        <w:trPr>
          <w:trHeight w:val="421"/>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557BB0" w:rsidRPr="009C47BF" w:rsidRDefault="00557BB0" w:rsidP="00842E9A">
            <w:pPr>
              <w:jc w:val="center"/>
              <w:rPr>
                <w:rFonts w:ascii="Calibri" w:hAnsi="Calibri" w:cs="Arial"/>
                <w:b/>
                <w:bCs/>
                <w:sz w:val="20"/>
                <w:szCs w:val="20"/>
              </w:rPr>
            </w:pPr>
          </w:p>
        </w:tc>
        <w:tc>
          <w:tcPr>
            <w:tcW w:w="2790" w:type="dxa"/>
            <w:gridSpan w:val="3"/>
            <w:tcBorders>
              <w:top w:val="single" w:sz="8" w:space="0" w:color="000000"/>
              <w:left w:val="nil"/>
              <w:bottom w:val="single" w:sz="8" w:space="0" w:color="auto"/>
              <w:right w:val="single" w:sz="8" w:space="0" w:color="000000"/>
            </w:tcBorders>
            <w:shd w:val="clear" w:color="auto" w:fill="auto"/>
            <w:noWrap/>
            <w:vAlign w:val="center"/>
            <w:hideMark/>
          </w:tcPr>
          <w:p w:rsidR="00557BB0" w:rsidRPr="009C47BF" w:rsidRDefault="00557BB0" w:rsidP="00842E9A">
            <w:pPr>
              <w:jc w:val="center"/>
              <w:rPr>
                <w:rFonts w:ascii="Calibri" w:hAnsi="Calibri" w:cs="Arial"/>
                <w:b/>
                <w:bCs/>
              </w:rPr>
            </w:pPr>
            <w:r w:rsidRPr="009C47BF">
              <w:rPr>
                <w:rFonts w:ascii="Calibri" w:hAnsi="Calibri" w:cs="Arial"/>
                <w:b/>
                <w:bCs/>
              </w:rPr>
              <w:t>1st Quarter</w:t>
            </w:r>
          </w:p>
        </w:tc>
        <w:tc>
          <w:tcPr>
            <w:tcW w:w="2700" w:type="dxa"/>
            <w:gridSpan w:val="3"/>
            <w:tcBorders>
              <w:top w:val="single" w:sz="8" w:space="0" w:color="000000"/>
              <w:left w:val="nil"/>
              <w:bottom w:val="single" w:sz="8" w:space="0" w:color="auto"/>
              <w:right w:val="single" w:sz="8" w:space="0" w:color="000000"/>
            </w:tcBorders>
            <w:shd w:val="clear" w:color="auto" w:fill="auto"/>
            <w:noWrap/>
            <w:vAlign w:val="center"/>
            <w:hideMark/>
          </w:tcPr>
          <w:p w:rsidR="00557BB0" w:rsidRPr="009C47BF" w:rsidRDefault="00557BB0" w:rsidP="00842E9A">
            <w:pPr>
              <w:jc w:val="center"/>
              <w:rPr>
                <w:rFonts w:ascii="Calibri" w:hAnsi="Calibri" w:cs="Arial"/>
                <w:b/>
                <w:bCs/>
              </w:rPr>
            </w:pPr>
            <w:r w:rsidRPr="009C47BF">
              <w:rPr>
                <w:rFonts w:ascii="Calibri" w:hAnsi="Calibri" w:cs="Arial"/>
                <w:b/>
                <w:bCs/>
              </w:rPr>
              <w:t>2nd Quarter</w:t>
            </w:r>
          </w:p>
        </w:tc>
        <w:tc>
          <w:tcPr>
            <w:tcW w:w="2700" w:type="dxa"/>
            <w:gridSpan w:val="3"/>
            <w:tcBorders>
              <w:top w:val="single" w:sz="8" w:space="0" w:color="000000"/>
              <w:left w:val="nil"/>
              <w:bottom w:val="single" w:sz="8" w:space="0" w:color="auto"/>
              <w:right w:val="single" w:sz="8" w:space="0" w:color="000000"/>
            </w:tcBorders>
            <w:shd w:val="clear" w:color="auto" w:fill="auto"/>
            <w:noWrap/>
            <w:vAlign w:val="center"/>
            <w:hideMark/>
          </w:tcPr>
          <w:p w:rsidR="00557BB0" w:rsidRPr="009C47BF" w:rsidRDefault="00557BB0" w:rsidP="00842E9A">
            <w:pPr>
              <w:jc w:val="center"/>
              <w:rPr>
                <w:rFonts w:ascii="Calibri" w:hAnsi="Calibri" w:cs="Arial"/>
                <w:b/>
                <w:bCs/>
              </w:rPr>
            </w:pPr>
            <w:r w:rsidRPr="009C47BF">
              <w:rPr>
                <w:rFonts w:ascii="Calibri" w:hAnsi="Calibri" w:cs="Arial"/>
                <w:b/>
                <w:bCs/>
              </w:rPr>
              <w:t>3rd Quarter</w:t>
            </w:r>
          </w:p>
        </w:tc>
        <w:tc>
          <w:tcPr>
            <w:tcW w:w="2700" w:type="dxa"/>
            <w:gridSpan w:val="3"/>
            <w:tcBorders>
              <w:top w:val="single" w:sz="8" w:space="0" w:color="000000"/>
              <w:left w:val="nil"/>
              <w:bottom w:val="single" w:sz="8" w:space="0" w:color="auto"/>
              <w:right w:val="single" w:sz="8" w:space="0" w:color="000000"/>
            </w:tcBorders>
            <w:shd w:val="clear" w:color="auto" w:fill="auto"/>
            <w:noWrap/>
            <w:vAlign w:val="center"/>
            <w:hideMark/>
          </w:tcPr>
          <w:p w:rsidR="00557BB0" w:rsidRPr="009C47BF" w:rsidRDefault="00557BB0" w:rsidP="00842E9A">
            <w:pPr>
              <w:jc w:val="center"/>
              <w:rPr>
                <w:rFonts w:ascii="Calibri" w:hAnsi="Calibri" w:cs="Arial"/>
                <w:b/>
                <w:bCs/>
              </w:rPr>
            </w:pPr>
            <w:r w:rsidRPr="009C47BF">
              <w:rPr>
                <w:rFonts w:ascii="Calibri" w:hAnsi="Calibri" w:cs="Arial"/>
                <w:b/>
                <w:bCs/>
              </w:rPr>
              <w:t>4th Quarter</w:t>
            </w:r>
          </w:p>
        </w:tc>
        <w:tc>
          <w:tcPr>
            <w:tcW w:w="2700" w:type="dxa"/>
            <w:gridSpan w:val="3"/>
            <w:tcBorders>
              <w:top w:val="single" w:sz="8" w:space="0" w:color="000000"/>
              <w:left w:val="nil"/>
              <w:bottom w:val="single" w:sz="8" w:space="0" w:color="auto"/>
              <w:right w:val="single" w:sz="8" w:space="0" w:color="000000"/>
            </w:tcBorders>
            <w:shd w:val="clear" w:color="auto" w:fill="auto"/>
            <w:noWrap/>
            <w:vAlign w:val="center"/>
            <w:hideMark/>
          </w:tcPr>
          <w:p w:rsidR="00557BB0" w:rsidRPr="009C47BF" w:rsidRDefault="00557BB0" w:rsidP="00842E9A">
            <w:pPr>
              <w:jc w:val="center"/>
              <w:rPr>
                <w:rFonts w:ascii="Calibri" w:hAnsi="Calibri" w:cs="Arial"/>
                <w:b/>
                <w:bCs/>
              </w:rPr>
            </w:pPr>
            <w:r w:rsidRPr="009C47BF">
              <w:rPr>
                <w:rFonts w:ascii="Calibri" w:hAnsi="Calibri" w:cs="Arial"/>
                <w:b/>
                <w:bCs/>
              </w:rPr>
              <w:t>Total</w:t>
            </w:r>
          </w:p>
        </w:tc>
      </w:tr>
      <w:tr w:rsidR="006A0AD4" w:rsidRPr="009C47BF" w:rsidTr="006A0AD4">
        <w:trPr>
          <w:trHeight w:val="270"/>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Animal</w:t>
            </w:r>
          </w:p>
        </w:tc>
        <w:tc>
          <w:tcPr>
            <w:tcW w:w="990" w:type="dxa"/>
            <w:tcBorders>
              <w:top w:val="nil"/>
              <w:left w:val="nil"/>
              <w:bottom w:val="single" w:sz="8" w:space="0" w:color="auto"/>
              <w:right w:val="single" w:sz="8" w:space="0" w:color="auto"/>
            </w:tcBorders>
            <w:shd w:val="clear" w:color="000000" w:fill="BFBFBF"/>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Number Positive</w:t>
            </w:r>
          </w:p>
        </w:tc>
        <w:tc>
          <w:tcPr>
            <w:tcW w:w="1080" w:type="dxa"/>
            <w:tcBorders>
              <w:top w:val="nil"/>
              <w:left w:val="nil"/>
              <w:bottom w:val="single" w:sz="8" w:space="0" w:color="auto"/>
              <w:right w:val="single" w:sz="8" w:space="0" w:color="auto"/>
            </w:tcBorders>
            <w:shd w:val="clear" w:color="auto" w:fill="auto"/>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Number Submitted</w:t>
            </w:r>
          </w:p>
        </w:tc>
        <w:tc>
          <w:tcPr>
            <w:tcW w:w="720" w:type="dxa"/>
            <w:tcBorders>
              <w:top w:val="nil"/>
              <w:left w:val="nil"/>
              <w:bottom w:val="single" w:sz="8" w:space="0" w:color="auto"/>
              <w:right w:val="single" w:sz="8" w:space="0" w:color="auto"/>
            </w:tcBorders>
            <w:shd w:val="clear" w:color="000000" w:fill="D9D9D9"/>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w:t>
            </w:r>
          </w:p>
        </w:tc>
        <w:tc>
          <w:tcPr>
            <w:tcW w:w="900" w:type="dxa"/>
            <w:tcBorders>
              <w:top w:val="nil"/>
              <w:left w:val="nil"/>
              <w:bottom w:val="single" w:sz="8" w:space="0" w:color="auto"/>
              <w:right w:val="single" w:sz="8" w:space="0" w:color="auto"/>
            </w:tcBorders>
            <w:shd w:val="clear" w:color="000000" w:fill="BFBFBF"/>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Number Positive</w:t>
            </w:r>
          </w:p>
        </w:tc>
        <w:tc>
          <w:tcPr>
            <w:tcW w:w="1080" w:type="dxa"/>
            <w:tcBorders>
              <w:top w:val="nil"/>
              <w:left w:val="nil"/>
              <w:bottom w:val="single" w:sz="8" w:space="0" w:color="auto"/>
              <w:right w:val="single" w:sz="8" w:space="0" w:color="auto"/>
            </w:tcBorders>
            <w:shd w:val="clear" w:color="auto" w:fill="auto"/>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Number Submitted</w:t>
            </w:r>
          </w:p>
        </w:tc>
        <w:tc>
          <w:tcPr>
            <w:tcW w:w="720" w:type="dxa"/>
            <w:tcBorders>
              <w:top w:val="nil"/>
              <w:left w:val="nil"/>
              <w:bottom w:val="single" w:sz="8" w:space="0" w:color="auto"/>
              <w:right w:val="single" w:sz="8" w:space="0" w:color="auto"/>
            </w:tcBorders>
            <w:shd w:val="clear" w:color="000000" w:fill="D9D9D9"/>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w:t>
            </w:r>
          </w:p>
        </w:tc>
        <w:tc>
          <w:tcPr>
            <w:tcW w:w="900" w:type="dxa"/>
            <w:tcBorders>
              <w:top w:val="nil"/>
              <w:left w:val="nil"/>
              <w:bottom w:val="single" w:sz="8" w:space="0" w:color="auto"/>
              <w:right w:val="single" w:sz="8" w:space="0" w:color="auto"/>
            </w:tcBorders>
            <w:shd w:val="clear" w:color="000000" w:fill="BFBFBF"/>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Number Positive</w:t>
            </w:r>
          </w:p>
        </w:tc>
        <w:tc>
          <w:tcPr>
            <w:tcW w:w="1080" w:type="dxa"/>
            <w:tcBorders>
              <w:top w:val="nil"/>
              <w:left w:val="nil"/>
              <w:bottom w:val="single" w:sz="8" w:space="0" w:color="auto"/>
              <w:right w:val="single" w:sz="8" w:space="0" w:color="auto"/>
            </w:tcBorders>
            <w:shd w:val="clear" w:color="auto" w:fill="auto"/>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Number Submitted</w:t>
            </w:r>
          </w:p>
        </w:tc>
        <w:tc>
          <w:tcPr>
            <w:tcW w:w="720" w:type="dxa"/>
            <w:tcBorders>
              <w:top w:val="nil"/>
              <w:left w:val="nil"/>
              <w:bottom w:val="single" w:sz="8" w:space="0" w:color="auto"/>
              <w:right w:val="single" w:sz="8" w:space="0" w:color="auto"/>
            </w:tcBorders>
            <w:shd w:val="clear" w:color="000000" w:fill="D9D9D9"/>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w:t>
            </w:r>
          </w:p>
        </w:tc>
        <w:tc>
          <w:tcPr>
            <w:tcW w:w="900" w:type="dxa"/>
            <w:tcBorders>
              <w:top w:val="nil"/>
              <w:left w:val="nil"/>
              <w:bottom w:val="single" w:sz="8" w:space="0" w:color="auto"/>
              <w:right w:val="single" w:sz="8" w:space="0" w:color="auto"/>
            </w:tcBorders>
            <w:shd w:val="clear" w:color="000000" w:fill="BFBFBF"/>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Number Positive</w:t>
            </w:r>
          </w:p>
        </w:tc>
        <w:tc>
          <w:tcPr>
            <w:tcW w:w="1080" w:type="dxa"/>
            <w:tcBorders>
              <w:top w:val="nil"/>
              <w:left w:val="nil"/>
              <w:bottom w:val="single" w:sz="8" w:space="0" w:color="auto"/>
              <w:right w:val="single" w:sz="8" w:space="0" w:color="auto"/>
            </w:tcBorders>
            <w:shd w:val="clear" w:color="auto" w:fill="auto"/>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Number Submitted</w:t>
            </w:r>
          </w:p>
        </w:tc>
        <w:tc>
          <w:tcPr>
            <w:tcW w:w="720" w:type="dxa"/>
            <w:tcBorders>
              <w:top w:val="nil"/>
              <w:left w:val="nil"/>
              <w:bottom w:val="single" w:sz="8" w:space="0" w:color="auto"/>
              <w:right w:val="single" w:sz="8" w:space="0" w:color="auto"/>
            </w:tcBorders>
            <w:shd w:val="clear" w:color="000000" w:fill="D9D9D9"/>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w:t>
            </w:r>
          </w:p>
        </w:tc>
        <w:tc>
          <w:tcPr>
            <w:tcW w:w="900" w:type="dxa"/>
            <w:tcBorders>
              <w:top w:val="nil"/>
              <w:left w:val="nil"/>
              <w:bottom w:val="single" w:sz="8" w:space="0" w:color="auto"/>
              <w:right w:val="single" w:sz="8" w:space="0" w:color="auto"/>
            </w:tcBorders>
            <w:shd w:val="clear" w:color="000000" w:fill="BFBFBF"/>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Number Positive</w:t>
            </w:r>
          </w:p>
        </w:tc>
        <w:tc>
          <w:tcPr>
            <w:tcW w:w="1080" w:type="dxa"/>
            <w:tcBorders>
              <w:top w:val="nil"/>
              <w:left w:val="nil"/>
              <w:bottom w:val="single" w:sz="8" w:space="0" w:color="auto"/>
              <w:right w:val="single" w:sz="8" w:space="0" w:color="auto"/>
            </w:tcBorders>
            <w:shd w:val="clear" w:color="auto" w:fill="auto"/>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Number Submitted</w:t>
            </w:r>
          </w:p>
        </w:tc>
        <w:tc>
          <w:tcPr>
            <w:tcW w:w="720" w:type="dxa"/>
            <w:tcBorders>
              <w:top w:val="nil"/>
              <w:left w:val="nil"/>
              <w:bottom w:val="single" w:sz="8" w:space="0" w:color="auto"/>
              <w:right w:val="single" w:sz="8" w:space="0" w:color="auto"/>
            </w:tcBorders>
            <w:shd w:val="clear" w:color="000000" w:fill="D9D9D9"/>
            <w:vAlign w:val="center"/>
            <w:hideMark/>
          </w:tcPr>
          <w:p w:rsidR="00557BB0" w:rsidRPr="009C47BF" w:rsidRDefault="00557BB0" w:rsidP="00842E9A">
            <w:pPr>
              <w:jc w:val="center"/>
              <w:rPr>
                <w:rFonts w:ascii="Calibri" w:hAnsi="Calibri" w:cs="Arial"/>
                <w:sz w:val="20"/>
                <w:szCs w:val="20"/>
              </w:rPr>
            </w:pPr>
            <w:r w:rsidRPr="009C47BF">
              <w:rPr>
                <w:rFonts w:ascii="Calibri" w:hAnsi="Calibri" w:cs="Arial"/>
                <w:sz w:val="20"/>
                <w:szCs w:val="20"/>
              </w:rPr>
              <w:t>%</w:t>
            </w:r>
          </w:p>
        </w:tc>
      </w:tr>
      <w:tr w:rsidR="006A0AD4" w:rsidRPr="009C47BF" w:rsidTr="006A0AD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Raccoon</w:t>
            </w:r>
          </w:p>
        </w:tc>
        <w:tc>
          <w:tcPr>
            <w:tcW w:w="99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8</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20</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40%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7</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56</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12.5%</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9</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25</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36%</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14</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71.4%</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34</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115</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29.6%</w:t>
            </w:r>
          </w:p>
        </w:tc>
      </w:tr>
      <w:tr w:rsidR="006A0AD4" w:rsidRPr="009C47BF" w:rsidTr="006A0AD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Skunk</w:t>
            </w:r>
          </w:p>
        </w:tc>
        <w:tc>
          <w:tcPr>
            <w:tcW w:w="99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2</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7</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28.6%</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3</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17</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17.6%</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7</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49</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14.3%</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8</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14</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57.1%</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20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87</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23%</w:t>
            </w:r>
          </w:p>
        </w:tc>
      </w:tr>
      <w:tr w:rsidR="006A0AD4" w:rsidRPr="009C47BF" w:rsidTr="006A0AD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Cat</w:t>
            </w:r>
          </w:p>
        </w:tc>
        <w:tc>
          <w:tcPr>
            <w:tcW w:w="99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138</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0.7%</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142</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180</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137</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597</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0.2%</w:t>
            </w:r>
          </w:p>
        </w:tc>
      </w:tr>
      <w:tr w:rsidR="006A0AD4" w:rsidRPr="009C47BF" w:rsidTr="006A0AD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Fox</w:t>
            </w:r>
          </w:p>
        </w:tc>
        <w:tc>
          <w:tcPr>
            <w:tcW w:w="99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3</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33.3%</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5</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13</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38.5%</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5</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6</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83.3%</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8</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11</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30</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36.7%</w:t>
            </w:r>
          </w:p>
        </w:tc>
      </w:tr>
      <w:tr w:rsidR="006A0AD4" w:rsidRPr="009C47BF" w:rsidTr="006A0AD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Woodchuck</w:t>
            </w:r>
          </w:p>
        </w:tc>
        <w:tc>
          <w:tcPr>
            <w:tcW w:w="99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3</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4</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38</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10.5%</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4</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38</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10.5%</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7</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8</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86</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9.3%</w:t>
            </w:r>
          </w:p>
        </w:tc>
      </w:tr>
      <w:tr w:rsidR="006A0AD4" w:rsidRPr="009C47BF" w:rsidTr="006A0AD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Bat</w:t>
            </w:r>
          </w:p>
        </w:tc>
        <w:tc>
          <w:tcPr>
            <w:tcW w:w="99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85</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1.2%</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6</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182</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3.3%</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594</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1.7%</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3</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59</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5.1%</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20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920</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2.2%</w:t>
            </w:r>
          </w:p>
        </w:tc>
      </w:tr>
      <w:tr w:rsidR="006A0AD4" w:rsidRPr="009C47BF" w:rsidTr="006A0AD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Cow</w:t>
            </w:r>
          </w:p>
        </w:tc>
        <w:tc>
          <w:tcPr>
            <w:tcW w:w="99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2</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2</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r>
      <w:tr w:rsidR="006A0AD4" w:rsidRPr="009C47BF" w:rsidTr="006A0AD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Coyote</w:t>
            </w:r>
          </w:p>
        </w:tc>
        <w:tc>
          <w:tcPr>
            <w:tcW w:w="99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3</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3</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3</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100%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10</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10%</w:t>
            </w:r>
          </w:p>
        </w:tc>
      </w:tr>
      <w:tr w:rsidR="006A0AD4" w:rsidRPr="009C47BF" w:rsidTr="006A0AD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Dog</w:t>
            </w:r>
          </w:p>
        </w:tc>
        <w:tc>
          <w:tcPr>
            <w:tcW w:w="99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125</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139</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142</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114</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520</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r>
      <w:tr w:rsidR="006A0AD4" w:rsidRPr="009C47BF" w:rsidTr="006A0AD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Bob Cat</w:t>
            </w:r>
          </w:p>
        </w:tc>
        <w:tc>
          <w:tcPr>
            <w:tcW w:w="99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r>
      <w:tr w:rsidR="006A0AD4" w:rsidRPr="009C47BF" w:rsidTr="006A0AD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Other*</w:t>
            </w:r>
          </w:p>
        </w:tc>
        <w:tc>
          <w:tcPr>
            <w:tcW w:w="99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19</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23</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24</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19</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85</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0%</w:t>
            </w:r>
          </w:p>
        </w:tc>
      </w:tr>
      <w:tr w:rsidR="006A0AD4" w:rsidRPr="009C47BF" w:rsidTr="006A0AD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Total</w:t>
            </w:r>
          </w:p>
        </w:tc>
        <w:tc>
          <w:tcPr>
            <w:tcW w:w="99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13</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403</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3.2%</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26</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616</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4.2%</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35</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1061</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3.3%</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22</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373</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5.9%</w:t>
            </w:r>
          </w:p>
        </w:tc>
        <w:tc>
          <w:tcPr>
            <w:tcW w:w="900" w:type="dxa"/>
            <w:tcBorders>
              <w:top w:val="nil"/>
              <w:left w:val="nil"/>
              <w:bottom w:val="single" w:sz="8" w:space="0" w:color="auto"/>
              <w:right w:val="single" w:sz="8" w:space="0" w:color="auto"/>
            </w:tcBorders>
            <w:shd w:val="clear" w:color="000000" w:fill="BFBFBF"/>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96</w:t>
            </w:r>
          </w:p>
        </w:tc>
        <w:tc>
          <w:tcPr>
            <w:tcW w:w="1080" w:type="dxa"/>
            <w:tcBorders>
              <w:top w:val="nil"/>
              <w:left w:val="nil"/>
              <w:bottom w:val="single" w:sz="8" w:space="0" w:color="auto"/>
              <w:right w:val="single" w:sz="8" w:space="0" w:color="auto"/>
            </w:tcBorders>
            <w:shd w:val="clear" w:color="auto" w:fill="auto"/>
            <w:noWrap/>
            <w:vAlign w:val="center"/>
            <w:hideMark/>
          </w:tcPr>
          <w:p w:rsidR="006A0AD4" w:rsidRPr="009C47BF" w:rsidRDefault="006A0AD4" w:rsidP="00842E9A">
            <w:pPr>
              <w:jc w:val="center"/>
              <w:rPr>
                <w:rFonts w:ascii="Calibri" w:hAnsi="Calibri" w:cs="Arial"/>
                <w:sz w:val="20"/>
                <w:szCs w:val="20"/>
              </w:rPr>
            </w:pPr>
            <w:r w:rsidRPr="009C47BF">
              <w:rPr>
                <w:rFonts w:ascii="Calibri" w:hAnsi="Calibri" w:cs="Arial"/>
                <w:sz w:val="20"/>
                <w:szCs w:val="20"/>
              </w:rPr>
              <w:t>2453</w:t>
            </w:r>
          </w:p>
        </w:tc>
        <w:tc>
          <w:tcPr>
            <w:tcW w:w="720" w:type="dxa"/>
            <w:tcBorders>
              <w:top w:val="nil"/>
              <w:left w:val="nil"/>
              <w:bottom w:val="single" w:sz="8" w:space="0" w:color="auto"/>
              <w:right w:val="single" w:sz="8" w:space="0" w:color="auto"/>
            </w:tcBorders>
            <w:shd w:val="clear" w:color="000000" w:fill="D9D9D9"/>
            <w:noWrap/>
            <w:vAlign w:val="center"/>
            <w:hideMark/>
          </w:tcPr>
          <w:p w:rsidR="006A0AD4" w:rsidRPr="009C47BF" w:rsidRDefault="006A0AD4">
            <w:pPr>
              <w:jc w:val="center"/>
              <w:rPr>
                <w:rFonts w:ascii="Calibri" w:hAnsi="Calibri" w:cs="Arial"/>
                <w:sz w:val="20"/>
                <w:szCs w:val="20"/>
              </w:rPr>
            </w:pPr>
            <w:r w:rsidRPr="009C47BF">
              <w:rPr>
                <w:rFonts w:ascii="Calibri" w:hAnsi="Calibri" w:cs="Arial"/>
                <w:sz w:val="20"/>
                <w:szCs w:val="20"/>
              </w:rPr>
              <w:t>3.9%</w:t>
            </w:r>
          </w:p>
        </w:tc>
      </w:tr>
    </w:tbl>
    <w:p w:rsidR="007A0458" w:rsidRPr="006A0AD4" w:rsidRDefault="007A0458" w:rsidP="00E43CA4">
      <w:pPr>
        <w:jc w:val="both"/>
        <w:rPr>
          <w:rFonts w:ascii="Calibri" w:hAnsi="Calibri"/>
          <w:color w:val="FF0000"/>
        </w:rPr>
      </w:pPr>
    </w:p>
    <w:p w:rsidR="00380C00" w:rsidRPr="006A0AD4" w:rsidRDefault="00037BCE" w:rsidP="00A85E59">
      <w:pPr>
        <w:rPr>
          <w:rFonts w:ascii="Calibri" w:hAnsi="Calibri"/>
        </w:rPr>
      </w:pPr>
      <w:r w:rsidRPr="006A0AD4">
        <w:rPr>
          <w:rFonts w:ascii="Calibri" w:hAnsi="Calibri"/>
        </w:rPr>
        <w:t>*</w:t>
      </w:r>
      <w:r w:rsidR="00A85E59" w:rsidRPr="006A0AD4">
        <w:rPr>
          <w:rFonts w:ascii="Calibri" w:hAnsi="Calibri"/>
        </w:rPr>
        <w:t xml:space="preserve"> </w:t>
      </w:r>
      <w:r w:rsidRPr="006A0AD4">
        <w:rPr>
          <w:rFonts w:ascii="Calibri" w:hAnsi="Calibri"/>
        </w:rPr>
        <w:t xml:space="preserve">Includes </w:t>
      </w:r>
      <w:r w:rsidR="00380C00" w:rsidRPr="006A0AD4">
        <w:rPr>
          <w:rFonts w:ascii="Calibri" w:hAnsi="Calibri"/>
        </w:rPr>
        <w:t>alpacas, chipmunks, goats, horses, mice, muskrats, opossums, pigs, rabbits, rats, squirrels</w:t>
      </w:r>
      <w:r w:rsidR="00557BB0" w:rsidRPr="006A0AD4">
        <w:rPr>
          <w:rFonts w:ascii="Calibri" w:hAnsi="Calibri"/>
        </w:rPr>
        <w:t>, deer, donkeys, fishers, otters, weasels</w:t>
      </w:r>
    </w:p>
    <w:p w:rsidR="00380C00" w:rsidRPr="006A0AD4" w:rsidRDefault="00380C00" w:rsidP="00A85E59">
      <w:pPr>
        <w:rPr>
          <w:rFonts w:ascii="Calibri" w:hAnsi="Calibri"/>
        </w:rPr>
      </w:pPr>
    </w:p>
    <w:p w:rsidR="004D1FDD" w:rsidRDefault="004D1FDD" w:rsidP="009049D6">
      <w:pPr>
        <w:rPr>
          <w:rFonts w:ascii="Calibri" w:hAnsi="Calibri"/>
          <w:b/>
          <w:u w:val="single"/>
        </w:rPr>
        <w:sectPr w:rsidR="004D1FDD" w:rsidSect="004D1FDD">
          <w:pgSz w:w="15840" w:h="12240" w:orient="landscape" w:code="1"/>
          <w:pgMar w:top="1008" w:right="1008" w:bottom="720" w:left="1008" w:header="720" w:footer="720" w:gutter="0"/>
          <w:pgBorders w:offsetFrom="page">
            <w:bottom w:val="dotted" w:sz="4" w:space="24" w:color="auto"/>
          </w:pgBorders>
          <w:cols w:space="720"/>
          <w:docGrid w:linePitch="360"/>
        </w:sectPr>
      </w:pPr>
    </w:p>
    <w:p w:rsidR="007F732A" w:rsidRPr="00C33FCA" w:rsidRDefault="00523163" w:rsidP="009049D6">
      <w:pPr>
        <w:rPr>
          <w:rFonts w:ascii="Calibri" w:hAnsi="Calibri"/>
          <w:b/>
          <w:u w:val="single"/>
        </w:rPr>
      </w:pPr>
      <w:r w:rsidRPr="00C33FCA">
        <w:rPr>
          <w:rFonts w:ascii="Calibri" w:hAnsi="Calibri"/>
          <w:b/>
          <w:u w:val="single"/>
        </w:rPr>
        <w:lastRenderedPageBreak/>
        <w:t xml:space="preserve">Figure </w:t>
      </w:r>
      <w:r w:rsidR="00B11941" w:rsidRPr="00C33FCA">
        <w:rPr>
          <w:rFonts w:ascii="Calibri" w:hAnsi="Calibri"/>
          <w:b/>
          <w:u w:val="single"/>
        </w:rPr>
        <w:t>2</w:t>
      </w:r>
      <w:r w:rsidRPr="00C33FCA">
        <w:rPr>
          <w:rFonts w:ascii="Calibri" w:hAnsi="Calibri"/>
          <w:b/>
          <w:u w:val="single"/>
        </w:rPr>
        <w:t>.</w:t>
      </w:r>
      <w:r w:rsidR="00E44F74" w:rsidRPr="00C33FCA">
        <w:rPr>
          <w:rFonts w:ascii="Calibri" w:hAnsi="Calibri"/>
          <w:b/>
          <w:u w:val="single"/>
        </w:rPr>
        <w:t xml:space="preserve"> Proportion </w:t>
      </w:r>
      <w:r w:rsidR="00E12B42" w:rsidRPr="00C33FCA">
        <w:rPr>
          <w:rFonts w:ascii="Calibri" w:hAnsi="Calibri"/>
          <w:b/>
          <w:u w:val="single"/>
        </w:rPr>
        <w:t xml:space="preserve">of All </w:t>
      </w:r>
      <w:r w:rsidR="00E44F74" w:rsidRPr="00C33FCA">
        <w:rPr>
          <w:rFonts w:ascii="Calibri" w:hAnsi="Calibri"/>
          <w:b/>
          <w:u w:val="single"/>
        </w:rPr>
        <w:t>Positive Results</w:t>
      </w:r>
      <w:r w:rsidR="00E12B42" w:rsidRPr="00C33FCA">
        <w:rPr>
          <w:rFonts w:ascii="Calibri" w:hAnsi="Calibri"/>
          <w:b/>
          <w:u w:val="single"/>
        </w:rPr>
        <w:t xml:space="preserve"> Represented by Each </w:t>
      </w:r>
      <w:r w:rsidR="008E6176">
        <w:rPr>
          <w:rFonts w:ascii="Calibri" w:hAnsi="Calibri"/>
          <w:b/>
          <w:u w:val="single"/>
        </w:rPr>
        <w:t>Animal</w:t>
      </w:r>
      <w:r w:rsidR="007F732A" w:rsidRPr="00C33FCA">
        <w:rPr>
          <w:rFonts w:ascii="Calibri" w:hAnsi="Calibri"/>
          <w:b/>
          <w:u w:val="single"/>
        </w:rPr>
        <w:t>, by Quarter</w:t>
      </w:r>
      <w:r w:rsidR="00D8041D" w:rsidRPr="00C33FCA">
        <w:rPr>
          <w:rFonts w:ascii="Calibri" w:hAnsi="Calibri"/>
          <w:b/>
          <w:u w:val="single"/>
        </w:rPr>
        <w:t>, 201</w:t>
      </w:r>
      <w:r w:rsidR="00AE6304">
        <w:rPr>
          <w:rFonts w:ascii="Calibri" w:hAnsi="Calibri"/>
          <w:b/>
          <w:u w:val="single"/>
        </w:rPr>
        <w:t>7</w:t>
      </w:r>
    </w:p>
    <w:p w:rsidR="00FB76CC" w:rsidRPr="00C33FCA" w:rsidRDefault="00FB76CC" w:rsidP="007A0458">
      <w:pPr>
        <w:jc w:val="center"/>
        <w:rPr>
          <w:rFonts w:ascii="Calibri" w:hAnsi="Calibri"/>
          <w:b/>
          <w:u w:val="single"/>
        </w:rPr>
      </w:pPr>
    </w:p>
    <w:p w:rsidR="00D8459F" w:rsidRPr="00C33FCA" w:rsidRDefault="009729DA" w:rsidP="00565613">
      <w:pPr>
        <w:jc w:val="both"/>
        <w:rPr>
          <w:rFonts w:ascii="Calibri" w:hAnsi="Calibri"/>
        </w:rPr>
      </w:pPr>
      <w:r w:rsidRPr="003029B9">
        <w:rPr>
          <w:noProof/>
        </w:rPr>
        <w:drawing>
          <wp:inline distT="0" distB="0" distL="0" distR="0">
            <wp:extent cx="3117215" cy="2773045"/>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3029B9">
        <w:rPr>
          <w:noProof/>
        </w:rPr>
        <w:drawing>
          <wp:inline distT="0" distB="0" distL="0" distR="0">
            <wp:extent cx="3105150" cy="2773045"/>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3029B9">
        <w:rPr>
          <w:noProof/>
        </w:rPr>
        <w:drawing>
          <wp:inline distT="0" distB="0" distL="0" distR="0">
            <wp:extent cx="3121025" cy="2744470"/>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029B9">
        <w:rPr>
          <w:noProof/>
        </w:rPr>
        <w:drawing>
          <wp:inline distT="0" distB="0" distL="0" distR="0">
            <wp:extent cx="3105150" cy="2744470"/>
            <wp:effectExtent l="0"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25B90" w:rsidRPr="00C33FCA" w:rsidRDefault="00725B90" w:rsidP="00725B90">
      <w:pPr>
        <w:jc w:val="both"/>
        <w:rPr>
          <w:rFonts w:ascii="Calibri" w:hAnsi="Calibri"/>
        </w:rPr>
      </w:pPr>
    </w:p>
    <w:tbl>
      <w:tblPr>
        <w:tblW w:w="9480" w:type="dxa"/>
        <w:tblInd w:w="468" w:type="dxa"/>
        <w:tblBorders>
          <w:insideH w:val="single" w:sz="4" w:space="0" w:color="auto"/>
        </w:tblBorders>
        <w:tblLayout w:type="fixed"/>
        <w:tblLook w:val="01E0" w:firstRow="1" w:lastRow="1" w:firstColumn="1" w:lastColumn="1" w:noHBand="0" w:noVBand="0"/>
      </w:tblPr>
      <w:tblGrid>
        <w:gridCol w:w="600"/>
        <w:gridCol w:w="1200"/>
        <w:gridCol w:w="600"/>
        <w:gridCol w:w="960"/>
        <w:gridCol w:w="600"/>
        <w:gridCol w:w="1080"/>
        <w:gridCol w:w="600"/>
        <w:gridCol w:w="840"/>
        <w:gridCol w:w="480"/>
        <w:gridCol w:w="1440"/>
        <w:gridCol w:w="480"/>
        <w:gridCol w:w="600"/>
      </w:tblGrid>
      <w:tr w:rsidR="00725B90" w:rsidRPr="00C33FCA" w:rsidTr="00BE4613">
        <w:trPr>
          <w:trHeight w:val="293"/>
        </w:trPr>
        <w:tc>
          <w:tcPr>
            <w:tcW w:w="600" w:type="dxa"/>
            <w:tcBorders>
              <w:top w:val="single" w:sz="4" w:space="0" w:color="auto"/>
              <w:left w:val="single" w:sz="4" w:space="0" w:color="auto"/>
              <w:bottom w:val="single" w:sz="4" w:space="0" w:color="auto"/>
              <w:right w:val="single" w:sz="4" w:space="0" w:color="auto"/>
            </w:tcBorders>
            <w:shd w:val="clear" w:color="auto" w:fill="3366FF"/>
          </w:tcPr>
          <w:p w:rsidR="00725B90" w:rsidRPr="00C33FCA" w:rsidRDefault="00725B90" w:rsidP="00BE4613">
            <w:pPr>
              <w:jc w:val="both"/>
              <w:rPr>
                <w:rFonts w:ascii="Calibri" w:hAnsi="Calibri"/>
              </w:rPr>
            </w:pPr>
          </w:p>
        </w:tc>
        <w:tc>
          <w:tcPr>
            <w:tcW w:w="1200" w:type="dxa"/>
            <w:tcBorders>
              <w:left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Raccoon</w:t>
            </w:r>
          </w:p>
        </w:tc>
        <w:tc>
          <w:tcPr>
            <w:tcW w:w="600" w:type="dxa"/>
            <w:tcBorders>
              <w:top w:val="single" w:sz="4" w:space="0" w:color="auto"/>
              <w:left w:val="single" w:sz="4" w:space="0" w:color="auto"/>
              <w:bottom w:val="single" w:sz="4" w:space="0" w:color="auto"/>
              <w:right w:val="single" w:sz="4" w:space="0" w:color="auto"/>
            </w:tcBorders>
            <w:shd w:val="clear" w:color="auto" w:fill="800080"/>
          </w:tcPr>
          <w:p w:rsidR="00725B90" w:rsidRPr="00C33FCA" w:rsidRDefault="00725B90" w:rsidP="00BE4613">
            <w:pPr>
              <w:jc w:val="both"/>
              <w:rPr>
                <w:rFonts w:ascii="Calibri" w:hAnsi="Calibri"/>
              </w:rPr>
            </w:pPr>
          </w:p>
        </w:tc>
        <w:tc>
          <w:tcPr>
            <w:tcW w:w="960" w:type="dxa"/>
            <w:tcBorders>
              <w:left w:val="single" w:sz="4" w:space="0" w:color="auto"/>
              <w:bottom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Skunk</w:t>
            </w:r>
          </w:p>
        </w:tc>
        <w:tc>
          <w:tcPr>
            <w:tcW w:w="600" w:type="dxa"/>
            <w:tcBorders>
              <w:top w:val="single" w:sz="4" w:space="0" w:color="auto"/>
              <w:left w:val="single" w:sz="4" w:space="0" w:color="auto"/>
              <w:bottom w:val="single" w:sz="4" w:space="0" w:color="auto"/>
              <w:right w:val="single" w:sz="4" w:space="0" w:color="auto"/>
            </w:tcBorders>
            <w:shd w:val="clear" w:color="auto" w:fill="FF6600"/>
          </w:tcPr>
          <w:p w:rsidR="00725B90" w:rsidRPr="00C33FCA" w:rsidRDefault="00725B90" w:rsidP="00BE4613">
            <w:pPr>
              <w:jc w:val="both"/>
              <w:rPr>
                <w:rFonts w:ascii="Calibri" w:hAnsi="Calibri"/>
              </w:rPr>
            </w:pPr>
          </w:p>
        </w:tc>
        <w:tc>
          <w:tcPr>
            <w:tcW w:w="1080" w:type="dxa"/>
            <w:tcBorders>
              <w:left w:val="single" w:sz="4" w:space="0" w:color="auto"/>
              <w:bottom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Cat</w:t>
            </w:r>
          </w:p>
        </w:tc>
        <w:tc>
          <w:tcPr>
            <w:tcW w:w="600" w:type="dxa"/>
            <w:tcBorders>
              <w:top w:val="single" w:sz="4" w:space="0" w:color="auto"/>
              <w:left w:val="single" w:sz="4" w:space="0" w:color="auto"/>
              <w:bottom w:val="single" w:sz="4" w:space="0" w:color="auto"/>
              <w:right w:val="single" w:sz="4" w:space="0" w:color="auto"/>
            </w:tcBorders>
            <w:shd w:val="clear" w:color="auto" w:fill="000080"/>
          </w:tcPr>
          <w:p w:rsidR="00725B90" w:rsidRPr="00C33FCA" w:rsidRDefault="00725B90" w:rsidP="00BE4613">
            <w:pPr>
              <w:jc w:val="both"/>
              <w:rPr>
                <w:rFonts w:ascii="Calibri" w:hAnsi="Calibri"/>
              </w:rPr>
            </w:pPr>
          </w:p>
        </w:tc>
        <w:tc>
          <w:tcPr>
            <w:tcW w:w="840" w:type="dxa"/>
            <w:tcBorders>
              <w:left w:val="single" w:sz="4" w:space="0" w:color="auto"/>
              <w:bottom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Fox</w:t>
            </w:r>
          </w:p>
        </w:tc>
        <w:tc>
          <w:tcPr>
            <w:tcW w:w="480" w:type="dxa"/>
            <w:tcBorders>
              <w:top w:val="single" w:sz="4" w:space="0" w:color="auto"/>
              <w:left w:val="single" w:sz="4" w:space="0" w:color="auto"/>
              <w:bottom w:val="single" w:sz="4" w:space="0" w:color="auto"/>
              <w:right w:val="single" w:sz="4" w:space="0" w:color="auto"/>
            </w:tcBorders>
            <w:shd w:val="clear" w:color="auto" w:fill="00FF00"/>
          </w:tcPr>
          <w:p w:rsidR="00725B90" w:rsidRPr="00C33FCA" w:rsidRDefault="00725B90" w:rsidP="00BE4613">
            <w:pPr>
              <w:jc w:val="both"/>
              <w:rPr>
                <w:rFonts w:ascii="Calibri" w:hAnsi="Calibri"/>
              </w:rPr>
            </w:pPr>
          </w:p>
        </w:tc>
        <w:tc>
          <w:tcPr>
            <w:tcW w:w="1440" w:type="dxa"/>
            <w:tcBorders>
              <w:left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Woodchuck</w:t>
            </w:r>
          </w:p>
        </w:tc>
        <w:tc>
          <w:tcPr>
            <w:tcW w:w="480" w:type="dxa"/>
            <w:tcBorders>
              <w:top w:val="single" w:sz="4" w:space="0" w:color="auto"/>
              <w:left w:val="single" w:sz="4" w:space="0" w:color="auto"/>
              <w:bottom w:val="single" w:sz="4" w:space="0" w:color="auto"/>
              <w:right w:val="single" w:sz="4" w:space="0" w:color="auto"/>
            </w:tcBorders>
            <w:shd w:val="clear" w:color="auto" w:fill="CCFFFF"/>
          </w:tcPr>
          <w:p w:rsidR="00725B90" w:rsidRPr="00C33FCA" w:rsidRDefault="00725B90" w:rsidP="00BE4613">
            <w:pPr>
              <w:jc w:val="both"/>
              <w:rPr>
                <w:rFonts w:ascii="Calibri" w:hAnsi="Calibri"/>
              </w:rPr>
            </w:pPr>
          </w:p>
        </w:tc>
        <w:tc>
          <w:tcPr>
            <w:tcW w:w="600" w:type="dxa"/>
            <w:tcBorders>
              <w:lef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Bat</w:t>
            </w:r>
          </w:p>
        </w:tc>
      </w:tr>
      <w:tr w:rsidR="00725B90" w:rsidRPr="00C33FCA" w:rsidTr="00E474B9">
        <w:trPr>
          <w:trHeight w:val="79"/>
        </w:trPr>
        <w:tc>
          <w:tcPr>
            <w:tcW w:w="600" w:type="dxa"/>
            <w:tcBorders>
              <w:top w:val="single" w:sz="4" w:space="0" w:color="auto"/>
              <w:left w:val="single" w:sz="4" w:space="0" w:color="auto"/>
              <w:bottom w:val="single" w:sz="4" w:space="0" w:color="auto"/>
              <w:right w:val="single" w:sz="4" w:space="0" w:color="auto"/>
            </w:tcBorders>
            <w:shd w:val="clear" w:color="auto" w:fill="999999"/>
          </w:tcPr>
          <w:p w:rsidR="00725B90" w:rsidRPr="00C33FCA" w:rsidRDefault="00725B90" w:rsidP="00BE4613">
            <w:pPr>
              <w:jc w:val="both"/>
              <w:rPr>
                <w:rFonts w:ascii="Calibri" w:hAnsi="Calibri"/>
              </w:rPr>
            </w:pPr>
          </w:p>
        </w:tc>
        <w:tc>
          <w:tcPr>
            <w:tcW w:w="1200" w:type="dxa"/>
            <w:tcBorders>
              <w:left w:val="single" w:sz="4" w:space="0" w:color="auto"/>
            </w:tcBorders>
            <w:shd w:val="clear" w:color="auto" w:fill="auto"/>
          </w:tcPr>
          <w:p w:rsidR="00725B90" w:rsidRPr="00C33FCA" w:rsidRDefault="00E474B9" w:rsidP="00BE4613">
            <w:pPr>
              <w:jc w:val="both"/>
              <w:rPr>
                <w:rFonts w:ascii="Calibri" w:hAnsi="Calibri"/>
              </w:rPr>
            </w:pPr>
            <w:r>
              <w:rPr>
                <w:rFonts w:ascii="Calibri" w:hAnsi="Calibri"/>
              </w:rPr>
              <w:t xml:space="preserve">Bob Cat </w:t>
            </w:r>
          </w:p>
        </w:tc>
        <w:tc>
          <w:tcPr>
            <w:tcW w:w="60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96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60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108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60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84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480" w:type="dxa"/>
            <w:tcBorders>
              <w:top w:val="single" w:sz="4" w:space="0" w:color="auto"/>
            </w:tcBorders>
            <w:shd w:val="clear" w:color="auto" w:fill="auto"/>
          </w:tcPr>
          <w:p w:rsidR="00725B90" w:rsidRPr="00C33FCA" w:rsidRDefault="00725B90" w:rsidP="00BE4613">
            <w:pPr>
              <w:jc w:val="both"/>
              <w:rPr>
                <w:rFonts w:ascii="Calibri" w:hAnsi="Calibri"/>
              </w:rPr>
            </w:pPr>
          </w:p>
        </w:tc>
        <w:tc>
          <w:tcPr>
            <w:tcW w:w="1440" w:type="dxa"/>
            <w:shd w:val="clear" w:color="auto" w:fill="auto"/>
          </w:tcPr>
          <w:p w:rsidR="00725B90" w:rsidRPr="00C33FCA" w:rsidRDefault="00725B90" w:rsidP="00BE4613">
            <w:pPr>
              <w:jc w:val="both"/>
              <w:rPr>
                <w:rFonts w:ascii="Calibri" w:hAnsi="Calibri"/>
              </w:rPr>
            </w:pPr>
          </w:p>
        </w:tc>
        <w:tc>
          <w:tcPr>
            <w:tcW w:w="480" w:type="dxa"/>
            <w:tcBorders>
              <w:top w:val="single" w:sz="4" w:space="0" w:color="auto"/>
            </w:tcBorders>
            <w:shd w:val="clear" w:color="auto" w:fill="auto"/>
          </w:tcPr>
          <w:p w:rsidR="00725B90" w:rsidRPr="00C33FCA" w:rsidRDefault="00725B90" w:rsidP="00BE4613">
            <w:pPr>
              <w:jc w:val="both"/>
              <w:rPr>
                <w:rFonts w:ascii="Calibri" w:hAnsi="Calibri"/>
              </w:rPr>
            </w:pPr>
          </w:p>
        </w:tc>
        <w:tc>
          <w:tcPr>
            <w:tcW w:w="600" w:type="dxa"/>
            <w:shd w:val="clear" w:color="auto" w:fill="auto"/>
          </w:tcPr>
          <w:p w:rsidR="00725B90" w:rsidRPr="00C33FCA" w:rsidRDefault="00725B90" w:rsidP="00BE4613">
            <w:pPr>
              <w:jc w:val="both"/>
              <w:rPr>
                <w:rFonts w:ascii="Calibri" w:hAnsi="Calibri"/>
              </w:rPr>
            </w:pPr>
          </w:p>
        </w:tc>
      </w:tr>
    </w:tbl>
    <w:p w:rsidR="007E6964" w:rsidRDefault="007E6964" w:rsidP="00725B90">
      <w:pPr>
        <w:jc w:val="both"/>
        <w:rPr>
          <w:rFonts w:ascii="Calibri" w:hAnsi="Calibri"/>
          <w:b/>
          <w:u w:val="single"/>
        </w:rPr>
      </w:pPr>
    </w:p>
    <w:p w:rsidR="008F0E69" w:rsidRDefault="008F0E69" w:rsidP="00725B90">
      <w:pPr>
        <w:jc w:val="both"/>
        <w:rPr>
          <w:rFonts w:ascii="Calibri" w:hAnsi="Calibri"/>
          <w:b/>
          <w:u w:val="single"/>
        </w:rPr>
      </w:pPr>
    </w:p>
    <w:p w:rsidR="008F0E69" w:rsidRDefault="008F0E69" w:rsidP="003A1771">
      <w:pPr>
        <w:ind w:left="720"/>
        <w:jc w:val="both"/>
        <w:rPr>
          <w:rFonts w:ascii="Calibri" w:hAnsi="Calibri"/>
          <w:b/>
          <w:u w:val="single"/>
        </w:rPr>
        <w:sectPr w:rsidR="008F0E69" w:rsidSect="00BD7D97">
          <w:pgSz w:w="12240" w:h="15840" w:code="1"/>
          <w:pgMar w:top="1008" w:right="720" w:bottom="1008" w:left="1008" w:header="720" w:footer="720" w:gutter="0"/>
          <w:pgBorders w:offsetFrom="page">
            <w:bottom w:val="dotted" w:sz="4" w:space="24" w:color="auto"/>
          </w:pgBorders>
          <w:cols w:space="720"/>
          <w:docGrid w:linePitch="360"/>
        </w:sectPr>
      </w:pPr>
    </w:p>
    <w:p w:rsidR="007E6964" w:rsidRPr="00C33FCA" w:rsidRDefault="007E6964" w:rsidP="007E6964">
      <w:pPr>
        <w:jc w:val="both"/>
        <w:rPr>
          <w:rFonts w:ascii="Calibri" w:hAnsi="Calibri"/>
          <w:b/>
          <w:u w:val="single"/>
        </w:rPr>
      </w:pPr>
      <w:r w:rsidRPr="00C33FCA">
        <w:rPr>
          <w:rFonts w:ascii="Calibri" w:hAnsi="Calibri"/>
          <w:b/>
          <w:u w:val="single"/>
        </w:rPr>
        <w:lastRenderedPageBreak/>
        <w:t>Cumu</w:t>
      </w:r>
      <w:r w:rsidR="007814E4">
        <w:rPr>
          <w:rFonts w:ascii="Calibri" w:hAnsi="Calibri"/>
          <w:b/>
          <w:u w:val="single"/>
        </w:rPr>
        <w:t xml:space="preserve">lative Submissions and </w:t>
      </w:r>
      <w:r w:rsidRPr="00C33FCA">
        <w:rPr>
          <w:rFonts w:ascii="Calibri" w:hAnsi="Calibri"/>
          <w:b/>
          <w:u w:val="single"/>
        </w:rPr>
        <w:t>Results by Month</w:t>
      </w:r>
    </w:p>
    <w:p w:rsidR="00D539B9" w:rsidRDefault="007E6964" w:rsidP="00D539B9">
      <w:pPr>
        <w:jc w:val="both"/>
        <w:rPr>
          <w:rFonts w:ascii="Calibri" w:hAnsi="Calibri"/>
          <w:color w:val="000000"/>
        </w:rPr>
      </w:pPr>
      <w:r w:rsidRPr="00C33FCA">
        <w:rPr>
          <w:rFonts w:ascii="Calibri" w:hAnsi="Calibri"/>
          <w:color w:val="000000"/>
        </w:rPr>
        <w:t xml:space="preserve">Animal submission numbers fluctuated throughout the year. As </w:t>
      </w:r>
      <w:r w:rsidR="00186343">
        <w:rPr>
          <w:rFonts w:ascii="Calibri" w:hAnsi="Calibri"/>
          <w:color w:val="000000"/>
        </w:rPr>
        <w:t xml:space="preserve">might be </w:t>
      </w:r>
      <w:r w:rsidRPr="00C33FCA">
        <w:rPr>
          <w:rFonts w:ascii="Calibri" w:hAnsi="Calibri"/>
          <w:color w:val="000000"/>
        </w:rPr>
        <w:t xml:space="preserve">expected, the highest number of submissions </w:t>
      </w:r>
      <w:r>
        <w:rPr>
          <w:rFonts w:ascii="Calibri" w:hAnsi="Calibri"/>
          <w:color w:val="000000"/>
        </w:rPr>
        <w:t xml:space="preserve">for both terrestrial </w:t>
      </w:r>
      <w:r w:rsidR="007814E4">
        <w:rPr>
          <w:rFonts w:ascii="Calibri" w:hAnsi="Calibri"/>
          <w:color w:val="000000"/>
        </w:rPr>
        <w:t xml:space="preserve">animals </w:t>
      </w:r>
      <w:r>
        <w:rPr>
          <w:rFonts w:ascii="Calibri" w:hAnsi="Calibri"/>
          <w:color w:val="000000"/>
        </w:rPr>
        <w:t xml:space="preserve">and bats </w:t>
      </w:r>
      <w:r w:rsidRPr="00C33FCA">
        <w:rPr>
          <w:rFonts w:ascii="Calibri" w:hAnsi="Calibri"/>
          <w:color w:val="000000"/>
        </w:rPr>
        <w:t xml:space="preserve">occurred during June, July and August (see </w:t>
      </w:r>
      <w:r w:rsidRPr="00C33FCA">
        <w:rPr>
          <w:rFonts w:ascii="Calibri" w:hAnsi="Calibri"/>
          <w:b/>
          <w:color w:val="000000"/>
        </w:rPr>
        <w:t>Table 3</w:t>
      </w:r>
      <w:r w:rsidRPr="00C33FCA">
        <w:rPr>
          <w:rFonts w:ascii="Calibri" w:hAnsi="Calibri"/>
          <w:color w:val="000000"/>
        </w:rPr>
        <w:t xml:space="preserve">). </w:t>
      </w:r>
      <w:r w:rsidR="00D539B9" w:rsidRPr="00C33FCA">
        <w:rPr>
          <w:rFonts w:ascii="Calibri" w:hAnsi="Calibri"/>
          <w:color w:val="000000"/>
        </w:rPr>
        <w:t>This same trend is seen annually and is due to the greater activity of wildlife species during the spring and summer months, coinciding with the time that humans increase outdoor activity. These simultaneous events result in more frequent contact between humans and wildlife, and lead to more animal rabies testing.</w:t>
      </w:r>
    </w:p>
    <w:p w:rsidR="00D539B9" w:rsidRDefault="00D539B9" w:rsidP="007E6964">
      <w:pPr>
        <w:jc w:val="both"/>
        <w:rPr>
          <w:rFonts w:ascii="Calibri" w:hAnsi="Calibri"/>
          <w:color w:val="000000"/>
        </w:rPr>
      </w:pPr>
    </w:p>
    <w:p w:rsidR="007E6964" w:rsidRDefault="007E6964" w:rsidP="007E6964">
      <w:pPr>
        <w:jc w:val="both"/>
        <w:rPr>
          <w:rFonts w:ascii="Calibri" w:hAnsi="Calibri"/>
          <w:color w:val="000000"/>
        </w:rPr>
      </w:pPr>
      <w:r w:rsidRPr="00C33FCA">
        <w:rPr>
          <w:rFonts w:ascii="Calibri" w:hAnsi="Calibri"/>
          <w:color w:val="000000"/>
        </w:rPr>
        <w:t xml:space="preserve">The proportion of animals testing positive </w:t>
      </w:r>
      <w:r>
        <w:rPr>
          <w:rFonts w:ascii="Calibri" w:hAnsi="Calibri"/>
          <w:color w:val="000000"/>
        </w:rPr>
        <w:t xml:space="preserve">and unsatisfactory </w:t>
      </w:r>
      <w:r w:rsidRPr="00C33FCA">
        <w:rPr>
          <w:rFonts w:ascii="Calibri" w:hAnsi="Calibri"/>
          <w:color w:val="000000"/>
        </w:rPr>
        <w:t xml:space="preserve">for rabies also varies throughout the year, generally showing a consistent pattern from year-to-year (see </w:t>
      </w:r>
      <w:r w:rsidRPr="00C33FCA">
        <w:rPr>
          <w:rFonts w:ascii="Calibri" w:hAnsi="Calibri"/>
          <w:b/>
          <w:color w:val="000000"/>
        </w:rPr>
        <w:t xml:space="preserve">Table </w:t>
      </w:r>
      <w:r>
        <w:rPr>
          <w:rFonts w:ascii="Calibri" w:hAnsi="Calibri"/>
          <w:b/>
          <w:color w:val="000000"/>
        </w:rPr>
        <w:t>3 and Figure 3</w:t>
      </w:r>
      <w:r w:rsidRPr="00C33FCA">
        <w:rPr>
          <w:rFonts w:ascii="Calibri" w:hAnsi="Calibri"/>
          <w:color w:val="000000"/>
        </w:rPr>
        <w:t xml:space="preserve">). The change in the percent positive is normally small between years during the same month and significant departures from this seasonal pattern can be used to detect alterations in the intensity of virus circulation in an area. </w:t>
      </w:r>
      <w:r w:rsidR="008B454C">
        <w:rPr>
          <w:rFonts w:ascii="Calibri" w:hAnsi="Calibri"/>
          <w:color w:val="000000"/>
        </w:rPr>
        <w:t xml:space="preserve">Of note, </w:t>
      </w:r>
      <w:r w:rsidR="00B34CDC">
        <w:rPr>
          <w:rFonts w:ascii="Calibri" w:hAnsi="Calibri"/>
          <w:color w:val="000000"/>
        </w:rPr>
        <w:t xml:space="preserve">the number of bats submitted for testing </w:t>
      </w:r>
      <w:r w:rsidR="00554D17">
        <w:rPr>
          <w:rFonts w:ascii="Calibri" w:hAnsi="Calibri"/>
          <w:color w:val="000000"/>
        </w:rPr>
        <w:t>increased</w:t>
      </w:r>
      <w:r w:rsidR="00B34CDC">
        <w:rPr>
          <w:rFonts w:ascii="Calibri" w:hAnsi="Calibri"/>
          <w:color w:val="000000"/>
        </w:rPr>
        <w:t xml:space="preserve"> between 201</w:t>
      </w:r>
      <w:r w:rsidR="00554D17">
        <w:rPr>
          <w:rFonts w:ascii="Calibri" w:hAnsi="Calibri"/>
          <w:color w:val="000000"/>
        </w:rPr>
        <w:t>6</w:t>
      </w:r>
      <w:r w:rsidR="00B34CDC">
        <w:rPr>
          <w:rFonts w:ascii="Calibri" w:hAnsi="Calibri"/>
          <w:color w:val="000000"/>
        </w:rPr>
        <w:t xml:space="preserve"> and 201</w:t>
      </w:r>
      <w:r w:rsidR="00554D17">
        <w:rPr>
          <w:rFonts w:ascii="Calibri" w:hAnsi="Calibri"/>
          <w:color w:val="000000"/>
        </w:rPr>
        <w:t>7 and the number of terrestrial animals decreased significantly between this same time period</w:t>
      </w:r>
      <w:r w:rsidR="00B34CDC">
        <w:rPr>
          <w:rFonts w:ascii="Calibri" w:hAnsi="Calibri"/>
          <w:color w:val="000000"/>
        </w:rPr>
        <w:t xml:space="preserve">. </w:t>
      </w:r>
    </w:p>
    <w:p w:rsidR="009C721B" w:rsidRDefault="009C721B" w:rsidP="007E6964">
      <w:pPr>
        <w:jc w:val="both"/>
        <w:rPr>
          <w:rFonts w:ascii="Calibri" w:hAnsi="Calibri"/>
          <w:color w:val="000000"/>
        </w:rPr>
      </w:pPr>
    </w:p>
    <w:tbl>
      <w:tblPr>
        <w:tblW w:w="14022" w:type="dxa"/>
        <w:tblInd w:w="18" w:type="dxa"/>
        <w:tblLook w:val="04A0" w:firstRow="1" w:lastRow="0" w:firstColumn="1" w:lastColumn="0" w:noHBand="0" w:noVBand="1"/>
      </w:tblPr>
      <w:tblGrid>
        <w:gridCol w:w="1126"/>
        <w:gridCol w:w="997"/>
        <w:gridCol w:w="490"/>
        <w:gridCol w:w="528"/>
        <w:gridCol w:w="621"/>
        <w:gridCol w:w="678"/>
        <w:gridCol w:w="997"/>
        <w:gridCol w:w="399"/>
        <w:gridCol w:w="439"/>
        <w:gridCol w:w="621"/>
        <w:gridCol w:w="678"/>
        <w:gridCol w:w="997"/>
        <w:gridCol w:w="399"/>
        <w:gridCol w:w="528"/>
        <w:gridCol w:w="627"/>
        <w:gridCol w:w="673"/>
        <w:gridCol w:w="997"/>
        <w:gridCol w:w="399"/>
        <w:gridCol w:w="528"/>
        <w:gridCol w:w="565"/>
        <w:gridCol w:w="735"/>
      </w:tblGrid>
      <w:tr w:rsidR="00554D17" w:rsidRPr="00554D17" w:rsidTr="00554D17">
        <w:trPr>
          <w:trHeight w:val="293"/>
        </w:trPr>
        <w:tc>
          <w:tcPr>
            <w:tcW w:w="14022" w:type="dxa"/>
            <w:gridSpan w:val="21"/>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54D17" w:rsidRPr="009C47BF" w:rsidRDefault="00554D17" w:rsidP="00554D17">
            <w:pPr>
              <w:jc w:val="center"/>
              <w:rPr>
                <w:rFonts w:ascii="Calibri" w:hAnsi="Calibri" w:cs="Arial"/>
                <w:b/>
                <w:bCs/>
              </w:rPr>
            </w:pPr>
            <w:r w:rsidRPr="009C47BF">
              <w:rPr>
                <w:rFonts w:ascii="Calibri" w:hAnsi="Calibri" w:cs="Arial"/>
                <w:b/>
                <w:bCs/>
              </w:rPr>
              <w:t>Table 3. Submissions, Number Positive for Rabies, and Percent Positive by Month and Animal Type: 2016 and 2017</w:t>
            </w:r>
          </w:p>
        </w:tc>
      </w:tr>
      <w:tr w:rsidR="00554D17" w:rsidRPr="00554D17" w:rsidTr="00554D17">
        <w:trPr>
          <w:trHeight w:val="270"/>
        </w:trPr>
        <w:tc>
          <w:tcPr>
            <w:tcW w:w="14022" w:type="dxa"/>
            <w:gridSpan w:val="21"/>
            <w:vMerge/>
            <w:tcBorders>
              <w:top w:val="single" w:sz="8" w:space="0" w:color="auto"/>
              <w:left w:val="single" w:sz="8" w:space="0" w:color="auto"/>
              <w:bottom w:val="single" w:sz="8" w:space="0" w:color="000000"/>
              <w:right w:val="single" w:sz="8" w:space="0" w:color="000000"/>
            </w:tcBorders>
            <w:vAlign w:val="center"/>
            <w:hideMark/>
          </w:tcPr>
          <w:p w:rsidR="00554D17" w:rsidRPr="009C47BF" w:rsidRDefault="00554D17" w:rsidP="00554D17">
            <w:pPr>
              <w:jc w:val="center"/>
              <w:rPr>
                <w:rFonts w:ascii="Calibri" w:hAnsi="Calibri" w:cs="Arial"/>
                <w:b/>
                <w:bCs/>
                <w:sz w:val="18"/>
                <w:szCs w:val="18"/>
              </w:rPr>
            </w:pPr>
          </w:p>
        </w:tc>
      </w:tr>
      <w:tr w:rsidR="00554D17" w:rsidRPr="00554D17" w:rsidTr="00554D17">
        <w:trPr>
          <w:trHeight w:val="270"/>
        </w:trPr>
        <w:tc>
          <w:tcPr>
            <w:tcW w:w="1126"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b/>
                <w:bCs/>
                <w:sz w:val="18"/>
                <w:szCs w:val="18"/>
              </w:rPr>
            </w:pPr>
          </w:p>
        </w:tc>
        <w:tc>
          <w:tcPr>
            <w:tcW w:w="5149" w:type="dxa"/>
            <w:gridSpan w:val="8"/>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b/>
                <w:bCs/>
              </w:rPr>
            </w:pPr>
            <w:r w:rsidRPr="009C47BF">
              <w:rPr>
                <w:rFonts w:ascii="Calibri" w:hAnsi="Calibri" w:cs="Arial"/>
                <w:b/>
                <w:bCs/>
              </w:rPr>
              <w:t>TERRESTRIAL ANIMALS</w:t>
            </w:r>
          </w:p>
        </w:tc>
        <w:tc>
          <w:tcPr>
            <w:tcW w:w="621" w:type="dxa"/>
            <w:tcBorders>
              <w:top w:val="nil"/>
              <w:left w:val="nil"/>
              <w:bottom w:val="single" w:sz="8" w:space="0" w:color="auto"/>
              <w:right w:val="nil"/>
            </w:tcBorders>
            <w:shd w:val="clear" w:color="000000" w:fill="C0C0C0"/>
            <w:vAlign w:val="center"/>
            <w:hideMark/>
          </w:tcPr>
          <w:p w:rsidR="00554D17" w:rsidRPr="009C47BF" w:rsidRDefault="00554D17" w:rsidP="00554D17">
            <w:pPr>
              <w:jc w:val="center"/>
              <w:rPr>
                <w:rFonts w:ascii="Calibri" w:hAnsi="Calibri" w:cs="Arial"/>
                <w:b/>
                <w:bCs/>
              </w:rPr>
            </w:pPr>
          </w:p>
        </w:tc>
        <w:tc>
          <w:tcPr>
            <w:tcW w:w="678" w:type="dxa"/>
            <w:tcBorders>
              <w:top w:val="nil"/>
              <w:left w:val="nil"/>
              <w:bottom w:val="single" w:sz="8" w:space="0" w:color="auto"/>
              <w:right w:val="single" w:sz="8" w:space="0" w:color="000000"/>
            </w:tcBorders>
            <w:shd w:val="clear" w:color="000000" w:fill="C0C0C0"/>
            <w:vAlign w:val="center"/>
            <w:hideMark/>
          </w:tcPr>
          <w:p w:rsidR="00554D17" w:rsidRPr="009C47BF" w:rsidRDefault="00554D17" w:rsidP="00554D17">
            <w:pPr>
              <w:jc w:val="center"/>
              <w:rPr>
                <w:rFonts w:ascii="Calibri" w:hAnsi="Calibri" w:cs="Arial"/>
                <w:b/>
                <w:bCs/>
              </w:rPr>
            </w:pPr>
          </w:p>
        </w:tc>
        <w:tc>
          <w:tcPr>
            <w:tcW w:w="6448" w:type="dxa"/>
            <w:gridSpan w:val="10"/>
            <w:tcBorders>
              <w:top w:val="single" w:sz="8" w:space="0" w:color="auto"/>
              <w:left w:val="nil"/>
              <w:bottom w:val="single" w:sz="8" w:space="0" w:color="auto"/>
              <w:right w:val="single" w:sz="8" w:space="0" w:color="000000"/>
            </w:tcBorders>
            <w:shd w:val="clear" w:color="auto" w:fill="auto"/>
            <w:vAlign w:val="center"/>
            <w:hideMark/>
          </w:tcPr>
          <w:p w:rsidR="00554D17" w:rsidRPr="009C47BF" w:rsidRDefault="00554D17" w:rsidP="00554D17">
            <w:pPr>
              <w:jc w:val="center"/>
              <w:rPr>
                <w:rFonts w:ascii="Calibri" w:hAnsi="Calibri" w:cs="Arial"/>
                <w:b/>
                <w:bCs/>
              </w:rPr>
            </w:pPr>
            <w:r w:rsidRPr="009C47BF">
              <w:rPr>
                <w:rFonts w:ascii="Calibri" w:hAnsi="Calibri" w:cs="Arial"/>
                <w:b/>
                <w:bCs/>
              </w:rPr>
              <w:t>BATS</w:t>
            </w:r>
          </w:p>
        </w:tc>
      </w:tr>
      <w:tr w:rsidR="00554D17" w:rsidRPr="00554D17" w:rsidTr="00554D17">
        <w:trPr>
          <w:trHeight w:val="585"/>
        </w:trPr>
        <w:tc>
          <w:tcPr>
            <w:tcW w:w="1126"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b/>
                <w:bCs/>
                <w:sz w:val="20"/>
                <w:szCs w:val="20"/>
              </w:rPr>
            </w:pPr>
            <w:r w:rsidRPr="009C47BF">
              <w:rPr>
                <w:rFonts w:ascii="Calibri" w:hAnsi="Calibri" w:cs="Arial"/>
                <w:b/>
                <w:bCs/>
                <w:sz w:val="20"/>
                <w:szCs w:val="20"/>
              </w:rPr>
              <w:t>Month</w:t>
            </w:r>
          </w:p>
        </w:tc>
        <w:tc>
          <w:tcPr>
            <w:tcW w:w="997" w:type="dxa"/>
            <w:tcBorders>
              <w:top w:val="nil"/>
              <w:left w:val="nil"/>
              <w:bottom w:val="nil"/>
              <w:right w:val="single" w:sz="8" w:space="0" w:color="auto"/>
            </w:tcBorders>
            <w:shd w:val="clear" w:color="000000" w:fill="C0C0C0"/>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Submitted 2016</w:t>
            </w:r>
          </w:p>
        </w:tc>
        <w:tc>
          <w:tcPr>
            <w:tcW w:w="1018" w:type="dxa"/>
            <w:gridSpan w:val="2"/>
            <w:tcBorders>
              <w:top w:val="single" w:sz="8" w:space="0" w:color="auto"/>
              <w:left w:val="nil"/>
              <w:bottom w:val="single" w:sz="8" w:space="0" w:color="auto"/>
              <w:right w:val="single" w:sz="8" w:space="0" w:color="000000"/>
            </w:tcBorders>
            <w:shd w:val="clear" w:color="000000" w:fill="C0C0C0"/>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Positive 2016</w:t>
            </w:r>
          </w:p>
        </w:tc>
        <w:tc>
          <w:tcPr>
            <w:tcW w:w="1299" w:type="dxa"/>
            <w:gridSpan w:val="2"/>
            <w:tcBorders>
              <w:top w:val="single" w:sz="8" w:space="0" w:color="auto"/>
              <w:left w:val="nil"/>
              <w:bottom w:val="single" w:sz="8" w:space="0" w:color="auto"/>
              <w:right w:val="single" w:sz="8" w:space="0" w:color="000000"/>
            </w:tcBorders>
            <w:shd w:val="clear" w:color="000000" w:fill="C0C0C0"/>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Unsatisfactory 2016</w:t>
            </w:r>
          </w:p>
        </w:tc>
        <w:tc>
          <w:tcPr>
            <w:tcW w:w="997"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Submitted 2017</w:t>
            </w:r>
          </w:p>
        </w:tc>
        <w:tc>
          <w:tcPr>
            <w:tcW w:w="838" w:type="dxa"/>
            <w:gridSpan w:val="2"/>
            <w:tcBorders>
              <w:top w:val="single" w:sz="8" w:space="0" w:color="auto"/>
              <w:left w:val="nil"/>
              <w:bottom w:val="single" w:sz="8" w:space="0" w:color="auto"/>
              <w:right w:val="single" w:sz="8" w:space="0" w:color="000000"/>
            </w:tcBorders>
            <w:shd w:val="clear" w:color="000000" w:fill="BFBFBF"/>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Positive 2017</w:t>
            </w:r>
          </w:p>
        </w:tc>
        <w:tc>
          <w:tcPr>
            <w:tcW w:w="1299" w:type="dxa"/>
            <w:gridSpan w:val="2"/>
            <w:tcBorders>
              <w:top w:val="single" w:sz="8" w:space="0" w:color="auto"/>
              <w:left w:val="nil"/>
              <w:bottom w:val="single" w:sz="8" w:space="0" w:color="auto"/>
              <w:right w:val="single" w:sz="8" w:space="0" w:color="000000"/>
            </w:tcBorders>
            <w:shd w:val="clear" w:color="000000" w:fill="BFBFBF"/>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Unsatisfactory 2017</w:t>
            </w:r>
          </w:p>
        </w:tc>
        <w:tc>
          <w:tcPr>
            <w:tcW w:w="997"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Submitted 2016</w:t>
            </w:r>
          </w:p>
        </w:tc>
        <w:tc>
          <w:tcPr>
            <w:tcW w:w="927" w:type="dxa"/>
            <w:gridSpan w:val="2"/>
            <w:tcBorders>
              <w:top w:val="single" w:sz="8" w:space="0" w:color="auto"/>
              <w:left w:val="nil"/>
              <w:bottom w:val="single" w:sz="8" w:space="0" w:color="000000"/>
              <w:right w:val="nil"/>
            </w:tcBorders>
            <w:shd w:val="clear" w:color="auto" w:fill="auto"/>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Positive 2016</w:t>
            </w:r>
          </w:p>
        </w:tc>
        <w:tc>
          <w:tcPr>
            <w:tcW w:w="13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Unsatisfactory 2016</w:t>
            </w:r>
          </w:p>
        </w:tc>
        <w:tc>
          <w:tcPr>
            <w:tcW w:w="997"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Submitted 2017</w:t>
            </w:r>
          </w:p>
        </w:tc>
        <w:tc>
          <w:tcPr>
            <w:tcW w:w="927" w:type="dxa"/>
            <w:gridSpan w:val="2"/>
            <w:tcBorders>
              <w:top w:val="single" w:sz="8" w:space="0" w:color="auto"/>
              <w:left w:val="nil"/>
              <w:bottom w:val="single" w:sz="8" w:space="0" w:color="000000"/>
              <w:right w:val="nil"/>
            </w:tcBorders>
            <w:shd w:val="clear" w:color="auto" w:fill="auto"/>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Positive 2017</w:t>
            </w:r>
          </w:p>
        </w:tc>
        <w:tc>
          <w:tcPr>
            <w:tcW w:w="13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Unsatisfactory 2017</w:t>
            </w:r>
          </w:p>
        </w:tc>
      </w:tr>
      <w:tr w:rsidR="00554D17" w:rsidRPr="00554D17" w:rsidTr="00554D17">
        <w:trPr>
          <w:trHeight w:val="270"/>
        </w:trPr>
        <w:tc>
          <w:tcPr>
            <w:tcW w:w="1126"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20"/>
                <w:szCs w:val="20"/>
              </w:rPr>
            </w:pPr>
            <w:r w:rsidRPr="009C47BF">
              <w:rPr>
                <w:rFonts w:ascii="Calibri" w:hAnsi="Calibri" w:cs="Arial"/>
                <w:sz w:val="20"/>
                <w:szCs w:val="20"/>
              </w:rPr>
              <w:t>January</w:t>
            </w:r>
          </w:p>
        </w:tc>
        <w:tc>
          <w:tcPr>
            <w:tcW w:w="997" w:type="dxa"/>
            <w:tcBorders>
              <w:top w:val="single" w:sz="8" w:space="0" w:color="auto"/>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106</w:t>
            </w:r>
          </w:p>
        </w:tc>
        <w:tc>
          <w:tcPr>
            <w:tcW w:w="490"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5</w:t>
            </w:r>
          </w:p>
        </w:tc>
        <w:tc>
          <w:tcPr>
            <w:tcW w:w="528" w:type="dxa"/>
            <w:tcBorders>
              <w:top w:val="nil"/>
              <w:left w:val="nil"/>
              <w:bottom w:val="single" w:sz="8" w:space="0" w:color="auto"/>
              <w:right w:val="nil"/>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5%</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678" w:type="dxa"/>
            <w:tcBorders>
              <w:top w:val="nil"/>
              <w:left w:val="nil"/>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997"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113</w:t>
            </w:r>
          </w:p>
        </w:tc>
        <w:tc>
          <w:tcPr>
            <w:tcW w:w="399"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6</w:t>
            </w:r>
          </w:p>
        </w:tc>
        <w:tc>
          <w:tcPr>
            <w:tcW w:w="439"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5%</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0</w:t>
            </w:r>
          </w:p>
        </w:tc>
        <w:tc>
          <w:tcPr>
            <w:tcW w:w="678"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29</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3%</w:t>
            </w:r>
          </w:p>
        </w:tc>
        <w:tc>
          <w:tcPr>
            <w:tcW w:w="627"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7</w:t>
            </w:r>
          </w:p>
        </w:tc>
        <w:tc>
          <w:tcPr>
            <w:tcW w:w="673"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24%</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27</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565"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5</w:t>
            </w:r>
          </w:p>
        </w:tc>
        <w:tc>
          <w:tcPr>
            <w:tcW w:w="735"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19%</w:t>
            </w:r>
          </w:p>
        </w:tc>
      </w:tr>
      <w:tr w:rsidR="00554D17" w:rsidRPr="00554D17" w:rsidTr="00554D17">
        <w:trPr>
          <w:trHeight w:val="270"/>
        </w:trPr>
        <w:tc>
          <w:tcPr>
            <w:tcW w:w="1126"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20"/>
                <w:szCs w:val="20"/>
              </w:rPr>
            </w:pPr>
            <w:r w:rsidRPr="009C47BF">
              <w:rPr>
                <w:rFonts w:ascii="Calibri" w:hAnsi="Calibri" w:cs="Arial"/>
                <w:sz w:val="20"/>
                <w:szCs w:val="20"/>
              </w:rPr>
              <w:t>February</w:t>
            </w:r>
          </w:p>
        </w:tc>
        <w:tc>
          <w:tcPr>
            <w:tcW w:w="997"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99</w:t>
            </w:r>
          </w:p>
        </w:tc>
        <w:tc>
          <w:tcPr>
            <w:tcW w:w="490"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7</w:t>
            </w:r>
          </w:p>
        </w:tc>
        <w:tc>
          <w:tcPr>
            <w:tcW w:w="528" w:type="dxa"/>
            <w:tcBorders>
              <w:top w:val="nil"/>
              <w:left w:val="nil"/>
              <w:bottom w:val="single" w:sz="8" w:space="0" w:color="auto"/>
              <w:right w:val="nil"/>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7%</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678" w:type="dxa"/>
            <w:tcBorders>
              <w:top w:val="nil"/>
              <w:left w:val="nil"/>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997"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88</w:t>
            </w:r>
          </w:p>
        </w:tc>
        <w:tc>
          <w:tcPr>
            <w:tcW w:w="399"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4</w:t>
            </w:r>
          </w:p>
        </w:tc>
        <w:tc>
          <w:tcPr>
            <w:tcW w:w="439"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5%</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w:t>
            </w:r>
          </w:p>
        </w:tc>
        <w:tc>
          <w:tcPr>
            <w:tcW w:w="678"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23</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0%</w:t>
            </w:r>
          </w:p>
        </w:tc>
        <w:tc>
          <w:tcPr>
            <w:tcW w:w="627"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673"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13%</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24</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565"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735"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0%</w:t>
            </w:r>
          </w:p>
        </w:tc>
      </w:tr>
      <w:tr w:rsidR="00554D17" w:rsidRPr="00554D17" w:rsidTr="00554D17">
        <w:trPr>
          <w:trHeight w:val="270"/>
        </w:trPr>
        <w:tc>
          <w:tcPr>
            <w:tcW w:w="1126"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20"/>
                <w:szCs w:val="20"/>
              </w:rPr>
            </w:pPr>
            <w:r w:rsidRPr="009C47BF">
              <w:rPr>
                <w:rFonts w:ascii="Calibri" w:hAnsi="Calibri" w:cs="Arial"/>
                <w:sz w:val="20"/>
                <w:szCs w:val="20"/>
              </w:rPr>
              <w:t>March</w:t>
            </w:r>
          </w:p>
        </w:tc>
        <w:tc>
          <w:tcPr>
            <w:tcW w:w="997"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117</w:t>
            </w:r>
          </w:p>
        </w:tc>
        <w:tc>
          <w:tcPr>
            <w:tcW w:w="490"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12</w:t>
            </w:r>
          </w:p>
        </w:tc>
        <w:tc>
          <w:tcPr>
            <w:tcW w:w="528" w:type="dxa"/>
            <w:tcBorders>
              <w:top w:val="nil"/>
              <w:left w:val="nil"/>
              <w:bottom w:val="single" w:sz="8" w:space="0" w:color="auto"/>
              <w:right w:val="nil"/>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10%</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w:t>
            </w:r>
          </w:p>
        </w:tc>
        <w:tc>
          <w:tcPr>
            <w:tcW w:w="678" w:type="dxa"/>
            <w:tcBorders>
              <w:top w:val="nil"/>
              <w:left w:val="nil"/>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w:t>
            </w:r>
          </w:p>
        </w:tc>
        <w:tc>
          <w:tcPr>
            <w:tcW w:w="997"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117</w:t>
            </w:r>
          </w:p>
        </w:tc>
        <w:tc>
          <w:tcPr>
            <w:tcW w:w="399"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2</w:t>
            </w:r>
          </w:p>
        </w:tc>
        <w:tc>
          <w:tcPr>
            <w:tcW w:w="439"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2</w:t>
            </w:r>
          </w:p>
        </w:tc>
        <w:tc>
          <w:tcPr>
            <w:tcW w:w="678"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26</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4%</w:t>
            </w:r>
          </w:p>
        </w:tc>
        <w:tc>
          <w:tcPr>
            <w:tcW w:w="627"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6</w:t>
            </w:r>
          </w:p>
        </w:tc>
        <w:tc>
          <w:tcPr>
            <w:tcW w:w="673"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23%</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34</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565"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735"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3%</w:t>
            </w:r>
          </w:p>
        </w:tc>
      </w:tr>
      <w:tr w:rsidR="00554D17" w:rsidRPr="00554D17" w:rsidTr="00554D17">
        <w:trPr>
          <w:trHeight w:val="270"/>
        </w:trPr>
        <w:tc>
          <w:tcPr>
            <w:tcW w:w="1126"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20"/>
                <w:szCs w:val="20"/>
              </w:rPr>
            </w:pPr>
            <w:r w:rsidRPr="009C47BF">
              <w:rPr>
                <w:rFonts w:ascii="Calibri" w:hAnsi="Calibri" w:cs="Arial"/>
                <w:sz w:val="20"/>
                <w:szCs w:val="20"/>
              </w:rPr>
              <w:t>April</w:t>
            </w:r>
          </w:p>
        </w:tc>
        <w:tc>
          <w:tcPr>
            <w:tcW w:w="997"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124</w:t>
            </w:r>
          </w:p>
        </w:tc>
        <w:tc>
          <w:tcPr>
            <w:tcW w:w="490"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7</w:t>
            </w:r>
          </w:p>
        </w:tc>
        <w:tc>
          <w:tcPr>
            <w:tcW w:w="528" w:type="dxa"/>
            <w:tcBorders>
              <w:top w:val="nil"/>
              <w:left w:val="nil"/>
              <w:bottom w:val="single" w:sz="8" w:space="0" w:color="auto"/>
              <w:right w:val="nil"/>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6%</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678" w:type="dxa"/>
            <w:tcBorders>
              <w:top w:val="nil"/>
              <w:left w:val="nil"/>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997"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103</w:t>
            </w:r>
          </w:p>
        </w:tc>
        <w:tc>
          <w:tcPr>
            <w:tcW w:w="399"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6</w:t>
            </w:r>
          </w:p>
        </w:tc>
        <w:tc>
          <w:tcPr>
            <w:tcW w:w="439"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6%</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2</w:t>
            </w:r>
          </w:p>
        </w:tc>
        <w:tc>
          <w:tcPr>
            <w:tcW w:w="678"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18</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0%</w:t>
            </w:r>
          </w:p>
        </w:tc>
        <w:tc>
          <w:tcPr>
            <w:tcW w:w="627"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673"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6%</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25</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4%</w:t>
            </w:r>
          </w:p>
        </w:tc>
        <w:tc>
          <w:tcPr>
            <w:tcW w:w="565"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735"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12%</w:t>
            </w:r>
          </w:p>
        </w:tc>
      </w:tr>
      <w:tr w:rsidR="00554D17" w:rsidRPr="00554D17" w:rsidTr="00554D17">
        <w:trPr>
          <w:trHeight w:val="270"/>
        </w:trPr>
        <w:tc>
          <w:tcPr>
            <w:tcW w:w="1126"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20"/>
                <w:szCs w:val="20"/>
              </w:rPr>
            </w:pPr>
            <w:r w:rsidRPr="009C47BF">
              <w:rPr>
                <w:rFonts w:ascii="Calibri" w:hAnsi="Calibri" w:cs="Arial"/>
                <w:sz w:val="20"/>
                <w:szCs w:val="20"/>
              </w:rPr>
              <w:t>May</w:t>
            </w:r>
          </w:p>
        </w:tc>
        <w:tc>
          <w:tcPr>
            <w:tcW w:w="997"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151</w:t>
            </w:r>
          </w:p>
        </w:tc>
        <w:tc>
          <w:tcPr>
            <w:tcW w:w="490"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10</w:t>
            </w:r>
          </w:p>
        </w:tc>
        <w:tc>
          <w:tcPr>
            <w:tcW w:w="528" w:type="dxa"/>
            <w:tcBorders>
              <w:top w:val="nil"/>
              <w:left w:val="nil"/>
              <w:bottom w:val="single" w:sz="8" w:space="0" w:color="auto"/>
              <w:right w:val="nil"/>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7%</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w:t>
            </w:r>
          </w:p>
        </w:tc>
        <w:tc>
          <w:tcPr>
            <w:tcW w:w="678" w:type="dxa"/>
            <w:tcBorders>
              <w:top w:val="nil"/>
              <w:left w:val="nil"/>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997"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140</w:t>
            </w:r>
          </w:p>
        </w:tc>
        <w:tc>
          <w:tcPr>
            <w:tcW w:w="399"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6</w:t>
            </w:r>
          </w:p>
        </w:tc>
        <w:tc>
          <w:tcPr>
            <w:tcW w:w="439"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4%</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w:t>
            </w:r>
          </w:p>
        </w:tc>
        <w:tc>
          <w:tcPr>
            <w:tcW w:w="678"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37</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5%</w:t>
            </w:r>
          </w:p>
        </w:tc>
        <w:tc>
          <w:tcPr>
            <w:tcW w:w="627"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4</w:t>
            </w:r>
          </w:p>
        </w:tc>
        <w:tc>
          <w:tcPr>
            <w:tcW w:w="673"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11%</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33</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6%</w:t>
            </w:r>
          </w:p>
        </w:tc>
        <w:tc>
          <w:tcPr>
            <w:tcW w:w="565"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w:t>
            </w:r>
          </w:p>
        </w:tc>
        <w:tc>
          <w:tcPr>
            <w:tcW w:w="735"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6%</w:t>
            </w:r>
          </w:p>
        </w:tc>
      </w:tr>
      <w:tr w:rsidR="00554D17" w:rsidRPr="00554D17" w:rsidTr="00554D17">
        <w:trPr>
          <w:trHeight w:val="270"/>
        </w:trPr>
        <w:tc>
          <w:tcPr>
            <w:tcW w:w="1126"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20"/>
                <w:szCs w:val="20"/>
              </w:rPr>
            </w:pPr>
            <w:r w:rsidRPr="009C47BF">
              <w:rPr>
                <w:rFonts w:ascii="Calibri" w:hAnsi="Calibri" w:cs="Arial"/>
                <w:sz w:val="20"/>
                <w:szCs w:val="20"/>
              </w:rPr>
              <w:t>June</w:t>
            </w:r>
          </w:p>
        </w:tc>
        <w:tc>
          <w:tcPr>
            <w:tcW w:w="997"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201</w:t>
            </w:r>
          </w:p>
        </w:tc>
        <w:tc>
          <w:tcPr>
            <w:tcW w:w="490"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8</w:t>
            </w:r>
          </w:p>
        </w:tc>
        <w:tc>
          <w:tcPr>
            <w:tcW w:w="528" w:type="dxa"/>
            <w:tcBorders>
              <w:top w:val="nil"/>
              <w:left w:val="nil"/>
              <w:bottom w:val="single" w:sz="8" w:space="0" w:color="auto"/>
              <w:right w:val="nil"/>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4%</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6</w:t>
            </w:r>
          </w:p>
        </w:tc>
        <w:tc>
          <w:tcPr>
            <w:tcW w:w="678" w:type="dxa"/>
            <w:tcBorders>
              <w:top w:val="nil"/>
              <w:left w:val="nil"/>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997"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191</w:t>
            </w:r>
          </w:p>
        </w:tc>
        <w:tc>
          <w:tcPr>
            <w:tcW w:w="399"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8</w:t>
            </w:r>
          </w:p>
        </w:tc>
        <w:tc>
          <w:tcPr>
            <w:tcW w:w="439"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4%</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5</w:t>
            </w:r>
          </w:p>
        </w:tc>
        <w:tc>
          <w:tcPr>
            <w:tcW w:w="678"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153</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w:t>
            </w:r>
          </w:p>
        </w:tc>
        <w:tc>
          <w:tcPr>
            <w:tcW w:w="627"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24</w:t>
            </w:r>
          </w:p>
        </w:tc>
        <w:tc>
          <w:tcPr>
            <w:tcW w:w="673"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16%</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124</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w:t>
            </w:r>
          </w:p>
        </w:tc>
        <w:tc>
          <w:tcPr>
            <w:tcW w:w="565"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8</w:t>
            </w:r>
          </w:p>
        </w:tc>
        <w:tc>
          <w:tcPr>
            <w:tcW w:w="735"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6%</w:t>
            </w:r>
          </w:p>
        </w:tc>
      </w:tr>
      <w:tr w:rsidR="00554D17" w:rsidRPr="00554D17" w:rsidTr="00554D17">
        <w:trPr>
          <w:trHeight w:val="270"/>
        </w:trPr>
        <w:tc>
          <w:tcPr>
            <w:tcW w:w="1126"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20"/>
                <w:szCs w:val="20"/>
              </w:rPr>
            </w:pPr>
            <w:r w:rsidRPr="009C47BF">
              <w:rPr>
                <w:rFonts w:ascii="Calibri" w:hAnsi="Calibri" w:cs="Arial"/>
                <w:sz w:val="20"/>
                <w:szCs w:val="20"/>
              </w:rPr>
              <w:t>July</w:t>
            </w:r>
          </w:p>
        </w:tc>
        <w:tc>
          <w:tcPr>
            <w:tcW w:w="997"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170</w:t>
            </w:r>
          </w:p>
        </w:tc>
        <w:tc>
          <w:tcPr>
            <w:tcW w:w="490"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14</w:t>
            </w:r>
          </w:p>
        </w:tc>
        <w:tc>
          <w:tcPr>
            <w:tcW w:w="528" w:type="dxa"/>
            <w:tcBorders>
              <w:top w:val="nil"/>
              <w:left w:val="nil"/>
              <w:bottom w:val="single" w:sz="8" w:space="0" w:color="auto"/>
              <w:right w:val="nil"/>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8%</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11</w:t>
            </w:r>
          </w:p>
        </w:tc>
        <w:tc>
          <w:tcPr>
            <w:tcW w:w="678" w:type="dxa"/>
            <w:tcBorders>
              <w:top w:val="nil"/>
              <w:left w:val="nil"/>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6%</w:t>
            </w:r>
          </w:p>
        </w:tc>
        <w:tc>
          <w:tcPr>
            <w:tcW w:w="997"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177</w:t>
            </w:r>
          </w:p>
        </w:tc>
        <w:tc>
          <w:tcPr>
            <w:tcW w:w="399"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5</w:t>
            </w:r>
          </w:p>
        </w:tc>
        <w:tc>
          <w:tcPr>
            <w:tcW w:w="439"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13</w:t>
            </w:r>
          </w:p>
        </w:tc>
        <w:tc>
          <w:tcPr>
            <w:tcW w:w="678"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7%</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112</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3%</w:t>
            </w:r>
          </w:p>
        </w:tc>
        <w:tc>
          <w:tcPr>
            <w:tcW w:w="627"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15</w:t>
            </w:r>
          </w:p>
        </w:tc>
        <w:tc>
          <w:tcPr>
            <w:tcW w:w="673"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13%</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94</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565"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5</w:t>
            </w:r>
          </w:p>
        </w:tc>
        <w:tc>
          <w:tcPr>
            <w:tcW w:w="735"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5%</w:t>
            </w:r>
          </w:p>
        </w:tc>
      </w:tr>
      <w:tr w:rsidR="00554D17" w:rsidRPr="00554D17" w:rsidTr="00554D17">
        <w:trPr>
          <w:trHeight w:val="270"/>
        </w:trPr>
        <w:tc>
          <w:tcPr>
            <w:tcW w:w="1126"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20"/>
                <w:szCs w:val="20"/>
              </w:rPr>
            </w:pPr>
            <w:r w:rsidRPr="009C47BF">
              <w:rPr>
                <w:rFonts w:ascii="Calibri" w:hAnsi="Calibri" w:cs="Arial"/>
                <w:sz w:val="20"/>
                <w:szCs w:val="20"/>
              </w:rPr>
              <w:t>August</w:t>
            </w:r>
          </w:p>
        </w:tc>
        <w:tc>
          <w:tcPr>
            <w:tcW w:w="997"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207</w:t>
            </w:r>
          </w:p>
        </w:tc>
        <w:tc>
          <w:tcPr>
            <w:tcW w:w="490"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22</w:t>
            </w:r>
          </w:p>
        </w:tc>
        <w:tc>
          <w:tcPr>
            <w:tcW w:w="528" w:type="dxa"/>
            <w:tcBorders>
              <w:top w:val="nil"/>
              <w:left w:val="nil"/>
              <w:bottom w:val="single" w:sz="8" w:space="0" w:color="auto"/>
              <w:right w:val="nil"/>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11%</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14</w:t>
            </w:r>
          </w:p>
        </w:tc>
        <w:tc>
          <w:tcPr>
            <w:tcW w:w="678" w:type="dxa"/>
            <w:tcBorders>
              <w:top w:val="nil"/>
              <w:left w:val="nil"/>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7%</w:t>
            </w:r>
          </w:p>
        </w:tc>
        <w:tc>
          <w:tcPr>
            <w:tcW w:w="997"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168</w:t>
            </w:r>
          </w:p>
        </w:tc>
        <w:tc>
          <w:tcPr>
            <w:tcW w:w="399"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11</w:t>
            </w:r>
          </w:p>
        </w:tc>
        <w:tc>
          <w:tcPr>
            <w:tcW w:w="439"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7%</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2</w:t>
            </w:r>
          </w:p>
        </w:tc>
        <w:tc>
          <w:tcPr>
            <w:tcW w:w="678"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348</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6</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2%</w:t>
            </w:r>
          </w:p>
        </w:tc>
        <w:tc>
          <w:tcPr>
            <w:tcW w:w="627"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42</w:t>
            </w:r>
          </w:p>
        </w:tc>
        <w:tc>
          <w:tcPr>
            <w:tcW w:w="673"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12%</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466</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565"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45</w:t>
            </w:r>
          </w:p>
        </w:tc>
        <w:tc>
          <w:tcPr>
            <w:tcW w:w="735"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10%</w:t>
            </w:r>
          </w:p>
        </w:tc>
      </w:tr>
      <w:tr w:rsidR="00554D17" w:rsidRPr="00554D17" w:rsidTr="00554D17">
        <w:trPr>
          <w:trHeight w:val="255"/>
        </w:trPr>
        <w:tc>
          <w:tcPr>
            <w:tcW w:w="1126"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20"/>
                <w:szCs w:val="20"/>
              </w:rPr>
            </w:pPr>
            <w:r w:rsidRPr="009C47BF">
              <w:rPr>
                <w:rFonts w:ascii="Calibri" w:hAnsi="Calibri" w:cs="Arial"/>
                <w:sz w:val="20"/>
                <w:szCs w:val="20"/>
              </w:rPr>
              <w:t>September</w:t>
            </w:r>
          </w:p>
        </w:tc>
        <w:tc>
          <w:tcPr>
            <w:tcW w:w="997"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180</w:t>
            </w:r>
          </w:p>
        </w:tc>
        <w:tc>
          <w:tcPr>
            <w:tcW w:w="490"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15</w:t>
            </w:r>
          </w:p>
        </w:tc>
        <w:tc>
          <w:tcPr>
            <w:tcW w:w="528" w:type="dxa"/>
            <w:tcBorders>
              <w:top w:val="nil"/>
              <w:left w:val="nil"/>
              <w:bottom w:val="single" w:sz="8" w:space="0" w:color="auto"/>
              <w:right w:val="nil"/>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8%</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8</w:t>
            </w:r>
          </w:p>
        </w:tc>
        <w:tc>
          <w:tcPr>
            <w:tcW w:w="678" w:type="dxa"/>
            <w:tcBorders>
              <w:top w:val="nil"/>
              <w:left w:val="nil"/>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4%</w:t>
            </w:r>
          </w:p>
        </w:tc>
        <w:tc>
          <w:tcPr>
            <w:tcW w:w="997"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122</w:t>
            </w:r>
          </w:p>
        </w:tc>
        <w:tc>
          <w:tcPr>
            <w:tcW w:w="399"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9</w:t>
            </w:r>
          </w:p>
        </w:tc>
        <w:tc>
          <w:tcPr>
            <w:tcW w:w="439"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7%</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w:t>
            </w:r>
          </w:p>
        </w:tc>
        <w:tc>
          <w:tcPr>
            <w:tcW w:w="678"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25</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4</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16%</w:t>
            </w:r>
          </w:p>
        </w:tc>
        <w:tc>
          <w:tcPr>
            <w:tcW w:w="627"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673"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12%</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34</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4</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12%</w:t>
            </w:r>
          </w:p>
        </w:tc>
        <w:tc>
          <w:tcPr>
            <w:tcW w:w="565"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6</w:t>
            </w:r>
          </w:p>
        </w:tc>
        <w:tc>
          <w:tcPr>
            <w:tcW w:w="735"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18%</w:t>
            </w:r>
          </w:p>
        </w:tc>
      </w:tr>
      <w:tr w:rsidR="00554D17" w:rsidRPr="00554D17" w:rsidTr="00554D17">
        <w:trPr>
          <w:trHeight w:val="270"/>
        </w:trPr>
        <w:tc>
          <w:tcPr>
            <w:tcW w:w="1126"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20"/>
                <w:szCs w:val="20"/>
              </w:rPr>
            </w:pPr>
            <w:r w:rsidRPr="009C47BF">
              <w:rPr>
                <w:rFonts w:ascii="Calibri" w:hAnsi="Calibri" w:cs="Arial"/>
                <w:sz w:val="20"/>
                <w:szCs w:val="20"/>
              </w:rPr>
              <w:t>October</w:t>
            </w:r>
          </w:p>
        </w:tc>
        <w:tc>
          <w:tcPr>
            <w:tcW w:w="997"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111</w:t>
            </w:r>
          </w:p>
        </w:tc>
        <w:tc>
          <w:tcPr>
            <w:tcW w:w="490"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10</w:t>
            </w:r>
          </w:p>
        </w:tc>
        <w:tc>
          <w:tcPr>
            <w:tcW w:w="528" w:type="dxa"/>
            <w:tcBorders>
              <w:top w:val="nil"/>
              <w:left w:val="nil"/>
              <w:bottom w:val="single" w:sz="8" w:space="0" w:color="auto"/>
              <w:right w:val="nil"/>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9%</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5</w:t>
            </w:r>
          </w:p>
        </w:tc>
        <w:tc>
          <w:tcPr>
            <w:tcW w:w="678" w:type="dxa"/>
            <w:tcBorders>
              <w:top w:val="nil"/>
              <w:left w:val="nil"/>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5%</w:t>
            </w:r>
          </w:p>
        </w:tc>
        <w:tc>
          <w:tcPr>
            <w:tcW w:w="997"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120</w:t>
            </w:r>
          </w:p>
        </w:tc>
        <w:tc>
          <w:tcPr>
            <w:tcW w:w="399"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4</w:t>
            </w:r>
          </w:p>
        </w:tc>
        <w:tc>
          <w:tcPr>
            <w:tcW w:w="439"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678"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13</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15%</w:t>
            </w:r>
          </w:p>
        </w:tc>
        <w:tc>
          <w:tcPr>
            <w:tcW w:w="627"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673"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8%</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24</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13%</w:t>
            </w:r>
          </w:p>
        </w:tc>
        <w:tc>
          <w:tcPr>
            <w:tcW w:w="565"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735"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13%</w:t>
            </w:r>
          </w:p>
        </w:tc>
      </w:tr>
      <w:tr w:rsidR="00554D17" w:rsidRPr="00554D17" w:rsidTr="00554D17">
        <w:trPr>
          <w:trHeight w:val="270"/>
        </w:trPr>
        <w:tc>
          <w:tcPr>
            <w:tcW w:w="1126"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20"/>
                <w:szCs w:val="20"/>
              </w:rPr>
            </w:pPr>
            <w:r w:rsidRPr="009C47BF">
              <w:rPr>
                <w:rFonts w:ascii="Calibri" w:hAnsi="Calibri" w:cs="Arial"/>
                <w:sz w:val="20"/>
                <w:szCs w:val="20"/>
              </w:rPr>
              <w:t>November</w:t>
            </w:r>
          </w:p>
        </w:tc>
        <w:tc>
          <w:tcPr>
            <w:tcW w:w="997"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120</w:t>
            </w:r>
          </w:p>
        </w:tc>
        <w:tc>
          <w:tcPr>
            <w:tcW w:w="490"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5</w:t>
            </w:r>
          </w:p>
        </w:tc>
        <w:tc>
          <w:tcPr>
            <w:tcW w:w="528" w:type="dxa"/>
            <w:tcBorders>
              <w:top w:val="nil"/>
              <w:left w:val="nil"/>
              <w:bottom w:val="single" w:sz="8" w:space="0" w:color="auto"/>
              <w:right w:val="nil"/>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4%</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678" w:type="dxa"/>
            <w:tcBorders>
              <w:top w:val="nil"/>
              <w:left w:val="nil"/>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997"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119</w:t>
            </w:r>
          </w:p>
        </w:tc>
        <w:tc>
          <w:tcPr>
            <w:tcW w:w="399"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9</w:t>
            </w:r>
          </w:p>
        </w:tc>
        <w:tc>
          <w:tcPr>
            <w:tcW w:w="439"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8%</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678"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14</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0%</w:t>
            </w:r>
          </w:p>
        </w:tc>
        <w:tc>
          <w:tcPr>
            <w:tcW w:w="627"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w:t>
            </w:r>
          </w:p>
        </w:tc>
        <w:tc>
          <w:tcPr>
            <w:tcW w:w="673"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14%</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14</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565"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735"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7%</w:t>
            </w:r>
          </w:p>
        </w:tc>
      </w:tr>
      <w:tr w:rsidR="00554D17" w:rsidRPr="00554D17" w:rsidTr="00554D17">
        <w:trPr>
          <w:trHeight w:val="270"/>
        </w:trPr>
        <w:tc>
          <w:tcPr>
            <w:tcW w:w="1126"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20"/>
                <w:szCs w:val="20"/>
              </w:rPr>
            </w:pPr>
            <w:r w:rsidRPr="009C47BF">
              <w:rPr>
                <w:rFonts w:ascii="Calibri" w:hAnsi="Calibri" w:cs="Arial"/>
                <w:sz w:val="20"/>
                <w:szCs w:val="20"/>
              </w:rPr>
              <w:t>December</w:t>
            </w:r>
          </w:p>
        </w:tc>
        <w:tc>
          <w:tcPr>
            <w:tcW w:w="997"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114</w:t>
            </w:r>
          </w:p>
        </w:tc>
        <w:tc>
          <w:tcPr>
            <w:tcW w:w="490"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5</w:t>
            </w:r>
          </w:p>
        </w:tc>
        <w:tc>
          <w:tcPr>
            <w:tcW w:w="528" w:type="dxa"/>
            <w:tcBorders>
              <w:top w:val="nil"/>
              <w:left w:val="nil"/>
              <w:bottom w:val="single" w:sz="8" w:space="0" w:color="auto"/>
              <w:right w:val="nil"/>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4%</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678" w:type="dxa"/>
            <w:tcBorders>
              <w:top w:val="nil"/>
              <w:left w:val="nil"/>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997"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75</w:t>
            </w:r>
          </w:p>
        </w:tc>
        <w:tc>
          <w:tcPr>
            <w:tcW w:w="399"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6</w:t>
            </w:r>
          </w:p>
        </w:tc>
        <w:tc>
          <w:tcPr>
            <w:tcW w:w="439"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8%</w:t>
            </w:r>
          </w:p>
        </w:tc>
        <w:tc>
          <w:tcPr>
            <w:tcW w:w="621" w:type="dxa"/>
            <w:tcBorders>
              <w:top w:val="nil"/>
              <w:left w:val="single" w:sz="8" w:space="0" w:color="auto"/>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678"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1%</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35</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0%</w:t>
            </w:r>
          </w:p>
        </w:tc>
        <w:tc>
          <w:tcPr>
            <w:tcW w:w="627"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3</w:t>
            </w:r>
          </w:p>
        </w:tc>
        <w:tc>
          <w:tcPr>
            <w:tcW w:w="673"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9%</w:t>
            </w:r>
          </w:p>
        </w:tc>
        <w:tc>
          <w:tcPr>
            <w:tcW w:w="997"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21</w:t>
            </w:r>
          </w:p>
        </w:tc>
        <w:tc>
          <w:tcPr>
            <w:tcW w:w="399"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0%</w:t>
            </w:r>
          </w:p>
        </w:tc>
        <w:tc>
          <w:tcPr>
            <w:tcW w:w="565"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w:t>
            </w:r>
          </w:p>
        </w:tc>
        <w:tc>
          <w:tcPr>
            <w:tcW w:w="735"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sz w:val="18"/>
                <w:szCs w:val="18"/>
              </w:rPr>
            </w:pPr>
            <w:r w:rsidRPr="009C47BF">
              <w:rPr>
                <w:rFonts w:ascii="Calibri" w:hAnsi="Calibri" w:cs="Arial"/>
                <w:sz w:val="18"/>
                <w:szCs w:val="18"/>
              </w:rPr>
              <w:t>10%</w:t>
            </w:r>
          </w:p>
        </w:tc>
      </w:tr>
      <w:tr w:rsidR="00554D17" w:rsidRPr="00554D17" w:rsidTr="00554D17">
        <w:trPr>
          <w:trHeight w:val="270"/>
        </w:trPr>
        <w:tc>
          <w:tcPr>
            <w:tcW w:w="1126"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b/>
                <w:bCs/>
                <w:sz w:val="20"/>
                <w:szCs w:val="20"/>
              </w:rPr>
            </w:pPr>
            <w:r w:rsidRPr="009C47BF">
              <w:rPr>
                <w:rFonts w:ascii="Calibri" w:hAnsi="Calibri" w:cs="Arial"/>
                <w:b/>
                <w:bCs/>
                <w:sz w:val="20"/>
                <w:szCs w:val="20"/>
              </w:rPr>
              <w:t>TOTAL</w:t>
            </w:r>
          </w:p>
        </w:tc>
        <w:tc>
          <w:tcPr>
            <w:tcW w:w="997" w:type="dxa"/>
            <w:tcBorders>
              <w:top w:val="nil"/>
              <w:left w:val="nil"/>
              <w:bottom w:val="single" w:sz="8" w:space="0" w:color="auto"/>
              <w:right w:val="nil"/>
            </w:tcBorders>
            <w:shd w:val="clear" w:color="000000" w:fill="BFBFBF"/>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1700</w:t>
            </w:r>
          </w:p>
        </w:tc>
        <w:tc>
          <w:tcPr>
            <w:tcW w:w="490" w:type="dxa"/>
            <w:tcBorders>
              <w:top w:val="nil"/>
              <w:left w:val="single" w:sz="8" w:space="0" w:color="auto"/>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120</w:t>
            </w:r>
          </w:p>
        </w:tc>
        <w:tc>
          <w:tcPr>
            <w:tcW w:w="528" w:type="dxa"/>
            <w:tcBorders>
              <w:top w:val="nil"/>
              <w:left w:val="nil"/>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b/>
                <w:bCs/>
                <w:color w:val="000000"/>
                <w:sz w:val="18"/>
                <w:szCs w:val="18"/>
              </w:rPr>
            </w:pPr>
            <w:r w:rsidRPr="009C47BF">
              <w:rPr>
                <w:rFonts w:ascii="Calibri" w:hAnsi="Calibri" w:cs="Arial"/>
                <w:b/>
                <w:bCs/>
                <w:color w:val="000000"/>
                <w:sz w:val="18"/>
                <w:szCs w:val="18"/>
              </w:rPr>
              <w:t>7%</w:t>
            </w:r>
          </w:p>
        </w:tc>
        <w:tc>
          <w:tcPr>
            <w:tcW w:w="621" w:type="dxa"/>
            <w:tcBorders>
              <w:top w:val="nil"/>
              <w:left w:val="nil"/>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51</w:t>
            </w:r>
          </w:p>
        </w:tc>
        <w:tc>
          <w:tcPr>
            <w:tcW w:w="678" w:type="dxa"/>
            <w:tcBorders>
              <w:top w:val="nil"/>
              <w:left w:val="nil"/>
              <w:bottom w:val="single" w:sz="8" w:space="0" w:color="auto"/>
              <w:right w:val="single" w:sz="8" w:space="0" w:color="auto"/>
            </w:tcBorders>
            <w:shd w:val="clear" w:color="000000" w:fill="C0C0C0"/>
            <w:vAlign w:val="center"/>
            <w:hideMark/>
          </w:tcPr>
          <w:p w:rsidR="00554D17" w:rsidRPr="009C47BF" w:rsidRDefault="00554D17" w:rsidP="00554D17">
            <w:pPr>
              <w:jc w:val="center"/>
              <w:rPr>
                <w:rFonts w:ascii="Calibri" w:hAnsi="Calibri" w:cs="Arial"/>
                <w:b/>
                <w:bCs/>
                <w:color w:val="000000"/>
                <w:sz w:val="18"/>
                <w:szCs w:val="18"/>
              </w:rPr>
            </w:pPr>
            <w:r w:rsidRPr="009C47BF">
              <w:rPr>
                <w:rFonts w:ascii="Calibri" w:hAnsi="Calibri" w:cs="Arial"/>
                <w:b/>
                <w:bCs/>
                <w:color w:val="000000"/>
                <w:sz w:val="18"/>
                <w:szCs w:val="18"/>
              </w:rPr>
              <w:t>3%</w:t>
            </w:r>
          </w:p>
        </w:tc>
        <w:tc>
          <w:tcPr>
            <w:tcW w:w="997"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1533</w:t>
            </w:r>
          </w:p>
        </w:tc>
        <w:tc>
          <w:tcPr>
            <w:tcW w:w="399"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76</w:t>
            </w:r>
          </w:p>
        </w:tc>
        <w:tc>
          <w:tcPr>
            <w:tcW w:w="439"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5%</w:t>
            </w:r>
          </w:p>
        </w:tc>
        <w:tc>
          <w:tcPr>
            <w:tcW w:w="621"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34</w:t>
            </w:r>
          </w:p>
        </w:tc>
        <w:tc>
          <w:tcPr>
            <w:tcW w:w="678" w:type="dxa"/>
            <w:tcBorders>
              <w:top w:val="nil"/>
              <w:left w:val="nil"/>
              <w:bottom w:val="single" w:sz="8" w:space="0" w:color="auto"/>
              <w:right w:val="single" w:sz="8" w:space="0" w:color="auto"/>
            </w:tcBorders>
            <w:shd w:val="clear" w:color="000000" w:fill="BFBFBF"/>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2%</w:t>
            </w:r>
          </w:p>
        </w:tc>
        <w:tc>
          <w:tcPr>
            <w:tcW w:w="997"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833</w:t>
            </w:r>
          </w:p>
        </w:tc>
        <w:tc>
          <w:tcPr>
            <w:tcW w:w="399"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21</w:t>
            </w:r>
          </w:p>
        </w:tc>
        <w:tc>
          <w:tcPr>
            <w:tcW w:w="528"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3%</w:t>
            </w:r>
          </w:p>
        </w:tc>
        <w:tc>
          <w:tcPr>
            <w:tcW w:w="627"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111</w:t>
            </w:r>
          </w:p>
        </w:tc>
        <w:tc>
          <w:tcPr>
            <w:tcW w:w="673"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13%</w:t>
            </w:r>
          </w:p>
        </w:tc>
        <w:tc>
          <w:tcPr>
            <w:tcW w:w="997"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920</w:t>
            </w:r>
          </w:p>
        </w:tc>
        <w:tc>
          <w:tcPr>
            <w:tcW w:w="399"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20</w:t>
            </w:r>
          </w:p>
        </w:tc>
        <w:tc>
          <w:tcPr>
            <w:tcW w:w="528" w:type="dxa"/>
            <w:tcBorders>
              <w:top w:val="nil"/>
              <w:left w:val="nil"/>
              <w:bottom w:val="single" w:sz="8" w:space="0" w:color="auto"/>
              <w:right w:val="nil"/>
            </w:tcBorders>
            <w:shd w:val="clear" w:color="auto" w:fill="auto"/>
            <w:vAlign w:val="center"/>
            <w:hideMark/>
          </w:tcPr>
          <w:p w:rsidR="00554D17" w:rsidRPr="009C47BF" w:rsidRDefault="00554D17" w:rsidP="00554D17">
            <w:pPr>
              <w:jc w:val="center"/>
              <w:rPr>
                <w:rFonts w:ascii="Calibri" w:hAnsi="Calibri" w:cs="Arial"/>
                <w:color w:val="000000"/>
                <w:sz w:val="18"/>
                <w:szCs w:val="18"/>
              </w:rPr>
            </w:pPr>
            <w:r w:rsidRPr="009C47BF">
              <w:rPr>
                <w:rFonts w:ascii="Calibri" w:hAnsi="Calibri" w:cs="Arial"/>
                <w:color w:val="000000"/>
                <w:sz w:val="18"/>
                <w:szCs w:val="18"/>
              </w:rPr>
              <w:t>2%</w:t>
            </w:r>
          </w:p>
        </w:tc>
        <w:tc>
          <w:tcPr>
            <w:tcW w:w="565" w:type="dxa"/>
            <w:tcBorders>
              <w:top w:val="nil"/>
              <w:left w:val="single" w:sz="8" w:space="0" w:color="auto"/>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81</w:t>
            </w:r>
          </w:p>
        </w:tc>
        <w:tc>
          <w:tcPr>
            <w:tcW w:w="735" w:type="dxa"/>
            <w:tcBorders>
              <w:top w:val="nil"/>
              <w:left w:val="nil"/>
              <w:bottom w:val="single" w:sz="8" w:space="0" w:color="auto"/>
              <w:right w:val="single" w:sz="8" w:space="0" w:color="auto"/>
            </w:tcBorders>
            <w:shd w:val="clear" w:color="auto" w:fill="auto"/>
            <w:vAlign w:val="center"/>
            <w:hideMark/>
          </w:tcPr>
          <w:p w:rsidR="00554D17" w:rsidRPr="009C47BF" w:rsidRDefault="00554D17" w:rsidP="00554D17">
            <w:pPr>
              <w:jc w:val="center"/>
              <w:rPr>
                <w:rFonts w:ascii="Calibri" w:hAnsi="Calibri" w:cs="Arial"/>
                <w:b/>
                <w:bCs/>
                <w:sz w:val="18"/>
                <w:szCs w:val="18"/>
              </w:rPr>
            </w:pPr>
            <w:r w:rsidRPr="009C47BF">
              <w:rPr>
                <w:rFonts w:ascii="Calibri" w:hAnsi="Calibri" w:cs="Arial"/>
                <w:b/>
                <w:bCs/>
                <w:sz w:val="18"/>
                <w:szCs w:val="18"/>
              </w:rPr>
              <w:t>9%</w:t>
            </w:r>
          </w:p>
        </w:tc>
      </w:tr>
    </w:tbl>
    <w:p w:rsidR="00554D17" w:rsidRDefault="00554D17" w:rsidP="007E6964">
      <w:pPr>
        <w:jc w:val="both"/>
        <w:rPr>
          <w:rFonts w:ascii="Calibri" w:hAnsi="Calibri"/>
          <w:color w:val="000000"/>
        </w:rPr>
      </w:pPr>
    </w:p>
    <w:p w:rsidR="007E6964" w:rsidRPr="00554D17" w:rsidRDefault="007E6964" w:rsidP="007E6964">
      <w:pPr>
        <w:jc w:val="both"/>
        <w:rPr>
          <w:rFonts w:ascii="Calibri" w:hAnsi="Calibri"/>
        </w:rPr>
      </w:pPr>
      <w:r w:rsidRPr="00554D17">
        <w:rPr>
          <w:rFonts w:ascii="Calibri" w:hAnsi="Calibri"/>
        </w:rPr>
        <w:t>* Calculated to nearest percent</w:t>
      </w:r>
    </w:p>
    <w:p w:rsidR="007E6964" w:rsidRDefault="007E6964" w:rsidP="00725B90">
      <w:pPr>
        <w:jc w:val="both"/>
        <w:rPr>
          <w:rFonts w:ascii="Calibri" w:hAnsi="Calibri"/>
          <w:b/>
          <w:u w:val="single"/>
        </w:rPr>
        <w:sectPr w:rsidR="007E6964" w:rsidSect="00A64E84">
          <w:pgSz w:w="15840" w:h="12240" w:orient="landscape" w:code="1"/>
          <w:pgMar w:top="1008" w:right="1008" w:bottom="1008" w:left="1008" w:header="720" w:footer="720" w:gutter="0"/>
          <w:pgBorders w:offsetFrom="page">
            <w:bottom w:val="dotted" w:sz="4" w:space="24" w:color="auto"/>
          </w:pgBorders>
          <w:cols w:space="720"/>
          <w:docGrid w:linePitch="360"/>
        </w:sectPr>
      </w:pPr>
    </w:p>
    <w:p w:rsidR="008375B8" w:rsidRDefault="008375B8" w:rsidP="00896242">
      <w:pPr>
        <w:jc w:val="both"/>
        <w:rPr>
          <w:rFonts w:ascii="Calibri" w:hAnsi="Calibri"/>
          <w:sz w:val="20"/>
          <w:szCs w:val="20"/>
        </w:rPr>
      </w:pPr>
    </w:p>
    <w:p w:rsidR="006561F3" w:rsidRPr="00C33FCA" w:rsidRDefault="006561F3" w:rsidP="00896242">
      <w:pPr>
        <w:jc w:val="both"/>
        <w:rPr>
          <w:rFonts w:ascii="Calibri" w:hAnsi="Calibri"/>
          <w:sz w:val="20"/>
          <w:szCs w:val="20"/>
        </w:rPr>
      </w:pPr>
    </w:p>
    <w:p w:rsidR="006F6F1C" w:rsidRDefault="009729DA" w:rsidP="006561F3">
      <w:pPr>
        <w:jc w:val="center"/>
        <w:rPr>
          <w:rFonts w:ascii="Calibri" w:hAnsi="Calibri"/>
          <w:sz w:val="20"/>
          <w:szCs w:val="20"/>
        </w:rPr>
      </w:pPr>
      <w:r w:rsidRPr="003029B9">
        <w:rPr>
          <w:noProof/>
        </w:rPr>
        <w:drawing>
          <wp:inline distT="0" distB="0" distL="0" distR="0">
            <wp:extent cx="5943600" cy="3701415"/>
            <wp:effectExtent l="0" t="0" r="0"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A76A2E">
        <w:t xml:space="preserve">   </w:t>
      </w:r>
    </w:p>
    <w:p w:rsidR="003E1271" w:rsidRDefault="003E1271" w:rsidP="00960525">
      <w:pPr>
        <w:jc w:val="both"/>
        <w:rPr>
          <w:rFonts w:ascii="Calibri" w:hAnsi="Calibri"/>
          <w:sz w:val="20"/>
          <w:szCs w:val="20"/>
        </w:rPr>
      </w:pPr>
    </w:p>
    <w:p w:rsidR="00CC5D4A" w:rsidRDefault="00CC5D4A" w:rsidP="00960525">
      <w:pPr>
        <w:jc w:val="both"/>
        <w:rPr>
          <w:rFonts w:ascii="Calibri" w:hAnsi="Calibri"/>
          <w:color w:val="000000"/>
        </w:rPr>
      </w:pPr>
    </w:p>
    <w:p w:rsidR="004D69AB" w:rsidRDefault="00F956A7" w:rsidP="00960525">
      <w:pPr>
        <w:jc w:val="both"/>
        <w:rPr>
          <w:rFonts w:ascii="Calibri" w:hAnsi="Calibri"/>
          <w:color w:val="000000"/>
        </w:rPr>
      </w:pPr>
      <w:r w:rsidRPr="000A0F86">
        <w:rPr>
          <w:rFonts w:ascii="Calibri" w:hAnsi="Calibri"/>
          <w:color w:val="000000"/>
        </w:rPr>
        <w:t xml:space="preserve">The distribution of </w:t>
      </w:r>
      <w:r w:rsidR="00186343" w:rsidRPr="000A0F86">
        <w:rPr>
          <w:rFonts w:ascii="Calibri" w:hAnsi="Calibri"/>
          <w:color w:val="000000"/>
        </w:rPr>
        <w:t xml:space="preserve">results </w:t>
      </w:r>
      <w:r w:rsidR="00186343">
        <w:rPr>
          <w:rFonts w:ascii="Calibri" w:hAnsi="Calibri"/>
          <w:color w:val="000000"/>
        </w:rPr>
        <w:t xml:space="preserve">of rabies testing that were </w:t>
      </w:r>
      <w:r w:rsidRPr="000A0F86">
        <w:rPr>
          <w:rFonts w:ascii="Calibri" w:hAnsi="Calibri"/>
          <w:color w:val="000000"/>
        </w:rPr>
        <w:t xml:space="preserve">positive and </w:t>
      </w:r>
      <w:r w:rsidR="00186343">
        <w:rPr>
          <w:rFonts w:ascii="Calibri" w:hAnsi="Calibri"/>
          <w:color w:val="000000"/>
        </w:rPr>
        <w:t>of specimens</w:t>
      </w:r>
      <w:r w:rsidR="00186343" w:rsidRPr="000A0F86">
        <w:rPr>
          <w:rFonts w:ascii="Calibri" w:hAnsi="Calibri"/>
          <w:color w:val="000000"/>
        </w:rPr>
        <w:t xml:space="preserve"> </w:t>
      </w:r>
      <w:r w:rsidRPr="000A0F86">
        <w:rPr>
          <w:rFonts w:ascii="Calibri" w:hAnsi="Calibri"/>
          <w:color w:val="000000"/>
        </w:rPr>
        <w:t>unsatisfactory</w:t>
      </w:r>
      <w:r w:rsidR="00186343">
        <w:rPr>
          <w:rFonts w:ascii="Calibri" w:hAnsi="Calibri"/>
          <w:color w:val="000000"/>
        </w:rPr>
        <w:t xml:space="preserve"> for testing </w:t>
      </w:r>
      <w:r w:rsidRPr="000A0F86">
        <w:rPr>
          <w:rFonts w:ascii="Calibri" w:hAnsi="Calibri"/>
          <w:color w:val="000000"/>
        </w:rPr>
        <w:t xml:space="preserve">varies throughout the year and by </w:t>
      </w:r>
      <w:r w:rsidR="00D75472">
        <w:rPr>
          <w:rFonts w:ascii="Calibri" w:hAnsi="Calibri"/>
          <w:color w:val="000000"/>
        </w:rPr>
        <w:t xml:space="preserve">animal type </w:t>
      </w:r>
      <w:r w:rsidR="00E33114">
        <w:rPr>
          <w:rFonts w:ascii="Calibri" w:hAnsi="Calibri"/>
          <w:color w:val="000000"/>
        </w:rPr>
        <w:t xml:space="preserve">(terrestrial versus bats) </w:t>
      </w:r>
      <w:r w:rsidRPr="000A0F86">
        <w:rPr>
          <w:rFonts w:ascii="Calibri" w:hAnsi="Calibri"/>
          <w:color w:val="000000"/>
        </w:rPr>
        <w:t>(</w:t>
      </w:r>
      <w:r w:rsidRPr="000A0F86">
        <w:rPr>
          <w:rFonts w:ascii="Calibri" w:hAnsi="Calibri"/>
          <w:b/>
          <w:color w:val="000000"/>
        </w:rPr>
        <w:t>Figure 3</w:t>
      </w:r>
      <w:r w:rsidRPr="000A0F86">
        <w:rPr>
          <w:rFonts w:ascii="Calibri" w:hAnsi="Calibri"/>
          <w:color w:val="000000"/>
        </w:rPr>
        <w:t xml:space="preserve">). </w:t>
      </w:r>
      <w:r w:rsidR="00182599">
        <w:rPr>
          <w:rFonts w:ascii="Calibri" w:hAnsi="Calibri"/>
          <w:color w:val="000000"/>
        </w:rPr>
        <w:t xml:space="preserve">In every quarter, </w:t>
      </w:r>
      <w:r w:rsidR="00D75472">
        <w:rPr>
          <w:rFonts w:ascii="Calibri" w:hAnsi="Calibri"/>
          <w:color w:val="000000"/>
        </w:rPr>
        <w:t>more</w:t>
      </w:r>
      <w:r w:rsidR="00182599">
        <w:rPr>
          <w:rFonts w:ascii="Calibri" w:hAnsi="Calibri"/>
          <w:color w:val="000000"/>
        </w:rPr>
        <w:t xml:space="preserve"> </w:t>
      </w:r>
      <w:r w:rsidR="00A11755">
        <w:rPr>
          <w:rFonts w:ascii="Calibri" w:hAnsi="Calibri"/>
          <w:color w:val="000000"/>
        </w:rPr>
        <w:t xml:space="preserve">bats </w:t>
      </w:r>
      <w:r w:rsidR="007673AB">
        <w:rPr>
          <w:rFonts w:ascii="Calibri" w:hAnsi="Calibri"/>
          <w:color w:val="000000"/>
        </w:rPr>
        <w:t>are</w:t>
      </w:r>
      <w:r w:rsidR="00D75472">
        <w:rPr>
          <w:rFonts w:ascii="Calibri" w:hAnsi="Calibri"/>
          <w:color w:val="000000"/>
        </w:rPr>
        <w:t xml:space="preserve"> </w:t>
      </w:r>
      <w:r w:rsidR="00A11755">
        <w:rPr>
          <w:rFonts w:ascii="Calibri" w:hAnsi="Calibri"/>
          <w:color w:val="000000"/>
        </w:rPr>
        <w:t>unsatisfactory</w:t>
      </w:r>
      <w:r w:rsidR="00182599">
        <w:rPr>
          <w:rFonts w:ascii="Calibri" w:hAnsi="Calibri"/>
          <w:color w:val="000000"/>
        </w:rPr>
        <w:t xml:space="preserve"> </w:t>
      </w:r>
      <w:r w:rsidR="00A11755">
        <w:rPr>
          <w:rFonts w:ascii="Calibri" w:hAnsi="Calibri"/>
          <w:color w:val="000000"/>
        </w:rPr>
        <w:t xml:space="preserve">for testing than </w:t>
      </w:r>
      <w:r w:rsidR="007673AB">
        <w:rPr>
          <w:rFonts w:ascii="Calibri" w:hAnsi="Calibri"/>
          <w:color w:val="000000"/>
        </w:rPr>
        <w:t xml:space="preserve">test </w:t>
      </w:r>
      <w:r w:rsidR="00A11755">
        <w:rPr>
          <w:rFonts w:ascii="Calibri" w:hAnsi="Calibri"/>
          <w:color w:val="000000"/>
        </w:rPr>
        <w:t>positive for rabies.</w:t>
      </w:r>
      <w:r w:rsidR="00182599">
        <w:rPr>
          <w:rFonts w:ascii="Calibri" w:hAnsi="Calibri"/>
          <w:color w:val="000000"/>
        </w:rPr>
        <w:t xml:space="preserve">  </w:t>
      </w:r>
      <w:r w:rsidR="00963F28">
        <w:rPr>
          <w:rFonts w:ascii="Calibri" w:hAnsi="Calibri"/>
          <w:color w:val="000000"/>
        </w:rPr>
        <w:t xml:space="preserve">In contrast, </w:t>
      </w:r>
      <w:r w:rsidR="00F105F7">
        <w:rPr>
          <w:rFonts w:ascii="Calibri" w:hAnsi="Calibri"/>
          <w:color w:val="000000"/>
        </w:rPr>
        <w:t xml:space="preserve">positive terrestrial animals outnumbered the </w:t>
      </w:r>
      <w:r w:rsidR="00A11755">
        <w:rPr>
          <w:rFonts w:ascii="Calibri" w:hAnsi="Calibri"/>
          <w:color w:val="000000"/>
        </w:rPr>
        <w:t xml:space="preserve">unsatisfactory </w:t>
      </w:r>
      <w:r w:rsidR="00F105F7">
        <w:rPr>
          <w:rFonts w:ascii="Calibri" w:hAnsi="Calibri"/>
          <w:color w:val="000000"/>
        </w:rPr>
        <w:t>samples</w:t>
      </w:r>
      <w:r w:rsidR="00A11755">
        <w:rPr>
          <w:rFonts w:ascii="Calibri" w:hAnsi="Calibri"/>
          <w:color w:val="000000"/>
        </w:rPr>
        <w:t xml:space="preserve"> in all </w:t>
      </w:r>
      <w:r w:rsidR="00631610">
        <w:rPr>
          <w:rFonts w:ascii="Calibri" w:hAnsi="Calibri"/>
          <w:color w:val="000000"/>
        </w:rPr>
        <w:t>quarters</w:t>
      </w:r>
      <w:r w:rsidR="00963F28">
        <w:rPr>
          <w:rFonts w:ascii="Calibri" w:hAnsi="Calibri"/>
          <w:color w:val="000000"/>
        </w:rPr>
        <w:t xml:space="preserve">.  </w:t>
      </w:r>
      <w:r w:rsidR="00182599">
        <w:rPr>
          <w:rFonts w:ascii="Calibri" w:hAnsi="Calibri"/>
          <w:color w:val="000000"/>
        </w:rPr>
        <w:t xml:space="preserve">Over the course of the year, </w:t>
      </w:r>
      <w:r w:rsidR="00A11755">
        <w:rPr>
          <w:rFonts w:ascii="Calibri" w:hAnsi="Calibri"/>
          <w:color w:val="000000"/>
        </w:rPr>
        <w:t xml:space="preserve">nearly </w:t>
      </w:r>
      <w:r w:rsidR="00182599">
        <w:rPr>
          <w:rFonts w:ascii="Calibri" w:hAnsi="Calibri"/>
          <w:color w:val="000000"/>
        </w:rPr>
        <w:t xml:space="preserve">twice as many terrestrial animals </w:t>
      </w:r>
      <w:r w:rsidR="004D69AB">
        <w:rPr>
          <w:rFonts w:ascii="Calibri" w:hAnsi="Calibri"/>
          <w:color w:val="000000"/>
        </w:rPr>
        <w:t>were</w:t>
      </w:r>
      <w:r w:rsidR="00182599">
        <w:rPr>
          <w:rFonts w:ascii="Calibri" w:hAnsi="Calibri"/>
          <w:color w:val="000000"/>
        </w:rPr>
        <w:t xml:space="preserve"> positive than </w:t>
      </w:r>
      <w:r w:rsidR="004D69AB">
        <w:rPr>
          <w:rFonts w:ascii="Calibri" w:hAnsi="Calibri"/>
          <w:color w:val="000000"/>
        </w:rPr>
        <w:t xml:space="preserve">were </w:t>
      </w:r>
      <w:r w:rsidR="00182599">
        <w:rPr>
          <w:rFonts w:ascii="Calibri" w:hAnsi="Calibri"/>
          <w:color w:val="000000"/>
        </w:rPr>
        <w:t>unsatisfactory</w:t>
      </w:r>
      <w:r w:rsidR="00963F28">
        <w:rPr>
          <w:rFonts w:ascii="Calibri" w:hAnsi="Calibri"/>
          <w:color w:val="000000"/>
        </w:rPr>
        <w:t xml:space="preserve"> while </w:t>
      </w:r>
      <w:r w:rsidR="004D69AB">
        <w:rPr>
          <w:rFonts w:ascii="Calibri" w:hAnsi="Calibri"/>
          <w:color w:val="000000"/>
        </w:rPr>
        <w:t xml:space="preserve">there were </w:t>
      </w:r>
      <w:r w:rsidR="00963F28">
        <w:rPr>
          <w:rFonts w:ascii="Calibri" w:hAnsi="Calibri"/>
          <w:color w:val="000000"/>
        </w:rPr>
        <w:t>three</w:t>
      </w:r>
      <w:r w:rsidR="00631610">
        <w:rPr>
          <w:rFonts w:ascii="Calibri" w:hAnsi="Calibri"/>
          <w:color w:val="000000"/>
        </w:rPr>
        <w:t xml:space="preserve"> or four</w:t>
      </w:r>
      <w:r w:rsidR="00963F28">
        <w:rPr>
          <w:rFonts w:ascii="Calibri" w:hAnsi="Calibri"/>
          <w:color w:val="000000"/>
        </w:rPr>
        <w:t xml:space="preserve"> times </w:t>
      </w:r>
      <w:r w:rsidR="004D69AB">
        <w:rPr>
          <w:rFonts w:ascii="Calibri" w:hAnsi="Calibri"/>
          <w:color w:val="000000"/>
        </w:rPr>
        <w:t>as many unsatisfactory bats as positive ones.</w:t>
      </w:r>
    </w:p>
    <w:p w:rsidR="004D69AB" w:rsidRDefault="004D69AB" w:rsidP="00960525">
      <w:pPr>
        <w:jc w:val="both"/>
        <w:rPr>
          <w:rFonts w:ascii="Calibri" w:hAnsi="Calibri"/>
          <w:color w:val="000000"/>
        </w:rPr>
      </w:pPr>
    </w:p>
    <w:p w:rsidR="00DB1E75" w:rsidRDefault="00BC50EC" w:rsidP="00960525">
      <w:pPr>
        <w:jc w:val="both"/>
        <w:rPr>
          <w:rFonts w:ascii="Calibri" w:hAnsi="Calibri"/>
          <w:color w:val="000000"/>
        </w:rPr>
      </w:pPr>
      <w:r>
        <w:rPr>
          <w:rFonts w:ascii="Calibri" w:hAnsi="Calibri"/>
          <w:color w:val="000000"/>
        </w:rPr>
        <w:t xml:space="preserve">Because samples that are unsuitable for testing (reported out as </w:t>
      </w:r>
      <w:r w:rsidR="008E6176">
        <w:rPr>
          <w:rFonts w:ascii="Calibri" w:hAnsi="Calibri"/>
          <w:color w:val="000000"/>
        </w:rPr>
        <w:t>“</w:t>
      </w:r>
      <w:r>
        <w:rPr>
          <w:rFonts w:ascii="Calibri" w:hAnsi="Calibri"/>
          <w:color w:val="000000"/>
        </w:rPr>
        <w:t>unsatisfactory</w:t>
      </w:r>
      <w:r w:rsidR="008E6176">
        <w:rPr>
          <w:rFonts w:ascii="Calibri" w:hAnsi="Calibri"/>
          <w:color w:val="000000"/>
        </w:rPr>
        <w:t>”</w:t>
      </w:r>
      <w:r>
        <w:rPr>
          <w:rFonts w:ascii="Calibri" w:hAnsi="Calibri"/>
          <w:color w:val="000000"/>
        </w:rPr>
        <w:t>) require the same public health response as positive animals, it is critical to reduce the number of unsatisfactory specimen</w:t>
      </w:r>
      <w:r w:rsidR="00705713">
        <w:rPr>
          <w:rFonts w:ascii="Calibri" w:hAnsi="Calibri"/>
          <w:color w:val="000000"/>
        </w:rPr>
        <w:t xml:space="preserve">s as much as possible. Ensuring the proper handling, storage and shipping as well as prompt submission of animals are important </w:t>
      </w:r>
      <w:r w:rsidR="008E6176">
        <w:rPr>
          <w:rFonts w:ascii="Calibri" w:hAnsi="Calibri"/>
          <w:color w:val="000000"/>
        </w:rPr>
        <w:t>for improving</w:t>
      </w:r>
      <w:r w:rsidR="00705713">
        <w:rPr>
          <w:rFonts w:ascii="Calibri" w:hAnsi="Calibri"/>
          <w:color w:val="000000"/>
        </w:rPr>
        <w:t xml:space="preserve"> specimen quality.</w:t>
      </w:r>
    </w:p>
    <w:p w:rsidR="007E6964" w:rsidRPr="008556F7" w:rsidRDefault="008556F7" w:rsidP="008556F7">
      <w:pPr>
        <w:jc w:val="center"/>
        <w:rPr>
          <w:rFonts w:ascii="Calibri" w:hAnsi="Calibri"/>
        </w:rPr>
      </w:pPr>
      <w:r>
        <w:rPr>
          <w:rFonts w:ascii="Calibri" w:hAnsi="Calibri"/>
        </w:rPr>
        <w:t xml:space="preserve">     </w:t>
      </w:r>
    </w:p>
    <w:p w:rsidR="00896242" w:rsidRPr="00C33FCA" w:rsidRDefault="00896242" w:rsidP="00896242">
      <w:pPr>
        <w:rPr>
          <w:rFonts w:ascii="Calibri" w:hAnsi="Calibri"/>
          <w:b/>
          <w:u w:val="single"/>
        </w:rPr>
      </w:pPr>
      <w:r w:rsidRPr="00C33FCA">
        <w:rPr>
          <w:rFonts w:ascii="Calibri" w:hAnsi="Calibri"/>
          <w:b/>
          <w:u w:val="single"/>
        </w:rPr>
        <w:t>Submissions and Positive Results by County</w:t>
      </w:r>
    </w:p>
    <w:p w:rsidR="00565613" w:rsidRPr="00C33FCA" w:rsidRDefault="00FA0813" w:rsidP="00565613">
      <w:pPr>
        <w:jc w:val="both"/>
        <w:rPr>
          <w:rFonts w:ascii="Calibri" w:hAnsi="Calibri"/>
          <w:color w:val="FF0000"/>
        </w:rPr>
      </w:pPr>
      <w:r w:rsidRPr="00C33FCA">
        <w:rPr>
          <w:rFonts w:ascii="Calibri" w:hAnsi="Calibri"/>
          <w:color w:val="000000"/>
        </w:rPr>
        <w:t>In 201</w:t>
      </w:r>
      <w:r w:rsidR="00A0347F">
        <w:rPr>
          <w:rFonts w:ascii="Calibri" w:hAnsi="Calibri"/>
          <w:color w:val="000000"/>
        </w:rPr>
        <w:t>7</w:t>
      </w:r>
      <w:r w:rsidR="00565613" w:rsidRPr="00C33FCA">
        <w:rPr>
          <w:rFonts w:ascii="Calibri" w:hAnsi="Calibri"/>
          <w:color w:val="000000"/>
        </w:rPr>
        <w:t xml:space="preserve">, </w:t>
      </w:r>
      <w:r w:rsidR="007551D0" w:rsidRPr="00C33FCA">
        <w:rPr>
          <w:rFonts w:ascii="Calibri" w:hAnsi="Calibri"/>
          <w:color w:val="000000"/>
        </w:rPr>
        <w:t>all</w:t>
      </w:r>
      <w:r w:rsidR="00565613" w:rsidRPr="00C33FCA">
        <w:rPr>
          <w:rFonts w:ascii="Calibri" w:hAnsi="Calibri"/>
          <w:color w:val="000000"/>
        </w:rPr>
        <w:t xml:space="preserve"> counties in Massachusetts submitted at least one animal for rabies testing, and all counties, except </w:t>
      </w:r>
      <w:r w:rsidR="00631610">
        <w:rPr>
          <w:rFonts w:ascii="Calibri" w:hAnsi="Calibri"/>
          <w:color w:val="000000"/>
        </w:rPr>
        <w:t xml:space="preserve">Barnstable, </w:t>
      </w:r>
      <w:r w:rsidR="00565613" w:rsidRPr="00C33FCA">
        <w:rPr>
          <w:rFonts w:ascii="Calibri" w:hAnsi="Calibri"/>
          <w:color w:val="000000"/>
        </w:rPr>
        <w:t>Dukes</w:t>
      </w:r>
      <w:r w:rsidR="00B67CDA">
        <w:rPr>
          <w:rFonts w:ascii="Calibri" w:hAnsi="Calibri"/>
          <w:color w:val="000000"/>
        </w:rPr>
        <w:t xml:space="preserve">, </w:t>
      </w:r>
      <w:r w:rsidR="00AF4ED2">
        <w:rPr>
          <w:rFonts w:ascii="Calibri" w:hAnsi="Calibri"/>
          <w:color w:val="000000"/>
        </w:rPr>
        <w:t>Nantucket</w:t>
      </w:r>
      <w:r w:rsidR="00565613" w:rsidRPr="00C33FCA">
        <w:rPr>
          <w:rFonts w:ascii="Calibri" w:hAnsi="Calibri"/>
          <w:color w:val="000000"/>
        </w:rPr>
        <w:t xml:space="preserve">, </w:t>
      </w:r>
      <w:r w:rsidR="00B67CDA">
        <w:rPr>
          <w:rFonts w:ascii="Calibri" w:hAnsi="Calibri"/>
          <w:color w:val="000000"/>
        </w:rPr>
        <w:t xml:space="preserve">and Plymouth </w:t>
      </w:r>
      <w:r w:rsidR="00565613" w:rsidRPr="00C33FCA">
        <w:rPr>
          <w:rFonts w:ascii="Calibri" w:hAnsi="Calibri"/>
          <w:color w:val="000000"/>
        </w:rPr>
        <w:t xml:space="preserve">had at least one animal </w:t>
      </w:r>
      <w:r w:rsidR="00EB40C9" w:rsidRPr="00C33FCA">
        <w:rPr>
          <w:rFonts w:ascii="Calibri" w:hAnsi="Calibri"/>
          <w:color w:val="000000"/>
        </w:rPr>
        <w:t xml:space="preserve">that tested positive </w:t>
      </w:r>
      <w:r w:rsidR="00565613" w:rsidRPr="00C33FCA">
        <w:rPr>
          <w:rFonts w:ascii="Calibri" w:hAnsi="Calibri"/>
          <w:color w:val="000000"/>
        </w:rPr>
        <w:t>(</w:t>
      </w:r>
      <w:r w:rsidR="00CC4A73" w:rsidRPr="00C33FCA">
        <w:rPr>
          <w:rFonts w:ascii="Calibri" w:hAnsi="Calibri"/>
          <w:color w:val="000000"/>
        </w:rPr>
        <w:t>s</w:t>
      </w:r>
      <w:r w:rsidR="00565613" w:rsidRPr="00C33FCA">
        <w:rPr>
          <w:rFonts w:ascii="Calibri" w:hAnsi="Calibri"/>
          <w:color w:val="000000"/>
        </w:rPr>
        <w:t xml:space="preserve">ee </w:t>
      </w:r>
      <w:r w:rsidR="00565613" w:rsidRPr="00C33FCA">
        <w:rPr>
          <w:rFonts w:ascii="Calibri" w:hAnsi="Calibri"/>
          <w:b/>
          <w:bCs/>
          <w:color w:val="000000"/>
        </w:rPr>
        <w:t xml:space="preserve">Table </w:t>
      </w:r>
      <w:r w:rsidR="00107493">
        <w:rPr>
          <w:rFonts w:ascii="Calibri" w:hAnsi="Calibri"/>
          <w:b/>
          <w:bCs/>
          <w:color w:val="000000"/>
        </w:rPr>
        <w:t>4 and Figure 4</w:t>
      </w:r>
      <w:r w:rsidR="00565613" w:rsidRPr="00C33FCA">
        <w:rPr>
          <w:rFonts w:ascii="Calibri" w:hAnsi="Calibri"/>
          <w:color w:val="000000"/>
        </w:rPr>
        <w:t>)</w:t>
      </w:r>
      <w:r w:rsidR="007A0458" w:rsidRPr="00C33FCA">
        <w:rPr>
          <w:rFonts w:ascii="Calibri" w:hAnsi="Calibri"/>
          <w:color w:val="000000"/>
        </w:rPr>
        <w:t xml:space="preserve">. </w:t>
      </w:r>
      <w:r w:rsidR="00565613" w:rsidRPr="00C33FCA">
        <w:rPr>
          <w:rFonts w:ascii="Calibri" w:hAnsi="Calibri"/>
          <w:color w:val="000000"/>
        </w:rPr>
        <w:t>Middlesex</w:t>
      </w:r>
      <w:r w:rsidR="00530AD4" w:rsidRPr="00C33FCA">
        <w:rPr>
          <w:rFonts w:ascii="Calibri" w:hAnsi="Calibri"/>
          <w:color w:val="000000"/>
        </w:rPr>
        <w:t xml:space="preserve">, </w:t>
      </w:r>
      <w:r w:rsidR="007551D0" w:rsidRPr="00C33FCA">
        <w:rPr>
          <w:rFonts w:ascii="Calibri" w:hAnsi="Calibri"/>
          <w:color w:val="000000"/>
        </w:rPr>
        <w:t xml:space="preserve">Worcester, </w:t>
      </w:r>
      <w:r w:rsidR="00631610">
        <w:rPr>
          <w:rFonts w:ascii="Calibri" w:hAnsi="Calibri"/>
          <w:color w:val="000000"/>
        </w:rPr>
        <w:t>Essex</w:t>
      </w:r>
      <w:r w:rsidR="00B67CDA">
        <w:rPr>
          <w:rFonts w:ascii="Calibri" w:hAnsi="Calibri"/>
          <w:color w:val="000000"/>
        </w:rPr>
        <w:t xml:space="preserve">, and Norfolk </w:t>
      </w:r>
      <w:r w:rsidR="00CE221E" w:rsidRPr="00C33FCA">
        <w:rPr>
          <w:rFonts w:ascii="Calibri" w:hAnsi="Calibri"/>
          <w:color w:val="000000"/>
        </w:rPr>
        <w:t>c</w:t>
      </w:r>
      <w:r w:rsidR="00565613" w:rsidRPr="00C33FCA">
        <w:rPr>
          <w:rFonts w:ascii="Calibri" w:hAnsi="Calibri"/>
          <w:color w:val="000000"/>
        </w:rPr>
        <w:t>ount</w:t>
      </w:r>
      <w:r w:rsidR="00CE221E" w:rsidRPr="00C33FCA">
        <w:rPr>
          <w:rFonts w:ascii="Calibri" w:hAnsi="Calibri"/>
          <w:color w:val="000000"/>
        </w:rPr>
        <w:t>ies</w:t>
      </w:r>
      <w:r w:rsidR="00565613" w:rsidRPr="00C33FCA">
        <w:rPr>
          <w:rFonts w:ascii="Calibri" w:hAnsi="Calibri"/>
          <w:color w:val="000000"/>
        </w:rPr>
        <w:t xml:space="preserve"> submitted the highest number of animals (n = </w:t>
      </w:r>
      <w:r w:rsidR="00B67CDA">
        <w:rPr>
          <w:rFonts w:ascii="Calibri" w:hAnsi="Calibri"/>
          <w:color w:val="000000"/>
        </w:rPr>
        <w:t>524</w:t>
      </w:r>
      <w:r w:rsidR="00CE221E" w:rsidRPr="00C33FCA">
        <w:rPr>
          <w:rFonts w:ascii="Calibri" w:hAnsi="Calibri"/>
          <w:color w:val="000000"/>
        </w:rPr>
        <w:t>, n</w:t>
      </w:r>
      <w:r w:rsidR="008D6427" w:rsidRPr="00C33FCA">
        <w:rPr>
          <w:rFonts w:ascii="Calibri" w:hAnsi="Calibri"/>
          <w:color w:val="000000"/>
        </w:rPr>
        <w:t xml:space="preserve"> </w:t>
      </w:r>
      <w:r w:rsidR="00CE221E" w:rsidRPr="00C33FCA">
        <w:rPr>
          <w:rFonts w:ascii="Calibri" w:hAnsi="Calibri"/>
          <w:color w:val="000000"/>
        </w:rPr>
        <w:t>=</w:t>
      </w:r>
      <w:r w:rsidR="008D6427" w:rsidRPr="00C33FCA">
        <w:rPr>
          <w:rFonts w:ascii="Calibri" w:hAnsi="Calibri"/>
          <w:color w:val="000000"/>
        </w:rPr>
        <w:t xml:space="preserve"> </w:t>
      </w:r>
      <w:r w:rsidR="002067C3">
        <w:rPr>
          <w:rFonts w:ascii="Calibri" w:hAnsi="Calibri"/>
          <w:color w:val="000000"/>
        </w:rPr>
        <w:t>3</w:t>
      </w:r>
      <w:r w:rsidR="00B67CDA">
        <w:rPr>
          <w:rFonts w:ascii="Calibri" w:hAnsi="Calibri"/>
          <w:color w:val="000000"/>
        </w:rPr>
        <w:t>66</w:t>
      </w:r>
      <w:r w:rsidR="00530AD4" w:rsidRPr="00C33FCA">
        <w:rPr>
          <w:rFonts w:ascii="Calibri" w:hAnsi="Calibri"/>
          <w:color w:val="000000"/>
        </w:rPr>
        <w:t xml:space="preserve">, n = </w:t>
      </w:r>
      <w:r w:rsidR="002067C3">
        <w:rPr>
          <w:rFonts w:ascii="Calibri" w:hAnsi="Calibri"/>
          <w:color w:val="000000"/>
        </w:rPr>
        <w:t>2</w:t>
      </w:r>
      <w:r w:rsidR="00B67CDA">
        <w:rPr>
          <w:rFonts w:ascii="Calibri" w:hAnsi="Calibri"/>
          <w:color w:val="000000"/>
        </w:rPr>
        <w:t>87</w:t>
      </w:r>
      <w:r w:rsidR="00530AD4" w:rsidRPr="00C33FCA">
        <w:rPr>
          <w:rFonts w:ascii="Calibri" w:hAnsi="Calibri"/>
          <w:color w:val="000000"/>
        </w:rPr>
        <w:t xml:space="preserve">, </w:t>
      </w:r>
      <w:r w:rsidR="00B67CDA">
        <w:rPr>
          <w:rFonts w:ascii="Calibri" w:hAnsi="Calibri"/>
          <w:color w:val="000000"/>
        </w:rPr>
        <w:t xml:space="preserve">n=277 </w:t>
      </w:r>
      <w:r w:rsidR="00CE221E" w:rsidRPr="00C33FCA">
        <w:rPr>
          <w:rFonts w:ascii="Calibri" w:hAnsi="Calibri"/>
          <w:color w:val="000000"/>
        </w:rPr>
        <w:t>respectively</w:t>
      </w:r>
      <w:r w:rsidR="0069135D" w:rsidRPr="00C33FCA">
        <w:rPr>
          <w:rFonts w:ascii="Calibri" w:hAnsi="Calibri"/>
          <w:color w:val="000000"/>
        </w:rPr>
        <w:t>).</w:t>
      </w:r>
      <w:r w:rsidR="00B67CDA">
        <w:rPr>
          <w:rFonts w:ascii="Calibri" w:hAnsi="Calibri"/>
          <w:color w:val="FF0000"/>
        </w:rPr>
        <w:t xml:space="preserve">  </w:t>
      </w:r>
      <w:r w:rsidR="002067C3">
        <w:rPr>
          <w:rFonts w:ascii="Calibri" w:hAnsi="Calibri"/>
        </w:rPr>
        <w:t xml:space="preserve">Worcester, </w:t>
      </w:r>
      <w:r w:rsidR="00B67CDA">
        <w:rPr>
          <w:rFonts w:ascii="Calibri" w:hAnsi="Calibri"/>
        </w:rPr>
        <w:t>Essex, Middlesex</w:t>
      </w:r>
      <w:r w:rsidR="002067C3">
        <w:rPr>
          <w:rFonts w:ascii="Calibri" w:hAnsi="Calibri"/>
        </w:rPr>
        <w:t>,</w:t>
      </w:r>
      <w:r w:rsidR="00AF4ED2" w:rsidRPr="00AF4ED2">
        <w:rPr>
          <w:rFonts w:ascii="Calibri" w:hAnsi="Calibri"/>
        </w:rPr>
        <w:t xml:space="preserve"> </w:t>
      </w:r>
      <w:r w:rsidR="00B67CDA">
        <w:rPr>
          <w:rFonts w:ascii="Calibri" w:hAnsi="Calibri"/>
        </w:rPr>
        <w:t>Franklin, and Bristol counties</w:t>
      </w:r>
      <w:r w:rsidR="00565613" w:rsidRPr="00AF4ED2">
        <w:rPr>
          <w:rFonts w:ascii="Calibri" w:hAnsi="Calibri"/>
        </w:rPr>
        <w:t xml:space="preserve"> had the highest number of animals </w:t>
      </w:r>
      <w:r w:rsidR="00EB40C9" w:rsidRPr="00AF4ED2">
        <w:rPr>
          <w:rFonts w:ascii="Calibri" w:hAnsi="Calibri"/>
        </w:rPr>
        <w:t xml:space="preserve">that </w:t>
      </w:r>
      <w:r w:rsidR="00565613" w:rsidRPr="00AF4ED2">
        <w:rPr>
          <w:rFonts w:ascii="Calibri" w:hAnsi="Calibri"/>
        </w:rPr>
        <w:t>test</w:t>
      </w:r>
      <w:r w:rsidR="00EB40C9" w:rsidRPr="00AF4ED2">
        <w:rPr>
          <w:rFonts w:ascii="Calibri" w:hAnsi="Calibri"/>
        </w:rPr>
        <w:t>ed</w:t>
      </w:r>
      <w:r w:rsidR="007F593D">
        <w:rPr>
          <w:rFonts w:ascii="Calibri" w:hAnsi="Calibri"/>
        </w:rPr>
        <w:t xml:space="preserve"> positive (n=</w:t>
      </w:r>
      <w:r w:rsidR="00B67CDA">
        <w:rPr>
          <w:rFonts w:ascii="Calibri" w:hAnsi="Calibri"/>
        </w:rPr>
        <w:t>22</w:t>
      </w:r>
      <w:r w:rsidR="00065D9A" w:rsidRPr="00AF4ED2">
        <w:rPr>
          <w:rFonts w:ascii="Calibri" w:hAnsi="Calibri"/>
        </w:rPr>
        <w:t>, n=</w:t>
      </w:r>
      <w:r w:rsidR="00B67CDA">
        <w:rPr>
          <w:rFonts w:ascii="Calibri" w:hAnsi="Calibri"/>
        </w:rPr>
        <w:t>15</w:t>
      </w:r>
      <w:r w:rsidR="007F593D">
        <w:rPr>
          <w:rFonts w:ascii="Calibri" w:hAnsi="Calibri"/>
        </w:rPr>
        <w:t>, n=</w:t>
      </w:r>
      <w:r w:rsidR="00B67CDA">
        <w:rPr>
          <w:rFonts w:ascii="Calibri" w:hAnsi="Calibri"/>
        </w:rPr>
        <w:t>12</w:t>
      </w:r>
      <w:r w:rsidR="007F593D">
        <w:rPr>
          <w:rFonts w:ascii="Calibri" w:hAnsi="Calibri"/>
        </w:rPr>
        <w:t>, n=17</w:t>
      </w:r>
      <w:r w:rsidR="00B67CDA">
        <w:rPr>
          <w:rFonts w:ascii="Calibri" w:hAnsi="Calibri"/>
        </w:rPr>
        <w:t>, n=11, n=11</w:t>
      </w:r>
      <w:r w:rsidR="00565613" w:rsidRPr="00AF4ED2">
        <w:rPr>
          <w:rFonts w:ascii="Calibri" w:hAnsi="Calibri"/>
        </w:rPr>
        <w:t>) and</w:t>
      </w:r>
      <w:r w:rsidR="00565613" w:rsidRPr="00C33FCA">
        <w:rPr>
          <w:rFonts w:ascii="Calibri" w:hAnsi="Calibri"/>
          <w:color w:val="000000"/>
        </w:rPr>
        <w:t xml:space="preserve"> </w:t>
      </w:r>
      <w:r w:rsidR="00B67CDA">
        <w:rPr>
          <w:rFonts w:ascii="Calibri" w:hAnsi="Calibri"/>
          <w:color w:val="000000"/>
        </w:rPr>
        <w:t>Franklin</w:t>
      </w:r>
      <w:r w:rsidR="00565613" w:rsidRPr="00C33FCA">
        <w:rPr>
          <w:rFonts w:ascii="Calibri" w:hAnsi="Calibri"/>
          <w:color w:val="000000"/>
        </w:rPr>
        <w:t xml:space="preserve"> C</w:t>
      </w:r>
      <w:r w:rsidR="007179E5">
        <w:rPr>
          <w:rFonts w:ascii="Calibri" w:hAnsi="Calibri"/>
          <w:color w:val="000000"/>
        </w:rPr>
        <w:t>ounty had the highest percentage</w:t>
      </w:r>
      <w:r w:rsidR="00565613" w:rsidRPr="00C33FCA">
        <w:rPr>
          <w:rFonts w:ascii="Calibri" w:hAnsi="Calibri"/>
          <w:color w:val="000000"/>
        </w:rPr>
        <w:t xml:space="preserve"> of submitted animals </w:t>
      </w:r>
      <w:r w:rsidR="00EB40C9" w:rsidRPr="00C33FCA">
        <w:rPr>
          <w:rFonts w:ascii="Calibri" w:hAnsi="Calibri"/>
          <w:color w:val="000000"/>
        </w:rPr>
        <w:t xml:space="preserve">that </w:t>
      </w:r>
      <w:r w:rsidR="00565613" w:rsidRPr="00C33FCA">
        <w:rPr>
          <w:rFonts w:ascii="Calibri" w:hAnsi="Calibri"/>
          <w:color w:val="000000"/>
        </w:rPr>
        <w:t>test</w:t>
      </w:r>
      <w:r w:rsidR="00EB40C9" w:rsidRPr="00C33FCA">
        <w:rPr>
          <w:rFonts w:ascii="Calibri" w:hAnsi="Calibri"/>
          <w:color w:val="000000"/>
        </w:rPr>
        <w:t>ed</w:t>
      </w:r>
      <w:r w:rsidR="00DE7732" w:rsidRPr="00C33FCA">
        <w:rPr>
          <w:rFonts w:ascii="Calibri" w:hAnsi="Calibri"/>
          <w:color w:val="000000"/>
        </w:rPr>
        <w:t xml:space="preserve"> positive (</w:t>
      </w:r>
      <w:r w:rsidR="00B67CDA">
        <w:rPr>
          <w:rFonts w:ascii="Calibri" w:hAnsi="Calibri"/>
          <w:color w:val="000000"/>
        </w:rPr>
        <w:t>23.9</w:t>
      </w:r>
      <w:r w:rsidR="00565613" w:rsidRPr="00C33FCA">
        <w:rPr>
          <w:rFonts w:ascii="Calibri" w:hAnsi="Calibri"/>
          <w:color w:val="000000"/>
        </w:rPr>
        <w:t>%)</w:t>
      </w:r>
      <w:r w:rsidR="00CE221E" w:rsidRPr="00C33FCA">
        <w:rPr>
          <w:rFonts w:ascii="Calibri" w:hAnsi="Calibri"/>
          <w:color w:val="000000"/>
        </w:rPr>
        <w:t>.</w:t>
      </w:r>
      <w:r w:rsidR="00CE221E" w:rsidRPr="00C33FCA">
        <w:rPr>
          <w:rFonts w:ascii="Calibri" w:hAnsi="Calibri"/>
          <w:color w:val="FF0000"/>
        </w:rPr>
        <w:t xml:space="preserve"> </w:t>
      </w:r>
    </w:p>
    <w:p w:rsidR="003D0724" w:rsidRDefault="003D0724" w:rsidP="00565613">
      <w:pPr>
        <w:jc w:val="both"/>
        <w:rPr>
          <w:rFonts w:ascii="Calibri" w:hAnsi="Calibri"/>
          <w:color w:val="FF0000"/>
        </w:rPr>
      </w:pPr>
    </w:p>
    <w:p w:rsidR="007F14BD" w:rsidRDefault="007F14BD" w:rsidP="00565613">
      <w:pPr>
        <w:jc w:val="both"/>
        <w:rPr>
          <w:rFonts w:ascii="Calibri" w:hAnsi="Calibri"/>
          <w:color w:val="FF0000"/>
        </w:rPr>
      </w:pPr>
    </w:p>
    <w:p w:rsidR="007F14BD" w:rsidRDefault="007F14BD" w:rsidP="00565613">
      <w:pPr>
        <w:jc w:val="both"/>
        <w:rPr>
          <w:rFonts w:ascii="Calibri" w:hAnsi="Calibri"/>
          <w:color w:val="FF0000"/>
        </w:rPr>
      </w:pPr>
    </w:p>
    <w:p w:rsidR="007F14BD" w:rsidRDefault="007F14BD" w:rsidP="00565613">
      <w:pPr>
        <w:jc w:val="both"/>
        <w:rPr>
          <w:rFonts w:ascii="Calibri" w:hAnsi="Calibri"/>
          <w:color w:val="FF0000"/>
        </w:rPr>
      </w:pPr>
    </w:p>
    <w:p w:rsidR="007F14BD" w:rsidRDefault="007F14BD" w:rsidP="00565613">
      <w:pPr>
        <w:jc w:val="both"/>
        <w:rPr>
          <w:rFonts w:ascii="Calibri" w:hAnsi="Calibri"/>
          <w:color w:val="FF0000"/>
        </w:rPr>
      </w:pPr>
    </w:p>
    <w:p w:rsidR="007F14BD" w:rsidRDefault="007F14BD">
      <w:pPr>
        <w:sectPr w:rsidR="007F14BD" w:rsidSect="007F14BD">
          <w:pgSz w:w="12240" w:h="15840" w:code="1"/>
          <w:pgMar w:top="1008" w:right="1008" w:bottom="720" w:left="1008" w:header="720" w:footer="720" w:gutter="0"/>
          <w:pgBorders w:offsetFrom="page">
            <w:bottom w:val="dotted" w:sz="4" w:space="24" w:color="auto"/>
          </w:pgBorders>
          <w:cols w:space="720"/>
          <w:docGrid w:linePitch="360"/>
        </w:sectPr>
      </w:pPr>
    </w:p>
    <w:p w:rsidR="007F14BD" w:rsidRPr="00CC5D4A" w:rsidRDefault="007F14BD"/>
    <w:tbl>
      <w:tblPr>
        <w:tblW w:w="14670" w:type="dxa"/>
        <w:tblInd w:w="-162" w:type="dxa"/>
        <w:tblLayout w:type="fixed"/>
        <w:tblLook w:val="04A0" w:firstRow="1" w:lastRow="0" w:firstColumn="1" w:lastColumn="0" w:noHBand="0" w:noVBand="1"/>
      </w:tblPr>
      <w:tblGrid>
        <w:gridCol w:w="1080"/>
        <w:gridCol w:w="900"/>
        <w:gridCol w:w="990"/>
        <w:gridCol w:w="810"/>
        <w:gridCol w:w="900"/>
        <w:gridCol w:w="990"/>
        <w:gridCol w:w="810"/>
        <w:gridCol w:w="900"/>
        <w:gridCol w:w="990"/>
        <w:gridCol w:w="810"/>
        <w:gridCol w:w="900"/>
        <w:gridCol w:w="990"/>
        <w:gridCol w:w="810"/>
        <w:gridCol w:w="900"/>
        <w:gridCol w:w="990"/>
        <w:gridCol w:w="900"/>
      </w:tblGrid>
      <w:tr w:rsidR="007F14BD" w:rsidRPr="00CC5D4A" w:rsidTr="00CC5D4A">
        <w:trPr>
          <w:trHeight w:val="330"/>
        </w:trPr>
        <w:tc>
          <w:tcPr>
            <w:tcW w:w="14670"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rsidR="007F14BD" w:rsidRPr="009C47BF" w:rsidRDefault="007F14BD" w:rsidP="00CC5D4A">
            <w:pPr>
              <w:jc w:val="center"/>
              <w:rPr>
                <w:rFonts w:ascii="Calibri" w:hAnsi="Calibri" w:cs="Arial"/>
                <w:b/>
                <w:color w:val="000000"/>
              </w:rPr>
            </w:pPr>
            <w:r w:rsidRPr="009C47BF">
              <w:rPr>
                <w:rFonts w:ascii="Calibri" w:hAnsi="Calibri" w:cs="Arial"/>
                <w:b/>
                <w:color w:val="000000"/>
              </w:rPr>
              <w:t>Table 4. Rabies Testing Data by County- Number of Animals Positive for Rabies/Number of Animals Submitted (%)</w:t>
            </w:r>
          </w:p>
        </w:tc>
      </w:tr>
      <w:tr w:rsidR="007F14BD" w:rsidTr="00CC5D4A">
        <w:trPr>
          <w:trHeight w:val="33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p>
        </w:tc>
        <w:tc>
          <w:tcPr>
            <w:tcW w:w="2700" w:type="dxa"/>
            <w:gridSpan w:val="3"/>
            <w:tcBorders>
              <w:top w:val="single" w:sz="8" w:space="0" w:color="auto"/>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b/>
                <w:sz w:val="18"/>
                <w:szCs w:val="18"/>
              </w:rPr>
            </w:pPr>
            <w:r w:rsidRPr="009C47BF">
              <w:rPr>
                <w:rFonts w:ascii="Calibri" w:hAnsi="Calibri" w:cs="Arial"/>
                <w:b/>
                <w:sz w:val="18"/>
                <w:szCs w:val="18"/>
              </w:rPr>
              <w:t>Quarter 1</w:t>
            </w:r>
          </w:p>
        </w:tc>
        <w:tc>
          <w:tcPr>
            <w:tcW w:w="2700" w:type="dxa"/>
            <w:gridSpan w:val="3"/>
            <w:tcBorders>
              <w:top w:val="single" w:sz="8" w:space="0" w:color="auto"/>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b/>
                <w:sz w:val="18"/>
                <w:szCs w:val="18"/>
              </w:rPr>
            </w:pPr>
            <w:r w:rsidRPr="009C47BF">
              <w:rPr>
                <w:rFonts w:ascii="Calibri" w:hAnsi="Calibri" w:cs="Arial"/>
                <w:b/>
                <w:sz w:val="18"/>
                <w:szCs w:val="18"/>
              </w:rPr>
              <w:t>Quarter 2</w:t>
            </w:r>
          </w:p>
        </w:tc>
        <w:tc>
          <w:tcPr>
            <w:tcW w:w="2700" w:type="dxa"/>
            <w:gridSpan w:val="3"/>
            <w:tcBorders>
              <w:top w:val="single" w:sz="8" w:space="0" w:color="auto"/>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b/>
                <w:sz w:val="18"/>
                <w:szCs w:val="18"/>
              </w:rPr>
            </w:pPr>
            <w:r w:rsidRPr="009C47BF">
              <w:rPr>
                <w:rFonts w:ascii="Calibri" w:hAnsi="Calibri" w:cs="Arial"/>
                <w:b/>
                <w:sz w:val="18"/>
                <w:szCs w:val="18"/>
              </w:rPr>
              <w:t>Quarter 3</w:t>
            </w:r>
          </w:p>
        </w:tc>
        <w:tc>
          <w:tcPr>
            <w:tcW w:w="2700" w:type="dxa"/>
            <w:gridSpan w:val="3"/>
            <w:tcBorders>
              <w:top w:val="single" w:sz="8" w:space="0" w:color="auto"/>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b/>
                <w:sz w:val="18"/>
                <w:szCs w:val="18"/>
              </w:rPr>
            </w:pPr>
            <w:r w:rsidRPr="009C47BF">
              <w:rPr>
                <w:rFonts w:ascii="Calibri" w:hAnsi="Calibri" w:cs="Arial"/>
                <w:b/>
                <w:sz w:val="18"/>
                <w:szCs w:val="18"/>
              </w:rPr>
              <w:t>Quarter 4</w:t>
            </w:r>
          </w:p>
        </w:tc>
        <w:tc>
          <w:tcPr>
            <w:tcW w:w="2790" w:type="dxa"/>
            <w:gridSpan w:val="3"/>
            <w:tcBorders>
              <w:top w:val="single" w:sz="8" w:space="0" w:color="auto"/>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b/>
                <w:sz w:val="18"/>
                <w:szCs w:val="18"/>
              </w:rPr>
            </w:pPr>
            <w:r w:rsidRPr="009C47BF">
              <w:rPr>
                <w:rFonts w:ascii="Calibri" w:hAnsi="Calibri" w:cs="Arial"/>
                <w:b/>
                <w:sz w:val="18"/>
                <w:szCs w:val="18"/>
              </w:rPr>
              <w:t>Cumulative</w:t>
            </w:r>
          </w:p>
        </w:tc>
      </w:tr>
      <w:tr w:rsidR="00CC5D4A" w:rsidTr="00CC5D4A">
        <w:trPr>
          <w:trHeight w:val="6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County</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Number Positive</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Number Submitted</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  Positive</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Number Positive</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Number Submitted</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  Positive</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Number Positive</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Number Submitted</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  Positive</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Number Positive</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Number Submitted</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  Positive</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Number Positive</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Number Submitted</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  Positive</w:t>
            </w:r>
          </w:p>
        </w:tc>
      </w:tr>
      <w:tr w:rsidR="00CC5D4A" w:rsidTr="00CC5D4A">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Barnstable</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13</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29</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37</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17</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96</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r>
      <w:tr w:rsidR="00CC5D4A" w:rsidTr="00CC5D4A">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Berkshire</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15</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25</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12.0%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32</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9.4%</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4</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25.0%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7</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76</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9.2%</w:t>
            </w:r>
          </w:p>
        </w:tc>
      </w:tr>
      <w:tr w:rsidR="00CC5D4A" w:rsidTr="00CC5D4A">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Bristol</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24</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4.2%</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42</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7.1%</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70</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2.9%</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5</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28</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17.9%</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11</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164</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6.7%</w:t>
            </w:r>
          </w:p>
        </w:tc>
      </w:tr>
      <w:tr w:rsidR="00CC5D4A" w:rsidTr="00CC5D4A">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Dukes</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6</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r>
      <w:tr w:rsidR="00CC5D4A" w:rsidTr="00CC5D4A">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Essex</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48</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6.3%</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4</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66</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6.1%</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129</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1.6%</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6</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44</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13.6%</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15</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287</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5.2%</w:t>
            </w:r>
          </w:p>
        </w:tc>
      </w:tr>
      <w:tr w:rsidR="00CC5D4A" w:rsidTr="00CC5D4A">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Franklin</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7</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14.3%</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12</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25.0%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5</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21</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23.8%</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6</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33.3%</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11</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46</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23.9%</w:t>
            </w:r>
          </w:p>
        </w:tc>
      </w:tr>
      <w:tr w:rsidR="00CC5D4A" w:rsidTr="00CC5D4A">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Hampden</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40</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31</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3.2%</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43</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2.3%</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27</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6</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141</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4.3%</w:t>
            </w:r>
          </w:p>
        </w:tc>
      </w:tr>
      <w:tr w:rsidR="00CC5D4A" w:rsidTr="00CC5D4A">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Hampshire</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14</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17</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38</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7.9%</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8</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12.5%</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4</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77</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5.2%</w:t>
            </w:r>
          </w:p>
        </w:tc>
      </w:tr>
      <w:tr w:rsidR="00CC5D4A" w:rsidTr="00CC5D4A">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Middlesex</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84</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2.4%</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4</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122</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3.3%</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5</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232</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2.2%</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86</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1.2%</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12</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524</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2.3%</w:t>
            </w:r>
          </w:p>
        </w:tc>
      </w:tr>
      <w:tr w:rsidR="00CC5D4A" w:rsidTr="00CC5D4A">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Nantucket</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r>
      <w:tr w:rsidR="00CC5D4A" w:rsidTr="00CC5D4A">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Norfolk</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45</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58</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3.4%</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136</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0.7%</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38</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7.9%</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6</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277</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2.2%</w:t>
            </w:r>
          </w:p>
        </w:tc>
      </w:tr>
      <w:tr w:rsidR="00CC5D4A" w:rsidTr="00CC5D4A">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Plymouth</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27</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60</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78</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35</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r>
      <w:tr w:rsidR="00CC5D4A" w:rsidTr="00CC5D4A">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Suffolk</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33</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61</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0.0%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77</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1.3%</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20</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5.0%</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191</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1.0%</w:t>
            </w:r>
          </w:p>
        </w:tc>
      </w:tr>
      <w:tr w:rsidR="00CC5D4A" w:rsidTr="00CC5D4A">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Worcester</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51</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3.9%</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6</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90</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6.7%</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12</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165</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7.3%</w:t>
            </w:r>
          </w:p>
        </w:tc>
        <w:tc>
          <w:tcPr>
            <w:tcW w:w="900" w:type="dxa"/>
            <w:tcBorders>
              <w:top w:val="nil"/>
              <w:left w:val="nil"/>
              <w:bottom w:val="single" w:sz="8" w:space="0" w:color="auto"/>
              <w:right w:val="single" w:sz="8" w:space="0" w:color="auto"/>
            </w:tcBorders>
            <w:shd w:val="clear" w:color="auto" w:fill="auto"/>
            <w:noWrap/>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2</w:t>
            </w:r>
          </w:p>
        </w:tc>
        <w:tc>
          <w:tcPr>
            <w:tcW w:w="990" w:type="dxa"/>
            <w:tcBorders>
              <w:top w:val="nil"/>
              <w:left w:val="nil"/>
              <w:bottom w:val="single" w:sz="8" w:space="0" w:color="auto"/>
              <w:right w:val="single" w:sz="8" w:space="0" w:color="auto"/>
            </w:tcBorders>
            <w:shd w:val="clear" w:color="auto" w:fill="auto"/>
            <w:noWrap/>
            <w:vAlign w:val="center"/>
            <w:hideMark/>
          </w:tcPr>
          <w:p w:rsidR="007F14BD" w:rsidRPr="009C47BF" w:rsidRDefault="007F14BD" w:rsidP="00CC5D4A">
            <w:pPr>
              <w:jc w:val="center"/>
              <w:rPr>
                <w:rFonts w:ascii="Calibri" w:hAnsi="Calibri" w:cs="Arial"/>
                <w:sz w:val="18"/>
                <w:szCs w:val="18"/>
              </w:rPr>
            </w:pPr>
            <w:r w:rsidRPr="009C47BF">
              <w:rPr>
                <w:rFonts w:ascii="Calibri" w:hAnsi="Calibri" w:cs="Arial"/>
                <w:sz w:val="18"/>
                <w:szCs w:val="18"/>
              </w:rPr>
              <w:t>60</w:t>
            </w:r>
          </w:p>
        </w:tc>
        <w:tc>
          <w:tcPr>
            <w:tcW w:w="81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3.3%</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22</w:t>
            </w:r>
          </w:p>
        </w:tc>
        <w:tc>
          <w:tcPr>
            <w:tcW w:w="99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366</w:t>
            </w:r>
          </w:p>
        </w:tc>
        <w:tc>
          <w:tcPr>
            <w:tcW w:w="900" w:type="dxa"/>
            <w:tcBorders>
              <w:top w:val="nil"/>
              <w:left w:val="nil"/>
              <w:bottom w:val="single" w:sz="8" w:space="0" w:color="auto"/>
              <w:right w:val="single" w:sz="8" w:space="0" w:color="auto"/>
            </w:tcBorders>
            <w:shd w:val="clear" w:color="auto" w:fill="auto"/>
            <w:vAlign w:val="center"/>
            <w:hideMark/>
          </w:tcPr>
          <w:p w:rsidR="007F14BD" w:rsidRPr="009C47BF" w:rsidRDefault="007F14BD" w:rsidP="00CC5D4A">
            <w:pPr>
              <w:jc w:val="center"/>
              <w:rPr>
                <w:rFonts w:ascii="Calibri" w:hAnsi="Calibri" w:cs="Arial"/>
                <w:color w:val="000000"/>
                <w:sz w:val="18"/>
                <w:szCs w:val="18"/>
              </w:rPr>
            </w:pPr>
            <w:r w:rsidRPr="009C47BF">
              <w:rPr>
                <w:rFonts w:ascii="Calibri" w:hAnsi="Calibri" w:cs="Arial"/>
                <w:color w:val="000000"/>
                <w:sz w:val="18"/>
                <w:szCs w:val="18"/>
              </w:rPr>
              <w:t>6.0%</w:t>
            </w:r>
          </w:p>
        </w:tc>
      </w:tr>
    </w:tbl>
    <w:p w:rsidR="007F14BD" w:rsidRDefault="007F14BD" w:rsidP="00565613">
      <w:pPr>
        <w:jc w:val="both"/>
        <w:rPr>
          <w:rFonts w:ascii="Calibri" w:hAnsi="Calibri"/>
          <w:color w:val="FF0000"/>
        </w:rPr>
      </w:pPr>
    </w:p>
    <w:p w:rsidR="003D0724" w:rsidRPr="00C33FCA" w:rsidRDefault="009729DA" w:rsidP="00CC5D4A">
      <w:pPr>
        <w:jc w:val="center"/>
        <w:rPr>
          <w:rFonts w:ascii="Calibri" w:hAnsi="Calibri"/>
          <w:color w:val="FF0000"/>
        </w:rPr>
      </w:pPr>
      <w:r w:rsidRPr="003029B9">
        <w:rPr>
          <w:noProof/>
        </w:rPr>
        <w:lastRenderedPageBreak/>
        <w:drawing>
          <wp:inline distT="0" distB="0" distL="0" distR="0">
            <wp:extent cx="5446395" cy="3702050"/>
            <wp:effectExtent l="0" t="0" r="0"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D1FDD" w:rsidRDefault="004D1FDD" w:rsidP="004D1FDD">
      <w:pPr>
        <w:jc w:val="center"/>
        <w:rPr>
          <w:noProof/>
        </w:rPr>
      </w:pPr>
    </w:p>
    <w:p w:rsidR="007F14BD" w:rsidRPr="00E07BAF" w:rsidRDefault="007F14BD" w:rsidP="004D1FDD">
      <w:pPr>
        <w:jc w:val="center"/>
        <w:rPr>
          <w:noProof/>
        </w:rPr>
      </w:pPr>
    </w:p>
    <w:p w:rsidR="00586239" w:rsidRDefault="00586239" w:rsidP="004D1FDD">
      <w:pPr>
        <w:jc w:val="center"/>
        <w:rPr>
          <w:noProof/>
        </w:rPr>
      </w:pPr>
    </w:p>
    <w:p w:rsidR="002A219E" w:rsidRPr="00C33FCA" w:rsidRDefault="002A219E" w:rsidP="00E1418D">
      <w:pPr>
        <w:rPr>
          <w:rFonts w:ascii="Calibri" w:hAnsi="Calibri"/>
        </w:rPr>
        <w:sectPr w:rsidR="002A219E" w:rsidRPr="00C33FCA" w:rsidSect="007F14BD">
          <w:pgSz w:w="15840" w:h="12240" w:orient="landscape" w:code="1"/>
          <w:pgMar w:top="1008" w:right="1008" w:bottom="1008" w:left="720" w:header="720" w:footer="720" w:gutter="0"/>
          <w:pgBorders w:offsetFrom="page">
            <w:bottom w:val="dotted" w:sz="4" w:space="24" w:color="auto"/>
          </w:pgBorders>
          <w:cols w:space="720"/>
          <w:docGrid w:linePitch="360"/>
        </w:sectPr>
      </w:pPr>
    </w:p>
    <w:p w:rsidR="00C3448B" w:rsidRPr="00C33FCA" w:rsidRDefault="00C3448B" w:rsidP="00E12783">
      <w:pPr>
        <w:jc w:val="both"/>
        <w:rPr>
          <w:rFonts w:ascii="Calibri" w:hAnsi="Calibri"/>
          <w:u w:val="single"/>
        </w:rPr>
      </w:pPr>
      <w:r w:rsidRPr="00C33FCA">
        <w:rPr>
          <w:rFonts w:ascii="Calibri" w:hAnsi="Calibri"/>
          <w:b/>
          <w:u w:val="single"/>
        </w:rPr>
        <w:lastRenderedPageBreak/>
        <w:t>Mapping</w:t>
      </w:r>
      <w:r w:rsidR="00CA611F" w:rsidRPr="00C33FCA">
        <w:rPr>
          <w:rFonts w:ascii="Calibri" w:hAnsi="Calibri"/>
          <w:u w:val="single"/>
        </w:rPr>
        <w:t xml:space="preserve"> </w:t>
      </w:r>
    </w:p>
    <w:p w:rsidR="00CB5620" w:rsidRDefault="00C3448B" w:rsidP="00BF4608">
      <w:pPr>
        <w:jc w:val="both"/>
        <w:rPr>
          <w:rFonts w:ascii="Calibri" w:hAnsi="Calibri"/>
        </w:rPr>
      </w:pPr>
      <w:r w:rsidRPr="00C33FCA">
        <w:rPr>
          <w:rFonts w:ascii="Calibri" w:hAnsi="Calibri"/>
        </w:rPr>
        <w:t xml:space="preserve">MDPH </w:t>
      </w:r>
      <w:r w:rsidR="008E6176">
        <w:rPr>
          <w:rFonts w:ascii="Calibri" w:hAnsi="Calibri"/>
        </w:rPr>
        <w:t>produces a “heat map” of</w:t>
      </w:r>
      <w:r w:rsidR="008E6176" w:rsidRPr="00C33FCA">
        <w:rPr>
          <w:rFonts w:ascii="Calibri" w:hAnsi="Calibri"/>
        </w:rPr>
        <w:t xml:space="preserve"> </w:t>
      </w:r>
      <w:r w:rsidR="00DC7252" w:rsidRPr="00C33FCA">
        <w:rPr>
          <w:rFonts w:ascii="Calibri" w:hAnsi="Calibri"/>
        </w:rPr>
        <w:t>rabi</w:t>
      </w:r>
      <w:r w:rsidR="00CC4A73" w:rsidRPr="00C33FCA">
        <w:rPr>
          <w:rFonts w:ascii="Calibri" w:hAnsi="Calibri"/>
        </w:rPr>
        <w:t>es-positive</w:t>
      </w:r>
      <w:r w:rsidR="00DC7252" w:rsidRPr="00C33FCA">
        <w:rPr>
          <w:rFonts w:ascii="Calibri" w:hAnsi="Calibri"/>
        </w:rPr>
        <w:t xml:space="preserve"> </w:t>
      </w:r>
      <w:r w:rsidR="00425A07" w:rsidRPr="00C33FCA">
        <w:rPr>
          <w:rFonts w:ascii="Calibri" w:hAnsi="Calibri"/>
        </w:rPr>
        <w:t xml:space="preserve">terrestrial </w:t>
      </w:r>
      <w:r w:rsidR="00DC7252" w:rsidRPr="00C33FCA">
        <w:rPr>
          <w:rFonts w:ascii="Calibri" w:hAnsi="Calibri"/>
        </w:rPr>
        <w:t xml:space="preserve">animals on </w:t>
      </w:r>
      <w:r w:rsidR="00425A07" w:rsidRPr="00C33FCA">
        <w:rPr>
          <w:rFonts w:ascii="Calibri" w:hAnsi="Calibri"/>
        </w:rPr>
        <w:t xml:space="preserve">an </w:t>
      </w:r>
      <w:r w:rsidR="00DC7252" w:rsidRPr="00C33FCA">
        <w:rPr>
          <w:rFonts w:ascii="Calibri" w:hAnsi="Calibri"/>
        </w:rPr>
        <w:t xml:space="preserve">annual basis (see </w:t>
      </w:r>
      <w:r w:rsidR="00DC7252" w:rsidRPr="00C33FCA">
        <w:rPr>
          <w:rFonts w:ascii="Calibri" w:hAnsi="Calibri"/>
          <w:b/>
        </w:rPr>
        <w:t>Figure 5</w:t>
      </w:r>
      <w:r w:rsidR="00DC7252" w:rsidRPr="00C33FCA">
        <w:rPr>
          <w:rFonts w:ascii="Calibri" w:hAnsi="Calibri"/>
        </w:rPr>
        <w:t xml:space="preserve">). </w:t>
      </w:r>
    </w:p>
    <w:p w:rsidR="005D131E" w:rsidRPr="003236E1" w:rsidRDefault="00572B39" w:rsidP="00BF4608">
      <w:pPr>
        <w:jc w:val="both"/>
        <w:rPr>
          <w:rStyle w:val="Normal"/>
          <w:rFonts w:ascii="Calibri" w:hAnsi="Calibri"/>
        </w:rPr>
      </w:pPr>
      <w:r w:rsidRPr="00C33FCA">
        <w:rPr>
          <w:rFonts w:ascii="Calibri" w:hAnsi="Calibri"/>
        </w:rPr>
        <w:t xml:space="preserve"> </w:t>
      </w:r>
      <w:r w:rsidR="00DC7252" w:rsidRPr="00BF4608">
        <w:rPr>
          <w:rFonts w:ascii="Calibri" w:hAnsi="Calibri"/>
          <w:b/>
          <w:sz w:val="28"/>
          <w:szCs w:val="28"/>
        </w:rPr>
        <w:t>Figure 5.</w:t>
      </w:r>
      <w:r w:rsidR="005D131E" w:rsidRPr="005D131E">
        <w:rPr>
          <w:rStyle w:val="Normal"/>
          <w:snapToGrid w:val="0"/>
          <w:color w:val="000000"/>
          <w:w w:val="0"/>
          <w:sz w:val="0"/>
          <w:szCs w:val="0"/>
          <w:u w:color="000000"/>
          <w:bdr w:val="none" w:sz="0" w:space="0" w:color="000000"/>
          <w:shd w:val="clear" w:color="000000" w:fill="000000"/>
          <w:lang w:val="x-none" w:eastAsia="x-none" w:bidi="x-none"/>
        </w:rPr>
        <w:t xml:space="preserve"> </w:t>
      </w:r>
    </w:p>
    <w:p w:rsidR="003236E1" w:rsidRPr="003236E1" w:rsidRDefault="009729DA" w:rsidP="008B5153">
      <w:pPr>
        <w:jc w:val="center"/>
        <w:rPr>
          <w:rFonts w:ascii="Calibri" w:hAnsi="Calibri"/>
          <w:b/>
          <w:sz w:val="28"/>
          <w:szCs w:val="28"/>
        </w:rPr>
      </w:pPr>
      <w:r w:rsidRPr="008B5153">
        <w:rPr>
          <w:rFonts w:ascii="Calibri" w:hAnsi="Calibri"/>
          <w:b/>
          <w:noProof/>
          <w:sz w:val="28"/>
          <w:szCs w:val="28"/>
        </w:rPr>
        <w:drawing>
          <wp:inline distT="0" distB="0" distL="0" distR="0">
            <wp:extent cx="7338060" cy="56540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8060" cy="5654040"/>
                    </a:xfrm>
                    <a:prstGeom prst="rect">
                      <a:avLst/>
                    </a:prstGeom>
                    <a:noFill/>
                    <a:ln>
                      <a:noFill/>
                    </a:ln>
                  </pic:spPr>
                </pic:pic>
              </a:graphicData>
            </a:graphic>
          </wp:inline>
        </w:drawing>
      </w:r>
    </w:p>
    <w:sectPr w:rsidR="003236E1" w:rsidRPr="003236E1" w:rsidSect="00D72D22">
      <w:pgSz w:w="15840" w:h="12240" w:orient="landscape" w:code="1"/>
      <w:pgMar w:top="1008" w:right="720" w:bottom="1008" w:left="1008" w:header="720" w:footer="720" w:gutter="0"/>
      <w:pgBorders w:offsetFrom="page">
        <w:bottom w:val="dotted"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FC4" w:rsidRDefault="00312FC4">
      <w:r>
        <w:separator/>
      </w:r>
    </w:p>
  </w:endnote>
  <w:endnote w:type="continuationSeparator" w:id="0">
    <w:p w:rsidR="00312FC4" w:rsidRDefault="0031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D17" w:rsidRPr="006D5C14" w:rsidRDefault="00554D17" w:rsidP="00DD24F6">
    <w:pPr>
      <w:pStyle w:val="Footer"/>
      <w:jc w:val="right"/>
      <w:rPr>
        <w:sz w:val="18"/>
        <w:szCs w:val="18"/>
      </w:rPr>
    </w:pPr>
    <w:r>
      <w:rPr>
        <w:sz w:val="18"/>
        <w:szCs w:val="18"/>
      </w:rPr>
      <w:t>2017</w:t>
    </w:r>
    <w:r w:rsidRPr="006D5C14">
      <w:rPr>
        <w:sz w:val="18"/>
        <w:szCs w:val="18"/>
      </w:rPr>
      <w:t xml:space="preserve"> Rabies Report – </w:t>
    </w:r>
    <w:r>
      <w:rPr>
        <w:sz w:val="18"/>
        <w:szCs w:val="18"/>
      </w:rPr>
      <w:t>Full Report</w:t>
    </w:r>
    <w:r w:rsidRPr="006D5C14">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FC4" w:rsidRDefault="00312FC4">
      <w:r>
        <w:separator/>
      </w:r>
    </w:p>
  </w:footnote>
  <w:footnote w:type="continuationSeparator" w:id="0">
    <w:p w:rsidR="00312FC4" w:rsidRDefault="00312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5CBB"/>
    <w:multiLevelType w:val="hybridMultilevel"/>
    <w:tmpl w:val="55F86F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76871"/>
    <w:multiLevelType w:val="hybridMultilevel"/>
    <w:tmpl w:val="4192D8AE"/>
    <w:lvl w:ilvl="0" w:tplc="04090015">
      <w:start w:val="13"/>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14"/>
    <w:rsid w:val="00002868"/>
    <w:rsid w:val="00002E1B"/>
    <w:rsid w:val="00003706"/>
    <w:rsid w:val="00003CAA"/>
    <w:rsid w:val="00004184"/>
    <w:rsid w:val="000054B4"/>
    <w:rsid w:val="00006782"/>
    <w:rsid w:val="00006B2F"/>
    <w:rsid w:val="00007C90"/>
    <w:rsid w:val="000101C7"/>
    <w:rsid w:val="000135FE"/>
    <w:rsid w:val="0001362E"/>
    <w:rsid w:val="00014CA2"/>
    <w:rsid w:val="000165FE"/>
    <w:rsid w:val="00017527"/>
    <w:rsid w:val="00017BD5"/>
    <w:rsid w:val="000201C9"/>
    <w:rsid w:val="000212EF"/>
    <w:rsid w:val="000230AE"/>
    <w:rsid w:val="00023C9A"/>
    <w:rsid w:val="000260A3"/>
    <w:rsid w:val="00026A9B"/>
    <w:rsid w:val="00030BD1"/>
    <w:rsid w:val="000310E4"/>
    <w:rsid w:val="00033885"/>
    <w:rsid w:val="0003700F"/>
    <w:rsid w:val="00037BCE"/>
    <w:rsid w:val="0004006A"/>
    <w:rsid w:val="000425E2"/>
    <w:rsid w:val="00043D37"/>
    <w:rsid w:val="0004473B"/>
    <w:rsid w:val="00046008"/>
    <w:rsid w:val="0004625C"/>
    <w:rsid w:val="000507B6"/>
    <w:rsid w:val="00050F61"/>
    <w:rsid w:val="00053A6E"/>
    <w:rsid w:val="00055495"/>
    <w:rsid w:val="00060610"/>
    <w:rsid w:val="00064D28"/>
    <w:rsid w:val="000657F5"/>
    <w:rsid w:val="0006593B"/>
    <w:rsid w:val="00065D9A"/>
    <w:rsid w:val="00066832"/>
    <w:rsid w:val="000700EB"/>
    <w:rsid w:val="00070466"/>
    <w:rsid w:val="000722B1"/>
    <w:rsid w:val="00072809"/>
    <w:rsid w:val="000736D5"/>
    <w:rsid w:val="00073D36"/>
    <w:rsid w:val="00074BDE"/>
    <w:rsid w:val="00075EFD"/>
    <w:rsid w:val="00076A47"/>
    <w:rsid w:val="00077B52"/>
    <w:rsid w:val="00081D62"/>
    <w:rsid w:val="00090623"/>
    <w:rsid w:val="000907C6"/>
    <w:rsid w:val="0009085B"/>
    <w:rsid w:val="0009177A"/>
    <w:rsid w:val="0009271C"/>
    <w:rsid w:val="0009768D"/>
    <w:rsid w:val="000A0D32"/>
    <w:rsid w:val="000A0F86"/>
    <w:rsid w:val="000A3DA6"/>
    <w:rsid w:val="000B072C"/>
    <w:rsid w:val="000B4B58"/>
    <w:rsid w:val="000B4F47"/>
    <w:rsid w:val="000B616C"/>
    <w:rsid w:val="000B6415"/>
    <w:rsid w:val="000C0E27"/>
    <w:rsid w:val="000C1D4C"/>
    <w:rsid w:val="000C5705"/>
    <w:rsid w:val="000C6E6F"/>
    <w:rsid w:val="000C72FD"/>
    <w:rsid w:val="000C7381"/>
    <w:rsid w:val="000C743D"/>
    <w:rsid w:val="000D3727"/>
    <w:rsid w:val="000D4251"/>
    <w:rsid w:val="000D4BBA"/>
    <w:rsid w:val="000D5199"/>
    <w:rsid w:val="000D64D7"/>
    <w:rsid w:val="000E1768"/>
    <w:rsid w:val="000E62AA"/>
    <w:rsid w:val="000F035D"/>
    <w:rsid w:val="000F1C5A"/>
    <w:rsid w:val="000F3147"/>
    <w:rsid w:val="000F4CBD"/>
    <w:rsid w:val="000F5049"/>
    <w:rsid w:val="000F5740"/>
    <w:rsid w:val="001002E4"/>
    <w:rsid w:val="00101775"/>
    <w:rsid w:val="00101CCD"/>
    <w:rsid w:val="0010238A"/>
    <w:rsid w:val="00102C5F"/>
    <w:rsid w:val="00104627"/>
    <w:rsid w:val="001051C0"/>
    <w:rsid w:val="00107493"/>
    <w:rsid w:val="001118CC"/>
    <w:rsid w:val="00113311"/>
    <w:rsid w:val="00114941"/>
    <w:rsid w:val="00115DE5"/>
    <w:rsid w:val="00115F12"/>
    <w:rsid w:val="00116FAF"/>
    <w:rsid w:val="0012168B"/>
    <w:rsid w:val="00121A60"/>
    <w:rsid w:val="00122D2A"/>
    <w:rsid w:val="001247BF"/>
    <w:rsid w:val="00125AC9"/>
    <w:rsid w:val="001276C1"/>
    <w:rsid w:val="00133178"/>
    <w:rsid w:val="00137B4F"/>
    <w:rsid w:val="00137F88"/>
    <w:rsid w:val="001409EA"/>
    <w:rsid w:val="00140F0D"/>
    <w:rsid w:val="00141202"/>
    <w:rsid w:val="001423ED"/>
    <w:rsid w:val="00143294"/>
    <w:rsid w:val="001500B1"/>
    <w:rsid w:val="00151E45"/>
    <w:rsid w:val="00152CB3"/>
    <w:rsid w:val="001534B8"/>
    <w:rsid w:val="001538C8"/>
    <w:rsid w:val="001538DF"/>
    <w:rsid w:val="00153A34"/>
    <w:rsid w:val="00165D6C"/>
    <w:rsid w:val="00166EFB"/>
    <w:rsid w:val="0017699E"/>
    <w:rsid w:val="00180486"/>
    <w:rsid w:val="00180632"/>
    <w:rsid w:val="00180EE2"/>
    <w:rsid w:val="00182599"/>
    <w:rsid w:val="001850B2"/>
    <w:rsid w:val="001858CC"/>
    <w:rsid w:val="00186343"/>
    <w:rsid w:val="00186785"/>
    <w:rsid w:val="00194091"/>
    <w:rsid w:val="00195154"/>
    <w:rsid w:val="00196233"/>
    <w:rsid w:val="001962C8"/>
    <w:rsid w:val="0019690C"/>
    <w:rsid w:val="001A0BC4"/>
    <w:rsid w:val="001A1149"/>
    <w:rsid w:val="001A1AD6"/>
    <w:rsid w:val="001A4414"/>
    <w:rsid w:val="001A5742"/>
    <w:rsid w:val="001A6882"/>
    <w:rsid w:val="001A6D5A"/>
    <w:rsid w:val="001A6FCD"/>
    <w:rsid w:val="001B18A7"/>
    <w:rsid w:val="001B1FBE"/>
    <w:rsid w:val="001B1FF5"/>
    <w:rsid w:val="001B20BD"/>
    <w:rsid w:val="001B4D57"/>
    <w:rsid w:val="001B634B"/>
    <w:rsid w:val="001B66A2"/>
    <w:rsid w:val="001B7998"/>
    <w:rsid w:val="001B7C65"/>
    <w:rsid w:val="001B7C7C"/>
    <w:rsid w:val="001C13D6"/>
    <w:rsid w:val="001C7976"/>
    <w:rsid w:val="001D0023"/>
    <w:rsid w:val="001D1E33"/>
    <w:rsid w:val="001D352D"/>
    <w:rsid w:val="001D3D2F"/>
    <w:rsid w:val="001D54DE"/>
    <w:rsid w:val="001E01E6"/>
    <w:rsid w:val="001E2C62"/>
    <w:rsid w:val="001E409D"/>
    <w:rsid w:val="001E4FE0"/>
    <w:rsid w:val="001E5F94"/>
    <w:rsid w:val="001F0429"/>
    <w:rsid w:val="001F097E"/>
    <w:rsid w:val="001F3462"/>
    <w:rsid w:val="001F431E"/>
    <w:rsid w:val="00200B60"/>
    <w:rsid w:val="00202435"/>
    <w:rsid w:val="00202B83"/>
    <w:rsid w:val="00204558"/>
    <w:rsid w:val="00205B58"/>
    <w:rsid w:val="002067C3"/>
    <w:rsid w:val="002070D8"/>
    <w:rsid w:val="0021001C"/>
    <w:rsid w:val="00212141"/>
    <w:rsid w:val="00212F3E"/>
    <w:rsid w:val="00214681"/>
    <w:rsid w:val="00216C91"/>
    <w:rsid w:val="0021718F"/>
    <w:rsid w:val="00222D99"/>
    <w:rsid w:val="00223054"/>
    <w:rsid w:val="00223F1C"/>
    <w:rsid w:val="00224C90"/>
    <w:rsid w:val="00224F96"/>
    <w:rsid w:val="00226860"/>
    <w:rsid w:val="00226F65"/>
    <w:rsid w:val="00230A07"/>
    <w:rsid w:val="00230AE6"/>
    <w:rsid w:val="00230AFA"/>
    <w:rsid w:val="00233450"/>
    <w:rsid w:val="00237DF3"/>
    <w:rsid w:val="00240E17"/>
    <w:rsid w:val="002418A2"/>
    <w:rsid w:val="00241DED"/>
    <w:rsid w:val="00242745"/>
    <w:rsid w:val="002455BF"/>
    <w:rsid w:val="00247552"/>
    <w:rsid w:val="00250245"/>
    <w:rsid w:val="0025027F"/>
    <w:rsid w:val="002506FC"/>
    <w:rsid w:val="00250967"/>
    <w:rsid w:val="00254010"/>
    <w:rsid w:val="002612EB"/>
    <w:rsid w:val="002616B5"/>
    <w:rsid w:val="00263F50"/>
    <w:rsid w:val="002640BD"/>
    <w:rsid w:val="00265324"/>
    <w:rsid w:val="002667B4"/>
    <w:rsid w:val="002705D1"/>
    <w:rsid w:val="002713CA"/>
    <w:rsid w:val="002728E9"/>
    <w:rsid w:val="002733C2"/>
    <w:rsid w:val="0028260F"/>
    <w:rsid w:val="00283388"/>
    <w:rsid w:val="00283927"/>
    <w:rsid w:val="00286BF3"/>
    <w:rsid w:val="002876F6"/>
    <w:rsid w:val="00294B44"/>
    <w:rsid w:val="00295B49"/>
    <w:rsid w:val="002A219E"/>
    <w:rsid w:val="002A29A6"/>
    <w:rsid w:val="002A4187"/>
    <w:rsid w:val="002A50E4"/>
    <w:rsid w:val="002A679D"/>
    <w:rsid w:val="002B0FCE"/>
    <w:rsid w:val="002B3702"/>
    <w:rsid w:val="002B6431"/>
    <w:rsid w:val="002B6811"/>
    <w:rsid w:val="002C3984"/>
    <w:rsid w:val="002C47C6"/>
    <w:rsid w:val="002C553A"/>
    <w:rsid w:val="002C5D99"/>
    <w:rsid w:val="002C6432"/>
    <w:rsid w:val="002C7A04"/>
    <w:rsid w:val="002D3609"/>
    <w:rsid w:val="002D43FA"/>
    <w:rsid w:val="002E10E3"/>
    <w:rsid w:val="002E1805"/>
    <w:rsid w:val="002E2883"/>
    <w:rsid w:val="002E44D7"/>
    <w:rsid w:val="002E6C95"/>
    <w:rsid w:val="002F0A92"/>
    <w:rsid w:val="002F3C48"/>
    <w:rsid w:val="002F4AED"/>
    <w:rsid w:val="002F5A80"/>
    <w:rsid w:val="002F6674"/>
    <w:rsid w:val="002F7301"/>
    <w:rsid w:val="00300148"/>
    <w:rsid w:val="00300911"/>
    <w:rsid w:val="00300DF2"/>
    <w:rsid w:val="00301EA0"/>
    <w:rsid w:val="00303D76"/>
    <w:rsid w:val="00303E07"/>
    <w:rsid w:val="0030607A"/>
    <w:rsid w:val="00307807"/>
    <w:rsid w:val="00310734"/>
    <w:rsid w:val="003108ED"/>
    <w:rsid w:val="00310975"/>
    <w:rsid w:val="00312FC4"/>
    <w:rsid w:val="00314726"/>
    <w:rsid w:val="00315B6D"/>
    <w:rsid w:val="00321A0E"/>
    <w:rsid w:val="003228D6"/>
    <w:rsid w:val="00322A63"/>
    <w:rsid w:val="003236E1"/>
    <w:rsid w:val="00323E9F"/>
    <w:rsid w:val="00324C6C"/>
    <w:rsid w:val="003274DE"/>
    <w:rsid w:val="00332880"/>
    <w:rsid w:val="00333160"/>
    <w:rsid w:val="00333936"/>
    <w:rsid w:val="00336603"/>
    <w:rsid w:val="00340228"/>
    <w:rsid w:val="0034050F"/>
    <w:rsid w:val="003412DD"/>
    <w:rsid w:val="00342619"/>
    <w:rsid w:val="0034456D"/>
    <w:rsid w:val="003454E8"/>
    <w:rsid w:val="00345B29"/>
    <w:rsid w:val="00345C46"/>
    <w:rsid w:val="003478B7"/>
    <w:rsid w:val="00347E66"/>
    <w:rsid w:val="00351342"/>
    <w:rsid w:val="003518A7"/>
    <w:rsid w:val="00351AFF"/>
    <w:rsid w:val="00351D3A"/>
    <w:rsid w:val="0035330E"/>
    <w:rsid w:val="003542ED"/>
    <w:rsid w:val="00355295"/>
    <w:rsid w:val="00355F84"/>
    <w:rsid w:val="003561B7"/>
    <w:rsid w:val="003628BE"/>
    <w:rsid w:val="003656A7"/>
    <w:rsid w:val="00366E72"/>
    <w:rsid w:val="00370B51"/>
    <w:rsid w:val="00371CF1"/>
    <w:rsid w:val="00372C6E"/>
    <w:rsid w:val="00372CED"/>
    <w:rsid w:val="00373913"/>
    <w:rsid w:val="003739E6"/>
    <w:rsid w:val="00373F47"/>
    <w:rsid w:val="003759C7"/>
    <w:rsid w:val="0037666E"/>
    <w:rsid w:val="00377292"/>
    <w:rsid w:val="00377C45"/>
    <w:rsid w:val="00380566"/>
    <w:rsid w:val="00380C00"/>
    <w:rsid w:val="00381CD4"/>
    <w:rsid w:val="003849CF"/>
    <w:rsid w:val="00384F85"/>
    <w:rsid w:val="00387274"/>
    <w:rsid w:val="00387BDE"/>
    <w:rsid w:val="003920FA"/>
    <w:rsid w:val="00392BF4"/>
    <w:rsid w:val="00394FE0"/>
    <w:rsid w:val="0039610C"/>
    <w:rsid w:val="003A0216"/>
    <w:rsid w:val="003A0BDC"/>
    <w:rsid w:val="003A0CC1"/>
    <w:rsid w:val="003A1771"/>
    <w:rsid w:val="003A1BE2"/>
    <w:rsid w:val="003A22F9"/>
    <w:rsid w:val="003A26FD"/>
    <w:rsid w:val="003A44FE"/>
    <w:rsid w:val="003A58FC"/>
    <w:rsid w:val="003A5C4D"/>
    <w:rsid w:val="003A6E7C"/>
    <w:rsid w:val="003B0100"/>
    <w:rsid w:val="003B0262"/>
    <w:rsid w:val="003B1E9B"/>
    <w:rsid w:val="003B2B9B"/>
    <w:rsid w:val="003B2E73"/>
    <w:rsid w:val="003B571D"/>
    <w:rsid w:val="003B5EC9"/>
    <w:rsid w:val="003B7D5E"/>
    <w:rsid w:val="003C0898"/>
    <w:rsid w:val="003C407D"/>
    <w:rsid w:val="003C7C55"/>
    <w:rsid w:val="003D0724"/>
    <w:rsid w:val="003D2E4C"/>
    <w:rsid w:val="003D38DA"/>
    <w:rsid w:val="003D3B16"/>
    <w:rsid w:val="003D6E5C"/>
    <w:rsid w:val="003D743E"/>
    <w:rsid w:val="003D7EB1"/>
    <w:rsid w:val="003E0283"/>
    <w:rsid w:val="003E07B2"/>
    <w:rsid w:val="003E1271"/>
    <w:rsid w:val="003E1BEC"/>
    <w:rsid w:val="003E423D"/>
    <w:rsid w:val="003E4417"/>
    <w:rsid w:val="003E5800"/>
    <w:rsid w:val="003E6A4B"/>
    <w:rsid w:val="003E7689"/>
    <w:rsid w:val="003F3CBA"/>
    <w:rsid w:val="003F6262"/>
    <w:rsid w:val="003F663C"/>
    <w:rsid w:val="003F7201"/>
    <w:rsid w:val="0040287E"/>
    <w:rsid w:val="00405C26"/>
    <w:rsid w:val="00407E51"/>
    <w:rsid w:val="0041012C"/>
    <w:rsid w:val="0041542C"/>
    <w:rsid w:val="00416445"/>
    <w:rsid w:val="00416984"/>
    <w:rsid w:val="004201EC"/>
    <w:rsid w:val="00421131"/>
    <w:rsid w:val="004230E2"/>
    <w:rsid w:val="0042336F"/>
    <w:rsid w:val="004255A0"/>
    <w:rsid w:val="00425A07"/>
    <w:rsid w:val="00425A37"/>
    <w:rsid w:val="00430FC4"/>
    <w:rsid w:val="00431773"/>
    <w:rsid w:val="00433F5B"/>
    <w:rsid w:val="00435859"/>
    <w:rsid w:val="00436660"/>
    <w:rsid w:val="00440340"/>
    <w:rsid w:val="004429E8"/>
    <w:rsid w:val="004444DC"/>
    <w:rsid w:val="00450933"/>
    <w:rsid w:val="004515A6"/>
    <w:rsid w:val="004523A3"/>
    <w:rsid w:val="0045363D"/>
    <w:rsid w:val="004555C0"/>
    <w:rsid w:val="00455BB2"/>
    <w:rsid w:val="00456F22"/>
    <w:rsid w:val="00461862"/>
    <w:rsid w:val="00463B05"/>
    <w:rsid w:val="004640D9"/>
    <w:rsid w:val="00465B55"/>
    <w:rsid w:val="00467836"/>
    <w:rsid w:val="00471388"/>
    <w:rsid w:val="00471E73"/>
    <w:rsid w:val="00473ED9"/>
    <w:rsid w:val="00474164"/>
    <w:rsid w:val="004741AD"/>
    <w:rsid w:val="004749AD"/>
    <w:rsid w:val="004753C8"/>
    <w:rsid w:val="00475919"/>
    <w:rsid w:val="0047740D"/>
    <w:rsid w:val="00480AE0"/>
    <w:rsid w:val="0048179A"/>
    <w:rsid w:val="00482ECE"/>
    <w:rsid w:val="00484695"/>
    <w:rsid w:val="00486847"/>
    <w:rsid w:val="00487D90"/>
    <w:rsid w:val="004938EF"/>
    <w:rsid w:val="0049497F"/>
    <w:rsid w:val="00495261"/>
    <w:rsid w:val="004953B2"/>
    <w:rsid w:val="00495483"/>
    <w:rsid w:val="00497500"/>
    <w:rsid w:val="004A1566"/>
    <w:rsid w:val="004A28DB"/>
    <w:rsid w:val="004A299E"/>
    <w:rsid w:val="004A37C5"/>
    <w:rsid w:val="004A42BF"/>
    <w:rsid w:val="004A4B4F"/>
    <w:rsid w:val="004A72A6"/>
    <w:rsid w:val="004B02AD"/>
    <w:rsid w:val="004B1CCC"/>
    <w:rsid w:val="004B4766"/>
    <w:rsid w:val="004B557A"/>
    <w:rsid w:val="004B7361"/>
    <w:rsid w:val="004B7C44"/>
    <w:rsid w:val="004C18E1"/>
    <w:rsid w:val="004C1B78"/>
    <w:rsid w:val="004C301A"/>
    <w:rsid w:val="004C42EA"/>
    <w:rsid w:val="004C5583"/>
    <w:rsid w:val="004C5607"/>
    <w:rsid w:val="004C6C94"/>
    <w:rsid w:val="004C73DA"/>
    <w:rsid w:val="004C7E19"/>
    <w:rsid w:val="004D1FDD"/>
    <w:rsid w:val="004D314A"/>
    <w:rsid w:val="004D5E53"/>
    <w:rsid w:val="004D69AB"/>
    <w:rsid w:val="004D78EA"/>
    <w:rsid w:val="004E10CB"/>
    <w:rsid w:val="004E31AD"/>
    <w:rsid w:val="004E504D"/>
    <w:rsid w:val="004E6926"/>
    <w:rsid w:val="004E6A1E"/>
    <w:rsid w:val="004E7A48"/>
    <w:rsid w:val="004F09DB"/>
    <w:rsid w:val="004F0AF5"/>
    <w:rsid w:val="004F0E3B"/>
    <w:rsid w:val="004F1B8E"/>
    <w:rsid w:val="004F1E80"/>
    <w:rsid w:val="004F2D3C"/>
    <w:rsid w:val="004F2E7E"/>
    <w:rsid w:val="004F3307"/>
    <w:rsid w:val="004F36E1"/>
    <w:rsid w:val="004F37EC"/>
    <w:rsid w:val="004F5588"/>
    <w:rsid w:val="004F5859"/>
    <w:rsid w:val="004F7731"/>
    <w:rsid w:val="004F7C67"/>
    <w:rsid w:val="005008ED"/>
    <w:rsid w:val="00500DDE"/>
    <w:rsid w:val="005017B2"/>
    <w:rsid w:val="00503696"/>
    <w:rsid w:val="0050431D"/>
    <w:rsid w:val="005057B4"/>
    <w:rsid w:val="00506E25"/>
    <w:rsid w:val="00510588"/>
    <w:rsid w:val="005113DE"/>
    <w:rsid w:val="00514442"/>
    <w:rsid w:val="0051593F"/>
    <w:rsid w:val="0052254F"/>
    <w:rsid w:val="00523163"/>
    <w:rsid w:val="005244AD"/>
    <w:rsid w:val="005265C2"/>
    <w:rsid w:val="005309E3"/>
    <w:rsid w:val="00530AD4"/>
    <w:rsid w:val="00530B5C"/>
    <w:rsid w:val="00532603"/>
    <w:rsid w:val="005327DE"/>
    <w:rsid w:val="005337A7"/>
    <w:rsid w:val="00540353"/>
    <w:rsid w:val="00543FCD"/>
    <w:rsid w:val="00544BF3"/>
    <w:rsid w:val="005450B6"/>
    <w:rsid w:val="005471D6"/>
    <w:rsid w:val="00551434"/>
    <w:rsid w:val="00552373"/>
    <w:rsid w:val="005524BC"/>
    <w:rsid w:val="00552DA1"/>
    <w:rsid w:val="00554D17"/>
    <w:rsid w:val="00554F63"/>
    <w:rsid w:val="005577CB"/>
    <w:rsid w:val="00557BB0"/>
    <w:rsid w:val="00562553"/>
    <w:rsid w:val="00562E2D"/>
    <w:rsid w:val="00565613"/>
    <w:rsid w:val="00565C13"/>
    <w:rsid w:val="005719E1"/>
    <w:rsid w:val="00572B39"/>
    <w:rsid w:val="00573F40"/>
    <w:rsid w:val="005745F3"/>
    <w:rsid w:val="00574ADE"/>
    <w:rsid w:val="0057540A"/>
    <w:rsid w:val="0057697C"/>
    <w:rsid w:val="00577F72"/>
    <w:rsid w:val="00581CAC"/>
    <w:rsid w:val="0058389B"/>
    <w:rsid w:val="00586239"/>
    <w:rsid w:val="0058677B"/>
    <w:rsid w:val="005908E4"/>
    <w:rsid w:val="00590CB7"/>
    <w:rsid w:val="00590F71"/>
    <w:rsid w:val="00594629"/>
    <w:rsid w:val="0059581C"/>
    <w:rsid w:val="00595D09"/>
    <w:rsid w:val="005A166C"/>
    <w:rsid w:val="005A2B77"/>
    <w:rsid w:val="005A3BBA"/>
    <w:rsid w:val="005A3E63"/>
    <w:rsid w:val="005A4E64"/>
    <w:rsid w:val="005B02F5"/>
    <w:rsid w:val="005B1EB9"/>
    <w:rsid w:val="005B2D4D"/>
    <w:rsid w:val="005B3974"/>
    <w:rsid w:val="005B4B1E"/>
    <w:rsid w:val="005B4B97"/>
    <w:rsid w:val="005B6A8A"/>
    <w:rsid w:val="005B7496"/>
    <w:rsid w:val="005C04C0"/>
    <w:rsid w:val="005C5B82"/>
    <w:rsid w:val="005C6C9A"/>
    <w:rsid w:val="005D131E"/>
    <w:rsid w:val="005E07AD"/>
    <w:rsid w:val="005E0F89"/>
    <w:rsid w:val="005E1105"/>
    <w:rsid w:val="005E1C74"/>
    <w:rsid w:val="005E4CA6"/>
    <w:rsid w:val="005E4CEF"/>
    <w:rsid w:val="005E5D45"/>
    <w:rsid w:val="005E678D"/>
    <w:rsid w:val="005E6F87"/>
    <w:rsid w:val="005E7019"/>
    <w:rsid w:val="005F065A"/>
    <w:rsid w:val="005F0DC4"/>
    <w:rsid w:val="005F46CE"/>
    <w:rsid w:val="005F46E7"/>
    <w:rsid w:val="005F4A74"/>
    <w:rsid w:val="005F4BD1"/>
    <w:rsid w:val="005F4D1D"/>
    <w:rsid w:val="005F78D0"/>
    <w:rsid w:val="0060087D"/>
    <w:rsid w:val="00601315"/>
    <w:rsid w:val="00603A4A"/>
    <w:rsid w:val="006062BD"/>
    <w:rsid w:val="006074F0"/>
    <w:rsid w:val="00607DD8"/>
    <w:rsid w:val="00611B37"/>
    <w:rsid w:val="00612D7E"/>
    <w:rsid w:val="006161C6"/>
    <w:rsid w:val="00617FF1"/>
    <w:rsid w:val="006206C4"/>
    <w:rsid w:val="00621914"/>
    <w:rsid w:val="006228C5"/>
    <w:rsid w:val="00624675"/>
    <w:rsid w:val="00625B99"/>
    <w:rsid w:val="0063045B"/>
    <w:rsid w:val="00631610"/>
    <w:rsid w:val="00634B67"/>
    <w:rsid w:val="00634BEA"/>
    <w:rsid w:val="00636E78"/>
    <w:rsid w:val="00640949"/>
    <w:rsid w:val="0064342B"/>
    <w:rsid w:val="006444F5"/>
    <w:rsid w:val="00646445"/>
    <w:rsid w:val="00646610"/>
    <w:rsid w:val="00646F6D"/>
    <w:rsid w:val="006471A7"/>
    <w:rsid w:val="00647AE6"/>
    <w:rsid w:val="00650730"/>
    <w:rsid w:val="006513B6"/>
    <w:rsid w:val="006524D2"/>
    <w:rsid w:val="00652D22"/>
    <w:rsid w:val="006561F3"/>
    <w:rsid w:val="00661AB2"/>
    <w:rsid w:val="00663F18"/>
    <w:rsid w:val="006647D2"/>
    <w:rsid w:val="0066566A"/>
    <w:rsid w:val="0066614D"/>
    <w:rsid w:val="0067174F"/>
    <w:rsid w:val="0067296B"/>
    <w:rsid w:val="0067299F"/>
    <w:rsid w:val="00672D30"/>
    <w:rsid w:val="006802EA"/>
    <w:rsid w:val="006822EA"/>
    <w:rsid w:val="006856C6"/>
    <w:rsid w:val="00686FC3"/>
    <w:rsid w:val="00687A53"/>
    <w:rsid w:val="00687B2F"/>
    <w:rsid w:val="0069044D"/>
    <w:rsid w:val="00690B69"/>
    <w:rsid w:val="0069135D"/>
    <w:rsid w:val="006951E5"/>
    <w:rsid w:val="006957CA"/>
    <w:rsid w:val="006A0251"/>
    <w:rsid w:val="006A0AD4"/>
    <w:rsid w:val="006A1FC1"/>
    <w:rsid w:val="006A3359"/>
    <w:rsid w:val="006A5761"/>
    <w:rsid w:val="006A7CCE"/>
    <w:rsid w:val="006B0877"/>
    <w:rsid w:val="006B5043"/>
    <w:rsid w:val="006B5C00"/>
    <w:rsid w:val="006C0989"/>
    <w:rsid w:val="006C10DB"/>
    <w:rsid w:val="006C1B13"/>
    <w:rsid w:val="006C23E2"/>
    <w:rsid w:val="006C3226"/>
    <w:rsid w:val="006D0AEC"/>
    <w:rsid w:val="006D2DB3"/>
    <w:rsid w:val="006D2DCF"/>
    <w:rsid w:val="006D5C14"/>
    <w:rsid w:val="006E20A6"/>
    <w:rsid w:val="006E26AF"/>
    <w:rsid w:val="006E4148"/>
    <w:rsid w:val="006E4F4B"/>
    <w:rsid w:val="006E6899"/>
    <w:rsid w:val="006E6DA9"/>
    <w:rsid w:val="006E797F"/>
    <w:rsid w:val="006F0361"/>
    <w:rsid w:val="006F0C0A"/>
    <w:rsid w:val="006F1052"/>
    <w:rsid w:val="006F11B7"/>
    <w:rsid w:val="006F1598"/>
    <w:rsid w:val="006F501A"/>
    <w:rsid w:val="006F594C"/>
    <w:rsid w:val="006F6164"/>
    <w:rsid w:val="006F6F1C"/>
    <w:rsid w:val="00700CBA"/>
    <w:rsid w:val="00702638"/>
    <w:rsid w:val="0070284D"/>
    <w:rsid w:val="00705692"/>
    <w:rsid w:val="00705713"/>
    <w:rsid w:val="00705C3C"/>
    <w:rsid w:val="00705D55"/>
    <w:rsid w:val="007060C9"/>
    <w:rsid w:val="00706378"/>
    <w:rsid w:val="00706A45"/>
    <w:rsid w:val="0070773E"/>
    <w:rsid w:val="00707A8F"/>
    <w:rsid w:val="00716786"/>
    <w:rsid w:val="007179E5"/>
    <w:rsid w:val="007220CC"/>
    <w:rsid w:val="0072290A"/>
    <w:rsid w:val="00725209"/>
    <w:rsid w:val="00725B90"/>
    <w:rsid w:val="00730D4C"/>
    <w:rsid w:val="00730FE0"/>
    <w:rsid w:val="00732122"/>
    <w:rsid w:val="00732216"/>
    <w:rsid w:val="00732891"/>
    <w:rsid w:val="00740526"/>
    <w:rsid w:val="007426A9"/>
    <w:rsid w:val="00744A61"/>
    <w:rsid w:val="00744A8F"/>
    <w:rsid w:val="00747F78"/>
    <w:rsid w:val="0075078E"/>
    <w:rsid w:val="007508FC"/>
    <w:rsid w:val="00750E88"/>
    <w:rsid w:val="007551D0"/>
    <w:rsid w:val="007562CE"/>
    <w:rsid w:val="0075740E"/>
    <w:rsid w:val="00762D8A"/>
    <w:rsid w:val="0076513A"/>
    <w:rsid w:val="00765506"/>
    <w:rsid w:val="00766FF6"/>
    <w:rsid w:val="0076705C"/>
    <w:rsid w:val="007673AB"/>
    <w:rsid w:val="0076761F"/>
    <w:rsid w:val="00770E3F"/>
    <w:rsid w:val="00772C79"/>
    <w:rsid w:val="00776551"/>
    <w:rsid w:val="00776571"/>
    <w:rsid w:val="00777483"/>
    <w:rsid w:val="00777658"/>
    <w:rsid w:val="007808FB"/>
    <w:rsid w:val="007814E4"/>
    <w:rsid w:val="00784919"/>
    <w:rsid w:val="00786D1D"/>
    <w:rsid w:val="00787214"/>
    <w:rsid w:val="00793AAE"/>
    <w:rsid w:val="007A0458"/>
    <w:rsid w:val="007A11A6"/>
    <w:rsid w:val="007A1841"/>
    <w:rsid w:val="007A1EF1"/>
    <w:rsid w:val="007A3661"/>
    <w:rsid w:val="007A62E8"/>
    <w:rsid w:val="007A7D67"/>
    <w:rsid w:val="007B0B33"/>
    <w:rsid w:val="007B1F1D"/>
    <w:rsid w:val="007B6B20"/>
    <w:rsid w:val="007C3C04"/>
    <w:rsid w:val="007C5D57"/>
    <w:rsid w:val="007C71FE"/>
    <w:rsid w:val="007D0D1A"/>
    <w:rsid w:val="007D2B53"/>
    <w:rsid w:val="007D30E5"/>
    <w:rsid w:val="007D3F8A"/>
    <w:rsid w:val="007D68D4"/>
    <w:rsid w:val="007D78C3"/>
    <w:rsid w:val="007E1464"/>
    <w:rsid w:val="007E1B2D"/>
    <w:rsid w:val="007E226F"/>
    <w:rsid w:val="007E269C"/>
    <w:rsid w:val="007E35AD"/>
    <w:rsid w:val="007E685E"/>
    <w:rsid w:val="007E6964"/>
    <w:rsid w:val="007E70FB"/>
    <w:rsid w:val="007F14BD"/>
    <w:rsid w:val="007F1A3C"/>
    <w:rsid w:val="007F3C09"/>
    <w:rsid w:val="007F593D"/>
    <w:rsid w:val="007F732A"/>
    <w:rsid w:val="00802E81"/>
    <w:rsid w:val="00803652"/>
    <w:rsid w:val="00807A6C"/>
    <w:rsid w:val="008100F3"/>
    <w:rsid w:val="00810EFD"/>
    <w:rsid w:val="008110F8"/>
    <w:rsid w:val="008117DB"/>
    <w:rsid w:val="00812EBE"/>
    <w:rsid w:val="00813462"/>
    <w:rsid w:val="0081424C"/>
    <w:rsid w:val="008146A1"/>
    <w:rsid w:val="00815F09"/>
    <w:rsid w:val="008230C7"/>
    <w:rsid w:val="00824086"/>
    <w:rsid w:val="00824449"/>
    <w:rsid w:val="00824AFA"/>
    <w:rsid w:val="008265ED"/>
    <w:rsid w:val="00826BEF"/>
    <w:rsid w:val="008309DA"/>
    <w:rsid w:val="008316CB"/>
    <w:rsid w:val="008318E3"/>
    <w:rsid w:val="00831ABA"/>
    <w:rsid w:val="0083259D"/>
    <w:rsid w:val="00832D2E"/>
    <w:rsid w:val="00835694"/>
    <w:rsid w:val="008365AB"/>
    <w:rsid w:val="00836830"/>
    <w:rsid w:val="00836F78"/>
    <w:rsid w:val="008375B8"/>
    <w:rsid w:val="00840BC1"/>
    <w:rsid w:val="008425C4"/>
    <w:rsid w:val="00842E9A"/>
    <w:rsid w:val="00843412"/>
    <w:rsid w:val="00843DD8"/>
    <w:rsid w:val="008445DB"/>
    <w:rsid w:val="008447D5"/>
    <w:rsid w:val="00847C93"/>
    <w:rsid w:val="00851F25"/>
    <w:rsid w:val="00852D0A"/>
    <w:rsid w:val="00854D42"/>
    <w:rsid w:val="008556F7"/>
    <w:rsid w:val="0085595F"/>
    <w:rsid w:val="00857665"/>
    <w:rsid w:val="008630D7"/>
    <w:rsid w:val="008633B8"/>
    <w:rsid w:val="008635FC"/>
    <w:rsid w:val="00870226"/>
    <w:rsid w:val="00874FA0"/>
    <w:rsid w:val="008816CA"/>
    <w:rsid w:val="0088191D"/>
    <w:rsid w:val="00882D88"/>
    <w:rsid w:val="00882FCB"/>
    <w:rsid w:val="008876FA"/>
    <w:rsid w:val="00887E48"/>
    <w:rsid w:val="0089422B"/>
    <w:rsid w:val="0089618C"/>
    <w:rsid w:val="008961B1"/>
    <w:rsid w:val="00896242"/>
    <w:rsid w:val="008A119E"/>
    <w:rsid w:val="008A1ABE"/>
    <w:rsid w:val="008A2D10"/>
    <w:rsid w:val="008A33FB"/>
    <w:rsid w:val="008A6EE5"/>
    <w:rsid w:val="008B454C"/>
    <w:rsid w:val="008B4FC1"/>
    <w:rsid w:val="008B5153"/>
    <w:rsid w:val="008C0312"/>
    <w:rsid w:val="008C0C6A"/>
    <w:rsid w:val="008C1CC7"/>
    <w:rsid w:val="008C2155"/>
    <w:rsid w:val="008C26E8"/>
    <w:rsid w:val="008C4314"/>
    <w:rsid w:val="008C43FF"/>
    <w:rsid w:val="008C7B27"/>
    <w:rsid w:val="008D049B"/>
    <w:rsid w:val="008D30A1"/>
    <w:rsid w:val="008D45A6"/>
    <w:rsid w:val="008D4900"/>
    <w:rsid w:val="008D4EED"/>
    <w:rsid w:val="008D538B"/>
    <w:rsid w:val="008D6427"/>
    <w:rsid w:val="008D68EC"/>
    <w:rsid w:val="008E1272"/>
    <w:rsid w:val="008E1552"/>
    <w:rsid w:val="008E1690"/>
    <w:rsid w:val="008E3981"/>
    <w:rsid w:val="008E3AEF"/>
    <w:rsid w:val="008E40DA"/>
    <w:rsid w:val="008E5F44"/>
    <w:rsid w:val="008E6176"/>
    <w:rsid w:val="008E6604"/>
    <w:rsid w:val="008E662D"/>
    <w:rsid w:val="008E6C9A"/>
    <w:rsid w:val="008F0E69"/>
    <w:rsid w:val="008F1185"/>
    <w:rsid w:val="008F2C7C"/>
    <w:rsid w:val="008F5DAC"/>
    <w:rsid w:val="008F6B65"/>
    <w:rsid w:val="00902F4F"/>
    <w:rsid w:val="009049D6"/>
    <w:rsid w:val="0090500B"/>
    <w:rsid w:val="00905988"/>
    <w:rsid w:val="00907C3C"/>
    <w:rsid w:val="0091080C"/>
    <w:rsid w:val="00910EC9"/>
    <w:rsid w:val="00910FCC"/>
    <w:rsid w:val="00911426"/>
    <w:rsid w:val="009160A7"/>
    <w:rsid w:val="009163E2"/>
    <w:rsid w:val="00923E39"/>
    <w:rsid w:val="00924BBD"/>
    <w:rsid w:val="00932093"/>
    <w:rsid w:val="009325C7"/>
    <w:rsid w:val="00933C14"/>
    <w:rsid w:val="0093410E"/>
    <w:rsid w:val="00942B7F"/>
    <w:rsid w:val="0094368D"/>
    <w:rsid w:val="00945099"/>
    <w:rsid w:val="00945823"/>
    <w:rsid w:val="009515F0"/>
    <w:rsid w:val="0095463A"/>
    <w:rsid w:val="00955412"/>
    <w:rsid w:val="00960525"/>
    <w:rsid w:val="009629BF"/>
    <w:rsid w:val="00963F28"/>
    <w:rsid w:val="00966D20"/>
    <w:rsid w:val="00967630"/>
    <w:rsid w:val="00970438"/>
    <w:rsid w:val="009729DA"/>
    <w:rsid w:val="009733DA"/>
    <w:rsid w:val="00974AB3"/>
    <w:rsid w:val="00976AB7"/>
    <w:rsid w:val="009774ED"/>
    <w:rsid w:val="009807B4"/>
    <w:rsid w:val="009814EE"/>
    <w:rsid w:val="00981C80"/>
    <w:rsid w:val="00982139"/>
    <w:rsid w:val="009845AE"/>
    <w:rsid w:val="00984CE7"/>
    <w:rsid w:val="0098601A"/>
    <w:rsid w:val="00986455"/>
    <w:rsid w:val="009908DE"/>
    <w:rsid w:val="009943AF"/>
    <w:rsid w:val="00995951"/>
    <w:rsid w:val="00995A75"/>
    <w:rsid w:val="009A2DC2"/>
    <w:rsid w:val="009B1132"/>
    <w:rsid w:val="009B1CF7"/>
    <w:rsid w:val="009B3BA7"/>
    <w:rsid w:val="009B497A"/>
    <w:rsid w:val="009B4EED"/>
    <w:rsid w:val="009B60B4"/>
    <w:rsid w:val="009B6B4F"/>
    <w:rsid w:val="009C0B82"/>
    <w:rsid w:val="009C1C7F"/>
    <w:rsid w:val="009C242D"/>
    <w:rsid w:val="009C2B43"/>
    <w:rsid w:val="009C47BF"/>
    <w:rsid w:val="009C5318"/>
    <w:rsid w:val="009C6EB6"/>
    <w:rsid w:val="009C721B"/>
    <w:rsid w:val="009D1D3B"/>
    <w:rsid w:val="009D23D8"/>
    <w:rsid w:val="009D3EEF"/>
    <w:rsid w:val="009D40DD"/>
    <w:rsid w:val="009D70D9"/>
    <w:rsid w:val="009D7D99"/>
    <w:rsid w:val="009E00EF"/>
    <w:rsid w:val="009E1D49"/>
    <w:rsid w:val="009E2081"/>
    <w:rsid w:val="009E443C"/>
    <w:rsid w:val="009E5667"/>
    <w:rsid w:val="009E6D40"/>
    <w:rsid w:val="009F4124"/>
    <w:rsid w:val="009F7D50"/>
    <w:rsid w:val="00A016D5"/>
    <w:rsid w:val="00A02A2B"/>
    <w:rsid w:val="00A0347F"/>
    <w:rsid w:val="00A07198"/>
    <w:rsid w:val="00A1072E"/>
    <w:rsid w:val="00A10DF6"/>
    <w:rsid w:val="00A1168F"/>
    <w:rsid w:val="00A11755"/>
    <w:rsid w:val="00A11ABB"/>
    <w:rsid w:val="00A137B0"/>
    <w:rsid w:val="00A158A6"/>
    <w:rsid w:val="00A22110"/>
    <w:rsid w:val="00A22603"/>
    <w:rsid w:val="00A22BC8"/>
    <w:rsid w:val="00A262A1"/>
    <w:rsid w:val="00A26750"/>
    <w:rsid w:val="00A27234"/>
    <w:rsid w:val="00A27794"/>
    <w:rsid w:val="00A30CC0"/>
    <w:rsid w:val="00A31636"/>
    <w:rsid w:val="00A31704"/>
    <w:rsid w:val="00A31908"/>
    <w:rsid w:val="00A321B4"/>
    <w:rsid w:val="00A3252B"/>
    <w:rsid w:val="00A33C3A"/>
    <w:rsid w:val="00A37AB0"/>
    <w:rsid w:val="00A40505"/>
    <w:rsid w:val="00A41E39"/>
    <w:rsid w:val="00A426BE"/>
    <w:rsid w:val="00A434F3"/>
    <w:rsid w:val="00A44292"/>
    <w:rsid w:val="00A454EF"/>
    <w:rsid w:val="00A455DB"/>
    <w:rsid w:val="00A46FD8"/>
    <w:rsid w:val="00A51597"/>
    <w:rsid w:val="00A51DF9"/>
    <w:rsid w:val="00A52BCE"/>
    <w:rsid w:val="00A55FA8"/>
    <w:rsid w:val="00A56B6C"/>
    <w:rsid w:val="00A60FA7"/>
    <w:rsid w:val="00A61CE1"/>
    <w:rsid w:val="00A61D4A"/>
    <w:rsid w:val="00A63814"/>
    <w:rsid w:val="00A64E84"/>
    <w:rsid w:val="00A6557D"/>
    <w:rsid w:val="00A70F22"/>
    <w:rsid w:val="00A71AB6"/>
    <w:rsid w:val="00A74909"/>
    <w:rsid w:val="00A76A2E"/>
    <w:rsid w:val="00A76D96"/>
    <w:rsid w:val="00A77024"/>
    <w:rsid w:val="00A81855"/>
    <w:rsid w:val="00A831A3"/>
    <w:rsid w:val="00A83CB1"/>
    <w:rsid w:val="00A84DAE"/>
    <w:rsid w:val="00A85E59"/>
    <w:rsid w:val="00A865EC"/>
    <w:rsid w:val="00A91975"/>
    <w:rsid w:val="00A9607E"/>
    <w:rsid w:val="00A97375"/>
    <w:rsid w:val="00A97AD0"/>
    <w:rsid w:val="00AA11D6"/>
    <w:rsid w:val="00AA1E7E"/>
    <w:rsid w:val="00AA20F2"/>
    <w:rsid w:val="00AA3B0E"/>
    <w:rsid w:val="00AA3E40"/>
    <w:rsid w:val="00AA4A4E"/>
    <w:rsid w:val="00AB04D2"/>
    <w:rsid w:val="00AB41A9"/>
    <w:rsid w:val="00AB53BE"/>
    <w:rsid w:val="00AB60C7"/>
    <w:rsid w:val="00AC2B33"/>
    <w:rsid w:val="00AC4132"/>
    <w:rsid w:val="00AC474E"/>
    <w:rsid w:val="00AC5A1E"/>
    <w:rsid w:val="00AC74FE"/>
    <w:rsid w:val="00AD030B"/>
    <w:rsid w:val="00AD1824"/>
    <w:rsid w:val="00AD1D17"/>
    <w:rsid w:val="00AD6E11"/>
    <w:rsid w:val="00AE21D1"/>
    <w:rsid w:val="00AE25A8"/>
    <w:rsid w:val="00AE2B35"/>
    <w:rsid w:val="00AE2F2D"/>
    <w:rsid w:val="00AE5328"/>
    <w:rsid w:val="00AE6304"/>
    <w:rsid w:val="00AE6445"/>
    <w:rsid w:val="00AE6F22"/>
    <w:rsid w:val="00AF0508"/>
    <w:rsid w:val="00AF15B7"/>
    <w:rsid w:val="00AF269A"/>
    <w:rsid w:val="00AF2B6E"/>
    <w:rsid w:val="00AF312B"/>
    <w:rsid w:val="00AF4618"/>
    <w:rsid w:val="00AF4B5C"/>
    <w:rsid w:val="00AF4ED2"/>
    <w:rsid w:val="00AF5D7E"/>
    <w:rsid w:val="00AF68E0"/>
    <w:rsid w:val="00B01911"/>
    <w:rsid w:val="00B021F6"/>
    <w:rsid w:val="00B10DB8"/>
    <w:rsid w:val="00B116C7"/>
    <w:rsid w:val="00B11941"/>
    <w:rsid w:val="00B131C5"/>
    <w:rsid w:val="00B164FD"/>
    <w:rsid w:val="00B16AA3"/>
    <w:rsid w:val="00B20E84"/>
    <w:rsid w:val="00B24D71"/>
    <w:rsid w:val="00B2622D"/>
    <w:rsid w:val="00B27A79"/>
    <w:rsid w:val="00B31F6A"/>
    <w:rsid w:val="00B333C2"/>
    <w:rsid w:val="00B336A4"/>
    <w:rsid w:val="00B34CDC"/>
    <w:rsid w:val="00B37586"/>
    <w:rsid w:val="00B41D60"/>
    <w:rsid w:val="00B436DC"/>
    <w:rsid w:val="00B4486A"/>
    <w:rsid w:val="00B454BC"/>
    <w:rsid w:val="00B46DCA"/>
    <w:rsid w:val="00B47481"/>
    <w:rsid w:val="00B521E7"/>
    <w:rsid w:val="00B5389F"/>
    <w:rsid w:val="00B53E10"/>
    <w:rsid w:val="00B54D29"/>
    <w:rsid w:val="00B608D2"/>
    <w:rsid w:val="00B628C6"/>
    <w:rsid w:val="00B632D9"/>
    <w:rsid w:val="00B654F1"/>
    <w:rsid w:val="00B6742D"/>
    <w:rsid w:val="00B67CDA"/>
    <w:rsid w:val="00B7083F"/>
    <w:rsid w:val="00B71280"/>
    <w:rsid w:val="00B71635"/>
    <w:rsid w:val="00B72BD6"/>
    <w:rsid w:val="00B73590"/>
    <w:rsid w:val="00B7432A"/>
    <w:rsid w:val="00B74B5C"/>
    <w:rsid w:val="00B76AC0"/>
    <w:rsid w:val="00B80B1B"/>
    <w:rsid w:val="00B82B3C"/>
    <w:rsid w:val="00B82B95"/>
    <w:rsid w:val="00B84A22"/>
    <w:rsid w:val="00B854F5"/>
    <w:rsid w:val="00B86A09"/>
    <w:rsid w:val="00B9032F"/>
    <w:rsid w:val="00B90B25"/>
    <w:rsid w:val="00B90BA1"/>
    <w:rsid w:val="00B92E1C"/>
    <w:rsid w:val="00B933F7"/>
    <w:rsid w:val="00B937D9"/>
    <w:rsid w:val="00B9646E"/>
    <w:rsid w:val="00BA1205"/>
    <w:rsid w:val="00BA2AC4"/>
    <w:rsid w:val="00BA4F7F"/>
    <w:rsid w:val="00BA5513"/>
    <w:rsid w:val="00BA5C3C"/>
    <w:rsid w:val="00BA719D"/>
    <w:rsid w:val="00BA7A06"/>
    <w:rsid w:val="00BA7FD0"/>
    <w:rsid w:val="00BB68E7"/>
    <w:rsid w:val="00BB7A63"/>
    <w:rsid w:val="00BB7CC8"/>
    <w:rsid w:val="00BC05E1"/>
    <w:rsid w:val="00BC0DD1"/>
    <w:rsid w:val="00BC42A3"/>
    <w:rsid w:val="00BC47D3"/>
    <w:rsid w:val="00BC50EC"/>
    <w:rsid w:val="00BC5288"/>
    <w:rsid w:val="00BC7739"/>
    <w:rsid w:val="00BC7B77"/>
    <w:rsid w:val="00BD123E"/>
    <w:rsid w:val="00BD2C0A"/>
    <w:rsid w:val="00BD3A38"/>
    <w:rsid w:val="00BD569D"/>
    <w:rsid w:val="00BD58B6"/>
    <w:rsid w:val="00BD673A"/>
    <w:rsid w:val="00BD67EC"/>
    <w:rsid w:val="00BD7D97"/>
    <w:rsid w:val="00BD7E0F"/>
    <w:rsid w:val="00BE0204"/>
    <w:rsid w:val="00BE3017"/>
    <w:rsid w:val="00BE30E5"/>
    <w:rsid w:val="00BE4613"/>
    <w:rsid w:val="00BE48D2"/>
    <w:rsid w:val="00BE4C3A"/>
    <w:rsid w:val="00BF1C10"/>
    <w:rsid w:val="00BF4608"/>
    <w:rsid w:val="00BF46DE"/>
    <w:rsid w:val="00BF6468"/>
    <w:rsid w:val="00BF728C"/>
    <w:rsid w:val="00C01F14"/>
    <w:rsid w:val="00C023B5"/>
    <w:rsid w:val="00C02D14"/>
    <w:rsid w:val="00C03C4A"/>
    <w:rsid w:val="00C112AF"/>
    <w:rsid w:val="00C1147E"/>
    <w:rsid w:val="00C11BFD"/>
    <w:rsid w:val="00C131DB"/>
    <w:rsid w:val="00C13395"/>
    <w:rsid w:val="00C13A53"/>
    <w:rsid w:val="00C1423F"/>
    <w:rsid w:val="00C14825"/>
    <w:rsid w:val="00C2002C"/>
    <w:rsid w:val="00C2047D"/>
    <w:rsid w:val="00C20AF2"/>
    <w:rsid w:val="00C216E6"/>
    <w:rsid w:val="00C21C4E"/>
    <w:rsid w:val="00C25D98"/>
    <w:rsid w:val="00C269EA"/>
    <w:rsid w:val="00C273DC"/>
    <w:rsid w:val="00C304DA"/>
    <w:rsid w:val="00C33BA3"/>
    <w:rsid w:val="00C33FCA"/>
    <w:rsid w:val="00C3448B"/>
    <w:rsid w:val="00C35206"/>
    <w:rsid w:val="00C35F3B"/>
    <w:rsid w:val="00C37B98"/>
    <w:rsid w:val="00C40B19"/>
    <w:rsid w:val="00C41BA3"/>
    <w:rsid w:val="00C41C9F"/>
    <w:rsid w:val="00C44C12"/>
    <w:rsid w:val="00C451E5"/>
    <w:rsid w:val="00C46985"/>
    <w:rsid w:val="00C52F5D"/>
    <w:rsid w:val="00C5354F"/>
    <w:rsid w:val="00C53779"/>
    <w:rsid w:val="00C538FC"/>
    <w:rsid w:val="00C53D07"/>
    <w:rsid w:val="00C5589C"/>
    <w:rsid w:val="00C56D13"/>
    <w:rsid w:val="00C61EB8"/>
    <w:rsid w:val="00C62E42"/>
    <w:rsid w:val="00C633A8"/>
    <w:rsid w:val="00C63867"/>
    <w:rsid w:val="00C64003"/>
    <w:rsid w:val="00C6506F"/>
    <w:rsid w:val="00C70801"/>
    <w:rsid w:val="00C726D0"/>
    <w:rsid w:val="00C72A1B"/>
    <w:rsid w:val="00C7364B"/>
    <w:rsid w:val="00C75972"/>
    <w:rsid w:val="00C77F72"/>
    <w:rsid w:val="00C80B2B"/>
    <w:rsid w:val="00C81857"/>
    <w:rsid w:val="00C8193B"/>
    <w:rsid w:val="00C83509"/>
    <w:rsid w:val="00C8369F"/>
    <w:rsid w:val="00C842BF"/>
    <w:rsid w:val="00C84367"/>
    <w:rsid w:val="00C854EE"/>
    <w:rsid w:val="00C906CB"/>
    <w:rsid w:val="00C92507"/>
    <w:rsid w:val="00C952B1"/>
    <w:rsid w:val="00C96070"/>
    <w:rsid w:val="00CA0F7F"/>
    <w:rsid w:val="00CA611F"/>
    <w:rsid w:val="00CA7BDB"/>
    <w:rsid w:val="00CB1371"/>
    <w:rsid w:val="00CB1764"/>
    <w:rsid w:val="00CB288F"/>
    <w:rsid w:val="00CB3220"/>
    <w:rsid w:val="00CB361D"/>
    <w:rsid w:val="00CB521B"/>
    <w:rsid w:val="00CB5620"/>
    <w:rsid w:val="00CB758B"/>
    <w:rsid w:val="00CC032C"/>
    <w:rsid w:val="00CC07FE"/>
    <w:rsid w:val="00CC12D4"/>
    <w:rsid w:val="00CC2F80"/>
    <w:rsid w:val="00CC4A73"/>
    <w:rsid w:val="00CC4D1D"/>
    <w:rsid w:val="00CC5D4A"/>
    <w:rsid w:val="00CC630B"/>
    <w:rsid w:val="00CD05BC"/>
    <w:rsid w:val="00CD0D99"/>
    <w:rsid w:val="00CD1B7E"/>
    <w:rsid w:val="00CD2587"/>
    <w:rsid w:val="00CD5E4F"/>
    <w:rsid w:val="00CD63C9"/>
    <w:rsid w:val="00CE221E"/>
    <w:rsid w:val="00CE32AE"/>
    <w:rsid w:val="00CE4907"/>
    <w:rsid w:val="00CE6BAA"/>
    <w:rsid w:val="00CE7A57"/>
    <w:rsid w:val="00CF16E4"/>
    <w:rsid w:val="00CF2C1E"/>
    <w:rsid w:val="00CF5C35"/>
    <w:rsid w:val="00CF6014"/>
    <w:rsid w:val="00CF62EE"/>
    <w:rsid w:val="00CF6BF1"/>
    <w:rsid w:val="00CF6D87"/>
    <w:rsid w:val="00CF7131"/>
    <w:rsid w:val="00CF75B6"/>
    <w:rsid w:val="00D0523B"/>
    <w:rsid w:val="00D07026"/>
    <w:rsid w:val="00D0779F"/>
    <w:rsid w:val="00D11AF9"/>
    <w:rsid w:val="00D11DA1"/>
    <w:rsid w:val="00D13BC9"/>
    <w:rsid w:val="00D145A2"/>
    <w:rsid w:val="00D1484B"/>
    <w:rsid w:val="00D209BD"/>
    <w:rsid w:val="00D20E51"/>
    <w:rsid w:val="00D22EA7"/>
    <w:rsid w:val="00D25492"/>
    <w:rsid w:val="00D268FB"/>
    <w:rsid w:val="00D308B1"/>
    <w:rsid w:val="00D371E4"/>
    <w:rsid w:val="00D373D0"/>
    <w:rsid w:val="00D37656"/>
    <w:rsid w:val="00D41CE3"/>
    <w:rsid w:val="00D4727E"/>
    <w:rsid w:val="00D52760"/>
    <w:rsid w:val="00D52A66"/>
    <w:rsid w:val="00D539B9"/>
    <w:rsid w:val="00D54C3E"/>
    <w:rsid w:val="00D5725A"/>
    <w:rsid w:val="00D606D7"/>
    <w:rsid w:val="00D6143C"/>
    <w:rsid w:val="00D62C29"/>
    <w:rsid w:val="00D65E22"/>
    <w:rsid w:val="00D67185"/>
    <w:rsid w:val="00D704B3"/>
    <w:rsid w:val="00D70EF2"/>
    <w:rsid w:val="00D72D22"/>
    <w:rsid w:val="00D73258"/>
    <w:rsid w:val="00D75472"/>
    <w:rsid w:val="00D7552C"/>
    <w:rsid w:val="00D75E3D"/>
    <w:rsid w:val="00D76EBE"/>
    <w:rsid w:val="00D775A4"/>
    <w:rsid w:val="00D8041D"/>
    <w:rsid w:val="00D8369B"/>
    <w:rsid w:val="00D8459F"/>
    <w:rsid w:val="00D847C9"/>
    <w:rsid w:val="00D8549D"/>
    <w:rsid w:val="00D90167"/>
    <w:rsid w:val="00D90173"/>
    <w:rsid w:val="00D92065"/>
    <w:rsid w:val="00D926F9"/>
    <w:rsid w:val="00D94215"/>
    <w:rsid w:val="00D95BAE"/>
    <w:rsid w:val="00D9702C"/>
    <w:rsid w:val="00DA0A30"/>
    <w:rsid w:val="00DA2857"/>
    <w:rsid w:val="00DA45AE"/>
    <w:rsid w:val="00DA757D"/>
    <w:rsid w:val="00DB0AE7"/>
    <w:rsid w:val="00DB1E75"/>
    <w:rsid w:val="00DB309E"/>
    <w:rsid w:val="00DB3222"/>
    <w:rsid w:val="00DB35E7"/>
    <w:rsid w:val="00DC6663"/>
    <w:rsid w:val="00DC7252"/>
    <w:rsid w:val="00DD1EBD"/>
    <w:rsid w:val="00DD24F6"/>
    <w:rsid w:val="00DD268D"/>
    <w:rsid w:val="00DD4314"/>
    <w:rsid w:val="00DD6F46"/>
    <w:rsid w:val="00DE1E84"/>
    <w:rsid w:val="00DE5FC5"/>
    <w:rsid w:val="00DE7732"/>
    <w:rsid w:val="00DE7E6A"/>
    <w:rsid w:val="00DF0899"/>
    <w:rsid w:val="00DF2263"/>
    <w:rsid w:val="00DF3837"/>
    <w:rsid w:val="00DF639A"/>
    <w:rsid w:val="00E00BCB"/>
    <w:rsid w:val="00E026FB"/>
    <w:rsid w:val="00E027C2"/>
    <w:rsid w:val="00E03B2A"/>
    <w:rsid w:val="00E03C21"/>
    <w:rsid w:val="00E05D1C"/>
    <w:rsid w:val="00E063E5"/>
    <w:rsid w:val="00E064CE"/>
    <w:rsid w:val="00E12783"/>
    <w:rsid w:val="00E12B42"/>
    <w:rsid w:val="00E13F50"/>
    <w:rsid w:val="00E1418D"/>
    <w:rsid w:val="00E1594D"/>
    <w:rsid w:val="00E163C8"/>
    <w:rsid w:val="00E20131"/>
    <w:rsid w:val="00E2044D"/>
    <w:rsid w:val="00E21882"/>
    <w:rsid w:val="00E23048"/>
    <w:rsid w:val="00E2312C"/>
    <w:rsid w:val="00E24A61"/>
    <w:rsid w:val="00E25562"/>
    <w:rsid w:val="00E3087F"/>
    <w:rsid w:val="00E326DF"/>
    <w:rsid w:val="00E32738"/>
    <w:rsid w:val="00E32758"/>
    <w:rsid w:val="00E32F54"/>
    <w:rsid w:val="00E33114"/>
    <w:rsid w:val="00E3587C"/>
    <w:rsid w:val="00E37334"/>
    <w:rsid w:val="00E37ED9"/>
    <w:rsid w:val="00E411FA"/>
    <w:rsid w:val="00E41631"/>
    <w:rsid w:val="00E43304"/>
    <w:rsid w:val="00E43CA4"/>
    <w:rsid w:val="00E44F74"/>
    <w:rsid w:val="00E46928"/>
    <w:rsid w:val="00E474B9"/>
    <w:rsid w:val="00E47DCF"/>
    <w:rsid w:val="00E51780"/>
    <w:rsid w:val="00E530B9"/>
    <w:rsid w:val="00E551A1"/>
    <w:rsid w:val="00E555B8"/>
    <w:rsid w:val="00E5580E"/>
    <w:rsid w:val="00E61BFF"/>
    <w:rsid w:val="00E62701"/>
    <w:rsid w:val="00E6333D"/>
    <w:rsid w:val="00E6391F"/>
    <w:rsid w:val="00E63EB3"/>
    <w:rsid w:val="00E64375"/>
    <w:rsid w:val="00E6722F"/>
    <w:rsid w:val="00E67E40"/>
    <w:rsid w:val="00E702A7"/>
    <w:rsid w:val="00E720AF"/>
    <w:rsid w:val="00E72350"/>
    <w:rsid w:val="00E7260B"/>
    <w:rsid w:val="00E739B8"/>
    <w:rsid w:val="00E74F12"/>
    <w:rsid w:val="00E762AD"/>
    <w:rsid w:val="00E77F20"/>
    <w:rsid w:val="00E815A7"/>
    <w:rsid w:val="00E819D5"/>
    <w:rsid w:val="00E827D0"/>
    <w:rsid w:val="00E833D5"/>
    <w:rsid w:val="00E836ED"/>
    <w:rsid w:val="00E8439A"/>
    <w:rsid w:val="00E84697"/>
    <w:rsid w:val="00E90416"/>
    <w:rsid w:val="00E92750"/>
    <w:rsid w:val="00E92765"/>
    <w:rsid w:val="00EA1A8C"/>
    <w:rsid w:val="00EA2E03"/>
    <w:rsid w:val="00EA320D"/>
    <w:rsid w:val="00EA55AD"/>
    <w:rsid w:val="00EA7503"/>
    <w:rsid w:val="00EB1C0B"/>
    <w:rsid w:val="00EB2DB6"/>
    <w:rsid w:val="00EB39BD"/>
    <w:rsid w:val="00EB40C9"/>
    <w:rsid w:val="00EB434F"/>
    <w:rsid w:val="00EB5DB0"/>
    <w:rsid w:val="00EC09E7"/>
    <w:rsid w:val="00EC1BEA"/>
    <w:rsid w:val="00EC4AC0"/>
    <w:rsid w:val="00ED01FC"/>
    <w:rsid w:val="00ED0AA6"/>
    <w:rsid w:val="00ED39C5"/>
    <w:rsid w:val="00ED3B2A"/>
    <w:rsid w:val="00ED3CA2"/>
    <w:rsid w:val="00ED400C"/>
    <w:rsid w:val="00EE307C"/>
    <w:rsid w:val="00EE3E60"/>
    <w:rsid w:val="00EE4091"/>
    <w:rsid w:val="00EE5ACD"/>
    <w:rsid w:val="00EE5F33"/>
    <w:rsid w:val="00EF7BB9"/>
    <w:rsid w:val="00EF7C07"/>
    <w:rsid w:val="00F0376B"/>
    <w:rsid w:val="00F03816"/>
    <w:rsid w:val="00F03E43"/>
    <w:rsid w:val="00F03EED"/>
    <w:rsid w:val="00F0528C"/>
    <w:rsid w:val="00F06D31"/>
    <w:rsid w:val="00F10033"/>
    <w:rsid w:val="00F105F7"/>
    <w:rsid w:val="00F10A3E"/>
    <w:rsid w:val="00F11945"/>
    <w:rsid w:val="00F119A7"/>
    <w:rsid w:val="00F12400"/>
    <w:rsid w:val="00F12E6C"/>
    <w:rsid w:val="00F12F12"/>
    <w:rsid w:val="00F14C60"/>
    <w:rsid w:val="00F15C0C"/>
    <w:rsid w:val="00F20C64"/>
    <w:rsid w:val="00F21B66"/>
    <w:rsid w:val="00F277D8"/>
    <w:rsid w:val="00F27EDD"/>
    <w:rsid w:val="00F33833"/>
    <w:rsid w:val="00F40EB6"/>
    <w:rsid w:val="00F411E0"/>
    <w:rsid w:val="00F41E83"/>
    <w:rsid w:val="00F422F2"/>
    <w:rsid w:val="00F43F94"/>
    <w:rsid w:val="00F450A9"/>
    <w:rsid w:val="00F46406"/>
    <w:rsid w:val="00F506AA"/>
    <w:rsid w:val="00F520EF"/>
    <w:rsid w:val="00F533CA"/>
    <w:rsid w:val="00F53BC5"/>
    <w:rsid w:val="00F55534"/>
    <w:rsid w:val="00F55C4B"/>
    <w:rsid w:val="00F60914"/>
    <w:rsid w:val="00F62F83"/>
    <w:rsid w:val="00F6349F"/>
    <w:rsid w:val="00F652DA"/>
    <w:rsid w:val="00F65FF4"/>
    <w:rsid w:val="00F7152E"/>
    <w:rsid w:val="00F73089"/>
    <w:rsid w:val="00F73BE0"/>
    <w:rsid w:val="00F75610"/>
    <w:rsid w:val="00F7739A"/>
    <w:rsid w:val="00F77A95"/>
    <w:rsid w:val="00F82114"/>
    <w:rsid w:val="00F85EF0"/>
    <w:rsid w:val="00F87A0A"/>
    <w:rsid w:val="00F87CE7"/>
    <w:rsid w:val="00F94A59"/>
    <w:rsid w:val="00F94B1C"/>
    <w:rsid w:val="00F956A7"/>
    <w:rsid w:val="00FA008B"/>
    <w:rsid w:val="00FA0189"/>
    <w:rsid w:val="00FA0813"/>
    <w:rsid w:val="00FA124D"/>
    <w:rsid w:val="00FA31EA"/>
    <w:rsid w:val="00FA4457"/>
    <w:rsid w:val="00FB0B0C"/>
    <w:rsid w:val="00FB11CD"/>
    <w:rsid w:val="00FB346E"/>
    <w:rsid w:val="00FB4979"/>
    <w:rsid w:val="00FB58CC"/>
    <w:rsid w:val="00FB5942"/>
    <w:rsid w:val="00FB76CC"/>
    <w:rsid w:val="00FC1B15"/>
    <w:rsid w:val="00FC1D3F"/>
    <w:rsid w:val="00FC26F9"/>
    <w:rsid w:val="00FC2E87"/>
    <w:rsid w:val="00FC3F9A"/>
    <w:rsid w:val="00FC5BA3"/>
    <w:rsid w:val="00FC6771"/>
    <w:rsid w:val="00FC6A64"/>
    <w:rsid w:val="00FD0C85"/>
    <w:rsid w:val="00FD27B8"/>
    <w:rsid w:val="00FD3622"/>
    <w:rsid w:val="00FD458B"/>
    <w:rsid w:val="00FD5E93"/>
    <w:rsid w:val="00FD6D2C"/>
    <w:rsid w:val="00FD7F35"/>
    <w:rsid w:val="00FE0CDD"/>
    <w:rsid w:val="00FE2B1D"/>
    <w:rsid w:val="00FE2D8C"/>
    <w:rsid w:val="00FE573A"/>
    <w:rsid w:val="00FE6E52"/>
    <w:rsid w:val="00FF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8A2478"/>
  <w15:chartTrackingRefBased/>
  <w15:docId w15:val="{C08FE7CA-9723-4809-9AC6-43D474A8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0C743D"/>
    <w:pPr>
      <w:keepNext/>
      <w:outlineLvl w:val="2"/>
    </w:pPr>
    <w:rPr>
      <w:rFonts w:ascii="Arial" w:hAnsi="Arial" w:cs="Arial"/>
      <w:b/>
      <w:sz w:val="20"/>
      <w:szCs w:val="20"/>
    </w:rPr>
  </w:style>
  <w:style w:type="paragraph" w:styleId="Heading4">
    <w:name w:val="heading 4"/>
    <w:basedOn w:val="Normal"/>
    <w:next w:val="Normal"/>
    <w:qFormat/>
    <w:rsid w:val="000C743D"/>
    <w:pPr>
      <w:keepNext/>
      <w:spacing w:before="240" w:after="60"/>
      <w:outlineLvl w:val="3"/>
    </w:pPr>
    <w:rPr>
      <w:b/>
      <w:bCs/>
      <w:sz w:val="28"/>
      <w:szCs w:val="28"/>
    </w:rPr>
  </w:style>
  <w:style w:type="paragraph" w:styleId="Heading7">
    <w:name w:val="heading 7"/>
    <w:basedOn w:val="Normal"/>
    <w:next w:val="Normal"/>
    <w:qFormat/>
    <w:rsid w:val="000C743D"/>
    <w:pPr>
      <w:keepNext/>
      <w:outlineLvl w:val="6"/>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A4414"/>
    <w:rPr>
      <w:color w:val="0000FF"/>
      <w:u w:val="single"/>
    </w:rPr>
  </w:style>
  <w:style w:type="table" w:styleId="TableGrid">
    <w:name w:val="Table Grid"/>
    <w:basedOn w:val="TableNormal"/>
    <w:rsid w:val="000A3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6242"/>
    <w:rPr>
      <w:rFonts w:ascii="Tahoma" w:hAnsi="Tahoma" w:cs="Tahoma"/>
      <w:sz w:val="16"/>
      <w:szCs w:val="16"/>
    </w:rPr>
  </w:style>
  <w:style w:type="paragraph" w:styleId="FootnoteText">
    <w:name w:val="footnote text"/>
    <w:basedOn w:val="Normal"/>
    <w:semiHidden/>
    <w:rsid w:val="00DD24F6"/>
    <w:rPr>
      <w:sz w:val="20"/>
      <w:szCs w:val="20"/>
    </w:rPr>
  </w:style>
  <w:style w:type="character" w:styleId="FootnoteReference">
    <w:name w:val="footnote reference"/>
    <w:semiHidden/>
    <w:rsid w:val="00DD24F6"/>
    <w:rPr>
      <w:vertAlign w:val="superscript"/>
    </w:rPr>
  </w:style>
  <w:style w:type="paragraph" w:styleId="EndnoteText">
    <w:name w:val="endnote text"/>
    <w:basedOn w:val="Normal"/>
    <w:semiHidden/>
    <w:rsid w:val="00DD24F6"/>
    <w:rPr>
      <w:sz w:val="20"/>
      <w:szCs w:val="20"/>
    </w:rPr>
  </w:style>
  <w:style w:type="character" w:styleId="EndnoteReference">
    <w:name w:val="endnote reference"/>
    <w:semiHidden/>
    <w:rsid w:val="00DD24F6"/>
    <w:rPr>
      <w:vertAlign w:val="superscript"/>
    </w:rPr>
  </w:style>
  <w:style w:type="paragraph" w:styleId="Header">
    <w:name w:val="header"/>
    <w:basedOn w:val="Normal"/>
    <w:rsid w:val="00DD24F6"/>
    <w:pPr>
      <w:tabs>
        <w:tab w:val="center" w:pos="4320"/>
        <w:tab w:val="right" w:pos="8640"/>
      </w:tabs>
    </w:pPr>
  </w:style>
  <w:style w:type="paragraph" w:styleId="Footer">
    <w:name w:val="footer"/>
    <w:basedOn w:val="Normal"/>
    <w:rsid w:val="00DD24F6"/>
    <w:pPr>
      <w:tabs>
        <w:tab w:val="center" w:pos="4320"/>
        <w:tab w:val="right" w:pos="8640"/>
      </w:tabs>
    </w:pPr>
  </w:style>
  <w:style w:type="character" w:styleId="PageNumber">
    <w:name w:val="page number"/>
    <w:basedOn w:val="DefaultParagraphFont"/>
    <w:rsid w:val="00DD24F6"/>
  </w:style>
  <w:style w:type="character" w:styleId="CommentReference">
    <w:name w:val="annotation reference"/>
    <w:semiHidden/>
    <w:rsid w:val="007F732A"/>
    <w:rPr>
      <w:sz w:val="16"/>
      <w:szCs w:val="16"/>
    </w:rPr>
  </w:style>
  <w:style w:type="paragraph" w:styleId="CommentText">
    <w:name w:val="annotation text"/>
    <w:basedOn w:val="Normal"/>
    <w:semiHidden/>
    <w:rsid w:val="007F732A"/>
    <w:rPr>
      <w:sz w:val="20"/>
      <w:szCs w:val="20"/>
    </w:rPr>
  </w:style>
  <w:style w:type="paragraph" w:styleId="CommentSubject">
    <w:name w:val="annotation subject"/>
    <w:basedOn w:val="CommentText"/>
    <w:next w:val="CommentText"/>
    <w:semiHidden/>
    <w:rsid w:val="007F732A"/>
    <w:rPr>
      <w:b/>
      <w:bCs/>
    </w:rPr>
  </w:style>
  <w:style w:type="paragraph" w:customStyle="1" w:styleId="xl28">
    <w:name w:val="xl28"/>
    <w:basedOn w:val="Normal"/>
    <w:rsid w:val="004B7C44"/>
    <w:pPr>
      <w:pBdr>
        <w:left w:val="single" w:sz="12"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6F11B7"/>
    <w:rPr>
      <w:color w:val="800080"/>
      <w:u w:val="single"/>
    </w:rPr>
  </w:style>
  <w:style w:type="paragraph" w:styleId="Revision">
    <w:name w:val="Revision"/>
    <w:hidden/>
    <w:uiPriority w:val="99"/>
    <w:semiHidden/>
    <w:rsid w:val="001D00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5000">
      <w:bodyDiv w:val="1"/>
      <w:marLeft w:val="0"/>
      <w:marRight w:val="0"/>
      <w:marTop w:val="0"/>
      <w:marBottom w:val="0"/>
      <w:divBdr>
        <w:top w:val="none" w:sz="0" w:space="0" w:color="auto"/>
        <w:left w:val="none" w:sz="0" w:space="0" w:color="auto"/>
        <w:bottom w:val="none" w:sz="0" w:space="0" w:color="auto"/>
        <w:right w:val="none" w:sz="0" w:space="0" w:color="auto"/>
      </w:divBdr>
    </w:div>
    <w:div w:id="95904721">
      <w:bodyDiv w:val="1"/>
      <w:marLeft w:val="0"/>
      <w:marRight w:val="0"/>
      <w:marTop w:val="0"/>
      <w:marBottom w:val="0"/>
      <w:divBdr>
        <w:top w:val="none" w:sz="0" w:space="0" w:color="auto"/>
        <w:left w:val="none" w:sz="0" w:space="0" w:color="auto"/>
        <w:bottom w:val="none" w:sz="0" w:space="0" w:color="auto"/>
        <w:right w:val="none" w:sz="0" w:space="0" w:color="auto"/>
      </w:divBdr>
    </w:div>
    <w:div w:id="183253844">
      <w:bodyDiv w:val="1"/>
      <w:marLeft w:val="0"/>
      <w:marRight w:val="0"/>
      <w:marTop w:val="0"/>
      <w:marBottom w:val="0"/>
      <w:divBdr>
        <w:top w:val="none" w:sz="0" w:space="0" w:color="auto"/>
        <w:left w:val="none" w:sz="0" w:space="0" w:color="auto"/>
        <w:bottom w:val="none" w:sz="0" w:space="0" w:color="auto"/>
        <w:right w:val="none" w:sz="0" w:space="0" w:color="auto"/>
      </w:divBdr>
    </w:div>
    <w:div w:id="210266209">
      <w:bodyDiv w:val="1"/>
      <w:marLeft w:val="0"/>
      <w:marRight w:val="0"/>
      <w:marTop w:val="0"/>
      <w:marBottom w:val="0"/>
      <w:divBdr>
        <w:top w:val="none" w:sz="0" w:space="0" w:color="auto"/>
        <w:left w:val="none" w:sz="0" w:space="0" w:color="auto"/>
        <w:bottom w:val="none" w:sz="0" w:space="0" w:color="auto"/>
        <w:right w:val="none" w:sz="0" w:space="0" w:color="auto"/>
      </w:divBdr>
    </w:div>
    <w:div w:id="212159356">
      <w:bodyDiv w:val="1"/>
      <w:marLeft w:val="0"/>
      <w:marRight w:val="0"/>
      <w:marTop w:val="0"/>
      <w:marBottom w:val="0"/>
      <w:divBdr>
        <w:top w:val="none" w:sz="0" w:space="0" w:color="auto"/>
        <w:left w:val="none" w:sz="0" w:space="0" w:color="auto"/>
        <w:bottom w:val="none" w:sz="0" w:space="0" w:color="auto"/>
        <w:right w:val="none" w:sz="0" w:space="0" w:color="auto"/>
      </w:divBdr>
    </w:div>
    <w:div w:id="223949956">
      <w:bodyDiv w:val="1"/>
      <w:marLeft w:val="0"/>
      <w:marRight w:val="0"/>
      <w:marTop w:val="0"/>
      <w:marBottom w:val="0"/>
      <w:divBdr>
        <w:top w:val="none" w:sz="0" w:space="0" w:color="auto"/>
        <w:left w:val="none" w:sz="0" w:space="0" w:color="auto"/>
        <w:bottom w:val="none" w:sz="0" w:space="0" w:color="auto"/>
        <w:right w:val="none" w:sz="0" w:space="0" w:color="auto"/>
      </w:divBdr>
    </w:div>
    <w:div w:id="239025526">
      <w:bodyDiv w:val="1"/>
      <w:marLeft w:val="0"/>
      <w:marRight w:val="0"/>
      <w:marTop w:val="0"/>
      <w:marBottom w:val="0"/>
      <w:divBdr>
        <w:top w:val="none" w:sz="0" w:space="0" w:color="auto"/>
        <w:left w:val="none" w:sz="0" w:space="0" w:color="auto"/>
        <w:bottom w:val="none" w:sz="0" w:space="0" w:color="auto"/>
        <w:right w:val="none" w:sz="0" w:space="0" w:color="auto"/>
      </w:divBdr>
    </w:div>
    <w:div w:id="283266954">
      <w:bodyDiv w:val="1"/>
      <w:marLeft w:val="0"/>
      <w:marRight w:val="0"/>
      <w:marTop w:val="0"/>
      <w:marBottom w:val="0"/>
      <w:divBdr>
        <w:top w:val="none" w:sz="0" w:space="0" w:color="auto"/>
        <w:left w:val="none" w:sz="0" w:space="0" w:color="auto"/>
        <w:bottom w:val="none" w:sz="0" w:space="0" w:color="auto"/>
        <w:right w:val="none" w:sz="0" w:space="0" w:color="auto"/>
      </w:divBdr>
    </w:div>
    <w:div w:id="300959252">
      <w:bodyDiv w:val="1"/>
      <w:marLeft w:val="0"/>
      <w:marRight w:val="0"/>
      <w:marTop w:val="0"/>
      <w:marBottom w:val="0"/>
      <w:divBdr>
        <w:top w:val="none" w:sz="0" w:space="0" w:color="auto"/>
        <w:left w:val="none" w:sz="0" w:space="0" w:color="auto"/>
        <w:bottom w:val="none" w:sz="0" w:space="0" w:color="auto"/>
        <w:right w:val="none" w:sz="0" w:space="0" w:color="auto"/>
      </w:divBdr>
    </w:div>
    <w:div w:id="409156149">
      <w:bodyDiv w:val="1"/>
      <w:marLeft w:val="0"/>
      <w:marRight w:val="0"/>
      <w:marTop w:val="0"/>
      <w:marBottom w:val="0"/>
      <w:divBdr>
        <w:top w:val="none" w:sz="0" w:space="0" w:color="auto"/>
        <w:left w:val="none" w:sz="0" w:space="0" w:color="auto"/>
        <w:bottom w:val="none" w:sz="0" w:space="0" w:color="auto"/>
        <w:right w:val="none" w:sz="0" w:space="0" w:color="auto"/>
      </w:divBdr>
    </w:div>
    <w:div w:id="443110053">
      <w:bodyDiv w:val="1"/>
      <w:marLeft w:val="0"/>
      <w:marRight w:val="0"/>
      <w:marTop w:val="0"/>
      <w:marBottom w:val="0"/>
      <w:divBdr>
        <w:top w:val="none" w:sz="0" w:space="0" w:color="auto"/>
        <w:left w:val="none" w:sz="0" w:space="0" w:color="auto"/>
        <w:bottom w:val="none" w:sz="0" w:space="0" w:color="auto"/>
        <w:right w:val="none" w:sz="0" w:space="0" w:color="auto"/>
      </w:divBdr>
    </w:div>
    <w:div w:id="447817862">
      <w:bodyDiv w:val="1"/>
      <w:marLeft w:val="0"/>
      <w:marRight w:val="0"/>
      <w:marTop w:val="0"/>
      <w:marBottom w:val="0"/>
      <w:divBdr>
        <w:top w:val="none" w:sz="0" w:space="0" w:color="auto"/>
        <w:left w:val="none" w:sz="0" w:space="0" w:color="auto"/>
        <w:bottom w:val="none" w:sz="0" w:space="0" w:color="auto"/>
        <w:right w:val="none" w:sz="0" w:space="0" w:color="auto"/>
      </w:divBdr>
    </w:div>
    <w:div w:id="500855661">
      <w:bodyDiv w:val="1"/>
      <w:marLeft w:val="0"/>
      <w:marRight w:val="0"/>
      <w:marTop w:val="0"/>
      <w:marBottom w:val="0"/>
      <w:divBdr>
        <w:top w:val="none" w:sz="0" w:space="0" w:color="auto"/>
        <w:left w:val="none" w:sz="0" w:space="0" w:color="auto"/>
        <w:bottom w:val="none" w:sz="0" w:space="0" w:color="auto"/>
        <w:right w:val="none" w:sz="0" w:space="0" w:color="auto"/>
      </w:divBdr>
    </w:div>
    <w:div w:id="602030249">
      <w:bodyDiv w:val="1"/>
      <w:marLeft w:val="0"/>
      <w:marRight w:val="0"/>
      <w:marTop w:val="0"/>
      <w:marBottom w:val="0"/>
      <w:divBdr>
        <w:top w:val="none" w:sz="0" w:space="0" w:color="auto"/>
        <w:left w:val="none" w:sz="0" w:space="0" w:color="auto"/>
        <w:bottom w:val="none" w:sz="0" w:space="0" w:color="auto"/>
        <w:right w:val="none" w:sz="0" w:space="0" w:color="auto"/>
      </w:divBdr>
    </w:div>
    <w:div w:id="626425061">
      <w:bodyDiv w:val="1"/>
      <w:marLeft w:val="0"/>
      <w:marRight w:val="0"/>
      <w:marTop w:val="0"/>
      <w:marBottom w:val="0"/>
      <w:divBdr>
        <w:top w:val="none" w:sz="0" w:space="0" w:color="auto"/>
        <w:left w:val="none" w:sz="0" w:space="0" w:color="auto"/>
        <w:bottom w:val="none" w:sz="0" w:space="0" w:color="auto"/>
        <w:right w:val="none" w:sz="0" w:space="0" w:color="auto"/>
      </w:divBdr>
    </w:div>
    <w:div w:id="742337034">
      <w:bodyDiv w:val="1"/>
      <w:marLeft w:val="0"/>
      <w:marRight w:val="0"/>
      <w:marTop w:val="0"/>
      <w:marBottom w:val="0"/>
      <w:divBdr>
        <w:top w:val="none" w:sz="0" w:space="0" w:color="auto"/>
        <w:left w:val="none" w:sz="0" w:space="0" w:color="auto"/>
        <w:bottom w:val="none" w:sz="0" w:space="0" w:color="auto"/>
        <w:right w:val="none" w:sz="0" w:space="0" w:color="auto"/>
      </w:divBdr>
    </w:div>
    <w:div w:id="770513798">
      <w:bodyDiv w:val="1"/>
      <w:marLeft w:val="0"/>
      <w:marRight w:val="0"/>
      <w:marTop w:val="0"/>
      <w:marBottom w:val="0"/>
      <w:divBdr>
        <w:top w:val="none" w:sz="0" w:space="0" w:color="auto"/>
        <w:left w:val="none" w:sz="0" w:space="0" w:color="auto"/>
        <w:bottom w:val="none" w:sz="0" w:space="0" w:color="auto"/>
        <w:right w:val="none" w:sz="0" w:space="0" w:color="auto"/>
      </w:divBdr>
    </w:div>
    <w:div w:id="770662526">
      <w:bodyDiv w:val="1"/>
      <w:marLeft w:val="0"/>
      <w:marRight w:val="0"/>
      <w:marTop w:val="0"/>
      <w:marBottom w:val="0"/>
      <w:divBdr>
        <w:top w:val="none" w:sz="0" w:space="0" w:color="auto"/>
        <w:left w:val="none" w:sz="0" w:space="0" w:color="auto"/>
        <w:bottom w:val="none" w:sz="0" w:space="0" w:color="auto"/>
        <w:right w:val="none" w:sz="0" w:space="0" w:color="auto"/>
      </w:divBdr>
    </w:div>
    <w:div w:id="803498136">
      <w:bodyDiv w:val="1"/>
      <w:marLeft w:val="0"/>
      <w:marRight w:val="0"/>
      <w:marTop w:val="0"/>
      <w:marBottom w:val="0"/>
      <w:divBdr>
        <w:top w:val="none" w:sz="0" w:space="0" w:color="auto"/>
        <w:left w:val="none" w:sz="0" w:space="0" w:color="auto"/>
        <w:bottom w:val="none" w:sz="0" w:space="0" w:color="auto"/>
        <w:right w:val="none" w:sz="0" w:space="0" w:color="auto"/>
      </w:divBdr>
    </w:div>
    <w:div w:id="835413969">
      <w:bodyDiv w:val="1"/>
      <w:marLeft w:val="0"/>
      <w:marRight w:val="0"/>
      <w:marTop w:val="0"/>
      <w:marBottom w:val="0"/>
      <w:divBdr>
        <w:top w:val="none" w:sz="0" w:space="0" w:color="auto"/>
        <w:left w:val="none" w:sz="0" w:space="0" w:color="auto"/>
        <w:bottom w:val="none" w:sz="0" w:space="0" w:color="auto"/>
        <w:right w:val="none" w:sz="0" w:space="0" w:color="auto"/>
      </w:divBdr>
    </w:div>
    <w:div w:id="872691858">
      <w:bodyDiv w:val="1"/>
      <w:marLeft w:val="0"/>
      <w:marRight w:val="0"/>
      <w:marTop w:val="0"/>
      <w:marBottom w:val="0"/>
      <w:divBdr>
        <w:top w:val="none" w:sz="0" w:space="0" w:color="auto"/>
        <w:left w:val="none" w:sz="0" w:space="0" w:color="auto"/>
        <w:bottom w:val="none" w:sz="0" w:space="0" w:color="auto"/>
        <w:right w:val="none" w:sz="0" w:space="0" w:color="auto"/>
      </w:divBdr>
    </w:div>
    <w:div w:id="943535664">
      <w:bodyDiv w:val="1"/>
      <w:marLeft w:val="0"/>
      <w:marRight w:val="0"/>
      <w:marTop w:val="0"/>
      <w:marBottom w:val="0"/>
      <w:divBdr>
        <w:top w:val="none" w:sz="0" w:space="0" w:color="auto"/>
        <w:left w:val="none" w:sz="0" w:space="0" w:color="auto"/>
        <w:bottom w:val="none" w:sz="0" w:space="0" w:color="auto"/>
        <w:right w:val="none" w:sz="0" w:space="0" w:color="auto"/>
      </w:divBdr>
    </w:div>
    <w:div w:id="946350271">
      <w:bodyDiv w:val="1"/>
      <w:marLeft w:val="0"/>
      <w:marRight w:val="0"/>
      <w:marTop w:val="0"/>
      <w:marBottom w:val="0"/>
      <w:divBdr>
        <w:top w:val="none" w:sz="0" w:space="0" w:color="auto"/>
        <w:left w:val="none" w:sz="0" w:space="0" w:color="auto"/>
        <w:bottom w:val="none" w:sz="0" w:space="0" w:color="auto"/>
        <w:right w:val="none" w:sz="0" w:space="0" w:color="auto"/>
      </w:divBdr>
    </w:div>
    <w:div w:id="1016150678">
      <w:bodyDiv w:val="1"/>
      <w:marLeft w:val="0"/>
      <w:marRight w:val="0"/>
      <w:marTop w:val="0"/>
      <w:marBottom w:val="0"/>
      <w:divBdr>
        <w:top w:val="none" w:sz="0" w:space="0" w:color="auto"/>
        <w:left w:val="none" w:sz="0" w:space="0" w:color="auto"/>
        <w:bottom w:val="none" w:sz="0" w:space="0" w:color="auto"/>
        <w:right w:val="none" w:sz="0" w:space="0" w:color="auto"/>
      </w:divBdr>
    </w:div>
    <w:div w:id="1088965142">
      <w:bodyDiv w:val="1"/>
      <w:marLeft w:val="0"/>
      <w:marRight w:val="0"/>
      <w:marTop w:val="0"/>
      <w:marBottom w:val="0"/>
      <w:divBdr>
        <w:top w:val="none" w:sz="0" w:space="0" w:color="auto"/>
        <w:left w:val="none" w:sz="0" w:space="0" w:color="auto"/>
        <w:bottom w:val="none" w:sz="0" w:space="0" w:color="auto"/>
        <w:right w:val="none" w:sz="0" w:space="0" w:color="auto"/>
      </w:divBdr>
    </w:div>
    <w:div w:id="1163350648">
      <w:bodyDiv w:val="1"/>
      <w:marLeft w:val="0"/>
      <w:marRight w:val="0"/>
      <w:marTop w:val="0"/>
      <w:marBottom w:val="0"/>
      <w:divBdr>
        <w:top w:val="none" w:sz="0" w:space="0" w:color="auto"/>
        <w:left w:val="none" w:sz="0" w:space="0" w:color="auto"/>
        <w:bottom w:val="none" w:sz="0" w:space="0" w:color="auto"/>
        <w:right w:val="none" w:sz="0" w:space="0" w:color="auto"/>
      </w:divBdr>
    </w:div>
    <w:div w:id="1260985173">
      <w:bodyDiv w:val="1"/>
      <w:marLeft w:val="0"/>
      <w:marRight w:val="0"/>
      <w:marTop w:val="0"/>
      <w:marBottom w:val="0"/>
      <w:divBdr>
        <w:top w:val="none" w:sz="0" w:space="0" w:color="auto"/>
        <w:left w:val="none" w:sz="0" w:space="0" w:color="auto"/>
        <w:bottom w:val="none" w:sz="0" w:space="0" w:color="auto"/>
        <w:right w:val="none" w:sz="0" w:space="0" w:color="auto"/>
      </w:divBdr>
    </w:div>
    <w:div w:id="1263607593">
      <w:bodyDiv w:val="1"/>
      <w:marLeft w:val="0"/>
      <w:marRight w:val="0"/>
      <w:marTop w:val="0"/>
      <w:marBottom w:val="0"/>
      <w:divBdr>
        <w:top w:val="none" w:sz="0" w:space="0" w:color="auto"/>
        <w:left w:val="none" w:sz="0" w:space="0" w:color="auto"/>
        <w:bottom w:val="none" w:sz="0" w:space="0" w:color="auto"/>
        <w:right w:val="none" w:sz="0" w:space="0" w:color="auto"/>
      </w:divBdr>
    </w:div>
    <w:div w:id="1266229773">
      <w:bodyDiv w:val="1"/>
      <w:marLeft w:val="0"/>
      <w:marRight w:val="0"/>
      <w:marTop w:val="0"/>
      <w:marBottom w:val="0"/>
      <w:divBdr>
        <w:top w:val="none" w:sz="0" w:space="0" w:color="auto"/>
        <w:left w:val="none" w:sz="0" w:space="0" w:color="auto"/>
        <w:bottom w:val="none" w:sz="0" w:space="0" w:color="auto"/>
        <w:right w:val="none" w:sz="0" w:space="0" w:color="auto"/>
      </w:divBdr>
    </w:div>
    <w:div w:id="1278487994">
      <w:bodyDiv w:val="1"/>
      <w:marLeft w:val="0"/>
      <w:marRight w:val="0"/>
      <w:marTop w:val="0"/>
      <w:marBottom w:val="0"/>
      <w:divBdr>
        <w:top w:val="none" w:sz="0" w:space="0" w:color="auto"/>
        <w:left w:val="none" w:sz="0" w:space="0" w:color="auto"/>
        <w:bottom w:val="none" w:sz="0" w:space="0" w:color="auto"/>
        <w:right w:val="none" w:sz="0" w:space="0" w:color="auto"/>
      </w:divBdr>
    </w:div>
    <w:div w:id="1359039278">
      <w:bodyDiv w:val="1"/>
      <w:marLeft w:val="0"/>
      <w:marRight w:val="0"/>
      <w:marTop w:val="0"/>
      <w:marBottom w:val="0"/>
      <w:divBdr>
        <w:top w:val="none" w:sz="0" w:space="0" w:color="auto"/>
        <w:left w:val="none" w:sz="0" w:space="0" w:color="auto"/>
        <w:bottom w:val="none" w:sz="0" w:space="0" w:color="auto"/>
        <w:right w:val="none" w:sz="0" w:space="0" w:color="auto"/>
      </w:divBdr>
    </w:div>
    <w:div w:id="1374694450">
      <w:bodyDiv w:val="1"/>
      <w:marLeft w:val="0"/>
      <w:marRight w:val="0"/>
      <w:marTop w:val="0"/>
      <w:marBottom w:val="0"/>
      <w:divBdr>
        <w:top w:val="none" w:sz="0" w:space="0" w:color="auto"/>
        <w:left w:val="none" w:sz="0" w:space="0" w:color="auto"/>
        <w:bottom w:val="none" w:sz="0" w:space="0" w:color="auto"/>
        <w:right w:val="none" w:sz="0" w:space="0" w:color="auto"/>
      </w:divBdr>
    </w:div>
    <w:div w:id="1398820120">
      <w:bodyDiv w:val="1"/>
      <w:marLeft w:val="0"/>
      <w:marRight w:val="0"/>
      <w:marTop w:val="0"/>
      <w:marBottom w:val="0"/>
      <w:divBdr>
        <w:top w:val="none" w:sz="0" w:space="0" w:color="auto"/>
        <w:left w:val="none" w:sz="0" w:space="0" w:color="auto"/>
        <w:bottom w:val="none" w:sz="0" w:space="0" w:color="auto"/>
        <w:right w:val="none" w:sz="0" w:space="0" w:color="auto"/>
      </w:divBdr>
    </w:div>
    <w:div w:id="1409762848">
      <w:bodyDiv w:val="1"/>
      <w:marLeft w:val="0"/>
      <w:marRight w:val="0"/>
      <w:marTop w:val="0"/>
      <w:marBottom w:val="0"/>
      <w:divBdr>
        <w:top w:val="none" w:sz="0" w:space="0" w:color="auto"/>
        <w:left w:val="none" w:sz="0" w:space="0" w:color="auto"/>
        <w:bottom w:val="none" w:sz="0" w:space="0" w:color="auto"/>
        <w:right w:val="none" w:sz="0" w:space="0" w:color="auto"/>
      </w:divBdr>
    </w:div>
    <w:div w:id="1503618350">
      <w:bodyDiv w:val="1"/>
      <w:marLeft w:val="0"/>
      <w:marRight w:val="0"/>
      <w:marTop w:val="0"/>
      <w:marBottom w:val="0"/>
      <w:divBdr>
        <w:top w:val="none" w:sz="0" w:space="0" w:color="auto"/>
        <w:left w:val="none" w:sz="0" w:space="0" w:color="auto"/>
        <w:bottom w:val="none" w:sz="0" w:space="0" w:color="auto"/>
        <w:right w:val="none" w:sz="0" w:space="0" w:color="auto"/>
      </w:divBdr>
    </w:div>
    <w:div w:id="1573807700">
      <w:bodyDiv w:val="1"/>
      <w:marLeft w:val="0"/>
      <w:marRight w:val="0"/>
      <w:marTop w:val="0"/>
      <w:marBottom w:val="0"/>
      <w:divBdr>
        <w:top w:val="none" w:sz="0" w:space="0" w:color="auto"/>
        <w:left w:val="none" w:sz="0" w:space="0" w:color="auto"/>
        <w:bottom w:val="none" w:sz="0" w:space="0" w:color="auto"/>
        <w:right w:val="none" w:sz="0" w:space="0" w:color="auto"/>
      </w:divBdr>
    </w:div>
    <w:div w:id="1577518476">
      <w:bodyDiv w:val="1"/>
      <w:marLeft w:val="0"/>
      <w:marRight w:val="0"/>
      <w:marTop w:val="0"/>
      <w:marBottom w:val="0"/>
      <w:divBdr>
        <w:top w:val="none" w:sz="0" w:space="0" w:color="auto"/>
        <w:left w:val="none" w:sz="0" w:space="0" w:color="auto"/>
        <w:bottom w:val="none" w:sz="0" w:space="0" w:color="auto"/>
        <w:right w:val="none" w:sz="0" w:space="0" w:color="auto"/>
      </w:divBdr>
    </w:div>
    <w:div w:id="1590039116">
      <w:bodyDiv w:val="1"/>
      <w:marLeft w:val="0"/>
      <w:marRight w:val="0"/>
      <w:marTop w:val="0"/>
      <w:marBottom w:val="0"/>
      <w:divBdr>
        <w:top w:val="none" w:sz="0" w:space="0" w:color="auto"/>
        <w:left w:val="none" w:sz="0" w:space="0" w:color="auto"/>
        <w:bottom w:val="none" w:sz="0" w:space="0" w:color="auto"/>
        <w:right w:val="none" w:sz="0" w:space="0" w:color="auto"/>
      </w:divBdr>
    </w:div>
    <w:div w:id="1610890722">
      <w:bodyDiv w:val="1"/>
      <w:marLeft w:val="0"/>
      <w:marRight w:val="0"/>
      <w:marTop w:val="0"/>
      <w:marBottom w:val="0"/>
      <w:divBdr>
        <w:top w:val="none" w:sz="0" w:space="0" w:color="auto"/>
        <w:left w:val="none" w:sz="0" w:space="0" w:color="auto"/>
        <w:bottom w:val="none" w:sz="0" w:space="0" w:color="auto"/>
        <w:right w:val="none" w:sz="0" w:space="0" w:color="auto"/>
      </w:divBdr>
    </w:div>
    <w:div w:id="1630211055">
      <w:bodyDiv w:val="1"/>
      <w:marLeft w:val="0"/>
      <w:marRight w:val="0"/>
      <w:marTop w:val="0"/>
      <w:marBottom w:val="0"/>
      <w:divBdr>
        <w:top w:val="none" w:sz="0" w:space="0" w:color="auto"/>
        <w:left w:val="none" w:sz="0" w:space="0" w:color="auto"/>
        <w:bottom w:val="none" w:sz="0" w:space="0" w:color="auto"/>
        <w:right w:val="none" w:sz="0" w:space="0" w:color="auto"/>
      </w:divBdr>
    </w:div>
    <w:div w:id="1637374399">
      <w:bodyDiv w:val="1"/>
      <w:marLeft w:val="0"/>
      <w:marRight w:val="0"/>
      <w:marTop w:val="0"/>
      <w:marBottom w:val="0"/>
      <w:divBdr>
        <w:top w:val="none" w:sz="0" w:space="0" w:color="auto"/>
        <w:left w:val="none" w:sz="0" w:space="0" w:color="auto"/>
        <w:bottom w:val="none" w:sz="0" w:space="0" w:color="auto"/>
        <w:right w:val="none" w:sz="0" w:space="0" w:color="auto"/>
      </w:divBdr>
    </w:div>
    <w:div w:id="1639526139">
      <w:bodyDiv w:val="1"/>
      <w:marLeft w:val="0"/>
      <w:marRight w:val="0"/>
      <w:marTop w:val="0"/>
      <w:marBottom w:val="0"/>
      <w:divBdr>
        <w:top w:val="none" w:sz="0" w:space="0" w:color="auto"/>
        <w:left w:val="none" w:sz="0" w:space="0" w:color="auto"/>
        <w:bottom w:val="none" w:sz="0" w:space="0" w:color="auto"/>
        <w:right w:val="none" w:sz="0" w:space="0" w:color="auto"/>
      </w:divBdr>
    </w:div>
    <w:div w:id="1720132722">
      <w:bodyDiv w:val="1"/>
      <w:marLeft w:val="0"/>
      <w:marRight w:val="0"/>
      <w:marTop w:val="0"/>
      <w:marBottom w:val="0"/>
      <w:divBdr>
        <w:top w:val="none" w:sz="0" w:space="0" w:color="auto"/>
        <w:left w:val="none" w:sz="0" w:space="0" w:color="auto"/>
        <w:bottom w:val="none" w:sz="0" w:space="0" w:color="auto"/>
        <w:right w:val="none" w:sz="0" w:space="0" w:color="auto"/>
      </w:divBdr>
    </w:div>
    <w:div w:id="1832520866">
      <w:bodyDiv w:val="1"/>
      <w:marLeft w:val="0"/>
      <w:marRight w:val="0"/>
      <w:marTop w:val="0"/>
      <w:marBottom w:val="0"/>
      <w:divBdr>
        <w:top w:val="none" w:sz="0" w:space="0" w:color="auto"/>
        <w:left w:val="none" w:sz="0" w:space="0" w:color="auto"/>
        <w:bottom w:val="none" w:sz="0" w:space="0" w:color="auto"/>
        <w:right w:val="none" w:sz="0" w:space="0" w:color="auto"/>
      </w:divBdr>
    </w:div>
    <w:div w:id="1866357916">
      <w:bodyDiv w:val="1"/>
      <w:marLeft w:val="0"/>
      <w:marRight w:val="0"/>
      <w:marTop w:val="0"/>
      <w:marBottom w:val="0"/>
      <w:divBdr>
        <w:top w:val="none" w:sz="0" w:space="0" w:color="auto"/>
        <w:left w:val="none" w:sz="0" w:space="0" w:color="auto"/>
        <w:bottom w:val="none" w:sz="0" w:space="0" w:color="auto"/>
        <w:right w:val="none" w:sz="0" w:space="0" w:color="auto"/>
      </w:divBdr>
    </w:div>
    <w:div w:id="1884713474">
      <w:bodyDiv w:val="1"/>
      <w:marLeft w:val="0"/>
      <w:marRight w:val="0"/>
      <w:marTop w:val="0"/>
      <w:marBottom w:val="0"/>
      <w:divBdr>
        <w:top w:val="none" w:sz="0" w:space="0" w:color="auto"/>
        <w:left w:val="none" w:sz="0" w:space="0" w:color="auto"/>
        <w:bottom w:val="none" w:sz="0" w:space="0" w:color="auto"/>
        <w:right w:val="none" w:sz="0" w:space="0" w:color="auto"/>
      </w:divBdr>
    </w:div>
    <w:div w:id="1900745762">
      <w:bodyDiv w:val="1"/>
      <w:marLeft w:val="0"/>
      <w:marRight w:val="0"/>
      <w:marTop w:val="0"/>
      <w:marBottom w:val="0"/>
      <w:divBdr>
        <w:top w:val="none" w:sz="0" w:space="0" w:color="auto"/>
        <w:left w:val="none" w:sz="0" w:space="0" w:color="auto"/>
        <w:bottom w:val="none" w:sz="0" w:space="0" w:color="auto"/>
        <w:right w:val="none" w:sz="0" w:space="0" w:color="auto"/>
      </w:divBdr>
    </w:div>
    <w:div w:id="1940062313">
      <w:bodyDiv w:val="1"/>
      <w:marLeft w:val="0"/>
      <w:marRight w:val="0"/>
      <w:marTop w:val="0"/>
      <w:marBottom w:val="0"/>
      <w:divBdr>
        <w:top w:val="none" w:sz="0" w:space="0" w:color="auto"/>
        <w:left w:val="none" w:sz="0" w:space="0" w:color="auto"/>
        <w:bottom w:val="none" w:sz="0" w:space="0" w:color="auto"/>
        <w:right w:val="none" w:sz="0" w:space="0" w:color="auto"/>
      </w:divBdr>
    </w:div>
    <w:div w:id="1957448153">
      <w:bodyDiv w:val="1"/>
      <w:marLeft w:val="0"/>
      <w:marRight w:val="0"/>
      <w:marTop w:val="0"/>
      <w:marBottom w:val="0"/>
      <w:divBdr>
        <w:top w:val="none" w:sz="0" w:space="0" w:color="auto"/>
        <w:left w:val="none" w:sz="0" w:space="0" w:color="auto"/>
        <w:bottom w:val="none" w:sz="0" w:space="0" w:color="auto"/>
        <w:right w:val="none" w:sz="0" w:space="0" w:color="auto"/>
      </w:divBdr>
    </w:div>
    <w:div w:id="1975670581">
      <w:bodyDiv w:val="1"/>
      <w:marLeft w:val="0"/>
      <w:marRight w:val="0"/>
      <w:marTop w:val="0"/>
      <w:marBottom w:val="0"/>
      <w:divBdr>
        <w:top w:val="none" w:sz="0" w:space="0" w:color="auto"/>
        <w:left w:val="none" w:sz="0" w:space="0" w:color="auto"/>
        <w:bottom w:val="none" w:sz="0" w:space="0" w:color="auto"/>
        <w:right w:val="none" w:sz="0" w:space="0" w:color="auto"/>
      </w:divBdr>
    </w:div>
    <w:div w:id="1988853316">
      <w:bodyDiv w:val="1"/>
      <w:marLeft w:val="0"/>
      <w:marRight w:val="0"/>
      <w:marTop w:val="0"/>
      <w:marBottom w:val="0"/>
      <w:divBdr>
        <w:top w:val="none" w:sz="0" w:space="0" w:color="auto"/>
        <w:left w:val="none" w:sz="0" w:space="0" w:color="auto"/>
        <w:bottom w:val="none" w:sz="0" w:space="0" w:color="auto"/>
        <w:right w:val="none" w:sz="0" w:space="0" w:color="auto"/>
      </w:divBdr>
    </w:div>
    <w:div w:id="2038650508">
      <w:bodyDiv w:val="1"/>
      <w:marLeft w:val="0"/>
      <w:marRight w:val="0"/>
      <w:marTop w:val="0"/>
      <w:marBottom w:val="0"/>
      <w:divBdr>
        <w:top w:val="none" w:sz="0" w:space="0" w:color="auto"/>
        <w:left w:val="none" w:sz="0" w:space="0" w:color="auto"/>
        <w:bottom w:val="none" w:sz="0" w:space="0" w:color="auto"/>
        <w:right w:val="none" w:sz="0" w:space="0" w:color="auto"/>
      </w:divBdr>
    </w:div>
    <w:div w:id="2045445740">
      <w:bodyDiv w:val="1"/>
      <w:marLeft w:val="0"/>
      <w:marRight w:val="0"/>
      <w:marTop w:val="0"/>
      <w:marBottom w:val="0"/>
      <w:divBdr>
        <w:top w:val="none" w:sz="0" w:space="0" w:color="auto"/>
        <w:left w:val="none" w:sz="0" w:space="0" w:color="auto"/>
        <w:bottom w:val="none" w:sz="0" w:space="0" w:color="auto"/>
        <w:right w:val="none" w:sz="0" w:space="0" w:color="auto"/>
      </w:divBdr>
    </w:div>
    <w:div w:id="2087609724">
      <w:bodyDiv w:val="1"/>
      <w:marLeft w:val="0"/>
      <w:marRight w:val="0"/>
      <w:marTop w:val="0"/>
      <w:marBottom w:val="0"/>
      <w:divBdr>
        <w:top w:val="none" w:sz="0" w:space="0" w:color="auto"/>
        <w:left w:val="none" w:sz="0" w:space="0" w:color="auto"/>
        <w:bottom w:val="none" w:sz="0" w:space="0" w:color="auto"/>
        <w:right w:val="none" w:sz="0" w:space="0" w:color="auto"/>
      </w:divBdr>
    </w:div>
    <w:div w:id="2120709986">
      <w:bodyDiv w:val="1"/>
      <w:marLeft w:val="0"/>
      <w:marRight w:val="0"/>
      <w:marTop w:val="0"/>
      <w:marBottom w:val="0"/>
      <w:divBdr>
        <w:top w:val="none" w:sz="0" w:space="0" w:color="auto"/>
        <w:left w:val="none" w:sz="0" w:space="0" w:color="auto"/>
        <w:bottom w:val="none" w:sz="0" w:space="0" w:color="auto"/>
        <w:right w:val="none" w:sz="0" w:space="0" w:color="auto"/>
      </w:divBdr>
    </w:div>
    <w:div w:id="212816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rabies" TargetMode="Externa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oleObject" Target="file:///\\146.243.110.57\DATA1\BCDC\EPIIMM\EPI\Zoonoses\Rabies\Rabies%20Reports\Quarterly%20and%20Annual\2017\2017%20data.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146.243.110.57\DATA1\BCDC\EPIIMM\EPI\Zoonoses\Rabies\Rabies%20Reports\Quarterly%20and%20Annual\2017\Pie%20chart%20data-2016.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146.243.110.57\DATA1\BCDC\EPIIMM\EPI\Zoonoses\Rabies\Rabies%20Reports\Quarterly%20and%20Annual\2017\Pie%20chart%20data-2016.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146.243.110.57\DATA1\BCDC\EPIIMM\EPI\Zoonoses\Rabies\Rabies%20Reports\Quarterly%20and%20Annual\2017\Pie%20chart%20data-2016.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146.243.110.57\DATA1\BCDC\EPIIMM\EPI\Zoonoses\Rabies\Rabies%20Reports\Quarterly%20and%20Annual\2017\Pie%20chart%20data-2016.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146.243.110.57\DATA1\BCDC\EPIIMM\EPI\Zoonoses\Rabies\Rabies%20Reports\Quarterly%20and%20Annual\2017\2017%20data.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146.243.110.57\DATA1\BCDC\EPIIMM\EPI\Zoonoses\Rabies\Rabies%20Reports\Quarterly%20and%20Annual\2017\2017%20data.xls"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Calibri"/>
                <a:ea typeface="Calibri"/>
                <a:cs typeface="Calibri"/>
              </a:defRPr>
            </a:pPr>
            <a:r>
              <a:rPr lang="en-US" b="1"/>
              <a:t>Figure 1: Numbers of Animals Positive for Rabies and Percent Positive by Year: Massachusetts, 1993-2017</a:t>
            </a:r>
          </a:p>
        </c:rich>
      </c:tx>
      <c:layout>
        <c:manualLayout>
          <c:xMode val="edge"/>
          <c:yMode val="edge"/>
          <c:x val="0.11627902281445589"/>
          <c:y val="3.370789712234052E-2"/>
        </c:manualLayout>
      </c:layout>
      <c:overlay val="0"/>
      <c:spPr>
        <a:noFill/>
        <a:ln w="25400">
          <a:noFill/>
        </a:ln>
      </c:spPr>
    </c:title>
    <c:autoTitleDeleted val="0"/>
    <c:plotArea>
      <c:layout>
        <c:manualLayout>
          <c:layoutTarget val="inner"/>
          <c:xMode val="edge"/>
          <c:yMode val="edge"/>
          <c:x val="0.10215814369357676"/>
          <c:y val="0.15891217823124223"/>
          <c:w val="0.76351576245277031"/>
          <c:h val="0.64245388340541942"/>
        </c:manualLayout>
      </c:layout>
      <c:barChart>
        <c:barDir val="col"/>
        <c:grouping val="clustered"/>
        <c:varyColors val="0"/>
        <c:ser>
          <c:idx val="1"/>
          <c:order val="0"/>
          <c:tx>
            <c:v>Terrestrial Animals</c:v>
          </c:tx>
          <c:spPr>
            <a:solidFill>
              <a:srgbClr val="FF0000"/>
            </a:solidFill>
            <a:ln w="12700">
              <a:solidFill>
                <a:srgbClr val="000000"/>
              </a:solidFill>
              <a:prstDash val="solid"/>
            </a:ln>
          </c:spPr>
          <c:invertIfNegative val="0"/>
          <c:cat>
            <c:numRef>
              <c:f>'[2017 data.xls]Table 1'!$I$36:$I$60</c:f>
              <c:numCache>
                <c:formatCode>General</c:formatCode>
                <c:ptCount val="25"/>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numCache>
            </c:numRef>
          </c:cat>
          <c:val>
            <c:numRef>
              <c:f>'[2017 data.xls]Table 1'!$J$36:$J$60</c:f>
              <c:numCache>
                <c:formatCode>General</c:formatCode>
                <c:ptCount val="25"/>
                <c:pt idx="0">
                  <c:v>698</c:v>
                </c:pt>
                <c:pt idx="1">
                  <c:v>700</c:v>
                </c:pt>
                <c:pt idx="2">
                  <c:v>383</c:v>
                </c:pt>
                <c:pt idx="3">
                  <c:v>103</c:v>
                </c:pt>
                <c:pt idx="4">
                  <c:v>264</c:v>
                </c:pt>
                <c:pt idx="5">
                  <c:v>480</c:v>
                </c:pt>
                <c:pt idx="6">
                  <c:v>205</c:v>
                </c:pt>
                <c:pt idx="7">
                  <c:v>247</c:v>
                </c:pt>
                <c:pt idx="8">
                  <c:v>248</c:v>
                </c:pt>
                <c:pt idx="9">
                  <c:v>267</c:v>
                </c:pt>
                <c:pt idx="10">
                  <c:v>193</c:v>
                </c:pt>
                <c:pt idx="11">
                  <c:v>291</c:v>
                </c:pt>
                <c:pt idx="12">
                  <c:v>296</c:v>
                </c:pt>
                <c:pt idx="13">
                  <c:v>197</c:v>
                </c:pt>
                <c:pt idx="14">
                  <c:v>123</c:v>
                </c:pt>
                <c:pt idx="15">
                  <c:v>135</c:v>
                </c:pt>
                <c:pt idx="16">
                  <c:v>106</c:v>
                </c:pt>
                <c:pt idx="17">
                  <c:v>117</c:v>
                </c:pt>
                <c:pt idx="18">
                  <c:v>90</c:v>
                </c:pt>
                <c:pt idx="19">
                  <c:v>73</c:v>
                </c:pt>
                <c:pt idx="20">
                  <c:v>79</c:v>
                </c:pt>
                <c:pt idx="21">
                  <c:v>108</c:v>
                </c:pt>
                <c:pt idx="22">
                  <c:v>103</c:v>
                </c:pt>
                <c:pt idx="23">
                  <c:v>120</c:v>
                </c:pt>
                <c:pt idx="24">
                  <c:v>76</c:v>
                </c:pt>
              </c:numCache>
            </c:numRef>
          </c:val>
          <c:extLst>
            <c:ext xmlns:c16="http://schemas.microsoft.com/office/drawing/2014/chart" uri="{C3380CC4-5D6E-409C-BE32-E72D297353CC}">
              <c16:uniqueId val="{00000000-8343-46A8-80DE-50887EE0F64C}"/>
            </c:ext>
          </c:extLst>
        </c:ser>
        <c:ser>
          <c:idx val="0"/>
          <c:order val="1"/>
          <c:tx>
            <c:v>Bats</c:v>
          </c:tx>
          <c:spPr>
            <a:solidFill>
              <a:srgbClr val="3333CC"/>
            </a:solidFill>
            <a:ln w="12700">
              <a:solidFill>
                <a:srgbClr val="000000"/>
              </a:solidFill>
              <a:prstDash val="solid"/>
            </a:ln>
          </c:spPr>
          <c:invertIfNegative val="0"/>
          <c:cat>
            <c:numRef>
              <c:f>'[2017 data.xls]Table 1'!$I$36:$I$60</c:f>
              <c:numCache>
                <c:formatCode>General</c:formatCode>
                <c:ptCount val="25"/>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numCache>
            </c:numRef>
          </c:cat>
          <c:val>
            <c:numRef>
              <c:f>'[2017 data.xls]Table 1'!$K$36:$K$60</c:f>
              <c:numCache>
                <c:formatCode>General</c:formatCode>
                <c:ptCount val="25"/>
                <c:pt idx="0">
                  <c:v>22</c:v>
                </c:pt>
                <c:pt idx="1">
                  <c:v>34</c:v>
                </c:pt>
                <c:pt idx="2">
                  <c:v>17</c:v>
                </c:pt>
                <c:pt idx="3">
                  <c:v>12</c:v>
                </c:pt>
                <c:pt idx="4">
                  <c:v>17</c:v>
                </c:pt>
                <c:pt idx="5">
                  <c:v>18</c:v>
                </c:pt>
                <c:pt idx="6">
                  <c:v>21</c:v>
                </c:pt>
                <c:pt idx="7">
                  <c:v>29</c:v>
                </c:pt>
                <c:pt idx="8">
                  <c:v>32</c:v>
                </c:pt>
                <c:pt idx="9">
                  <c:v>36</c:v>
                </c:pt>
                <c:pt idx="10">
                  <c:v>23</c:v>
                </c:pt>
                <c:pt idx="11">
                  <c:v>34</c:v>
                </c:pt>
                <c:pt idx="12">
                  <c:v>33</c:v>
                </c:pt>
                <c:pt idx="13">
                  <c:v>34</c:v>
                </c:pt>
                <c:pt idx="14">
                  <c:v>29</c:v>
                </c:pt>
                <c:pt idx="15">
                  <c:v>19</c:v>
                </c:pt>
                <c:pt idx="16">
                  <c:v>21</c:v>
                </c:pt>
                <c:pt idx="17">
                  <c:v>14</c:v>
                </c:pt>
                <c:pt idx="18">
                  <c:v>20</c:v>
                </c:pt>
                <c:pt idx="19">
                  <c:v>38</c:v>
                </c:pt>
                <c:pt idx="20">
                  <c:v>18</c:v>
                </c:pt>
                <c:pt idx="21">
                  <c:v>40</c:v>
                </c:pt>
                <c:pt idx="22">
                  <c:v>39</c:v>
                </c:pt>
                <c:pt idx="23">
                  <c:v>21</c:v>
                </c:pt>
                <c:pt idx="24">
                  <c:v>20</c:v>
                </c:pt>
              </c:numCache>
            </c:numRef>
          </c:val>
          <c:extLst>
            <c:ext xmlns:c16="http://schemas.microsoft.com/office/drawing/2014/chart" uri="{C3380CC4-5D6E-409C-BE32-E72D297353CC}">
              <c16:uniqueId val="{00000001-8343-46A8-80DE-50887EE0F64C}"/>
            </c:ext>
          </c:extLst>
        </c:ser>
        <c:dLbls>
          <c:showLegendKey val="0"/>
          <c:showVal val="0"/>
          <c:showCatName val="0"/>
          <c:showSerName val="0"/>
          <c:showPercent val="0"/>
          <c:showBubbleSize val="0"/>
        </c:dLbls>
        <c:gapWidth val="150"/>
        <c:axId val="132179840"/>
        <c:axId val="132354432"/>
      </c:barChart>
      <c:lineChart>
        <c:grouping val="standard"/>
        <c:varyColors val="0"/>
        <c:ser>
          <c:idx val="2"/>
          <c:order val="2"/>
          <c:tx>
            <c:v>Percent Positive (Terrestrial)</c:v>
          </c:tx>
          <c:spPr>
            <a:ln w="12700">
              <a:solidFill>
                <a:srgbClr val="000000"/>
              </a:solidFill>
              <a:prstDash val="solid"/>
            </a:ln>
          </c:spPr>
          <c:marker>
            <c:symbol val="triangle"/>
            <c:size val="5"/>
            <c:spPr>
              <a:solidFill>
                <a:srgbClr val="000000"/>
              </a:solidFill>
              <a:ln>
                <a:solidFill>
                  <a:srgbClr val="000000"/>
                </a:solidFill>
                <a:prstDash val="solid"/>
              </a:ln>
            </c:spPr>
          </c:marker>
          <c:cat>
            <c:numRef>
              <c:f>'[2017 data.xls]Table 1'!$I$36:$I$59</c:f>
              <c:numCache>
                <c:formatCode>General</c:formatCode>
                <c:ptCount val="24"/>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numCache>
            </c:numRef>
          </c:cat>
          <c:val>
            <c:numRef>
              <c:f>'[2017 data.xls]Table 1'!$L$36:$L$60</c:f>
              <c:numCache>
                <c:formatCode>0%</c:formatCode>
                <c:ptCount val="25"/>
                <c:pt idx="0">
                  <c:v>0.19</c:v>
                </c:pt>
                <c:pt idx="1">
                  <c:v>0.17</c:v>
                </c:pt>
                <c:pt idx="2">
                  <c:v>0.12</c:v>
                </c:pt>
                <c:pt idx="3">
                  <c:v>0.04</c:v>
                </c:pt>
                <c:pt idx="4">
                  <c:v>0.1</c:v>
                </c:pt>
                <c:pt idx="5">
                  <c:v>0.14000000000000001</c:v>
                </c:pt>
                <c:pt idx="6">
                  <c:v>0.08</c:v>
                </c:pt>
                <c:pt idx="7">
                  <c:v>0.09</c:v>
                </c:pt>
                <c:pt idx="8">
                  <c:v>0.09</c:v>
                </c:pt>
                <c:pt idx="9">
                  <c:v>0.11</c:v>
                </c:pt>
                <c:pt idx="10">
                  <c:v>0.08</c:v>
                </c:pt>
                <c:pt idx="11">
                  <c:v>0.1</c:v>
                </c:pt>
                <c:pt idx="12">
                  <c:v>0.11</c:v>
                </c:pt>
                <c:pt idx="13">
                  <c:v>0.09</c:v>
                </c:pt>
                <c:pt idx="14">
                  <c:v>0.06</c:v>
                </c:pt>
                <c:pt idx="15">
                  <c:v>0.06</c:v>
                </c:pt>
                <c:pt idx="16">
                  <c:v>0.06</c:v>
                </c:pt>
                <c:pt idx="17">
                  <c:v>7.0000000000000007E-2</c:v>
                </c:pt>
                <c:pt idx="18">
                  <c:v>0.05</c:v>
                </c:pt>
                <c:pt idx="19">
                  <c:v>0.05</c:v>
                </c:pt>
                <c:pt idx="20">
                  <c:v>0.05</c:v>
                </c:pt>
                <c:pt idx="21">
                  <c:v>7.0000000000000007E-2</c:v>
                </c:pt>
                <c:pt idx="22">
                  <c:v>0.06</c:v>
                </c:pt>
                <c:pt idx="23">
                  <c:v>7.0000000000000007E-2</c:v>
                </c:pt>
                <c:pt idx="24">
                  <c:v>0.05</c:v>
                </c:pt>
              </c:numCache>
            </c:numRef>
          </c:val>
          <c:smooth val="0"/>
          <c:extLst>
            <c:ext xmlns:c16="http://schemas.microsoft.com/office/drawing/2014/chart" uri="{C3380CC4-5D6E-409C-BE32-E72D297353CC}">
              <c16:uniqueId val="{00000002-8343-46A8-80DE-50887EE0F64C}"/>
            </c:ext>
          </c:extLst>
        </c:ser>
        <c:dLbls>
          <c:showLegendKey val="0"/>
          <c:showVal val="0"/>
          <c:showCatName val="0"/>
          <c:showSerName val="0"/>
          <c:showPercent val="0"/>
          <c:showBubbleSize val="0"/>
        </c:dLbls>
        <c:marker val="1"/>
        <c:smooth val="0"/>
        <c:axId val="132356736"/>
        <c:axId val="135102848"/>
      </c:lineChart>
      <c:catAx>
        <c:axId val="13217984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Calibri"/>
                <a:ea typeface="Calibri"/>
                <a:cs typeface="Calibri"/>
              </a:defRPr>
            </a:pPr>
            <a:endParaRPr lang="en-US"/>
          </a:p>
        </c:txPr>
        <c:crossAx val="132354432"/>
        <c:crosses val="autoZero"/>
        <c:auto val="0"/>
        <c:lblAlgn val="ctr"/>
        <c:lblOffset val="100"/>
        <c:tickLblSkip val="1"/>
        <c:tickMarkSkip val="1"/>
        <c:noMultiLvlLbl val="0"/>
      </c:catAx>
      <c:valAx>
        <c:axId val="132354432"/>
        <c:scaling>
          <c:orientation val="minMax"/>
        </c:scaling>
        <c:delete val="0"/>
        <c:axPos val="l"/>
        <c:title>
          <c:tx>
            <c:rich>
              <a:bodyPr/>
              <a:lstStyle/>
              <a:p>
                <a:pPr>
                  <a:defRPr sz="1000" b="1" i="0" u="none" strike="noStrike" baseline="0">
                    <a:solidFill>
                      <a:srgbClr val="000000"/>
                    </a:solidFill>
                    <a:latin typeface="Calibri"/>
                    <a:ea typeface="Calibri"/>
                    <a:cs typeface="Calibri"/>
                  </a:defRPr>
                </a:pPr>
                <a:r>
                  <a:rPr lang="en-US" b="1"/>
                  <a:t>Number of Positives</a:t>
                </a:r>
              </a:p>
            </c:rich>
          </c:tx>
          <c:layout>
            <c:manualLayout>
              <c:xMode val="edge"/>
              <c:yMode val="edge"/>
              <c:x val="1.2730379856364108E-2"/>
              <c:y val="0.26469111225656611"/>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132179840"/>
        <c:crosses val="autoZero"/>
        <c:crossBetween val="between"/>
      </c:valAx>
      <c:catAx>
        <c:axId val="132356736"/>
        <c:scaling>
          <c:orientation val="minMax"/>
        </c:scaling>
        <c:delete val="1"/>
        <c:axPos val="b"/>
        <c:numFmt formatCode="General" sourceLinked="1"/>
        <c:majorTickMark val="out"/>
        <c:minorTickMark val="none"/>
        <c:tickLblPos val="nextTo"/>
        <c:crossAx val="135102848"/>
        <c:crosses val="autoZero"/>
        <c:auto val="0"/>
        <c:lblAlgn val="ctr"/>
        <c:lblOffset val="100"/>
        <c:noMultiLvlLbl val="0"/>
      </c:catAx>
      <c:valAx>
        <c:axId val="135102848"/>
        <c:scaling>
          <c:orientation val="minMax"/>
        </c:scaling>
        <c:delete val="0"/>
        <c:axPos val="r"/>
        <c:title>
          <c:tx>
            <c:rich>
              <a:bodyPr/>
              <a:lstStyle/>
              <a:p>
                <a:pPr>
                  <a:defRPr sz="1000" b="1" i="0" u="none" strike="noStrike" baseline="0">
                    <a:solidFill>
                      <a:srgbClr val="000000"/>
                    </a:solidFill>
                    <a:latin typeface="Calibri"/>
                    <a:ea typeface="Calibri"/>
                    <a:cs typeface="Calibri"/>
                  </a:defRPr>
                </a:pPr>
                <a:r>
                  <a:rPr lang="en-US" b="1"/>
                  <a:t>Percent of Positives out of Submissions</a:t>
                </a:r>
              </a:p>
            </c:rich>
          </c:tx>
          <c:layout>
            <c:manualLayout>
              <c:xMode val="edge"/>
              <c:yMode val="edge"/>
              <c:x val="0.93230956707334656"/>
              <c:y val="0.22401426683966988"/>
            </c:manualLayout>
          </c:layout>
          <c:overlay val="0"/>
          <c:spPr>
            <a:noFill/>
            <a:ln w="25400">
              <a:noFill/>
            </a:ln>
          </c:spPr>
        </c:title>
        <c:numFmt formatCode="0%"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132356736"/>
        <c:crosses val="max"/>
        <c:crossBetween val="between"/>
      </c:valAx>
      <c:spPr>
        <a:solidFill>
          <a:srgbClr val="FFFFFF"/>
        </a:solidFill>
        <a:ln w="12700">
          <a:solidFill>
            <a:srgbClr val="808080"/>
          </a:solidFill>
          <a:prstDash val="solid"/>
        </a:ln>
      </c:spPr>
    </c:plotArea>
    <c:legend>
      <c:legendPos val="r"/>
      <c:layout>
        <c:manualLayout>
          <c:xMode val="edge"/>
          <c:yMode val="edge"/>
          <c:x val="0.19230769230769232"/>
          <c:y val="0.92253532642505465"/>
          <c:w val="0.61401098901098905"/>
          <c:h val="5.6337901328925355E-2"/>
        </c:manualLayout>
      </c:layout>
      <c:overlay val="0"/>
      <c:spPr>
        <a:solidFill>
          <a:srgbClr val="FFFFFF"/>
        </a:solidFill>
        <a:ln w="3175">
          <a:solidFill>
            <a:srgbClr val="000000"/>
          </a:solidFill>
          <a:prstDash val="solid"/>
        </a:ln>
      </c:spPr>
      <c:txPr>
        <a:bodyPr/>
        <a:lstStyle/>
        <a:p>
          <a:pPr>
            <a:defRPr sz="1000" b="1" i="0" u="none" strike="noStrike" baseline="0">
              <a:solidFill>
                <a:srgbClr val="000000"/>
              </a:solidFill>
              <a:latin typeface="Calibri"/>
              <a:ea typeface="Calibri"/>
              <a:cs typeface="Calibri"/>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en-US"/>
              <a:t>First Quarter</a:t>
            </a:r>
          </a:p>
        </c:rich>
      </c:tx>
      <c:layout>
        <c:manualLayout>
          <c:xMode val="edge"/>
          <c:yMode val="edge"/>
          <c:x val="0.33333429651568786"/>
          <c:y val="3.7671232876712327E-2"/>
        </c:manualLayout>
      </c:layout>
      <c:overlay val="0"/>
      <c:spPr>
        <a:noFill/>
        <a:ln w="25400">
          <a:noFill/>
        </a:ln>
      </c:spPr>
    </c:title>
    <c:autoTitleDeleted val="0"/>
    <c:plotArea>
      <c:layout>
        <c:manualLayout>
          <c:layoutTarget val="inner"/>
          <c:xMode val="edge"/>
          <c:yMode val="edge"/>
          <c:x val="0.27828829286211315"/>
          <c:y val="0.31506902000785936"/>
          <c:w val="0.44648451382273097"/>
          <c:h val="0.50000083609942891"/>
        </c:manualLayout>
      </c:layout>
      <c:pieChart>
        <c:varyColors val="1"/>
        <c:ser>
          <c:idx val="0"/>
          <c:order val="0"/>
          <c:spPr>
            <a:solidFill>
              <a:srgbClr val="9999FF"/>
            </a:solidFill>
            <a:ln w="12700">
              <a:solidFill>
                <a:srgbClr val="000000"/>
              </a:solidFill>
              <a:prstDash val="solid"/>
            </a:ln>
          </c:spPr>
          <c:dPt>
            <c:idx val="0"/>
            <c:bubble3D val="0"/>
            <c:spPr>
              <a:solidFill>
                <a:srgbClr val="3366FF"/>
              </a:solidFill>
              <a:ln w="12700">
                <a:solidFill>
                  <a:srgbClr val="000000"/>
                </a:solidFill>
                <a:prstDash val="solid"/>
              </a:ln>
            </c:spPr>
            <c:extLst>
              <c:ext xmlns:c16="http://schemas.microsoft.com/office/drawing/2014/chart" uri="{C3380CC4-5D6E-409C-BE32-E72D297353CC}">
                <c16:uniqueId val="{00000001-6FA0-4A55-A0FF-0D801E5D77AA}"/>
              </c:ext>
            </c:extLst>
          </c:dPt>
          <c:dPt>
            <c:idx val="1"/>
            <c:bubble3D val="0"/>
            <c:spPr>
              <a:solidFill>
                <a:srgbClr val="800080"/>
              </a:solidFill>
              <a:ln w="12700">
                <a:solidFill>
                  <a:srgbClr val="000000"/>
                </a:solidFill>
                <a:prstDash val="solid"/>
              </a:ln>
            </c:spPr>
            <c:extLst>
              <c:ext xmlns:c16="http://schemas.microsoft.com/office/drawing/2014/chart" uri="{C3380CC4-5D6E-409C-BE32-E72D297353CC}">
                <c16:uniqueId val="{00000003-6FA0-4A55-A0FF-0D801E5D77AA}"/>
              </c:ext>
            </c:extLst>
          </c:dPt>
          <c:dPt>
            <c:idx val="2"/>
            <c:bubble3D val="0"/>
            <c:spPr>
              <a:solidFill>
                <a:srgbClr val="FF6600"/>
              </a:solidFill>
              <a:ln w="12700">
                <a:solidFill>
                  <a:srgbClr val="000000"/>
                </a:solidFill>
                <a:prstDash val="solid"/>
              </a:ln>
            </c:spPr>
            <c:extLst>
              <c:ext xmlns:c16="http://schemas.microsoft.com/office/drawing/2014/chart" uri="{C3380CC4-5D6E-409C-BE32-E72D297353CC}">
                <c16:uniqueId val="{00000005-6FA0-4A55-A0FF-0D801E5D77AA}"/>
              </c:ext>
            </c:extLst>
          </c:dPt>
          <c:dPt>
            <c:idx val="3"/>
            <c:bubble3D val="0"/>
            <c:spPr>
              <a:solidFill>
                <a:srgbClr val="000080"/>
              </a:solidFill>
              <a:ln w="12700">
                <a:solidFill>
                  <a:srgbClr val="000000"/>
                </a:solidFill>
                <a:prstDash val="solid"/>
              </a:ln>
            </c:spPr>
            <c:extLst>
              <c:ext xmlns:c16="http://schemas.microsoft.com/office/drawing/2014/chart" uri="{C3380CC4-5D6E-409C-BE32-E72D297353CC}">
                <c16:uniqueId val="{00000007-6FA0-4A55-A0FF-0D801E5D77AA}"/>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9-6FA0-4A55-A0FF-0D801E5D77AA}"/>
              </c:ext>
            </c:extLst>
          </c:dPt>
          <c:dPt>
            <c:idx val="5"/>
            <c:bubble3D val="0"/>
            <c:spPr>
              <a:solidFill>
                <a:srgbClr val="CCFFFF"/>
              </a:solidFill>
              <a:ln w="12700">
                <a:solidFill>
                  <a:srgbClr val="000000"/>
                </a:solidFill>
                <a:prstDash val="solid"/>
              </a:ln>
            </c:spPr>
            <c:extLst>
              <c:ext xmlns:c16="http://schemas.microsoft.com/office/drawing/2014/chart" uri="{C3380CC4-5D6E-409C-BE32-E72D297353CC}">
                <c16:uniqueId val="{0000000B-6FA0-4A55-A0FF-0D801E5D77AA}"/>
              </c:ext>
            </c:extLst>
          </c:dPt>
          <c:dPt>
            <c:idx val="6"/>
            <c:bubble3D val="0"/>
            <c:spPr>
              <a:solidFill>
                <a:srgbClr val="969696"/>
              </a:solidFill>
              <a:ln w="12700">
                <a:solidFill>
                  <a:srgbClr val="000000"/>
                </a:solidFill>
                <a:prstDash val="solid"/>
              </a:ln>
            </c:spPr>
            <c:extLst>
              <c:ext xmlns:c16="http://schemas.microsoft.com/office/drawing/2014/chart" uri="{C3380CC4-5D6E-409C-BE32-E72D297353CC}">
                <c16:uniqueId val="{0000000D-6FA0-4A55-A0FF-0D801E5D77AA}"/>
              </c:ext>
            </c:extLst>
          </c:dPt>
          <c:dLbls>
            <c:dLbl>
              <c:idx val="0"/>
              <c:layout>
                <c:manualLayout>
                  <c:x val="3.0412803904099145E-2"/>
                  <c:y val="-3.77506921223888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FA0-4A55-A0FF-0D801E5D77AA}"/>
                </c:ext>
              </c:extLst>
            </c:dLbl>
            <c:dLbl>
              <c:idx val="1"/>
              <c:layout>
                <c:manualLayout>
                  <c:x val="-3.3691797699599478E-2"/>
                  <c:y val="-5.431812461798439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FA0-4A55-A0FF-0D801E5D77AA}"/>
                </c:ext>
              </c:extLst>
            </c:dLbl>
            <c:dLbl>
              <c:idx val="2"/>
              <c:delete val="1"/>
              <c:extLst>
                <c:ext xmlns:c15="http://schemas.microsoft.com/office/drawing/2012/chart" uri="{CE6537A1-D6FC-4f65-9D91-7224C49458BB}"/>
                <c:ext xmlns:c16="http://schemas.microsoft.com/office/drawing/2014/chart" uri="{C3380CC4-5D6E-409C-BE32-E72D297353CC}">
                  <c16:uniqueId val="{00000005-6FA0-4A55-A0FF-0D801E5D77AA}"/>
                </c:ext>
              </c:extLst>
            </c:dLbl>
            <c:dLbl>
              <c:idx val="3"/>
              <c:delete val="1"/>
              <c:extLst>
                <c:ext xmlns:c15="http://schemas.microsoft.com/office/drawing/2012/chart" uri="{CE6537A1-D6FC-4f65-9D91-7224C49458BB}"/>
                <c:ext xmlns:c16="http://schemas.microsoft.com/office/drawing/2014/chart" uri="{C3380CC4-5D6E-409C-BE32-E72D297353CC}">
                  <c16:uniqueId val="{00000007-6FA0-4A55-A0FF-0D801E5D77AA}"/>
                </c:ext>
              </c:extLst>
            </c:dLbl>
            <c:dLbl>
              <c:idx val="4"/>
              <c:delete val="1"/>
              <c:extLst>
                <c:ext xmlns:c15="http://schemas.microsoft.com/office/drawing/2012/chart" uri="{CE6537A1-D6FC-4f65-9D91-7224C49458BB}"/>
                <c:ext xmlns:c16="http://schemas.microsoft.com/office/drawing/2014/chart" uri="{C3380CC4-5D6E-409C-BE32-E72D297353CC}">
                  <c16:uniqueId val="{00000009-6FA0-4A55-A0FF-0D801E5D77AA}"/>
                </c:ext>
              </c:extLst>
            </c:dLbl>
            <c:dLbl>
              <c:idx val="5"/>
              <c:layout>
                <c:manualLayout>
                  <c:x val="3.621405122524822E-2"/>
                  <c:y val="-3.3531082587279328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FA0-4A55-A0FF-0D801E5D77AA}"/>
                </c:ext>
              </c:extLst>
            </c:dLbl>
            <c:dLbl>
              <c:idx val="6"/>
              <c:delete val="1"/>
              <c:extLst>
                <c:ext xmlns:c15="http://schemas.microsoft.com/office/drawing/2012/chart" uri="{CE6537A1-D6FC-4f65-9D91-7224C49458BB}"/>
                <c:ext xmlns:c16="http://schemas.microsoft.com/office/drawing/2014/chart" uri="{C3380CC4-5D6E-409C-BE32-E72D297353CC}">
                  <c16:uniqueId val="{0000000D-6FA0-4A55-A0FF-0D801E5D77AA}"/>
                </c:ext>
              </c:extLst>
            </c:dLbl>
            <c:numFmt formatCode="0%" sourceLinked="0"/>
            <c:spPr>
              <a:noFill/>
              <a:ln w="25400">
                <a:noFill/>
              </a:ln>
            </c:spPr>
            <c:txPr>
              <a:bodyPr/>
              <a:lstStyle/>
              <a:p>
                <a:pPr>
                  <a:defRPr sz="105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Table2!$A$6:$A$12</c:f>
              <c:strCache>
                <c:ptCount val="7"/>
                <c:pt idx="0">
                  <c:v>Raccoon</c:v>
                </c:pt>
                <c:pt idx="1">
                  <c:v>Skunk</c:v>
                </c:pt>
                <c:pt idx="2">
                  <c:v>Cat</c:v>
                </c:pt>
                <c:pt idx="3">
                  <c:v>Fox</c:v>
                </c:pt>
                <c:pt idx="4">
                  <c:v>Woodchuck</c:v>
                </c:pt>
                <c:pt idx="5">
                  <c:v>Bat</c:v>
                </c:pt>
                <c:pt idx="6">
                  <c:v>BobCat</c:v>
                </c:pt>
              </c:strCache>
            </c:strRef>
          </c:cat>
          <c:val>
            <c:numRef>
              <c:f>Table2!$B$6:$B$12</c:f>
              <c:numCache>
                <c:formatCode>General</c:formatCode>
                <c:ptCount val="7"/>
                <c:pt idx="0">
                  <c:v>8</c:v>
                </c:pt>
                <c:pt idx="1">
                  <c:v>2</c:v>
                </c:pt>
                <c:pt idx="2">
                  <c:v>1</c:v>
                </c:pt>
                <c:pt idx="3">
                  <c:v>1</c:v>
                </c:pt>
                <c:pt idx="4">
                  <c:v>0</c:v>
                </c:pt>
                <c:pt idx="5">
                  <c:v>1</c:v>
                </c:pt>
                <c:pt idx="6">
                  <c:v>1</c:v>
                </c:pt>
              </c:numCache>
            </c:numRef>
          </c:val>
          <c:extLst>
            <c:ext xmlns:c16="http://schemas.microsoft.com/office/drawing/2014/chart" uri="{C3380CC4-5D6E-409C-BE32-E72D297353CC}">
              <c16:uniqueId val="{0000000E-6FA0-4A55-A0FF-0D801E5D77AA}"/>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5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en-US"/>
              <a:t>Second Quarter</a:t>
            </a:r>
          </a:p>
        </c:rich>
      </c:tx>
      <c:layout>
        <c:manualLayout>
          <c:xMode val="edge"/>
          <c:yMode val="edge"/>
          <c:x val="0.29754601226993865"/>
          <c:y val="3.7671232876712327E-2"/>
        </c:manualLayout>
      </c:layout>
      <c:overlay val="0"/>
      <c:spPr>
        <a:noFill/>
        <a:ln w="25400">
          <a:noFill/>
        </a:ln>
      </c:spPr>
    </c:title>
    <c:autoTitleDeleted val="0"/>
    <c:plotArea>
      <c:layout>
        <c:manualLayout>
          <c:layoutTarget val="inner"/>
          <c:xMode val="edge"/>
          <c:yMode val="edge"/>
          <c:x val="0.27607361963190186"/>
          <c:y val="0.31506902000785936"/>
          <c:w val="0.44785276073619634"/>
          <c:h val="0.50000083609942891"/>
        </c:manualLayout>
      </c:layout>
      <c:pieChart>
        <c:varyColors val="1"/>
        <c:ser>
          <c:idx val="0"/>
          <c:order val="0"/>
          <c:spPr>
            <a:solidFill>
              <a:srgbClr val="9999FF"/>
            </a:solidFill>
            <a:ln w="12700">
              <a:solidFill>
                <a:srgbClr val="000000"/>
              </a:solidFill>
              <a:prstDash val="solid"/>
            </a:ln>
          </c:spPr>
          <c:dPt>
            <c:idx val="0"/>
            <c:bubble3D val="0"/>
            <c:spPr>
              <a:solidFill>
                <a:srgbClr val="3366FF"/>
              </a:solidFill>
              <a:ln w="12700">
                <a:solidFill>
                  <a:srgbClr val="000000"/>
                </a:solidFill>
                <a:prstDash val="solid"/>
              </a:ln>
            </c:spPr>
            <c:extLst>
              <c:ext xmlns:c16="http://schemas.microsoft.com/office/drawing/2014/chart" uri="{C3380CC4-5D6E-409C-BE32-E72D297353CC}">
                <c16:uniqueId val="{00000001-342F-4D9F-B147-FD9BE593ECE8}"/>
              </c:ext>
            </c:extLst>
          </c:dPt>
          <c:dPt>
            <c:idx val="1"/>
            <c:bubble3D val="0"/>
            <c:spPr>
              <a:solidFill>
                <a:srgbClr val="800080"/>
              </a:solidFill>
              <a:ln w="12700">
                <a:solidFill>
                  <a:srgbClr val="000000"/>
                </a:solidFill>
                <a:prstDash val="solid"/>
              </a:ln>
            </c:spPr>
            <c:extLst>
              <c:ext xmlns:c16="http://schemas.microsoft.com/office/drawing/2014/chart" uri="{C3380CC4-5D6E-409C-BE32-E72D297353CC}">
                <c16:uniqueId val="{00000003-342F-4D9F-B147-FD9BE593ECE8}"/>
              </c:ext>
            </c:extLst>
          </c:dPt>
          <c:dPt>
            <c:idx val="2"/>
            <c:bubble3D val="0"/>
            <c:spPr>
              <a:solidFill>
                <a:srgbClr val="FF9900"/>
              </a:solidFill>
              <a:ln w="12700">
                <a:solidFill>
                  <a:srgbClr val="000000"/>
                </a:solidFill>
                <a:prstDash val="solid"/>
              </a:ln>
            </c:spPr>
            <c:extLst>
              <c:ext xmlns:c16="http://schemas.microsoft.com/office/drawing/2014/chart" uri="{C3380CC4-5D6E-409C-BE32-E72D297353CC}">
                <c16:uniqueId val="{00000005-342F-4D9F-B147-FD9BE593ECE8}"/>
              </c:ext>
            </c:extLst>
          </c:dPt>
          <c:dPt>
            <c:idx val="3"/>
            <c:bubble3D val="0"/>
            <c:spPr>
              <a:solidFill>
                <a:srgbClr val="000080"/>
              </a:solidFill>
              <a:ln w="12700">
                <a:solidFill>
                  <a:srgbClr val="000000"/>
                </a:solidFill>
                <a:prstDash val="solid"/>
              </a:ln>
            </c:spPr>
            <c:extLst>
              <c:ext xmlns:c16="http://schemas.microsoft.com/office/drawing/2014/chart" uri="{C3380CC4-5D6E-409C-BE32-E72D297353CC}">
                <c16:uniqueId val="{00000007-342F-4D9F-B147-FD9BE593ECE8}"/>
              </c:ext>
            </c:extLst>
          </c:dPt>
          <c:dPt>
            <c:idx val="4"/>
            <c:bubble3D val="0"/>
            <c:spPr>
              <a:solidFill>
                <a:srgbClr val="00FF00"/>
              </a:solidFill>
              <a:ln w="12700">
                <a:solidFill>
                  <a:srgbClr val="000000"/>
                </a:solidFill>
                <a:prstDash val="solid"/>
              </a:ln>
            </c:spPr>
            <c:extLst>
              <c:ext xmlns:c16="http://schemas.microsoft.com/office/drawing/2014/chart" uri="{C3380CC4-5D6E-409C-BE32-E72D297353CC}">
                <c16:uniqueId val="{00000009-342F-4D9F-B147-FD9BE593ECE8}"/>
              </c:ext>
            </c:extLst>
          </c:dPt>
          <c:dPt>
            <c:idx val="5"/>
            <c:bubble3D val="0"/>
            <c:spPr>
              <a:solidFill>
                <a:srgbClr val="CCFFFF"/>
              </a:solidFill>
              <a:ln w="12700">
                <a:solidFill>
                  <a:srgbClr val="000000"/>
                </a:solidFill>
                <a:prstDash val="solid"/>
              </a:ln>
            </c:spPr>
            <c:extLst>
              <c:ext xmlns:c16="http://schemas.microsoft.com/office/drawing/2014/chart" uri="{C3380CC4-5D6E-409C-BE32-E72D297353CC}">
                <c16:uniqueId val="{0000000B-342F-4D9F-B147-FD9BE593ECE8}"/>
              </c:ext>
            </c:extLst>
          </c:dPt>
          <c:dPt>
            <c:idx val="6"/>
            <c:bubble3D val="0"/>
            <c:spPr>
              <a:solidFill>
                <a:srgbClr val="969696"/>
              </a:solidFill>
              <a:ln w="12700">
                <a:solidFill>
                  <a:srgbClr val="000000"/>
                </a:solidFill>
                <a:prstDash val="solid"/>
              </a:ln>
            </c:spPr>
            <c:extLst>
              <c:ext xmlns:c16="http://schemas.microsoft.com/office/drawing/2014/chart" uri="{C3380CC4-5D6E-409C-BE32-E72D297353CC}">
                <c16:uniqueId val="{0000000D-342F-4D9F-B147-FD9BE593ECE8}"/>
              </c:ext>
            </c:extLst>
          </c:dPt>
          <c:dLbls>
            <c:dLbl>
              <c:idx val="0"/>
              <c:layout>
                <c:manualLayout>
                  <c:x val="-5.4945815822101994E-3"/>
                  <c:y val="-5.572789702657030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42F-4D9F-B147-FD9BE593ECE8}"/>
                </c:ext>
              </c:extLst>
            </c:dLbl>
            <c:dLbl>
              <c:idx val="1"/>
              <c:layout>
                <c:manualLayout>
                  <c:x val="3.2701962868138416E-2"/>
                  <c:y val="3.7374608995793335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42F-4D9F-B147-FD9BE593ECE8}"/>
                </c:ext>
              </c:extLst>
            </c:dLbl>
            <c:dLbl>
              <c:idx val="2"/>
              <c:delete val="1"/>
              <c:extLst>
                <c:ext xmlns:c15="http://schemas.microsoft.com/office/drawing/2012/chart" uri="{CE6537A1-D6FC-4f65-9D91-7224C49458BB}"/>
                <c:ext xmlns:c16="http://schemas.microsoft.com/office/drawing/2014/chart" uri="{C3380CC4-5D6E-409C-BE32-E72D297353CC}">
                  <c16:uniqueId val="{00000005-342F-4D9F-B147-FD9BE593ECE8}"/>
                </c:ext>
              </c:extLst>
            </c:dLbl>
            <c:dLbl>
              <c:idx val="3"/>
              <c:layout>
                <c:manualLayout>
                  <c:x val="2.3576638809719337E-2"/>
                  <c:y val="3.6324740229389135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42F-4D9F-B147-FD9BE593ECE8}"/>
                </c:ext>
              </c:extLst>
            </c:dLbl>
            <c:dLbl>
              <c:idx val="4"/>
              <c:layout>
                <c:manualLayout>
                  <c:x val="-2.9145129864901857E-4"/>
                  <c:y val="9.6681407974696465E-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42F-4D9F-B147-FD9BE593ECE8}"/>
                </c:ext>
              </c:extLst>
            </c:dLbl>
            <c:dLbl>
              <c:idx val="5"/>
              <c:layout>
                <c:manualLayout>
                  <c:x val="3.0546672463488075E-2"/>
                  <c:y val="-3.431848416208247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42F-4D9F-B147-FD9BE593ECE8}"/>
                </c:ext>
              </c:extLst>
            </c:dLbl>
            <c:dLbl>
              <c:idx val="6"/>
              <c:tx>
                <c:rich>
                  <a:bodyPr/>
                  <a:lstStyle/>
                  <a:p>
                    <a:r>
                      <a:rPr lang="en-US"/>
                      <a:t>2%</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42F-4D9F-B147-FD9BE593ECE8}"/>
                </c:ext>
              </c:extLst>
            </c:dLbl>
            <c:numFmt formatCode="0%" sourceLinked="0"/>
            <c:spPr>
              <a:noFill/>
              <a:ln w="25400">
                <a:noFill/>
              </a:ln>
            </c:spPr>
            <c:txPr>
              <a:bodyPr/>
              <a:lstStyle/>
              <a:p>
                <a:pPr>
                  <a:defRPr sz="105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Table2!$A$6:$A$12</c:f>
              <c:strCache>
                <c:ptCount val="7"/>
                <c:pt idx="0">
                  <c:v>Raccoon</c:v>
                </c:pt>
                <c:pt idx="1">
                  <c:v>Skunk</c:v>
                </c:pt>
                <c:pt idx="2">
                  <c:v>Cat</c:v>
                </c:pt>
                <c:pt idx="3">
                  <c:v>Fox</c:v>
                </c:pt>
                <c:pt idx="4">
                  <c:v>Woodchuck</c:v>
                </c:pt>
                <c:pt idx="5">
                  <c:v>Bat</c:v>
                </c:pt>
                <c:pt idx="6">
                  <c:v>BobCat</c:v>
                </c:pt>
              </c:strCache>
            </c:strRef>
          </c:cat>
          <c:val>
            <c:numRef>
              <c:f>Table2!$C$6:$C$12</c:f>
              <c:numCache>
                <c:formatCode>General</c:formatCode>
                <c:ptCount val="7"/>
                <c:pt idx="0">
                  <c:v>7</c:v>
                </c:pt>
                <c:pt idx="1">
                  <c:v>3</c:v>
                </c:pt>
                <c:pt idx="2">
                  <c:v>0</c:v>
                </c:pt>
                <c:pt idx="3">
                  <c:v>5</c:v>
                </c:pt>
                <c:pt idx="4">
                  <c:v>4</c:v>
                </c:pt>
                <c:pt idx="5">
                  <c:v>6</c:v>
                </c:pt>
                <c:pt idx="6">
                  <c:v>0</c:v>
                </c:pt>
              </c:numCache>
            </c:numRef>
          </c:val>
          <c:extLst>
            <c:ext xmlns:c16="http://schemas.microsoft.com/office/drawing/2014/chart" uri="{C3380CC4-5D6E-409C-BE32-E72D297353CC}">
              <c16:uniqueId val="{0000000E-342F-4D9F-B147-FD9BE593ECE8}"/>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475"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en-US"/>
              <a:t>Third Quarter</a:t>
            </a:r>
          </a:p>
        </c:rich>
      </c:tx>
      <c:layout>
        <c:manualLayout>
          <c:xMode val="edge"/>
          <c:yMode val="edge"/>
          <c:x val="0.32317137187119899"/>
          <c:y val="3.8194444444444448E-2"/>
        </c:manualLayout>
      </c:layout>
      <c:overlay val="0"/>
      <c:spPr>
        <a:noFill/>
        <a:ln w="25400">
          <a:noFill/>
        </a:ln>
      </c:spPr>
    </c:title>
    <c:autoTitleDeleted val="0"/>
    <c:plotArea>
      <c:layout>
        <c:manualLayout>
          <c:layoutTarget val="inner"/>
          <c:xMode val="edge"/>
          <c:yMode val="edge"/>
          <c:x val="0.28048822243030447"/>
          <c:y val="0.31597329363774157"/>
          <c:w val="0.4390250438039548"/>
          <c:h val="0.50000169542675588"/>
        </c:manualLayout>
      </c:layout>
      <c:pieChart>
        <c:varyColors val="1"/>
        <c:ser>
          <c:idx val="0"/>
          <c:order val="0"/>
          <c:spPr>
            <a:solidFill>
              <a:srgbClr val="9999FF"/>
            </a:solidFill>
            <a:ln w="12700">
              <a:solidFill>
                <a:srgbClr val="000000"/>
              </a:solidFill>
              <a:prstDash val="solid"/>
            </a:ln>
          </c:spPr>
          <c:dPt>
            <c:idx val="0"/>
            <c:bubble3D val="0"/>
            <c:spPr>
              <a:solidFill>
                <a:srgbClr val="0066CC"/>
              </a:solidFill>
              <a:ln w="12700">
                <a:solidFill>
                  <a:srgbClr val="000000"/>
                </a:solidFill>
                <a:prstDash val="solid"/>
              </a:ln>
            </c:spPr>
            <c:extLst>
              <c:ext xmlns:c16="http://schemas.microsoft.com/office/drawing/2014/chart" uri="{C3380CC4-5D6E-409C-BE32-E72D297353CC}">
                <c16:uniqueId val="{00000001-A00C-4BCB-9249-B0300FBE1DD1}"/>
              </c:ext>
            </c:extLst>
          </c:dPt>
          <c:dPt>
            <c:idx val="1"/>
            <c:bubble3D val="0"/>
            <c:spPr>
              <a:solidFill>
                <a:srgbClr val="800080"/>
              </a:solidFill>
              <a:ln w="12700">
                <a:solidFill>
                  <a:srgbClr val="000000"/>
                </a:solidFill>
                <a:prstDash val="solid"/>
              </a:ln>
            </c:spPr>
            <c:extLst>
              <c:ext xmlns:c16="http://schemas.microsoft.com/office/drawing/2014/chart" uri="{C3380CC4-5D6E-409C-BE32-E72D297353CC}">
                <c16:uniqueId val="{00000003-A00C-4BCB-9249-B0300FBE1DD1}"/>
              </c:ext>
            </c:extLst>
          </c:dPt>
          <c:dPt>
            <c:idx val="2"/>
            <c:bubble3D val="0"/>
            <c:spPr>
              <a:solidFill>
                <a:srgbClr val="FF6600"/>
              </a:solidFill>
              <a:ln w="12700">
                <a:solidFill>
                  <a:srgbClr val="000000"/>
                </a:solidFill>
                <a:prstDash val="solid"/>
              </a:ln>
            </c:spPr>
            <c:extLst>
              <c:ext xmlns:c16="http://schemas.microsoft.com/office/drawing/2014/chart" uri="{C3380CC4-5D6E-409C-BE32-E72D297353CC}">
                <c16:uniqueId val="{00000005-A00C-4BCB-9249-B0300FBE1DD1}"/>
              </c:ext>
            </c:extLst>
          </c:dPt>
          <c:dPt>
            <c:idx val="3"/>
            <c:bubble3D val="0"/>
            <c:spPr>
              <a:solidFill>
                <a:srgbClr val="000080"/>
              </a:solidFill>
              <a:ln w="12700">
                <a:solidFill>
                  <a:srgbClr val="000000"/>
                </a:solidFill>
                <a:prstDash val="solid"/>
              </a:ln>
            </c:spPr>
            <c:extLst>
              <c:ext xmlns:c16="http://schemas.microsoft.com/office/drawing/2014/chart" uri="{C3380CC4-5D6E-409C-BE32-E72D297353CC}">
                <c16:uniqueId val="{00000007-A00C-4BCB-9249-B0300FBE1DD1}"/>
              </c:ext>
            </c:extLst>
          </c:dPt>
          <c:dPt>
            <c:idx val="4"/>
            <c:bubble3D val="0"/>
            <c:spPr>
              <a:solidFill>
                <a:srgbClr val="00FF00"/>
              </a:solidFill>
              <a:ln w="12700">
                <a:solidFill>
                  <a:srgbClr val="000000"/>
                </a:solidFill>
                <a:prstDash val="solid"/>
              </a:ln>
            </c:spPr>
            <c:extLst>
              <c:ext xmlns:c16="http://schemas.microsoft.com/office/drawing/2014/chart" uri="{C3380CC4-5D6E-409C-BE32-E72D297353CC}">
                <c16:uniqueId val="{00000009-A00C-4BCB-9249-B0300FBE1DD1}"/>
              </c:ext>
            </c:extLst>
          </c:dPt>
          <c:dPt>
            <c:idx val="5"/>
            <c:bubble3D val="0"/>
            <c:spPr>
              <a:solidFill>
                <a:srgbClr val="CCFFFF"/>
              </a:solidFill>
              <a:ln w="12700">
                <a:solidFill>
                  <a:srgbClr val="000000"/>
                </a:solidFill>
                <a:prstDash val="solid"/>
              </a:ln>
            </c:spPr>
            <c:extLst>
              <c:ext xmlns:c16="http://schemas.microsoft.com/office/drawing/2014/chart" uri="{C3380CC4-5D6E-409C-BE32-E72D297353CC}">
                <c16:uniqueId val="{0000000B-A00C-4BCB-9249-B0300FBE1DD1}"/>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D-A00C-4BCB-9249-B0300FBE1DD1}"/>
              </c:ext>
            </c:extLst>
          </c:dPt>
          <c:dLbls>
            <c:dLbl>
              <c:idx val="0"/>
              <c:layout>
                <c:manualLayout>
                  <c:x val="8.8278599321427037E-3"/>
                  <c:y val="2.069845435987168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00C-4BCB-9249-B0300FBE1DD1}"/>
                </c:ext>
              </c:extLst>
            </c:dLbl>
            <c:dLbl>
              <c:idx val="1"/>
              <c:layout>
                <c:manualLayout>
                  <c:x val="8.8486652583061268E-3"/>
                  <c:y val="-3.232174103237095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00C-4BCB-9249-B0300FBE1DD1}"/>
                </c:ext>
              </c:extLst>
            </c:dLbl>
            <c:dLbl>
              <c:idx val="2"/>
              <c:layout>
                <c:manualLayout>
                  <c:x val="1.4865725625760195E-2"/>
                  <c:y val="5.0495771361913095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00C-4BCB-9249-B0300FBE1DD1}"/>
                </c:ext>
              </c:extLst>
            </c:dLbl>
            <c:dLbl>
              <c:idx val="3"/>
              <c:layout>
                <c:manualLayout>
                  <c:x val="1.2394533000448115E-2"/>
                  <c:y val="2.056503353747448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00C-4BCB-9249-B0300FBE1DD1}"/>
                </c:ext>
              </c:extLst>
            </c:dLbl>
            <c:dLbl>
              <c:idx val="4"/>
              <c:layout>
                <c:manualLayout>
                  <c:x val="5.6555278151206711E-3"/>
                  <c:y val="5.9598279381743949E-3"/>
                </c:manualLayout>
              </c:layout>
              <c:tx>
                <c:rich>
                  <a:bodyPr/>
                  <a:lstStyle/>
                  <a:p>
                    <a:r>
                      <a:rPr lang="en-US"/>
                      <a:t>2%</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00C-4BCB-9249-B0300FBE1DD1}"/>
                </c:ext>
              </c:extLst>
            </c:dLbl>
            <c:dLbl>
              <c:idx val="5"/>
              <c:layout>
                <c:manualLayout>
                  <c:x val="1.5599193393508739E-2"/>
                  <c:y val="-2.053842228054826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00C-4BCB-9249-B0300FBE1DD1}"/>
                </c:ext>
              </c:extLst>
            </c:dLbl>
            <c:dLbl>
              <c:idx val="6"/>
              <c:delete val="1"/>
              <c:extLst>
                <c:ext xmlns:c15="http://schemas.microsoft.com/office/drawing/2012/chart" uri="{CE6537A1-D6FC-4f65-9D91-7224C49458BB}"/>
                <c:ext xmlns:c16="http://schemas.microsoft.com/office/drawing/2014/chart" uri="{C3380CC4-5D6E-409C-BE32-E72D297353CC}">
                  <c16:uniqueId val="{0000000D-A00C-4BCB-9249-B0300FBE1DD1}"/>
                </c:ext>
              </c:extLst>
            </c:dLbl>
            <c:numFmt formatCode="0%" sourceLinked="0"/>
            <c:spPr>
              <a:noFill/>
              <a:ln w="25400">
                <a:noFill/>
              </a:ln>
            </c:spPr>
            <c:txPr>
              <a:bodyPr/>
              <a:lstStyle/>
              <a:p>
                <a:pPr>
                  <a:defRPr sz="105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Table2!$A$6:$A$12</c:f>
              <c:strCache>
                <c:ptCount val="7"/>
                <c:pt idx="0">
                  <c:v>Raccoon</c:v>
                </c:pt>
                <c:pt idx="1">
                  <c:v>Skunk</c:v>
                </c:pt>
                <c:pt idx="2">
                  <c:v>Cat</c:v>
                </c:pt>
                <c:pt idx="3">
                  <c:v>Fox</c:v>
                </c:pt>
                <c:pt idx="4">
                  <c:v>Woodchuck</c:v>
                </c:pt>
                <c:pt idx="5">
                  <c:v>Bat</c:v>
                </c:pt>
                <c:pt idx="6">
                  <c:v>BobCat</c:v>
                </c:pt>
              </c:strCache>
            </c:strRef>
          </c:cat>
          <c:val>
            <c:numRef>
              <c:f>Table2!$D$6:$D$12</c:f>
              <c:numCache>
                <c:formatCode>General</c:formatCode>
                <c:ptCount val="7"/>
                <c:pt idx="0">
                  <c:v>0</c:v>
                </c:pt>
                <c:pt idx="1">
                  <c:v>7</c:v>
                </c:pt>
                <c:pt idx="2">
                  <c:v>0</c:v>
                </c:pt>
                <c:pt idx="3">
                  <c:v>5</c:v>
                </c:pt>
                <c:pt idx="4">
                  <c:v>4</c:v>
                </c:pt>
                <c:pt idx="5">
                  <c:v>10</c:v>
                </c:pt>
                <c:pt idx="6">
                  <c:v>0</c:v>
                </c:pt>
              </c:numCache>
            </c:numRef>
          </c:val>
          <c:extLst>
            <c:ext xmlns:c16="http://schemas.microsoft.com/office/drawing/2014/chart" uri="{C3380CC4-5D6E-409C-BE32-E72D297353CC}">
              <c16:uniqueId val="{0000000E-A00C-4BCB-9249-B0300FBE1DD1}"/>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500" b="0"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en-US"/>
              <a:t>Fourth Quarter</a:t>
            </a:r>
          </a:p>
        </c:rich>
      </c:tx>
      <c:layout>
        <c:manualLayout>
          <c:xMode val="edge"/>
          <c:yMode val="edge"/>
          <c:x val="0.30674846625766872"/>
          <c:y val="3.8194444444444448E-2"/>
        </c:manualLayout>
      </c:layout>
      <c:overlay val="0"/>
      <c:spPr>
        <a:noFill/>
        <a:ln w="25400">
          <a:noFill/>
        </a:ln>
      </c:spPr>
    </c:title>
    <c:autoTitleDeleted val="0"/>
    <c:plotArea>
      <c:layout>
        <c:manualLayout>
          <c:layoutTarget val="inner"/>
          <c:xMode val="edge"/>
          <c:yMode val="edge"/>
          <c:x val="0.2822085889570552"/>
          <c:y val="0.31944552763376072"/>
          <c:w val="0.43558282208588955"/>
          <c:h val="0.49305722743471758"/>
        </c:manualLayout>
      </c:layout>
      <c:pieChart>
        <c:varyColors val="1"/>
        <c:ser>
          <c:idx val="0"/>
          <c:order val="0"/>
          <c:spPr>
            <a:solidFill>
              <a:srgbClr val="9999FF"/>
            </a:solidFill>
            <a:ln w="12700">
              <a:solidFill>
                <a:srgbClr val="000000"/>
              </a:solidFill>
              <a:prstDash val="solid"/>
            </a:ln>
          </c:spPr>
          <c:dPt>
            <c:idx val="0"/>
            <c:bubble3D val="0"/>
            <c:spPr>
              <a:solidFill>
                <a:srgbClr val="0066CC"/>
              </a:solidFill>
              <a:ln w="12700">
                <a:solidFill>
                  <a:srgbClr val="000000"/>
                </a:solidFill>
                <a:prstDash val="solid"/>
              </a:ln>
            </c:spPr>
            <c:extLst>
              <c:ext xmlns:c16="http://schemas.microsoft.com/office/drawing/2014/chart" uri="{C3380CC4-5D6E-409C-BE32-E72D297353CC}">
                <c16:uniqueId val="{00000001-C52A-47D5-BE1C-AF88A1B135BC}"/>
              </c:ext>
            </c:extLst>
          </c:dPt>
          <c:dPt>
            <c:idx val="1"/>
            <c:bubble3D val="0"/>
            <c:spPr>
              <a:solidFill>
                <a:srgbClr val="800080"/>
              </a:solidFill>
              <a:ln w="12700">
                <a:solidFill>
                  <a:srgbClr val="000000"/>
                </a:solidFill>
                <a:prstDash val="solid"/>
              </a:ln>
            </c:spPr>
            <c:extLst>
              <c:ext xmlns:c16="http://schemas.microsoft.com/office/drawing/2014/chart" uri="{C3380CC4-5D6E-409C-BE32-E72D297353CC}">
                <c16:uniqueId val="{00000003-C52A-47D5-BE1C-AF88A1B135BC}"/>
              </c:ext>
            </c:extLst>
          </c:dPt>
          <c:dPt>
            <c:idx val="2"/>
            <c:bubble3D val="0"/>
            <c:spPr>
              <a:solidFill>
                <a:srgbClr val="FF6600"/>
              </a:solidFill>
              <a:ln w="12700">
                <a:solidFill>
                  <a:srgbClr val="000000"/>
                </a:solidFill>
                <a:prstDash val="solid"/>
              </a:ln>
            </c:spPr>
            <c:extLst>
              <c:ext xmlns:c16="http://schemas.microsoft.com/office/drawing/2014/chart" uri="{C3380CC4-5D6E-409C-BE32-E72D297353CC}">
                <c16:uniqueId val="{00000005-C52A-47D5-BE1C-AF88A1B135BC}"/>
              </c:ext>
            </c:extLst>
          </c:dPt>
          <c:dPt>
            <c:idx val="3"/>
            <c:bubble3D val="0"/>
            <c:spPr>
              <a:solidFill>
                <a:srgbClr val="000080"/>
              </a:solidFill>
              <a:ln w="12700">
                <a:solidFill>
                  <a:srgbClr val="000000"/>
                </a:solidFill>
                <a:prstDash val="solid"/>
              </a:ln>
            </c:spPr>
            <c:extLst>
              <c:ext xmlns:c16="http://schemas.microsoft.com/office/drawing/2014/chart" uri="{C3380CC4-5D6E-409C-BE32-E72D297353CC}">
                <c16:uniqueId val="{00000007-C52A-47D5-BE1C-AF88A1B135BC}"/>
              </c:ext>
            </c:extLst>
          </c:dPt>
          <c:dPt>
            <c:idx val="4"/>
            <c:bubble3D val="0"/>
            <c:spPr>
              <a:solidFill>
                <a:srgbClr val="00FF00"/>
              </a:solidFill>
              <a:ln w="12700">
                <a:solidFill>
                  <a:srgbClr val="000000"/>
                </a:solidFill>
                <a:prstDash val="solid"/>
              </a:ln>
            </c:spPr>
            <c:extLst>
              <c:ext xmlns:c16="http://schemas.microsoft.com/office/drawing/2014/chart" uri="{C3380CC4-5D6E-409C-BE32-E72D297353CC}">
                <c16:uniqueId val="{00000009-C52A-47D5-BE1C-AF88A1B135BC}"/>
              </c:ext>
            </c:extLst>
          </c:dPt>
          <c:dPt>
            <c:idx val="5"/>
            <c:bubble3D val="0"/>
            <c:spPr>
              <a:solidFill>
                <a:srgbClr val="CCFFFF"/>
              </a:solidFill>
              <a:ln w="12700">
                <a:solidFill>
                  <a:srgbClr val="000000"/>
                </a:solidFill>
                <a:prstDash val="solid"/>
              </a:ln>
            </c:spPr>
            <c:extLst>
              <c:ext xmlns:c16="http://schemas.microsoft.com/office/drawing/2014/chart" uri="{C3380CC4-5D6E-409C-BE32-E72D297353CC}">
                <c16:uniqueId val="{0000000B-C52A-47D5-BE1C-AF88A1B135BC}"/>
              </c:ext>
            </c:extLst>
          </c:dPt>
          <c:dPt>
            <c:idx val="6"/>
            <c:bubble3D val="0"/>
            <c:spPr>
              <a:solidFill>
                <a:srgbClr val="969696"/>
              </a:solidFill>
              <a:ln w="12700">
                <a:solidFill>
                  <a:srgbClr val="000000"/>
                </a:solidFill>
                <a:prstDash val="solid"/>
              </a:ln>
            </c:spPr>
            <c:extLst>
              <c:ext xmlns:c16="http://schemas.microsoft.com/office/drawing/2014/chart" uri="{C3380CC4-5D6E-409C-BE32-E72D297353CC}">
                <c16:uniqueId val="{0000000D-C52A-47D5-BE1C-AF88A1B135BC}"/>
              </c:ext>
            </c:extLst>
          </c:dPt>
          <c:dLbls>
            <c:dLbl>
              <c:idx val="0"/>
              <c:layout>
                <c:manualLayout>
                  <c:x val="3.70674524580133E-4"/>
                  <c:y val="5.593102945465150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52A-47D5-BE1C-AF88A1B135BC}"/>
                </c:ext>
              </c:extLst>
            </c:dLbl>
            <c:dLbl>
              <c:idx val="1"/>
              <c:layout>
                <c:manualLayout>
                  <c:x val="-2.2354475629196659E-2"/>
                  <c:y val="-7.732210557013706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52A-47D5-BE1C-AF88A1B135BC}"/>
                </c:ext>
              </c:extLst>
            </c:dLbl>
            <c:dLbl>
              <c:idx val="2"/>
              <c:tx>
                <c:rich>
                  <a:bodyPr/>
                  <a:lstStyle/>
                  <a:p>
                    <a:r>
                      <a:rPr lang="en-US"/>
                      <a:t>3%</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52A-47D5-BE1C-AF88A1B135BC}"/>
                </c:ext>
              </c:extLst>
            </c:dLbl>
            <c:dLbl>
              <c:idx val="3"/>
              <c:delete val="1"/>
              <c:extLst>
                <c:ext xmlns:c15="http://schemas.microsoft.com/office/drawing/2012/chart" uri="{CE6537A1-D6FC-4f65-9D91-7224C49458BB}"/>
                <c:ext xmlns:c16="http://schemas.microsoft.com/office/drawing/2014/chart" uri="{C3380CC4-5D6E-409C-BE32-E72D297353CC}">
                  <c16:uniqueId val="{00000007-C52A-47D5-BE1C-AF88A1B135BC}"/>
                </c:ext>
              </c:extLst>
            </c:dLbl>
            <c:dLbl>
              <c:idx val="4"/>
              <c:delete val="1"/>
              <c:extLst>
                <c:ext xmlns:c15="http://schemas.microsoft.com/office/drawing/2012/chart" uri="{CE6537A1-D6FC-4f65-9D91-7224C49458BB}"/>
                <c:ext xmlns:c16="http://schemas.microsoft.com/office/drawing/2014/chart" uri="{C3380CC4-5D6E-409C-BE32-E72D297353CC}">
                  <c16:uniqueId val="{00000009-C52A-47D5-BE1C-AF88A1B135BC}"/>
                </c:ext>
              </c:extLst>
            </c:dLbl>
            <c:dLbl>
              <c:idx val="5"/>
              <c:layout>
                <c:manualLayout>
                  <c:x val="2.4660966458947234E-2"/>
                  <c:y val="7.5138524351122775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52A-47D5-BE1C-AF88A1B135BC}"/>
                </c:ext>
              </c:extLst>
            </c:dLbl>
            <c:dLbl>
              <c:idx val="6"/>
              <c:delete val="1"/>
              <c:extLst>
                <c:ext xmlns:c15="http://schemas.microsoft.com/office/drawing/2012/chart" uri="{CE6537A1-D6FC-4f65-9D91-7224C49458BB}"/>
                <c:ext xmlns:c16="http://schemas.microsoft.com/office/drawing/2014/chart" uri="{C3380CC4-5D6E-409C-BE32-E72D297353CC}">
                  <c16:uniqueId val="{0000000D-C52A-47D5-BE1C-AF88A1B135BC}"/>
                </c:ext>
              </c:extLst>
            </c:dLbl>
            <c:numFmt formatCode="0%" sourceLinked="0"/>
            <c:spPr>
              <a:noFill/>
              <a:ln w="25400">
                <a:noFill/>
              </a:ln>
            </c:spPr>
            <c:txPr>
              <a:bodyPr/>
              <a:lstStyle/>
              <a:p>
                <a:pPr>
                  <a:defRPr sz="105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Table2!$A$6:$A$12</c:f>
              <c:strCache>
                <c:ptCount val="7"/>
                <c:pt idx="0">
                  <c:v>Raccoon</c:v>
                </c:pt>
                <c:pt idx="1">
                  <c:v>Skunk</c:v>
                </c:pt>
                <c:pt idx="2">
                  <c:v>Cat</c:v>
                </c:pt>
                <c:pt idx="3">
                  <c:v>Fox</c:v>
                </c:pt>
                <c:pt idx="4">
                  <c:v>Woodchuck</c:v>
                </c:pt>
                <c:pt idx="5">
                  <c:v>Bat</c:v>
                </c:pt>
                <c:pt idx="6">
                  <c:v>BobCat</c:v>
                </c:pt>
              </c:strCache>
            </c:strRef>
          </c:cat>
          <c:val>
            <c:numRef>
              <c:f>Table2!$E$6:$E$12</c:f>
              <c:numCache>
                <c:formatCode>General</c:formatCode>
                <c:ptCount val="7"/>
                <c:pt idx="0">
                  <c:v>10</c:v>
                </c:pt>
                <c:pt idx="1">
                  <c:v>8</c:v>
                </c:pt>
                <c:pt idx="2">
                  <c:v>0</c:v>
                </c:pt>
                <c:pt idx="3">
                  <c:v>0</c:v>
                </c:pt>
                <c:pt idx="4">
                  <c:v>0</c:v>
                </c:pt>
                <c:pt idx="5">
                  <c:v>3</c:v>
                </c:pt>
                <c:pt idx="6">
                  <c:v>0</c:v>
                </c:pt>
              </c:numCache>
            </c:numRef>
          </c:val>
          <c:extLst>
            <c:ext xmlns:c16="http://schemas.microsoft.com/office/drawing/2014/chart" uri="{C3380CC4-5D6E-409C-BE32-E72D297353CC}">
              <c16:uniqueId val="{0000000E-C52A-47D5-BE1C-AF88A1B135BC}"/>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475" b="0" i="0" u="none" strike="noStrike" baseline="0">
          <a:solidFill>
            <a:srgbClr val="000000"/>
          </a:solidFill>
          <a:latin typeface="Arial"/>
          <a:ea typeface="Arial"/>
          <a:cs typeface="Aria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en-US"/>
              <a:t>Figure 3: Percent Positive and Unsatisfactory of All Submissions, by Species,  by Quarter: 2017</a:t>
            </a:r>
          </a:p>
        </c:rich>
      </c:tx>
      <c:layout>
        <c:manualLayout>
          <c:xMode val="edge"/>
          <c:yMode val="edge"/>
          <c:x val="0.10488559853931302"/>
          <c:y val="2.3887952870520007E-2"/>
        </c:manualLayout>
      </c:layout>
      <c:overlay val="0"/>
      <c:spPr>
        <a:noFill/>
        <a:ln w="25400">
          <a:noFill/>
        </a:ln>
      </c:spPr>
    </c:title>
    <c:autoTitleDeleted val="0"/>
    <c:plotArea>
      <c:layout>
        <c:manualLayout>
          <c:layoutTarget val="inner"/>
          <c:xMode val="edge"/>
          <c:yMode val="edge"/>
          <c:x val="6.8667978175604549E-2"/>
          <c:y val="0.15246829245682039"/>
          <c:w val="0.87187207577313708"/>
          <c:h val="0.63826175658173734"/>
        </c:manualLayout>
      </c:layout>
      <c:barChart>
        <c:barDir val="col"/>
        <c:grouping val="stacked"/>
        <c:varyColors val="0"/>
        <c:ser>
          <c:idx val="0"/>
          <c:order val="0"/>
          <c:invertIfNegative val="0"/>
          <c:dPt>
            <c:idx val="0"/>
            <c:invertIfNegative val="0"/>
            <c:bubble3D val="0"/>
            <c:spPr>
              <a:solidFill>
                <a:schemeClr val="accent1">
                  <a:lumMod val="75000"/>
                </a:schemeClr>
              </a:solidFill>
            </c:spPr>
            <c:extLst>
              <c:ext xmlns:c16="http://schemas.microsoft.com/office/drawing/2014/chart" uri="{C3380CC4-5D6E-409C-BE32-E72D297353CC}">
                <c16:uniqueId val="{00000001-EE62-4423-BBB0-2B5BAE535E25}"/>
              </c:ext>
            </c:extLst>
          </c:dPt>
          <c:dPt>
            <c:idx val="1"/>
            <c:invertIfNegative val="0"/>
            <c:bubble3D val="0"/>
            <c:spPr>
              <a:solidFill>
                <a:schemeClr val="accent2">
                  <a:lumMod val="75000"/>
                </a:schemeClr>
              </a:solidFill>
            </c:spPr>
            <c:extLst>
              <c:ext xmlns:c16="http://schemas.microsoft.com/office/drawing/2014/chart" uri="{C3380CC4-5D6E-409C-BE32-E72D297353CC}">
                <c16:uniqueId val="{00000003-EE62-4423-BBB0-2B5BAE535E25}"/>
              </c:ext>
            </c:extLst>
          </c:dPt>
          <c:dPt>
            <c:idx val="3"/>
            <c:invertIfNegative val="0"/>
            <c:bubble3D val="0"/>
            <c:spPr>
              <a:solidFill>
                <a:schemeClr val="accent1">
                  <a:lumMod val="75000"/>
                </a:schemeClr>
              </a:solidFill>
            </c:spPr>
            <c:extLst>
              <c:ext xmlns:c16="http://schemas.microsoft.com/office/drawing/2014/chart" uri="{C3380CC4-5D6E-409C-BE32-E72D297353CC}">
                <c16:uniqueId val="{00000005-EE62-4423-BBB0-2B5BAE535E25}"/>
              </c:ext>
            </c:extLst>
          </c:dPt>
          <c:dPt>
            <c:idx val="4"/>
            <c:invertIfNegative val="0"/>
            <c:bubble3D val="0"/>
            <c:spPr>
              <a:solidFill>
                <a:schemeClr val="accent2">
                  <a:lumMod val="75000"/>
                </a:schemeClr>
              </a:solidFill>
            </c:spPr>
            <c:extLst>
              <c:ext xmlns:c16="http://schemas.microsoft.com/office/drawing/2014/chart" uri="{C3380CC4-5D6E-409C-BE32-E72D297353CC}">
                <c16:uniqueId val="{00000007-EE62-4423-BBB0-2B5BAE535E25}"/>
              </c:ext>
            </c:extLst>
          </c:dPt>
          <c:dPt>
            <c:idx val="6"/>
            <c:invertIfNegative val="0"/>
            <c:bubble3D val="0"/>
            <c:spPr>
              <a:solidFill>
                <a:schemeClr val="accent1">
                  <a:lumMod val="75000"/>
                </a:schemeClr>
              </a:solidFill>
            </c:spPr>
            <c:extLst>
              <c:ext xmlns:c16="http://schemas.microsoft.com/office/drawing/2014/chart" uri="{C3380CC4-5D6E-409C-BE32-E72D297353CC}">
                <c16:uniqueId val="{00000009-EE62-4423-BBB0-2B5BAE535E25}"/>
              </c:ext>
            </c:extLst>
          </c:dPt>
          <c:dPt>
            <c:idx val="7"/>
            <c:invertIfNegative val="0"/>
            <c:bubble3D val="0"/>
            <c:spPr>
              <a:solidFill>
                <a:schemeClr val="accent2">
                  <a:lumMod val="75000"/>
                </a:schemeClr>
              </a:solidFill>
            </c:spPr>
            <c:extLst>
              <c:ext xmlns:c16="http://schemas.microsoft.com/office/drawing/2014/chart" uri="{C3380CC4-5D6E-409C-BE32-E72D297353CC}">
                <c16:uniqueId val="{0000000B-EE62-4423-BBB0-2B5BAE535E25}"/>
              </c:ext>
            </c:extLst>
          </c:dPt>
          <c:dPt>
            <c:idx val="9"/>
            <c:invertIfNegative val="0"/>
            <c:bubble3D val="0"/>
            <c:spPr>
              <a:solidFill>
                <a:schemeClr val="accent1">
                  <a:lumMod val="75000"/>
                </a:schemeClr>
              </a:solidFill>
            </c:spPr>
            <c:extLst>
              <c:ext xmlns:c16="http://schemas.microsoft.com/office/drawing/2014/chart" uri="{C3380CC4-5D6E-409C-BE32-E72D297353CC}">
                <c16:uniqueId val="{0000000D-EE62-4423-BBB0-2B5BAE535E25}"/>
              </c:ext>
            </c:extLst>
          </c:dPt>
          <c:dPt>
            <c:idx val="10"/>
            <c:invertIfNegative val="0"/>
            <c:bubble3D val="0"/>
            <c:spPr>
              <a:solidFill>
                <a:schemeClr val="accent2">
                  <a:lumMod val="75000"/>
                </a:schemeClr>
              </a:solidFill>
            </c:spPr>
            <c:extLst>
              <c:ext xmlns:c16="http://schemas.microsoft.com/office/drawing/2014/chart" uri="{C3380CC4-5D6E-409C-BE32-E72D297353CC}">
                <c16:uniqueId val="{0000000F-EE62-4423-BBB0-2B5BAE535E25}"/>
              </c:ext>
            </c:extLst>
          </c:dPt>
          <c:dPt>
            <c:idx val="12"/>
            <c:invertIfNegative val="0"/>
            <c:bubble3D val="0"/>
            <c:spPr>
              <a:solidFill>
                <a:schemeClr val="accent1">
                  <a:lumMod val="75000"/>
                </a:schemeClr>
              </a:solidFill>
            </c:spPr>
            <c:extLst>
              <c:ext xmlns:c16="http://schemas.microsoft.com/office/drawing/2014/chart" uri="{C3380CC4-5D6E-409C-BE32-E72D297353CC}">
                <c16:uniqueId val="{00000011-EE62-4423-BBB0-2B5BAE535E25}"/>
              </c:ext>
            </c:extLst>
          </c:dPt>
          <c:dPt>
            <c:idx val="13"/>
            <c:invertIfNegative val="0"/>
            <c:bubble3D val="0"/>
            <c:spPr>
              <a:solidFill>
                <a:schemeClr val="accent2">
                  <a:lumMod val="75000"/>
                </a:schemeClr>
              </a:solidFill>
            </c:spPr>
            <c:extLst>
              <c:ext xmlns:c16="http://schemas.microsoft.com/office/drawing/2014/chart" uri="{C3380CC4-5D6E-409C-BE32-E72D297353CC}">
                <c16:uniqueId val="{00000013-EE62-4423-BBB0-2B5BAE535E25}"/>
              </c:ext>
            </c:extLst>
          </c:dPt>
          <c:cat>
            <c:strRef>
              <c:f>'[2017 data.xls]Figure 3'!$A$7:$A$20</c:f>
              <c:strCache>
                <c:ptCount val="13"/>
                <c:pt idx="0">
                  <c:v>Quarter 1</c:v>
                </c:pt>
                <c:pt idx="3">
                  <c:v>Quarter 2</c:v>
                </c:pt>
                <c:pt idx="6">
                  <c:v>Quarter 3</c:v>
                </c:pt>
                <c:pt idx="9">
                  <c:v>Quarter 4</c:v>
                </c:pt>
                <c:pt idx="12">
                  <c:v>Full Year</c:v>
                </c:pt>
              </c:strCache>
            </c:strRef>
          </c:cat>
          <c:val>
            <c:numRef>
              <c:f>'[2017 data.xls]Figure 3'!$B$7:$B$20</c:f>
              <c:numCache>
                <c:formatCode>General</c:formatCode>
                <c:ptCount val="14"/>
                <c:pt idx="0">
                  <c:v>3.77</c:v>
                </c:pt>
                <c:pt idx="1">
                  <c:v>1.18</c:v>
                </c:pt>
                <c:pt idx="3">
                  <c:v>4.6100000000000003</c:v>
                </c:pt>
                <c:pt idx="4">
                  <c:v>3.3</c:v>
                </c:pt>
                <c:pt idx="6">
                  <c:v>5.35</c:v>
                </c:pt>
                <c:pt idx="7">
                  <c:v>1.68</c:v>
                </c:pt>
                <c:pt idx="9">
                  <c:v>6.05</c:v>
                </c:pt>
                <c:pt idx="10">
                  <c:v>5.08</c:v>
                </c:pt>
                <c:pt idx="12">
                  <c:v>4.96</c:v>
                </c:pt>
                <c:pt idx="13">
                  <c:v>2.17</c:v>
                </c:pt>
              </c:numCache>
            </c:numRef>
          </c:val>
          <c:extLst>
            <c:ext xmlns:c16="http://schemas.microsoft.com/office/drawing/2014/chart" uri="{C3380CC4-5D6E-409C-BE32-E72D297353CC}">
              <c16:uniqueId val="{00000014-EE62-4423-BBB0-2B5BAE535E25}"/>
            </c:ext>
          </c:extLst>
        </c:ser>
        <c:ser>
          <c:idx val="1"/>
          <c:order val="1"/>
          <c:spPr>
            <a:ln>
              <a:solidFill>
                <a:schemeClr val="tx1">
                  <a:lumMod val="50000"/>
                  <a:lumOff val="50000"/>
                </a:schemeClr>
              </a:solidFill>
            </a:ln>
          </c:spPr>
          <c:invertIfNegative val="0"/>
          <c:dPt>
            <c:idx val="0"/>
            <c:invertIfNegative val="0"/>
            <c:bubble3D val="0"/>
            <c:spPr>
              <a:pattFill prst="ltDnDiag">
                <a:fgClr>
                  <a:schemeClr val="accent1">
                    <a:lumMod val="75000"/>
                  </a:schemeClr>
                </a:fgClr>
                <a:bgClr>
                  <a:schemeClr val="bg1"/>
                </a:bgClr>
              </a:pattFill>
              <a:ln>
                <a:solidFill>
                  <a:schemeClr val="accent1">
                    <a:lumMod val="75000"/>
                  </a:schemeClr>
                </a:solidFill>
              </a:ln>
            </c:spPr>
            <c:extLst>
              <c:ext xmlns:c16="http://schemas.microsoft.com/office/drawing/2014/chart" uri="{C3380CC4-5D6E-409C-BE32-E72D297353CC}">
                <c16:uniqueId val="{00000016-EE62-4423-BBB0-2B5BAE535E25}"/>
              </c:ext>
            </c:extLst>
          </c:dPt>
          <c:dPt>
            <c:idx val="1"/>
            <c:invertIfNegative val="0"/>
            <c:bubble3D val="0"/>
            <c:spPr>
              <a:pattFill prst="ltDnDiag">
                <a:fgClr>
                  <a:schemeClr val="accent2">
                    <a:lumMod val="75000"/>
                  </a:schemeClr>
                </a:fgClr>
                <a:bgClr>
                  <a:schemeClr val="bg1"/>
                </a:bgClr>
              </a:pattFill>
              <a:ln>
                <a:solidFill>
                  <a:schemeClr val="accent2">
                    <a:lumMod val="75000"/>
                  </a:schemeClr>
                </a:solidFill>
              </a:ln>
            </c:spPr>
            <c:extLst>
              <c:ext xmlns:c16="http://schemas.microsoft.com/office/drawing/2014/chart" uri="{C3380CC4-5D6E-409C-BE32-E72D297353CC}">
                <c16:uniqueId val="{00000018-EE62-4423-BBB0-2B5BAE535E25}"/>
              </c:ext>
            </c:extLst>
          </c:dPt>
          <c:dPt>
            <c:idx val="3"/>
            <c:invertIfNegative val="0"/>
            <c:bubble3D val="0"/>
            <c:spPr>
              <a:pattFill prst="ltDnDiag">
                <a:fgClr>
                  <a:schemeClr val="accent1">
                    <a:lumMod val="75000"/>
                  </a:schemeClr>
                </a:fgClr>
                <a:bgClr>
                  <a:schemeClr val="bg1"/>
                </a:bgClr>
              </a:pattFill>
              <a:ln>
                <a:solidFill>
                  <a:schemeClr val="accent1">
                    <a:lumMod val="75000"/>
                  </a:schemeClr>
                </a:solidFill>
              </a:ln>
            </c:spPr>
            <c:extLst>
              <c:ext xmlns:c16="http://schemas.microsoft.com/office/drawing/2014/chart" uri="{C3380CC4-5D6E-409C-BE32-E72D297353CC}">
                <c16:uniqueId val="{0000001A-EE62-4423-BBB0-2B5BAE535E25}"/>
              </c:ext>
            </c:extLst>
          </c:dPt>
          <c:dPt>
            <c:idx val="4"/>
            <c:invertIfNegative val="0"/>
            <c:bubble3D val="0"/>
            <c:spPr>
              <a:pattFill prst="ltDnDiag">
                <a:fgClr>
                  <a:schemeClr val="accent2">
                    <a:lumMod val="75000"/>
                  </a:schemeClr>
                </a:fgClr>
                <a:bgClr>
                  <a:schemeClr val="bg1"/>
                </a:bgClr>
              </a:pattFill>
              <a:ln>
                <a:solidFill>
                  <a:schemeClr val="accent2">
                    <a:lumMod val="75000"/>
                  </a:schemeClr>
                </a:solidFill>
              </a:ln>
            </c:spPr>
            <c:extLst>
              <c:ext xmlns:c16="http://schemas.microsoft.com/office/drawing/2014/chart" uri="{C3380CC4-5D6E-409C-BE32-E72D297353CC}">
                <c16:uniqueId val="{0000001C-EE62-4423-BBB0-2B5BAE535E25}"/>
              </c:ext>
            </c:extLst>
          </c:dPt>
          <c:dPt>
            <c:idx val="6"/>
            <c:invertIfNegative val="0"/>
            <c:bubble3D val="0"/>
            <c:spPr>
              <a:pattFill prst="ltDnDiag">
                <a:fgClr>
                  <a:schemeClr val="accent1">
                    <a:lumMod val="75000"/>
                  </a:schemeClr>
                </a:fgClr>
                <a:bgClr>
                  <a:schemeClr val="bg1"/>
                </a:bgClr>
              </a:pattFill>
              <a:ln>
                <a:solidFill>
                  <a:schemeClr val="accent1">
                    <a:lumMod val="75000"/>
                  </a:schemeClr>
                </a:solidFill>
              </a:ln>
            </c:spPr>
            <c:extLst>
              <c:ext xmlns:c16="http://schemas.microsoft.com/office/drawing/2014/chart" uri="{C3380CC4-5D6E-409C-BE32-E72D297353CC}">
                <c16:uniqueId val="{0000001E-EE62-4423-BBB0-2B5BAE535E25}"/>
              </c:ext>
            </c:extLst>
          </c:dPt>
          <c:dPt>
            <c:idx val="7"/>
            <c:invertIfNegative val="0"/>
            <c:bubble3D val="0"/>
            <c:spPr>
              <a:pattFill prst="ltDnDiag">
                <a:fgClr>
                  <a:schemeClr val="accent2">
                    <a:lumMod val="75000"/>
                  </a:schemeClr>
                </a:fgClr>
                <a:bgClr>
                  <a:schemeClr val="bg1"/>
                </a:bgClr>
              </a:pattFill>
              <a:ln>
                <a:solidFill>
                  <a:schemeClr val="accent2">
                    <a:lumMod val="75000"/>
                  </a:schemeClr>
                </a:solidFill>
              </a:ln>
            </c:spPr>
            <c:extLst>
              <c:ext xmlns:c16="http://schemas.microsoft.com/office/drawing/2014/chart" uri="{C3380CC4-5D6E-409C-BE32-E72D297353CC}">
                <c16:uniqueId val="{00000020-EE62-4423-BBB0-2B5BAE535E25}"/>
              </c:ext>
            </c:extLst>
          </c:dPt>
          <c:dPt>
            <c:idx val="9"/>
            <c:invertIfNegative val="0"/>
            <c:bubble3D val="0"/>
            <c:spPr>
              <a:pattFill prst="ltDnDiag">
                <a:fgClr>
                  <a:schemeClr val="accent1">
                    <a:lumMod val="75000"/>
                  </a:schemeClr>
                </a:fgClr>
                <a:bgClr>
                  <a:schemeClr val="bg1"/>
                </a:bgClr>
              </a:pattFill>
              <a:ln>
                <a:solidFill>
                  <a:schemeClr val="accent1">
                    <a:lumMod val="75000"/>
                  </a:schemeClr>
                </a:solidFill>
              </a:ln>
            </c:spPr>
            <c:extLst>
              <c:ext xmlns:c16="http://schemas.microsoft.com/office/drawing/2014/chart" uri="{C3380CC4-5D6E-409C-BE32-E72D297353CC}">
                <c16:uniqueId val="{00000022-EE62-4423-BBB0-2B5BAE535E25}"/>
              </c:ext>
            </c:extLst>
          </c:dPt>
          <c:dPt>
            <c:idx val="10"/>
            <c:invertIfNegative val="0"/>
            <c:bubble3D val="0"/>
            <c:spPr>
              <a:pattFill prst="ltDnDiag">
                <a:fgClr>
                  <a:schemeClr val="accent2">
                    <a:lumMod val="75000"/>
                  </a:schemeClr>
                </a:fgClr>
                <a:bgClr>
                  <a:schemeClr val="bg1"/>
                </a:bgClr>
              </a:pattFill>
              <a:ln>
                <a:solidFill>
                  <a:schemeClr val="accent2">
                    <a:lumMod val="75000"/>
                  </a:schemeClr>
                </a:solidFill>
              </a:ln>
            </c:spPr>
            <c:extLst>
              <c:ext xmlns:c16="http://schemas.microsoft.com/office/drawing/2014/chart" uri="{C3380CC4-5D6E-409C-BE32-E72D297353CC}">
                <c16:uniqueId val="{00000024-EE62-4423-BBB0-2B5BAE535E25}"/>
              </c:ext>
            </c:extLst>
          </c:dPt>
          <c:dPt>
            <c:idx val="12"/>
            <c:invertIfNegative val="0"/>
            <c:bubble3D val="0"/>
            <c:spPr>
              <a:pattFill prst="ltDnDiag">
                <a:fgClr>
                  <a:schemeClr val="accent1">
                    <a:lumMod val="75000"/>
                  </a:schemeClr>
                </a:fgClr>
                <a:bgClr>
                  <a:schemeClr val="bg1"/>
                </a:bgClr>
              </a:pattFill>
              <a:ln>
                <a:solidFill>
                  <a:schemeClr val="accent1">
                    <a:lumMod val="75000"/>
                  </a:schemeClr>
                </a:solidFill>
              </a:ln>
            </c:spPr>
            <c:extLst>
              <c:ext xmlns:c16="http://schemas.microsoft.com/office/drawing/2014/chart" uri="{C3380CC4-5D6E-409C-BE32-E72D297353CC}">
                <c16:uniqueId val="{00000026-EE62-4423-BBB0-2B5BAE535E25}"/>
              </c:ext>
            </c:extLst>
          </c:dPt>
          <c:dPt>
            <c:idx val="13"/>
            <c:invertIfNegative val="0"/>
            <c:bubble3D val="0"/>
            <c:spPr>
              <a:pattFill prst="ltDnDiag">
                <a:fgClr>
                  <a:schemeClr val="accent2">
                    <a:lumMod val="75000"/>
                  </a:schemeClr>
                </a:fgClr>
                <a:bgClr>
                  <a:schemeClr val="bg1"/>
                </a:bgClr>
              </a:pattFill>
              <a:ln>
                <a:solidFill>
                  <a:schemeClr val="accent2">
                    <a:lumMod val="75000"/>
                  </a:schemeClr>
                </a:solidFill>
              </a:ln>
            </c:spPr>
            <c:extLst>
              <c:ext xmlns:c16="http://schemas.microsoft.com/office/drawing/2014/chart" uri="{C3380CC4-5D6E-409C-BE32-E72D297353CC}">
                <c16:uniqueId val="{00000028-EE62-4423-BBB0-2B5BAE535E25}"/>
              </c:ext>
            </c:extLst>
          </c:dPt>
          <c:cat>
            <c:strRef>
              <c:f>'[2017 data.xls]Figure 3'!$A$7:$A$20</c:f>
              <c:strCache>
                <c:ptCount val="13"/>
                <c:pt idx="0">
                  <c:v>Quarter 1</c:v>
                </c:pt>
                <c:pt idx="3">
                  <c:v>Quarter 2</c:v>
                </c:pt>
                <c:pt idx="6">
                  <c:v>Quarter 3</c:v>
                </c:pt>
                <c:pt idx="9">
                  <c:v>Quarter 4</c:v>
                </c:pt>
                <c:pt idx="12">
                  <c:v>Full Year</c:v>
                </c:pt>
              </c:strCache>
            </c:strRef>
          </c:cat>
          <c:val>
            <c:numRef>
              <c:f>'[2017 data.xls]Figure 3'!$C$7:$C$20</c:f>
              <c:numCache>
                <c:formatCode>General</c:formatCode>
                <c:ptCount val="14"/>
                <c:pt idx="0">
                  <c:v>0.94</c:v>
                </c:pt>
                <c:pt idx="1">
                  <c:v>7.06</c:v>
                </c:pt>
                <c:pt idx="3">
                  <c:v>1.84</c:v>
                </c:pt>
                <c:pt idx="4">
                  <c:v>7.14</c:v>
                </c:pt>
                <c:pt idx="6">
                  <c:v>3.43</c:v>
                </c:pt>
                <c:pt idx="7">
                  <c:v>9.43</c:v>
                </c:pt>
                <c:pt idx="9">
                  <c:v>2.23</c:v>
                </c:pt>
                <c:pt idx="10">
                  <c:v>10.17</c:v>
                </c:pt>
                <c:pt idx="12">
                  <c:v>2.2200000000000002</c:v>
                </c:pt>
                <c:pt idx="13">
                  <c:v>8.8000000000000007</c:v>
                </c:pt>
              </c:numCache>
            </c:numRef>
          </c:val>
          <c:extLst>
            <c:ext xmlns:c16="http://schemas.microsoft.com/office/drawing/2014/chart" uri="{C3380CC4-5D6E-409C-BE32-E72D297353CC}">
              <c16:uniqueId val="{00000029-EE62-4423-BBB0-2B5BAE535E25}"/>
            </c:ext>
          </c:extLst>
        </c:ser>
        <c:dLbls>
          <c:showLegendKey val="0"/>
          <c:showVal val="0"/>
          <c:showCatName val="0"/>
          <c:showSerName val="0"/>
          <c:showPercent val="0"/>
          <c:showBubbleSize val="0"/>
        </c:dLbls>
        <c:gapWidth val="0"/>
        <c:overlap val="100"/>
        <c:axId val="141087872"/>
        <c:axId val="141089408"/>
      </c:barChart>
      <c:catAx>
        <c:axId val="141087872"/>
        <c:scaling>
          <c:orientation val="minMax"/>
        </c:scaling>
        <c:delete val="1"/>
        <c:axPos val="b"/>
        <c:numFmt formatCode="General" sourceLinked="0"/>
        <c:majorTickMark val="out"/>
        <c:minorTickMark val="none"/>
        <c:tickLblPos val="nextTo"/>
        <c:crossAx val="141089408"/>
        <c:crosses val="autoZero"/>
        <c:auto val="1"/>
        <c:lblAlgn val="ctr"/>
        <c:lblOffset val="100"/>
        <c:noMultiLvlLbl val="0"/>
      </c:catAx>
      <c:valAx>
        <c:axId val="141089408"/>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en-US"/>
                  <a:t>Percent</a:t>
                </a:r>
              </a:p>
            </c:rich>
          </c:tx>
          <c:overlay val="0"/>
          <c:spPr>
            <a:noFill/>
            <a:ln w="25400">
              <a:noFill/>
            </a:ln>
          </c:spPr>
        </c:title>
        <c:numFmt formatCode="General"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41087872"/>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Calibri"/>
                <a:ea typeface="Calibri"/>
                <a:cs typeface="Calibri"/>
              </a:defRPr>
            </a:pPr>
            <a:r>
              <a:rPr lang="en-US"/>
              <a:t>Figure 4: The Number of Animals Submitted for Rabies Testing by County: 2017</a:t>
            </a:r>
          </a:p>
        </c:rich>
      </c:tx>
      <c:layout>
        <c:manualLayout>
          <c:xMode val="edge"/>
          <c:yMode val="edge"/>
          <c:x val="0.10706587375878715"/>
          <c:y val="2.4205774278215221E-2"/>
        </c:manualLayout>
      </c:layout>
      <c:overlay val="0"/>
      <c:spPr>
        <a:noFill/>
        <a:ln w="25400">
          <a:noFill/>
        </a:ln>
      </c:spPr>
    </c:title>
    <c:autoTitleDeleted val="0"/>
    <c:plotArea>
      <c:layout/>
      <c:barChart>
        <c:barDir val="col"/>
        <c:grouping val="clustered"/>
        <c:varyColors val="0"/>
        <c:ser>
          <c:idx val="0"/>
          <c:order val="0"/>
          <c:invertIfNegative val="0"/>
          <c:cat>
            <c:strRef>
              <c:f>'[2017 data.xls]Table 4'!$A$1:$A$14</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'[2017 data.xls]Table 4'!$B$1:$B$14</c:f>
              <c:numCache>
                <c:formatCode>General</c:formatCode>
                <c:ptCount val="14"/>
                <c:pt idx="0">
                  <c:v>96</c:v>
                </c:pt>
                <c:pt idx="1">
                  <c:v>76</c:v>
                </c:pt>
                <c:pt idx="2">
                  <c:v>164</c:v>
                </c:pt>
                <c:pt idx="3">
                  <c:v>6</c:v>
                </c:pt>
                <c:pt idx="4">
                  <c:v>287</c:v>
                </c:pt>
                <c:pt idx="5">
                  <c:v>46</c:v>
                </c:pt>
                <c:pt idx="6">
                  <c:v>141</c:v>
                </c:pt>
                <c:pt idx="7">
                  <c:v>77</c:v>
                </c:pt>
                <c:pt idx="8">
                  <c:v>524</c:v>
                </c:pt>
                <c:pt idx="9">
                  <c:v>1</c:v>
                </c:pt>
                <c:pt idx="10">
                  <c:v>277</c:v>
                </c:pt>
                <c:pt idx="11">
                  <c:v>200</c:v>
                </c:pt>
                <c:pt idx="12">
                  <c:v>191</c:v>
                </c:pt>
                <c:pt idx="13">
                  <c:v>366</c:v>
                </c:pt>
              </c:numCache>
            </c:numRef>
          </c:val>
          <c:extLst>
            <c:ext xmlns:c16="http://schemas.microsoft.com/office/drawing/2014/chart" uri="{C3380CC4-5D6E-409C-BE32-E72D297353CC}">
              <c16:uniqueId val="{00000000-49E1-4F50-B252-6378994A5306}"/>
            </c:ext>
          </c:extLst>
        </c:ser>
        <c:dLbls>
          <c:showLegendKey val="0"/>
          <c:showVal val="0"/>
          <c:showCatName val="0"/>
          <c:showSerName val="0"/>
          <c:showPercent val="0"/>
          <c:showBubbleSize val="0"/>
        </c:dLbls>
        <c:gapWidth val="16"/>
        <c:axId val="141055872"/>
        <c:axId val="141058432"/>
      </c:barChart>
      <c:catAx>
        <c:axId val="141055872"/>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en-US"/>
          </a:p>
        </c:txPr>
        <c:crossAx val="141058432"/>
        <c:crosses val="autoZero"/>
        <c:auto val="1"/>
        <c:lblAlgn val="ctr"/>
        <c:lblOffset val="100"/>
        <c:noMultiLvlLbl val="0"/>
      </c:catAx>
      <c:valAx>
        <c:axId val="141058432"/>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en-US"/>
                  <a:t>Total Specimens Submitted</a:t>
                </a:r>
              </a:p>
            </c:rich>
          </c:tx>
          <c:overlay val="0"/>
          <c:spPr>
            <a:noFill/>
            <a:ln w="25400">
              <a:noFill/>
            </a:ln>
          </c:spPr>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41055872"/>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0.08135</cdr:x>
      <cdr:y>0.79001</cdr:y>
    </cdr:from>
    <cdr:to>
      <cdr:x>0.21548</cdr:x>
      <cdr:y>0.84079</cdr:y>
    </cdr:to>
    <cdr:sp macro="" textlink="">
      <cdr:nvSpPr>
        <cdr:cNvPr id="2" name="TextBox 1"/>
        <cdr:cNvSpPr txBox="1"/>
      </cdr:nvSpPr>
      <cdr:spPr>
        <a:xfrm xmlns:a="http://schemas.openxmlformats.org/drawingml/2006/main">
          <a:off x="570320" y="3446358"/>
          <a:ext cx="940305" cy="2215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Quarter 1</a:t>
          </a:r>
        </a:p>
      </cdr:txBody>
    </cdr:sp>
  </cdr:relSizeAnchor>
  <cdr:relSizeAnchor xmlns:cdr="http://schemas.openxmlformats.org/drawingml/2006/chartDrawing">
    <cdr:from>
      <cdr:x>0.26138</cdr:x>
      <cdr:y>0.79008</cdr:y>
    </cdr:from>
    <cdr:to>
      <cdr:x>0.3955</cdr:x>
      <cdr:y>0.84087</cdr:y>
    </cdr:to>
    <cdr:sp macro="" textlink="">
      <cdr:nvSpPr>
        <cdr:cNvPr id="3" name="TextBox 1"/>
        <cdr:cNvSpPr txBox="1"/>
      </cdr:nvSpPr>
      <cdr:spPr>
        <a:xfrm xmlns:a="http://schemas.openxmlformats.org/drawingml/2006/main">
          <a:off x="1832387" y="3446677"/>
          <a:ext cx="94023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Quarter 2</a:t>
          </a:r>
        </a:p>
      </cdr:txBody>
    </cdr:sp>
  </cdr:relSizeAnchor>
  <cdr:relSizeAnchor xmlns:cdr="http://schemas.openxmlformats.org/drawingml/2006/chartDrawing">
    <cdr:from>
      <cdr:x>0.44263</cdr:x>
      <cdr:y>0.79003</cdr:y>
    </cdr:from>
    <cdr:to>
      <cdr:x>0.57676</cdr:x>
      <cdr:y>0.84082</cdr:y>
    </cdr:to>
    <cdr:sp macro="" textlink="">
      <cdr:nvSpPr>
        <cdr:cNvPr id="4" name="TextBox 1"/>
        <cdr:cNvSpPr txBox="1"/>
      </cdr:nvSpPr>
      <cdr:spPr>
        <a:xfrm xmlns:a="http://schemas.openxmlformats.org/drawingml/2006/main">
          <a:off x="3103007" y="3446445"/>
          <a:ext cx="94030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Quarter 3</a:t>
          </a:r>
        </a:p>
      </cdr:txBody>
    </cdr:sp>
  </cdr:relSizeAnchor>
  <cdr:relSizeAnchor xmlns:cdr="http://schemas.openxmlformats.org/drawingml/2006/chartDrawing">
    <cdr:from>
      <cdr:x>0.63262</cdr:x>
      <cdr:y>0.79016</cdr:y>
    </cdr:from>
    <cdr:to>
      <cdr:x>0.76675</cdr:x>
      <cdr:y>0.84095</cdr:y>
    </cdr:to>
    <cdr:sp macro="" textlink="">
      <cdr:nvSpPr>
        <cdr:cNvPr id="5" name="TextBox 1"/>
        <cdr:cNvSpPr txBox="1"/>
      </cdr:nvSpPr>
      <cdr:spPr>
        <a:xfrm xmlns:a="http://schemas.openxmlformats.org/drawingml/2006/main">
          <a:off x="4434898" y="3447041"/>
          <a:ext cx="94030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Quarter 4</a:t>
          </a:r>
        </a:p>
      </cdr:txBody>
    </cdr:sp>
  </cdr:relSizeAnchor>
  <cdr:relSizeAnchor xmlns:cdr="http://schemas.openxmlformats.org/drawingml/2006/chartDrawing">
    <cdr:from>
      <cdr:x>0.82692</cdr:x>
      <cdr:y>0.79017</cdr:y>
    </cdr:from>
    <cdr:to>
      <cdr:x>0.96104</cdr:x>
      <cdr:y>0.84096</cdr:y>
    </cdr:to>
    <cdr:sp macro="" textlink="">
      <cdr:nvSpPr>
        <cdr:cNvPr id="6" name="TextBox 1"/>
        <cdr:cNvSpPr txBox="1"/>
      </cdr:nvSpPr>
      <cdr:spPr>
        <a:xfrm xmlns:a="http://schemas.openxmlformats.org/drawingml/2006/main">
          <a:off x="5797037" y="3447085"/>
          <a:ext cx="94023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Full</a:t>
          </a:r>
          <a:r>
            <a:rPr lang="en-US" sz="1100" baseline="0"/>
            <a:t> Year</a:t>
          </a:r>
          <a:endParaRPr lang="en-US" sz="1100"/>
        </a:p>
      </cdr:txBody>
    </cdr:sp>
  </cdr:relSizeAnchor>
  <cdr:relSizeAnchor xmlns:cdr="http://schemas.openxmlformats.org/drawingml/2006/chartDrawing">
    <cdr:from>
      <cdr:x>0.87034</cdr:x>
      <cdr:y>0.26481</cdr:y>
    </cdr:from>
    <cdr:to>
      <cdr:x>0.98659</cdr:x>
      <cdr:y>0.64692</cdr:y>
    </cdr:to>
    <cdr:sp macro="" textlink="">
      <cdr:nvSpPr>
        <cdr:cNvPr id="7" name="TextBox 6"/>
        <cdr:cNvSpPr txBox="1"/>
      </cdr:nvSpPr>
      <cdr:spPr>
        <a:xfrm xmlns:a="http://schemas.openxmlformats.org/drawingml/2006/main">
          <a:off x="5562601" y="1042989"/>
          <a:ext cx="742950" cy="1504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0.84799</cdr:x>
      <cdr:y>0.22854</cdr:y>
    </cdr:from>
    <cdr:to>
      <cdr:x>0.97765</cdr:x>
      <cdr:y>0.62757</cdr:y>
    </cdr:to>
    <cdr:sp macro="" textlink="">
      <cdr:nvSpPr>
        <cdr:cNvPr id="8" name="TextBox 7"/>
        <cdr:cNvSpPr txBox="1"/>
      </cdr:nvSpPr>
      <cdr:spPr>
        <a:xfrm xmlns:a="http://schemas.openxmlformats.org/drawingml/2006/main">
          <a:off x="5419726" y="900114"/>
          <a:ext cx="828675" cy="15716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0.24368</cdr:x>
      <cdr:y>0.86549</cdr:y>
    </cdr:from>
    <cdr:to>
      <cdr:x>0.44837</cdr:x>
      <cdr:y>0.97946</cdr:y>
    </cdr:to>
    <cdr:sp macro="" textlink="">
      <cdr:nvSpPr>
        <cdr:cNvPr id="279560" name="TextBox 1"/>
        <cdr:cNvSpPr txBox="1">
          <a:spLocks xmlns:a="http://schemas.openxmlformats.org/drawingml/2006/main" noChangeArrowheads="1"/>
        </cdr:cNvSpPr>
      </cdr:nvSpPr>
      <cdr:spPr bwMode="auto">
        <a:xfrm xmlns:a="http://schemas.openxmlformats.org/drawingml/2006/main">
          <a:off x="1708313" y="3775647"/>
          <a:ext cx="1434937" cy="49718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7432" rIns="0" bIns="0" anchor="t" upright="1"/>
        <a:lstStyle xmlns:a="http://schemas.openxmlformats.org/drawingml/2006/main"/>
        <a:p xmlns:a="http://schemas.openxmlformats.org/drawingml/2006/main">
          <a:pPr algn="l" rtl="0">
            <a:defRPr sz="1000"/>
          </a:pPr>
          <a:r>
            <a:rPr lang="en-US" sz="1100" b="0" i="0" u="none" strike="noStrike" baseline="0">
              <a:solidFill>
                <a:srgbClr val="000000"/>
              </a:solidFill>
              <a:latin typeface="Calibri"/>
            </a:rPr>
            <a:t>Terrestrial - positive</a:t>
          </a:r>
        </a:p>
        <a:p xmlns:a="http://schemas.openxmlformats.org/drawingml/2006/main">
          <a:pPr algn="l" rtl="0">
            <a:defRPr sz="1000"/>
          </a:pPr>
          <a:r>
            <a:rPr lang="en-US" sz="1100" b="0" i="0" u="none" strike="noStrike" baseline="0">
              <a:solidFill>
                <a:srgbClr val="000000"/>
              </a:solidFill>
              <a:latin typeface="Calibri"/>
            </a:rPr>
            <a:t>Terrestrial - unsat                             </a:t>
          </a:r>
        </a:p>
      </cdr:txBody>
    </cdr:sp>
  </cdr:relSizeAnchor>
  <cdr:relSizeAnchor xmlns:cdr="http://schemas.openxmlformats.org/drawingml/2006/chartDrawing">
    <cdr:from>
      <cdr:x>0.22364</cdr:x>
      <cdr:y>0.87946</cdr:y>
    </cdr:from>
    <cdr:to>
      <cdr:x>0.23769</cdr:x>
      <cdr:y>0.89857</cdr:y>
    </cdr:to>
    <cdr:sp macro="" textlink="">
      <cdr:nvSpPr>
        <cdr:cNvPr id="10" name="Rectangle 9"/>
        <cdr:cNvSpPr/>
      </cdr:nvSpPr>
      <cdr:spPr>
        <a:xfrm xmlns:a="http://schemas.openxmlformats.org/drawingml/2006/main">
          <a:off x="1567791" y="3836604"/>
          <a:ext cx="98496" cy="83367"/>
        </a:xfrm>
        <a:prstGeom xmlns:a="http://schemas.openxmlformats.org/drawingml/2006/main" prst="rect">
          <a:avLst/>
        </a:prstGeom>
        <a:solidFill xmlns:a="http://schemas.openxmlformats.org/drawingml/2006/main">
          <a:schemeClr val="accent1">
            <a:lumMod val="7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0.22555</cdr:x>
      <cdr:y>0.91947</cdr:y>
    </cdr:from>
    <cdr:to>
      <cdr:x>0.2396</cdr:x>
      <cdr:y>0.93859</cdr:y>
    </cdr:to>
    <cdr:sp macro="" textlink="">
      <cdr:nvSpPr>
        <cdr:cNvPr id="12" name="Rectangle 11"/>
        <cdr:cNvSpPr/>
      </cdr:nvSpPr>
      <cdr:spPr>
        <a:xfrm xmlns:a="http://schemas.openxmlformats.org/drawingml/2006/main">
          <a:off x="1581162" y="4011161"/>
          <a:ext cx="98496" cy="83410"/>
        </a:xfrm>
        <a:prstGeom xmlns:a="http://schemas.openxmlformats.org/drawingml/2006/main" prst="rect">
          <a:avLst/>
        </a:prstGeom>
        <a:pattFill xmlns:a="http://schemas.openxmlformats.org/drawingml/2006/main" prst="ltDnDiag">
          <a:fgClr>
            <a:schemeClr val="accent1">
              <a:lumMod val="75000"/>
            </a:schemeClr>
          </a:fgClr>
          <a:bgClr>
            <a:schemeClr val="bg1"/>
          </a:bgClr>
        </a:patt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0.62926</cdr:x>
      <cdr:y>0.85306</cdr:y>
    </cdr:from>
    <cdr:to>
      <cdr:x>0.81386</cdr:x>
      <cdr:y>0.97055</cdr:y>
    </cdr:to>
    <cdr:sp macro="" textlink="">
      <cdr:nvSpPr>
        <cdr:cNvPr id="13" name="TextBox 2"/>
        <cdr:cNvSpPr txBox="1"/>
      </cdr:nvSpPr>
      <cdr:spPr>
        <a:xfrm xmlns:a="http://schemas.openxmlformats.org/drawingml/2006/main">
          <a:off x="4411389" y="3721449"/>
          <a:ext cx="1294086" cy="51254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Bat - positive</a:t>
          </a:r>
        </a:p>
        <a:p xmlns:a="http://schemas.openxmlformats.org/drawingml/2006/main">
          <a:r>
            <a:rPr lang="en-US" sz="1100"/>
            <a:t>Bat - unsat                             </a:t>
          </a:r>
        </a:p>
      </cdr:txBody>
    </cdr:sp>
  </cdr:relSizeAnchor>
  <cdr:relSizeAnchor xmlns:cdr="http://schemas.openxmlformats.org/drawingml/2006/chartDrawing">
    <cdr:from>
      <cdr:x>0.62351</cdr:x>
      <cdr:y>0.92008</cdr:y>
    </cdr:from>
    <cdr:to>
      <cdr:x>0.63755</cdr:x>
      <cdr:y>0.93919</cdr:y>
    </cdr:to>
    <cdr:sp macro="" textlink="">
      <cdr:nvSpPr>
        <cdr:cNvPr id="14" name="Rectangle 13"/>
        <cdr:cNvSpPr/>
      </cdr:nvSpPr>
      <cdr:spPr>
        <a:xfrm xmlns:a="http://schemas.openxmlformats.org/drawingml/2006/main">
          <a:off x="4371061" y="4013822"/>
          <a:ext cx="98426" cy="83366"/>
        </a:xfrm>
        <a:prstGeom xmlns:a="http://schemas.openxmlformats.org/drawingml/2006/main" prst="rect">
          <a:avLst/>
        </a:prstGeom>
        <a:pattFill xmlns:a="http://schemas.openxmlformats.org/drawingml/2006/main" prst="ltDnDiag">
          <a:fgClr>
            <a:schemeClr val="accent2">
              <a:lumMod val="75000"/>
            </a:schemeClr>
          </a:fgClr>
          <a:bgClr>
            <a:schemeClr val="bg1"/>
          </a:bgClr>
        </a:patt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0.62079</cdr:x>
      <cdr:y>0.87696</cdr:y>
    </cdr:from>
    <cdr:to>
      <cdr:x>0.63483</cdr:x>
      <cdr:y>0.89607</cdr:y>
    </cdr:to>
    <cdr:sp macro="" textlink="">
      <cdr:nvSpPr>
        <cdr:cNvPr id="15" name="Rectangle 14"/>
        <cdr:cNvSpPr/>
      </cdr:nvSpPr>
      <cdr:spPr>
        <a:xfrm xmlns:a="http://schemas.openxmlformats.org/drawingml/2006/main">
          <a:off x="4352011" y="3825712"/>
          <a:ext cx="98426" cy="83366"/>
        </a:xfrm>
        <a:prstGeom xmlns:a="http://schemas.openxmlformats.org/drawingml/2006/main" prst="rect">
          <a:avLst/>
        </a:prstGeom>
        <a:solidFill xmlns:a="http://schemas.openxmlformats.org/drawingml/2006/main">
          <a:schemeClr val="accent2">
            <a:lumMod val="7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739B0-8A2B-47EB-BE22-6FBB20DA8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1602</Words>
  <Characters>9133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A Quarterly Summary of Rabies in Massachusetts, 2007</vt:lpstr>
    </vt:vector>
  </TitlesOfParts>
  <Company>EOHHS</Company>
  <LinksUpToDate>false</LinksUpToDate>
  <CharactersWithSpaces>10714</CharactersWithSpaces>
  <SharedDoc>false</SharedDoc>
  <HLinks>
    <vt:vector size="6" baseType="variant">
      <vt:variant>
        <vt:i4>8323114</vt:i4>
      </vt:variant>
      <vt:variant>
        <vt:i4>0</vt:i4>
      </vt:variant>
      <vt:variant>
        <vt:i4>0</vt:i4>
      </vt:variant>
      <vt:variant>
        <vt:i4>5</vt:i4>
      </vt:variant>
      <vt:variant>
        <vt:lpwstr>http://www.mass.gov/dph/rabies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Quarterly Summary of Rabies in Massachusetts, 2007</dc:title>
  <dc:subject/>
  <dc:creator>MCumming</dc:creator>
  <cp:keywords/>
  <cp:lastModifiedBy>CMBrown</cp:lastModifiedBy>
  <cp:revision>2</cp:revision>
  <cp:lastPrinted>2017-01-19T20:42:00Z</cp:lastPrinted>
  <dcterms:created xsi:type="dcterms:W3CDTF">2018-05-08T23:28:00Z</dcterms:created>
  <dcterms:modified xsi:type="dcterms:W3CDTF">2018-05-08T23:28:00Z</dcterms:modified>
</cp:coreProperties>
</file>