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A626A" w14:textId="77777777" w:rsidR="00D51C0B" w:rsidRDefault="00D51C0B" w:rsidP="00D51C0B">
      <w:pPr>
        <w:pStyle w:val="NormalWeb"/>
        <w:spacing w:after="120" w:afterAutospacing="0"/>
        <w:rPr>
          <w:color w:val="1F1F1F"/>
        </w:rPr>
      </w:pPr>
      <w:r>
        <w:rPr>
          <w:color w:val="1F1F1F"/>
        </w:rPr>
        <w:t>May 21, 2026</w:t>
      </w:r>
    </w:p>
    <w:p w14:paraId="491E4FC1" w14:textId="77777777" w:rsidR="00D51C0B" w:rsidRDefault="00D51C0B" w:rsidP="00D51C0B">
      <w:pPr>
        <w:pStyle w:val="NormalWeb"/>
        <w:spacing w:after="120" w:afterAutospacing="0"/>
        <w:rPr>
          <w:color w:val="1F1F1F"/>
        </w:rPr>
      </w:pPr>
      <w:r>
        <w:rPr>
          <w:color w:val="1F1F1F"/>
        </w:rPr>
        <w:t>Department of Public Health</w:t>
      </w:r>
    </w:p>
    <w:p w14:paraId="2AE67163" w14:textId="77777777" w:rsidR="00D51C0B" w:rsidRDefault="00D51C0B" w:rsidP="00D51C0B">
      <w:pPr>
        <w:pStyle w:val="NormalWeb"/>
        <w:spacing w:after="120" w:afterAutospacing="0"/>
        <w:rPr>
          <w:color w:val="1F1F1F"/>
        </w:rPr>
      </w:pPr>
      <w:r>
        <w:rPr>
          <w:color w:val="1F1F1F"/>
        </w:rPr>
        <w:t>Commonwealth of Massachusetts</w:t>
      </w:r>
    </w:p>
    <w:p w14:paraId="6598A75F" w14:textId="77777777" w:rsidR="00D51C0B" w:rsidRDefault="00D51C0B" w:rsidP="00D51C0B">
      <w:pPr>
        <w:pStyle w:val="NormalWeb"/>
        <w:spacing w:after="0" w:afterAutospacing="0"/>
        <w:rPr>
          <w:color w:val="1F1F1F"/>
        </w:rPr>
      </w:pPr>
      <w:r>
        <w:rPr>
          <w:b/>
          <w:bCs/>
          <w:color w:val="1F1F1F"/>
          <w:bdr w:val="none" w:sz="0" w:space="0" w:color="auto" w:frame="1"/>
        </w:rPr>
        <w:t>RE: 105 CMR 272: Department of Public Health Care of Infants with Prenatal Substance Exposure</w:t>
      </w:r>
    </w:p>
    <w:p w14:paraId="2C59E17F" w14:textId="77777777" w:rsidR="00D51C0B" w:rsidRDefault="00D51C0B" w:rsidP="00D51C0B">
      <w:pPr>
        <w:pStyle w:val="NormalWeb"/>
        <w:spacing w:after="120" w:afterAutospacing="0"/>
        <w:rPr>
          <w:color w:val="1F1F1F"/>
        </w:rPr>
      </w:pPr>
      <w:r>
        <w:rPr>
          <w:color w:val="1F1F1F"/>
        </w:rPr>
        <w:t>To the Members of the Department of Public Health,</w:t>
      </w:r>
    </w:p>
    <w:p w14:paraId="0F2C93E4" w14:textId="77777777" w:rsidR="00D51C0B" w:rsidRDefault="00D51C0B" w:rsidP="00D51C0B">
      <w:pPr>
        <w:pStyle w:val="NormalWeb"/>
        <w:spacing w:after="0" w:afterAutospacing="0"/>
        <w:rPr>
          <w:color w:val="1F1F1F"/>
        </w:rPr>
      </w:pPr>
      <w:r>
        <w:rPr>
          <w:color w:val="1F1F1F"/>
          <w:bdr w:val="none" w:sz="0" w:space="0" w:color="auto" w:frame="1"/>
        </w:rPr>
        <w:t>I am writing to submit my formal testimony regarding the proposed regulations under 105 CMR 272.000. As a Family Nurse Practitioner (FNP) specializing in addiction medicine with extensive clinical experience working alongside multidisciplinary teams, I am intimately familiar with the intersection of healthcare, perinatal substance use, and patient trust. I wish to firmly echo all the vital sentiments and serious concerns put forward in the testimony of my colleague, Josefa Scherer, MPH.</w:t>
      </w:r>
    </w:p>
    <w:p w14:paraId="3C3241A2" w14:textId="77777777" w:rsidR="00D51C0B" w:rsidRDefault="00D51C0B" w:rsidP="00D51C0B">
      <w:pPr>
        <w:pStyle w:val="NormalWeb"/>
        <w:spacing w:after="0" w:afterAutospacing="0"/>
        <w:rPr>
          <w:color w:val="1F1F1F"/>
        </w:rPr>
      </w:pPr>
      <w:r>
        <w:rPr>
          <w:color w:val="1F1F1F"/>
          <w:bdr w:val="none" w:sz="0" w:space="0" w:color="auto" w:frame="1"/>
        </w:rPr>
        <w:t>The recent, hard-won legislative shift in Massachusetts that divorced prenatal substance exposure from automatic child welfare reporting has been an invaluable milestone. This change has finally allowed clinicians to provide high-quality, compassionate care while giving families the safety to hope and plan for their futures without looming, immediate panic.</w:t>
      </w:r>
    </w:p>
    <w:p w14:paraId="6F0CB958" w14:textId="77777777" w:rsidR="00D51C0B" w:rsidRDefault="00D51C0B" w:rsidP="00D51C0B">
      <w:pPr>
        <w:pStyle w:val="NormalWeb"/>
        <w:spacing w:after="0" w:afterAutospacing="0"/>
        <w:rPr>
          <w:color w:val="1F1F1F"/>
        </w:rPr>
      </w:pPr>
      <w:r>
        <w:rPr>
          <w:color w:val="1F1F1F"/>
          <w:bdr w:val="none" w:sz="0" w:space="0" w:color="auto" w:frame="1"/>
        </w:rPr>
        <w:t xml:space="preserve">However, the Department's current proposal to establish an </w:t>
      </w:r>
      <w:r>
        <w:rPr>
          <w:i/>
          <w:iCs/>
          <w:color w:val="1F1F1F"/>
          <w:bdr w:val="none" w:sz="0" w:space="0" w:color="auto" w:frame="1"/>
        </w:rPr>
        <w:t>identified</w:t>
      </w:r>
      <w:r>
        <w:rPr>
          <w:color w:val="1F1F1F"/>
          <w:bdr w:val="none" w:sz="0" w:space="0" w:color="auto" w:frame="1"/>
        </w:rPr>
        <w:t xml:space="preserve"> state reporting database threatens to actively unravel this progress. In my clinical specialty, the evidence is clear: </w:t>
      </w:r>
      <w:r>
        <w:rPr>
          <w:b/>
          <w:bCs/>
          <w:color w:val="1F1F1F"/>
          <w:bdr w:val="none" w:sz="0" w:space="0" w:color="auto" w:frame="1"/>
        </w:rPr>
        <w:t>reporting parents to the Department of Children and Families (DCF) or creating mandatory surveillance registries for prenatal substance use does nothing to improve health or social outcomes for parents or children.</w:t>
      </w:r>
      <w:r>
        <w:rPr>
          <w:color w:val="1F1F1F"/>
          <w:bdr w:val="none" w:sz="0" w:space="0" w:color="auto" w:frame="1"/>
        </w:rPr>
        <w:t xml:space="preserve"> Instead, making DCF referrals mandatory or introducing statewide tracking systems puts vulnerable children and families at direct risk for unnecessary government involvement, forced family separation, and lifelong trauma.</w:t>
      </w:r>
    </w:p>
    <w:p w14:paraId="562F4879" w14:textId="77777777" w:rsidR="00D51C0B" w:rsidRDefault="00D51C0B" w:rsidP="00D51C0B">
      <w:pPr>
        <w:pStyle w:val="NormalWeb"/>
        <w:spacing w:after="120" w:afterAutospacing="0"/>
        <w:rPr>
          <w:color w:val="1F1F1F"/>
        </w:rPr>
      </w:pPr>
      <w:r>
        <w:rPr>
          <w:color w:val="1F1F1F"/>
        </w:rPr>
        <w:t>From a medical and behavioral health standpoint, the proposed regulation introduces several critical consequences:</w:t>
      </w:r>
    </w:p>
    <w:p w14:paraId="6EFC2C2F" w14:textId="77777777" w:rsidR="00D51C0B" w:rsidRPr="00D51C0B" w:rsidRDefault="00D51C0B" w:rsidP="00D51C0B">
      <w:pPr>
        <w:pStyle w:val="NormalWeb"/>
        <w:numPr>
          <w:ilvl w:val="0"/>
          <w:numId w:val="1"/>
        </w:numPr>
        <w:spacing w:after="0" w:afterAutospacing="0"/>
        <w:ind w:left="0"/>
        <w:rPr>
          <w:color w:val="1F1F1F"/>
        </w:rPr>
      </w:pPr>
      <w:r>
        <w:rPr>
          <w:b/>
          <w:bCs/>
          <w:color w:val="1F1F1F"/>
          <w:bdr w:val="none" w:sz="0" w:space="0" w:color="auto" w:frame="1"/>
        </w:rPr>
        <w:t>Destruction of Clinical Trust and Avoidance of Care:</w:t>
      </w:r>
      <w:r>
        <w:rPr>
          <w:color w:val="1F1F1F"/>
          <w:bdr w:val="none" w:sz="0" w:space="0" w:color="auto" w:frame="1"/>
        </w:rPr>
        <w:t xml:space="preserve"> The single greatest protective success of moving away from automatic reporting is that pregnant people no longer feel forced to withhold medically relevant information or avoid care entirely just to preserve their privacy. Forcing an identified reporting requirement will place families right back under the lens of systemic surveillance. When patients know their names are being funneled to a state registry, they simply stop showing up for prenatal care.</w:t>
      </w:r>
    </w:p>
    <w:p w14:paraId="5B380C4C" w14:textId="77777777" w:rsidR="00D51C0B" w:rsidRPr="00D51C0B" w:rsidRDefault="00D51C0B" w:rsidP="00D51C0B">
      <w:pPr>
        <w:pStyle w:val="NormalWeb"/>
        <w:numPr>
          <w:ilvl w:val="0"/>
          <w:numId w:val="1"/>
        </w:numPr>
        <w:spacing w:after="0" w:afterAutospacing="0"/>
        <w:ind w:left="0"/>
        <w:rPr>
          <w:color w:val="1F1F1F"/>
        </w:rPr>
      </w:pPr>
      <w:r>
        <w:rPr>
          <w:b/>
          <w:bCs/>
          <w:color w:val="1F1F1F"/>
          <w:bdr w:val="none" w:sz="0" w:space="0" w:color="auto" w:frame="1"/>
        </w:rPr>
        <w:t>Disproportionate Systematic Harm:</w:t>
      </w:r>
      <w:r>
        <w:rPr>
          <w:color w:val="1F1F1F"/>
          <w:bdr w:val="none" w:sz="0" w:space="0" w:color="auto" w:frame="1"/>
        </w:rPr>
        <w:t xml:space="preserve"> We must acknowledge the reality that child welfare systems disproportionately and negatively impact Black, Brown, and lower-income families. This database will amplify those systemic inequities under the guise of tracking accountability.</w:t>
      </w:r>
    </w:p>
    <w:p w14:paraId="103C97F4" w14:textId="77777777" w:rsidR="00D51C0B" w:rsidRPr="00D51C0B" w:rsidRDefault="00D51C0B" w:rsidP="00D51C0B">
      <w:pPr>
        <w:pStyle w:val="NormalWeb"/>
        <w:numPr>
          <w:ilvl w:val="0"/>
          <w:numId w:val="1"/>
        </w:numPr>
        <w:spacing w:after="0" w:afterAutospacing="0"/>
        <w:ind w:left="0"/>
        <w:rPr>
          <w:color w:val="1F1F1F"/>
        </w:rPr>
      </w:pPr>
      <w:r>
        <w:rPr>
          <w:b/>
          <w:bCs/>
          <w:color w:val="1F1F1F"/>
          <w:bdr w:val="none" w:sz="0" w:space="0" w:color="auto" w:frame="1"/>
        </w:rPr>
        <w:lastRenderedPageBreak/>
        <w:t>Disruption of Active Family Care Planning:</w:t>
      </w:r>
      <w:r>
        <w:rPr>
          <w:color w:val="1F1F1F"/>
          <w:bdr w:val="none" w:sz="0" w:space="0" w:color="auto" w:frame="1"/>
        </w:rPr>
        <w:t xml:space="preserve"> As healthcare providers, we already conduct universal comprehensive verbal health screenings during the prenatal period and upon labor and delivery admission. When a pregnant patient discloses cannabis or other drug use, intimate partner violence, or food insecurity, we actively engage them in building trust, treatment plans, and safety goals </w:t>
      </w:r>
      <w:r>
        <w:rPr>
          <w:i/>
          <w:iCs/>
          <w:color w:val="1F1F1F"/>
          <w:bdr w:val="none" w:sz="0" w:space="0" w:color="auto" w:frame="1"/>
        </w:rPr>
        <w:t>together</w:t>
      </w:r>
      <w:r>
        <w:rPr>
          <w:color w:val="1F1F1F"/>
          <w:bdr w:val="none" w:sz="0" w:space="0" w:color="auto" w:frame="1"/>
        </w:rPr>
        <w:t>. Weaponizing this disclosure into a statewide data tracking system will severely reduce the likelihood that a patient will ever dare to be honest with their care team, directly undermining the clinical indication for screening in the first place.</w:t>
      </w:r>
    </w:p>
    <w:p w14:paraId="7F9E2508" w14:textId="77777777" w:rsidR="00D51C0B" w:rsidRDefault="00D51C0B" w:rsidP="00D51C0B">
      <w:pPr>
        <w:pStyle w:val="NormalWeb"/>
        <w:numPr>
          <w:ilvl w:val="0"/>
          <w:numId w:val="1"/>
        </w:numPr>
        <w:spacing w:after="0" w:afterAutospacing="0"/>
        <w:ind w:left="0"/>
        <w:rPr>
          <w:color w:val="1F1F1F"/>
        </w:rPr>
      </w:pPr>
      <w:r>
        <w:rPr>
          <w:b/>
          <w:bCs/>
          <w:color w:val="1F1F1F"/>
          <w:bdr w:val="none" w:sz="0" w:space="0" w:color="auto" w:frame="1"/>
        </w:rPr>
        <w:t>Flawed Bioethical Framework and Privacy Concerns:</w:t>
      </w:r>
      <w:r>
        <w:rPr>
          <w:color w:val="1F1F1F"/>
          <w:bdr w:val="none" w:sz="0" w:space="0" w:color="auto" w:frame="1"/>
        </w:rPr>
        <w:t xml:space="preserve"> The standard bioethical demands for public health data collection are not met here. Tasking clinical providers with convincing families—who already face high risks of criminalization and coercion—to trust a government-sponsored identifiable database is a severe incursion into the therapeutic relationship.</w:t>
      </w:r>
    </w:p>
    <w:p w14:paraId="70FFA95A" w14:textId="77777777" w:rsidR="00D51C0B" w:rsidRDefault="00D51C0B" w:rsidP="00D51C0B">
      <w:pPr>
        <w:pStyle w:val="NormalWeb"/>
        <w:spacing w:after="0" w:afterAutospacing="0"/>
        <w:rPr>
          <w:color w:val="1F1F1F"/>
        </w:rPr>
      </w:pPr>
      <w:r>
        <w:rPr>
          <w:color w:val="1F1F1F"/>
          <w:bdr w:val="none" w:sz="0" w:space="0" w:color="auto" w:frame="1"/>
        </w:rPr>
        <w:t xml:space="preserve">It is absolutely imperative that our public health frameworks focus on working collaboratively </w:t>
      </w:r>
      <w:r>
        <w:rPr>
          <w:i/>
          <w:iCs/>
          <w:color w:val="1F1F1F"/>
          <w:bdr w:val="none" w:sz="0" w:space="0" w:color="auto" w:frame="1"/>
        </w:rPr>
        <w:t>with</w:t>
      </w:r>
      <w:r>
        <w:rPr>
          <w:color w:val="1F1F1F"/>
          <w:bdr w:val="none" w:sz="0" w:space="0" w:color="auto" w:frame="1"/>
        </w:rPr>
        <w:t xml:space="preserve"> parents and families to meet crucial safety goals. This cannot happen without preserving absolute clinical trust between patients and all of their care providers.</w:t>
      </w:r>
    </w:p>
    <w:p w14:paraId="1B10CEDE" w14:textId="77777777" w:rsidR="00D51C0B" w:rsidRDefault="00D51C0B" w:rsidP="00D51C0B">
      <w:pPr>
        <w:pStyle w:val="NormalWeb"/>
        <w:spacing w:after="0" w:afterAutospacing="0"/>
        <w:rPr>
          <w:color w:val="1F1F1F"/>
        </w:rPr>
      </w:pPr>
      <w:r>
        <w:rPr>
          <w:color w:val="1F1F1F"/>
          <w:bdr w:val="none" w:sz="0" w:space="0" w:color="auto" w:frame="1"/>
        </w:rPr>
        <w:t>I strongly urge the Department to reconsider this mandatory identifiable database and shift toward a de-identified system. We cannot hold systems or providers accountable on the backs of vulnerable families, nor can we allow data collection goals to terrify pregnant individuals away from the life-saving healthcare they and their children deserve.</w:t>
      </w:r>
    </w:p>
    <w:p w14:paraId="6EDCE726" w14:textId="77777777" w:rsidR="00D51C0B" w:rsidRDefault="00D51C0B" w:rsidP="00D51C0B">
      <w:pPr>
        <w:pStyle w:val="NormalWeb"/>
        <w:spacing w:after="0" w:afterAutospacing="0"/>
        <w:rPr>
          <w:color w:val="1F1F1F"/>
        </w:rPr>
      </w:pPr>
      <w:r>
        <w:rPr>
          <w:color w:val="1F1F1F"/>
          <w:bdr w:val="none" w:sz="0" w:space="0" w:color="auto" w:frame="1"/>
        </w:rPr>
        <w:t>Thank you for the opportunity to provide public comment on this critical regulatory matter.</w:t>
      </w:r>
    </w:p>
    <w:p w14:paraId="2B9C881B" w14:textId="77777777" w:rsidR="00D51C0B" w:rsidRDefault="00D51C0B" w:rsidP="00D51C0B">
      <w:pPr>
        <w:pStyle w:val="NormalWeb"/>
        <w:spacing w:after="120" w:afterAutospacing="0"/>
        <w:rPr>
          <w:color w:val="1F1F1F"/>
        </w:rPr>
      </w:pPr>
      <w:r>
        <w:rPr>
          <w:color w:val="1F1F1F"/>
        </w:rPr>
        <w:t>Sincerely,</w:t>
      </w:r>
    </w:p>
    <w:p w14:paraId="2F1E2B7B" w14:textId="77777777" w:rsidR="00D51C0B" w:rsidRDefault="00D51C0B" w:rsidP="00D51C0B">
      <w:pPr>
        <w:pStyle w:val="NormalWeb"/>
        <w:spacing w:after="0" w:afterAutospacing="0"/>
        <w:rPr>
          <w:color w:val="1F1F1F"/>
          <w:bdr w:val="none" w:sz="0" w:space="0" w:color="auto" w:frame="1"/>
        </w:rPr>
      </w:pPr>
      <w:r>
        <w:rPr>
          <w:noProof/>
          <w:color w:val="1F1F1F"/>
        </w:rPr>
        <mc:AlternateContent>
          <mc:Choice Requires="wpi">
            <w:drawing>
              <wp:anchor distT="0" distB="0" distL="114300" distR="114300" simplePos="0" relativeHeight="251659264" behindDoc="0" locked="0" layoutInCell="1" allowOverlap="1" wp14:anchorId="47273706" wp14:editId="4676C116">
                <wp:simplePos x="0" y="0"/>
                <wp:positionH relativeFrom="column">
                  <wp:posOffset>-712500</wp:posOffset>
                </wp:positionH>
                <wp:positionV relativeFrom="paragraph">
                  <wp:posOffset>-310540</wp:posOffset>
                </wp:positionV>
                <wp:extent cx="1827720" cy="1260000"/>
                <wp:effectExtent l="38100" t="57150" r="20320" b="7366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827720" cy="1260000"/>
                      </w14:xfrm>
                    </w14:contentPart>
                  </a:graphicData>
                </a:graphic>
              </wp:anchor>
            </w:drawing>
          </mc:Choice>
          <mc:Fallback>
            <w:pict>
              <v:shapetype w14:anchorId="626F2B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7.5pt;margin-top:-25.85pt;width:146.7pt;height:10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">
                <v:imagedata r:id="rId9" o:title=""/>
              </v:shape>
            </w:pict>
          </mc:Fallback>
        </mc:AlternateContent>
      </w:r>
    </w:p>
    <w:p w14:paraId="3376E5F3" w14:textId="77777777" w:rsidR="00D51C0B" w:rsidRDefault="00D51C0B" w:rsidP="00D51C0B">
      <w:pPr>
        <w:pStyle w:val="NormalWeb"/>
        <w:spacing w:after="0" w:afterAutospacing="0"/>
        <w:rPr>
          <w:color w:val="1F1F1F"/>
          <w:bdr w:val="none" w:sz="0" w:space="0" w:color="auto" w:frame="1"/>
        </w:rPr>
      </w:pPr>
    </w:p>
    <w:p w14:paraId="73607411" w14:textId="77777777" w:rsidR="00D51C0B" w:rsidRDefault="00D51C0B" w:rsidP="00D51C0B">
      <w:pPr>
        <w:pStyle w:val="NormalWeb"/>
        <w:spacing w:after="0" w:afterAutospacing="0"/>
        <w:rPr>
          <w:color w:val="1F1F1F"/>
          <w:bdr w:val="none" w:sz="0" w:space="0" w:color="auto" w:frame="1"/>
        </w:rPr>
      </w:pPr>
    </w:p>
    <w:p w14:paraId="56519361" w14:textId="77777777" w:rsidR="00D51C0B" w:rsidRDefault="00D51C0B" w:rsidP="00D51C0B">
      <w:pPr>
        <w:pStyle w:val="NormalWeb"/>
        <w:spacing w:after="0" w:afterAutospacing="0"/>
        <w:rPr>
          <w:color w:val="1F1F1F"/>
        </w:rPr>
      </w:pPr>
      <w:bookmarkStart w:id="0" w:name="_GoBack"/>
      <w:bookmarkEnd w:id="0"/>
      <w:r>
        <w:rPr>
          <w:color w:val="1F1F1F"/>
          <w:bdr w:val="none" w:sz="0" w:space="0" w:color="auto" w:frame="1"/>
        </w:rPr>
        <w:t xml:space="preserve">Rachel Katz, FNP-BC </w:t>
      </w:r>
    </w:p>
    <w:p w14:paraId="128FDCF6" w14:textId="77777777" w:rsidR="00D51C0B" w:rsidRDefault="00D51C0B" w:rsidP="00D51C0B">
      <w:pPr>
        <w:pStyle w:val="NormalWeb"/>
        <w:spacing w:after="0" w:afterAutospacing="0"/>
        <w:rPr>
          <w:color w:val="1F1F1F"/>
        </w:rPr>
      </w:pPr>
      <w:r>
        <w:rPr>
          <w:color w:val="1F1F1F"/>
          <w:bdr w:val="none" w:sz="0" w:space="0" w:color="auto" w:frame="1"/>
        </w:rPr>
        <w:t xml:space="preserve">rachelekatz@gmail.com </w:t>
      </w:r>
    </w:p>
    <w:p w14:paraId="341C9259" w14:textId="77777777" w:rsidR="00D51C0B" w:rsidRDefault="00D51C0B"/>
    <w:sectPr w:rsidR="00D51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602D"/>
    <w:multiLevelType w:val="multilevel"/>
    <w:tmpl w:val="F01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0B"/>
    <w:rsid w:val="00D5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26B5"/>
  <w15:chartTrackingRefBased/>
  <w15:docId w15:val="{BACF50DC-94F5-45A8-98E8-C1D7FB5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C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28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1T19:39:51.309"/>
    </inkml:context>
    <inkml:brush xml:id="br0">
      <inkml:brushProperty name="width" value="0.1" units="cm"/>
      <inkml:brushProperty name="height" value="0.1" units="cm"/>
      <inkml:brushProperty name="color" value="#333333"/>
      <inkml:brushProperty name="ignorePressure" value="1"/>
    </inkml:brush>
  </inkml:definitions>
  <inkml:trace contextRef="#ctx0" brushRef="#br0">1825 2782,'20'-21,"95"-71,233-276,275-270,-262 302,-703 585,-49 73,-278 302,658-613,-80 76,5 3,3 4,5 4,-26 46,97-133,-19 63,30-72,-1 1,1-1,0 0,0 0,0-1,0 1,1-1,-1 0,0 0,0 0,1-1,-1 0,1 1,-1-2,0 1,1 0,-1-1,0 0,2 0,2 0,36-5,-1-3,0-2,0-2,-1-1,0-2,-2-2,37-23,-57 32,176-96,-5-8,-6-8,-5-8,-5-7,111-118,19-46,-298 291,-24 24,-27 29,-61 64,4 3,5 5,-15 34,110-150,-1 1,1 0,0 0,-1 0,1 0,0 0,0 0,0 0,0 0,0 1,0-1,0 0,1 0,-1 1,0-1,1 1,-1-1,1 1,-1-1,1 1,0-1,0 1,-1-1,1 1,0-1,0 1,1 0,-1-1,0 1,0-1,1 1,-1-1,1 1,-1-1,1 0,0 1,0-1,0 0,-1 1,1-1,0 0,0 0,1 0,-1 0,0 0,0 0,0 0,1 0,-1 0,0-1,1 1,-1 0,1-1,-1 1,1-1,-1 0,1 1,-1-1,1 0,1 0,21 0,-1-1,1-2,-1 0,0-1,0-2,0 0,0-1,-1-1,0-2,-1 0,4-4,-22 13,81-39,-1-4,-3-3,-2-4,22-21,-74 44,-54 46,-191 200,53-79,-150 95,202-152,-194 136,-9-13,-154 65,431-252,66-50,190-25,416-62,361-10,493 6,-1472 119,-40 0,-293-105,-6-27,-287-170,261 109,-51-49,-1541-1044,1458 960,129 88,99 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9C3FCC7742B48A5F0FFB54B7BEF16" ma:contentTypeVersion="16" ma:contentTypeDescription="Create a new document." ma:contentTypeScope="" ma:versionID="dae6cfcdcddfccacc943ce069aca4262">
  <xsd:schema xmlns:xsd="http://www.w3.org/2001/XMLSchema" xmlns:xs="http://www.w3.org/2001/XMLSchema" xmlns:p="http://schemas.microsoft.com/office/2006/metadata/properties" xmlns:ns3="8ababd64-0a6a-4390-804d-4dfbcd4aef65" xmlns:ns4="f6aada70-56d8-470f-b738-883a1af7bb5d" targetNamespace="http://schemas.microsoft.com/office/2006/metadata/properties" ma:root="true" ma:fieldsID="40241b93baf4a5b2876ff5877f7b39ff" ns3:_="" ns4:_="">
    <xsd:import namespace="8ababd64-0a6a-4390-804d-4dfbcd4aef65"/>
    <xsd:import namespace="f6aada70-56d8-470f-b738-883a1af7bb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abd64-0a6a-4390-804d-4dfbcd4a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da70-56d8-470f-b738-883a1af7bb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babd64-0a6a-4390-804d-4dfbcd4aef65" xsi:nil="true"/>
  </documentManagement>
</p:properties>
</file>

<file path=customXml/itemProps1.xml><?xml version="1.0" encoding="utf-8"?>
<ds:datastoreItem xmlns:ds="http://schemas.openxmlformats.org/officeDocument/2006/customXml" ds:itemID="{BAB2A926-5F29-4450-A0B3-A399DCC5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abd64-0a6a-4390-804d-4dfbcd4aef65"/>
    <ds:schemaRef ds:uri="f6aada70-56d8-470f-b738-883a1af7b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9A59C-4269-4867-8F90-AC6056D5BA53}">
  <ds:schemaRefs>
    <ds:schemaRef ds:uri="http://schemas.microsoft.com/sharepoint/v3/contenttype/forms"/>
  </ds:schemaRefs>
</ds:datastoreItem>
</file>

<file path=customXml/itemProps3.xml><?xml version="1.0" encoding="utf-8"?>
<ds:datastoreItem xmlns:ds="http://schemas.openxmlformats.org/officeDocument/2006/customXml" ds:itemID="{9AC1D551-7AE6-4914-B459-BD82B81214B5}">
  <ds:schemaRefs>
    <ds:schemaRef ds:uri="http://purl.org/dc/terms/"/>
    <ds:schemaRef ds:uri="http://purl.org/dc/dcmitype/"/>
    <ds:schemaRef ds:uri="http://www.w3.org/XML/1998/namespace"/>
    <ds:schemaRef ds:uri="http://schemas.microsoft.com/office/2006/documentManagement/types"/>
    <ds:schemaRef ds:uri="http://purl.org/dc/elements/1.1/"/>
    <ds:schemaRef ds:uri="8ababd64-0a6a-4390-804d-4dfbcd4aef65"/>
    <ds:schemaRef ds:uri="f6aada70-56d8-470f-b738-883a1af7bb5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Katz</dc:creator>
  <cp:keywords/>
  <dc:description/>
  <cp:lastModifiedBy>Rachel Katz</cp:lastModifiedBy>
  <cp:revision>1</cp:revision>
  <dcterms:created xsi:type="dcterms:W3CDTF">2026-05-21T19:38:00Z</dcterms:created>
  <dcterms:modified xsi:type="dcterms:W3CDTF">2026-05-21T19:40:00Z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0x010100F159C3FCC7742B48A5F0FFB54B7BEF16</vt:lpwstr>
  </property>
</Properties>
</file>